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DA5B0" w14:textId="77777777" w:rsidR="0070613C" w:rsidRPr="0070613C" w:rsidRDefault="0070613C" w:rsidP="0070613C">
      <w:pPr>
        <w:spacing w:line="360" w:lineRule="auto"/>
        <w:jc w:val="center"/>
        <w:rPr>
          <w:rFonts w:ascii="Times New Roman" w:hAnsi="Times New Roman" w:cs="Times New Roman"/>
          <w:b/>
          <w:bCs/>
        </w:rPr>
      </w:pPr>
      <w:r w:rsidRPr="0070613C">
        <w:rPr>
          <w:rFonts w:ascii="Times New Roman" w:hAnsi="Times New Roman" w:cs="Times New Roman"/>
          <w:b/>
          <w:bCs/>
        </w:rPr>
        <w:t>Barbara’s Case Study</w:t>
      </w:r>
    </w:p>
    <w:p w14:paraId="716A1D49" w14:textId="77777777" w:rsidR="0070613C" w:rsidRPr="0070613C" w:rsidRDefault="0070613C" w:rsidP="0070613C">
      <w:pPr>
        <w:spacing w:line="360" w:lineRule="auto"/>
        <w:jc w:val="both"/>
        <w:rPr>
          <w:rFonts w:ascii="Times New Roman" w:hAnsi="Times New Roman" w:cs="Times New Roman"/>
          <w:b/>
          <w:bCs/>
        </w:rPr>
      </w:pPr>
      <w:r w:rsidRPr="0070613C">
        <w:rPr>
          <w:rFonts w:ascii="Times New Roman" w:hAnsi="Times New Roman" w:cs="Times New Roman"/>
          <w:b/>
          <w:bCs/>
        </w:rPr>
        <w:t>Introduction</w:t>
      </w:r>
    </w:p>
    <w:p w14:paraId="07BB99F4" w14:textId="68C4C8B2"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As people go through different periods of life, they come across a range of experiences that influence their mental and social health. Social exclusion is a notable factor that can have a dramatic influence on the lives of older adults. Social exclusion is the state or process in which individuals or groups are unable to fully engage in society due to issues such as unemployment, poor skill levels, poverty, bad health, or other circumstances (Bäckman &amp; Nilsson, 2011). The social exclusion of older individuals is a multifaceted process that encompasses the deprivation or refusal of resources, rights, goods, and services as people grow older. The impact of ageing on both the well-being of older adults and the fairness and unity of society is significant (Levitas et. al., 2007, as cited in Walsh et. al., 2016).</w:t>
      </w:r>
      <w:r>
        <w:rPr>
          <w:rFonts w:ascii="Times New Roman" w:hAnsi="Times New Roman" w:cs="Times New Roman"/>
        </w:rPr>
        <w:t xml:space="preserve"> </w:t>
      </w:r>
      <w:r w:rsidRPr="0070613C">
        <w:rPr>
          <w:rFonts w:ascii="Times New Roman" w:hAnsi="Times New Roman" w:cs="Times New Roman"/>
        </w:rPr>
        <w:t>This case study examines the situation of Barbara who is facing social exclusion as she grows older. Formerly an active participant in her community, her social network has diminished following her retirement and the death of her husband. Barbara's tale exemplifies the complex interaction among social dynamics, cognitive functions, and emotional well-being during the later stages of life. This case study essay seeks to conduct a thorough analysis of the cognitive, emotional, and social consequences of social exclusion on Barbara's ongoing development. Additionally, it tries to investigate methods to alleviate the adverse impacts of social exclusion.</w:t>
      </w:r>
    </w:p>
    <w:p w14:paraId="430DE4BB" w14:textId="77777777" w:rsidR="0070613C" w:rsidRPr="0070613C" w:rsidRDefault="0070613C" w:rsidP="0070613C">
      <w:pPr>
        <w:spacing w:line="360" w:lineRule="auto"/>
        <w:jc w:val="both"/>
        <w:rPr>
          <w:rFonts w:ascii="Times New Roman" w:hAnsi="Times New Roman" w:cs="Times New Roman"/>
          <w:b/>
          <w:bCs/>
        </w:rPr>
      </w:pPr>
      <w:r w:rsidRPr="0070613C">
        <w:rPr>
          <w:rFonts w:ascii="Times New Roman" w:hAnsi="Times New Roman" w:cs="Times New Roman"/>
          <w:b/>
          <w:bCs/>
        </w:rPr>
        <w:t>Cognitive effects</w:t>
      </w:r>
    </w:p>
    <w:p w14:paraId="070CB187"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Barbara's experience demonstrates that less mental stimulation and social connection, from social exclusion, can cause a considerable cognitive impairment in later life. Barbara's inclination to remain indoors and restrict her outings implies a decrease in cognitive engagement and stimulation. A study has determined that social exclusion might greatly reduce one's capacity for logical and rational thinking (Baumeister et al., 2002). The results indicate that being socially excluded results in a lack of controlled processes and executive function, rather than a general decrease in attention. This damage may arise due to the necessity of allocating regulatory resources towards the management of emotional discomfort. Although social exclusion is known to cause a rise in negative emotions, it does not immediately influence cognitive function. This emphasises that social exclusion has distinct cognitive repercussions that go beyond its emotional effects (Baumeister et al., 2002). The findings indicate a connection between social exclusion and </w:t>
      </w:r>
      <w:r w:rsidRPr="0070613C">
        <w:rPr>
          <w:rFonts w:ascii="Times New Roman" w:hAnsi="Times New Roman" w:cs="Times New Roman"/>
        </w:rPr>
        <w:lastRenderedPageBreak/>
        <w:t xml:space="preserve">cognitive impairments. However, longitudinal studies conducted by Hawkley et al. (2003) have demonstrated that the lasting impacts of social isolation on cognitive performance are more complex and subtle. These studies indicate that short-term cognitive performance may be negatively affected by immediate social isolation, but the long-term impact on cognitive decline is uncertain. </w:t>
      </w:r>
    </w:p>
    <w:p w14:paraId="0D03487C"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Historically, the cognitive reserve hypothesis, propose that participating in intellectually challenging activities helps maintain cognitive function in elderly individuals. Cognitive reserve refers to the capacity to enhance performance by selectively engaging other brain networks, possibly indicating the utilisation of alternative cognitive processes (Stern, 2002). Barbara's decision to avoid social events and activities that stimulate her mind, along with a lack of mental challenges in her everyday routine, could lead to a decrease in her cognitive abilities. Empirical research conducted by Fancourt et al. (2018) and Hertzog et al. (2008) has identified the shortcomings of cognitive reserve theory in fully elucidating the patterns of cognitive decline associated with ageing. These studies indicate that cognitive engagement and stimulation play a crucial role in preserving cognitive function. However, other factors such as genetic predisposition and lifestyle behaviours also play a significant role in determining individual variations in cognitive resilience (Fancourt et al., 2019; Hertzog et al., 2009). In addition, socio-economic factors, such as the availability of education and healthcare, may influence the connection between cognitive reserve and cognitive results. This emphasises the importance of having a comprehensive understanding of the processes involved in cognitive ageing. </w:t>
      </w:r>
    </w:p>
    <w:p w14:paraId="5200789D"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A contemporary psychological explanation of social exclusion, such as the concept of selective optimisation with compensation (Baltes &amp; Baltes, 1990), highlights the ongoing interaction between cognitive abilities and environmental challenges throughout a person's life. Selective optimisation with compensation (SOC) theory posits that individuals strategically prioritise and pursue options that offer the highest potential for personal advantage and significance in their lives. Based on the idea, an individual who ages successfully can redefine their personal objectives to adjust to the inevitable decline of resources. According to the SOC model, Barbara should prioritise activities that are personally meaningful to her and allocate her resources towards obtaining desired outcomes in these specific areas (Wernher &amp; Lipsky, 2015). Barbara's decreased cognitive stimulation and limited social engagements are in line with selective </w:t>
      </w:r>
      <w:r w:rsidRPr="0070613C">
        <w:rPr>
          <w:rFonts w:ascii="Times New Roman" w:hAnsi="Times New Roman" w:cs="Times New Roman"/>
        </w:rPr>
        <w:lastRenderedPageBreak/>
        <w:t xml:space="preserve">optimisation theory, emphasising the mutual connection between social involvement and cognitive preservation in older age. </w:t>
      </w:r>
    </w:p>
    <w:p w14:paraId="77200862" w14:textId="77777777" w:rsidR="0070613C" w:rsidRPr="0070613C" w:rsidRDefault="0070613C" w:rsidP="0070613C">
      <w:pPr>
        <w:spacing w:line="360" w:lineRule="auto"/>
        <w:jc w:val="both"/>
        <w:rPr>
          <w:rFonts w:ascii="Times New Roman" w:hAnsi="Times New Roman" w:cs="Times New Roman"/>
          <w:b/>
          <w:bCs/>
        </w:rPr>
      </w:pPr>
      <w:r w:rsidRPr="0070613C">
        <w:rPr>
          <w:rFonts w:ascii="Times New Roman" w:hAnsi="Times New Roman" w:cs="Times New Roman"/>
          <w:b/>
          <w:bCs/>
        </w:rPr>
        <w:t>Social effects</w:t>
      </w:r>
    </w:p>
    <w:p w14:paraId="22EE8047"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Barbara's situation exemplifies how social exclusion can result in a deterioration of social networks and ties. Her husband's death, combined with the physical separation from her son and his family, has greatly diminished her social interactions. Her disengagement from previously pleasurable hobbies, such as ballroom dancing and coach trips, exacerbates her social isolation. Social identity theory, proposed by Tajfel and Turner (1979), suggests that individuals gain self-esteem through their affiliation with certain organisations. Being excluded from these groups can negatively impact one's self-concept and social identity. (Abrams &amp; Hogg, 1988 as cited in Trepete, 2006). By interacting in conversations with others, individuals demonstrate their affiliation with different groups whilst assessing the perception and status of these groups (Dutton et. al., 1994, as cited in Guan &amp; So, 2016). Barbara experiences a sense of disconnection and exclusion due to her friends' preoccupation with their own families. Over time, this prolonged social isolation can worsen feelings of loneliness and further reduce her sense of belonging within her society. </w:t>
      </w:r>
    </w:p>
    <w:p w14:paraId="32BBF431"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Historically, sociological theories, such as Durkheim's concept of social integration, propose that robust social ties and community affiliations are crucial for mental well-being (Durkheim, 1897). Durkheim (1897) posited that those who experience a deficiency in social integration are more susceptible to experiencing emotions of alienation, despair, and eventually, suicide. Barbara's situation exemplifies Durkheim's theory by illustrating how the decrease in social engagements and the breakdown of community links after her husband's death emphasise the significance of social cohesiveness for mental well-being. Empirical research conducted by Holt-Lunstad et al. (2015) offers strong evidence supporting the correlation between social integration and mental well-being. Nevertheless, studies conducted by Cornwell et al. (2014) indicate that the calibre, rather than the amount, of social connections may have a more significant impact on psychological well-being. This emphasises the importance of comprehending social integration processes in a detailed and nuanced manner.</w:t>
      </w:r>
    </w:p>
    <w:p w14:paraId="6F93D1D1"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In addition, from a developmental standpoint, Barbara's decision to isolate herself from social activities and her shrinking social circle may hinder her ability to achieve psychosocial integrity, as described in Erikson's theory of psychosocial development (Erikson, 1963). During </w:t>
      </w:r>
      <w:r w:rsidRPr="0070613C">
        <w:rPr>
          <w:rFonts w:ascii="Times New Roman" w:hAnsi="Times New Roman" w:cs="Times New Roman"/>
        </w:rPr>
        <w:lastRenderedPageBreak/>
        <w:t>the integrity versus despair stage, individuals engage in introspection and evaluate their lives and achievements, aiming to attain a feeling of integrity by embracing the entirety of their experiences and discovering purpose in their lives (Nelson, 1988). Barbara's declining social engagements and growing sense of isolation may impede her capacity to attain psychological integrity, resulting in sentiments of despair or hopelessness. Barbara's loss of connection with her social network may lead to difficulties in maintaining a sense of belonging and purpose, which can result in feelings of stagnation and alienation.</w:t>
      </w:r>
    </w:p>
    <w:p w14:paraId="14E52CD9"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Erikson's theory offers a complete framework for comprehending the entirety of the life cycle and the inherent conflicts that need to be harmonised at each stage of development (Jones &amp; Waite-</w:t>
      </w:r>
      <w:proofErr w:type="spellStart"/>
      <w:r w:rsidRPr="0070613C">
        <w:rPr>
          <w:rFonts w:ascii="Times New Roman" w:hAnsi="Times New Roman" w:cs="Times New Roman"/>
        </w:rPr>
        <w:t>Stupiansky</w:t>
      </w:r>
      <w:proofErr w:type="spellEnd"/>
      <w:r w:rsidRPr="0070613C">
        <w:rPr>
          <w:rFonts w:ascii="Times New Roman" w:hAnsi="Times New Roman" w:cs="Times New Roman"/>
        </w:rPr>
        <w:t>, 2022). Nevertheless, certain detractors contend that the theory lacks empirical evidence and is deficient in scientific rigour (Benson &amp; Bundick, 2020). Erikson's approach primarily relied on his personal psychoanalytic observations and case studies, rather than being grounded in systematic scientific study. In the absence of empirical validation, his hypothesis remains predominantly hypothetical and subject to interpretation. It is crucial to acknowledge that the concept of integrity vs despair exists along a spectrum. As a result, certain older people may be significantly closer to attaining a sense of wholeness and fulfilment, while others may be significantly closer to experiencing a feeling of hopelessness and discouragement. Furthermore, apart from Barbara's example, this model may not be suitable for other elderly individuals who are experiencing severe dementia, Alzheimer's disease, or other cognitive impairments (</w:t>
      </w:r>
      <w:proofErr w:type="spellStart"/>
      <w:r w:rsidRPr="0070613C">
        <w:rPr>
          <w:rFonts w:ascii="Times New Roman" w:hAnsi="Times New Roman" w:cs="Times New Roman"/>
        </w:rPr>
        <w:t>Goodcase</w:t>
      </w:r>
      <w:proofErr w:type="spellEnd"/>
      <w:r w:rsidRPr="0070613C">
        <w:rPr>
          <w:rFonts w:ascii="Times New Roman" w:hAnsi="Times New Roman" w:cs="Times New Roman"/>
        </w:rPr>
        <w:t xml:space="preserve"> &amp; Love, 2016).</w:t>
      </w:r>
    </w:p>
    <w:p w14:paraId="36F6464B" w14:textId="77777777" w:rsidR="0070613C" w:rsidRPr="0070613C" w:rsidRDefault="0070613C" w:rsidP="0070613C">
      <w:pPr>
        <w:spacing w:line="360" w:lineRule="auto"/>
        <w:jc w:val="both"/>
        <w:rPr>
          <w:rFonts w:ascii="Times New Roman" w:hAnsi="Times New Roman" w:cs="Times New Roman"/>
          <w:b/>
          <w:bCs/>
        </w:rPr>
      </w:pPr>
      <w:r w:rsidRPr="0070613C">
        <w:rPr>
          <w:rFonts w:ascii="Times New Roman" w:hAnsi="Times New Roman" w:cs="Times New Roman"/>
          <w:b/>
          <w:bCs/>
        </w:rPr>
        <w:t>Emotional effects</w:t>
      </w:r>
    </w:p>
    <w:p w14:paraId="20F36D56" w14:textId="3F87F196"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The experience of social exclusion can have a tremendous effect on an individual's mental well-being, resulting in feelings of loneliness, melancholy, anxiety, and depression. Barbara's experiences serve as a prime example of these emotional impacts, as she experiences a sense of detachment and lack of support after her husband's passing and retirement. In a study conducted by Hossain et al. (2022), it was discovered that elderly individuals who reside in solitary conditions exhibit a higher propensity for experiencing symptoms of depression. On the contrary, being socially isolated, such as living alone, not only deprives the elderly of essential resources, but also leaves them feeling powerless, which can contribute to higher levels of depression in older adults. Loneliness is recognised as a significant mental health issue that primarily impacts older adults </w:t>
      </w:r>
      <w:r w:rsidRPr="0070613C">
        <w:rPr>
          <w:rFonts w:ascii="Times New Roman" w:hAnsi="Times New Roman" w:cs="Times New Roman"/>
        </w:rPr>
        <w:lastRenderedPageBreak/>
        <w:t xml:space="preserve">(Riddick &amp; Keller, 1992, as cited in Pettigrew &amp; Robert, 2008). Barbara's situation of living alone, being without a partner, or being widowed increases the probability of facing unwanted social isolation and thus feeling lonely (Jacob, 1996; </w:t>
      </w:r>
      <w:proofErr w:type="spellStart"/>
      <w:r w:rsidRPr="0070613C">
        <w:rPr>
          <w:rFonts w:ascii="Times New Roman" w:hAnsi="Times New Roman" w:cs="Times New Roman"/>
        </w:rPr>
        <w:t>Tijhuis</w:t>
      </w:r>
      <w:proofErr w:type="spellEnd"/>
      <w:r w:rsidRPr="0070613C">
        <w:rPr>
          <w:rFonts w:ascii="Times New Roman" w:hAnsi="Times New Roman" w:cs="Times New Roman"/>
        </w:rPr>
        <w:t xml:space="preserve"> et al., 1999, as cited in Pettigrew &amp; Robert, 2008).</w:t>
      </w:r>
    </w:p>
    <w:p w14:paraId="35B637A9"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Barbara's experience of grief and subsequent social retreat can be explained by attachment theory, which suggests that strong bonds help protect against emotional distress. This accords with the predictions of attachment theory (Bowlby, 1969). Bowlby highlighted that attachment behaviour is particularly noticeable during periods of poor health or bereavement, situations that are increasingly probable and common as one ages (Browne &amp; </w:t>
      </w:r>
      <w:proofErr w:type="spellStart"/>
      <w:r w:rsidRPr="0070613C">
        <w:rPr>
          <w:rFonts w:ascii="Times New Roman" w:hAnsi="Times New Roman" w:cs="Times New Roman"/>
        </w:rPr>
        <w:t>Shlosberg</w:t>
      </w:r>
      <w:proofErr w:type="spellEnd"/>
      <w:r w:rsidRPr="0070613C">
        <w:rPr>
          <w:rFonts w:ascii="Times New Roman" w:hAnsi="Times New Roman" w:cs="Times New Roman"/>
        </w:rPr>
        <w:t xml:space="preserve">, 2006). Elderly individuals typically have a relatively limited yet consistent group of individuals to whom they feel emotionally attached throughout their whole lives. Although individuals may disengage from wider social networks, their fundamental attachment ties continue to hold importance (Shaver &amp; </w:t>
      </w:r>
      <w:proofErr w:type="spellStart"/>
      <w:r w:rsidRPr="0070613C">
        <w:rPr>
          <w:rFonts w:ascii="Times New Roman" w:hAnsi="Times New Roman" w:cs="Times New Roman"/>
        </w:rPr>
        <w:t>Mikulincer</w:t>
      </w:r>
      <w:proofErr w:type="spellEnd"/>
      <w:r w:rsidRPr="0070613C">
        <w:rPr>
          <w:rFonts w:ascii="Times New Roman" w:hAnsi="Times New Roman" w:cs="Times New Roman"/>
        </w:rPr>
        <w:t xml:space="preserve">, 2010). Barbara's primary emotional connection was with her husband, but after his death, she has been relying on passive kinds of entertainment and withdrawing from social events. These behaviours may be her way of dealing with emotions of loneliness and bereavement. Attachment theory offers a comprehensive framework by emphasising the significance of connections in forming persons and recognising the impact of wider social dynamics beyond individual interactions. Bowlby proposed an information processing framework to elucidate the protective mechanisms that are activated in response to trauma, loss, neglect, or rejection within attachment relationships (Cortina &amp; Mallone, 2003, as cited in Slater, 2007). Emotional mechanisms like fear, anxiety, and rage impact the development of personality by offering emotional stability and techniques for dealing with hardships (Slater, 2007). </w:t>
      </w:r>
    </w:p>
    <w:p w14:paraId="2A8229CF"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Barbara's emotional experiences are illuminated by contemporary perspectives, such as the Socioemotional Selectivity Theory (SST) proposed by Carstensen (1992). SST explains that the social behaviours observed in old age are a result of progressive changes that occur throughout a person's life. It is based on the functions of social contact and suggests that while the fundamental functions of interaction stay constant throughout life, the stage in the life cycle affects the importance and effectiveness of certain functions (Carstensen, 1992). According to SST, elderly people place greater importance on emotionally significant connections due to their perception of limited time availability. Barbara's attempts to stay in touch with her son and grandkids, despite </w:t>
      </w:r>
      <w:r w:rsidRPr="0070613C">
        <w:rPr>
          <w:rFonts w:ascii="Times New Roman" w:hAnsi="Times New Roman" w:cs="Times New Roman"/>
        </w:rPr>
        <w:lastRenderedPageBreak/>
        <w:t xml:space="preserve">not being able to meet in person, show her desire for meaningful emotional bonds (Carstensen, 2006). This approach highlights the flexible and adjustable aspect of emotional regulation in older age, emphasising the significance of sustaining supportive relationships for emotional well-being (Carstensen, 2006). Moreover, SST suggests that as people have a greater understanding of their own mortality, they place a higher importance on cultivating relationships that hold emotional significance (Imel, 2013). Barbara's heightened emphasis on her family corresponds with this concept, as she actively pursues emotional bonding and assistance throughout periods of personal transformation and experiences of isolation. Barbara's commitment to these relationships demonstrates her recognition of the value of life and the emotional advantages they offer, despite restricted social engagements. The theory's emphasis on prioritising emotionally significant relationships may overlook the institutional obstacles that hinder older individuals from obtaining social support and community services. </w:t>
      </w:r>
    </w:p>
    <w:p w14:paraId="5E8AB4C0" w14:textId="77777777" w:rsidR="0070613C" w:rsidRPr="0070613C" w:rsidRDefault="0070613C" w:rsidP="0070613C">
      <w:pPr>
        <w:spacing w:line="360" w:lineRule="auto"/>
        <w:jc w:val="both"/>
        <w:rPr>
          <w:rFonts w:ascii="Times New Roman" w:hAnsi="Times New Roman" w:cs="Times New Roman"/>
          <w:b/>
          <w:bCs/>
        </w:rPr>
      </w:pPr>
      <w:r w:rsidRPr="0070613C">
        <w:rPr>
          <w:rFonts w:ascii="Times New Roman" w:hAnsi="Times New Roman" w:cs="Times New Roman"/>
          <w:b/>
          <w:bCs/>
        </w:rPr>
        <w:t>Potential Ameliorative Strategies</w:t>
      </w:r>
    </w:p>
    <w:p w14:paraId="0A451FB1" w14:textId="4AABA183"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To mitigate the potential adverse consequences experienced by Barbara, targeted interventions should prioritise the improvement of Barbara's cognitive involvement, social interactions, and emotional welfare through a comprehensive strategy. Firstly, the establishment of community-based projects could be implemented to enhance social participation. The results of a study conducted by Kim et al. (2024), was found that community-based treatments had a significant influence on health behaviour, with a considerable effect size. Additionally, these interventions had a modest effect size on mental health and perceived health. Barbara can benefit from community-based interventions that are specifically designed for older adults. These interventions encompass physical activity, nutrition, social relationships, social participation, and combined approaches (Kim et. al., 2024). They offer Barbara opportunities to engage with peers who have similar interests and experiences. Furthermore, facilitating Barbara's reconnection with her past hobbies and interests could be accomplished by utilising community centres or local organisations that provide lessons or seminars in activities such as dancing, crafts, or gardening. Harris (2023) found a correlation between participating in hobbies and experiencing fewer symptoms of depression, as well as reporting better overall health, happiness, and life satisfaction among older people. </w:t>
      </w:r>
    </w:p>
    <w:p w14:paraId="18DD7908"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lastRenderedPageBreak/>
        <w:t xml:space="preserve">Utilising concrete manifestations of interpersonal connections, such as pictures of cherished individuals, might be an advantageous approach. As exemplified by Gardner et al. (2005), physical objects that serve as reminders of current social relationships have been proven to enhance a feeling of belonging and reduce emotions of exclusion. By integrating concrete prompts of interpersonal connections into interventions for individuals like Barbara, such as prompting her to maintain photographs of loved ones like her son and other family members or treasured keepsakes in close proximity, it can offer solace and assistance, ultimately enhancing her overall feeling of inclusion and ability to bounce back from social isolation. Moreover, extensive research has demonstrated that at the later stages of life, effective family communication has a crucial role in determining the overall quality of life, especially in terms of promoting emotional well-being as individuals age (Fisher &amp; Nussbaum, 2015). Helping Barbara in configuring and using communication tools such as video chat programmes and social media platforms can aid her in maintaining connections with her loved ones, reducing the emotional burden of social isolation, and promoting a feeling of belongingness despite being physically far apart. </w:t>
      </w:r>
    </w:p>
    <w:p w14:paraId="0378F66F"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Moreover, providing counselling or therapy services, such as evidence-based interventions like cognitive-behavioural therapy (CBT), can provide Barbara with techniques and tactics to effectively cope with emotions related to sadness, anxiety, or grief. CBT assists individuals in acknowledging and coming to terms with their grief. It places emphasis on the variables that provide support and enhances the cognitive processes and beliefs of the person who has lost someone, potentially leading to a shift in their perspective on the grieving process and an improvement in their spiritual well-being (Khashab et. al., 2017). By customising interventions to target Barbara's individual requirements and preferences, and utilising empirical evidence and established methodologies, we can successfully alleviate the adverse consequences of social exclusion, cognitive deterioration, and emotional turmoil, thereby enhancing Barbara's general welfare and standard of living.</w:t>
      </w:r>
    </w:p>
    <w:p w14:paraId="5292C196" w14:textId="77777777" w:rsidR="0070613C" w:rsidRPr="0070613C" w:rsidRDefault="0070613C" w:rsidP="0070613C">
      <w:pPr>
        <w:spacing w:line="360" w:lineRule="auto"/>
        <w:jc w:val="both"/>
        <w:rPr>
          <w:rFonts w:ascii="Times New Roman" w:hAnsi="Times New Roman" w:cs="Times New Roman"/>
          <w:b/>
          <w:bCs/>
        </w:rPr>
      </w:pPr>
      <w:r w:rsidRPr="0070613C">
        <w:rPr>
          <w:rFonts w:ascii="Times New Roman" w:hAnsi="Times New Roman" w:cs="Times New Roman"/>
          <w:b/>
          <w:bCs/>
        </w:rPr>
        <w:t>Conclusion</w:t>
      </w:r>
    </w:p>
    <w:p w14:paraId="63197959" w14:textId="77777777" w:rsidR="0070613C" w:rsidRPr="0070613C" w:rsidRDefault="0070613C" w:rsidP="0070613C">
      <w:pPr>
        <w:spacing w:line="360" w:lineRule="auto"/>
        <w:ind w:firstLine="720"/>
        <w:jc w:val="both"/>
        <w:rPr>
          <w:rFonts w:ascii="Times New Roman" w:hAnsi="Times New Roman" w:cs="Times New Roman"/>
        </w:rPr>
      </w:pPr>
      <w:r w:rsidRPr="0070613C">
        <w:rPr>
          <w:rFonts w:ascii="Times New Roman" w:hAnsi="Times New Roman" w:cs="Times New Roman"/>
        </w:rPr>
        <w:t xml:space="preserve">Barbara's story demonstrates the complex and wide-ranging effects of social exclusion on cognitive, social, and emotional well-being in older age. Barbara's experiences highlight the intricate relationship between personal dynamics and societal variables in influencing the ageing process. These elements include cognitive decline due to decreasing mental stimulation, fewer </w:t>
      </w:r>
      <w:r w:rsidRPr="0070613C">
        <w:rPr>
          <w:rFonts w:ascii="Times New Roman" w:hAnsi="Times New Roman" w:cs="Times New Roman"/>
        </w:rPr>
        <w:lastRenderedPageBreak/>
        <w:t>social networks, and the significant emotional impact of loneliness and loss. An examination was conducted to investigate the possible cognitive, social, and emotional consequences of social exclusion on Barbara's development, drawing from both historical and modern psychological viewpoints. From cognitive reserve theory to attachment theory and socioemotional selectivity theory, each paradigm provides unique insights on Barbara's experiences and proposes potential approaches for intervention. To tackle the difficulties that Barbara encounters, customised treatments should employ a comprehensive strategy.  By doing this, we not only aid Barbara as an individual, but also contribute to the overarching objective of cultivating a more inclusive and supportive atmosphere for elderly individuals in our society.</w:t>
      </w:r>
    </w:p>
    <w:p w14:paraId="306422F4" w14:textId="77777777" w:rsidR="00D14E5D" w:rsidRPr="0070613C" w:rsidRDefault="00D14E5D" w:rsidP="0070613C">
      <w:pPr>
        <w:spacing w:line="360" w:lineRule="auto"/>
        <w:jc w:val="both"/>
        <w:rPr>
          <w:rFonts w:ascii="Times New Roman" w:hAnsi="Times New Roman" w:cs="Times New Roman"/>
        </w:rPr>
      </w:pPr>
    </w:p>
    <w:p w14:paraId="1A28C423" w14:textId="77777777" w:rsidR="00D14E5D" w:rsidRPr="00F1415B" w:rsidRDefault="00D14E5D" w:rsidP="00F1415B">
      <w:pPr>
        <w:spacing w:line="360" w:lineRule="auto"/>
        <w:rPr>
          <w:rFonts w:ascii="Times New Roman" w:hAnsi="Times New Roman" w:cs="Times New Roman"/>
        </w:rPr>
      </w:pPr>
    </w:p>
    <w:p w14:paraId="79C4F143" w14:textId="77777777" w:rsidR="00D14E5D" w:rsidRPr="00F1415B" w:rsidRDefault="00D14E5D" w:rsidP="00F1415B">
      <w:pPr>
        <w:spacing w:line="360" w:lineRule="auto"/>
        <w:rPr>
          <w:rFonts w:ascii="Times New Roman" w:hAnsi="Times New Roman" w:cs="Times New Roman"/>
        </w:rPr>
      </w:pPr>
    </w:p>
    <w:p w14:paraId="2D934C5E" w14:textId="77777777" w:rsidR="00D14E5D" w:rsidRPr="00F1415B" w:rsidRDefault="00D14E5D" w:rsidP="00F1415B">
      <w:pPr>
        <w:spacing w:line="360" w:lineRule="auto"/>
        <w:rPr>
          <w:rFonts w:ascii="Times New Roman" w:hAnsi="Times New Roman" w:cs="Times New Roman"/>
        </w:rPr>
      </w:pPr>
    </w:p>
    <w:p w14:paraId="2BD141C5" w14:textId="77777777" w:rsidR="00D14E5D" w:rsidRPr="00F1415B" w:rsidRDefault="00D14E5D" w:rsidP="00F1415B">
      <w:pPr>
        <w:spacing w:line="360" w:lineRule="auto"/>
        <w:rPr>
          <w:rFonts w:ascii="Times New Roman" w:hAnsi="Times New Roman" w:cs="Times New Roman"/>
        </w:rPr>
      </w:pPr>
    </w:p>
    <w:p w14:paraId="243AB21B" w14:textId="77777777" w:rsidR="00D14E5D" w:rsidRPr="00F1415B" w:rsidRDefault="00D14E5D" w:rsidP="00F1415B">
      <w:pPr>
        <w:spacing w:line="360" w:lineRule="auto"/>
        <w:rPr>
          <w:rFonts w:ascii="Times New Roman" w:hAnsi="Times New Roman" w:cs="Times New Roman"/>
        </w:rPr>
      </w:pPr>
    </w:p>
    <w:p w14:paraId="04992994" w14:textId="77777777" w:rsidR="00D14E5D" w:rsidRPr="00F1415B" w:rsidRDefault="00D14E5D" w:rsidP="00F1415B">
      <w:pPr>
        <w:spacing w:line="360" w:lineRule="auto"/>
        <w:rPr>
          <w:rFonts w:ascii="Times New Roman" w:hAnsi="Times New Roman" w:cs="Times New Roman"/>
        </w:rPr>
      </w:pPr>
    </w:p>
    <w:p w14:paraId="6CECF054" w14:textId="77777777" w:rsidR="00D14E5D" w:rsidRPr="00F1415B" w:rsidRDefault="00D14E5D" w:rsidP="00F1415B">
      <w:pPr>
        <w:spacing w:line="360" w:lineRule="auto"/>
        <w:rPr>
          <w:rFonts w:ascii="Times New Roman" w:hAnsi="Times New Roman" w:cs="Times New Roman"/>
        </w:rPr>
      </w:pPr>
    </w:p>
    <w:p w14:paraId="40164A5E" w14:textId="77777777" w:rsidR="00D14E5D" w:rsidRPr="00F1415B" w:rsidRDefault="00D14E5D" w:rsidP="00F1415B">
      <w:pPr>
        <w:spacing w:line="360" w:lineRule="auto"/>
        <w:rPr>
          <w:rFonts w:ascii="Times New Roman" w:hAnsi="Times New Roman" w:cs="Times New Roman"/>
        </w:rPr>
      </w:pPr>
    </w:p>
    <w:p w14:paraId="6FCE461F" w14:textId="77777777" w:rsidR="00D14E5D" w:rsidRPr="00F1415B" w:rsidRDefault="00D14E5D" w:rsidP="00F1415B">
      <w:pPr>
        <w:spacing w:line="360" w:lineRule="auto"/>
        <w:rPr>
          <w:rFonts w:ascii="Times New Roman" w:hAnsi="Times New Roman" w:cs="Times New Roman"/>
        </w:rPr>
      </w:pPr>
    </w:p>
    <w:p w14:paraId="5B5AF165" w14:textId="77777777" w:rsidR="00D14E5D" w:rsidRPr="00F1415B" w:rsidRDefault="00D14E5D" w:rsidP="00F1415B">
      <w:pPr>
        <w:spacing w:line="360" w:lineRule="auto"/>
        <w:rPr>
          <w:rFonts w:ascii="Times New Roman" w:hAnsi="Times New Roman" w:cs="Times New Roman"/>
        </w:rPr>
      </w:pPr>
    </w:p>
    <w:p w14:paraId="48641F73" w14:textId="77777777" w:rsidR="00D14E5D" w:rsidRDefault="00D14E5D" w:rsidP="00F1415B">
      <w:pPr>
        <w:spacing w:line="360" w:lineRule="auto"/>
        <w:rPr>
          <w:rFonts w:ascii="Times New Roman" w:hAnsi="Times New Roman" w:cs="Times New Roman"/>
        </w:rPr>
      </w:pPr>
    </w:p>
    <w:p w14:paraId="0D5AB55A" w14:textId="77777777" w:rsidR="0052249E" w:rsidRDefault="0052249E" w:rsidP="00F1415B">
      <w:pPr>
        <w:spacing w:line="360" w:lineRule="auto"/>
        <w:rPr>
          <w:rFonts w:ascii="Times New Roman" w:hAnsi="Times New Roman" w:cs="Times New Roman"/>
        </w:rPr>
      </w:pPr>
    </w:p>
    <w:p w14:paraId="55D4F38D" w14:textId="77777777" w:rsidR="0052249E" w:rsidRDefault="0052249E" w:rsidP="00F1415B">
      <w:pPr>
        <w:spacing w:line="360" w:lineRule="auto"/>
        <w:rPr>
          <w:rFonts w:ascii="Times New Roman" w:hAnsi="Times New Roman" w:cs="Times New Roman"/>
        </w:rPr>
      </w:pPr>
    </w:p>
    <w:p w14:paraId="6CA49611" w14:textId="77777777" w:rsidR="0052249E" w:rsidRPr="00F1415B" w:rsidRDefault="0052249E" w:rsidP="00F1415B">
      <w:pPr>
        <w:spacing w:line="360" w:lineRule="auto"/>
        <w:rPr>
          <w:rFonts w:ascii="Times New Roman" w:hAnsi="Times New Roman" w:cs="Times New Roman"/>
        </w:rPr>
      </w:pPr>
    </w:p>
    <w:p w14:paraId="56CA5238" w14:textId="77777777" w:rsidR="0070613C" w:rsidRDefault="0070613C" w:rsidP="00F1415B">
      <w:pPr>
        <w:spacing w:line="360" w:lineRule="auto"/>
        <w:jc w:val="center"/>
        <w:rPr>
          <w:rFonts w:ascii="Times New Roman" w:hAnsi="Times New Roman" w:cs="Times New Roman"/>
          <w:b/>
          <w:bCs/>
        </w:rPr>
      </w:pPr>
    </w:p>
    <w:p w14:paraId="4F534FB3" w14:textId="65750EEC" w:rsidR="00D14E5D" w:rsidRPr="00F1415B" w:rsidRDefault="00D14E5D" w:rsidP="00F1415B">
      <w:pPr>
        <w:spacing w:line="360" w:lineRule="auto"/>
        <w:jc w:val="center"/>
        <w:rPr>
          <w:rFonts w:ascii="Times New Roman" w:hAnsi="Times New Roman" w:cs="Times New Roman"/>
          <w:b/>
          <w:bCs/>
        </w:rPr>
      </w:pPr>
      <w:r w:rsidRPr="00F1415B">
        <w:rPr>
          <w:rFonts w:ascii="Times New Roman" w:hAnsi="Times New Roman" w:cs="Times New Roman"/>
          <w:b/>
          <w:bCs/>
        </w:rPr>
        <w:lastRenderedPageBreak/>
        <w:t>References</w:t>
      </w:r>
    </w:p>
    <w:p w14:paraId="47A6951E" w14:textId="77777777" w:rsidR="00D14E5D" w:rsidRDefault="00D14E5D" w:rsidP="00D14E5D">
      <w:pPr>
        <w:pStyle w:val="NormalWeb"/>
        <w:ind w:left="567" w:hanging="567"/>
      </w:pPr>
      <w:r>
        <w:t xml:space="preserve">Backman, O., &amp; Nilsson, A. (2010). Pathways to social exclusion: A life-course study. </w:t>
      </w:r>
      <w:r>
        <w:rPr>
          <w:i/>
          <w:iCs/>
        </w:rPr>
        <w:t>European Sociological Review</w:t>
      </w:r>
      <w:r>
        <w:t xml:space="preserve">, </w:t>
      </w:r>
      <w:r>
        <w:rPr>
          <w:i/>
          <w:iCs/>
        </w:rPr>
        <w:t>27</w:t>
      </w:r>
      <w:r>
        <w:t xml:space="preserve">(1), 107–123. https://doi.org/10.1093/esr/jcp064 </w:t>
      </w:r>
    </w:p>
    <w:p w14:paraId="5CB38606" w14:textId="77777777" w:rsidR="00D14E5D" w:rsidRDefault="00D14E5D" w:rsidP="00D14E5D">
      <w:pPr>
        <w:pStyle w:val="NormalWeb"/>
        <w:ind w:left="567" w:hanging="567"/>
      </w:pPr>
      <w:r>
        <w:t xml:space="preserve">Baltes, P. B., &amp; Baltes, M. M. (1990). Psychological perspectives on successful aging: The model of selective optimization with compensation. </w:t>
      </w:r>
      <w:r>
        <w:rPr>
          <w:i/>
          <w:iCs/>
        </w:rPr>
        <w:t>Successful Aging</w:t>
      </w:r>
      <w:r>
        <w:t xml:space="preserve">, 1–34. https://doi.org/10.1017/cbo9780511665684.003 </w:t>
      </w:r>
    </w:p>
    <w:p w14:paraId="6E29841F" w14:textId="77777777" w:rsidR="00D14E5D" w:rsidRDefault="00D14E5D" w:rsidP="00D14E5D">
      <w:pPr>
        <w:pStyle w:val="NormalWeb"/>
        <w:ind w:left="567" w:hanging="567"/>
      </w:pPr>
      <w:r>
        <w:t xml:space="preserve">Baumeister, R. F., Twenge, J. M., &amp; Nuss, C. K. (2002). Effects of social exclusion on cognitive processes: Anticipated aloneness reduces intelligent thought. </w:t>
      </w:r>
      <w:r>
        <w:rPr>
          <w:i/>
          <w:iCs/>
        </w:rPr>
        <w:t>Journal of Personality and Social Psychology</w:t>
      </w:r>
      <w:r>
        <w:t xml:space="preserve">, </w:t>
      </w:r>
      <w:r>
        <w:rPr>
          <w:i/>
          <w:iCs/>
        </w:rPr>
        <w:t>83</w:t>
      </w:r>
      <w:r>
        <w:t xml:space="preserve">(4), 817–827. https://doi.org/10.1037//0022-3514.83.4.817 </w:t>
      </w:r>
    </w:p>
    <w:p w14:paraId="49BE8156" w14:textId="77777777" w:rsidR="00D14E5D" w:rsidRDefault="00D14E5D" w:rsidP="00D14E5D">
      <w:pPr>
        <w:pStyle w:val="NormalWeb"/>
        <w:ind w:left="567" w:hanging="567"/>
      </w:pPr>
      <w:r>
        <w:t xml:space="preserve">Benson, P., &amp; Bundick, M. (2020). Erikson and adolescent development. </w:t>
      </w:r>
      <w:r>
        <w:rPr>
          <w:i/>
          <w:iCs/>
        </w:rPr>
        <w:t>Journal of Child and Youth Care Work</w:t>
      </w:r>
      <w:r>
        <w:t xml:space="preserve">, </w:t>
      </w:r>
      <w:r>
        <w:rPr>
          <w:i/>
          <w:iCs/>
        </w:rPr>
        <w:t>25</w:t>
      </w:r>
      <w:r>
        <w:t xml:space="preserve">, 195–205. https://doi.org/10.5195/jcycw.2015.81 </w:t>
      </w:r>
    </w:p>
    <w:p w14:paraId="2C74A59F" w14:textId="77777777" w:rsidR="00D14E5D" w:rsidRDefault="00D14E5D" w:rsidP="00D14E5D">
      <w:pPr>
        <w:pStyle w:val="NormalWeb"/>
        <w:ind w:left="567" w:hanging="567"/>
      </w:pPr>
      <w:r>
        <w:t xml:space="preserve">Bowlby, J. (1969). </w:t>
      </w:r>
      <w:r>
        <w:rPr>
          <w:i/>
          <w:iCs/>
        </w:rPr>
        <w:t>Attachment and loss</w:t>
      </w:r>
      <w:r>
        <w:t xml:space="preserve">. Hogarth P. </w:t>
      </w:r>
    </w:p>
    <w:p w14:paraId="12029563" w14:textId="77777777" w:rsidR="00D14E5D" w:rsidRDefault="00D14E5D" w:rsidP="00D14E5D">
      <w:pPr>
        <w:pStyle w:val="NormalWeb"/>
        <w:ind w:left="567" w:hanging="567"/>
      </w:pPr>
      <w:r>
        <w:t xml:space="preserve">Browne, C. J., &amp; </w:t>
      </w:r>
      <w:proofErr w:type="spellStart"/>
      <w:r>
        <w:t>Shlosberg</w:t>
      </w:r>
      <w:proofErr w:type="spellEnd"/>
      <w:r>
        <w:t xml:space="preserve">, E. (2006). Attachment theory, ageing and dementia: A review of the literature. </w:t>
      </w:r>
      <w:r>
        <w:rPr>
          <w:i/>
          <w:iCs/>
        </w:rPr>
        <w:t>Aging &amp;amp; Mental Health</w:t>
      </w:r>
      <w:r>
        <w:t xml:space="preserve">, </w:t>
      </w:r>
      <w:r>
        <w:rPr>
          <w:i/>
          <w:iCs/>
        </w:rPr>
        <w:t>10</w:t>
      </w:r>
      <w:r>
        <w:t xml:space="preserve">(2), 134–142. https://doi.org/10.1080/13607860500312118 </w:t>
      </w:r>
    </w:p>
    <w:p w14:paraId="440BE53D" w14:textId="77777777" w:rsidR="00D14E5D" w:rsidRDefault="00D14E5D" w:rsidP="00D14E5D">
      <w:pPr>
        <w:pStyle w:val="NormalWeb"/>
        <w:ind w:left="567" w:hanging="567"/>
      </w:pPr>
      <w:r>
        <w:t xml:space="preserve">Carstensen, L. L. (1992). Social and emotional patterns in adulthood: Support for socioemotional selectivity theory. </w:t>
      </w:r>
      <w:r>
        <w:rPr>
          <w:i/>
          <w:iCs/>
        </w:rPr>
        <w:t>Psychology and Aging</w:t>
      </w:r>
      <w:r>
        <w:t xml:space="preserve">, </w:t>
      </w:r>
      <w:r>
        <w:rPr>
          <w:i/>
          <w:iCs/>
        </w:rPr>
        <w:t>7</w:t>
      </w:r>
      <w:r>
        <w:t xml:space="preserve">(3), 331–338. https://doi.org/10.1037/0882-7974.7.3.331 </w:t>
      </w:r>
    </w:p>
    <w:p w14:paraId="17661BAC" w14:textId="77777777" w:rsidR="00D14E5D" w:rsidRDefault="00D14E5D" w:rsidP="00D14E5D">
      <w:pPr>
        <w:pStyle w:val="NormalWeb"/>
        <w:ind w:left="567" w:hanging="567"/>
      </w:pPr>
      <w:r>
        <w:t xml:space="preserve">Carstensen, L. L. (2006). The influence of a sense of time on human development. </w:t>
      </w:r>
      <w:r>
        <w:rPr>
          <w:i/>
          <w:iCs/>
        </w:rPr>
        <w:t>Science</w:t>
      </w:r>
      <w:r>
        <w:t xml:space="preserve">, </w:t>
      </w:r>
      <w:r>
        <w:rPr>
          <w:i/>
          <w:iCs/>
        </w:rPr>
        <w:t>312</w:t>
      </w:r>
      <w:r>
        <w:t xml:space="preserve">(5782), 1913–1915. https://doi.org/10.1126/science.1127488 </w:t>
      </w:r>
    </w:p>
    <w:p w14:paraId="13CBBC16" w14:textId="77777777" w:rsidR="00D14E5D" w:rsidRDefault="00D14E5D" w:rsidP="00D14E5D">
      <w:pPr>
        <w:pStyle w:val="NormalWeb"/>
        <w:ind w:left="567" w:hanging="567"/>
      </w:pPr>
      <w:r>
        <w:t xml:space="preserve">Cornwell, E. Y., &amp; Waite, L. J. (2009). Social disconnectedness, perceived isolation, and health among older adults. </w:t>
      </w:r>
      <w:r>
        <w:rPr>
          <w:i/>
          <w:iCs/>
        </w:rPr>
        <w:t>Journal of Health and Social Behavior</w:t>
      </w:r>
      <w:r>
        <w:t xml:space="preserve">, </w:t>
      </w:r>
      <w:r>
        <w:rPr>
          <w:i/>
          <w:iCs/>
        </w:rPr>
        <w:t>50</w:t>
      </w:r>
      <w:r>
        <w:t xml:space="preserve">(1), 31–48. https://doi.org/10.1177/002214650905000103 </w:t>
      </w:r>
    </w:p>
    <w:p w14:paraId="09FB524A" w14:textId="77777777" w:rsidR="00D14E5D" w:rsidRDefault="00D14E5D" w:rsidP="00D14E5D">
      <w:pPr>
        <w:pStyle w:val="NormalWeb"/>
        <w:ind w:left="567" w:hanging="567"/>
      </w:pPr>
      <w:r>
        <w:t xml:space="preserve">Durkheim, E. (1897). </w:t>
      </w:r>
      <w:r>
        <w:rPr>
          <w:i/>
          <w:iCs/>
        </w:rPr>
        <w:t>Suicide: A study in sociology</w:t>
      </w:r>
      <w:r>
        <w:t xml:space="preserve">. Free Press. </w:t>
      </w:r>
    </w:p>
    <w:p w14:paraId="0990A080" w14:textId="77777777" w:rsidR="00D14E5D" w:rsidRDefault="00D14E5D" w:rsidP="00D14E5D">
      <w:pPr>
        <w:pStyle w:val="NormalWeb"/>
        <w:ind w:left="567" w:hanging="567"/>
      </w:pPr>
      <w:r>
        <w:t xml:space="preserve">Erikson, E. H. (1963). </w:t>
      </w:r>
      <w:r>
        <w:rPr>
          <w:i/>
          <w:iCs/>
        </w:rPr>
        <w:t>Childhood, and Society</w:t>
      </w:r>
      <w:r>
        <w:t xml:space="preserve">. Norton. </w:t>
      </w:r>
    </w:p>
    <w:p w14:paraId="0C6A0A25" w14:textId="77777777" w:rsidR="00D14E5D" w:rsidRDefault="00D14E5D" w:rsidP="00D14E5D">
      <w:pPr>
        <w:pStyle w:val="NormalWeb"/>
        <w:ind w:left="567" w:hanging="567"/>
      </w:pPr>
      <w:r>
        <w:t xml:space="preserve">Fancourt, D., Steptoe, A., &amp; Cadar, D. (2018). Cultural engagement and Cognitive Reserve: Museum attendance and dementia incidence over a 10-year period. </w:t>
      </w:r>
      <w:r>
        <w:rPr>
          <w:i/>
          <w:iCs/>
        </w:rPr>
        <w:t>The British Journal of Psychiatry</w:t>
      </w:r>
      <w:r>
        <w:t xml:space="preserve">, </w:t>
      </w:r>
      <w:r>
        <w:rPr>
          <w:i/>
          <w:iCs/>
        </w:rPr>
        <w:t>213</w:t>
      </w:r>
      <w:r>
        <w:t xml:space="preserve">(5), 661–663. https://doi.org/10.1192/bjp.2018.129 </w:t>
      </w:r>
    </w:p>
    <w:p w14:paraId="5B13F765" w14:textId="77777777" w:rsidR="00D14E5D" w:rsidRDefault="00D14E5D" w:rsidP="00D14E5D">
      <w:pPr>
        <w:pStyle w:val="NormalWeb"/>
        <w:ind w:left="567" w:hanging="567"/>
      </w:pPr>
      <w:r>
        <w:t xml:space="preserve">Fisher, C. L., &amp; Nussbaum, J. F. (2015). Maximizing Wellness in successful aging and cancer coping: The importance of family communication from a socioemotional selectivity theoretical perspective. </w:t>
      </w:r>
      <w:r>
        <w:rPr>
          <w:i/>
          <w:iCs/>
        </w:rPr>
        <w:t>Journal of Family Communication</w:t>
      </w:r>
      <w:r>
        <w:t xml:space="preserve">, </w:t>
      </w:r>
      <w:r>
        <w:rPr>
          <w:i/>
          <w:iCs/>
        </w:rPr>
        <w:t>15</w:t>
      </w:r>
      <w:r>
        <w:t xml:space="preserve">(1), 3–19. https://doi.org/10.1080/15267431.2014.946512 </w:t>
      </w:r>
    </w:p>
    <w:p w14:paraId="098D089C" w14:textId="0C98B141" w:rsidR="00D14E5D" w:rsidRDefault="00D14E5D" w:rsidP="00D14E5D">
      <w:pPr>
        <w:pStyle w:val="NormalWeb"/>
        <w:ind w:left="567" w:hanging="567"/>
      </w:pPr>
      <w:r w:rsidRPr="00D14E5D">
        <w:lastRenderedPageBreak/>
        <w:t>Gardner, W. L., Pickett, C. L., &amp; Knowles, M. L. (2005). Social "snacking" and social "shielding": The satisfaction of belonging needs through the use of social symbols and the social self. In K. Williams, J. Forgas, and W. von Hippel (Eds.), The social outcast: Ostracism, social exclusion, rejection, and bullying (pp. 227–241). New York, NY: Psychology Press.</w:t>
      </w:r>
    </w:p>
    <w:p w14:paraId="2806C23F" w14:textId="107C3F17" w:rsidR="00D14E5D" w:rsidRDefault="00D14E5D" w:rsidP="00D14E5D">
      <w:pPr>
        <w:pStyle w:val="NormalWeb"/>
        <w:ind w:left="567" w:hanging="567"/>
      </w:pPr>
      <w:proofErr w:type="spellStart"/>
      <w:r>
        <w:t>Goodcase</w:t>
      </w:r>
      <w:proofErr w:type="spellEnd"/>
      <w:r>
        <w:t xml:space="preserve">, E. T., &amp; Love, H. A. (2016). From despair to integrity: Using narrative therapy for older individuals in Erikson’s last stage of Identity Development. </w:t>
      </w:r>
      <w:r>
        <w:rPr>
          <w:i/>
          <w:iCs/>
        </w:rPr>
        <w:t>Clinical Social Work Journal</w:t>
      </w:r>
      <w:r>
        <w:t xml:space="preserve">, </w:t>
      </w:r>
      <w:r>
        <w:rPr>
          <w:i/>
          <w:iCs/>
        </w:rPr>
        <w:t>45</w:t>
      </w:r>
      <w:r>
        <w:t xml:space="preserve">(4), 354–363. https://doi.org/10.1007/s10615-016-0601-6 </w:t>
      </w:r>
    </w:p>
    <w:p w14:paraId="2656BB96" w14:textId="77777777" w:rsidR="00D14E5D" w:rsidRDefault="00D14E5D" w:rsidP="00D14E5D">
      <w:pPr>
        <w:pStyle w:val="NormalWeb"/>
        <w:ind w:left="567" w:hanging="567"/>
      </w:pPr>
      <w:r>
        <w:t xml:space="preserve">Guan, M., &amp; So, J. (2016). Influence of social identity on self-efficacy beliefs through perceived social support: A Social Identity Theory Perspective. </w:t>
      </w:r>
      <w:r>
        <w:rPr>
          <w:i/>
          <w:iCs/>
        </w:rPr>
        <w:t>Communication Studies</w:t>
      </w:r>
      <w:r>
        <w:t xml:space="preserve">, </w:t>
      </w:r>
      <w:r>
        <w:rPr>
          <w:i/>
          <w:iCs/>
        </w:rPr>
        <w:t>67</w:t>
      </w:r>
      <w:r>
        <w:t xml:space="preserve">(5), 588–604. https://doi.org/10.1080/10510974.2016.1239645 </w:t>
      </w:r>
    </w:p>
    <w:p w14:paraId="68673505" w14:textId="77777777" w:rsidR="00D14E5D" w:rsidRDefault="00D14E5D" w:rsidP="00D14E5D">
      <w:pPr>
        <w:pStyle w:val="NormalWeb"/>
        <w:ind w:left="567" w:hanging="567"/>
      </w:pPr>
      <w:r>
        <w:t xml:space="preserve">Harris, E. (2023). Meta-analysis: Hobbies tied to better health for older adults. </w:t>
      </w:r>
      <w:r>
        <w:rPr>
          <w:i/>
          <w:iCs/>
        </w:rPr>
        <w:t>JAMA</w:t>
      </w:r>
      <w:r>
        <w:t xml:space="preserve">, </w:t>
      </w:r>
      <w:r>
        <w:rPr>
          <w:i/>
          <w:iCs/>
        </w:rPr>
        <w:t>330</w:t>
      </w:r>
      <w:r>
        <w:t xml:space="preserve">(14), 1319. https://doi.org/10.1001/jama.2023.17825 </w:t>
      </w:r>
    </w:p>
    <w:p w14:paraId="5A69DE40" w14:textId="77777777" w:rsidR="00D14E5D" w:rsidRDefault="00D14E5D" w:rsidP="00D14E5D">
      <w:pPr>
        <w:pStyle w:val="NormalWeb"/>
        <w:ind w:left="567" w:hanging="567"/>
      </w:pPr>
      <w:r>
        <w:t xml:space="preserve">Hawkley, L. C., Burleson, M. H., Berntson, G. G., &amp; Cacioppo, J. T. (2003). Loneliness in everyday life: Cardiovascular activity, psychosocial context, and health behaviors. </w:t>
      </w:r>
      <w:r>
        <w:rPr>
          <w:i/>
          <w:iCs/>
        </w:rPr>
        <w:t>Journal of Personality and Social Psychology</w:t>
      </w:r>
      <w:r>
        <w:t xml:space="preserve">, </w:t>
      </w:r>
      <w:r>
        <w:rPr>
          <w:i/>
          <w:iCs/>
        </w:rPr>
        <w:t>85</w:t>
      </w:r>
      <w:r>
        <w:t xml:space="preserve">(1), 105–120. https://doi.org/10.1037/0022-3514.85.1.105 </w:t>
      </w:r>
    </w:p>
    <w:p w14:paraId="2A802A7F" w14:textId="77777777" w:rsidR="00D14E5D" w:rsidRDefault="00D14E5D" w:rsidP="00D14E5D">
      <w:pPr>
        <w:pStyle w:val="NormalWeb"/>
        <w:ind w:left="567" w:hanging="567"/>
      </w:pPr>
      <w:r>
        <w:t xml:space="preserve">Hertzog, C., Kramer, A. F., Wilson, R. S., &amp; Lindenberger, U. (2008). Enrichment effects on adult cognitive development. </w:t>
      </w:r>
      <w:r>
        <w:rPr>
          <w:i/>
          <w:iCs/>
        </w:rPr>
        <w:t>Psychological Science in the Public Interest</w:t>
      </w:r>
      <w:r>
        <w:t xml:space="preserve">, </w:t>
      </w:r>
      <w:r>
        <w:rPr>
          <w:i/>
          <w:iCs/>
        </w:rPr>
        <w:t>9</w:t>
      </w:r>
      <w:r>
        <w:t xml:space="preserve">(1), 1–65. https://doi.org/10.1111/j.1539-6053.2009.01034.x </w:t>
      </w:r>
    </w:p>
    <w:p w14:paraId="11EB1D89" w14:textId="77777777" w:rsidR="00D14E5D" w:rsidRDefault="00D14E5D" w:rsidP="00D14E5D">
      <w:pPr>
        <w:pStyle w:val="NormalWeb"/>
        <w:ind w:left="567" w:hanging="567"/>
      </w:pPr>
      <w:r>
        <w:t xml:space="preserve">Holt-Lunstad, J., Smith, T. B., Baker, M., Harris, T., &amp; Stephenson, D. (2015). Loneliness and social isolation as risk factors for mortality. </w:t>
      </w:r>
      <w:r>
        <w:rPr>
          <w:i/>
          <w:iCs/>
        </w:rPr>
        <w:t>Perspectives on Psychological Science</w:t>
      </w:r>
      <w:r>
        <w:t xml:space="preserve">, </w:t>
      </w:r>
      <w:r>
        <w:rPr>
          <w:i/>
          <w:iCs/>
        </w:rPr>
        <w:t>10</w:t>
      </w:r>
      <w:r>
        <w:t xml:space="preserve">(2), 227–237. https://doi.org/10.1177/1745691614568352 </w:t>
      </w:r>
    </w:p>
    <w:p w14:paraId="03D8CA9E" w14:textId="77777777" w:rsidR="00D14E5D" w:rsidRDefault="00D14E5D" w:rsidP="00D14E5D">
      <w:pPr>
        <w:pStyle w:val="NormalWeb"/>
        <w:ind w:left="567" w:hanging="567"/>
      </w:pPr>
      <w:r>
        <w:t xml:space="preserve">Hossain, B., </w:t>
      </w:r>
      <w:proofErr w:type="spellStart"/>
      <w:r>
        <w:t>Nagargoje</w:t>
      </w:r>
      <w:proofErr w:type="spellEnd"/>
      <w:r>
        <w:t xml:space="preserve">, V. P., </w:t>
      </w:r>
      <w:proofErr w:type="spellStart"/>
      <w:r>
        <w:t>Sk</w:t>
      </w:r>
      <w:proofErr w:type="spellEnd"/>
      <w:r>
        <w:t xml:space="preserve">, M. I., &amp; Das, J. (2022). Social Exclusion and mental health among older adults: Cross-sectional evidence from a population-based survey in India. </w:t>
      </w:r>
      <w:r>
        <w:rPr>
          <w:i/>
          <w:iCs/>
        </w:rPr>
        <w:t>BMC Psychiatry</w:t>
      </w:r>
      <w:r>
        <w:t xml:space="preserve">, </w:t>
      </w:r>
      <w:r>
        <w:rPr>
          <w:i/>
          <w:iCs/>
        </w:rPr>
        <w:t>22</w:t>
      </w:r>
      <w:r>
        <w:t xml:space="preserve">(1). https://doi.org/10.1186/s12888-022-04064-1 </w:t>
      </w:r>
    </w:p>
    <w:p w14:paraId="2EE1CB91" w14:textId="77777777" w:rsidR="00D14E5D" w:rsidRDefault="00D14E5D" w:rsidP="00D14E5D">
      <w:pPr>
        <w:pStyle w:val="NormalWeb"/>
        <w:ind w:left="567" w:hanging="567"/>
      </w:pPr>
      <w:r>
        <w:t xml:space="preserve">Imel, J. L. (2013). (thesis). </w:t>
      </w:r>
      <w:r>
        <w:rPr>
          <w:i/>
          <w:iCs/>
        </w:rPr>
        <w:t>Comparing resiliency in early and late-life bereavement</w:t>
      </w:r>
      <w:r>
        <w:t xml:space="preserve">. </w:t>
      </w:r>
    </w:p>
    <w:p w14:paraId="094E8F38" w14:textId="5294C95E" w:rsidR="00D14E5D" w:rsidRDefault="00D14E5D" w:rsidP="00D14E5D">
      <w:pPr>
        <w:pStyle w:val="NormalWeb"/>
        <w:ind w:left="567" w:hanging="567"/>
      </w:pPr>
      <w:r>
        <w:t>Jones, E., Waite-</w:t>
      </w:r>
      <w:proofErr w:type="spellStart"/>
      <w:r>
        <w:t>Stupiansky</w:t>
      </w:r>
      <w:proofErr w:type="spellEnd"/>
      <w:r>
        <w:t>, S. (2022) The Eriksons’ Psychosocial Developmental Theory. In Cohen, L. E., &amp; Waite-</w:t>
      </w:r>
      <w:proofErr w:type="spellStart"/>
      <w:r>
        <w:t>Stupiansky</w:t>
      </w:r>
      <w:proofErr w:type="spellEnd"/>
      <w:r>
        <w:t xml:space="preserve">, S. (Eds.). (2022). </w:t>
      </w:r>
      <w:r>
        <w:rPr>
          <w:i/>
          <w:iCs/>
        </w:rPr>
        <w:t>Theories of Early Childhood Education</w:t>
      </w:r>
      <w:r>
        <w:t xml:space="preserve">. https://doi.org/10.4324/9781003288077 </w:t>
      </w:r>
    </w:p>
    <w:p w14:paraId="274B4E0C" w14:textId="5BA2A2DB" w:rsidR="00D14E5D" w:rsidRDefault="00D14E5D" w:rsidP="00D14E5D">
      <w:pPr>
        <w:pStyle w:val="NormalWeb"/>
        <w:ind w:left="567" w:hanging="567"/>
      </w:pPr>
      <w:r>
        <w:t xml:space="preserve">Kim, I., An, H., Yun, S., &amp; Park, H. Y. (2024). Effectiveness of community-based interventions for older adults living alone: A systematic review and meta-analysis. </w:t>
      </w:r>
      <w:r>
        <w:rPr>
          <w:i/>
          <w:iCs/>
        </w:rPr>
        <w:t>Epidemiology and Health</w:t>
      </w:r>
      <w:r>
        <w:t xml:space="preserve">. https://doi.org/10.4178/epih.e2024013 </w:t>
      </w:r>
    </w:p>
    <w:p w14:paraId="0EFDEA12" w14:textId="77777777" w:rsidR="00D14E5D" w:rsidRDefault="00D14E5D" w:rsidP="00D14E5D">
      <w:pPr>
        <w:pStyle w:val="NormalWeb"/>
        <w:ind w:left="567" w:hanging="567"/>
      </w:pPr>
      <w:r>
        <w:t xml:space="preserve">Nelson, N. C. (1988). </w:t>
      </w:r>
      <w:r>
        <w:rPr>
          <w:i/>
          <w:iCs/>
        </w:rPr>
        <w:t>The meaningfulness of later life: Integrity versus despair</w:t>
      </w:r>
      <w:r>
        <w:t xml:space="preserve"> (thesis). </w:t>
      </w:r>
      <w:r>
        <w:rPr>
          <w:i/>
          <w:iCs/>
        </w:rPr>
        <w:t>The meaningfulness of later life: integrity versus despair</w:t>
      </w:r>
      <w:r>
        <w:t xml:space="preserve">. </w:t>
      </w:r>
    </w:p>
    <w:p w14:paraId="3E09617F" w14:textId="77777777" w:rsidR="00D14E5D" w:rsidRDefault="00D14E5D" w:rsidP="00D14E5D">
      <w:pPr>
        <w:pStyle w:val="NormalWeb"/>
        <w:ind w:left="567" w:hanging="567"/>
      </w:pPr>
      <w:r>
        <w:lastRenderedPageBreak/>
        <w:t xml:space="preserve">Pettigrew, S., &amp; Roberts, M. (2008). Addressing loneliness in later life. </w:t>
      </w:r>
      <w:r>
        <w:rPr>
          <w:i/>
          <w:iCs/>
        </w:rPr>
        <w:t>Aging &amp;amp; Mental Health</w:t>
      </w:r>
      <w:r>
        <w:t xml:space="preserve">, </w:t>
      </w:r>
      <w:r>
        <w:rPr>
          <w:i/>
          <w:iCs/>
        </w:rPr>
        <w:t>12</w:t>
      </w:r>
      <w:r>
        <w:t xml:space="preserve">(3), 302–309. https://doi.org/10.1080/13607860802121084 </w:t>
      </w:r>
    </w:p>
    <w:p w14:paraId="04BC936A" w14:textId="602501B9" w:rsidR="00D14E5D" w:rsidRDefault="00D14E5D" w:rsidP="00D14E5D">
      <w:pPr>
        <w:pStyle w:val="NormalWeb"/>
        <w:ind w:left="567" w:hanging="567"/>
      </w:pPr>
      <w:proofErr w:type="spellStart"/>
      <w:r w:rsidRPr="00D14E5D">
        <w:t>Solaimani</w:t>
      </w:r>
      <w:proofErr w:type="spellEnd"/>
      <w:r w:rsidRPr="00D14E5D">
        <w:t xml:space="preserve"> Khashab, A., </w:t>
      </w:r>
      <w:proofErr w:type="spellStart"/>
      <w:r w:rsidRPr="00D14E5D">
        <w:t>Ghamari</w:t>
      </w:r>
      <w:proofErr w:type="spellEnd"/>
      <w:r w:rsidRPr="00D14E5D">
        <w:t xml:space="preserve"> Kivi, H., &amp; Fathi, D. (2017). Effectiveness of Cognitive Behavioral Therapy on Spiritual Well-Being and Emotional Intelligence of the Elderly Mourners. Iranian journal of psychiatry, 12(2), 93–99.</w:t>
      </w:r>
    </w:p>
    <w:p w14:paraId="08EE1E61" w14:textId="1A67372E" w:rsidR="00D14E5D" w:rsidRDefault="00D14E5D" w:rsidP="00D14E5D">
      <w:pPr>
        <w:pStyle w:val="NormalWeb"/>
        <w:ind w:left="567" w:hanging="567"/>
      </w:pPr>
      <w:r>
        <w:t xml:space="preserve">Shaver, P., &amp; </w:t>
      </w:r>
      <w:proofErr w:type="spellStart"/>
      <w:r>
        <w:t>Mikulincer</w:t>
      </w:r>
      <w:proofErr w:type="spellEnd"/>
      <w:r>
        <w:t xml:space="preserve">, M. (2004). Attachment in the later years: A commentary. </w:t>
      </w:r>
      <w:r>
        <w:rPr>
          <w:i/>
          <w:iCs/>
        </w:rPr>
        <w:t>Attachment &amp;amp; Human Development</w:t>
      </w:r>
      <w:r>
        <w:t xml:space="preserve">, </w:t>
      </w:r>
      <w:r>
        <w:rPr>
          <w:i/>
          <w:iCs/>
        </w:rPr>
        <w:t>6</w:t>
      </w:r>
      <w:r>
        <w:t xml:space="preserve">(4), 451–464. https://doi.org/10.1080/1461673042000303082 </w:t>
      </w:r>
    </w:p>
    <w:p w14:paraId="32102F87" w14:textId="77777777" w:rsidR="00D14E5D" w:rsidRDefault="00D14E5D" w:rsidP="00D14E5D">
      <w:pPr>
        <w:pStyle w:val="NormalWeb"/>
        <w:ind w:left="567" w:hanging="567"/>
      </w:pPr>
      <w:r>
        <w:t xml:space="preserve">Slater, R. (2007). Attachment: Theoretical development and critique. </w:t>
      </w:r>
      <w:r>
        <w:rPr>
          <w:i/>
          <w:iCs/>
        </w:rPr>
        <w:t>Educational Psychology in Practice</w:t>
      </w:r>
      <w:r>
        <w:t xml:space="preserve">, </w:t>
      </w:r>
      <w:r>
        <w:rPr>
          <w:i/>
          <w:iCs/>
        </w:rPr>
        <w:t>23</w:t>
      </w:r>
      <w:r>
        <w:t xml:space="preserve">(3), 205–219. https://doi.org/10.1080/02667360701507285 </w:t>
      </w:r>
    </w:p>
    <w:p w14:paraId="31FC220A" w14:textId="73254428" w:rsidR="00D14E5D" w:rsidRDefault="00D14E5D" w:rsidP="00D14E5D">
      <w:pPr>
        <w:pStyle w:val="NormalWeb"/>
        <w:ind w:left="567" w:hanging="567"/>
      </w:pPr>
      <w:r>
        <w:t xml:space="preserve">Stern, Y. (2002). What is Cognitive Reserve? theory and research </w:t>
      </w:r>
      <w:r w:rsidR="00F1415B">
        <w:t>application of</w:t>
      </w:r>
      <w:r>
        <w:t xml:space="preserve"> the reserve concept. </w:t>
      </w:r>
      <w:r>
        <w:rPr>
          <w:i/>
          <w:iCs/>
        </w:rPr>
        <w:t>Journal of the International Neuropsychological Society</w:t>
      </w:r>
      <w:r>
        <w:t xml:space="preserve">, </w:t>
      </w:r>
      <w:r>
        <w:rPr>
          <w:i/>
          <w:iCs/>
        </w:rPr>
        <w:t>8</w:t>
      </w:r>
      <w:r>
        <w:t xml:space="preserve">(3), 448–460. https://doi.org/10.1017/s1355617702813248 </w:t>
      </w:r>
    </w:p>
    <w:p w14:paraId="7A16C034" w14:textId="6BDEF19C" w:rsidR="00F1415B" w:rsidRDefault="00F1415B" w:rsidP="00F1415B">
      <w:pPr>
        <w:pStyle w:val="NormalWeb"/>
        <w:ind w:left="567" w:hanging="567"/>
      </w:pPr>
      <w:r w:rsidRPr="00F1415B">
        <w:t xml:space="preserve">Trepete, S. (2006) Social Identity Theory. In </w:t>
      </w:r>
      <w:r>
        <w:t xml:space="preserve">Bryant, J. (Eds.). (2013). </w:t>
      </w:r>
      <w:r>
        <w:rPr>
          <w:i/>
          <w:iCs/>
        </w:rPr>
        <w:t>Psychology of Entertainment</w:t>
      </w:r>
      <w:r>
        <w:t xml:space="preserve">. https://doi.org/10.4324/9780203873694 </w:t>
      </w:r>
    </w:p>
    <w:p w14:paraId="49C2916D" w14:textId="29423DE6" w:rsidR="009775E3" w:rsidRDefault="009775E3" w:rsidP="00D14E5D">
      <w:pPr>
        <w:pStyle w:val="NormalWeb"/>
        <w:ind w:left="567" w:hanging="567"/>
      </w:pPr>
      <w:r w:rsidRPr="009775E3">
        <w:t xml:space="preserve">Tajfel, H., &amp; Turner, J. C. (1979). An integrative theory of intergroup conflict. In W. G. Austin &amp; S. </w:t>
      </w:r>
      <w:proofErr w:type="spellStart"/>
      <w:r w:rsidRPr="009775E3">
        <w:t>Worchel</w:t>
      </w:r>
      <w:proofErr w:type="spellEnd"/>
      <w:r w:rsidRPr="009775E3">
        <w:t xml:space="preserve"> (Eds.), The social psychology of intergroup relations (pp. 33–47). Brooks/Cole.</w:t>
      </w:r>
    </w:p>
    <w:p w14:paraId="30B2A4DD" w14:textId="524F5D7E" w:rsidR="00D14E5D" w:rsidRDefault="00D14E5D" w:rsidP="00D14E5D">
      <w:pPr>
        <w:pStyle w:val="NormalWeb"/>
        <w:ind w:left="567" w:hanging="567"/>
      </w:pPr>
      <w:r>
        <w:t xml:space="preserve">Walsh, K., Scharf, T., &amp; Keating, N. (2016). Social exclusion of older persons: A scoping review and conceptual framework. </w:t>
      </w:r>
      <w:r>
        <w:rPr>
          <w:i/>
          <w:iCs/>
        </w:rPr>
        <w:t>European Journal of Ageing</w:t>
      </w:r>
      <w:r>
        <w:t xml:space="preserve">, </w:t>
      </w:r>
      <w:r>
        <w:rPr>
          <w:i/>
          <w:iCs/>
        </w:rPr>
        <w:t>14</w:t>
      </w:r>
      <w:r>
        <w:t xml:space="preserve">(1), 81–98. https://doi.org/10.1007/s10433-016-0398-8 </w:t>
      </w:r>
    </w:p>
    <w:p w14:paraId="506B73D9" w14:textId="77777777" w:rsidR="00D14E5D" w:rsidRDefault="00D14E5D" w:rsidP="00D14E5D">
      <w:pPr>
        <w:pStyle w:val="NormalWeb"/>
        <w:ind w:left="567" w:hanging="567"/>
      </w:pPr>
      <w:r>
        <w:t xml:space="preserve">Wernher, I., &amp; Lipsky, M. S. (2015). Psychological theories of aging. </w:t>
      </w:r>
      <w:r>
        <w:rPr>
          <w:i/>
          <w:iCs/>
        </w:rPr>
        <w:t>Disease-a-Month</w:t>
      </w:r>
      <w:r>
        <w:t xml:space="preserve">, </w:t>
      </w:r>
      <w:r>
        <w:rPr>
          <w:i/>
          <w:iCs/>
        </w:rPr>
        <w:t>61</w:t>
      </w:r>
      <w:r>
        <w:t xml:space="preserve">(11), 480–488. https://doi.org/10.1016/j.disamonth.2015.09.004 </w:t>
      </w:r>
    </w:p>
    <w:p w14:paraId="3BA51D8C" w14:textId="77777777" w:rsidR="00D14E5D" w:rsidRDefault="00D14E5D"/>
    <w:sectPr w:rsidR="00D14E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517"/>
    <w:rsid w:val="002A0E2C"/>
    <w:rsid w:val="003927A4"/>
    <w:rsid w:val="0052249E"/>
    <w:rsid w:val="006A7528"/>
    <w:rsid w:val="0070613C"/>
    <w:rsid w:val="00831DD3"/>
    <w:rsid w:val="009775E3"/>
    <w:rsid w:val="00992A39"/>
    <w:rsid w:val="00BB1C3C"/>
    <w:rsid w:val="00C76626"/>
    <w:rsid w:val="00D14E5D"/>
    <w:rsid w:val="00DC4517"/>
    <w:rsid w:val="00F141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13EA"/>
  <w15:chartTrackingRefBased/>
  <w15:docId w15:val="{7FD35A64-6F9E-4A61-9B18-2BA5F2E4F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45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5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5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5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5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5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5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5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517"/>
    <w:rPr>
      <w:rFonts w:eastAsiaTheme="majorEastAsia" w:cstheme="majorBidi"/>
      <w:color w:val="272727" w:themeColor="text1" w:themeTint="D8"/>
    </w:rPr>
  </w:style>
  <w:style w:type="paragraph" w:styleId="Title">
    <w:name w:val="Title"/>
    <w:basedOn w:val="Normal"/>
    <w:next w:val="Normal"/>
    <w:link w:val="TitleChar"/>
    <w:uiPriority w:val="10"/>
    <w:qFormat/>
    <w:rsid w:val="00DC4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517"/>
    <w:pPr>
      <w:spacing w:before="160"/>
      <w:jc w:val="center"/>
    </w:pPr>
    <w:rPr>
      <w:i/>
      <w:iCs/>
      <w:color w:val="404040" w:themeColor="text1" w:themeTint="BF"/>
    </w:rPr>
  </w:style>
  <w:style w:type="character" w:customStyle="1" w:styleId="QuoteChar">
    <w:name w:val="Quote Char"/>
    <w:basedOn w:val="DefaultParagraphFont"/>
    <w:link w:val="Quote"/>
    <w:uiPriority w:val="29"/>
    <w:rsid w:val="00DC4517"/>
    <w:rPr>
      <w:i/>
      <w:iCs/>
      <w:color w:val="404040" w:themeColor="text1" w:themeTint="BF"/>
    </w:rPr>
  </w:style>
  <w:style w:type="paragraph" w:styleId="ListParagraph">
    <w:name w:val="List Paragraph"/>
    <w:basedOn w:val="Normal"/>
    <w:uiPriority w:val="34"/>
    <w:qFormat/>
    <w:rsid w:val="00DC4517"/>
    <w:pPr>
      <w:ind w:left="720"/>
      <w:contextualSpacing/>
    </w:pPr>
  </w:style>
  <w:style w:type="character" w:styleId="IntenseEmphasis">
    <w:name w:val="Intense Emphasis"/>
    <w:basedOn w:val="DefaultParagraphFont"/>
    <w:uiPriority w:val="21"/>
    <w:qFormat/>
    <w:rsid w:val="00DC4517"/>
    <w:rPr>
      <w:i/>
      <w:iCs/>
      <w:color w:val="0F4761" w:themeColor="accent1" w:themeShade="BF"/>
    </w:rPr>
  </w:style>
  <w:style w:type="paragraph" w:styleId="IntenseQuote">
    <w:name w:val="Intense Quote"/>
    <w:basedOn w:val="Normal"/>
    <w:next w:val="Normal"/>
    <w:link w:val="IntenseQuoteChar"/>
    <w:uiPriority w:val="30"/>
    <w:qFormat/>
    <w:rsid w:val="00DC4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517"/>
    <w:rPr>
      <w:i/>
      <w:iCs/>
      <w:color w:val="0F4761" w:themeColor="accent1" w:themeShade="BF"/>
    </w:rPr>
  </w:style>
  <w:style w:type="character" w:styleId="IntenseReference">
    <w:name w:val="Intense Reference"/>
    <w:basedOn w:val="DefaultParagraphFont"/>
    <w:uiPriority w:val="32"/>
    <w:qFormat/>
    <w:rsid w:val="00DC4517"/>
    <w:rPr>
      <w:b/>
      <w:bCs/>
      <w:smallCaps/>
      <w:color w:val="0F4761" w:themeColor="accent1" w:themeShade="BF"/>
      <w:spacing w:val="5"/>
    </w:rPr>
  </w:style>
  <w:style w:type="paragraph" w:styleId="NormalWeb">
    <w:name w:val="Normal (Web)"/>
    <w:basedOn w:val="Normal"/>
    <w:uiPriority w:val="99"/>
    <w:semiHidden/>
    <w:unhideWhenUsed/>
    <w:rsid w:val="00D14E5D"/>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50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11</Pages>
  <Words>3891</Words>
  <Characters>22183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MYURA KIIRTHANASAI A/P ARREE CHANDRAN</dc:creator>
  <cp:keywords/>
  <dc:description/>
  <cp:lastModifiedBy>MYURA KIIRTHANASAI A/P ARREE CHANDRAN</cp:lastModifiedBy>
  <cp:revision>11</cp:revision>
  <dcterms:created xsi:type="dcterms:W3CDTF">2024-04-16T17:33:00Z</dcterms:created>
  <dcterms:modified xsi:type="dcterms:W3CDTF">2024-04-16T19:40:00Z</dcterms:modified>
</cp:coreProperties>
</file>