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DD67C" w14:textId="77777777" w:rsidR="00B7598A" w:rsidRDefault="00B7598A" w:rsidP="00A46963">
      <w:pPr>
        <w:pStyle w:val="Heading1"/>
        <w:rPr>
          <w:rStyle w:val="Strong"/>
          <w:b/>
        </w:rPr>
      </w:pPr>
      <w:r w:rsidRPr="00B7598A">
        <w:rPr>
          <w:rStyle w:val="Strong"/>
          <w:b/>
        </w:rPr>
        <w:t>Academic Discip</w:t>
      </w:r>
      <w:r>
        <w:rPr>
          <w:rStyle w:val="Strong"/>
          <w:b/>
        </w:rPr>
        <w:t xml:space="preserve">line of Hospitality and Tourism </w:t>
      </w:r>
      <w:r w:rsidRPr="00B7598A">
        <w:rPr>
          <w:rStyle w:val="Strong"/>
          <w:b/>
        </w:rPr>
        <w:t>Management</w:t>
      </w:r>
    </w:p>
    <w:p w14:paraId="72CA35B0" w14:textId="77777777" w:rsidR="00B7598A" w:rsidRPr="00B7598A" w:rsidRDefault="00B7598A" w:rsidP="00B7598A">
      <w:pPr>
        <w:jc w:val="center"/>
        <w:rPr>
          <w:sz w:val="28"/>
        </w:rPr>
      </w:pPr>
    </w:p>
    <w:p w14:paraId="527A92FA" w14:textId="77777777" w:rsidR="00B7598A" w:rsidRPr="00B7598A" w:rsidRDefault="00B7598A" w:rsidP="00B7598A">
      <w:pPr>
        <w:jc w:val="center"/>
        <w:rPr>
          <w:sz w:val="28"/>
        </w:rPr>
      </w:pPr>
    </w:p>
    <w:p w14:paraId="43656C58" w14:textId="77777777" w:rsidR="00B7598A" w:rsidRPr="00B7598A" w:rsidRDefault="00B7598A" w:rsidP="00B7598A">
      <w:pPr>
        <w:jc w:val="center"/>
        <w:rPr>
          <w:sz w:val="28"/>
        </w:rPr>
      </w:pPr>
      <w:r w:rsidRPr="00B7598A">
        <w:rPr>
          <w:sz w:val="28"/>
        </w:rPr>
        <w:t>BA (Hons) International Hotel Management</w:t>
      </w:r>
    </w:p>
    <w:p w14:paraId="24FA388C" w14:textId="77777777" w:rsidR="00B7598A" w:rsidRPr="00B7598A" w:rsidRDefault="00B7598A" w:rsidP="00B7598A">
      <w:pPr>
        <w:jc w:val="center"/>
        <w:rPr>
          <w:sz w:val="28"/>
        </w:rPr>
      </w:pPr>
      <w:r w:rsidRPr="00B7598A">
        <w:rPr>
          <w:sz w:val="28"/>
        </w:rPr>
        <w:t>Module Handbook Spring Term 2025</w:t>
      </w:r>
    </w:p>
    <w:p w14:paraId="2E581EC3" w14:textId="77777777" w:rsidR="00B7598A" w:rsidRDefault="00B7598A" w:rsidP="00B7598A">
      <w:pPr>
        <w:jc w:val="center"/>
        <w:rPr>
          <w:sz w:val="28"/>
        </w:rPr>
      </w:pPr>
      <w:r w:rsidRPr="00B7598A">
        <w:rPr>
          <w:sz w:val="28"/>
        </w:rPr>
        <w:t>BMIH5006</w:t>
      </w:r>
    </w:p>
    <w:p w14:paraId="05A0F8C2" w14:textId="77777777" w:rsidR="00B7598A" w:rsidRPr="00B7598A" w:rsidRDefault="00B7598A" w:rsidP="00B7598A">
      <w:pPr>
        <w:jc w:val="center"/>
        <w:rPr>
          <w:sz w:val="28"/>
        </w:rPr>
      </w:pPr>
      <w:r w:rsidRPr="00B7598A">
        <w:rPr>
          <w:sz w:val="28"/>
        </w:rPr>
        <w:t>Lecturer</w:t>
      </w:r>
      <w:r>
        <w:rPr>
          <w:sz w:val="28"/>
        </w:rPr>
        <w:t xml:space="preserve">: Lisa Knight, Kathryn Roberts, </w:t>
      </w:r>
      <w:r w:rsidRPr="00B7598A">
        <w:rPr>
          <w:sz w:val="28"/>
        </w:rPr>
        <w:t>Christopher Wilkin</w:t>
      </w:r>
    </w:p>
    <w:p w14:paraId="0B73DCC2" w14:textId="77777777" w:rsidR="00B7598A" w:rsidRPr="00B7598A" w:rsidRDefault="00B7598A" w:rsidP="00B7598A">
      <w:pPr>
        <w:jc w:val="center"/>
        <w:rPr>
          <w:sz w:val="28"/>
        </w:rPr>
      </w:pPr>
      <w:r w:rsidRPr="00B7598A">
        <w:rPr>
          <w:sz w:val="28"/>
        </w:rPr>
        <w:t>Sustainable Hospitality &amp; Tourism Management</w:t>
      </w:r>
    </w:p>
    <w:p w14:paraId="76E8AD61" w14:textId="77777777" w:rsidR="00B7598A" w:rsidRPr="00B7598A" w:rsidRDefault="00B7598A" w:rsidP="00B7598A">
      <w:pPr>
        <w:jc w:val="center"/>
        <w:rPr>
          <w:sz w:val="28"/>
        </w:rPr>
      </w:pPr>
      <w:r w:rsidRPr="00B7598A">
        <w:rPr>
          <w:sz w:val="28"/>
        </w:rPr>
        <w:t>LEVEL 5</w:t>
      </w:r>
    </w:p>
    <w:p w14:paraId="57505733" w14:textId="77777777" w:rsidR="00B7598A" w:rsidRDefault="00B7598A" w:rsidP="00B7598A"/>
    <w:p w14:paraId="402E2E32" w14:textId="77777777" w:rsidR="00B7598A" w:rsidRDefault="00B7598A" w:rsidP="00B7598A"/>
    <w:p w14:paraId="46AF18DE" w14:textId="091C816F" w:rsidR="00B7598A" w:rsidRDefault="00B7598A" w:rsidP="00B7598A">
      <w:r>
        <w:t xml:space="preserve">Student </w:t>
      </w:r>
      <w:r w:rsidR="00A46963">
        <w:t xml:space="preserve">Name: Rekha Begum </w:t>
      </w:r>
    </w:p>
    <w:p w14:paraId="4659DB48" w14:textId="6F982E2C" w:rsidR="00B7598A" w:rsidRDefault="00B7598A" w:rsidP="00B7598A">
      <w:r>
        <w:t>Student ID:</w:t>
      </w:r>
      <w:r w:rsidR="00A46963">
        <w:t xml:space="preserve"> 2125644</w:t>
      </w:r>
    </w:p>
    <w:p w14:paraId="6F95B705" w14:textId="77777777" w:rsidR="002C5DF2" w:rsidRPr="00B7598A" w:rsidRDefault="002C5DF2" w:rsidP="00B7598A">
      <w:pPr>
        <w:sectPr w:rsidR="002C5DF2" w:rsidRPr="00B7598A">
          <w:pgSz w:w="12240" w:h="15840"/>
          <w:pgMar w:top="1440" w:right="1440" w:bottom="1440" w:left="1440" w:header="720" w:footer="720" w:gutter="0"/>
          <w:cols w:space="720"/>
          <w:docGrid w:linePitch="360"/>
        </w:sectPr>
      </w:pPr>
    </w:p>
    <w:p w14:paraId="5D9B2105" w14:textId="77777777" w:rsidR="005E1AB6" w:rsidRPr="005E1AB6" w:rsidRDefault="005E1AB6" w:rsidP="005E1AB6">
      <w:pPr>
        <w:pStyle w:val="Heading1"/>
        <w:rPr>
          <w:rStyle w:val="Strong"/>
          <w:b/>
        </w:rPr>
      </w:pPr>
      <w:r w:rsidRPr="005E1AB6">
        <w:rPr>
          <w:rStyle w:val="Strong"/>
          <w:b/>
        </w:rPr>
        <w:lastRenderedPageBreak/>
        <w:t>Bridging the Gap: Enhancing Sustainability in Marriott International through Food Waste Management</w:t>
      </w:r>
    </w:p>
    <w:p w14:paraId="234E9BC1" w14:textId="77777777" w:rsidR="00B7598A" w:rsidRDefault="00B7598A" w:rsidP="00302B7B">
      <w:r w:rsidRPr="00B7598A">
        <w:t>The hospitality business uses new sustainable methods to help the planet and save natural resources. The hospitality sector takes action by decreasing carbon emissions, using resources more efficiently, and handling waste more effectively. The new sustainable practices both support environmental protection and serve the needs of environmentally aware guests, according to Jones et al. 2016. When hospitality companies use ecologically friendly methods, they gain customer trust plus build a better future. Marriott International, a global leader in the hospitality sector, has demonstrated its commitment to sustainability through its "Serve 360: The organization supports environmental initiatives through "Doing Good in Every Direction.". Through smart lighting technology and innovative waste methods, Marriott sets out to reduce carbon emissions to zero by 2050. Despite its extensive buffet and banquet outlets, Marriott requires improved ways to manage the food waste it produces. Researchers agree that food waste is a severe environmental issue because it produces methane from landfills, harming our planet (Symonds, 2021). Our research outlines a complete program for Marriott to detect extra buffet food and redirect it to support needy people. Marriott can improve its sustainability plan and lower expenses while reducing environmental effects by following effective methods from other successful companies. The project helps protect Earth while making Marriott a more respected business.</w:t>
      </w:r>
    </w:p>
    <w:p w14:paraId="19B9F3E9" w14:textId="77777777" w:rsidR="00B7598A" w:rsidRDefault="00B7598A" w:rsidP="00B7598A">
      <w:r>
        <w:t xml:space="preserve">Hospitality businesses that use sustainable operations earn environmental advantages plus better long-term organizational success. Using less natural resources, including energy and water, is one of the most significant advantages for hotels that choose sustainable practices. Hotels that replace outdated lighting with energy-saving systems plus water-saving devices will use fewer resources and spend less money to operate daily. Hotels help maintain Earth's health through plastic waste reduction efforts and support worldwide sustainability targets, according to Aznar et al. 2016. Shifting to natural products and eliminating disposable plastic solutions allows hotels to fight pollution directly and match eco-friendly standards. Sustainable hotel practices create positive brand value for customers who keep returning to stay. Environmentally friendly </w:t>
      </w:r>
      <w:r>
        <w:lastRenderedPageBreak/>
        <w:t>hotels are now major selling points because more travellers care about staying green today. Marriott International lowered its carbon impact by connecting successfully with guests who care about environmentally sound businesses. Effective green initiatives boost customer satisfaction and simplify business expenses while protecting the environment, generating short-term and long-term financial gains. Solar power systems and waste-to-energy technology reduce reliance on traditional power sources, lower operating costs, and optimize resource usage, according to Wan et al. (2017).</w:t>
      </w:r>
    </w:p>
    <w:p w14:paraId="0DCEFF59" w14:textId="77777777" w:rsidR="00B7598A" w:rsidRDefault="00B7598A" w:rsidP="00B7598A">
      <w:r>
        <w:t xml:space="preserve">Despite bringing many advantages, implementing sustainability practices proves difficult for hotels. The costly start-up expenses needed to set up eco-friendly systems, including solar panels and energy-efficient equipment, block many hotels from adopting them. Small hotels run by independent owners find it hard to pay for necessary sustainability investments. How hotel chains with many properties will create the same eco-friendly operation rules without work stoppages remains difficult. The biggest obstacle involves making sustainability work throughout normal operational activities. Continuous staff training helps hotels maintain eco-friendly standards, while supervisors ensure workers maintain these practices for the hotel. Establishing sustainable workplace </w:t>
      </w:r>
      <w:proofErr w:type="spellStart"/>
      <w:r>
        <w:t>behaviours</w:t>
      </w:r>
      <w:proofErr w:type="spellEnd"/>
      <w:r>
        <w:t xml:space="preserve"> requires ongoing effort and support from workers until they naturally uphold these practices (Han et al., 2010). </w:t>
      </w:r>
      <w:r w:rsidRPr="00B7598A">
        <w:t xml:space="preserve">Running environmental programs together with profit targets presents complex choices. Guest experiences might suffer temporarily when we stop using single-use plastics or remove specific hotel features before sustainability gains start showing up in financial results. When hotels make changes to save energy and water, they must do so carefully to avoid damaging guests' comfort. Hotels must explain their sustainable projects sensibly to guests, showing how these actions advance global environmental objectives and boost the overall service. Guest opposition to sustainability efforts becomes challenging without proper customer education and openness about program goals (Zamzami et al. 2024). Good sustainability programs designed to tackle these challenges produce significant benefits for hotels. Eco-friendly practices aimed at specific hotel operations boost environmental success while making the workplace more productive and giving guests better experiences. Hotels that manage sustainability programs to serve planet protection, </w:t>
      </w:r>
      <w:r w:rsidRPr="00B7598A">
        <w:lastRenderedPageBreak/>
        <w:t>guest needs, and business health become leaders in eco-friendly travel, helping the industry transform.</w:t>
      </w:r>
    </w:p>
    <w:p w14:paraId="5926BAAB" w14:textId="77777777" w:rsidR="00E01BA0" w:rsidRDefault="00E01BA0" w:rsidP="00B7598A">
      <w:r>
        <w:t>The study uses Hilton Hotels &amp; Resorts for analysis because this global brand leads the hospitality sector with its sustainability efforts through the Travel with Purpose program. Through its Travel with Purpose program, Hilton aims to decrease environmental impact by 50% before 2030 by using less energy and water plus discarding less waste (</w:t>
      </w:r>
      <w:proofErr w:type="spellStart"/>
      <w:r>
        <w:t>Swarbrooke</w:t>
      </w:r>
      <w:proofErr w:type="spellEnd"/>
      <w:r>
        <w:t xml:space="preserve"> &amp; Horner, 2001). While Hilton leads in industry progress, they have ample space to enhance their waste management, especially through food waste diversion and composting. Hilton uses recycling programs and cuts plastic use, but its methods to reduce food waste stay basic, according to Leroy (2024). According to the United Nations Food and Agriculture Organization (FAO), food waste contributes to 8–10% of global greenhouse gas emissions, making it a critical area for hotels to address (The State of Food and Agriculture 2019: The global food waste reduction strategy issued by FAO in 2019 guided this analysis. Hilton does not use advanced composting or donation systems, so its basic landfill diversion procedures remain minimalist approaches to waste management.</w:t>
      </w:r>
    </w:p>
    <w:p w14:paraId="3DD41AF2" w14:textId="77777777" w:rsidR="00B7598A" w:rsidRDefault="00E01BA0" w:rsidP="00C52ED0">
      <w:r>
        <w:t>Our benchmarking approach shows that hotel waste management needs improvement. Accor Hotels creates fewer food waste problems by composting at their hotels and sending leftover food to local charities. Marriott International uses Winnow food waste tracking technology to maximize food production routines and decrease leftover amounts (Cichos, 2019). These waste-reducing methods help companies save money while attracting customers and working toward worldwide sustainable development. By sticking to traditional waste management processes, Hilton diminishes its ability to achieve its overall sustainability goals, according to research findings from Flanagan et al. in 2019. Food waste ending up at landfills produces methane due to a lack of available on-site composting and food donation systems. The hotel spends double the budget to buy and discard unused food since it becomes a substantial cost item. The hotel stands to make important environmental progress through its food waste initiatives, according to Crocker (2024). Hilton can lead the industry while satisfying guests and helping climate targets by following the best waste management standards.</w:t>
      </w:r>
    </w:p>
    <w:p w14:paraId="0D1A942D" w14:textId="77777777" w:rsidR="00E01BA0" w:rsidRPr="00E01BA0" w:rsidRDefault="00E01BA0" w:rsidP="00C52ED0">
      <w:r w:rsidRPr="00E01BA0">
        <w:lastRenderedPageBreak/>
        <w:t xml:space="preserve">To fix Hilton Hotels &amp; Resorts' waste management problems, we suggest launching a Comprehensive Food Waste Management System. This initiative combines three components: Our green plan includes digital food waste monitoring tools, composting facilities, and donation programs with local food banks. Our strategy works to decrease food waste at all processing points while making Hilton more profitable and protecting the planet. Our plan starts with adding AI-powered food tracking software Winnow, which uses machine learning to check kitchen work and spot wasted food. Hilton uses digital tools to study its kitchen waste patterns, which helps </w:t>
      </w:r>
      <w:r w:rsidR="00C52ED0" w:rsidRPr="00E01BA0">
        <w:t>it,</w:t>
      </w:r>
      <w:r w:rsidRPr="00E01BA0">
        <w:t xml:space="preserve"> reduce unnecessary product purchases and streamline food production</w:t>
      </w:r>
      <w:r w:rsidR="00C52ED0" w:rsidRPr="00C52ED0">
        <w:t xml:space="preserve"> (Levine et al., 2019)</w:t>
      </w:r>
      <w:r w:rsidRPr="00E01BA0">
        <w:t xml:space="preserve">. Hilton connects their </w:t>
      </w:r>
      <w:proofErr w:type="spellStart"/>
      <w:r w:rsidRPr="00E01BA0">
        <w:t>BioHiTech</w:t>
      </w:r>
      <w:proofErr w:type="spellEnd"/>
      <w:r w:rsidRPr="00E01BA0">
        <w:t xml:space="preserve"> Digesters at every site to create organic compost from leftover food through their on-site conversion process. This compost then serves agricultural needs for nearby farms and landscaping requirements at its hotels. Our foodbank collaboration lets us share surplus food items with local people who face food shortages. This business model has worked well at other hotels. Accor Hotels achieved 30% less food waste through AI technology across all their properties</w:t>
      </w:r>
      <w:r w:rsidR="00C52ED0" w:rsidRPr="00C52ED0">
        <w:t xml:space="preserve"> (Accor, 2024)</w:t>
      </w:r>
      <w:r w:rsidRPr="00E01BA0">
        <w:t>. Hyatt Hotels joins forces with Feeding America to rescue leftover food while installing composting systems to dispose of uneaten items properly.</w:t>
      </w:r>
    </w:p>
    <w:p w14:paraId="4FB34927" w14:textId="77777777" w:rsidR="00E01BA0" w:rsidRPr="00E01BA0" w:rsidRDefault="00E01BA0" w:rsidP="00C52ED0">
      <w:r w:rsidRPr="00E01BA0">
        <w:t>Although starting a food waste management program requires money first, the future savings in money plus protecting the environment make the investment valuable. Simply put, businesses should expect to spend $10,000–$15,000 upfront to install AI-based waste tracking systems from Winnow before paying a low annual fee for system upkeep. The expense of composting units changes according to their production levels and ranges from $5,000 to $20,000. Food bank partnerships bring no expense because food banks offer free food pickup services. The operational shift involves preparing chefs to work with AI while teaching staff members proper food waste separation, which demands an initial training window of one to two months</w:t>
      </w:r>
      <w:r w:rsidR="00C52ED0" w:rsidRPr="00C52ED0">
        <w:t xml:space="preserve"> (Sustainable Brands, 2021)</w:t>
      </w:r>
      <w:r w:rsidRPr="00E01BA0">
        <w:t xml:space="preserve">. Hotels have already made training part of their regular system, so these updates are simple to implement. Government waste reduction aids with financial support help cover a part of these expenses. US EPA Food Recovery Challenge rewards businesses working to decrease food waste. The plan will create noticeable savings in operational expenses over its lifetime. Hilton uses AI tracking to cut food waste, which decreases </w:t>
      </w:r>
      <w:r w:rsidRPr="00E01BA0">
        <w:lastRenderedPageBreak/>
        <w:t>purchasing expenses by 20%</w:t>
      </w:r>
      <w:r w:rsidR="00C52ED0" w:rsidRPr="00C52ED0">
        <w:t xml:space="preserve"> (Aronson, 2019)</w:t>
      </w:r>
      <w:r w:rsidRPr="00E01BA0">
        <w:t>. Including food waste in compost and donating unused food helps hotels save money on landfills and permits tax breaks.</w:t>
      </w:r>
    </w:p>
    <w:p w14:paraId="2C0A4FF6" w14:textId="77777777" w:rsidR="00E01BA0" w:rsidRPr="00E01BA0" w:rsidRDefault="00E01BA0" w:rsidP="00C52ED0">
      <w:r w:rsidRPr="00E01BA0">
        <w:t>Our proposal supports the complete triangle of sustainability goals. The program helps control methane pollution at landfills and pushes for sustainable resource circles by converting food waste into high-quality soil materials. The proposal helps hotels cut kitchen and waste expenses and keeps operations smooth while building better business relationships through environmental commitments</w:t>
      </w:r>
      <w:r w:rsidR="00C52ED0" w:rsidRPr="00C52ED0">
        <w:t xml:space="preserve"> (Ritchie, 2020)</w:t>
      </w:r>
      <w:r w:rsidRPr="00E01BA0">
        <w:t>. The program helps local areas fight hunger while educating everyone about sustainability and building a workplace culture that delivers social responsibility through fresh thinking. This new approach helps Hilton claim its position as an eco-friendly leader in its hotel industry</w:t>
      </w:r>
      <w:r w:rsidR="00C52ED0" w:rsidRPr="00C52ED0">
        <w:t xml:space="preserve"> (Levine et al., 2019)</w:t>
      </w:r>
      <w:r w:rsidRPr="00E01BA0">
        <w:t>. According to research, hotels focusing on environmental practices achieve better customer ratings while building a foundation for ongoing success.</w:t>
      </w:r>
    </w:p>
    <w:p w14:paraId="22AA4E56" w14:textId="77777777" w:rsidR="00C52ED0" w:rsidRDefault="00E01BA0" w:rsidP="00C52ED0">
      <w:r w:rsidRPr="00E01BA0">
        <w:t>Food waste management systems deliver many advantages but face difficulties during full implementation. Customers may oppose changes, including smaller portion sizes or different buffet arrangements when they happen. Hilton needs a public education campaign to show everyone how well their program supports the environment and strengthens their local community. Combining new AI tools and composting technology needs time to fit smoothly into current business processes. Hilton can first start this program in selected properties to test it and get staff opinions before expanding it across all properties</w:t>
      </w:r>
      <w:r w:rsidR="00C52ED0" w:rsidRPr="00C52ED0">
        <w:t xml:space="preserve"> (Symonds, 2021)</w:t>
      </w:r>
      <w:r w:rsidRPr="00E01BA0">
        <w:t>. Staff training and employee support prove difficult because adopting new work processes requires substantial time. The company will add training to existing workers' development plans and motivate people to join through staff awards. The need to handle initial expenses represents a final challenge for our business model. Hilton can reduce these risks through funding support from government agencies, partnering with corporations, and promoting its program to hotel clients. Hilton can gain more eco-friendly companies while advancing its sustainability market position through program features that support ESG targets</w:t>
      </w:r>
      <w:r w:rsidR="00C52ED0" w:rsidRPr="00C52ED0">
        <w:t xml:space="preserve"> (Wan et al., 2017)</w:t>
      </w:r>
      <w:r w:rsidRPr="00E01BA0">
        <w:t xml:space="preserve">. Hilton Hotels &amp; Resorts can improve its sustainability timeline by implementing a thorough food waste program and creating multiple advantages for future eco-social </w:t>
      </w:r>
      <w:r w:rsidRPr="00E01BA0">
        <w:lastRenderedPageBreak/>
        <w:t>and economic results. By starting this program, Hilton demonstrates its support for sustainability as the business gains unrivalled market leadership in eco-friendly hotel management.</w:t>
      </w:r>
    </w:p>
    <w:p w14:paraId="7A8BF508" w14:textId="77777777" w:rsidR="00243FB6" w:rsidRPr="00243FB6" w:rsidRDefault="00C52ED0" w:rsidP="00B7598A">
      <w:r w:rsidRPr="00C52ED0">
        <w:t>The hospitality industry needs sustainability to help businesses cut environmental impact and serve environmentally aware guests. Under its "Travel with Purpose" program, Hilton Hotels &amp; Resorts successfully reduces environmental impact by saving energy and water and lowering waste. However, the problem of untreated food waste stands between the company and achieving its overall sustainability targets. Our research demonstrates how Hilton can develop and implement an entire food waste tracking and donation process. An initiative built on the practices of Accor and Marriott could handle food waste problems while creating cost savings for society. Hilton could boost its sustainable practices and operating performance by better using food supplies and helping communities get unsold foods. This program focuses on simultaneously benefiting environmental, economic, and social sustainability. This strategy lowers greenhouse gas pollution and saves money on food purchasing and disposal while improving the quality of life for community residents. Despite spending on initial setup and customer concerns, our organization can test new solutions first and properly teach staff how to handle guests better. Food waste management improvements will boost Hilton's global sustainability leadership and drive industry change.</w:t>
      </w:r>
    </w:p>
    <w:p w14:paraId="66443229" w14:textId="77777777" w:rsidR="00B7598A" w:rsidRDefault="00B7598A">
      <w:pPr>
        <w:spacing w:line="276" w:lineRule="auto"/>
        <w:jc w:val="left"/>
      </w:pPr>
      <w:r>
        <w:br w:type="page"/>
      </w:r>
    </w:p>
    <w:p w14:paraId="61452B48" w14:textId="77777777" w:rsidR="00B3000A" w:rsidRDefault="00B7598A" w:rsidP="00B7598A">
      <w:pPr>
        <w:pStyle w:val="Heading1"/>
      </w:pPr>
      <w:r>
        <w:lastRenderedPageBreak/>
        <w:t>References</w:t>
      </w:r>
    </w:p>
    <w:p w14:paraId="359A4193"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Accor (2024) </w:t>
      </w:r>
      <w:r w:rsidRPr="00B7598A">
        <w:rPr>
          <w:rFonts w:eastAsia="Times New Roman" w:cs="Arial"/>
          <w:i/>
          <w:iCs/>
          <w:szCs w:val="24"/>
        </w:rPr>
        <w:t>Fostering a sustainable food model: Local Initiatives Combating Food Waste with global impact</w:t>
      </w:r>
      <w:r w:rsidRPr="00B7598A">
        <w:rPr>
          <w:rFonts w:eastAsia="Times New Roman" w:cs="Arial"/>
          <w:szCs w:val="24"/>
        </w:rPr>
        <w:t xml:space="preserve">, </w:t>
      </w:r>
      <w:r w:rsidRPr="00B7598A">
        <w:rPr>
          <w:rFonts w:eastAsia="Times New Roman" w:cs="Arial"/>
          <w:i/>
          <w:iCs/>
          <w:szCs w:val="24"/>
        </w:rPr>
        <w:t>Hospitality Net</w:t>
      </w:r>
      <w:r w:rsidRPr="00B7598A">
        <w:rPr>
          <w:rFonts w:eastAsia="Times New Roman" w:cs="Arial"/>
          <w:szCs w:val="24"/>
        </w:rPr>
        <w:t xml:space="preserve">. Available at: https://www.hospitalitynet.org/news/4121091.html (Accessed: 23 January 2025). </w:t>
      </w:r>
    </w:p>
    <w:p w14:paraId="79D264C3"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Aronson, M. (2019) </w:t>
      </w:r>
      <w:r w:rsidRPr="00B7598A">
        <w:rPr>
          <w:rFonts w:eastAsia="Times New Roman" w:cs="Arial"/>
          <w:i/>
          <w:iCs/>
          <w:szCs w:val="24"/>
        </w:rPr>
        <w:t>Hyatt reaches industry-leading Global Seafood Sustainability Target</w:t>
      </w:r>
      <w:r w:rsidRPr="00B7598A">
        <w:rPr>
          <w:rFonts w:eastAsia="Times New Roman" w:cs="Arial"/>
          <w:szCs w:val="24"/>
        </w:rPr>
        <w:t xml:space="preserve">, </w:t>
      </w:r>
      <w:r w:rsidRPr="00B7598A">
        <w:rPr>
          <w:rFonts w:eastAsia="Times New Roman" w:cs="Arial"/>
          <w:i/>
          <w:iCs/>
          <w:szCs w:val="24"/>
        </w:rPr>
        <w:t>WWF Seafood Sustainability</w:t>
      </w:r>
      <w:r w:rsidRPr="00B7598A">
        <w:rPr>
          <w:rFonts w:eastAsia="Times New Roman" w:cs="Arial"/>
          <w:szCs w:val="24"/>
        </w:rPr>
        <w:t xml:space="preserve">. Available at: https://seafoodsustainability.org/hyatt-reaches-industry-leading-global-seafood-sustainability-target/ (Accessed: 23 January 2025). </w:t>
      </w:r>
    </w:p>
    <w:p w14:paraId="17708E2B"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Aznar, J. </w:t>
      </w:r>
      <w:r w:rsidRPr="00B7598A">
        <w:rPr>
          <w:rFonts w:eastAsia="Times New Roman" w:cs="Arial"/>
          <w:i/>
          <w:iCs/>
          <w:szCs w:val="24"/>
        </w:rPr>
        <w:t>et al.</w:t>
      </w:r>
      <w:r w:rsidRPr="00B7598A">
        <w:rPr>
          <w:rFonts w:eastAsia="Times New Roman" w:cs="Arial"/>
          <w:szCs w:val="24"/>
        </w:rPr>
        <w:t xml:space="preserve"> (2016) ‘Sustainability Commitment, new competitors’ presence, and Hotel Performance: The Hotel Industry in Barcelona’, </w:t>
      </w:r>
      <w:r w:rsidRPr="00B7598A">
        <w:rPr>
          <w:rFonts w:eastAsia="Times New Roman" w:cs="Arial"/>
          <w:i/>
          <w:iCs/>
          <w:szCs w:val="24"/>
        </w:rPr>
        <w:t>Sustainability</w:t>
      </w:r>
      <w:r w:rsidRPr="00B7598A">
        <w:rPr>
          <w:rFonts w:eastAsia="Times New Roman" w:cs="Arial"/>
          <w:szCs w:val="24"/>
        </w:rPr>
        <w:t xml:space="preserve">, 8(8), p. 755. doi:10.3390/su8080755. </w:t>
      </w:r>
    </w:p>
    <w:p w14:paraId="540ACEE1"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Cichos, K. (2019) ‘Sustainability Commitments, institutional level’, </w:t>
      </w:r>
      <w:r w:rsidRPr="00B7598A">
        <w:rPr>
          <w:rFonts w:eastAsia="Times New Roman" w:cs="Arial"/>
          <w:i/>
          <w:iCs/>
          <w:szCs w:val="24"/>
        </w:rPr>
        <w:t>Encyclopedia of Sustainability in Higher Education</w:t>
      </w:r>
      <w:r w:rsidRPr="00B7598A">
        <w:rPr>
          <w:rFonts w:eastAsia="Times New Roman" w:cs="Arial"/>
          <w:szCs w:val="24"/>
        </w:rPr>
        <w:t xml:space="preserve">, pp. 1626–1636. doi:10.1007/978-3-030-11352-0_486. </w:t>
      </w:r>
    </w:p>
    <w:p w14:paraId="3DAF5D9D"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Crocker, R. (2024) ‘A comprehensive review of food waste management strategies in the Food Service Industry’, </w:t>
      </w:r>
      <w:r w:rsidRPr="00B7598A">
        <w:rPr>
          <w:rFonts w:eastAsia="Times New Roman" w:cs="Arial"/>
          <w:i/>
          <w:iCs/>
          <w:szCs w:val="24"/>
        </w:rPr>
        <w:t>Advances in Hospitality, Tourism, and the Services Industry</w:t>
      </w:r>
      <w:r w:rsidRPr="00B7598A">
        <w:rPr>
          <w:rFonts w:eastAsia="Times New Roman" w:cs="Arial"/>
          <w:szCs w:val="24"/>
        </w:rPr>
        <w:t xml:space="preserve">, pp. 415–444. doi:10.4018/979-8-3693-6110-8.ch016. </w:t>
      </w:r>
    </w:p>
    <w:p w14:paraId="0BA71BA4"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Flanagan, K., Robertson, K. and Hanson, C. (2019) ‘Reducing food loss and waste: Setting a global action agenda’, </w:t>
      </w:r>
      <w:r w:rsidRPr="00B7598A">
        <w:rPr>
          <w:rFonts w:eastAsia="Times New Roman" w:cs="Arial"/>
          <w:i/>
          <w:iCs/>
          <w:szCs w:val="24"/>
        </w:rPr>
        <w:t>World Resources Institute</w:t>
      </w:r>
      <w:r w:rsidRPr="00B7598A">
        <w:rPr>
          <w:rFonts w:eastAsia="Times New Roman" w:cs="Arial"/>
          <w:szCs w:val="24"/>
        </w:rPr>
        <w:t xml:space="preserve"> [Preprint]. doi:10.46830/wrirpt.18.00130. </w:t>
      </w:r>
    </w:p>
    <w:p w14:paraId="24DC209F"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Han, H., Hsu, L.-T. (Jane) and Sheu, C. (2010) ‘Application of the theory of planned behavior to Green Hotel choice: Testing the effect of environmental friendly activities’, </w:t>
      </w:r>
      <w:r w:rsidRPr="00B7598A">
        <w:rPr>
          <w:rFonts w:eastAsia="Times New Roman" w:cs="Arial"/>
          <w:i/>
          <w:iCs/>
          <w:szCs w:val="24"/>
        </w:rPr>
        <w:t>Tourism Management</w:t>
      </w:r>
      <w:r w:rsidRPr="00B7598A">
        <w:rPr>
          <w:rFonts w:eastAsia="Times New Roman" w:cs="Arial"/>
          <w:szCs w:val="24"/>
        </w:rPr>
        <w:t xml:space="preserve">, 31(3), pp. 325–334. doi:10.1016/j.tourman.2009.03.013. </w:t>
      </w:r>
    </w:p>
    <w:p w14:paraId="2BDC3686"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lastRenderedPageBreak/>
        <w:t xml:space="preserve">Jones, P., Hillier, D. and Comfort, D. (2016) ‘Sustainability in the hospitality industry’, </w:t>
      </w:r>
      <w:r w:rsidRPr="00B7598A">
        <w:rPr>
          <w:rFonts w:eastAsia="Times New Roman" w:cs="Arial"/>
          <w:i/>
          <w:iCs/>
          <w:szCs w:val="24"/>
        </w:rPr>
        <w:t>International Journal of Contemporary Hospitality Management</w:t>
      </w:r>
      <w:r w:rsidRPr="00B7598A">
        <w:rPr>
          <w:rFonts w:eastAsia="Times New Roman" w:cs="Arial"/>
          <w:szCs w:val="24"/>
        </w:rPr>
        <w:t xml:space="preserve">, 28(1), pp. 36–67. doi:10.1108/ijchm-11-2014-0572. </w:t>
      </w:r>
    </w:p>
    <w:p w14:paraId="3A248673"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Leroy, S. (2024) </w:t>
      </w:r>
      <w:r w:rsidRPr="00B7598A">
        <w:rPr>
          <w:rFonts w:eastAsia="Times New Roman" w:cs="Arial"/>
          <w:i/>
          <w:iCs/>
          <w:szCs w:val="24"/>
        </w:rPr>
        <w:t>Marriott International Highlights ESG progress in annual Serve 360 report</w:t>
      </w:r>
      <w:r w:rsidRPr="00B7598A">
        <w:rPr>
          <w:rFonts w:eastAsia="Times New Roman" w:cs="Arial"/>
          <w:szCs w:val="24"/>
        </w:rPr>
        <w:t xml:space="preserve">, </w:t>
      </w:r>
      <w:r w:rsidRPr="00B7598A">
        <w:rPr>
          <w:rFonts w:eastAsia="Times New Roman" w:cs="Arial"/>
          <w:i/>
          <w:iCs/>
          <w:szCs w:val="24"/>
        </w:rPr>
        <w:t>Marriott International highlights ESG progress in annual Serve 360 Report - Sustainability - Luxury hospitality news</w:t>
      </w:r>
      <w:r w:rsidRPr="00B7598A">
        <w:rPr>
          <w:rFonts w:eastAsia="Times New Roman" w:cs="Arial"/>
          <w:szCs w:val="24"/>
        </w:rPr>
        <w:t xml:space="preserve">. Available at: https://www.journaldespalaces.com/en/pressrelease-71151-marriott-international-highlights-esg-progress-in-annual-serve-360-report.html (Accessed: 23 January 2025). </w:t>
      </w:r>
    </w:p>
    <w:p w14:paraId="2646C677"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Levine, Z. </w:t>
      </w:r>
      <w:r w:rsidRPr="00B7598A">
        <w:rPr>
          <w:rFonts w:eastAsia="Times New Roman" w:cs="Arial"/>
          <w:i/>
          <w:iCs/>
          <w:szCs w:val="24"/>
        </w:rPr>
        <w:t>et al.</w:t>
      </w:r>
      <w:r w:rsidRPr="00B7598A">
        <w:rPr>
          <w:rFonts w:eastAsia="Times New Roman" w:cs="Arial"/>
          <w:szCs w:val="24"/>
        </w:rPr>
        <w:t xml:space="preserve"> (2019) </w:t>
      </w:r>
      <w:r w:rsidRPr="00B7598A">
        <w:rPr>
          <w:rFonts w:eastAsia="Times New Roman" w:cs="Arial"/>
          <w:i/>
          <w:iCs/>
          <w:szCs w:val="24"/>
        </w:rPr>
        <w:t>Winnow vision AI cuts costs and cleans up waste in commercial kitchens</w:t>
      </w:r>
      <w:r w:rsidRPr="00B7598A">
        <w:rPr>
          <w:rFonts w:eastAsia="Times New Roman" w:cs="Arial"/>
          <w:szCs w:val="24"/>
        </w:rPr>
        <w:t xml:space="preserve">, </w:t>
      </w:r>
      <w:r w:rsidRPr="00B7598A">
        <w:rPr>
          <w:rFonts w:eastAsia="Times New Roman" w:cs="Arial"/>
          <w:i/>
          <w:iCs/>
          <w:szCs w:val="24"/>
        </w:rPr>
        <w:t>Food Tank</w:t>
      </w:r>
      <w:r w:rsidRPr="00B7598A">
        <w:rPr>
          <w:rFonts w:eastAsia="Times New Roman" w:cs="Arial"/>
          <w:szCs w:val="24"/>
        </w:rPr>
        <w:t xml:space="preserve">. Available at: https://foodtank.com/news/2019/03/winnow-vision-ai-cuts-costs-and-cleans-up-waste-in-commercial-kitchens/ (Accessed: 23 January 2025). </w:t>
      </w:r>
    </w:p>
    <w:p w14:paraId="04389129"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Mensah, I. (2006) ‘Environmental management practices among hotels in the Greater Accra Region’, </w:t>
      </w:r>
      <w:r w:rsidRPr="00B7598A">
        <w:rPr>
          <w:rFonts w:eastAsia="Times New Roman" w:cs="Arial"/>
          <w:i/>
          <w:iCs/>
          <w:szCs w:val="24"/>
        </w:rPr>
        <w:t>International Journal of Hospitality Management</w:t>
      </w:r>
      <w:r w:rsidRPr="00B7598A">
        <w:rPr>
          <w:rFonts w:eastAsia="Times New Roman" w:cs="Arial"/>
          <w:szCs w:val="24"/>
        </w:rPr>
        <w:t xml:space="preserve">, 25(3), pp. 414–431. doi:10.1016/j.ijhm.2005.02.003. </w:t>
      </w:r>
    </w:p>
    <w:p w14:paraId="092581C7"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Ritchie, H. (2020) </w:t>
      </w:r>
      <w:r w:rsidRPr="00B7598A">
        <w:rPr>
          <w:rFonts w:eastAsia="Times New Roman" w:cs="Arial"/>
          <w:i/>
          <w:iCs/>
          <w:szCs w:val="24"/>
        </w:rPr>
        <w:t>Food waste is responsible for 6% of global greenhouse gas emissions</w:t>
      </w:r>
      <w:r w:rsidRPr="00B7598A">
        <w:rPr>
          <w:rFonts w:eastAsia="Times New Roman" w:cs="Arial"/>
          <w:szCs w:val="24"/>
        </w:rPr>
        <w:t xml:space="preserve">, </w:t>
      </w:r>
      <w:r w:rsidRPr="00B7598A">
        <w:rPr>
          <w:rFonts w:eastAsia="Times New Roman" w:cs="Arial"/>
          <w:i/>
          <w:iCs/>
          <w:szCs w:val="24"/>
        </w:rPr>
        <w:t>Our World in Data</w:t>
      </w:r>
      <w:r w:rsidRPr="00B7598A">
        <w:rPr>
          <w:rFonts w:eastAsia="Times New Roman" w:cs="Arial"/>
          <w:szCs w:val="24"/>
        </w:rPr>
        <w:t xml:space="preserve">. Available at: https://ourworldindata.org/food-waste-emissions (Accessed: 23 January 2025). </w:t>
      </w:r>
    </w:p>
    <w:p w14:paraId="7EF06563"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i/>
          <w:iCs/>
          <w:szCs w:val="24"/>
        </w:rPr>
        <w:t>The state of Food and Agriculture 2019: Moving forward on food loss and waste reduction - world</w:t>
      </w:r>
      <w:r w:rsidRPr="00B7598A">
        <w:rPr>
          <w:rFonts w:eastAsia="Times New Roman" w:cs="Arial"/>
          <w:szCs w:val="24"/>
        </w:rPr>
        <w:t xml:space="preserve"> (2019) </w:t>
      </w:r>
      <w:proofErr w:type="spellStart"/>
      <w:r w:rsidRPr="00B7598A">
        <w:rPr>
          <w:rFonts w:eastAsia="Times New Roman" w:cs="Arial"/>
          <w:i/>
          <w:iCs/>
          <w:szCs w:val="24"/>
        </w:rPr>
        <w:t>ReliefWeb</w:t>
      </w:r>
      <w:proofErr w:type="spellEnd"/>
      <w:r w:rsidRPr="00B7598A">
        <w:rPr>
          <w:rFonts w:eastAsia="Times New Roman" w:cs="Arial"/>
          <w:szCs w:val="24"/>
        </w:rPr>
        <w:t xml:space="preserve">. Available at: https://reliefweb.int/report/world/state-food-and-agriculture-2019-moving-forward-food-loss-and-waste-reduction (Accessed: 23 January 2025). </w:t>
      </w:r>
    </w:p>
    <w:p w14:paraId="676E8CB6"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Sustainable Brands (2021) </w:t>
      </w:r>
      <w:r w:rsidRPr="00B7598A">
        <w:rPr>
          <w:rFonts w:eastAsia="Times New Roman" w:cs="Arial"/>
          <w:i/>
          <w:iCs/>
          <w:szCs w:val="24"/>
        </w:rPr>
        <w:t>Trending: New tools, rules, Partnerships Take Food Waste, hunger head on</w:t>
      </w:r>
      <w:r w:rsidRPr="00B7598A">
        <w:rPr>
          <w:rFonts w:eastAsia="Times New Roman" w:cs="Arial"/>
          <w:szCs w:val="24"/>
        </w:rPr>
        <w:t xml:space="preserve">, </w:t>
      </w:r>
      <w:r w:rsidRPr="00B7598A">
        <w:rPr>
          <w:rFonts w:eastAsia="Times New Roman" w:cs="Arial"/>
          <w:i/>
          <w:iCs/>
          <w:szCs w:val="24"/>
        </w:rPr>
        <w:t>Sustainable Brands</w:t>
      </w:r>
      <w:r w:rsidRPr="00B7598A">
        <w:rPr>
          <w:rFonts w:eastAsia="Times New Roman" w:cs="Arial"/>
          <w:szCs w:val="24"/>
        </w:rPr>
        <w:t xml:space="preserve">. Available at: https://sustainablebrands.com/read/circular-economy/trending-new-tools-rules-partnerships-take-food-waste-hunger-head-on (Accessed: 23 January 2025). </w:t>
      </w:r>
    </w:p>
    <w:p w14:paraId="171904CD" w14:textId="77777777" w:rsidR="00B7598A" w:rsidRPr="00B7598A" w:rsidRDefault="00B7598A" w:rsidP="00B7598A">
      <w:pPr>
        <w:spacing w:before="100" w:beforeAutospacing="1" w:after="100" w:afterAutospacing="1"/>
        <w:ind w:left="567" w:hanging="567"/>
        <w:rPr>
          <w:rFonts w:eastAsia="Times New Roman" w:cs="Arial"/>
          <w:szCs w:val="24"/>
        </w:rPr>
      </w:pPr>
      <w:proofErr w:type="spellStart"/>
      <w:r w:rsidRPr="00B7598A">
        <w:rPr>
          <w:rFonts w:eastAsia="Times New Roman" w:cs="Arial"/>
          <w:szCs w:val="24"/>
        </w:rPr>
        <w:lastRenderedPageBreak/>
        <w:t>Swarbrooke</w:t>
      </w:r>
      <w:proofErr w:type="spellEnd"/>
      <w:r w:rsidRPr="00B7598A">
        <w:rPr>
          <w:rFonts w:eastAsia="Times New Roman" w:cs="Arial"/>
          <w:szCs w:val="24"/>
        </w:rPr>
        <w:t xml:space="preserve">, J. and Horner, S. (2001) ‘Hilton – Services for the business traveller’, </w:t>
      </w:r>
      <w:r w:rsidRPr="00B7598A">
        <w:rPr>
          <w:rFonts w:eastAsia="Times New Roman" w:cs="Arial"/>
          <w:i/>
          <w:iCs/>
          <w:szCs w:val="24"/>
        </w:rPr>
        <w:t>Business Travel and Tourism</w:t>
      </w:r>
      <w:r w:rsidRPr="00B7598A">
        <w:rPr>
          <w:rFonts w:eastAsia="Times New Roman" w:cs="Arial"/>
          <w:szCs w:val="24"/>
        </w:rPr>
        <w:t xml:space="preserve">, pp. 249–255. doi:10.1016/b978-0-7506-4392-4.50025-2. </w:t>
      </w:r>
    </w:p>
    <w:p w14:paraId="35D9E86B"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Symonds, M. (2021) ‘Faculty opinions recommendation of Food Waste Index Report 2021.’, </w:t>
      </w:r>
      <w:r w:rsidRPr="00B7598A">
        <w:rPr>
          <w:rFonts w:eastAsia="Times New Roman" w:cs="Arial"/>
          <w:i/>
          <w:iCs/>
          <w:szCs w:val="24"/>
        </w:rPr>
        <w:t>Faculty Opinions – Post-Publication Peer Review of the Biomedical Literature</w:t>
      </w:r>
      <w:r w:rsidRPr="00B7598A">
        <w:rPr>
          <w:rFonts w:eastAsia="Times New Roman" w:cs="Arial"/>
          <w:szCs w:val="24"/>
        </w:rPr>
        <w:t xml:space="preserve"> [Preprint]. doi:10.3410/f.739716609.793583719. </w:t>
      </w:r>
    </w:p>
    <w:p w14:paraId="03B61057"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Wan, Y.K., Chan, S.H. and Huang, H.L. (2017) ‘Environmental awareness, initiatives and performance in the hotel industry of Macau’, </w:t>
      </w:r>
      <w:r w:rsidRPr="00B7598A">
        <w:rPr>
          <w:rFonts w:eastAsia="Times New Roman" w:cs="Arial"/>
          <w:i/>
          <w:iCs/>
          <w:szCs w:val="24"/>
        </w:rPr>
        <w:t>Tourism Review</w:t>
      </w:r>
      <w:r w:rsidRPr="00B7598A">
        <w:rPr>
          <w:rFonts w:eastAsia="Times New Roman" w:cs="Arial"/>
          <w:szCs w:val="24"/>
        </w:rPr>
        <w:t xml:space="preserve">, 72(1), pp. 87–103. doi:10.1108/tr-06-2016-0016. </w:t>
      </w:r>
    </w:p>
    <w:p w14:paraId="7A9D874F" w14:textId="77777777" w:rsidR="00B7598A" w:rsidRPr="00B7598A" w:rsidRDefault="00B7598A" w:rsidP="00B7598A">
      <w:pPr>
        <w:spacing w:before="100" w:beforeAutospacing="1" w:after="100" w:afterAutospacing="1"/>
        <w:ind w:left="567" w:hanging="567"/>
        <w:rPr>
          <w:rFonts w:eastAsia="Times New Roman" w:cs="Arial"/>
          <w:szCs w:val="24"/>
        </w:rPr>
      </w:pPr>
      <w:r w:rsidRPr="00B7598A">
        <w:rPr>
          <w:rFonts w:eastAsia="Times New Roman" w:cs="Arial"/>
          <w:szCs w:val="24"/>
        </w:rPr>
        <w:t xml:space="preserve">Zamzami, A., Rahman, H. and </w:t>
      </w:r>
      <w:proofErr w:type="spellStart"/>
      <w:r w:rsidRPr="00B7598A">
        <w:rPr>
          <w:rFonts w:eastAsia="Times New Roman" w:cs="Arial"/>
          <w:szCs w:val="24"/>
        </w:rPr>
        <w:t>Pujani</w:t>
      </w:r>
      <w:proofErr w:type="spellEnd"/>
      <w:r w:rsidRPr="00B7598A">
        <w:rPr>
          <w:rFonts w:eastAsia="Times New Roman" w:cs="Arial"/>
          <w:szCs w:val="24"/>
        </w:rPr>
        <w:t xml:space="preserve">, V. (2024) ‘The influence of environmental orientation and green human resource management on green competitive advantage mediated by green innovation case study in the hotel industry in Padang City’, </w:t>
      </w:r>
      <w:r w:rsidRPr="00B7598A">
        <w:rPr>
          <w:rFonts w:eastAsia="Times New Roman" w:cs="Arial"/>
          <w:i/>
          <w:iCs/>
          <w:szCs w:val="24"/>
        </w:rPr>
        <w:t>Journal of Economics, Finance And Management Studies</w:t>
      </w:r>
      <w:r w:rsidRPr="00B7598A">
        <w:rPr>
          <w:rFonts w:eastAsia="Times New Roman" w:cs="Arial"/>
          <w:szCs w:val="24"/>
        </w:rPr>
        <w:t>, 07(06). doi:10.47191/</w:t>
      </w:r>
      <w:proofErr w:type="spellStart"/>
      <w:r w:rsidRPr="00B7598A">
        <w:rPr>
          <w:rFonts w:eastAsia="Times New Roman" w:cs="Arial"/>
          <w:szCs w:val="24"/>
        </w:rPr>
        <w:t>jefms</w:t>
      </w:r>
      <w:proofErr w:type="spellEnd"/>
      <w:r w:rsidRPr="00B7598A">
        <w:rPr>
          <w:rFonts w:eastAsia="Times New Roman" w:cs="Arial"/>
          <w:szCs w:val="24"/>
        </w:rPr>
        <w:t xml:space="preserve">/v7-i6-20. </w:t>
      </w:r>
    </w:p>
    <w:p w14:paraId="085CDA43" w14:textId="77777777" w:rsidR="00B7598A" w:rsidRPr="00B7598A" w:rsidRDefault="00B7598A" w:rsidP="00B7598A"/>
    <w:sectPr w:rsidR="00B7598A" w:rsidRPr="00B7598A" w:rsidSect="00B7598A">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559C9" w14:textId="77777777" w:rsidR="005E5764" w:rsidRDefault="005E5764" w:rsidP="00B7598A">
      <w:pPr>
        <w:spacing w:after="0" w:line="240" w:lineRule="auto"/>
      </w:pPr>
      <w:r>
        <w:separator/>
      </w:r>
    </w:p>
  </w:endnote>
  <w:endnote w:type="continuationSeparator" w:id="0">
    <w:p w14:paraId="5F049C50" w14:textId="77777777" w:rsidR="005E5764" w:rsidRDefault="005E5764" w:rsidP="00B7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535966"/>
      <w:docPartObj>
        <w:docPartGallery w:val="Page Numbers (Bottom of Page)"/>
        <w:docPartUnique/>
      </w:docPartObj>
    </w:sdtPr>
    <w:sdtEndPr>
      <w:rPr>
        <w:noProof/>
      </w:rPr>
    </w:sdtEndPr>
    <w:sdtContent>
      <w:p w14:paraId="723A0012" w14:textId="77777777" w:rsidR="00B7598A" w:rsidRDefault="00B7598A">
        <w:pPr>
          <w:pStyle w:val="Footer"/>
          <w:jc w:val="right"/>
        </w:pPr>
        <w:r>
          <w:fldChar w:fldCharType="begin"/>
        </w:r>
        <w:r>
          <w:instrText xml:space="preserve"> PAGE   \* MERGEFORMAT </w:instrText>
        </w:r>
        <w:r>
          <w:fldChar w:fldCharType="separate"/>
        </w:r>
        <w:r w:rsidR="00251550">
          <w:rPr>
            <w:noProof/>
          </w:rPr>
          <w:t>9</w:t>
        </w:r>
        <w:r>
          <w:rPr>
            <w:noProof/>
          </w:rPr>
          <w:fldChar w:fldCharType="end"/>
        </w:r>
      </w:p>
    </w:sdtContent>
  </w:sdt>
  <w:p w14:paraId="362199B7" w14:textId="77777777" w:rsidR="00B7598A" w:rsidRDefault="00B75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AB2FC" w14:textId="77777777" w:rsidR="005E5764" w:rsidRDefault="005E5764" w:rsidP="00B7598A">
      <w:pPr>
        <w:spacing w:after="0" w:line="240" w:lineRule="auto"/>
      </w:pPr>
      <w:r>
        <w:separator/>
      </w:r>
    </w:p>
  </w:footnote>
  <w:footnote w:type="continuationSeparator" w:id="0">
    <w:p w14:paraId="4033DD6D" w14:textId="77777777" w:rsidR="005E5764" w:rsidRDefault="005E5764" w:rsidP="00B75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0939"/>
    <w:multiLevelType w:val="multilevel"/>
    <w:tmpl w:val="0D5AA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E85832"/>
    <w:multiLevelType w:val="multilevel"/>
    <w:tmpl w:val="87B6F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2447115">
    <w:abstractNumId w:val="0"/>
  </w:num>
  <w:num w:numId="2" w16cid:durableId="873691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FB6"/>
    <w:rsid w:val="000E2653"/>
    <w:rsid w:val="00243FB6"/>
    <w:rsid w:val="00251550"/>
    <w:rsid w:val="00295254"/>
    <w:rsid w:val="002C5DF2"/>
    <w:rsid w:val="00302B7B"/>
    <w:rsid w:val="003972BC"/>
    <w:rsid w:val="005E1AB6"/>
    <w:rsid w:val="005E5764"/>
    <w:rsid w:val="00A46963"/>
    <w:rsid w:val="00AB497D"/>
    <w:rsid w:val="00B3000A"/>
    <w:rsid w:val="00B7598A"/>
    <w:rsid w:val="00C52ED0"/>
    <w:rsid w:val="00E01BA0"/>
    <w:rsid w:val="00F10E87"/>
    <w:rsid w:val="00FE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00C6"/>
  <w15:docId w15:val="{3897F18D-FCA8-4F60-998F-81DF92B53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FB6"/>
    <w:pPr>
      <w:spacing w:line="360" w:lineRule="auto"/>
      <w:jc w:val="both"/>
    </w:pPr>
    <w:rPr>
      <w:rFonts w:ascii="Arial" w:hAnsi="Arial"/>
      <w:sz w:val="24"/>
    </w:rPr>
  </w:style>
  <w:style w:type="paragraph" w:styleId="Heading1">
    <w:name w:val="heading 1"/>
    <w:basedOn w:val="Normal"/>
    <w:next w:val="Normal"/>
    <w:link w:val="Heading1Char"/>
    <w:uiPriority w:val="9"/>
    <w:qFormat/>
    <w:rsid w:val="005E1AB6"/>
    <w:pPr>
      <w:keepNext/>
      <w:keepLines/>
      <w:spacing w:before="480" w:after="0"/>
      <w:jc w:val="center"/>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3FB6"/>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243FB6"/>
    <w:rPr>
      <w:b/>
      <w:bCs/>
    </w:rPr>
  </w:style>
  <w:style w:type="character" w:customStyle="1" w:styleId="Heading1Char">
    <w:name w:val="Heading 1 Char"/>
    <w:basedOn w:val="DefaultParagraphFont"/>
    <w:link w:val="Heading1"/>
    <w:uiPriority w:val="9"/>
    <w:rsid w:val="005E1AB6"/>
    <w:rPr>
      <w:rFonts w:ascii="Arial" w:eastAsiaTheme="majorEastAsia" w:hAnsi="Arial" w:cstheme="majorBidi"/>
      <w:b/>
      <w:bCs/>
      <w:sz w:val="28"/>
      <w:szCs w:val="28"/>
    </w:rPr>
  </w:style>
  <w:style w:type="paragraph" w:styleId="Header">
    <w:name w:val="header"/>
    <w:basedOn w:val="Normal"/>
    <w:link w:val="HeaderChar"/>
    <w:uiPriority w:val="99"/>
    <w:unhideWhenUsed/>
    <w:rsid w:val="00B75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98A"/>
    <w:rPr>
      <w:rFonts w:ascii="Arial" w:hAnsi="Arial"/>
      <w:sz w:val="24"/>
    </w:rPr>
  </w:style>
  <w:style w:type="paragraph" w:styleId="Footer">
    <w:name w:val="footer"/>
    <w:basedOn w:val="Normal"/>
    <w:link w:val="FooterChar"/>
    <w:uiPriority w:val="99"/>
    <w:unhideWhenUsed/>
    <w:rsid w:val="00B75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98A"/>
    <w:rPr>
      <w:rFonts w:ascii="Arial" w:hAnsi="Arial"/>
      <w:sz w:val="24"/>
    </w:rPr>
  </w:style>
  <w:style w:type="paragraph" w:styleId="BalloonText">
    <w:name w:val="Balloon Text"/>
    <w:basedOn w:val="Normal"/>
    <w:link w:val="BalloonTextChar"/>
    <w:uiPriority w:val="99"/>
    <w:semiHidden/>
    <w:unhideWhenUsed/>
    <w:rsid w:val="00251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5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06073">
      <w:bodyDiv w:val="1"/>
      <w:marLeft w:val="0"/>
      <w:marRight w:val="0"/>
      <w:marTop w:val="0"/>
      <w:marBottom w:val="0"/>
      <w:divBdr>
        <w:top w:val="none" w:sz="0" w:space="0" w:color="auto"/>
        <w:left w:val="none" w:sz="0" w:space="0" w:color="auto"/>
        <w:bottom w:val="none" w:sz="0" w:space="0" w:color="auto"/>
        <w:right w:val="none" w:sz="0" w:space="0" w:color="auto"/>
      </w:divBdr>
    </w:div>
    <w:div w:id="136577521">
      <w:bodyDiv w:val="1"/>
      <w:marLeft w:val="0"/>
      <w:marRight w:val="0"/>
      <w:marTop w:val="0"/>
      <w:marBottom w:val="0"/>
      <w:divBdr>
        <w:top w:val="none" w:sz="0" w:space="0" w:color="auto"/>
        <w:left w:val="none" w:sz="0" w:space="0" w:color="auto"/>
        <w:bottom w:val="none" w:sz="0" w:space="0" w:color="auto"/>
        <w:right w:val="none" w:sz="0" w:space="0" w:color="auto"/>
      </w:divBdr>
    </w:div>
    <w:div w:id="910500407">
      <w:bodyDiv w:val="1"/>
      <w:marLeft w:val="0"/>
      <w:marRight w:val="0"/>
      <w:marTop w:val="0"/>
      <w:marBottom w:val="0"/>
      <w:divBdr>
        <w:top w:val="none" w:sz="0" w:space="0" w:color="auto"/>
        <w:left w:val="none" w:sz="0" w:space="0" w:color="auto"/>
        <w:bottom w:val="none" w:sz="0" w:space="0" w:color="auto"/>
        <w:right w:val="none" w:sz="0" w:space="0" w:color="auto"/>
      </w:divBdr>
    </w:div>
    <w:div w:id="1071779721">
      <w:bodyDiv w:val="1"/>
      <w:marLeft w:val="0"/>
      <w:marRight w:val="0"/>
      <w:marTop w:val="0"/>
      <w:marBottom w:val="0"/>
      <w:divBdr>
        <w:top w:val="none" w:sz="0" w:space="0" w:color="auto"/>
        <w:left w:val="none" w:sz="0" w:space="0" w:color="auto"/>
        <w:bottom w:val="none" w:sz="0" w:space="0" w:color="auto"/>
        <w:right w:val="none" w:sz="0" w:space="0" w:color="auto"/>
      </w:divBdr>
    </w:div>
    <w:div w:id="1139877010">
      <w:bodyDiv w:val="1"/>
      <w:marLeft w:val="0"/>
      <w:marRight w:val="0"/>
      <w:marTop w:val="0"/>
      <w:marBottom w:val="0"/>
      <w:divBdr>
        <w:top w:val="none" w:sz="0" w:space="0" w:color="auto"/>
        <w:left w:val="none" w:sz="0" w:space="0" w:color="auto"/>
        <w:bottom w:val="none" w:sz="0" w:space="0" w:color="auto"/>
        <w:right w:val="none" w:sz="0" w:space="0" w:color="auto"/>
      </w:divBdr>
    </w:div>
    <w:div w:id="183063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2751</Words>
  <Characters>15686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Rekha Begum</cp:lastModifiedBy>
  <cp:revision>2</cp:revision>
  <dcterms:created xsi:type="dcterms:W3CDTF">2025-02-07T17:35:00Z</dcterms:created>
  <dcterms:modified xsi:type="dcterms:W3CDTF">2025-02-07T17:35:00Z</dcterms:modified>
</cp:coreProperties>
</file>