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21B2D" w14:textId="77777777" w:rsidR="00F55193" w:rsidRDefault="00F55193" w:rsidP="001E7B83">
      <w:pPr>
        <w:spacing w:after="0" w:line="360" w:lineRule="auto"/>
        <w:rPr>
          <w:rFonts w:ascii="Arial" w:hAnsi="Arial" w:cs="Arial"/>
          <w:b/>
          <w:bCs/>
          <w:sz w:val="22"/>
          <w:szCs w:val="22"/>
        </w:rPr>
      </w:pPr>
    </w:p>
    <w:p w14:paraId="3B7D6E38" w14:textId="77777777" w:rsidR="00F55193" w:rsidRDefault="00F55193" w:rsidP="001E7B83">
      <w:pPr>
        <w:spacing w:after="0" w:line="360" w:lineRule="auto"/>
        <w:rPr>
          <w:rFonts w:ascii="Arial" w:hAnsi="Arial" w:cs="Arial"/>
          <w:b/>
          <w:bCs/>
          <w:sz w:val="22"/>
          <w:szCs w:val="22"/>
        </w:rPr>
      </w:pPr>
    </w:p>
    <w:p w14:paraId="7BFB51DF" w14:textId="77777777" w:rsidR="00F55193" w:rsidRDefault="00F55193" w:rsidP="001E7B83">
      <w:pPr>
        <w:spacing w:after="0" w:line="360" w:lineRule="auto"/>
        <w:rPr>
          <w:rFonts w:ascii="Arial" w:hAnsi="Arial" w:cs="Arial"/>
          <w:b/>
          <w:bCs/>
          <w:sz w:val="22"/>
          <w:szCs w:val="22"/>
        </w:rPr>
      </w:pPr>
    </w:p>
    <w:p w14:paraId="2ED9FFD6" w14:textId="77777777" w:rsidR="00F55193" w:rsidRDefault="00F55193" w:rsidP="001E7B83">
      <w:pPr>
        <w:spacing w:after="0" w:line="360" w:lineRule="auto"/>
        <w:rPr>
          <w:rFonts w:ascii="Arial" w:hAnsi="Arial" w:cs="Arial"/>
          <w:b/>
          <w:bCs/>
          <w:sz w:val="22"/>
          <w:szCs w:val="22"/>
        </w:rPr>
      </w:pPr>
    </w:p>
    <w:p w14:paraId="364B3138" w14:textId="52290B0E" w:rsidR="00654076" w:rsidRPr="00100B4B" w:rsidRDefault="00654076" w:rsidP="00654076">
      <w:pPr>
        <w:spacing w:after="0" w:line="360" w:lineRule="auto"/>
        <w:jc w:val="center"/>
        <w:rPr>
          <w:rFonts w:ascii="Times New Roman" w:hAnsi="Times New Roman" w:cs="Times New Roman"/>
          <w:b/>
          <w:bCs/>
        </w:rPr>
      </w:pPr>
      <w:r w:rsidRPr="00100B4B">
        <w:rPr>
          <w:rFonts w:ascii="Times New Roman" w:hAnsi="Times New Roman" w:cs="Times New Roman"/>
          <w:b/>
          <w:bCs/>
        </w:rPr>
        <w:t>Report</w:t>
      </w:r>
    </w:p>
    <w:p w14:paraId="334E7F80" w14:textId="657E18FB" w:rsidR="009B26FE" w:rsidRPr="00100B4B" w:rsidRDefault="009B26FE" w:rsidP="009B26FE">
      <w:pPr>
        <w:spacing w:after="0" w:line="360" w:lineRule="auto"/>
        <w:jc w:val="center"/>
        <w:rPr>
          <w:rFonts w:ascii="Times New Roman" w:hAnsi="Times New Roman" w:cs="Times New Roman"/>
          <w:b/>
          <w:bCs/>
          <w:u w:val="single"/>
        </w:rPr>
      </w:pPr>
      <w:r w:rsidRPr="00100B4B">
        <w:rPr>
          <w:rFonts w:ascii="Times New Roman" w:hAnsi="Times New Roman" w:cs="Times New Roman"/>
          <w:b/>
          <w:bCs/>
          <w:u w:val="single"/>
        </w:rPr>
        <w:t xml:space="preserve">Sustainable Hospitality Conference: </w:t>
      </w:r>
      <w:r w:rsidRPr="00100B4B">
        <w:rPr>
          <w:rFonts w:ascii="Times New Roman" w:hAnsi="Times New Roman" w:cs="Times New Roman"/>
          <w:b/>
          <w:bCs/>
          <w:u w:val="single"/>
        </w:rPr>
        <w:br/>
        <w:t>Navigating Green Horizons</w:t>
      </w:r>
    </w:p>
    <w:p w14:paraId="5EA38FA9" w14:textId="77777777" w:rsidR="00F55193" w:rsidRPr="00100B4B" w:rsidRDefault="00F55193" w:rsidP="001E7B83">
      <w:pPr>
        <w:spacing w:after="0" w:line="360" w:lineRule="auto"/>
        <w:rPr>
          <w:rFonts w:ascii="Times New Roman" w:hAnsi="Times New Roman" w:cs="Times New Roman"/>
          <w:b/>
          <w:bCs/>
        </w:rPr>
      </w:pPr>
    </w:p>
    <w:p w14:paraId="64583BAE" w14:textId="77777777" w:rsidR="00F55193" w:rsidRPr="00100B4B" w:rsidRDefault="00F55193" w:rsidP="001E7B83">
      <w:pPr>
        <w:spacing w:after="0" w:line="360" w:lineRule="auto"/>
        <w:rPr>
          <w:rFonts w:ascii="Times New Roman" w:hAnsi="Times New Roman" w:cs="Times New Roman"/>
          <w:b/>
          <w:bCs/>
        </w:rPr>
      </w:pPr>
    </w:p>
    <w:p w14:paraId="3463ABCC" w14:textId="77777777" w:rsidR="00F55193" w:rsidRPr="00100B4B" w:rsidRDefault="00F55193" w:rsidP="001E7B83">
      <w:pPr>
        <w:spacing w:after="0" w:line="360" w:lineRule="auto"/>
        <w:rPr>
          <w:rFonts w:ascii="Times New Roman" w:hAnsi="Times New Roman" w:cs="Times New Roman"/>
          <w:b/>
          <w:bCs/>
        </w:rPr>
      </w:pPr>
    </w:p>
    <w:p w14:paraId="418CF09C" w14:textId="371CB254" w:rsidR="00E006B3" w:rsidRPr="00100B4B" w:rsidRDefault="00E006B3" w:rsidP="001E7B83">
      <w:pPr>
        <w:spacing w:after="0" w:line="360" w:lineRule="auto"/>
        <w:rPr>
          <w:rFonts w:ascii="Times New Roman" w:hAnsi="Times New Roman" w:cs="Times New Roman"/>
          <w:b/>
          <w:bCs/>
        </w:rPr>
      </w:pPr>
      <w:r w:rsidRPr="00100B4B">
        <w:rPr>
          <w:rFonts w:ascii="Times New Roman" w:hAnsi="Times New Roman" w:cs="Times New Roman"/>
          <w:b/>
          <w:bCs/>
        </w:rPr>
        <w:t>Name</w:t>
      </w:r>
      <w:r w:rsidR="00D3428A" w:rsidRPr="00100B4B">
        <w:rPr>
          <w:rFonts w:ascii="Times New Roman" w:hAnsi="Times New Roman" w:cs="Times New Roman"/>
          <w:b/>
          <w:bCs/>
        </w:rPr>
        <w:t xml:space="preserve">: </w:t>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t xml:space="preserve"> </w:t>
      </w:r>
      <w:r w:rsidR="00D3428A" w:rsidRPr="00100B4B">
        <w:rPr>
          <w:rFonts w:ascii="Times New Roman" w:hAnsi="Times New Roman" w:cs="Times New Roman"/>
          <w:b/>
          <w:bCs/>
        </w:rPr>
        <w:t>Wajahat Ali</w:t>
      </w:r>
    </w:p>
    <w:p w14:paraId="2AAE0417" w14:textId="77777777" w:rsidR="001E7B83" w:rsidRPr="00100B4B" w:rsidRDefault="001E7B83" w:rsidP="001E7B83">
      <w:pPr>
        <w:spacing w:after="0" w:line="360" w:lineRule="auto"/>
        <w:rPr>
          <w:rFonts w:ascii="Times New Roman" w:hAnsi="Times New Roman" w:cs="Times New Roman"/>
          <w:b/>
          <w:bCs/>
        </w:rPr>
      </w:pPr>
    </w:p>
    <w:p w14:paraId="3C13686B" w14:textId="2703F8DC" w:rsidR="00E006B3" w:rsidRPr="00100B4B" w:rsidRDefault="00E006B3" w:rsidP="001E7B83">
      <w:pPr>
        <w:spacing w:after="0" w:line="360" w:lineRule="auto"/>
        <w:rPr>
          <w:rFonts w:ascii="Times New Roman" w:hAnsi="Times New Roman" w:cs="Times New Roman"/>
          <w:b/>
          <w:bCs/>
        </w:rPr>
      </w:pPr>
      <w:r w:rsidRPr="00100B4B">
        <w:rPr>
          <w:rFonts w:ascii="Times New Roman" w:hAnsi="Times New Roman" w:cs="Times New Roman"/>
          <w:b/>
          <w:bCs/>
        </w:rPr>
        <w:t>student number</w:t>
      </w:r>
      <w:r w:rsidR="00D3428A" w:rsidRPr="00100B4B">
        <w:rPr>
          <w:rFonts w:ascii="Times New Roman" w:hAnsi="Times New Roman" w:cs="Times New Roman"/>
          <w:b/>
          <w:bCs/>
        </w:rPr>
        <w:t xml:space="preserve">: </w:t>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t xml:space="preserve"> </w:t>
      </w:r>
      <w:r w:rsidR="00D3428A" w:rsidRPr="00100B4B">
        <w:rPr>
          <w:rFonts w:ascii="Times New Roman" w:hAnsi="Times New Roman" w:cs="Times New Roman"/>
          <w:b/>
          <w:bCs/>
        </w:rPr>
        <w:t>2109303</w:t>
      </w:r>
    </w:p>
    <w:p w14:paraId="52B4D1A5" w14:textId="77777777" w:rsidR="001E7B83" w:rsidRPr="00100B4B" w:rsidRDefault="001E7B83" w:rsidP="001E7B83">
      <w:pPr>
        <w:spacing w:after="0" w:line="360" w:lineRule="auto"/>
        <w:rPr>
          <w:rFonts w:ascii="Times New Roman" w:hAnsi="Times New Roman" w:cs="Times New Roman"/>
          <w:b/>
          <w:bCs/>
        </w:rPr>
      </w:pPr>
    </w:p>
    <w:p w14:paraId="44FC8841" w14:textId="77777777" w:rsidR="001E7B83" w:rsidRPr="00100B4B" w:rsidRDefault="00E006B3" w:rsidP="001E7B83">
      <w:pPr>
        <w:spacing w:after="0" w:line="360" w:lineRule="auto"/>
        <w:rPr>
          <w:rFonts w:ascii="Times New Roman" w:hAnsi="Times New Roman" w:cs="Times New Roman"/>
          <w:b/>
          <w:bCs/>
        </w:rPr>
      </w:pPr>
      <w:r w:rsidRPr="00100B4B">
        <w:rPr>
          <w:rFonts w:ascii="Times New Roman" w:hAnsi="Times New Roman" w:cs="Times New Roman"/>
          <w:b/>
          <w:bCs/>
        </w:rPr>
        <w:t>Assignment title:</w:t>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Pr="00100B4B">
        <w:rPr>
          <w:rFonts w:ascii="Times New Roman" w:hAnsi="Times New Roman" w:cs="Times New Roman"/>
          <w:b/>
          <w:bCs/>
        </w:rPr>
        <w:t xml:space="preserve"> </w:t>
      </w:r>
      <w:r w:rsidR="00D3428A" w:rsidRPr="00100B4B">
        <w:rPr>
          <w:rFonts w:ascii="Times New Roman" w:hAnsi="Times New Roman" w:cs="Times New Roman"/>
          <w:b/>
          <w:bCs/>
        </w:rPr>
        <w:t xml:space="preserve">Planning and Delivering an </w:t>
      </w:r>
    </w:p>
    <w:p w14:paraId="4F999E6C" w14:textId="7464401D" w:rsidR="00E006B3" w:rsidRPr="00100B4B" w:rsidRDefault="00D3428A" w:rsidP="001E7B83">
      <w:pPr>
        <w:spacing w:after="0" w:line="360" w:lineRule="auto"/>
        <w:ind w:left="5040"/>
        <w:rPr>
          <w:rFonts w:ascii="Times New Roman" w:hAnsi="Times New Roman" w:cs="Times New Roman"/>
          <w:b/>
          <w:bCs/>
        </w:rPr>
      </w:pPr>
      <w:r w:rsidRPr="00100B4B">
        <w:rPr>
          <w:rFonts w:ascii="Times New Roman" w:hAnsi="Times New Roman" w:cs="Times New Roman"/>
          <w:b/>
          <w:bCs/>
        </w:rPr>
        <w:t>International Meeting/Event</w:t>
      </w:r>
    </w:p>
    <w:p w14:paraId="6BBCA9BC" w14:textId="77777777" w:rsidR="001E7B83" w:rsidRPr="00100B4B" w:rsidRDefault="001E7B83" w:rsidP="001E7B83">
      <w:pPr>
        <w:spacing w:after="0" w:line="360" w:lineRule="auto"/>
        <w:ind w:left="5040"/>
        <w:rPr>
          <w:rFonts w:ascii="Times New Roman" w:hAnsi="Times New Roman" w:cs="Times New Roman"/>
          <w:b/>
          <w:bCs/>
        </w:rPr>
      </w:pPr>
    </w:p>
    <w:p w14:paraId="47FB94E0" w14:textId="77777777" w:rsidR="001E7B83" w:rsidRPr="00100B4B" w:rsidRDefault="00E006B3" w:rsidP="001E7B83">
      <w:pPr>
        <w:spacing w:after="0" w:line="360" w:lineRule="auto"/>
        <w:rPr>
          <w:rFonts w:ascii="Times New Roman" w:hAnsi="Times New Roman" w:cs="Times New Roman"/>
          <w:b/>
          <w:bCs/>
        </w:rPr>
      </w:pPr>
      <w:r w:rsidRPr="00100B4B">
        <w:rPr>
          <w:rFonts w:ascii="Times New Roman" w:hAnsi="Times New Roman" w:cs="Times New Roman"/>
          <w:b/>
          <w:bCs/>
        </w:rPr>
        <w:t>Module title:</w:t>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D3428A" w:rsidRPr="00100B4B">
        <w:rPr>
          <w:rFonts w:ascii="Times New Roman" w:hAnsi="Times New Roman" w:cs="Times New Roman"/>
          <w:b/>
          <w:bCs/>
        </w:rPr>
        <w:t xml:space="preserve">International Meetings Management </w:t>
      </w:r>
    </w:p>
    <w:p w14:paraId="535F8600" w14:textId="2C2CA67B" w:rsidR="00E006B3" w:rsidRPr="00100B4B" w:rsidRDefault="00D3428A" w:rsidP="001E7B83">
      <w:pPr>
        <w:spacing w:after="0" w:line="360" w:lineRule="auto"/>
        <w:ind w:left="4320" w:firstLine="720"/>
        <w:rPr>
          <w:rFonts w:ascii="Times New Roman" w:hAnsi="Times New Roman" w:cs="Times New Roman"/>
          <w:b/>
          <w:bCs/>
        </w:rPr>
      </w:pPr>
      <w:r w:rsidRPr="00100B4B">
        <w:rPr>
          <w:rFonts w:ascii="Times New Roman" w:hAnsi="Times New Roman" w:cs="Times New Roman"/>
          <w:b/>
          <w:bCs/>
        </w:rPr>
        <w:t>BMIH6007</w:t>
      </w:r>
    </w:p>
    <w:p w14:paraId="0C0FB26C" w14:textId="77777777" w:rsidR="001E7B83" w:rsidRPr="00100B4B" w:rsidRDefault="001E7B83" w:rsidP="001E7B83">
      <w:pPr>
        <w:spacing w:after="0" w:line="360" w:lineRule="auto"/>
        <w:ind w:left="4320" w:firstLine="720"/>
        <w:rPr>
          <w:rFonts w:ascii="Times New Roman" w:hAnsi="Times New Roman" w:cs="Times New Roman"/>
          <w:b/>
          <w:bCs/>
        </w:rPr>
      </w:pPr>
    </w:p>
    <w:p w14:paraId="12A49601" w14:textId="601AF71E" w:rsidR="00E006B3" w:rsidRPr="00100B4B" w:rsidRDefault="00E006B3" w:rsidP="001E7B83">
      <w:pPr>
        <w:spacing w:after="0" w:line="360" w:lineRule="auto"/>
        <w:rPr>
          <w:rFonts w:ascii="Times New Roman" w:hAnsi="Times New Roman" w:cs="Times New Roman"/>
          <w:b/>
          <w:bCs/>
        </w:rPr>
      </w:pPr>
      <w:r w:rsidRPr="00100B4B">
        <w:rPr>
          <w:rFonts w:ascii="Times New Roman" w:hAnsi="Times New Roman" w:cs="Times New Roman"/>
          <w:b/>
          <w:bCs/>
        </w:rPr>
        <w:t>Lecturer's name:</w:t>
      </w:r>
      <w:r w:rsidR="00D3428A" w:rsidRPr="00100B4B">
        <w:rPr>
          <w:rFonts w:ascii="Times New Roman" w:hAnsi="Times New Roman" w:cs="Times New Roman"/>
          <w:b/>
          <w:bCs/>
        </w:rPr>
        <w:t xml:space="preserve"> </w:t>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1E7B83" w:rsidRPr="00100B4B">
        <w:rPr>
          <w:rFonts w:ascii="Times New Roman" w:hAnsi="Times New Roman" w:cs="Times New Roman"/>
          <w:b/>
          <w:bCs/>
        </w:rPr>
        <w:tab/>
      </w:r>
      <w:r w:rsidR="00D3428A" w:rsidRPr="00100B4B">
        <w:rPr>
          <w:rFonts w:ascii="Times New Roman" w:hAnsi="Times New Roman" w:cs="Times New Roman"/>
          <w:b/>
          <w:bCs/>
        </w:rPr>
        <w:t>Kathryn Flynn</w:t>
      </w:r>
    </w:p>
    <w:p w14:paraId="395CF5E1" w14:textId="77777777" w:rsidR="00E006B3" w:rsidRPr="00D3428A" w:rsidRDefault="00E006B3" w:rsidP="00D3428A">
      <w:pPr>
        <w:spacing w:after="0" w:line="360" w:lineRule="auto"/>
        <w:jc w:val="both"/>
        <w:rPr>
          <w:rFonts w:ascii="Arial" w:hAnsi="Arial" w:cs="Arial"/>
          <w:sz w:val="22"/>
          <w:szCs w:val="22"/>
        </w:rPr>
      </w:pPr>
    </w:p>
    <w:p w14:paraId="5865E0F9" w14:textId="77777777" w:rsidR="00E006B3" w:rsidRDefault="00E006B3" w:rsidP="00D3428A">
      <w:pPr>
        <w:spacing w:after="0" w:line="360" w:lineRule="auto"/>
        <w:jc w:val="both"/>
        <w:rPr>
          <w:rFonts w:ascii="Arial" w:hAnsi="Arial" w:cs="Arial"/>
          <w:sz w:val="22"/>
          <w:szCs w:val="22"/>
        </w:rPr>
      </w:pPr>
    </w:p>
    <w:p w14:paraId="78137935" w14:textId="77777777" w:rsidR="00D3428A" w:rsidRDefault="00D3428A" w:rsidP="00D3428A">
      <w:pPr>
        <w:spacing w:after="0" w:line="360" w:lineRule="auto"/>
        <w:jc w:val="both"/>
        <w:rPr>
          <w:rFonts w:ascii="Arial" w:hAnsi="Arial" w:cs="Arial"/>
          <w:sz w:val="22"/>
          <w:szCs w:val="22"/>
        </w:rPr>
      </w:pPr>
    </w:p>
    <w:p w14:paraId="7C0AC914" w14:textId="77777777" w:rsidR="00D3428A" w:rsidRDefault="00D3428A" w:rsidP="00D3428A">
      <w:pPr>
        <w:spacing w:after="0" w:line="360" w:lineRule="auto"/>
        <w:jc w:val="both"/>
        <w:rPr>
          <w:rFonts w:ascii="Arial" w:hAnsi="Arial" w:cs="Arial"/>
          <w:sz w:val="22"/>
          <w:szCs w:val="22"/>
        </w:rPr>
      </w:pPr>
    </w:p>
    <w:p w14:paraId="2B6977F9" w14:textId="77777777" w:rsidR="009B26FE" w:rsidRDefault="009B26FE" w:rsidP="00D3428A">
      <w:pPr>
        <w:spacing w:after="0" w:line="360" w:lineRule="auto"/>
        <w:jc w:val="both"/>
        <w:rPr>
          <w:rFonts w:ascii="Arial" w:hAnsi="Arial" w:cs="Arial"/>
          <w:sz w:val="22"/>
          <w:szCs w:val="22"/>
        </w:rPr>
      </w:pPr>
    </w:p>
    <w:p w14:paraId="2026F29E" w14:textId="77777777" w:rsidR="00D3428A" w:rsidRDefault="00D3428A" w:rsidP="00D3428A">
      <w:pPr>
        <w:spacing w:after="0" w:line="360" w:lineRule="auto"/>
        <w:jc w:val="both"/>
        <w:rPr>
          <w:rFonts w:ascii="Arial" w:hAnsi="Arial" w:cs="Arial"/>
          <w:sz w:val="22"/>
          <w:szCs w:val="22"/>
        </w:rPr>
      </w:pPr>
    </w:p>
    <w:p w14:paraId="6E8F3AC1" w14:textId="77777777" w:rsidR="00D3428A" w:rsidRDefault="00D3428A" w:rsidP="00D3428A">
      <w:pPr>
        <w:spacing w:after="0" w:line="360" w:lineRule="auto"/>
        <w:jc w:val="both"/>
        <w:rPr>
          <w:rFonts w:ascii="Arial" w:hAnsi="Arial" w:cs="Arial"/>
          <w:sz w:val="22"/>
          <w:szCs w:val="22"/>
        </w:rPr>
      </w:pPr>
    </w:p>
    <w:p w14:paraId="03D62449" w14:textId="77777777" w:rsidR="00D3428A" w:rsidRDefault="00D3428A" w:rsidP="00D3428A">
      <w:pPr>
        <w:spacing w:after="0" w:line="360" w:lineRule="auto"/>
        <w:jc w:val="both"/>
        <w:rPr>
          <w:rFonts w:ascii="Arial" w:hAnsi="Arial" w:cs="Arial"/>
          <w:sz w:val="22"/>
          <w:szCs w:val="22"/>
        </w:rPr>
      </w:pPr>
    </w:p>
    <w:p w14:paraId="714BFA1E" w14:textId="77777777" w:rsidR="00F55193" w:rsidRDefault="00F55193" w:rsidP="00D3428A">
      <w:pPr>
        <w:spacing w:after="0" w:line="360" w:lineRule="auto"/>
        <w:jc w:val="both"/>
        <w:rPr>
          <w:rFonts w:ascii="Arial" w:hAnsi="Arial" w:cs="Arial"/>
          <w:sz w:val="22"/>
          <w:szCs w:val="22"/>
        </w:rPr>
      </w:pPr>
    </w:p>
    <w:p w14:paraId="1A5FB121" w14:textId="77777777" w:rsidR="00F55193" w:rsidRDefault="00F55193" w:rsidP="00D3428A">
      <w:pPr>
        <w:spacing w:after="0" w:line="360" w:lineRule="auto"/>
        <w:jc w:val="both"/>
        <w:rPr>
          <w:rFonts w:ascii="Arial" w:hAnsi="Arial" w:cs="Arial"/>
          <w:sz w:val="22"/>
          <w:szCs w:val="22"/>
        </w:rPr>
      </w:pPr>
    </w:p>
    <w:p w14:paraId="785336B8" w14:textId="77777777" w:rsidR="00F55193" w:rsidRDefault="00F55193" w:rsidP="00D3428A">
      <w:pPr>
        <w:spacing w:after="0" w:line="360" w:lineRule="auto"/>
        <w:jc w:val="both"/>
        <w:rPr>
          <w:rFonts w:ascii="Arial" w:hAnsi="Arial" w:cs="Arial"/>
          <w:sz w:val="22"/>
          <w:szCs w:val="22"/>
        </w:rPr>
      </w:pPr>
    </w:p>
    <w:p w14:paraId="2FCBD6CD" w14:textId="77777777" w:rsidR="00F55193" w:rsidRDefault="00F55193" w:rsidP="00D3428A">
      <w:pPr>
        <w:spacing w:after="0" w:line="360" w:lineRule="auto"/>
        <w:jc w:val="both"/>
        <w:rPr>
          <w:rFonts w:ascii="Arial" w:hAnsi="Arial" w:cs="Arial"/>
          <w:sz w:val="22"/>
          <w:szCs w:val="22"/>
        </w:rPr>
      </w:pPr>
    </w:p>
    <w:p w14:paraId="04F77AEE" w14:textId="77777777" w:rsidR="00F55193" w:rsidRDefault="00F55193" w:rsidP="00D3428A">
      <w:pPr>
        <w:spacing w:after="0" w:line="360" w:lineRule="auto"/>
        <w:jc w:val="both"/>
        <w:rPr>
          <w:rFonts w:ascii="Arial" w:hAnsi="Arial" w:cs="Arial"/>
          <w:sz w:val="22"/>
          <w:szCs w:val="22"/>
        </w:rPr>
      </w:pPr>
    </w:p>
    <w:p w14:paraId="3003B397" w14:textId="77777777" w:rsidR="00E006B3" w:rsidRPr="00D3428A" w:rsidRDefault="00E006B3" w:rsidP="00D3428A">
      <w:pPr>
        <w:spacing w:after="0" w:line="360" w:lineRule="auto"/>
        <w:jc w:val="both"/>
        <w:rPr>
          <w:rFonts w:ascii="Arial" w:hAnsi="Arial" w:cs="Arial"/>
          <w:sz w:val="22"/>
          <w:szCs w:val="22"/>
        </w:rPr>
      </w:pPr>
    </w:p>
    <w:p w14:paraId="52AFE929" w14:textId="4D778DA5" w:rsidR="00CB300E" w:rsidRPr="00100B4B" w:rsidRDefault="00CB300E"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lastRenderedPageBreak/>
        <w:t>Introduction:</w:t>
      </w:r>
    </w:p>
    <w:p w14:paraId="68614CE0" w14:textId="1396DDA2"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 Sustainability</w:t>
      </w:r>
      <w:r w:rsidR="00F30725" w:rsidRPr="00100B4B">
        <w:rPr>
          <w:rFonts w:ascii="Times New Roman" w:hAnsi="Times New Roman" w:cs="Times New Roman"/>
        </w:rPr>
        <w:t xml:space="preserve"> Hospitality</w:t>
      </w:r>
      <w:r w:rsidRPr="00100B4B">
        <w:rPr>
          <w:rFonts w:ascii="Times New Roman" w:hAnsi="Times New Roman" w:cs="Times New Roman"/>
        </w:rPr>
        <w:t xml:space="preserve"> Conference, titled "Navigating Green Horizons," serves as a critical platform aimed at fostering sustainable practices within the </w:t>
      </w:r>
      <w:r w:rsidR="00247DFA" w:rsidRPr="00100B4B">
        <w:rPr>
          <w:rFonts w:ascii="Times New Roman" w:hAnsi="Times New Roman" w:cs="Times New Roman"/>
        </w:rPr>
        <w:t xml:space="preserve">Local </w:t>
      </w:r>
      <w:r w:rsidRPr="00100B4B">
        <w:rPr>
          <w:rFonts w:ascii="Times New Roman" w:hAnsi="Times New Roman" w:cs="Times New Roman"/>
        </w:rPr>
        <w:t>hospitality industry. In today's global landscape, sustainability has emerged as a central concern for businesses across all sectors, with the hospitality industry facing increasing pressure to minimize its environmental footprint (Fennell, 201</w:t>
      </w:r>
      <w:r w:rsidR="00B934F7" w:rsidRPr="00100B4B">
        <w:rPr>
          <w:rFonts w:ascii="Times New Roman" w:hAnsi="Times New Roman" w:cs="Times New Roman"/>
        </w:rPr>
        <w:t>7</w:t>
      </w:r>
      <w:r w:rsidRPr="00100B4B">
        <w:rPr>
          <w:rFonts w:ascii="Times New Roman" w:hAnsi="Times New Roman" w:cs="Times New Roman"/>
        </w:rPr>
        <w:t xml:space="preserve">). </w:t>
      </w:r>
      <w:r w:rsidR="00247DFA" w:rsidRPr="00100B4B">
        <w:rPr>
          <w:rFonts w:ascii="Times New Roman" w:hAnsi="Times New Roman" w:cs="Times New Roman"/>
        </w:rPr>
        <w:t>Sustainability refers to the ability to meet present needs without compromising the ability of future generations to meet their own needs (Williams</w:t>
      </w:r>
      <w:r w:rsidR="00B934F7" w:rsidRPr="00100B4B">
        <w:rPr>
          <w:rFonts w:ascii="Times New Roman" w:hAnsi="Times New Roman" w:cs="Times New Roman"/>
        </w:rPr>
        <w:t xml:space="preserve">, </w:t>
      </w:r>
      <w:r w:rsidR="00247DFA" w:rsidRPr="00100B4B">
        <w:rPr>
          <w:rFonts w:ascii="Times New Roman" w:hAnsi="Times New Roman" w:cs="Times New Roman"/>
        </w:rPr>
        <w:t xml:space="preserve">2009). </w:t>
      </w:r>
      <w:r w:rsidRPr="00100B4B">
        <w:rPr>
          <w:rFonts w:ascii="Times New Roman" w:hAnsi="Times New Roman" w:cs="Times New Roman"/>
        </w:rPr>
        <w:t>As such, the Sustainability Conference is designed to address pressing environmental challenges, promote sustainable innovations, and facilitate collaborative efforts towards a greener future.</w:t>
      </w:r>
      <w:r w:rsidR="00247DFA" w:rsidRPr="00100B4B">
        <w:rPr>
          <w:rFonts w:ascii="Times New Roman" w:hAnsi="Times New Roman" w:cs="Times New Roman"/>
        </w:rPr>
        <w:t xml:space="preserve"> This movement recognizes that sustainability concerns have become central in socio-political discussions in many nations (Porter &amp; Kramer, 2011).</w:t>
      </w:r>
    </w:p>
    <w:p w14:paraId="60486D21" w14:textId="725E4F1B"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 selection of this event is underpinned by the undeniable importance of sustainability in the hospitality industry. With mounting evidence highlighting the detrimental environmental impact of traditional hospitality practices, there is a growing recognition of the urgent need for change (</w:t>
      </w:r>
      <w:proofErr w:type="spellStart"/>
      <w:r w:rsidRPr="00100B4B">
        <w:rPr>
          <w:rFonts w:ascii="Times New Roman" w:hAnsi="Times New Roman" w:cs="Times New Roman"/>
        </w:rPr>
        <w:t>Hassanien</w:t>
      </w:r>
      <w:proofErr w:type="spellEnd"/>
      <w:r w:rsidR="00142E2E" w:rsidRPr="00100B4B">
        <w:rPr>
          <w:rFonts w:ascii="Times New Roman" w:hAnsi="Times New Roman" w:cs="Times New Roman"/>
        </w:rPr>
        <w:t xml:space="preserve"> &amp; Dale</w:t>
      </w:r>
      <w:r w:rsidRPr="00100B4B">
        <w:rPr>
          <w:rFonts w:ascii="Times New Roman" w:hAnsi="Times New Roman" w:cs="Times New Roman"/>
        </w:rPr>
        <w:t>, 2019). Sustainability is no longer merely a choice but a necessity for businesses seeking long-term viability and resilience in a rapidly changing world (</w:t>
      </w:r>
      <w:proofErr w:type="spellStart"/>
      <w:r w:rsidRPr="00100B4B">
        <w:rPr>
          <w:rFonts w:ascii="Times New Roman" w:hAnsi="Times New Roman" w:cs="Times New Roman"/>
        </w:rPr>
        <w:t>Berezan</w:t>
      </w:r>
      <w:proofErr w:type="spellEnd"/>
      <w:r w:rsidRPr="00100B4B">
        <w:rPr>
          <w:rFonts w:ascii="Times New Roman" w:hAnsi="Times New Roman" w:cs="Times New Roman"/>
        </w:rPr>
        <w:t xml:space="preserve"> et al., 2017). By convening stakeholders from the local hospitality sector in Bradford, the conference aims to leverage collective expertise and drive meaningful action towards sustainability goals.</w:t>
      </w:r>
    </w:p>
    <w:p w14:paraId="7A245EC9" w14:textId="50DAD028"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Located at The Bradford Hotel in Bradford, UK, the choice of venue holds strategic significance for several reasons. Firstly, Bradford serves as a vibrant hub for local hospitality businesses, with a diverse range of establishments contributing to the city's economic and cultural fabric (</w:t>
      </w:r>
      <w:r w:rsidR="004D24F1" w:rsidRPr="00100B4B">
        <w:rPr>
          <w:rFonts w:ascii="Times New Roman" w:hAnsi="Times New Roman" w:cs="Times New Roman"/>
        </w:rPr>
        <w:t>Klimek</w:t>
      </w:r>
      <w:r w:rsidRPr="00100B4B">
        <w:rPr>
          <w:rFonts w:ascii="Times New Roman" w:hAnsi="Times New Roman" w:cs="Times New Roman"/>
        </w:rPr>
        <w:t xml:space="preserve">, 2013). The Bradford Hotel, centrally situated within the city, offers a conducive environment for meaningful discussions and networking opportunities among </w:t>
      </w:r>
      <w:r w:rsidRPr="00100B4B">
        <w:rPr>
          <w:rFonts w:ascii="Times New Roman" w:hAnsi="Times New Roman" w:cs="Times New Roman"/>
        </w:rPr>
        <w:lastRenderedPageBreak/>
        <w:t>industry professionals. Furthermore, by hosting the conference in Bradford, organizers aim to promote local businesses and foster community engagement in sustainable initiatives.</w:t>
      </w:r>
    </w:p>
    <w:p w14:paraId="5AE8AED3" w14:textId="2B87BE74" w:rsidR="00CF1694" w:rsidRPr="00100B4B" w:rsidRDefault="00AE2712"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w:t>
      </w:r>
      <w:r w:rsidR="00CB300E" w:rsidRPr="00100B4B">
        <w:rPr>
          <w:rFonts w:ascii="Times New Roman" w:hAnsi="Times New Roman" w:cs="Times New Roman"/>
        </w:rPr>
        <w:t xml:space="preserve">he Sustainability Conference represents a pivotal event in addressing the sustainability challenges facing the hospitality industry. By convening at The Bradford Hotel in Bradford, </w:t>
      </w:r>
      <w:r w:rsidR="001D59B5" w:rsidRPr="00100B4B">
        <w:rPr>
          <w:rFonts w:ascii="Times New Roman" w:hAnsi="Times New Roman" w:cs="Times New Roman"/>
        </w:rPr>
        <w:t>the local</w:t>
      </w:r>
      <w:r w:rsidR="00CB300E" w:rsidRPr="00100B4B">
        <w:rPr>
          <w:rFonts w:ascii="Times New Roman" w:hAnsi="Times New Roman" w:cs="Times New Roman"/>
        </w:rPr>
        <w:t xml:space="preserve"> participants can collaborate, exchange ideas, and spearhead efforts towards a more sustainable future for the hospitality sector</w:t>
      </w:r>
      <w:r w:rsidR="001D59B5" w:rsidRPr="00100B4B">
        <w:rPr>
          <w:rFonts w:ascii="Times New Roman" w:hAnsi="Times New Roman" w:cs="Times New Roman"/>
        </w:rPr>
        <w:t xml:space="preserve"> in the Bradford</w:t>
      </w:r>
      <w:r w:rsidR="00CB300E" w:rsidRPr="00100B4B">
        <w:rPr>
          <w:rFonts w:ascii="Times New Roman" w:hAnsi="Times New Roman" w:cs="Times New Roman"/>
        </w:rPr>
        <w:t>.</w:t>
      </w:r>
    </w:p>
    <w:p w14:paraId="1060C49E" w14:textId="0BBF3E8C" w:rsidR="00CB300E" w:rsidRPr="00100B4B" w:rsidRDefault="00CB300E"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The Event Cycle:</w:t>
      </w:r>
    </w:p>
    <w:p w14:paraId="69199B16" w14:textId="5639F95E"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 Event Cycle encompasses three crucial stages: pre-event, event day, and post-event, each</w:t>
      </w:r>
      <w:r w:rsidR="00D17BCE" w:rsidRPr="00100B4B">
        <w:rPr>
          <w:rFonts w:ascii="Times New Roman" w:hAnsi="Times New Roman" w:cs="Times New Roman"/>
        </w:rPr>
        <w:t xml:space="preserve"> stage is</w:t>
      </w:r>
      <w:r w:rsidRPr="00100B4B">
        <w:rPr>
          <w:rFonts w:ascii="Times New Roman" w:hAnsi="Times New Roman" w:cs="Times New Roman"/>
        </w:rPr>
        <w:t xml:space="preserve"> essential for the successful planning, execution, and evaluation of a conference like the Sustainability Conference: "Navigating Green Horizons".</w:t>
      </w:r>
    </w:p>
    <w:p w14:paraId="6CBD7FBD" w14:textId="304242FD"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During the pre-event phase, meticulous planning is imperative, involving tasks such as selecting a suitable venue, securing knowledgeable speakers, and crafting a comprehensive program agenda (Allen et al., 20</w:t>
      </w:r>
      <w:r w:rsidR="002049EC" w:rsidRPr="00100B4B">
        <w:rPr>
          <w:rFonts w:ascii="Times New Roman" w:hAnsi="Times New Roman" w:cs="Times New Roman"/>
        </w:rPr>
        <w:t>08</w:t>
      </w:r>
      <w:r w:rsidRPr="00100B4B">
        <w:rPr>
          <w:rFonts w:ascii="Times New Roman" w:hAnsi="Times New Roman" w:cs="Times New Roman"/>
        </w:rPr>
        <w:t>). Engaging local hospitality businesses in Bradford during this phase could involve strategic outreach efforts and the formation of partnerships to ensure broad participation and support (</w:t>
      </w:r>
      <w:proofErr w:type="spellStart"/>
      <w:r w:rsidR="002049EC" w:rsidRPr="00100B4B">
        <w:rPr>
          <w:rFonts w:ascii="Times New Roman" w:hAnsi="Times New Roman" w:cs="Times New Roman"/>
        </w:rPr>
        <w:t>Zolfani</w:t>
      </w:r>
      <w:proofErr w:type="spellEnd"/>
      <w:r w:rsidR="002049EC" w:rsidRPr="00100B4B">
        <w:rPr>
          <w:rFonts w:ascii="Times New Roman" w:hAnsi="Times New Roman" w:cs="Times New Roman"/>
        </w:rPr>
        <w:t xml:space="preserve"> et al., </w:t>
      </w:r>
      <w:r w:rsidRPr="00100B4B">
        <w:rPr>
          <w:rFonts w:ascii="Times New Roman" w:hAnsi="Times New Roman" w:cs="Times New Roman"/>
        </w:rPr>
        <w:t>201</w:t>
      </w:r>
      <w:r w:rsidR="002049EC" w:rsidRPr="00100B4B">
        <w:rPr>
          <w:rFonts w:ascii="Times New Roman" w:hAnsi="Times New Roman" w:cs="Times New Roman"/>
        </w:rPr>
        <w:t>5</w:t>
      </w:r>
      <w:r w:rsidRPr="00100B4B">
        <w:rPr>
          <w:rFonts w:ascii="Times New Roman" w:hAnsi="Times New Roman" w:cs="Times New Roman"/>
        </w:rPr>
        <w:t>).</w:t>
      </w:r>
    </w:p>
    <w:p w14:paraId="226A224F" w14:textId="565BFEB1"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On the event day, all pre-planned elements converge in the actual execution of the conference. This stage necessitates effective coordination and communication to ensure seamless logistics, engaging presentations, and an overall positive attendee experience (Allen et al., 20</w:t>
      </w:r>
      <w:r w:rsidR="002049EC" w:rsidRPr="00100B4B">
        <w:rPr>
          <w:rFonts w:ascii="Times New Roman" w:hAnsi="Times New Roman" w:cs="Times New Roman"/>
        </w:rPr>
        <w:t>08</w:t>
      </w:r>
      <w:r w:rsidRPr="00100B4B">
        <w:rPr>
          <w:rFonts w:ascii="Times New Roman" w:hAnsi="Times New Roman" w:cs="Times New Roman"/>
        </w:rPr>
        <w:t>). Implementing sustainable practices on the event day, such as eco-friendly catering and waste reduction initiatives, not only aligns with the conference theme but also enhances its impact (</w:t>
      </w:r>
      <w:proofErr w:type="spellStart"/>
      <w:r w:rsidR="002049EC" w:rsidRPr="00100B4B">
        <w:rPr>
          <w:rFonts w:ascii="Times New Roman" w:hAnsi="Times New Roman" w:cs="Times New Roman"/>
        </w:rPr>
        <w:t>Hassanien</w:t>
      </w:r>
      <w:proofErr w:type="spellEnd"/>
      <w:r w:rsidR="002049EC" w:rsidRPr="00100B4B">
        <w:rPr>
          <w:rFonts w:ascii="Times New Roman" w:hAnsi="Times New Roman" w:cs="Times New Roman"/>
        </w:rPr>
        <w:t xml:space="preserve"> &amp; Dale, 2019</w:t>
      </w:r>
      <w:r w:rsidRPr="00100B4B">
        <w:rPr>
          <w:rFonts w:ascii="Times New Roman" w:hAnsi="Times New Roman" w:cs="Times New Roman"/>
        </w:rPr>
        <w:t>).</w:t>
      </w:r>
    </w:p>
    <w:p w14:paraId="599459BB" w14:textId="193417E3" w:rsidR="00CB300E"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Following the event, the post-event phase focuses on evaluation and reflection to assess the conference's effectiveness and identify areas for improvement. Models like Plan-Do-Check-Act (PDCA) offer a structured approach to evaluation by encouraging continuous learning and refinement (</w:t>
      </w:r>
      <w:r w:rsidR="002049EC" w:rsidRPr="00100B4B">
        <w:rPr>
          <w:rFonts w:ascii="Times New Roman" w:hAnsi="Times New Roman" w:cs="Times New Roman"/>
        </w:rPr>
        <w:t>Allen et al., 2008</w:t>
      </w:r>
      <w:r w:rsidRPr="00100B4B">
        <w:rPr>
          <w:rFonts w:ascii="Times New Roman" w:hAnsi="Times New Roman" w:cs="Times New Roman"/>
        </w:rPr>
        <w:t xml:space="preserve">). Through post-event surveys, feedback collection, and data </w:t>
      </w:r>
      <w:r w:rsidRPr="00100B4B">
        <w:rPr>
          <w:rFonts w:ascii="Times New Roman" w:hAnsi="Times New Roman" w:cs="Times New Roman"/>
        </w:rPr>
        <w:lastRenderedPageBreak/>
        <w:t>analysis, organizers can gauge attendee satisfaction, measure the conference's impact on sustainability practices, and inform future planning efforts.</w:t>
      </w:r>
    </w:p>
    <w:p w14:paraId="7A253683" w14:textId="11A22DE7" w:rsidR="00F30725" w:rsidRPr="00100B4B" w:rsidRDefault="00CB300E"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By adhering to the Event Cycle and leveraging relevant models like PDCA, the Sustainability Conference can ensure a comprehensive and impactful approach to planning, executing, and evaluating its initiatives.</w:t>
      </w:r>
    </w:p>
    <w:p w14:paraId="01859C1C" w14:textId="1E95C2B0" w:rsidR="00CB300E" w:rsidRPr="00100B4B" w:rsidRDefault="00CB300E"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Event Concept:</w:t>
      </w:r>
    </w:p>
    <w:p w14:paraId="786C8E2F" w14:textId="73293A0D"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The Sustainability Conference, titled "Navigating Green Horizons," is a premier event dedicated to advancing sustainable practices within the hospitality industry. The overarching theme of the conference revolves around </w:t>
      </w:r>
      <w:r w:rsidR="002C0FE6" w:rsidRPr="00100B4B">
        <w:rPr>
          <w:rFonts w:ascii="Times New Roman" w:hAnsi="Times New Roman" w:cs="Times New Roman"/>
        </w:rPr>
        <w:t>catalysing</w:t>
      </w:r>
      <w:r w:rsidRPr="00100B4B">
        <w:rPr>
          <w:rFonts w:ascii="Times New Roman" w:hAnsi="Times New Roman" w:cs="Times New Roman"/>
        </w:rPr>
        <w:t xml:space="preserve"> positive change and innovation in sustainable hospitality management (</w:t>
      </w:r>
      <w:r w:rsidR="00EA2859" w:rsidRPr="00100B4B">
        <w:rPr>
          <w:rFonts w:ascii="Times New Roman" w:hAnsi="Times New Roman" w:cs="Times New Roman"/>
        </w:rPr>
        <w:t>Legrand et al., 2013</w:t>
      </w:r>
      <w:r w:rsidRPr="00100B4B">
        <w:rPr>
          <w:rFonts w:ascii="Times New Roman" w:hAnsi="Times New Roman" w:cs="Times New Roman"/>
        </w:rPr>
        <w:t>). By bringing together key stakeholders, including industry professionals, policymakers, and academics, the conference aims to foster dialogue, share best practices, and inspire collective action towards a greener future for hospitality.</w:t>
      </w:r>
    </w:p>
    <w:p w14:paraId="0B361F08" w14:textId="52098713"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 conference itinerary is thoughtfully designed to provide delegates with a comprehensive and engaging experience. The agenda begins with inspiring keynote speeches from renowned sustainability leaders, setting the tone for the event and offering valuable insights into the latest trends and challenges in sustainable hospitality. Following the keynote sessions, delegates participate in interactive panel discussions featuring industry experts discussing practical strategies and case studies for implementing sustainable initiatives in hospitality operations (UNWTO, 2019).</w:t>
      </w:r>
    </w:p>
    <w:p w14:paraId="63655DFF" w14:textId="0A863322"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In addition to traditional conference sessions, the Sustainability Conference offers delegates unique experiences and activities that promote sustainability and innovation. Delegates </w:t>
      </w:r>
      <w:proofErr w:type="gramStart"/>
      <w:r w:rsidRPr="00100B4B">
        <w:rPr>
          <w:rFonts w:ascii="Times New Roman" w:hAnsi="Times New Roman" w:cs="Times New Roman"/>
        </w:rPr>
        <w:t>have the opportunity to</w:t>
      </w:r>
      <w:proofErr w:type="gramEnd"/>
      <w:r w:rsidRPr="00100B4B">
        <w:rPr>
          <w:rFonts w:ascii="Times New Roman" w:hAnsi="Times New Roman" w:cs="Times New Roman"/>
        </w:rPr>
        <w:t xml:space="preserve"> indulge in eco-friendly catering options sourced from local, organic suppliers, showcasing sustainable food production practices and reducing the conference's carbon footprint. Furthermore, a dedicated green technology showcase allows delegates to </w:t>
      </w:r>
      <w:r w:rsidRPr="00100B4B">
        <w:rPr>
          <w:rFonts w:ascii="Times New Roman" w:hAnsi="Times New Roman" w:cs="Times New Roman"/>
        </w:rPr>
        <w:lastRenderedPageBreak/>
        <w:t xml:space="preserve">explore </w:t>
      </w:r>
      <w:r w:rsidR="002C0FE6" w:rsidRPr="00100B4B">
        <w:rPr>
          <w:rFonts w:ascii="Times New Roman" w:hAnsi="Times New Roman" w:cs="Times New Roman"/>
        </w:rPr>
        <w:t>progressive</w:t>
      </w:r>
      <w:r w:rsidRPr="00100B4B">
        <w:rPr>
          <w:rFonts w:ascii="Times New Roman" w:hAnsi="Times New Roman" w:cs="Times New Roman"/>
        </w:rPr>
        <w:t xml:space="preserve"> solutions and products designed to enhance sustainability in hospitality, from energy-efficient appliances to waste management systems (UNWTO, 2019).</w:t>
      </w:r>
    </w:p>
    <w:p w14:paraId="54F1A77E" w14:textId="4B8032C8"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Networking sessions are strategically integrated into the agenda to facilitate collaboration and knowledge exchange among delegates (Bartolacci </w:t>
      </w:r>
      <w:r w:rsidR="00E615D2" w:rsidRPr="00100B4B">
        <w:rPr>
          <w:rFonts w:ascii="Times New Roman" w:hAnsi="Times New Roman" w:cs="Times New Roman"/>
        </w:rPr>
        <w:t>et al.,</w:t>
      </w:r>
      <w:r w:rsidRPr="00100B4B">
        <w:rPr>
          <w:rFonts w:ascii="Times New Roman" w:hAnsi="Times New Roman" w:cs="Times New Roman"/>
        </w:rPr>
        <w:t xml:space="preserve"> 2020). These sessions provide valuable opportunities for participants to connect with like-minded professionals, share insights, and forge partnerships to drive sustainability initiatives forward in their respective organizations.</w:t>
      </w:r>
    </w:p>
    <w:p w14:paraId="75971C38" w14:textId="15C7AE85" w:rsidR="00F30725"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Overall, the event concept of the Sustainability Conference is </w:t>
      </w:r>
      <w:r w:rsidR="002C0FE6" w:rsidRPr="00100B4B">
        <w:rPr>
          <w:rFonts w:ascii="Times New Roman" w:hAnsi="Times New Roman" w:cs="Times New Roman"/>
        </w:rPr>
        <w:t>cantered</w:t>
      </w:r>
      <w:r w:rsidRPr="00100B4B">
        <w:rPr>
          <w:rFonts w:ascii="Times New Roman" w:hAnsi="Times New Roman" w:cs="Times New Roman"/>
        </w:rPr>
        <w:t xml:space="preserve"> on inspiring, educating, and empowering hospitality industry stakeholders to embrace sustainable practices and drive positive change in the sector.</w:t>
      </w:r>
    </w:p>
    <w:p w14:paraId="28C54A11" w14:textId="2BCF6FAB" w:rsidR="00D813E9" w:rsidRPr="00100B4B" w:rsidRDefault="00D813E9"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Aim and Objectives of the Meeting/Event:</w:t>
      </w:r>
    </w:p>
    <w:p w14:paraId="34589A37" w14:textId="00616C28" w:rsidR="00F30725" w:rsidRPr="00100B4B" w:rsidRDefault="00F30725" w:rsidP="00100B4B">
      <w:pPr>
        <w:pStyle w:val="ListParagraph"/>
        <w:spacing w:after="0" w:line="480" w:lineRule="auto"/>
        <w:ind w:left="0"/>
        <w:jc w:val="both"/>
        <w:rPr>
          <w:rFonts w:ascii="Times New Roman" w:hAnsi="Times New Roman" w:cs="Times New Roman"/>
        </w:rPr>
      </w:pPr>
      <w:r w:rsidRPr="00100B4B">
        <w:rPr>
          <w:rFonts w:ascii="Times New Roman" w:hAnsi="Times New Roman" w:cs="Times New Roman"/>
        </w:rPr>
        <w:t>The aim and objectives of the meeting/event delineate the overarching purpose and specific targets set forth for the gathering. These foundational elements provide a clear direction for the event, guiding its focus and ensuring alignment with its intended outcomes. Through concise articulation of these aims and objectives, the meeting/event establishes a framework for action and evaluation, driving forward progress towards its overarching goals.</w:t>
      </w:r>
    </w:p>
    <w:p w14:paraId="44BA6BDE" w14:textId="5F7F0E0C"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b/>
          <w:bCs/>
        </w:rPr>
        <w:t>The overarching aim of the Sustainability Conference:</w:t>
      </w:r>
      <w:r w:rsidRPr="00100B4B">
        <w:rPr>
          <w:rFonts w:ascii="Times New Roman" w:hAnsi="Times New Roman" w:cs="Times New Roman"/>
        </w:rPr>
        <w:t xml:space="preserve"> "Navigating Green Horizons" is to </w:t>
      </w:r>
      <w:r w:rsidR="00FA6664" w:rsidRPr="00100B4B">
        <w:rPr>
          <w:rFonts w:ascii="Times New Roman" w:hAnsi="Times New Roman" w:cs="Times New Roman"/>
        </w:rPr>
        <w:t>Stimulate</w:t>
      </w:r>
      <w:r w:rsidRPr="00100B4B">
        <w:rPr>
          <w:rFonts w:ascii="Times New Roman" w:hAnsi="Times New Roman" w:cs="Times New Roman"/>
        </w:rPr>
        <w:t xml:space="preserve"> sustainable transformations within the hospitality sector, fostering a culture of environmental responsibility and innovation (Edgell, 20</w:t>
      </w:r>
      <w:r w:rsidR="007E6A65" w:rsidRPr="00100B4B">
        <w:rPr>
          <w:rFonts w:ascii="Times New Roman" w:hAnsi="Times New Roman" w:cs="Times New Roman"/>
        </w:rPr>
        <w:t>19</w:t>
      </w:r>
      <w:r w:rsidRPr="00100B4B">
        <w:rPr>
          <w:rFonts w:ascii="Times New Roman" w:hAnsi="Times New Roman" w:cs="Times New Roman"/>
        </w:rPr>
        <w:t>). This aim aligns with the growing imperative for businesses to adopt sustainable practices to mitigate environmental impacts and ensure long-term viability (</w:t>
      </w:r>
      <w:r w:rsidR="002F2161" w:rsidRPr="00100B4B">
        <w:rPr>
          <w:rFonts w:ascii="Times New Roman" w:hAnsi="Times New Roman" w:cs="Times New Roman"/>
        </w:rPr>
        <w:t>Das</w:t>
      </w:r>
      <w:r w:rsidRPr="00100B4B">
        <w:rPr>
          <w:rFonts w:ascii="Times New Roman" w:hAnsi="Times New Roman" w:cs="Times New Roman"/>
        </w:rPr>
        <w:t>, 202</w:t>
      </w:r>
      <w:r w:rsidR="002F2161" w:rsidRPr="00100B4B">
        <w:rPr>
          <w:rFonts w:ascii="Times New Roman" w:hAnsi="Times New Roman" w:cs="Times New Roman"/>
        </w:rPr>
        <w:t>3</w:t>
      </w:r>
      <w:r w:rsidRPr="00100B4B">
        <w:rPr>
          <w:rFonts w:ascii="Times New Roman" w:hAnsi="Times New Roman" w:cs="Times New Roman"/>
        </w:rPr>
        <w:t>).</w:t>
      </w:r>
    </w:p>
    <w:p w14:paraId="40A8AAF6" w14:textId="67D136C3"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Aligned with this aim, the conference sets out the following SMART objectives to guide its sustainability goals:</w:t>
      </w:r>
    </w:p>
    <w:p w14:paraId="21B36F9E" w14:textId="554EF30C"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b/>
          <w:bCs/>
        </w:rPr>
        <w:t>Reduce single-use plastics by 50%:</w:t>
      </w:r>
      <w:r w:rsidRPr="00100B4B">
        <w:rPr>
          <w:rFonts w:ascii="Times New Roman" w:hAnsi="Times New Roman" w:cs="Times New Roman"/>
        </w:rPr>
        <w:t xml:space="preserve"> This objective aims to minimize the conference's environmental footprint by implementing measures to reduce the consumption of single-use </w:t>
      </w:r>
      <w:r w:rsidRPr="00100B4B">
        <w:rPr>
          <w:rFonts w:ascii="Times New Roman" w:hAnsi="Times New Roman" w:cs="Times New Roman"/>
        </w:rPr>
        <w:lastRenderedPageBreak/>
        <w:t>plastics, such as providing reusable alternatives and encouraging responsible waste management practices (</w:t>
      </w:r>
      <w:r w:rsidR="007E6A65" w:rsidRPr="00100B4B">
        <w:rPr>
          <w:rFonts w:ascii="Times New Roman" w:hAnsi="Times New Roman" w:cs="Times New Roman"/>
        </w:rPr>
        <w:t>Das, 2023</w:t>
      </w:r>
      <w:r w:rsidRPr="00100B4B">
        <w:rPr>
          <w:rFonts w:ascii="Times New Roman" w:hAnsi="Times New Roman" w:cs="Times New Roman"/>
        </w:rPr>
        <w:t>).</w:t>
      </w:r>
    </w:p>
    <w:p w14:paraId="7BCDC87A" w14:textId="1CB047AF"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b/>
          <w:bCs/>
        </w:rPr>
        <w:t>Increase participation from local sustainable businesses by 30%:</w:t>
      </w:r>
      <w:r w:rsidRPr="00100B4B">
        <w:rPr>
          <w:rFonts w:ascii="Times New Roman" w:hAnsi="Times New Roman" w:cs="Times New Roman"/>
        </w:rPr>
        <w:t xml:space="preserve"> By engaging and showcasing local businesses committed to sustainability, the conference seeks to promote collaboration and knowledge sharing among industry stakeholders, driving collective action towards sustainable practices (</w:t>
      </w:r>
      <w:r w:rsidR="007E6A65" w:rsidRPr="00100B4B">
        <w:rPr>
          <w:rFonts w:ascii="Times New Roman" w:hAnsi="Times New Roman" w:cs="Times New Roman"/>
        </w:rPr>
        <w:t>Edgell, 2019</w:t>
      </w:r>
      <w:r w:rsidRPr="00100B4B">
        <w:rPr>
          <w:rFonts w:ascii="Times New Roman" w:hAnsi="Times New Roman" w:cs="Times New Roman"/>
        </w:rPr>
        <w:t>).</w:t>
      </w:r>
    </w:p>
    <w:p w14:paraId="28F5B92F" w14:textId="287ECF41" w:rsidR="00F30725"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These SMART objectives are specific, measurable, achievable, relevant, and time-bound, providing clear targets for the conference organizers to track progress and evaluate the effectiveness of their sustainability initiatives (</w:t>
      </w:r>
      <w:r w:rsidR="007E6A65" w:rsidRPr="00100B4B">
        <w:rPr>
          <w:rFonts w:ascii="Times New Roman" w:hAnsi="Times New Roman" w:cs="Times New Roman"/>
        </w:rPr>
        <w:t>Edgell, 2019</w:t>
      </w:r>
      <w:r w:rsidRPr="00100B4B">
        <w:rPr>
          <w:rFonts w:ascii="Times New Roman" w:hAnsi="Times New Roman" w:cs="Times New Roman"/>
        </w:rPr>
        <w:t>). By focusing on tangible outcomes, the Sustainability Conference aims to make meaningful contributions to advancing sustainability within the hospitality sector while inspiring broader industry-wide change (</w:t>
      </w:r>
      <w:r w:rsidR="007E6A65" w:rsidRPr="00100B4B">
        <w:rPr>
          <w:rFonts w:ascii="Times New Roman" w:hAnsi="Times New Roman" w:cs="Times New Roman"/>
        </w:rPr>
        <w:t>Das, 2023</w:t>
      </w:r>
      <w:r w:rsidRPr="00100B4B">
        <w:rPr>
          <w:rFonts w:ascii="Times New Roman" w:hAnsi="Times New Roman" w:cs="Times New Roman"/>
        </w:rPr>
        <w:t>).</w:t>
      </w:r>
    </w:p>
    <w:p w14:paraId="2F06438E" w14:textId="5853DD01" w:rsidR="00D813E9" w:rsidRPr="00100B4B" w:rsidRDefault="00D813E9"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Event Operations:</w:t>
      </w:r>
    </w:p>
    <w:p w14:paraId="77A3F5EA" w14:textId="0FB81861"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Event operations for the Sustainability Conference: "Navigating Green Horizons" require a diverse set of skills and resources to ensure seamless execution and alignment with sustainability goals (</w:t>
      </w:r>
      <w:r w:rsidR="008A59AD" w:rsidRPr="00100B4B">
        <w:rPr>
          <w:rFonts w:ascii="Times New Roman" w:hAnsi="Times New Roman" w:cs="Times New Roman"/>
        </w:rPr>
        <w:t>Bowdin</w:t>
      </w:r>
      <w:r w:rsidRPr="00100B4B">
        <w:rPr>
          <w:rFonts w:ascii="Times New Roman" w:hAnsi="Times New Roman" w:cs="Times New Roman"/>
        </w:rPr>
        <w:t xml:space="preserve"> et al., 201</w:t>
      </w:r>
      <w:r w:rsidR="008A59AD" w:rsidRPr="00100B4B">
        <w:rPr>
          <w:rFonts w:ascii="Times New Roman" w:hAnsi="Times New Roman" w:cs="Times New Roman"/>
        </w:rPr>
        <w:t>2</w:t>
      </w:r>
      <w:r w:rsidRPr="00100B4B">
        <w:rPr>
          <w:rFonts w:ascii="Times New Roman" w:hAnsi="Times New Roman" w:cs="Times New Roman"/>
        </w:rPr>
        <w:t>). Firstly, expertise in event planning is essential to coordinate logistics, manage timelines, and oversee the overall execution of the conference (Raj &amp; Musgrave, 20</w:t>
      </w:r>
      <w:r w:rsidR="00D3299E" w:rsidRPr="00100B4B">
        <w:rPr>
          <w:rFonts w:ascii="Times New Roman" w:hAnsi="Times New Roman" w:cs="Times New Roman"/>
        </w:rPr>
        <w:t>09</w:t>
      </w:r>
      <w:r w:rsidRPr="00100B4B">
        <w:rPr>
          <w:rFonts w:ascii="Times New Roman" w:hAnsi="Times New Roman" w:cs="Times New Roman"/>
        </w:rPr>
        <w:t>). Additionally, a deep understanding of sustainability principles and practices is critical to integrating eco-friendly initiatives throughout the event</w:t>
      </w:r>
      <w:r w:rsidR="00D3299E" w:rsidRPr="00100B4B">
        <w:rPr>
          <w:rFonts w:ascii="Times New Roman" w:hAnsi="Times New Roman" w:cs="Times New Roman"/>
        </w:rPr>
        <w:t xml:space="preserve"> (Bowdin et al., 2012)</w:t>
      </w:r>
      <w:r w:rsidRPr="00100B4B">
        <w:rPr>
          <w:rFonts w:ascii="Times New Roman" w:hAnsi="Times New Roman" w:cs="Times New Roman"/>
        </w:rPr>
        <w:t>. Effective communication skills are also necessary to engage stakeholders, convey sustainability messaging, and foster collaboration among participants (Raj &amp; Musgrave, 20</w:t>
      </w:r>
      <w:r w:rsidR="00D3299E" w:rsidRPr="00100B4B">
        <w:rPr>
          <w:rFonts w:ascii="Times New Roman" w:hAnsi="Times New Roman" w:cs="Times New Roman"/>
        </w:rPr>
        <w:t>09</w:t>
      </w:r>
      <w:r w:rsidRPr="00100B4B">
        <w:rPr>
          <w:rFonts w:ascii="Times New Roman" w:hAnsi="Times New Roman" w:cs="Times New Roman"/>
        </w:rPr>
        <w:t>).</w:t>
      </w:r>
    </w:p>
    <w:p w14:paraId="64B8F2D8" w14:textId="08CDA6BD"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The staffing needs for the conference encompass various roles to support different aspects of event operations. This includes event coordinators responsible for overall project management, sustainability officers tasked with implementing green initiatives, and volunteers to assist with on-site tasks and attendee support (</w:t>
      </w:r>
      <w:r w:rsidR="00D3299E" w:rsidRPr="00100B4B">
        <w:rPr>
          <w:rFonts w:ascii="Times New Roman" w:hAnsi="Times New Roman" w:cs="Times New Roman"/>
        </w:rPr>
        <w:t>Maguire</w:t>
      </w:r>
      <w:r w:rsidRPr="00100B4B">
        <w:rPr>
          <w:rFonts w:ascii="Times New Roman" w:hAnsi="Times New Roman" w:cs="Times New Roman"/>
        </w:rPr>
        <w:t>, 20</w:t>
      </w:r>
      <w:r w:rsidR="00D3299E" w:rsidRPr="00100B4B">
        <w:rPr>
          <w:rFonts w:ascii="Times New Roman" w:hAnsi="Times New Roman" w:cs="Times New Roman"/>
        </w:rPr>
        <w:t>20</w:t>
      </w:r>
      <w:r w:rsidRPr="00100B4B">
        <w:rPr>
          <w:rFonts w:ascii="Times New Roman" w:hAnsi="Times New Roman" w:cs="Times New Roman"/>
        </w:rPr>
        <w:t xml:space="preserve">). Each role plays a crucial part in ensuring </w:t>
      </w:r>
      <w:r w:rsidRPr="00100B4B">
        <w:rPr>
          <w:rFonts w:ascii="Times New Roman" w:hAnsi="Times New Roman" w:cs="Times New Roman"/>
        </w:rPr>
        <w:lastRenderedPageBreak/>
        <w:t>the smooth functioning of the conference and the successful implementation of sustainability measures.</w:t>
      </w:r>
    </w:p>
    <w:p w14:paraId="62F7715B" w14:textId="69ED1328" w:rsidR="00D813E9"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Logistical considerations are paramount to the event's success, starting with venue arrangements. Selecting a sustainable venue with eco-friendly features and amenities is key to minimizing environmental impact (</w:t>
      </w:r>
      <w:r w:rsidR="00D3299E" w:rsidRPr="00100B4B">
        <w:rPr>
          <w:rFonts w:ascii="Times New Roman" w:hAnsi="Times New Roman" w:cs="Times New Roman"/>
          <w:color w:val="333333"/>
        </w:rPr>
        <w:t>Getz</w:t>
      </w:r>
      <w:r w:rsidRPr="00100B4B">
        <w:rPr>
          <w:rFonts w:ascii="Times New Roman" w:hAnsi="Times New Roman" w:cs="Times New Roman"/>
        </w:rPr>
        <w:t>, 20</w:t>
      </w:r>
      <w:r w:rsidR="00D3299E" w:rsidRPr="00100B4B">
        <w:rPr>
          <w:rFonts w:ascii="Times New Roman" w:hAnsi="Times New Roman" w:cs="Times New Roman"/>
        </w:rPr>
        <w:t>02</w:t>
      </w:r>
      <w:r w:rsidRPr="00100B4B">
        <w:rPr>
          <w:rFonts w:ascii="Times New Roman" w:hAnsi="Times New Roman" w:cs="Times New Roman"/>
        </w:rPr>
        <w:t>). Transportation options should prioritize sustainability, encouraging delegates to utilize public transit or carpooling to reduce emissions (Higgins-</w:t>
      </w:r>
      <w:proofErr w:type="spellStart"/>
      <w:r w:rsidRPr="00100B4B">
        <w:rPr>
          <w:rFonts w:ascii="Times New Roman" w:hAnsi="Times New Roman" w:cs="Times New Roman"/>
        </w:rPr>
        <w:t>Desbiolles</w:t>
      </w:r>
      <w:proofErr w:type="spellEnd"/>
      <w:r w:rsidRPr="00100B4B">
        <w:rPr>
          <w:rFonts w:ascii="Times New Roman" w:hAnsi="Times New Roman" w:cs="Times New Roman"/>
        </w:rPr>
        <w:t>, 20</w:t>
      </w:r>
      <w:r w:rsidR="00E65EF5" w:rsidRPr="00100B4B">
        <w:rPr>
          <w:rFonts w:ascii="Times New Roman" w:hAnsi="Times New Roman" w:cs="Times New Roman"/>
        </w:rPr>
        <w:t>18</w:t>
      </w:r>
      <w:r w:rsidRPr="00100B4B">
        <w:rPr>
          <w:rFonts w:ascii="Times New Roman" w:hAnsi="Times New Roman" w:cs="Times New Roman"/>
        </w:rPr>
        <w:t>). Accommodations should also align with sustainable principles, promoting energy efficiency, waste reduction, and responsible resource management (</w:t>
      </w:r>
      <w:r w:rsidR="00E65EF5" w:rsidRPr="00100B4B">
        <w:rPr>
          <w:rFonts w:ascii="Times New Roman" w:hAnsi="Times New Roman" w:cs="Times New Roman"/>
        </w:rPr>
        <w:t>Raj &amp; Musgrave, 2009</w:t>
      </w:r>
      <w:r w:rsidRPr="00100B4B">
        <w:rPr>
          <w:rFonts w:ascii="Times New Roman" w:hAnsi="Times New Roman" w:cs="Times New Roman"/>
        </w:rPr>
        <w:t>).</w:t>
      </w:r>
    </w:p>
    <w:p w14:paraId="7CE20D67" w14:textId="40C47976" w:rsidR="00F30725" w:rsidRPr="00100B4B" w:rsidRDefault="00D813E9"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By addressing these logistical considerations and ensuring adequate staffing with the necessary skills and expertise, the Sustainability Conference can effectively execute its objectives while minimizing its environmental footprint and setting a positive example for the hospitality industry.</w:t>
      </w:r>
    </w:p>
    <w:p w14:paraId="300FF5C9" w14:textId="36F08C5D" w:rsidR="00D50125" w:rsidRPr="00193E71" w:rsidRDefault="00D813E9"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Event Budget:</w:t>
      </w:r>
    </w:p>
    <w:p w14:paraId="39878028" w14:textId="04BFAC21" w:rsidR="00012D00" w:rsidRPr="00100B4B" w:rsidRDefault="00012D00" w:rsidP="00100B4B">
      <w:pPr>
        <w:spacing w:after="0" w:line="480" w:lineRule="auto"/>
        <w:contextualSpacing/>
        <w:jc w:val="both"/>
        <w:rPr>
          <w:rFonts w:ascii="Times New Roman" w:hAnsi="Times New Roman" w:cs="Times New Roman"/>
          <w:b/>
          <w:bCs/>
        </w:rPr>
      </w:pPr>
      <w:r w:rsidRPr="00100B4B">
        <w:rPr>
          <w:rFonts w:ascii="Times New Roman" w:hAnsi="Times New Roman" w:cs="Times New Roman"/>
          <w:noProof/>
        </w:rPr>
        <w:drawing>
          <wp:inline distT="0" distB="0" distL="0" distR="0" wp14:anchorId="6B3A96EB" wp14:editId="24DDD716">
            <wp:extent cx="2451100" cy="1173852"/>
            <wp:effectExtent l="0" t="0" r="6350" b="7620"/>
            <wp:docPr id="2" name="table" descr="A table with numbers on it&#10;&#10;Description automatically generated">
              <a:extLst xmlns:a="http://schemas.openxmlformats.org/drawingml/2006/main">
                <a:ext uri="{FF2B5EF4-FFF2-40B4-BE49-F238E27FC236}">
                  <a16:creationId xmlns:a16="http://schemas.microsoft.com/office/drawing/2014/main" id="{C7850ADB-7375-3BED-25E5-6060A5A105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A table with numbers on it&#10;&#10;Description automatically generated">
                      <a:extLst>
                        <a:ext uri="{FF2B5EF4-FFF2-40B4-BE49-F238E27FC236}">
                          <a16:creationId xmlns:a16="http://schemas.microsoft.com/office/drawing/2014/main" id="{C7850ADB-7375-3BED-25E5-6060A5A105CE}"/>
                        </a:ext>
                      </a:extLst>
                    </pic:cNvPr>
                    <pic:cNvPicPr>
                      <a:picLocks noChangeAspect="1"/>
                    </pic:cNvPicPr>
                  </pic:nvPicPr>
                  <pic:blipFill>
                    <a:blip r:embed="rId5"/>
                    <a:stretch>
                      <a:fillRect/>
                    </a:stretch>
                  </pic:blipFill>
                  <pic:spPr>
                    <a:xfrm>
                      <a:off x="0" y="0"/>
                      <a:ext cx="2462979" cy="1179541"/>
                    </a:xfrm>
                    <a:prstGeom prst="rect">
                      <a:avLst/>
                    </a:prstGeom>
                  </pic:spPr>
                </pic:pic>
              </a:graphicData>
            </a:graphic>
          </wp:inline>
        </w:drawing>
      </w:r>
      <w:r w:rsidRPr="00100B4B">
        <w:rPr>
          <w:rFonts w:ascii="Times New Roman" w:hAnsi="Times New Roman" w:cs="Times New Roman"/>
          <w:b/>
          <w:bCs/>
        </w:rPr>
        <w:t xml:space="preserve">     </w:t>
      </w:r>
      <w:r w:rsidRPr="00100B4B">
        <w:rPr>
          <w:rFonts w:ascii="Times New Roman" w:hAnsi="Times New Roman" w:cs="Times New Roman"/>
          <w:noProof/>
        </w:rPr>
        <w:drawing>
          <wp:inline distT="0" distB="0" distL="0" distR="0" wp14:anchorId="40056F47" wp14:editId="018F213E">
            <wp:extent cx="2581363" cy="1168309"/>
            <wp:effectExtent l="0" t="0" r="0" b="0"/>
            <wp:docPr id="2041262399" name="table" descr="A green and grey table with numbers&#10;&#10;Description automatically generated">
              <a:extLst xmlns:a="http://schemas.openxmlformats.org/drawingml/2006/main">
                <a:ext uri="{FF2B5EF4-FFF2-40B4-BE49-F238E27FC236}">
                  <a16:creationId xmlns:a16="http://schemas.microsoft.com/office/drawing/2014/main" id="{0E5F5E98-1DCB-278C-DBC8-B839E7ABFF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62399" name="table" descr="A green and grey table with numbers&#10;&#10;Description automatically generated">
                      <a:extLst>
                        <a:ext uri="{FF2B5EF4-FFF2-40B4-BE49-F238E27FC236}">
                          <a16:creationId xmlns:a16="http://schemas.microsoft.com/office/drawing/2014/main" id="{0E5F5E98-1DCB-278C-DBC8-B839E7ABFF27}"/>
                        </a:ext>
                      </a:extLst>
                    </pic:cNvPr>
                    <pic:cNvPicPr>
                      <a:picLocks noChangeAspect="1"/>
                    </pic:cNvPicPr>
                  </pic:nvPicPr>
                  <pic:blipFill>
                    <a:blip r:embed="rId6"/>
                    <a:stretch>
                      <a:fillRect/>
                    </a:stretch>
                  </pic:blipFill>
                  <pic:spPr>
                    <a:xfrm>
                      <a:off x="0" y="0"/>
                      <a:ext cx="2614169" cy="1183157"/>
                    </a:xfrm>
                    <a:prstGeom prst="rect">
                      <a:avLst/>
                    </a:prstGeom>
                  </pic:spPr>
                </pic:pic>
              </a:graphicData>
            </a:graphic>
          </wp:inline>
        </w:drawing>
      </w:r>
    </w:p>
    <w:p w14:paraId="0B8C967F" w14:textId="2B762B9A" w:rsidR="00CF1694" w:rsidRPr="00100B4B" w:rsidRDefault="00012D00" w:rsidP="00100B4B">
      <w:pPr>
        <w:spacing w:after="0" w:line="480" w:lineRule="auto"/>
        <w:contextualSpacing/>
        <w:jc w:val="both"/>
        <w:rPr>
          <w:rFonts w:ascii="Times New Roman" w:hAnsi="Times New Roman" w:cs="Times New Roman"/>
          <w:b/>
          <w:bCs/>
        </w:rPr>
      </w:pPr>
      <w:r w:rsidRPr="00100B4B">
        <w:rPr>
          <w:rFonts w:ascii="Times New Roman" w:hAnsi="Times New Roman" w:cs="Times New Roman"/>
          <w:noProof/>
        </w:rPr>
        <w:drawing>
          <wp:inline distT="0" distB="0" distL="0" distR="0" wp14:anchorId="6D7620FC" wp14:editId="17BD0BE0">
            <wp:extent cx="2533136" cy="1130300"/>
            <wp:effectExtent l="0" t="0" r="635" b="0"/>
            <wp:docPr id="688479099" name="table" descr="A green and grey table with white text&#10;&#10;Description automatically generated">
              <a:extLst xmlns:a="http://schemas.openxmlformats.org/drawingml/2006/main">
                <a:ext uri="{FF2B5EF4-FFF2-40B4-BE49-F238E27FC236}">
                  <a16:creationId xmlns:a16="http://schemas.microsoft.com/office/drawing/2014/main" id="{F11E4E39-0F17-D7EC-A91A-81E0F69946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79099" name="table" descr="A green and grey table with white text&#10;&#10;Description automatically generated">
                      <a:extLst>
                        <a:ext uri="{FF2B5EF4-FFF2-40B4-BE49-F238E27FC236}">
                          <a16:creationId xmlns:a16="http://schemas.microsoft.com/office/drawing/2014/main" id="{F11E4E39-0F17-D7EC-A91A-81E0F69946FD}"/>
                        </a:ext>
                      </a:extLst>
                    </pic:cNvPr>
                    <pic:cNvPicPr>
                      <a:picLocks noChangeAspect="1"/>
                    </pic:cNvPicPr>
                  </pic:nvPicPr>
                  <pic:blipFill>
                    <a:blip r:embed="rId7"/>
                    <a:stretch>
                      <a:fillRect/>
                    </a:stretch>
                  </pic:blipFill>
                  <pic:spPr>
                    <a:xfrm>
                      <a:off x="0" y="0"/>
                      <a:ext cx="2550019" cy="1137833"/>
                    </a:xfrm>
                    <a:prstGeom prst="rect">
                      <a:avLst/>
                    </a:prstGeom>
                  </pic:spPr>
                </pic:pic>
              </a:graphicData>
            </a:graphic>
          </wp:inline>
        </w:drawing>
      </w:r>
      <w:r w:rsidRPr="00100B4B">
        <w:rPr>
          <w:rFonts w:ascii="Times New Roman" w:hAnsi="Times New Roman" w:cs="Times New Roman"/>
          <w:b/>
          <w:bCs/>
        </w:rPr>
        <w:t xml:space="preserve">     </w:t>
      </w:r>
      <w:r w:rsidRPr="00100B4B">
        <w:rPr>
          <w:rFonts w:ascii="Times New Roman" w:hAnsi="Times New Roman" w:cs="Times New Roman"/>
          <w:noProof/>
        </w:rPr>
        <w:drawing>
          <wp:inline distT="0" distB="0" distL="0" distR="0" wp14:anchorId="28EDFE8E" wp14:editId="3EFA9062">
            <wp:extent cx="2526871" cy="1122045"/>
            <wp:effectExtent l="0" t="0" r="6985" b="1905"/>
            <wp:docPr id="529782823" name="table" descr="A green and grey table with numbers&#10;&#10;Description automatically generated">
              <a:extLst xmlns:a="http://schemas.openxmlformats.org/drawingml/2006/main">
                <a:ext uri="{FF2B5EF4-FFF2-40B4-BE49-F238E27FC236}">
                  <a16:creationId xmlns:a16="http://schemas.microsoft.com/office/drawing/2014/main" id="{3C4E1389-781B-874D-61B6-C70BA7AFDA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82823" name="table" descr="A green and grey table with numbers&#10;&#10;Description automatically generated">
                      <a:extLst>
                        <a:ext uri="{FF2B5EF4-FFF2-40B4-BE49-F238E27FC236}">
                          <a16:creationId xmlns:a16="http://schemas.microsoft.com/office/drawing/2014/main" id="{3C4E1389-781B-874D-61B6-C70BA7AFDAFD}"/>
                        </a:ext>
                      </a:extLst>
                    </pic:cNvPr>
                    <pic:cNvPicPr>
                      <a:picLocks noChangeAspect="1"/>
                    </pic:cNvPicPr>
                  </pic:nvPicPr>
                  <pic:blipFill>
                    <a:blip r:embed="rId8"/>
                    <a:stretch>
                      <a:fillRect/>
                    </a:stretch>
                  </pic:blipFill>
                  <pic:spPr>
                    <a:xfrm>
                      <a:off x="0" y="0"/>
                      <a:ext cx="2573562" cy="1142778"/>
                    </a:xfrm>
                    <a:prstGeom prst="rect">
                      <a:avLst/>
                    </a:prstGeom>
                  </pic:spPr>
                </pic:pic>
              </a:graphicData>
            </a:graphic>
          </wp:inline>
        </w:drawing>
      </w:r>
    </w:p>
    <w:p w14:paraId="1720E5E6" w14:textId="5BCE8E3C" w:rsidR="00D84E9B" w:rsidRPr="00100B4B" w:rsidRDefault="00D84E9B"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The event budget for the Sustainability Conference: "Navigating Green Horizons" encompasses a detailed breakdown of income and expenditure, along with explanations of cost allocations and identification of funding sources. Income sources include registration fees from attendees, sponsorships from businesses passionate about sustainability, and potentially grants </w:t>
      </w:r>
      <w:r w:rsidRPr="00100B4B">
        <w:rPr>
          <w:rFonts w:ascii="Times New Roman" w:hAnsi="Times New Roman" w:cs="Times New Roman"/>
        </w:rPr>
        <w:lastRenderedPageBreak/>
        <w:t>or funding from partnering organizations (Mason, 20</w:t>
      </w:r>
      <w:r w:rsidR="009015D2" w:rsidRPr="00100B4B">
        <w:rPr>
          <w:rFonts w:ascii="Times New Roman" w:hAnsi="Times New Roman" w:cs="Times New Roman"/>
        </w:rPr>
        <w:t>20</w:t>
      </w:r>
      <w:r w:rsidRPr="00100B4B">
        <w:rPr>
          <w:rFonts w:ascii="Times New Roman" w:hAnsi="Times New Roman" w:cs="Times New Roman"/>
        </w:rPr>
        <w:t xml:space="preserve">). On the expenditure side, major expenses include venue rental fees (£6,000), catering costs for providing sustainable and locally sourced food options (£4,000), staffing expenses (£3,000), marketing materials such as printing flyers, banners, and promotional items (£2,000), and other miscellaneous expenses (£2,000), </w:t>
      </w:r>
      <w:r w:rsidR="00D14322" w:rsidRPr="00100B4B">
        <w:rPr>
          <w:rFonts w:ascii="Times New Roman" w:hAnsi="Times New Roman" w:cs="Times New Roman"/>
        </w:rPr>
        <w:t>totalling</w:t>
      </w:r>
      <w:r w:rsidRPr="00100B4B">
        <w:rPr>
          <w:rFonts w:ascii="Times New Roman" w:hAnsi="Times New Roman" w:cs="Times New Roman"/>
        </w:rPr>
        <w:t xml:space="preserve"> to £17,000.</w:t>
      </w:r>
    </w:p>
    <w:p w14:paraId="642063AC" w14:textId="2A18BA00" w:rsidR="00D84E9B" w:rsidRPr="00100B4B" w:rsidRDefault="00D84E9B"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Cost allocations are essential to ensure that financial resources are effectively distributed to support various aspects of the conference (Mason, 2015). Venue rental fees cover the use of conference facilities, including meeting rooms, audio-visual equipment, and Wi-Fi access. Catering costs encompass the procurement of sustainable food options, beverages, and necessary service staff. Staffing expenses account for event coordination and sustainability specialist roles. Marketing materials expenses include design, printing, and distribution costs for promotional materials to raise awareness and attract attendees to the conference </w:t>
      </w:r>
      <w:r w:rsidR="009015D2" w:rsidRPr="00100B4B">
        <w:rPr>
          <w:rFonts w:ascii="Times New Roman" w:hAnsi="Times New Roman" w:cs="Times New Roman"/>
        </w:rPr>
        <w:t>(Mason, 2020)</w:t>
      </w:r>
      <w:r w:rsidRPr="00100B4B">
        <w:rPr>
          <w:rFonts w:ascii="Times New Roman" w:hAnsi="Times New Roman" w:cs="Times New Roman"/>
        </w:rPr>
        <w:t>.</w:t>
      </w:r>
    </w:p>
    <w:p w14:paraId="499CA363" w14:textId="2EE49004" w:rsidR="00D84E9B" w:rsidRPr="00100B4B" w:rsidRDefault="00D84E9B"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Funding sources for the conference primarily include registration fees paid by attendees (£8,000), sponsor contributions from businesses aligned with the conference theme (£7,000), and potential partnerships with organizations or government bodies providing financial support (£5,000), resulting in total revenues of £20,000. By diversifying funding sources and maximizing revenue streams, the conference organizers can ensure financial sustainability and the successful implementation of the event objectives.</w:t>
      </w:r>
    </w:p>
    <w:p w14:paraId="5141AAEC" w14:textId="25F3339F" w:rsidR="00F30725" w:rsidRPr="00100B4B" w:rsidRDefault="00F95F68"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A</w:t>
      </w:r>
      <w:r w:rsidR="00D84E9B" w:rsidRPr="00100B4B">
        <w:rPr>
          <w:rFonts w:ascii="Times New Roman" w:hAnsi="Times New Roman" w:cs="Times New Roman"/>
        </w:rPr>
        <w:t xml:space="preserve"> well-planned and transparent event budget is essential for the Sustainability Conference to effectively manage its finances, allocate resources efficiently, and ensure the successful execution of the event while advancing sustainability goals in the hospitality industry</w:t>
      </w:r>
      <w:r w:rsidR="00290A66" w:rsidRPr="00100B4B">
        <w:rPr>
          <w:rFonts w:ascii="Times New Roman" w:hAnsi="Times New Roman" w:cs="Times New Roman"/>
        </w:rPr>
        <w:t>.</w:t>
      </w:r>
    </w:p>
    <w:p w14:paraId="1799539A" w14:textId="1060874F" w:rsidR="00921D45" w:rsidRPr="00100B4B" w:rsidRDefault="00921D45"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Industry Trends/Impacts:</w:t>
      </w:r>
    </w:p>
    <w:p w14:paraId="5D90FE67" w14:textId="2745FBBF"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The meetings/events industry is experiencing several notable trends that are reshaping how conferences and gatherings are organized and executed. One significant trend is the increasing </w:t>
      </w:r>
      <w:r w:rsidRPr="00100B4B">
        <w:rPr>
          <w:rFonts w:ascii="Times New Roman" w:hAnsi="Times New Roman" w:cs="Times New Roman"/>
        </w:rPr>
        <w:lastRenderedPageBreak/>
        <w:t>emphasis on sustainability. With growing environmental awareness and concerns, event organizers are under pressure to adopt sustainable practices to minimize their ecological footprint and promote responsible tourism (Mair &amp; Jago, 201</w:t>
      </w:r>
      <w:r w:rsidR="00290A66" w:rsidRPr="00100B4B">
        <w:rPr>
          <w:rFonts w:ascii="Times New Roman" w:hAnsi="Times New Roman" w:cs="Times New Roman"/>
        </w:rPr>
        <w:t>0</w:t>
      </w:r>
      <w:r w:rsidRPr="00100B4B">
        <w:rPr>
          <w:rFonts w:ascii="Times New Roman" w:hAnsi="Times New Roman" w:cs="Times New Roman"/>
        </w:rPr>
        <w:t>).</w:t>
      </w:r>
    </w:p>
    <w:p w14:paraId="4E1F6DCA" w14:textId="7B8899AE"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Another emerging trend is the rise of virtual and hybrid event </w:t>
      </w:r>
      <w:r w:rsidR="00290A66" w:rsidRPr="00100B4B">
        <w:rPr>
          <w:rFonts w:ascii="Times New Roman" w:hAnsi="Times New Roman" w:cs="Times New Roman"/>
        </w:rPr>
        <w:t>formats.</w:t>
      </w:r>
      <w:r w:rsidRPr="00100B4B">
        <w:rPr>
          <w:rFonts w:ascii="Times New Roman" w:hAnsi="Times New Roman" w:cs="Times New Roman"/>
        </w:rPr>
        <w:t xml:space="preserve"> The COVID-19 pandemic accelerated the adoption of virtual technologies, leading to a surge in online conferences and meetings (</w:t>
      </w:r>
      <w:r w:rsidR="00D84F5E" w:rsidRPr="00100B4B">
        <w:rPr>
          <w:rFonts w:ascii="Times New Roman" w:hAnsi="Times New Roman" w:cs="Times New Roman"/>
        </w:rPr>
        <w:t>Gursoy &amp; Chi, 2020</w:t>
      </w:r>
      <w:r w:rsidRPr="00100B4B">
        <w:rPr>
          <w:rFonts w:ascii="Times New Roman" w:hAnsi="Times New Roman" w:cs="Times New Roman"/>
        </w:rPr>
        <w:t>). Hybrid formats, combining virtual and in-person components, offer flexibility and accessibility while reducing travel-related emissions and costs.</w:t>
      </w:r>
      <w:r w:rsidR="00D14322" w:rsidRPr="00100B4B">
        <w:rPr>
          <w:rFonts w:ascii="Times New Roman" w:hAnsi="Times New Roman" w:cs="Times New Roman"/>
        </w:rPr>
        <w:t xml:space="preserve"> </w:t>
      </w:r>
      <w:r w:rsidRPr="00100B4B">
        <w:rPr>
          <w:rFonts w:ascii="Times New Roman" w:hAnsi="Times New Roman" w:cs="Times New Roman"/>
        </w:rPr>
        <w:t>These</w:t>
      </w:r>
      <w:r w:rsidR="00D14322" w:rsidRPr="00100B4B">
        <w:rPr>
          <w:rFonts w:ascii="Times New Roman" w:hAnsi="Times New Roman" w:cs="Times New Roman"/>
        </w:rPr>
        <w:t xml:space="preserve"> </w:t>
      </w:r>
      <w:r w:rsidRPr="00100B4B">
        <w:rPr>
          <w:rFonts w:ascii="Times New Roman" w:hAnsi="Times New Roman" w:cs="Times New Roman"/>
        </w:rPr>
        <w:t>trends have significant implications for the Sustainability Conference: "Navigating Green Horizons." On one hand, the conference aligns perfectly with the industry's sustainability expectations, positioning itself as a leader in promoting eco-friendly practices within the hospitality sector (</w:t>
      </w:r>
      <w:r w:rsidR="00D84F5E" w:rsidRPr="00100B4B">
        <w:rPr>
          <w:rFonts w:ascii="Times New Roman" w:hAnsi="Times New Roman" w:cs="Times New Roman"/>
        </w:rPr>
        <w:t>Werner et al., 2020</w:t>
      </w:r>
      <w:r w:rsidRPr="00100B4B">
        <w:rPr>
          <w:rFonts w:ascii="Times New Roman" w:hAnsi="Times New Roman" w:cs="Times New Roman"/>
        </w:rPr>
        <w:t>). By embracing sustainability initiatives, the conference can attract environmentally conscious attendees and sponsors, enhancing its reputation and impact.</w:t>
      </w:r>
    </w:p>
    <w:p w14:paraId="3BE14701" w14:textId="55E56577"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However, the shift towards virtual and hybrid formats poses challenges for traditional conference models, such as maintaining attendee engagement and networking opportunities</w:t>
      </w:r>
      <w:r w:rsidR="00D84F5E" w:rsidRPr="00100B4B">
        <w:rPr>
          <w:rFonts w:ascii="Times New Roman" w:hAnsi="Times New Roman" w:cs="Times New Roman"/>
        </w:rPr>
        <w:t xml:space="preserve">. </w:t>
      </w:r>
      <w:r w:rsidRPr="00100B4B">
        <w:rPr>
          <w:rFonts w:ascii="Times New Roman" w:hAnsi="Times New Roman" w:cs="Times New Roman"/>
        </w:rPr>
        <w:t>To address these challenges, the conference can leverage adaptation strategies such as incorporating virtual components, such as live streaming sessions and virtual exhibitor booths, to enhance accessibility and reach a wider audience</w:t>
      </w:r>
      <w:r w:rsidR="00D84F5E" w:rsidRPr="00100B4B">
        <w:rPr>
          <w:rFonts w:ascii="Times New Roman" w:hAnsi="Times New Roman" w:cs="Times New Roman"/>
        </w:rPr>
        <w:t>.</w:t>
      </w:r>
      <w:r w:rsidRPr="00100B4B">
        <w:rPr>
          <w:rFonts w:ascii="Times New Roman" w:hAnsi="Times New Roman" w:cs="Times New Roman"/>
        </w:rPr>
        <w:t xml:space="preserve"> Additionally, promoting sustainability initiatives within the virtual space, such as carbon offsetting for online attendees, can further reinforce the conference's commitment to environmental stewardship </w:t>
      </w:r>
      <w:r w:rsidR="00D84F5E" w:rsidRPr="00100B4B">
        <w:rPr>
          <w:rFonts w:ascii="Times New Roman" w:hAnsi="Times New Roman" w:cs="Times New Roman"/>
        </w:rPr>
        <w:t>(Mair &amp; Jago, 2010).</w:t>
      </w:r>
    </w:p>
    <w:p w14:paraId="4100ECA7" w14:textId="6F7385E3" w:rsidR="00F30725" w:rsidRDefault="00F95F68"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B</w:t>
      </w:r>
      <w:r w:rsidR="00D14322" w:rsidRPr="00100B4B">
        <w:rPr>
          <w:rFonts w:ascii="Times New Roman" w:hAnsi="Times New Roman" w:cs="Times New Roman"/>
        </w:rPr>
        <w:t>y</w:t>
      </w:r>
      <w:r w:rsidR="00921D45" w:rsidRPr="00100B4B">
        <w:rPr>
          <w:rFonts w:ascii="Times New Roman" w:hAnsi="Times New Roman" w:cs="Times New Roman"/>
        </w:rPr>
        <w:t xml:space="preserve"> staying abreast of industry trends and adapting to changing demands, the Sustainability Conference can maximize its relevance, reach, and impact while advancing sustainability goals within the meetings/events industry.</w:t>
      </w:r>
    </w:p>
    <w:p w14:paraId="1C96754C" w14:textId="77777777" w:rsidR="00193E71" w:rsidRDefault="00193E71" w:rsidP="00100B4B">
      <w:pPr>
        <w:spacing w:after="0" w:line="480" w:lineRule="auto"/>
        <w:contextualSpacing/>
        <w:jc w:val="both"/>
        <w:rPr>
          <w:rFonts w:ascii="Times New Roman" w:hAnsi="Times New Roman" w:cs="Times New Roman"/>
        </w:rPr>
      </w:pPr>
    </w:p>
    <w:p w14:paraId="5C18A37C" w14:textId="77777777" w:rsidR="00193E71" w:rsidRPr="00100B4B" w:rsidRDefault="00193E71" w:rsidP="00100B4B">
      <w:pPr>
        <w:spacing w:after="0" w:line="480" w:lineRule="auto"/>
        <w:contextualSpacing/>
        <w:jc w:val="both"/>
        <w:rPr>
          <w:rFonts w:ascii="Times New Roman" w:hAnsi="Times New Roman" w:cs="Times New Roman"/>
        </w:rPr>
      </w:pPr>
    </w:p>
    <w:p w14:paraId="3C45C849" w14:textId="369ED03E" w:rsidR="00921D45" w:rsidRPr="00100B4B" w:rsidRDefault="00921D45"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lastRenderedPageBreak/>
        <w:t>Cultural and Situational Considerations:</w:t>
      </w:r>
    </w:p>
    <w:p w14:paraId="7D5BDA3F" w14:textId="1C72D9EA"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In planning the Sustainability Conference: "Navigating Green Horizons," cultural and situational considerations play a crucial role in ensuring the event's success and relevance within the local context. Understanding and respecting cultural nuances relevant to the event location, such as local customs and language preferences, are essential for fostering positive interactions and creating an inclusive environment for attendees (</w:t>
      </w:r>
      <w:r w:rsidR="00031E95" w:rsidRPr="00100B4B">
        <w:rPr>
          <w:rFonts w:ascii="Times New Roman" w:hAnsi="Times New Roman" w:cs="Times New Roman"/>
        </w:rPr>
        <w:t>Quinn et al., 2020</w:t>
      </w:r>
      <w:r w:rsidRPr="00100B4B">
        <w:rPr>
          <w:rFonts w:ascii="Times New Roman" w:hAnsi="Times New Roman" w:cs="Times New Roman"/>
        </w:rPr>
        <w:t>). For instance, incorporating elements of the local culture into the conference program, such as traditional performances or cuisine, can enhance the overall participant experience and promote cultural exchange (</w:t>
      </w:r>
      <w:proofErr w:type="spellStart"/>
      <w:r w:rsidR="00031E95" w:rsidRPr="00100B4B">
        <w:rPr>
          <w:rFonts w:ascii="Times New Roman" w:hAnsi="Times New Roman" w:cs="Times New Roman"/>
        </w:rPr>
        <w:t>Jelincic</w:t>
      </w:r>
      <w:proofErr w:type="spellEnd"/>
      <w:r w:rsidR="00031E95" w:rsidRPr="00100B4B">
        <w:rPr>
          <w:rFonts w:ascii="Times New Roman" w:hAnsi="Times New Roman" w:cs="Times New Roman"/>
        </w:rPr>
        <w:t xml:space="preserve"> &amp; </w:t>
      </w:r>
      <w:proofErr w:type="spellStart"/>
      <w:r w:rsidR="00031E95" w:rsidRPr="00100B4B">
        <w:rPr>
          <w:rFonts w:ascii="Times New Roman" w:hAnsi="Times New Roman" w:cs="Times New Roman"/>
        </w:rPr>
        <w:t>Glivetić</w:t>
      </w:r>
      <w:proofErr w:type="spellEnd"/>
      <w:r w:rsidR="00031E95" w:rsidRPr="00100B4B">
        <w:rPr>
          <w:rFonts w:ascii="Times New Roman" w:hAnsi="Times New Roman" w:cs="Times New Roman"/>
        </w:rPr>
        <w:t>, 2020</w:t>
      </w:r>
      <w:r w:rsidRPr="00100B4B">
        <w:rPr>
          <w:rFonts w:ascii="Times New Roman" w:hAnsi="Times New Roman" w:cs="Times New Roman"/>
        </w:rPr>
        <w:t>).</w:t>
      </w:r>
    </w:p>
    <w:p w14:paraId="27221CBB" w14:textId="4B7CDD73"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Situational factors also influence event planning and execution, including regulatory requirements and community engagement expectations (</w:t>
      </w:r>
      <w:r w:rsidR="00031E95" w:rsidRPr="00100B4B">
        <w:rPr>
          <w:rFonts w:ascii="Times New Roman" w:hAnsi="Times New Roman" w:cs="Times New Roman"/>
        </w:rPr>
        <w:t>Perry et al., 2020</w:t>
      </w:r>
      <w:r w:rsidRPr="00100B4B">
        <w:rPr>
          <w:rFonts w:ascii="Times New Roman" w:hAnsi="Times New Roman" w:cs="Times New Roman"/>
        </w:rPr>
        <w:t>). Compliance with local regulations governing events, such as permits and safety standards, is essential to ensure legal compliance and mitigate potential risks. Additionally, engaging with the local community and stakeholders can foster goodwill and support for the event, enhancing its social impact and sustainability (</w:t>
      </w:r>
      <w:r w:rsidR="00031E95" w:rsidRPr="00100B4B">
        <w:rPr>
          <w:rFonts w:ascii="Times New Roman" w:hAnsi="Times New Roman" w:cs="Times New Roman"/>
        </w:rPr>
        <w:t>Perry et al., 2020</w:t>
      </w:r>
      <w:r w:rsidRPr="00100B4B">
        <w:rPr>
          <w:rFonts w:ascii="Times New Roman" w:hAnsi="Times New Roman" w:cs="Times New Roman"/>
        </w:rPr>
        <w:t>).</w:t>
      </w:r>
    </w:p>
    <w:p w14:paraId="62B4E93B" w14:textId="15BCA7CD" w:rsidR="00921D45" w:rsidRPr="00100B4B" w:rsidRDefault="00921D4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Considering cultural and situational aspects is vital for successful event delivery as it contributes to an enhanced participant experience and helps to avoid cultural missteps that could undermine the conference's objectives (</w:t>
      </w:r>
      <w:r w:rsidR="00F361E3" w:rsidRPr="00100B4B">
        <w:rPr>
          <w:rFonts w:ascii="Times New Roman" w:hAnsi="Times New Roman" w:cs="Times New Roman"/>
        </w:rPr>
        <w:t>Neal et al., 2015</w:t>
      </w:r>
      <w:r w:rsidRPr="00100B4B">
        <w:rPr>
          <w:rFonts w:ascii="Times New Roman" w:hAnsi="Times New Roman" w:cs="Times New Roman"/>
        </w:rPr>
        <w:t>). By embracing cultural diversity and respecting local customs, the Sustainability Conference can create a welcoming and inclusive atmosphere that resonates with attendees from diverse backgrounds. Furthermore, addressing situational factors such as regulatory compliance and community engagement ensures smooth event operations and builds positive relationships with stakeholders, contributing to the event's long-term success and sustainability (</w:t>
      </w:r>
      <w:r w:rsidR="00F361E3" w:rsidRPr="00100B4B">
        <w:rPr>
          <w:rFonts w:ascii="Times New Roman" w:hAnsi="Times New Roman" w:cs="Times New Roman"/>
        </w:rPr>
        <w:t>Maguire</w:t>
      </w:r>
      <w:r w:rsidRPr="00100B4B">
        <w:rPr>
          <w:rFonts w:ascii="Times New Roman" w:hAnsi="Times New Roman" w:cs="Times New Roman"/>
        </w:rPr>
        <w:t>, 202</w:t>
      </w:r>
      <w:r w:rsidR="00F361E3" w:rsidRPr="00100B4B">
        <w:rPr>
          <w:rFonts w:ascii="Times New Roman" w:hAnsi="Times New Roman" w:cs="Times New Roman"/>
        </w:rPr>
        <w:t>0</w:t>
      </w:r>
      <w:r w:rsidRPr="00100B4B">
        <w:rPr>
          <w:rFonts w:ascii="Times New Roman" w:hAnsi="Times New Roman" w:cs="Times New Roman"/>
        </w:rPr>
        <w:t>).</w:t>
      </w:r>
    </w:p>
    <w:p w14:paraId="61FB65B3" w14:textId="3DE45897" w:rsidR="00F30725" w:rsidRPr="00100B4B" w:rsidRDefault="00F95F68"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lastRenderedPageBreak/>
        <w:t>C</w:t>
      </w:r>
      <w:r w:rsidR="00D141C2" w:rsidRPr="00100B4B">
        <w:rPr>
          <w:rFonts w:ascii="Times New Roman" w:hAnsi="Times New Roman" w:cs="Times New Roman"/>
        </w:rPr>
        <w:t>ultural,</w:t>
      </w:r>
      <w:r w:rsidR="00921D45" w:rsidRPr="00100B4B">
        <w:rPr>
          <w:rFonts w:ascii="Times New Roman" w:hAnsi="Times New Roman" w:cs="Times New Roman"/>
        </w:rPr>
        <w:t xml:space="preserve"> and situational considerations are integral to the planning and execution of the Sustainability Conference, enabling organizers to create a meaningful and impactful event experience while respecting local customs and regulations.</w:t>
      </w:r>
    </w:p>
    <w:p w14:paraId="09FBC03E" w14:textId="4D15E1D1" w:rsidR="00921D45" w:rsidRPr="00100B4B" w:rsidRDefault="006E7835" w:rsidP="00100B4B">
      <w:pPr>
        <w:pStyle w:val="ListParagraph"/>
        <w:numPr>
          <w:ilvl w:val="0"/>
          <w:numId w:val="1"/>
        </w:numPr>
        <w:spacing w:after="0" w:line="480" w:lineRule="auto"/>
        <w:ind w:left="0" w:firstLine="0"/>
        <w:jc w:val="both"/>
        <w:rPr>
          <w:rFonts w:ascii="Times New Roman" w:hAnsi="Times New Roman" w:cs="Times New Roman"/>
          <w:b/>
          <w:bCs/>
        </w:rPr>
      </w:pPr>
      <w:r w:rsidRPr="00100B4B">
        <w:rPr>
          <w:rFonts w:ascii="Times New Roman" w:hAnsi="Times New Roman" w:cs="Times New Roman"/>
          <w:b/>
          <w:bCs/>
        </w:rPr>
        <w:t>Co</w:t>
      </w:r>
      <w:r w:rsidR="00921D45" w:rsidRPr="00100B4B">
        <w:rPr>
          <w:rFonts w:ascii="Times New Roman" w:hAnsi="Times New Roman" w:cs="Times New Roman"/>
          <w:b/>
          <w:bCs/>
        </w:rPr>
        <w:t>nclusion:</w:t>
      </w:r>
    </w:p>
    <w:p w14:paraId="53AC954F" w14:textId="79AC73B2" w:rsidR="006E7835" w:rsidRPr="00100B4B" w:rsidRDefault="00D14322"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T</w:t>
      </w:r>
      <w:r w:rsidR="006E7835" w:rsidRPr="00100B4B">
        <w:rPr>
          <w:rFonts w:ascii="Times New Roman" w:hAnsi="Times New Roman" w:cs="Times New Roman"/>
        </w:rPr>
        <w:t>he Sustainability Conference: "Navigating Green Horizons" represents a significant opportunity to advance sustainable practices within the hospitality industry. Throughout this report, key considerations for strategic planning and delivery have been discussed, emphasizing the importance of meticulous planning and execution for successful event outcomes. By adhering to the principles of sustainability and incorporating innovative approaches, the conference aims to inspire positive change and foster collaboration among industry stakeholders.</w:t>
      </w:r>
    </w:p>
    <w:p w14:paraId="683684B6" w14:textId="604B6BC9" w:rsidR="006E7835" w:rsidRPr="00100B4B" w:rsidRDefault="006E783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Despite the promising prospects, planning and delivering an international meeting/event of this scale also present several challenges. These include logistical complexities, such as ensuring regulatory compliance and addressing cultural nuances, as well as the need to navigate evolving industry trends, such as the shift towards virtual/hybrid formats. However, these challenges also present opportunities for innovation and adaptation, such as incorporating virtual components to enhance accessibility and reach a wider audience.</w:t>
      </w:r>
    </w:p>
    <w:p w14:paraId="0E8E2E56" w14:textId="46562750" w:rsidR="006E7835" w:rsidRPr="00100B4B" w:rsidRDefault="006E7835"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t xml:space="preserve">Looking ahead, the Sustainability Conference has the potential to make a significant impact on sustainability efforts within the hospitality industry. By bringing together thought leaders, practitioners, and policymakers, the conference can facilitate knowledge exchange, collaboration, and the development of actionable strategies to address pressing environmental challenges. Moreover, the event serves as a platform to showcase best practices, inspire innovation, and </w:t>
      </w:r>
      <w:r w:rsidR="00DC219D" w:rsidRPr="00100B4B">
        <w:rPr>
          <w:rFonts w:ascii="Times New Roman" w:hAnsi="Times New Roman" w:cs="Times New Roman"/>
        </w:rPr>
        <w:t>facilitate</w:t>
      </w:r>
      <w:r w:rsidRPr="00100B4B">
        <w:rPr>
          <w:rFonts w:ascii="Times New Roman" w:hAnsi="Times New Roman" w:cs="Times New Roman"/>
        </w:rPr>
        <w:t xml:space="preserve"> positive change across the industry, contributing to a more sustainable and resilient future for hospitality.</w:t>
      </w:r>
    </w:p>
    <w:p w14:paraId="76946D7F" w14:textId="0A49ABA7" w:rsidR="00921D45" w:rsidRPr="00100B4B" w:rsidRDefault="00DC219D" w:rsidP="00100B4B">
      <w:pPr>
        <w:spacing w:after="0" w:line="480" w:lineRule="auto"/>
        <w:contextualSpacing/>
        <w:jc w:val="both"/>
        <w:rPr>
          <w:rFonts w:ascii="Times New Roman" w:hAnsi="Times New Roman" w:cs="Times New Roman"/>
        </w:rPr>
      </w:pPr>
      <w:r w:rsidRPr="00100B4B">
        <w:rPr>
          <w:rFonts w:ascii="Times New Roman" w:hAnsi="Times New Roman" w:cs="Times New Roman"/>
        </w:rPr>
        <w:lastRenderedPageBreak/>
        <w:t xml:space="preserve">The Sustainability Conference offers an exceptional platform for advancing sustainability events within the hospitality sector. By employing meticulous strategic planning, ensuring efficient execution, and unwavering dedication to sustainability principles, </w:t>
      </w:r>
      <w:r w:rsidR="00100B4B" w:rsidRPr="00100B4B">
        <w:rPr>
          <w:rFonts w:ascii="Times New Roman" w:hAnsi="Times New Roman" w:cs="Times New Roman"/>
        </w:rPr>
        <w:t>this</w:t>
      </w:r>
      <w:r w:rsidRPr="00100B4B">
        <w:rPr>
          <w:rFonts w:ascii="Times New Roman" w:hAnsi="Times New Roman" w:cs="Times New Roman"/>
        </w:rPr>
        <w:t xml:space="preserve"> conference is positioned to inspire significant changes within the </w:t>
      </w:r>
      <w:r w:rsidR="00100B4B" w:rsidRPr="00100B4B">
        <w:rPr>
          <w:rFonts w:ascii="Times New Roman" w:hAnsi="Times New Roman" w:cs="Times New Roman"/>
        </w:rPr>
        <w:t>industry.</w:t>
      </w:r>
      <w:r w:rsidRPr="00100B4B">
        <w:rPr>
          <w:rFonts w:ascii="Times New Roman" w:hAnsi="Times New Roman" w:cs="Times New Roman"/>
        </w:rPr>
        <w:t xml:space="preserve"> Its potential to foster a profound and enduring impact on the sector is undeniable, influencing its direction towards a future characterized by heightened environmental awareness and enhanced social responsibility. Through collaborative efforts and innovative approaches showcased at the conference, stakeholders have a unique opportunity to initiate transformative measures, setting the stage for a more sustainable and ethically driven future for hospitality.</w:t>
      </w:r>
    </w:p>
    <w:p w14:paraId="0FF85A30" w14:textId="77777777" w:rsidR="00921D45" w:rsidRPr="00D3428A" w:rsidRDefault="00921D45" w:rsidP="00D3428A">
      <w:pPr>
        <w:spacing w:after="0" w:line="360" w:lineRule="auto"/>
        <w:contextualSpacing/>
        <w:jc w:val="both"/>
        <w:rPr>
          <w:rFonts w:ascii="Arial" w:hAnsi="Arial" w:cs="Arial"/>
          <w:sz w:val="22"/>
          <w:szCs w:val="22"/>
        </w:rPr>
      </w:pPr>
    </w:p>
    <w:p w14:paraId="3E3D28D2" w14:textId="77777777" w:rsidR="00CB300E" w:rsidRDefault="00CB300E" w:rsidP="00D3428A">
      <w:pPr>
        <w:spacing w:after="0" w:line="360" w:lineRule="auto"/>
        <w:contextualSpacing/>
        <w:jc w:val="both"/>
        <w:rPr>
          <w:rFonts w:ascii="Arial" w:hAnsi="Arial" w:cs="Arial"/>
          <w:sz w:val="22"/>
          <w:szCs w:val="22"/>
        </w:rPr>
      </w:pPr>
    </w:p>
    <w:p w14:paraId="21889AA3" w14:textId="77777777" w:rsidR="00D2385F" w:rsidRDefault="00D2385F" w:rsidP="00D3428A">
      <w:pPr>
        <w:spacing w:after="0" w:line="360" w:lineRule="auto"/>
        <w:contextualSpacing/>
        <w:jc w:val="both"/>
        <w:rPr>
          <w:rFonts w:ascii="Arial" w:hAnsi="Arial" w:cs="Arial"/>
          <w:sz w:val="22"/>
          <w:szCs w:val="22"/>
        </w:rPr>
      </w:pPr>
    </w:p>
    <w:p w14:paraId="42A7D611" w14:textId="77777777" w:rsidR="00F30725" w:rsidRDefault="00F30725" w:rsidP="00D3428A">
      <w:pPr>
        <w:spacing w:after="0" w:line="360" w:lineRule="auto"/>
        <w:contextualSpacing/>
        <w:jc w:val="both"/>
        <w:rPr>
          <w:rFonts w:ascii="Arial" w:hAnsi="Arial" w:cs="Arial"/>
          <w:sz w:val="22"/>
          <w:szCs w:val="22"/>
        </w:rPr>
      </w:pPr>
    </w:p>
    <w:p w14:paraId="1FF3719F" w14:textId="77777777" w:rsidR="00F30725" w:rsidRDefault="00F30725" w:rsidP="00D3428A">
      <w:pPr>
        <w:spacing w:after="0" w:line="360" w:lineRule="auto"/>
        <w:contextualSpacing/>
        <w:jc w:val="both"/>
        <w:rPr>
          <w:rFonts w:ascii="Arial" w:hAnsi="Arial" w:cs="Arial"/>
          <w:sz w:val="22"/>
          <w:szCs w:val="22"/>
        </w:rPr>
      </w:pPr>
    </w:p>
    <w:p w14:paraId="04F842B0" w14:textId="77777777" w:rsidR="00F30725" w:rsidRDefault="00F30725" w:rsidP="00D3428A">
      <w:pPr>
        <w:spacing w:after="0" w:line="360" w:lineRule="auto"/>
        <w:contextualSpacing/>
        <w:jc w:val="both"/>
        <w:rPr>
          <w:rFonts w:ascii="Arial" w:hAnsi="Arial" w:cs="Arial"/>
          <w:sz w:val="22"/>
          <w:szCs w:val="22"/>
        </w:rPr>
      </w:pPr>
    </w:p>
    <w:p w14:paraId="3164DD17" w14:textId="77777777" w:rsidR="00F30725" w:rsidRDefault="00F30725" w:rsidP="00D3428A">
      <w:pPr>
        <w:spacing w:after="0" w:line="360" w:lineRule="auto"/>
        <w:contextualSpacing/>
        <w:jc w:val="both"/>
        <w:rPr>
          <w:rFonts w:ascii="Arial" w:hAnsi="Arial" w:cs="Arial"/>
          <w:sz w:val="22"/>
          <w:szCs w:val="22"/>
        </w:rPr>
      </w:pPr>
    </w:p>
    <w:p w14:paraId="790AC5BA" w14:textId="77777777" w:rsidR="00F30725" w:rsidRDefault="00F30725" w:rsidP="00D3428A">
      <w:pPr>
        <w:spacing w:after="0" w:line="360" w:lineRule="auto"/>
        <w:contextualSpacing/>
        <w:jc w:val="both"/>
        <w:rPr>
          <w:rFonts w:ascii="Arial" w:hAnsi="Arial" w:cs="Arial"/>
          <w:sz w:val="22"/>
          <w:szCs w:val="22"/>
        </w:rPr>
      </w:pPr>
    </w:p>
    <w:p w14:paraId="019312A6" w14:textId="77777777" w:rsidR="00F30725" w:rsidRDefault="00F30725" w:rsidP="00D3428A">
      <w:pPr>
        <w:spacing w:after="0" w:line="360" w:lineRule="auto"/>
        <w:contextualSpacing/>
        <w:jc w:val="both"/>
        <w:rPr>
          <w:rFonts w:ascii="Arial" w:hAnsi="Arial" w:cs="Arial"/>
          <w:sz w:val="22"/>
          <w:szCs w:val="22"/>
        </w:rPr>
      </w:pPr>
    </w:p>
    <w:p w14:paraId="4B6BE78F" w14:textId="77777777" w:rsidR="00F30725" w:rsidRDefault="00F30725" w:rsidP="00D3428A">
      <w:pPr>
        <w:spacing w:after="0" w:line="360" w:lineRule="auto"/>
        <w:contextualSpacing/>
        <w:jc w:val="both"/>
        <w:rPr>
          <w:rFonts w:ascii="Arial" w:hAnsi="Arial" w:cs="Arial"/>
          <w:sz w:val="22"/>
          <w:szCs w:val="22"/>
        </w:rPr>
      </w:pPr>
    </w:p>
    <w:p w14:paraId="4A5EB824" w14:textId="77777777" w:rsidR="00F30725" w:rsidRDefault="00F30725" w:rsidP="00D3428A">
      <w:pPr>
        <w:spacing w:after="0" w:line="360" w:lineRule="auto"/>
        <w:contextualSpacing/>
        <w:jc w:val="both"/>
        <w:rPr>
          <w:rFonts w:ascii="Arial" w:hAnsi="Arial" w:cs="Arial"/>
          <w:sz w:val="22"/>
          <w:szCs w:val="22"/>
        </w:rPr>
      </w:pPr>
    </w:p>
    <w:p w14:paraId="40E77F49" w14:textId="77777777" w:rsidR="00F30725" w:rsidRDefault="00F30725" w:rsidP="00D3428A">
      <w:pPr>
        <w:spacing w:after="0" w:line="360" w:lineRule="auto"/>
        <w:contextualSpacing/>
        <w:jc w:val="both"/>
        <w:rPr>
          <w:rFonts w:ascii="Arial" w:hAnsi="Arial" w:cs="Arial"/>
          <w:sz w:val="22"/>
          <w:szCs w:val="22"/>
        </w:rPr>
      </w:pPr>
    </w:p>
    <w:p w14:paraId="17A0125C" w14:textId="77777777" w:rsidR="00F30725" w:rsidRDefault="00F30725" w:rsidP="00D3428A">
      <w:pPr>
        <w:spacing w:after="0" w:line="360" w:lineRule="auto"/>
        <w:contextualSpacing/>
        <w:jc w:val="both"/>
        <w:rPr>
          <w:rFonts w:ascii="Arial" w:hAnsi="Arial" w:cs="Arial"/>
          <w:sz w:val="22"/>
          <w:szCs w:val="22"/>
        </w:rPr>
      </w:pPr>
    </w:p>
    <w:p w14:paraId="0AE66EF4" w14:textId="77777777" w:rsidR="00F30725" w:rsidRDefault="00F30725" w:rsidP="00D3428A">
      <w:pPr>
        <w:spacing w:after="0" w:line="360" w:lineRule="auto"/>
        <w:contextualSpacing/>
        <w:jc w:val="both"/>
        <w:rPr>
          <w:rFonts w:ascii="Arial" w:hAnsi="Arial" w:cs="Arial"/>
          <w:sz w:val="22"/>
          <w:szCs w:val="22"/>
        </w:rPr>
      </w:pPr>
    </w:p>
    <w:p w14:paraId="0CDDDAD0" w14:textId="77777777" w:rsidR="00F30725" w:rsidRDefault="00F30725" w:rsidP="00D3428A">
      <w:pPr>
        <w:spacing w:after="0" w:line="360" w:lineRule="auto"/>
        <w:contextualSpacing/>
        <w:jc w:val="both"/>
        <w:rPr>
          <w:rFonts w:ascii="Arial" w:hAnsi="Arial" w:cs="Arial"/>
          <w:sz w:val="22"/>
          <w:szCs w:val="22"/>
        </w:rPr>
      </w:pPr>
    </w:p>
    <w:p w14:paraId="0A599A5B" w14:textId="77777777" w:rsidR="00F30725" w:rsidRDefault="00F30725" w:rsidP="00D3428A">
      <w:pPr>
        <w:spacing w:after="0" w:line="360" w:lineRule="auto"/>
        <w:contextualSpacing/>
        <w:jc w:val="both"/>
        <w:rPr>
          <w:rFonts w:ascii="Arial" w:hAnsi="Arial" w:cs="Arial"/>
          <w:sz w:val="22"/>
          <w:szCs w:val="22"/>
        </w:rPr>
      </w:pPr>
    </w:p>
    <w:p w14:paraId="0A3A792B" w14:textId="77777777" w:rsidR="00F30725" w:rsidRDefault="00F30725" w:rsidP="00D3428A">
      <w:pPr>
        <w:spacing w:after="0" w:line="360" w:lineRule="auto"/>
        <w:contextualSpacing/>
        <w:jc w:val="both"/>
        <w:rPr>
          <w:rFonts w:ascii="Arial" w:hAnsi="Arial" w:cs="Arial"/>
          <w:sz w:val="22"/>
          <w:szCs w:val="22"/>
        </w:rPr>
      </w:pPr>
    </w:p>
    <w:p w14:paraId="4367BB41" w14:textId="77777777" w:rsidR="00F30725" w:rsidRDefault="00F30725" w:rsidP="00D3428A">
      <w:pPr>
        <w:spacing w:after="0" w:line="360" w:lineRule="auto"/>
        <w:contextualSpacing/>
        <w:jc w:val="both"/>
        <w:rPr>
          <w:rFonts w:ascii="Arial" w:hAnsi="Arial" w:cs="Arial"/>
          <w:sz w:val="22"/>
          <w:szCs w:val="22"/>
        </w:rPr>
      </w:pPr>
    </w:p>
    <w:p w14:paraId="51D9803C" w14:textId="77777777" w:rsidR="00F30725" w:rsidRDefault="00F30725" w:rsidP="00D3428A">
      <w:pPr>
        <w:spacing w:after="0" w:line="360" w:lineRule="auto"/>
        <w:contextualSpacing/>
        <w:jc w:val="both"/>
        <w:rPr>
          <w:rFonts w:ascii="Arial" w:hAnsi="Arial" w:cs="Arial"/>
          <w:sz w:val="22"/>
          <w:szCs w:val="22"/>
        </w:rPr>
      </w:pPr>
    </w:p>
    <w:p w14:paraId="0857CD7A" w14:textId="77777777" w:rsidR="00F30725" w:rsidRDefault="00F30725" w:rsidP="00D3428A">
      <w:pPr>
        <w:spacing w:after="0" w:line="360" w:lineRule="auto"/>
        <w:contextualSpacing/>
        <w:jc w:val="both"/>
        <w:rPr>
          <w:rFonts w:ascii="Arial" w:hAnsi="Arial" w:cs="Arial"/>
          <w:sz w:val="22"/>
          <w:szCs w:val="22"/>
        </w:rPr>
      </w:pPr>
    </w:p>
    <w:p w14:paraId="0FAFF09E" w14:textId="77777777" w:rsidR="00CF1694" w:rsidRDefault="00CF1694" w:rsidP="00D3428A">
      <w:pPr>
        <w:spacing w:after="0" w:line="360" w:lineRule="auto"/>
        <w:contextualSpacing/>
        <w:jc w:val="both"/>
        <w:rPr>
          <w:rFonts w:ascii="Arial" w:hAnsi="Arial" w:cs="Arial"/>
          <w:sz w:val="22"/>
          <w:szCs w:val="22"/>
        </w:rPr>
      </w:pPr>
    </w:p>
    <w:p w14:paraId="5F1A5D3F" w14:textId="77777777" w:rsidR="00F30725" w:rsidRDefault="00F30725" w:rsidP="00D3428A">
      <w:pPr>
        <w:spacing w:after="0" w:line="360" w:lineRule="auto"/>
        <w:contextualSpacing/>
        <w:jc w:val="both"/>
        <w:rPr>
          <w:rFonts w:ascii="Arial" w:hAnsi="Arial" w:cs="Arial"/>
          <w:sz w:val="22"/>
          <w:szCs w:val="22"/>
        </w:rPr>
      </w:pPr>
    </w:p>
    <w:p w14:paraId="4B50E1ED" w14:textId="77777777" w:rsidR="00F30725" w:rsidRDefault="00F30725" w:rsidP="00D3428A">
      <w:pPr>
        <w:spacing w:after="0" w:line="360" w:lineRule="auto"/>
        <w:contextualSpacing/>
        <w:jc w:val="both"/>
        <w:rPr>
          <w:rFonts w:ascii="Arial" w:hAnsi="Arial" w:cs="Arial"/>
          <w:sz w:val="22"/>
          <w:szCs w:val="22"/>
        </w:rPr>
      </w:pPr>
    </w:p>
    <w:p w14:paraId="46A3545C" w14:textId="77777777" w:rsidR="00100B4B" w:rsidRDefault="00100B4B" w:rsidP="00681E7C">
      <w:pPr>
        <w:spacing w:after="0" w:line="360" w:lineRule="auto"/>
        <w:contextualSpacing/>
        <w:jc w:val="both"/>
        <w:rPr>
          <w:rFonts w:ascii="Arial" w:hAnsi="Arial" w:cs="Arial"/>
          <w:b/>
          <w:bCs/>
          <w:sz w:val="22"/>
          <w:szCs w:val="22"/>
        </w:rPr>
      </w:pPr>
    </w:p>
    <w:p w14:paraId="508CD431" w14:textId="58F83F5A" w:rsidR="00D2385F" w:rsidRPr="004A6F8F" w:rsidRDefault="00D2385F" w:rsidP="004A6F8F">
      <w:pPr>
        <w:spacing w:after="0" w:line="480" w:lineRule="auto"/>
        <w:contextualSpacing/>
        <w:jc w:val="both"/>
        <w:rPr>
          <w:rFonts w:ascii="Times New Roman" w:hAnsi="Times New Roman" w:cs="Times New Roman"/>
          <w:b/>
          <w:bCs/>
        </w:rPr>
      </w:pPr>
      <w:r w:rsidRPr="004A6F8F">
        <w:rPr>
          <w:rFonts w:ascii="Times New Roman" w:hAnsi="Times New Roman" w:cs="Times New Roman"/>
          <w:b/>
          <w:bCs/>
        </w:rPr>
        <w:lastRenderedPageBreak/>
        <w:t>References:</w:t>
      </w:r>
    </w:p>
    <w:p w14:paraId="30DDF484" w14:textId="4B8C61B4"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Allen, J., O'Toole, W., Harris, R., &amp; McDonnell, I. (2008). Festival and Special Event Management (4th ed.). Wiley.</w:t>
      </w:r>
    </w:p>
    <w:p w14:paraId="7F4C47B0" w14:textId="094584B1"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val="it-IT" w:eastAsia="en-GB"/>
          <w14:ligatures w14:val="none"/>
        </w:rPr>
        <w:t xml:space="preserve">Bartolacci, F., Caputo, A., &amp; Soverchia, M. (2020). </w:t>
      </w:r>
      <w:r w:rsidRPr="004A6F8F">
        <w:rPr>
          <w:rFonts w:ascii="Times New Roman" w:eastAsia="Times New Roman" w:hAnsi="Times New Roman" w:cs="Times New Roman"/>
          <w:kern w:val="0"/>
          <w:lang w:eastAsia="en-GB"/>
          <w14:ligatures w14:val="none"/>
        </w:rPr>
        <w:t>Sustainability and financial performance of small and medium-sized enterprises: A bibliometric and systematic literature review. Business Strategy and the Environment, 29(3), 1297-1309.</w:t>
      </w:r>
    </w:p>
    <w:p w14:paraId="576F587D"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proofErr w:type="spellStart"/>
      <w:r w:rsidRPr="004A6F8F">
        <w:rPr>
          <w:rFonts w:ascii="Times New Roman" w:eastAsia="Times New Roman" w:hAnsi="Times New Roman" w:cs="Times New Roman"/>
          <w:kern w:val="0"/>
          <w:lang w:eastAsia="en-GB"/>
          <w14:ligatures w14:val="none"/>
        </w:rPr>
        <w:t>Berezan</w:t>
      </w:r>
      <w:proofErr w:type="spellEnd"/>
      <w:r w:rsidRPr="004A6F8F">
        <w:rPr>
          <w:rFonts w:ascii="Times New Roman" w:eastAsia="Times New Roman" w:hAnsi="Times New Roman" w:cs="Times New Roman"/>
          <w:kern w:val="0"/>
          <w:lang w:eastAsia="en-GB"/>
          <w14:ligatures w14:val="none"/>
        </w:rPr>
        <w:t>, O., Raab, C., Yoo, M., &amp; Love, C. (2013). Sustainable Hotel Practices and Nationality: The Impact on Guest Satisfaction and Guest Intention to Return. International Journal of Hospitality Management, 34(1), 227-233.</w:t>
      </w:r>
    </w:p>
    <w:p w14:paraId="1C65CFA5" w14:textId="10831C42"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Bowdin G, Allen J, O`Toole W, Harris R, McDonnell I (2012) Events management. 3rd </w:t>
      </w:r>
      <w:proofErr w:type="spellStart"/>
      <w:r w:rsidRPr="004A6F8F">
        <w:rPr>
          <w:rFonts w:ascii="Times New Roman" w:eastAsia="Times New Roman" w:hAnsi="Times New Roman" w:cs="Times New Roman"/>
          <w:kern w:val="0"/>
          <w:lang w:eastAsia="en-GB"/>
          <w14:ligatures w14:val="none"/>
        </w:rPr>
        <w:t>edn</w:t>
      </w:r>
      <w:proofErr w:type="spellEnd"/>
      <w:r w:rsidRPr="004A6F8F">
        <w:rPr>
          <w:rFonts w:ascii="Times New Roman" w:eastAsia="Times New Roman" w:hAnsi="Times New Roman" w:cs="Times New Roman"/>
          <w:kern w:val="0"/>
          <w:lang w:eastAsia="en-GB"/>
          <w14:ligatures w14:val="none"/>
        </w:rPr>
        <w:t>. Routledge, Oxon, New York.</w:t>
      </w:r>
    </w:p>
    <w:p w14:paraId="0EE06CE7" w14:textId="310D193B"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Das, G., Ekka, B., Aarif, M., &amp; </w:t>
      </w:r>
      <w:proofErr w:type="spellStart"/>
      <w:r w:rsidRPr="004A6F8F">
        <w:rPr>
          <w:rFonts w:ascii="Times New Roman" w:eastAsia="Times New Roman" w:hAnsi="Times New Roman" w:cs="Times New Roman"/>
          <w:kern w:val="0"/>
          <w:lang w:eastAsia="en-GB"/>
          <w14:ligatures w14:val="none"/>
        </w:rPr>
        <w:t>Alalmai</w:t>
      </w:r>
      <w:proofErr w:type="spellEnd"/>
      <w:r w:rsidRPr="004A6F8F">
        <w:rPr>
          <w:rFonts w:ascii="Times New Roman" w:eastAsia="Times New Roman" w:hAnsi="Times New Roman" w:cs="Times New Roman"/>
          <w:kern w:val="0"/>
          <w:lang w:eastAsia="en-GB"/>
          <w14:ligatures w14:val="none"/>
        </w:rPr>
        <w:t xml:space="preserve">, A. (2023). Unveiling the Significance of Sustainability in Tourism: Environmental Conservation, Socioeconomic Development, and Destination Resilience. Available at: </w:t>
      </w:r>
      <w:hyperlink r:id="rId9" w:history="1">
        <w:r w:rsidRPr="004A6F8F">
          <w:rPr>
            <w:rFonts w:ascii="Times New Roman" w:eastAsia="Times New Roman" w:hAnsi="Times New Roman" w:cs="Times New Roman"/>
            <w:color w:val="0000FF"/>
            <w:kern w:val="0"/>
            <w:u w:val="single"/>
            <w:lang w:eastAsia="en-GB"/>
            <w14:ligatures w14:val="none"/>
          </w:rPr>
          <w:t>https://www.researchgate.net/publication/372862026_Unveiling_the_Significance_of_Sustainability_in_Tourism_Environmental_Conservation_Socioeconomic_Development_and_Destination_Resilience</w:t>
        </w:r>
      </w:hyperlink>
      <w:r w:rsidRPr="004A6F8F">
        <w:rPr>
          <w:rFonts w:ascii="Times New Roman" w:eastAsia="Times New Roman" w:hAnsi="Times New Roman" w:cs="Times New Roman"/>
          <w:kern w:val="0"/>
          <w:lang w:eastAsia="en-GB"/>
          <w14:ligatures w14:val="none"/>
        </w:rPr>
        <w:t xml:space="preserve"> </w:t>
      </w:r>
    </w:p>
    <w:p w14:paraId="2E2B757F" w14:textId="68DB9D2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Edgell, D. L. Sr. (2019). Managing Sustainable Tourism: A Legacy for the Future (3rd ed.). London: Routledge.</w:t>
      </w:r>
    </w:p>
    <w:p w14:paraId="569CF35D" w14:textId="77777777" w:rsidR="00702688" w:rsidRPr="004A6F8F" w:rsidRDefault="00702688" w:rsidP="004A6F8F">
      <w:pPr>
        <w:numPr>
          <w:ilvl w:val="0"/>
          <w:numId w:val="3"/>
        </w:numPr>
        <w:spacing w:after="0" w:line="480" w:lineRule="auto"/>
        <w:ind w:left="0" w:firstLine="0"/>
        <w:jc w:val="both"/>
        <w:textAlignment w:val="center"/>
        <w:rPr>
          <w:rFonts w:ascii="Times New Roman" w:hAnsi="Times New Roman" w:cs="Times New Roman"/>
          <w:b/>
          <w:bCs/>
        </w:rPr>
      </w:pPr>
      <w:r w:rsidRPr="004A6F8F">
        <w:rPr>
          <w:rFonts w:ascii="Times New Roman" w:eastAsia="Times New Roman" w:hAnsi="Times New Roman" w:cs="Times New Roman"/>
          <w:kern w:val="0"/>
          <w:lang w:eastAsia="en-GB"/>
          <w14:ligatures w14:val="none"/>
        </w:rPr>
        <w:t xml:space="preserve">Fennell, D. A. (2017). Tourism Ethics (2nd ed.). Channel View Publications. Available at: </w:t>
      </w:r>
      <w:hyperlink r:id="rId10" w:anchor="v=onepage&amp;q&amp;f=false" w:history="1">
        <w:r w:rsidRPr="004A6F8F">
          <w:rPr>
            <w:rStyle w:val="Hyperlink"/>
            <w:rFonts w:ascii="Times New Roman" w:hAnsi="Times New Roman" w:cs="Times New Roman"/>
          </w:rPr>
          <w:t>https://books.google.co.uk/books?id=MMuqDwAAQBAJ&amp;printsec=frontcover&amp;source=gbs_ge_summary_r&amp;cad=0#v=onepage&amp;q&amp;f=false</w:t>
        </w:r>
      </w:hyperlink>
      <w:r w:rsidRPr="004A6F8F">
        <w:rPr>
          <w:rFonts w:ascii="Times New Roman" w:hAnsi="Times New Roman" w:cs="Times New Roman"/>
        </w:rPr>
        <w:t>.</w:t>
      </w:r>
    </w:p>
    <w:p w14:paraId="4BF063B0" w14:textId="5ACEE06A"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lastRenderedPageBreak/>
        <w:t>Gursoy, D., &amp; Chi, C. (2020). Effects of COVID-19 pandemic on hospitality industry: review of the current situations and a research agenda. Journal of Hospitality Marketing &amp; Management.</w:t>
      </w:r>
    </w:p>
    <w:p w14:paraId="52FF2202" w14:textId="77777777" w:rsidR="00D2385F" w:rsidRPr="004A6F8F" w:rsidRDefault="00D2385F"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proofErr w:type="spellStart"/>
      <w:r w:rsidRPr="004A6F8F">
        <w:rPr>
          <w:rFonts w:ascii="Times New Roman" w:eastAsia="Times New Roman" w:hAnsi="Times New Roman" w:cs="Times New Roman"/>
          <w:kern w:val="0"/>
          <w:lang w:eastAsia="en-GB"/>
          <w14:ligatures w14:val="none"/>
        </w:rPr>
        <w:t>Hassanien</w:t>
      </w:r>
      <w:proofErr w:type="spellEnd"/>
      <w:r w:rsidRPr="004A6F8F">
        <w:rPr>
          <w:rFonts w:ascii="Times New Roman" w:eastAsia="Times New Roman" w:hAnsi="Times New Roman" w:cs="Times New Roman"/>
          <w:kern w:val="0"/>
          <w:lang w:eastAsia="en-GB"/>
          <w14:ligatures w14:val="none"/>
        </w:rPr>
        <w:t xml:space="preserve">, A. &amp; Dale, C. (2019). Hospitality Business Development (2nd ed.). London: Routledge.  </w:t>
      </w:r>
      <w:proofErr w:type="spellStart"/>
      <w:r w:rsidRPr="004A6F8F">
        <w:rPr>
          <w:rFonts w:ascii="Times New Roman" w:eastAsia="Times New Roman" w:hAnsi="Times New Roman" w:cs="Times New Roman"/>
          <w:kern w:val="0"/>
          <w:lang w:eastAsia="en-GB"/>
          <w14:ligatures w14:val="none"/>
        </w:rPr>
        <w:t>Avaialble</w:t>
      </w:r>
      <w:proofErr w:type="spellEnd"/>
      <w:r w:rsidRPr="004A6F8F">
        <w:rPr>
          <w:rFonts w:ascii="Times New Roman" w:eastAsia="Times New Roman" w:hAnsi="Times New Roman" w:cs="Times New Roman"/>
          <w:kern w:val="0"/>
          <w:lang w:eastAsia="en-GB"/>
          <w14:ligatures w14:val="none"/>
        </w:rPr>
        <w:t xml:space="preserve"> at: </w:t>
      </w:r>
      <w:hyperlink r:id="rId11" w:history="1">
        <w:r w:rsidRPr="004A6F8F">
          <w:rPr>
            <w:rFonts w:ascii="Times New Roman" w:eastAsia="Times New Roman" w:hAnsi="Times New Roman" w:cs="Times New Roman"/>
            <w:color w:val="0000FF"/>
            <w:kern w:val="0"/>
            <w:u w:val="single"/>
            <w:lang w:eastAsia="en-GB"/>
            <w14:ligatures w14:val="none"/>
          </w:rPr>
          <w:t>https://www.taylorfrancis.com/books/mono/10.4324/9781351033701/hospitality-business-development-crispin-dale-ahmed-hassanien</w:t>
        </w:r>
      </w:hyperlink>
    </w:p>
    <w:p w14:paraId="1A9453B1"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Higgins-</w:t>
      </w:r>
      <w:proofErr w:type="spellStart"/>
      <w:r w:rsidRPr="004A6F8F">
        <w:rPr>
          <w:rFonts w:ascii="Times New Roman" w:eastAsia="Times New Roman" w:hAnsi="Times New Roman" w:cs="Times New Roman"/>
          <w:kern w:val="0"/>
          <w:lang w:eastAsia="en-GB"/>
          <w14:ligatures w14:val="none"/>
        </w:rPr>
        <w:t>Desbiolles</w:t>
      </w:r>
      <w:proofErr w:type="spellEnd"/>
      <w:r w:rsidRPr="004A6F8F">
        <w:rPr>
          <w:rFonts w:ascii="Times New Roman" w:eastAsia="Times New Roman" w:hAnsi="Times New Roman" w:cs="Times New Roman"/>
          <w:kern w:val="0"/>
          <w:lang w:eastAsia="en-GB"/>
          <w14:ligatures w14:val="none"/>
        </w:rPr>
        <w:t xml:space="preserve">, F. (2018). Sustainable tourism: Sustaining tourism or something more? Tourism Management Perspectives, 25, 157-160. </w:t>
      </w:r>
    </w:p>
    <w:p w14:paraId="457257CA" w14:textId="762769FD"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proofErr w:type="spellStart"/>
      <w:r w:rsidRPr="004A6F8F">
        <w:rPr>
          <w:rFonts w:ascii="Times New Roman" w:eastAsia="Times New Roman" w:hAnsi="Times New Roman" w:cs="Times New Roman"/>
          <w:kern w:val="0"/>
          <w:lang w:eastAsia="en-GB"/>
          <w14:ligatures w14:val="none"/>
        </w:rPr>
        <w:t>Jelincic</w:t>
      </w:r>
      <w:proofErr w:type="spellEnd"/>
      <w:r w:rsidRPr="004A6F8F">
        <w:rPr>
          <w:rFonts w:ascii="Times New Roman" w:eastAsia="Times New Roman" w:hAnsi="Times New Roman" w:cs="Times New Roman"/>
          <w:kern w:val="0"/>
          <w:lang w:eastAsia="en-GB"/>
          <w14:ligatures w14:val="none"/>
        </w:rPr>
        <w:t xml:space="preserve">, D. A., &amp; </w:t>
      </w:r>
      <w:proofErr w:type="spellStart"/>
      <w:r w:rsidRPr="004A6F8F">
        <w:rPr>
          <w:rFonts w:ascii="Times New Roman" w:eastAsia="Times New Roman" w:hAnsi="Times New Roman" w:cs="Times New Roman"/>
          <w:kern w:val="0"/>
          <w:lang w:eastAsia="en-GB"/>
          <w14:ligatures w14:val="none"/>
        </w:rPr>
        <w:t>Glivetić</w:t>
      </w:r>
      <w:proofErr w:type="spellEnd"/>
      <w:r w:rsidRPr="004A6F8F">
        <w:rPr>
          <w:rFonts w:ascii="Times New Roman" w:eastAsia="Times New Roman" w:hAnsi="Times New Roman" w:cs="Times New Roman"/>
          <w:kern w:val="0"/>
          <w:lang w:eastAsia="en-GB"/>
          <w14:ligatures w14:val="none"/>
        </w:rPr>
        <w:t>, D. (2020). Cultural Heritage and Sustainability: Practical Guide. Publisher: Interreg Europe programme.</w:t>
      </w:r>
    </w:p>
    <w:p w14:paraId="74DED305"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Klimek, K. (2013). Destination Management and Sustainable Tourism Development: A Cross-Country Analysis. LAP LAMBERT Academic Publishing.</w:t>
      </w:r>
    </w:p>
    <w:p w14:paraId="5455C6F3" w14:textId="3EC81973" w:rsidR="00D2385F" w:rsidRPr="004A6F8F" w:rsidRDefault="00702688" w:rsidP="004A6F8F">
      <w:pPr>
        <w:numPr>
          <w:ilvl w:val="0"/>
          <w:numId w:val="3"/>
        </w:numPr>
        <w:spacing w:after="0" w:line="480" w:lineRule="auto"/>
        <w:ind w:left="0" w:firstLine="0"/>
        <w:jc w:val="both"/>
        <w:textAlignment w:val="center"/>
        <w:rPr>
          <w:rFonts w:ascii="Times New Roman" w:hAnsi="Times New Roman" w:cs="Times New Roman"/>
          <w:b/>
          <w:bCs/>
        </w:rPr>
      </w:pPr>
      <w:r w:rsidRPr="004A6F8F">
        <w:rPr>
          <w:rFonts w:ascii="Times New Roman" w:eastAsia="Times New Roman" w:hAnsi="Times New Roman" w:cs="Times New Roman"/>
          <w:kern w:val="0"/>
          <w:lang w:eastAsia="en-GB"/>
          <w14:ligatures w14:val="none"/>
        </w:rPr>
        <w:t>Legrand, W., Sloan, P., &amp; Chen, J. S. (2013). Sustainability in the Hospitality Industry: Principles of Sustainable Operations (2nd ed.). Routledge. Available at:</w:t>
      </w:r>
      <w:r w:rsidRPr="004A6F8F">
        <w:rPr>
          <w:rFonts w:ascii="Times New Roman" w:hAnsi="Times New Roman" w:cs="Times New Roman"/>
        </w:rPr>
        <w:t xml:space="preserve"> </w:t>
      </w:r>
      <w:hyperlink r:id="rId12" w:history="1">
        <w:r w:rsidRPr="004A6F8F">
          <w:rPr>
            <w:rStyle w:val="Hyperlink"/>
            <w:rFonts w:ascii="Times New Roman" w:hAnsi="Times New Roman" w:cs="Times New Roman"/>
          </w:rPr>
          <w:t>https://www.researchgate.net/publication/264118155_Sustainability_in_the_Hospitality_Industry_Principles_of_Sustainable_Operations</w:t>
        </w:r>
      </w:hyperlink>
    </w:p>
    <w:p w14:paraId="6277C8A3"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Maguire, K. (2020). An examination of the level of local authority sustainable planning for event management: A case study of Ireland. Journal of Sustainable Tourism, 1–25. Available at: </w:t>
      </w:r>
      <w:hyperlink r:id="rId13" w:history="1">
        <w:r w:rsidRPr="004A6F8F">
          <w:rPr>
            <w:rFonts w:ascii="Times New Roman" w:eastAsia="Times New Roman" w:hAnsi="Times New Roman" w:cs="Times New Roman"/>
            <w:color w:val="0000FF"/>
            <w:kern w:val="0"/>
            <w:u w:val="single"/>
            <w:lang w:eastAsia="en-GB"/>
            <w14:ligatures w14:val="none"/>
          </w:rPr>
          <w:t>https://www.tandfonline.com/doi/full/10.1080/09669582.2020.1828431</w:t>
        </w:r>
      </w:hyperlink>
    </w:p>
    <w:p w14:paraId="161DCBF4" w14:textId="08855D8A"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Mair, J. F., &amp; Jago, L. (2010). The development of a conceptual model of greening in the business events tourism sector. Journal of Sustainable Tourism, 18(1), 77 - 94.</w:t>
      </w:r>
    </w:p>
    <w:p w14:paraId="64388C91"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Mason, P. (2020). Tourism Impacts, Planning and Management (4th ed.). London.</w:t>
      </w:r>
    </w:p>
    <w:p w14:paraId="20AF2E62" w14:textId="54857E0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lastRenderedPageBreak/>
        <w:t>Neal, S., Bennett, K., Jones, H., Cochrane, A., &amp; Mohan, G. (2015). Multiculture and public parks: Researching super‐diversity and attachment in public green space. Population, Space and Place, 21(5), 463–475.</w:t>
      </w:r>
    </w:p>
    <w:p w14:paraId="5568FD30" w14:textId="743A5EA9"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Perry, B., Ager, L., &amp; </w:t>
      </w:r>
      <w:proofErr w:type="spellStart"/>
      <w:r w:rsidRPr="004A6F8F">
        <w:rPr>
          <w:rFonts w:ascii="Times New Roman" w:eastAsia="Times New Roman" w:hAnsi="Times New Roman" w:cs="Times New Roman"/>
          <w:kern w:val="0"/>
          <w:lang w:eastAsia="en-GB"/>
          <w14:ligatures w14:val="none"/>
        </w:rPr>
        <w:t>Sitas</w:t>
      </w:r>
      <w:proofErr w:type="spellEnd"/>
      <w:r w:rsidRPr="004A6F8F">
        <w:rPr>
          <w:rFonts w:ascii="Times New Roman" w:eastAsia="Times New Roman" w:hAnsi="Times New Roman" w:cs="Times New Roman"/>
          <w:kern w:val="0"/>
          <w:lang w:eastAsia="en-GB"/>
          <w14:ligatures w14:val="none"/>
        </w:rPr>
        <w:t>, R. (2020). Cultural heritage entanglements: Festivals as integrative sites for sustainable urban development. International Journal of Heritage Studies, 26(6), 603–618.</w:t>
      </w:r>
    </w:p>
    <w:p w14:paraId="1ED26926" w14:textId="77777777" w:rsidR="00D2385F" w:rsidRPr="004A6F8F" w:rsidRDefault="00D2385F"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Porter, M. E., &amp; Kramer, M. R. (2011). Strategy and society: the link between competitive advantage and corporate social responsibility. Harvard Business Review, 87, 78-92. Available at: </w:t>
      </w:r>
      <w:hyperlink r:id="rId14" w:history="1">
        <w:r w:rsidRPr="004A6F8F">
          <w:rPr>
            <w:rFonts w:ascii="Times New Roman" w:eastAsia="Times New Roman" w:hAnsi="Times New Roman" w:cs="Times New Roman"/>
            <w:color w:val="0000FF"/>
            <w:kern w:val="0"/>
            <w:u w:val="single"/>
            <w:lang w:eastAsia="en-GB"/>
            <w14:ligatures w14:val="none"/>
          </w:rPr>
          <w:t>https://www.academia.edu/20115622/Kramer_and_porter_2011</w:t>
        </w:r>
      </w:hyperlink>
    </w:p>
    <w:p w14:paraId="74EBAACD" w14:textId="377FFCF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Quinn, B., Columbo, A., Lindström, K., McGillivray, D., &amp; Smith, A. (2020). Festivals, public </w:t>
      </w:r>
      <w:proofErr w:type="gramStart"/>
      <w:r w:rsidRPr="004A6F8F">
        <w:rPr>
          <w:rFonts w:ascii="Times New Roman" w:eastAsia="Times New Roman" w:hAnsi="Times New Roman" w:cs="Times New Roman"/>
          <w:kern w:val="0"/>
          <w:lang w:eastAsia="en-GB"/>
          <w14:ligatures w14:val="none"/>
        </w:rPr>
        <w:t>space</w:t>
      </w:r>
      <w:proofErr w:type="gramEnd"/>
      <w:r w:rsidRPr="004A6F8F">
        <w:rPr>
          <w:rFonts w:ascii="Times New Roman" w:eastAsia="Times New Roman" w:hAnsi="Times New Roman" w:cs="Times New Roman"/>
          <w:kern w:val="0"/>
          <w:lang w:eastAsia="en-GB"/>
          <w14:ligatures w14:val="none"/>
        </w:rPr>
        <w:t xml:space="preserve"> and cultural inclusion: Public policy insights. Journal of Sustainable Tourism, 29(11/12), 1–18.</w:t>
      </w:r>
    </w:p>
    <w:p w14:paraId="59D2483C" w14:textId="6782BF08" w:rsidR="00834D8A"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Raj, R., &amp; Musgrave, J. (2009). Event management and sustainability. Environmental Science, Business, Economics.</w:t>
      </w:r>
    </w:p>
    <w:p w14:paraId="54157FBE" w14:textId="75EC101D" w:rsidR="00834D8A" w:rsidRPr="004A6F8F" w:rsidRDefault="00834D8A"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Severo, E. A., De Guimarães, J. C. F., &amp; </w:t>
      </w:r>
      <w:proofErr w:type="spellStart"/>
      <w:r w:rsidRPr="004A6F8F">
        <w:rPr>
          <w:rFonts w:ascii="Times New Roman" w:eastAsia="Times New Roman" w:hAnsi="Times New Roman" w:cs="Times New Roman"/>
          <w:kern w:val="0"/>
          <w:lang w:eastAsia="en-GB"/>
          <w14:ligatures w14:val="none"/>
        </w:rPr>
        <w:t>Dellarmelin</w:t>
      </w:r>
      <w:proofErr w:type="spellEnd"/>
      <w:r w:rsidRPr="004A6F8F">
        <w:rPr>
          <w:rFonts w:ascii="Times New Roman" w:eastAsia="Times New Roman" w:hAnsi="Times New Roman" w:cs="Times New Roman"/>
          <w:kern w:val="0"/>
          <w:lang w:eastAsia="en-GB"/>
          <w14:ligatures w14:val="none"/>
        </w:rPr>
        <w:t xml:space="preserve">, M. L. (2021). Impact of the COVID-19 pandemic on environmental awareness, sustainable </w:t>
      </w:r>
      <w:proofErr w:type="gramStart"/>
      <w:r w:rsidRPr="004A6F8F">
        <w:rPr>
          <w:rFonts w:ascii="Times New Roman" w:eastAsia="Times New Roman" w:hAnsi="Times New Roman" w:cs="Times New Roman"/>
          <w:kern w:val="0"/>
          <w:lang w:eastAsia="en-GB"/>
          <w14:ligatures w14:val="none"/>
        </w:rPr>
        <w:t>consumption</w:t>
      </w:r>
      <w:proofErr w:type="gramEnd"/>
      <w:r w:rsidRPr="004A6F8F">
        <w:rPr>
          <w:rFonts w:ascii="Times New Roman" w:eastAsia="Times New Roman" w:hAnsi="Times New Roman" w:cs="Times New Roman"/>
          <w:kern w:val="0"/>
          <w:lang w:eastAsia="en-GB"/>
          <w14:ligatures w14:val="none"/>
        </w:rPr>
        <w:t xml:space="preserve"> and social responsibility: Evidence from generations in Brazil and Portugal. Journal of Cleaner Production, </w:t>
      </w:r>
      <w:hyperlink r:id="rId15" w:tgtFrame="_blank" w:history="1">
        <w:r w:rsidRPr="004A6F8F">
          <w:rPr>
            <w:rFonts w:ascii="Times New Roman" w:eastAsia="Times New Roman" w:hAnsi="Times New Roman" w:cs="Times New Roman"/>
            <w:kern w:val="0"/>
            <w:lang w:eastAsia="en-GB"/>
            <w14:ligatures w14:val="none"/>
          </w:rPr>
          <w:t>286</w:t>
        </w:r>
      </w:hyperlink>
      <w:r w:rsidRPr="004A6F8F">
        <w:rPr>
          <w:rFonts w:ascii="Times New Roman" w:eastAsia="Times New Roman" w:hAnsi="Times New Roman" w:cs="Times New Roman"/>
          <w:kern w:val="0"/>
          <w:lang w:eastAsia="en-GB"/>
          <w14:ligatures w14:val="none"/>
        </w:rPr>
        <w:t>, 124947.</w:t>
      </w:r>
    </w:p>
    <w:p w14:paraId="7CD0216A" w14:textId="678DF3B6" w:rsidR="00834D8A" w:rsidRPr="004A6F8F" w:rsidRDefault="00834D8A"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Smith, A., &amp; McGillivray, D. (2020). The long-term implications of mega-event projects for urban public spaces. Sport in Society, 1–17.</w:t>
      </w:r>
    </w:p>
    <w:p w14:paraId="1669FB4D" w14:textId="77777777" w:rsidR="00702688"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 xml:space="preserve">UNWTO. (2019). Sustainable Development of Tourism. Available at: </w:t>
      </w:r>
      <w:hyperlink r:id="rId16" w:history="1">
        <w:r w:rsidRPr="004A6F8F">
          <w:rPr>
            <w:rFonts w:ascii="Times New Roman" w:eastAsia="Times New Roman" w:hAnsi="Times New Roman" w:cs="Times New Roman"/>
            <w:color w:val="0000FF"/>
            <w:kern w:val="0"/>
            <w:u w:val="single"/>
            <w:lang w:eastAsia="en-GB"/>
            <w14:ligatures w14:val="none"/>
          </w:rPr>
          <w:t>https://www.unwto.org/sustainable-development</w:t>
        </w:r>
      </w:hyperlink>
    </w:p>
    <w:p w14:paraId="7942A054" w14:textId="55B0FAFC" w:rsidR="00D2385F" w:rsidRPr="004A6F8F" w:rsidRDefault="00702688"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Werner, K., Griese, K. M., &amp; Bosse, C. (2020). The role of slow events for sustainable destination development: A conceptual and empirical review. Journal of Sustainable Tourism, 29(11/12), 1–19.</w:t>
      </w:r>
    </w:p>
    <w:p w14:paraId="2C606943" w14:textId="3DE853EB" w:rsidR="00D2385F" w:rsidRPr="004A6F8F" w:rsidRDefault="00D2385F"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lastRenderedPageBreak/>
        <w:t>Williams, P. W. (2009). Confronting Tourism's Environmental Paradox: Transitioning for Sustainable Tourism. Futures, 41(6), 396-404.</w:t>
      </w:r>
    </w:p>
    <w:p w14:paraId="1631E44E" w14:textId="3FFFED86" w:rsidR="00834D8A" w:rsidRPr="004A6F8F" w:rsidRDefault="00834D8A" w:rsidP="004A6F8F">
      <w:pPr>
        <w:numPr>
          <w:ilvl w:val="0"/>
          <w:numId w:val="3"/>
        </w:numPr>
        <w:spacing w:after="0" w:line="480" w:lineRule="auto"/>
        <w:ind w:left="0" w:firstLine="0"/>
        <w:jc w:val="both"/>
        <w:textAlignment w:val="center"/>
        <w:rPr>
          <w:rFonts w:ascii="Times New Roman" w:eastAsia="Times New Roman" w:hAnsi="Times New Roman" w:cs="Times New Roman"/>
          <w:kern w:val="0"/>
          <w:lang w:eastAsia="en-GB"/>
          <w14:ligatures w14:val="none"/>
        </w:rPr>
      </w:pPr>
      <w:r w:rsidRPr="004A6F8F">
        <w:rPr>
          <w:rFonts w:ascii="Times New Roman" w:eastAsia="Times New Roman" w:hAnsi="Times New Roman" w:cs="Times New Roman"/>
          <w:kern w:val="0"/>
          <w:lang w:eastAsia="en-GB"/>
          <w14:ligatures w14:val="none"/>
        </w:rPr>
        <w:t>Zhong, D., Luo, Q., &amp; Chen, W. (2020). Green governance: Understanding the greening of a leading business event from the perspective of value chain governance. Journal of Sustainable Tourism, 29(11/12), 1–19.</w:t>
      </w:r>
    </w:p>
    <w:p w14:paraId="50E721EE" w14:textId="03372866" w:rsidR="00D2385F" w:rsidRPr="00681E7C" w:rsidRDefault="00702688" w:rsidP="004A6F8F">
      <w:pPr>
        <w:numPr>
          <w:ilvl w:val="0"/>
          <w:numId w:val="3"/>
        </w:numPr>
        <w:spacing w:after="0" w:line="480" w:lineRule="auto"/>
        <w:ind w:left="0" w:firstLine="0"/>
        <w:jc w:val="both"/>
        <w:textAlignment w:val="center"/>
        <w:rPr>
          <w:rFonts w:ascii="Arial" w:eastAsia="Times New Roman" w:hAnsi="Arial" w:cs="Arial"/>
          <w:kern w:val="0"/>
          <w:sz w:val="22"/>
          <w:szCs w:val="22"/>
          <w:lang w:eastAsia="en-GB"/>
          <w14:ligatures w14:val="none"/>
        </w:rPr>
      </w:pPr>
      <w:proofErr w:type="spellStart"/>
      <w:r w:rsidRPr="004A6F8F">
        <w:rPr>
          <w:rFonts w:ascii="Times New Roman" w:eastAsia="Times New Roman" w:hAnsi="Times New Roman" w:cs="Times New Roman"/>
          <w:kern w:val="0"/>
          <w:lang w:eastAsia="en-GB"/>
          <w14:ligatures w14:val="none"/>
        </w:rPr>
        <w:t>Zolfani</w:t>
      </w:r>
      <w:proofErr w:type="spellEnd"/>
      <w:r w:rsidRPr="004A6F8F">
        <w:rPr>
          <w:rFonts w:ascii="Times New Roman" w:eastAsia="Times New Roman" w:hAnsi="Times New Roman" w:cs="Times New Roman"/>
          <w:kern w:val="0"/>
          <w:lang w:eastAsia="en-GB"/>
          <w14:ligatures w14:val="none"/>
        </w:rPr>
        <w:t xml:space="preserve">, S. H., Sedaghat, M., </w:t>
      </w:r>
      <w:proofErr w:type="spellStart"/>
      <w:r w:rsidRPr="004A6F8F">
        <w:rPr>
          <w:rFonts w:ascii="Times New Roman" w:eastAsia="Times New Roman" w:hAnsi="Times New Roman" w:cs="Times New Roman"/>
          <w:kern w:val="0"/>
          <w:lang w:eastAsia="en-GB"/>
          <w14:ligatures w14:val="none"/>
        </w:rPr>
        <w:t>Maknoon</w:t>
      </w:r>
      <w:proofErr w:type="spellEnd"/>
      <w:r w:rsidRPr="004A6F8F">
        <w:rPr>
          <w:rFonts w:ascii="Times New Roman" w:eastAsia="Times New Roman" w:hAnsi="Times New Roman" w:cs="Times New Roman"/>
          <w:kern w:val="0"/>
          <w:lang w:eastAsia="en-GB"/>
          <w14:ligatures w14:val="none"/>
        </w:rPr>
        <w:t xml:space="preserve">, R., &amp; </w:t>
      </w:r>
      <w:proofErr w:type="spellStart"/>
      <w:r w:rsidRPr="004A6F8F">
        <w:rPr>
          <w:rFonts w:ascii="Times New Roman" w:eastAsia="Times New Roman" w:hAnsi="Times New Roman" w:cs="Times New Roman"/>
          <w:kern w:val="0"/>
          <w:lang w:eastAsia="en-GB"/>
          <w14:ligatures w14:val="none"/>
        </w:rPr>
        <w:t>Zavadskas</w:t>
      </w:r>
      <w:proofErr w:type="spellEnd"/>
      <w:r w:rsidRPr="004A6F8F">
        <w:rPr>
          <w:rFonts w:ascii="Times New Roman" w:eastAsia="Times New Roman" w:hAnsi="Times New Roman" w:cs="Times New Roman"/>
          <w:kern w:val="0"/>
          <w:lang w:eastAsia="en-GB"/>
          <w14:ligatures w14:val="none"/>
        </w:rPr>
        <w:t xml:space="preserve">, E. K. (2015). Sustainable tourism: a comprehensive literature review on frameworks and applications. Tourism Review, 1-30. Available at: </w:t>
      </w:r>
      <w:hyperlink r:id="rId17" w:history="1">
        <w:r w:rsidRPr="004A6F8F">
          <w:rPr>
            <w:rFonts w:ascii="Times New Roman" w:eastAsia="Times New Roman" w:hAnsi="Times New Roman" w:cs="Times New Roman"/>
            <w:color w:val="0000FF"/>
            <w:kern w:val="0"/>
            <w:u w:val="single"/>
            <w:lang w:eastAsia="en-GB"/>
            <w14:ligatures w14:val="none"/>
          </w:rPr>
          <w:t>https://www.tandfonline.com/doi/full/10.1080/1331677X.2014.995895</w:t>
        </w:r>
      </w:hyperlink>
    </w:p>
    <w:sectPr w:rsidR="00D2385F" w:rsidRPr="00681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94A5B"/>
    <w:multiLevelType w:val="multilevel"/>
    <w:tmpl w:val="EF4E42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E923C5"/>
    <w:multiLevelType w:val="multilevel"/>
    <w:tmpl w:val="EA4E3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7C15C3"/>
    <w:multiLevelType w:val="multilevel"/>
    <w:tmpl w:val="F956F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423823"/>
    <w:multiLevelType w:val="hybridMultilevel"/>
    <w:tmpl w:val="C4CEC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5644BE"/>
    <w:multiLevelType w:val="multilevel"/>
    <w:tmpl w:val="B9FC9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2F62C1"/>
    <w:multiLevelType w:val="multilevel"/>
    <w:tmpl w:val="9EF00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221B4A"/>
    <w:multiLevelType w:val="multilevel"/>
    <w:tmpl w:val="21C04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450CC9"/>
    <w:multiLevelType w:val="multilevel"/>
    <w:tmpl w:val="5B7E5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573E7E"/>
    <w:multiLevelType w:val="multilevel"/>
    <w:tmpl w:val="71F43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A11386"/>
    <w:multiLevelType w:val="multilevel"/>
    <w:tmpl w:val="677A1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D816A5"/>
    <w:multiLevelType w:val="multilevel"/>
    <w:tmpl w:val="E1B45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DF23EE"/>
    <w:multiLevelType w:val="multilevel"/>
    <w:tmpl w:val="44863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896ACE"/>
    <w:multiLevelType w:val="multilevel"/>
    <w:tmpl w:val="4F9A5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4A6B63"/>
    <w:multiLevelType w:val="multilevel"/>
    <w:tmpl w:val="1C3EE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F23F03"/>
    <w:multiLevelType w:val="multilevel"/>
    <w:tmpl w:val="0D968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110700"/>
    <w:multiLevelType w:val="multilevel"/>
    <w:tmpl w:val="92B4A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3E6123"/>
    <w:multiLevelType w:val="multilevel"/>
    <w:tmpl w:val="8752B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433042"/>
    <w:multiLevelType w:val="multilevel"/>
    <w:tmpl w:val="44A84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2F189B"/>
    <w:multiLevelType w:val="multilevel"/>
    <w:tmpl w:val="5FD62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41146C"/>
    <w:multiLevelType w:val="multilevel"/>
    <w:tmpl w:val="5F443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C6469D2"/>
    <w:multiLevelType w:val="multilevel"/>
    <w:tmpl w:val="B858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80562B"/>
    <w:multiLevelType w:val="hybridMultilevel"/>
    <w:tmpl w:val="F3E2B1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0029155">
    <w:abstractNumId w:val="21"/>
  </w:num>
  <w:num w:numId="2" w16cid:durableId="312296401">
    <w:abstractNumId w:val="0"/>
  </w:num>
  <w:num w:numId="3" w16cid:durableId="367536009">
    <w:abstractNumId w:val="3"/>
  </w:num>
  <w:num w:numId="4" w16cid:durableId="1082947070">
    <w:abstractNumId w:val="9"/>
    <w:lvlOverride w:ilvl="0">
      <w:startOverride w:val="1"/>
    </w:lvlOverride>
  </w:num>
  <w:num w:numId="5" w16cid:durableId="56561501">
    <w:abstractNumId w:val="16"/>
    <w:lvlOverride w:ilvl="0">
      <w:startOverride w:val="1"/>
    </w:lvlOverride>
  </w:num>
  <w:num w:numId="6" w16cid:durableId="71707646">
    <w:abstractNumId w:val="2"/>
    <w:lvlOverride w:ilvl="0">
      <w:startOverride w:val="1"/>
    </w:lvlOverride>
  </w:num>
  <w:num w:numId="7" w16cid:durableId="1814710904">
    <w:abstractNumId w:val="4"/>
    <w:lvlOverride w:ilvl="0">
      <w:startOverride w:val="1"/>
    </w:lvlOverride>
  </w:num>
  <w:num w:numId="8" w16cid:durableId="1292246521">
    <w:abstractNumId w:val="15"/>
    <w:lvlOverride w:ilvl="0">
      <w:startOverride w:val="1"/>
    </w:lvlOverride>
  </w:num>
  <w:num w:numId="9" w16cid:durableId="1618174174">
    <w:abstractNumId w:val="20"/>
    <w:lvlOverride w:ilvl="0">
      <w:startOverride w:val="1"/>
    </w:lvlOverride>
  </w:num>
  <w:num w:numId="10" w16cid:durableId="102383683">
    <w:abstractNumId w:val="19"/>
    <w:lvlOverride w:ilvl="0">
      <w:startOverride w:val="1"/>
    </w:lvlOverride>
  </w:num>
  <w:num w:numId="11" w16cid:durableId="2065442643">
    <w:abstractNumId w:val="10"/>
    <w:lvlOverride w:ilvl="0">
      <w:startOverride w:val="1"/>
    </w:lvlOverride>
  </w:num>
  <w:num w:numId="12" w16cid:durableId="1990863090">
    <w:abstractNumId w:val="18"/>
    <w:lvlOverride w:ilvl="0">
      <w:startOverride w:val="1"/>
    </w:lvlOverride>
  </w:num>
  <w:num w:numId="13" w16cid:durableId="1817792103">
    <w:abstractNumId w:val="6"/>
    <w:lvlOverride w:ilvl="0">
      <w:startOverride w:val="1"/>
    </w:lvlOverride>
  </w:num>
  <w:num w:numId="14" w16cid:durableId="2115587753">
    <w:abstractNumId w:val="17"/>
    <w:lvlOverride w:ilvl="0">
      <w:startOverride w:val="1"/>
    </w:lvlOverride>
  </w:num>
  <w:num w:numId="15" w16cid:durableId="1124155331">
    <w:abstractNumId w:val="11"/>
    <w:lvlOverride w:ilvl="0">
      <w:startOverride w:val="1"/>
    </w:lvlOverride>
  </w:num>
  <w:num w:numId="16" w16cid:durableId="1155881711">
    <w:abstractNumId w:val="12"/>
    <w:lvlOverride w:ilvl="0">
      <w:startOverride w:val="1"/>
    </w:lvlOverride>
  </w:num>
  <w:num w:numId="17" w16cid:durableId="45103230">
    <w:abstractNumId w:val="13"/>
    <w:lvlOverride w:ilvl="0">
      <w:startOverride w:val="1"/>
    </w:lvlOverride>
  </w:num>
  <w:num w:numId="18" w16cid:durableId="769815251">
    <w:abstractNumId w:val="8"/>
    <w:lvlOverride w:ilvl="0">
      <w:startOverride w:val="1"/>
    </w:lvlOverride>
  </w:num>
  <w:num w:numId="19" w16cid:durableId="599215963">
    <w:abstractNumId w:val="7"/>
    <w:lvlOverride w:ilvl="0">
      <w:startOverride w:val="1"/>
    </w:lvlOverride>
  </w:num>
  <w:num w:numId="20" w16cid:durableId="1546137650">
    <w:abstractNumId w:val="14"/>
    <w:lvlOverride w:ilvl="0">
      <w:startOverride w:val="1"/>
    </w:lvlOverride>
  </w:num>
  <w:num w:numId="21" w16cid:durableId="2001273840">
    <w:abstractNumId w:val="5"/>
    <w:lvlOverride w:ilvl="0">
      <w:startOverride w:val="1"/>
    </w:lvlOverride>
  </w:num>
  <w:num w:numId="22" w16cid:durableId="80944524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791"/>
    <w:rsid w:val="00012D00"/>
    <w:rsid w:val="00031E95"/>
    <w:rsid w:val="00100B4B"/>
    <w:rsid w:val="00142E2E"/>
    <w:rsid w:val="00193E71"/>
    <w:rsid w:val="001D59B5"/>
    <w:rsid w:val="001E7B83"/>
    <w:rsid w:val="002049EC"/>
    <w:rsid w:val="00247DFA"/>
    <w:rsid w:val="00290A66"/>
    <w:rsid w:val="002C0FE6"/>
    <w:rsid w:val="002F2161"/>
    <w:rsid w:val="004567F9"/>
    <w:rsid w:val="00490474"/>
    <w:rsid w:val="004A6F8F"/>
    <w:rsid w:val="004D24F1"/>
    <w:rsid w:val="0053529A"/>
    <w:rsid w:val="00587791"/>
    <w:rsid w:val="00596AE0"/>
    <w:rsid w:val="005C2E02"/>
    <w:rsid w:val="00654076"/>
    <w:rsid w:val="00681E7C"/>
    <w:rsid w:val="006E7835"/>
    <w:rsid w:val="00702688"/>
    <w:rsid w:val="007674D6"/>
    <w:rsid w:val="007E6A65"/>
    <w:rsid w:val="008038C5"/>
    <w:rsid w:val="00834D8A"/>
    <w:rsid w:val="008A59AD"/>
    <w:rsid w:val="009015D2"/>
    <w:rsid w:val="00921D45"/>
    <w:rsid w:val="00946D93"/>
    <w:rsid w:val="009B26FE"/>
    <w:rsid w:val="009D7D03"/>
    <w:rsid w:val="00A52740"/>
    <w:rsid w:val="00A60E81"/>
    <w:rsid w:val="00AE2712"/>
    <w:rsid w:val="00B934F7"/>
    <w:rsid w:val="00C03B86"/>
    <w:rsid w:val="00C91190"/>
    <w:rsid w:val="00CB300E"/>
    <w:rsid w:val="00CB76B4"/>
    <w:rsid w:val="00CF1694"/>
    <w:rsid w:val="00D141C2"/>
    <w:rsid w:val="00D14322"/>
    <w:rsid w:val="00D17BCE"/>
    <w:rsid w:val="00D2385F"/>
    <w:rsid w:val="00D3299E"/>
    <w:rsid w:val="00D3428A"/>
    <w:rsid w:val="00D50125"/>
    <w:rsid w:val="00D813E9"/>
    <w:rsid w:val="00D84E9B"/>
    <w:rsid w:val="00D84F5E"/>
    <w:rsid w:val="00DC219D"/>
    <w:rsid w:val="00E006B3"/>
    <w:rsid w:val="00E615D2"/>
    <w:rsid w:val="00E65EF5"/>
    <w:rsid w:val="00EA2859"/>
    <w:rsid w:val="00F30725"/>
    <w:rsid w:val="00F361E3"/>
    <w:rsid w:val="00F55193"/>
    <w:rsid w:val="00F95F68"/>
    <w:rsid w:val="00FA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8A678"/>
  <w15:chartTrackingRefBased/>
  <w15:docId w15:val="{11BBB653-78D3-4143-938A-E4CB717D2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7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77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77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77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7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7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7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7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7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7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77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77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77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7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7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7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7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791"/>
    <w:rPr>
      <w:rFonts w:eastAsiaTheme="majorEastAsia" w:cstheme="majorBidi"/>
      <w:color w:val="272727" w:themeColor="text1" w:themeTint="D8"/>
    </w:rPr>
  </w:style>
  <w:style w:type="paragraph" w:styleId="Title">
    <w:name w:val="Title"/>
    <w:basedOn w:val="Normal"/>
    <w:next w:val="Normal"/>
    <w:link w:val="TitleChar"/>
    <w:uiPriority w:val="10"/>
    <w:qFormat/>
    <w:rsid w:val="005877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7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7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7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791"/>
    <w:pPr>
      <w:spacing w:before="160"/>
      <w:jc w:val="center"/>
    </w:pPr>
    <w:rPr>
      <w:i/>
      <w:iCs/>
      <w:color w:val="404040" w:themeColor="text1" w:themeTint="BF"/>
    </w:rPr>
  </w:style>
  <w:style w:type="character" w:customStyle="1" w:styleId="QuoteChar">
    <w:name w:val="Quote Char"/>
    <w:basedOn w:val="DefaultParagraphFont"/>
    <w:link w:val="Quote"/>
    <w:uiPriority w:val="29"/>
    <w:rsid w:val="00587791"/>
    <w:rPr>
      <w:i/>
      <w:iCs/>
      <w:color w:val="404040" w:themeColor="text1" w:themeTint="BF"/>
    </w:rPr>
  </w:style>
  <w:style w:type="paragraph" w:styleId="ListParagraph">
    <w:name w:val="List Paragraph"/>
    <w:basedOn w:val="Normal"/>
    <w:uiPriority w:val="34"/>
    <w:qFormat/>
    <w:rsid w:val="00587791"/>
    <w:pPr>
      <w:ind w:left="720"/>
      <w:contextualSpacing/>
    </w:pPr>
  </w:style>
  <w:style w:type="character" w:styleId="IntenseEmphasis">
    <w:name w:val="Intense Emphasis"/>
    <w:basedOn w:val="DefaultParagraphFont"/>
    <w:uiPriority w:val="21"/>
    <w:qFormat/>
    <w:rsid w:val="00587791"/>
    <w:rPr>
      <w:i/>
      <w:iCs/>
      <w:color w:val="0F4761" w:themeColor="accent1" w:themeShade="BF"/>
    </w:rPr>
  </w:style>
  <w:style w:type="paragraph" w:styleId="IntenseQuote">
    <w:name w:val="Intense Quote"/>
    <w:basedOn w:val="Normal"/>
    <w:next w:val="Normal"/>
    <w:link w:val="IntenseQuoteChar"/>
    <w:uiPriority w:val="30"/>
    <w:qFormat/>
    <w:rsid w:val="005877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791"/>
    <w:rPr>
      <w:i/>
      <w:iCs/>
      <w:color w:val="0F4761" w:themeColor="accent1" w:themeShade="BF"/>
    </w:rPr>
  </w:style>
  <w:style w:type="character" w:styleId="IntenseReference">
    <w:name w:val="Intense Reference"/>
    <w:basedOn w:val="DefaultParagraphFont"/>
    <w:uiPriority w:val="32"/>
    <w:qFormat/>
    <w:rsid w:val="00587791"/>
    <w:rPr>
      <w:b/>
      <w:bCs/>
      <w:smallCaps/>
      <w:color w:val="0F4761" w:themeColor="accent1" w:themeShade="BF"/>
      <w:spacing w:val="5"/>
    </w:rPr>
  </w:style>
  <w:style w:type="paragraph" w:styleId="NormalWeb">
    <w:name w:val="Normal (Web)"/>
    <w:basedOn w:val="Normal"/>
    <w:uiPriority w:val="99"/>
    <w:unhideWhenUsed/>
    <w:rsid w:val="00D84E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D2385F"/>
    <w:rPr>
      <w:color w:val="0000FF"/>
      <w:u w:val="single"/>
    </w:rPr>
  </w:style>
  <w:style w:type="character" w:customStyle="1" w:styleId="citationsource-journal">
    <w:name w:val="citation_source-journal"/>
    <w:basedOn w:val="DefaultParagraphFont"/>
    <w:rsid w:val="00834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83693">
      <w:bodyDiv w:val="1"/>
      <w:marLeft w:val="0"/>
      <w:marRight w:val="0"/>
      <w:marTop w:val="0"/>
      <w:marBottom w:val="0"/>
      <w:divBdr>
        <w:top w:val="none" w:sz="0" w:space="0" w:color="auto"/>
        <w:left w:val="none" w:sz="0" w:space="0" w:color="auto"/>
        <w:bottom w:val="none" w:sz="0" w:space="0" w:color="auto"/>
        <w:right w:val="none" w:sz="0" w:space="0" w:color="auto"/>
      </w:divBdr>
    </w:div>
    <w:div w:id="257445676">
      <w:bodyDiv w:val="1"/>
      <w:marLeft w:val="0"/>
      <w:marRight w:val="0"/>
      <w:marTop w:val="0"/>
      <w:marBottom w:val="0"/>
      <w:divBdr>
        <w:top w:val="none" w:sz="0" w:space="0" w:color="auto"/>
        <w:left w:val="none" w:sz="0" w:space="0" w:color="auto"/>
        <w:bottom w:val="none" w:sz="0" w:space="0" w:color="auto"/>
        <w:right w:val="none" w:sz="0" w:space="0" w:color="auto"/>
      </w:divBdr>
    </w:div>
    <w:div w:id="264458325">
      <w:bodyDiv w:val="1"/>
      <w:marLeft w:val="0"/>
      <w:marRight w:val="0"/>
      <w:marTop w:val="0"/>
      <w:marBottom w:val="0"/>
      <w:divBdr>
        <w:top w:val="none" w:sz="0" w:space="0" w:color="auto"/>
        <w:left w:val="none" w:sz="0" w:space="0" w:color="auto"/>
        <w:bottom w:val="none" w:sz="0" w:space="0" w:color="auto"/>
        <w:right w:val="none" w:sz="0" w:space="0" w:color="auto"/>
      </w:divBdr>
    </w:div>
    <w:div w:id="287124835">
      <w:bodyDiv w:val="1"/>
      <w:marLeft w:val="0"/>
      <w:marRight w:val="0"/>
      <w:marTop w:val="0"/>
      <w:marBottom w:val="0"/>
      <w:divBdr>
        <w:top w:val="none" w:sz="0" w:space="0" w:color="auto"/>
        <w:left w:val="none" w:sz="0" w:space="0" w:color="auto"/>
        <w:bottom w:val="none" w:sz="0" w:space="0" w:color="auto"/>
        <w:right w:val="none" w:sz="0" w:space="0" w:color="auto"/>
      </w:divBdr>
    </w:div>
    <w:div w:id="292030794">
      <w:bodyDiv w:val="1"/>
      <w:marLeft w:val="0"/>
      <w:marRight w:val="0"/>
      <w:marTop w:val="0"/>
      <w:marBottom w:val="0"/>
      <w:divBdr>
        <w:top w:val="none" w:sz="0" w:space="0" w:color="auto"/>
        <w:left w:val="none" w:sz="0" w:space="0" w:color="auto"/>
        <w:bottom w:val="none" w:sz="0" w:space="0" w:color="auto"/>
        <w:right w:val="none" w:sz="0" w:space="0" w:color="auto"/>
      </w:divBdr>
    </w:div>
    <w:div w:id="459882057">
      <w:bodyDiv w:val="1"/>
      <w:marLeft w:val="0"/>
      <w:marRight w:val="0"/>
      <w:marTop w:val="0"/>
      <w:marBottom w:val="0"/>
      <w:divBdr>
        <w:top w:val="none" w:sz="0" w:space="0" w:color="auto"/>
        <w:left w:val="none" w:sz="0" w:space="0" w:color="auto"/>
        <w:bottom w:val="none" w:sz="0" w:space="0" w:color="auto"/>
        <w:right w:val="none" w:sz="0" w:space="0" w:color="auto"/>
      </w:divBdr>
    </w:div>
    <w:div w:id="508301558">
      <w:bodyDiv w:val="1"/>
      <w:marLeft w:val="0"/>
      <w:marRight w:val="0"/>
      <w:marTop w:val="0"/>
      <w:marBottom w:val="0"/>
      <w:divBdr>
        <w:top w:val="none" w:sz="0" w:space="0" w:color="auto"/>
        <w:left w:val="none" w:sz="0" w:space="0" w:color="auto"/>
        <w:bottom w:val="none" w:sz="0" w:space="0" w:color="auto"/>
        <w:right w:val="none" w:sz="0" w:space="0" w:color="auto"/>
      </w:divBdr>
    </w:div>
    <w:div w:id="550653106">
      <w:bodyDiv w:val="1"/>
      <w:marLeft w:val="0"/>
      <w:marRight w:val="0"/>
      <w:marTop w:val="0"/>
      <w:marBottom w:val="0"/>
      <w:divBdr>
        <w:top w:val="none" w:sz="0" w:space="0" w:color="auto"/>
        <w:left w:val="none" w:sz="0" w:space="0" w:color="auto"/>
        <w:bottom w:val="none" w:sz="0" w:space="0" w:color="auto"/>
        <w:right w:val="none" w:sz="0" w:space="0" w:color="auto"/>
      </w:divBdr>
    </w:div>
    <w:div w:id="605038867">
      <w:bodyDiv w:val="1"/>
      <w:marLeft w:val="0"/>
      <w:marRight w:val="0"/>
      <w:marTop w:val="0"/>
      <w:marBottom w:val="0"/>
      <w:divBdr>
        <w:top w:val="none" w:sz="0" w:space="0" w:color="auto"/>
        <w:left w:val="none" w:sz="0" w:space="0" w:color="auto"/>
        <w:bottom w:val="none" w:sz="0" w:space="0" w:color="auto"/>
        <w:right w:val="none" w:sz="0" w:space="0" w:color="auto"/>
      </w:divBdr>
    </w:div>
    <w:div w:id="714427183">
      <w:bodyDiv w:val="1"/>
      <w:marLeft w:val="0"/>
      <w:marRight w:val="0"/>
      <w:marTop w:val="0"/>
      <w:marBottom w:val="0"/>
      <w:divBdr>
        <w:top w:val="none" w:sz="0" w:space="0" w:color="auto"/>
        <w:left w:val="none" w:sz="0" w:space="0" w:color="auto"/>
        <w:bottom w:val="none" w:sz="0" w:space="0" w:color="auto"/>
        <w:right w:val="none" w:sz="0" w:space="0" w:color="auto"/>
      </w:divBdr>
    </w:div>
    <w:div w:id="837427098">
      <w:bodyDiv w:val="1"/>
      <w:marLeft w:val="0"/>
      <w:marRight w:val="0"/>
      <w:marTop w:val="0"/>
      <w:marBottom w:val="0"/>
      <w:divBdr>
        <w:top w:val="none" w:sz="0" w:space="0" w:color="auto"/>
        <w:left w:val="none" w:sz="0" w:space="0" w:color="auto"/>
        <w:bottom w:val="none" w:sz="0" w:space="0" w:color="auto"/>
        <w:right w:val="none" w:sz="0" w:space="0" w:color="auto"/>
      </w:divBdr>
    </w:div>
    <w:div w:id="1013917290">
      <w:bodyDiv w:val="1"/>
      <w:marLeft w:val="0"/>
      <w:marRight w:val="0"/>
      <w:marTop w:val="0"/>
      <w:marBottom w:val="0"/>
      <w:divBdr>
        <w:top w:val="none" w:sz="0" w:space="0" w:color="auto"/>
        <w:left w:val="none" w:sz="0" w:space="0" w:color="auto"/>
        <w:bottom w:val="none" w:sz="0" w:space="0" w:color="auto"/>
        <w:right w:val="none" w:sz="0" w:space="0" w:color="auto"/>
      </w:divBdr>
    </w:div>
    <w:div w:id="1021862604">
      <w:bodyDiv w:val="1"/>
      <w:marLeft w:val="0"/>
      <w:marRight w:val="0"/>
      <w:marTop w:val="0"/>
      <w:marBottom w:val="0"/>
      <w:divBdr>
        <w:top w:val="none" w:sz="0" w:space="0" w:color="auto"/>
        <w:left w:val="none" w:sz="0" w:space="0" w:color="auto"/>
        <w:bottom w:val="none" w:sz="0" w:space="0" w:color="auto"/>
        <w:right w:val="none" w:sz="0" w:space="0" w:color="auto"/>
      </w:divBdr>
    </w:div>
    <w:div w:id="1255548641">
      <w:bodyDiv w:val="1"/>
      <w:marLeft w:val="0"/>
      <w:marRight w:val="0"/>
      <w:marTop w:val="0"/>
      <w:marBottom w:val="0"/>
      <w:divBdr>
        <w:top w:val="none" w:sz="0" w:space="0" w:color="auto"/>
        <w:left w:val="none" w:sz="0" w:space="0" w:color="auto"/>
        <w:bottom w:val="none" w:sz="0" w:space="0" w:color="auto"/>
        <w:right w:val="none" w:sz="0" w:space="0" w:color="auto"/>
      </w:divBdr>
    </w:div>
    <w:div w:id="1283535782">
      <w:bodyDiv w:val="1"/>
      <w:marLeft w:val="0"/>
      <w:marRight w:val="0"/>
      <w:marTop w:val="0"/>
      <w:marBottom w:val="0"/>
      <w:divBdr>
        <w:top w:val="none" w:sz="0" w:space="0" w:color="auto"/>
        <w:left w:val="none" w:sz="0" w:space="0" w:color="auto"/>
        <w:bottom w:val="none" w:sz="0" w:space="0" w:color="auto"/>
        <w:right w:val="none" w:sz="0" w:space="0" w:color="auto"/>
      </w:divBdr>
    </w:div>
    <w:div w:id="1318653532">
      <w:bodyDiv w:val="1"/>
      <w:marLeft w:val="0"/>
      <w:marRight w:val="0"/>
      <w:marTop w:val="0"/>
      <w:marBottom w:val="0"/>
      <w:divBdr>
        <w:top w:val="none" w:sz="0" w:space="0" w:color="auto"/>
        <w:left w:val="none" w:sz="0" w:space="0" w:color="auto"/>
        <w:bottom w:val="none" w:sz="0" w:space="0" w:color="auto"/>
        <w:right w:val="none" w:sz="0" w:space="0" w:color="auto"/>
      </w:divBdr>
    </w:div>
    <w:div w:id="1325161866">
      <w:bodyDiv w:val="1"/>
      <w:marLeft w:val="0"/>
      <w:marRight w:val="0"/>
      <w:marTop w:val="0"/>
      <w:marBottom w:val="0"/>
      <w:divBdr>
        <w:top w:val="none" w:sz="0" w:space="0" w:color="auto"/>
        <w:left w:val="none" w:sz="0" w:space="0" w:color="auto"/>
        <w:bottom w:val="none" w:sz="0" w:space="0" w:color="auto"/>
        <w:right w:val="none" w:sz="0" w:space="0" w:color="auto"/>
      </w:divBdr>
    </w:div>
    <w:div w:id="1375033612">
      <w:bodyDiv w:val="1"/>
      <w:marLeft w:val="0"/>
      <w:marRight w:val="0"/>
      <w:marTop w:val="0"/>
      <w:marBottom w:val="0"/>
      <w:divBdr>
        <w:top w:val="none" w:sz="0" w:space="0" w:color="auto"/>
        <w:left w:val="none" w:sz="0" w:space="0" w:color="auto"/>
        <w:bottom w:val="none" w:sz="0" w:space="0" w:color="auto"/>
        <w:right w:val="none" w:sz="0" w:space="0" w:color="auto"/>
      </w:divBdr>
    </w:div>
    <w:div w:id="1473326057">
      <w:bodyDiv w:val="1"/>
      <w:marLeft w:val="0"/>
      <w:marRight w:val="0"/>
      <w:marTop w:val="0"/>
      <w:marBottom w:val="0"/>
      <w:divBdr>
        <w:top w:val="none" w:sz="0" w:space="0" w:color="auto"/>
        <w:left w:val="none" w:sz="0" w:space="0" w:color="auto"/>
        <w:bottom w:val="none" w:sz="0" w:space="0" w:color="auto"/>
        <w:right w:val="none" w:sz="0" w:space="0" w:color="auto"/>
      </w:divBdr>
    </w:div>
    <w:div w:id="1574923885">
      <w:bodyDiv w:val="1"/>
      <w:marLeft w:val="0"/>
      <w:marRight w:val="0"/>
      <w:marTop w:val="0"/>
      <w:marBottom w:val="0"/>
      <w:divBdr>
        <w:top w:val="none" w:sz="0" w:space="0" w:color="auto"/>
        <w:left w:val="none" w:sz="0" w:space="0" w:color="auto"/>
        <w:bottom w:val="none" w:sz="0" w:space="0" w:color="auto"/>
        <w:right w:val="none" w:sz="0" w:space="0" w:color="auto"/>
      </w:divBdr>
    </w:div>
    <w:div w:id="1689410845">
      <w:bodyDiv w:val="1"/>
      <w:marLeft w:val="0"/>
      <w:marRight w:val="0"/>
      <w:marTop w:val="0"/>
      <w:marBottom w:val="0"/>
      <w:divBdr>
        <w:top w:val="none" w:sz="0" w:space="0" w:color="auto"/>
        <w:left w:val="none" w:sz="0" w:space="0" w:color="auto"/>
        <w:bottom w:val="none" w:sz="0" w:space="0" w:color="auto"/>
        <w:right w:val="none" w:sz="0" w:space="0" w:color="auto"/>
      </w:divBdr>
    </w:div>
    <w:div w:id="1774126171">
      <w:bodyDiv w:val="1"/>
      <w:marLeft w:val="0"/>
      <w:marRight w:val="0"/>
      <w:marTop w:val="0"/>
      <w:marBottom w:val="0"/>
      <w:divBdr>
        <w:top w:val="none" w:sz="0" w:space="0" w:color="auto"/>
        <w:left w:val="none" w:sz="0" w:space="0" w:color="auto"/>
        <w:bottom w:val="none" w:sz="0" w:space="0" w:color="auto"/>
        <w:right w:val="none" w:sz="0" w:space="0" w:color="auto"/>
      </w:divBdr>
    </w:div>
    <w:div w:id="1802578394">
      <w:bodyDiv w:val="1"/>
      <w:marLeft w:val="0"/>
      <w:marRight w:val="0"/>
      <w:marTop w:val="0"/>
      <w:marBottom w:val="0"/>
      <w:divBdr>
        <w:top w:val="none" w:sz="0" w:space="0" w:color="auto"/>
        <w:left w:val="none" w:sz="0" w:space="0" w:color="auto"/>
        <w:bottom w:val="none" w:sz="0" w:space="0" w:color="auto"/>
        <w:right w:val="none" w:sz="0" w:space="0" w:color="auto"/>
      </w:divBdr>
    </w:div>
    <w:div w:id="2134518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andfonline.com/doi/full/10.1080/09669582.2020.182843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searchgate.net/publication/264118155_Sustainability_in_the_Hospitality_Industry_Principles_of_Sustainable_Operations" TargetMode="External"/><Relationship Id="rId17" Type="http://schemas.openxmlformats.org/officeDocument/2006/relationships/hyperlink" Target="https://www.tandfonline.com/doi/full/10.1080/1331677X.2014.995895" TargetMode="External"/><Relationship Id="rId2" Type="http://schemas.openxmlformats.org/officeDocument/2006/relationships/styles" Target="styles.xml"/><Relationship Id="rId16" Type="http://schemas.openxmlformats.org/officeDocument/2006/relationships/hyperlink" Target="https://www.unwto.org/sustainable-developmen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aylorfrancis.com/books/mono/10.4324/9781351033701/hospitality-business-development-crispin-dale-ahmed-hassanien" TargetMode="External"/><Relationship Id="rId5" Type="http://schemas.openxmlformats.org/officeDocument/2006/relationships/image" Target="media/image1.png"/><Relationship Id="rId15" Type="http://schemas.openxmlformats.org/officeDocument/2006/relationships/hyperlink" Target="https://doi.org/https:/doi.org/10.1016/j.jclepro.2020.124947" TargetMode="External"/><Relationship Id="rId10" Type="http://schemas.openxmlformats.org/officeDocument/2006/relationships/hyperlink" Target="https://books.google.co.uk/books?id=MMuqDwAAQBAJ&amp;printsec=frontcover&amp;source=gbs_ge_summary_r&amp;ca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372862026_Unveiling_the_Significance_of_Sustainability_in_Tourism_Environmental_Conservation_Socioeconomic_Development_and_Destination_Resilience" TargetMode="External"/><Relationship Id="rId14" Type="http://schemas.openxmlformats.org/officeDocument/2006/relationships/hyperlink" Target="https://www.academia.edu/20115622/Kramer_and_porter_2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762</TotalTime>
  <Pages>16</Pages>
  <Words>3992</Words>
  <Characters>22758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129</cp:revision>
  <dcterms:created xsi:type="dcterms:W3CDTF">2024-02-27T09:56:00Z</dcterms:created>
  <dcterms:modified xsi:type="dcterms:W3CDTF">2024-02-29T19:57:00Z</dcterms:modified>
</cp:coreProperties>
</file>