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631B4A3" w:rsidP="5631B4A3" w:rsidRDefault="5631B4A3" w14:paraId="0BE0F89E" w14:textId="3E744F93">
      <w:pPr>
        <w:spacing w:line="360" w:lineRule="auto"/>
        <w:jc w:val="center"/>
        <w:rPr>
          <w:b w:val="1"/>
          <w:bCs w:val="1"/>
          <w:sz w:val="28"/>
          <w:szCs w:val="28"/>
          <w:u w:val="single"/>
        </w:rPr>
      </w:pPr>
      <w:r w:rsidRPr="5631B4A3" w:rsidR="5631B4A3">
        <w:rPr>
          <w:b w:val="1"/>
          <w:bCs w:val="1"/>
          <w:sz w:val="28"/>
          <w:szCs w:val="28"/>
          <w:u w:val="single"/>
        </w:rPr>
        <w:t>The concept of consent in the UK and its role in cases involving battery.</w:t>
      </w:r>
    </w:p>
    <w:p w:rsidR="6478A417" w:rsidP="5631B4A3" w:rsidRDefault="6478A417" w14:paraId="64E197DF" w14:textId="1463F014">
      <w:pPr>
        <w:pStyle w:val="Normal"/>
        <w:jc w:val="center"/>
        <w:rPr>
          <w:b w:val="0"/>
          <w:bCs w:val="0"/>
          <w:sz w:val="24"/>
          <w:szCs w:val="24"/>
          <w:u w:val="none"/>
        </w:rPr>
      </w:pPr>
      <w:r w:rsidRPr="5631B4A3" w:rsidR="5631B4A3">
        <w:rPr>
          <w:b w:val="0"/>
          <w:bCs w:val="0"/>
          <w:sz w:val="24"/>
          <w:szCs w:val="24"/>
          <w:u w:val="none"/>
        </w:rPr>
        <w:t xml:space="preserve">In this essay, the concept of consent in the UK and its role in cases involving battery will be researched and evaluated to further understand the subject and expand knowledge on the UK’s laws surrounding these topics, it will involve cases for further insight to show the importance of consent and cases showing different examples of battery and the laws surrounding these topics. It will also show examples of Acts put in place in the UK and how they affect the decisions made by courts past and present. </w:t>
      </w:r>
    </w:p>
    <w:p w:rsidR="6478A417" w:rsidP="5631B4A3" w:rsidRDefault="6478A417" w14:paraId="1EFD7918" w14:textId="76166111">
      <w:pPr>
        <w:pStyle w:val="Normal"/>
        <w:jc w:val="center"/>
        <w:rPr>
          <w:b w:val="0"/>
          <w:bCs w:val="0"/>
          <w:sz w:val="24"/>
          <w:szCs w:val="24"/>
          <w:u w:val="none"/>
        </w:rPr>
      </w:pPr>
      <w:r w:rsidRPr="5631B4A3" w:rsidR="5631B4A3">
        <w:rPr>
          <w:b w:val="0"/>
          <w:bCs w:val="0"/>
          <w:sz w:val="24"/>
          <w:szCs w:val="24"/>
          <w:u w:val="none"/>
        </w:rPr>
        <w:t xml:space="preserve">The definition of consent in a legal mind set is, as of the Sexual offense Act 2003, ‘to be able to have the choice to agree to something and said person has the capacity to agree’ An example of someone who does not have the capacity to consent are those who have things like learning disabilities and dementia. This is because people with these disabilities may not fully understand what is being offered to them, therefore they ‘consent’ to something that they thought was something else. Age can also play a factor in the </w:t>
      </w:r>
      <w:r w:rsidRPr="5631B4A3" w:rsidR="5631B4A3">
        <w:rPr>
          <w:b w:val="0"/>
          <w:bCs w:val="0"/>
          <w:sz w:val="24"/>
          <w:szCs w:val="24"/>
          <w:u w:val="none"/>
        </w:rPr>
        <w:t>capacity</w:t>
      </w:r>
      <w:r w:rsidRPr="5631B4A3" w:rsidR="5631B4A3">
        <w:rPr>
          <w:b w:val="0"/>
          <w:bCs w:val="0"/>
          <w:sz w:val="24"/>
          <w:szCs w:val="24"/>
          <w:u w:val="none"/>
        </w:rPr>
        <w:t xml:space="preserve"> to consent.  There is also something called valid consent, this is when the person being asked for the consent is making an informed decision and </w:t>
      </w:r>
      <w:r w:rsidRPr="5631B4A3" w:rsidR="5631B4A3">
        <w:rPr>
          <w:b w:val="0"/>
          <w:bCs w:val="0"/>
          <w:sz w:val="24"/>
          <w:szCs w:val="24"/>
          <w:u w:val="none"/>
        </w:rPr>
        <w:t>isn't</w:t>
      </w:r>
      <w:r w:rsidRPr="5631B4A3" w:rsidR="5631B4A3">
        <w:rPr>
          <w:b w:val="0"/>
          <w:bCs w:val="0"/>
          <w:sz w:val="24"/>
          <w:szCs w:val="24"/>
          <w:u w:val="none"/>
        </w:rPr>
        <w:t xml:space="preserve"> being pushed to make the decision, they also </w:t>
      </w:r>
      <w:bookmarkStart w:name="_Int_nA4W9vXD" w:id="1071047952"/>
      <w:r w:rsidRPr="5631B4A3" w:rsidR="5631B4A3">
        <w:rPr>
          <w:b w:val="0"/>
          <w:bCs w:val="0"/>
          <w:sz w:val="24"/>
          <w:szCs w:val="24"/>
          <w:u w:val="none"/>
        </w:rPr>
        <w:t>have to</w:t>
      </w:r>
      <w:bookmarkEnd w:id="1071047952"/>
      <w:r w:rsidRPr="5631B4A3" w:rsidR="5631B4A3">
        <w:rPr>
          <w:b w:val="0"/>
          <w:bCs w:val="0"/>
          <w:sz w:val="24"/>
          <w:szCs w:val="24"/>
          <w:u w:val="none"/>
        </w:rPr>
        <w:t xml:space="preserve"> have the </w:t>
      </w:r>
      <w:r w:rsidRPr="5631B4A3" w:rsidR="5631B4A3">
        <w:rPr>
          <w:b w:val="0"/>
          <w:bCs w:val="0"/>
          <w:sz w:val="24"/>
          <w:szCs w:val="24"/>
          <w:u w:val="none"/>
        </w:rPr>
        <w:t>capacity</w:t>
      </w:r>
      <w:r w:rsidRPr="5631B4A3" w:rsidR="5631B4A3">
        <w:rPr>
          <w:b w:val="0"/>
          <w:bCs w:val="0"/>
          <w:sz w:val="24"/>
          <w:szCs w:val="24"/>
          <w:u w:val="none"/>
        </w:rPr>
        <w:t xml:space="preserve"> to consent </w:t>
      </w:r>
      <w:bookmarkStart w:name="_Int_0VHKvajj" w:id="1654827207"/>
      <w:r w:rsidRPr="5631B4A3" w:rsidR="5631B4A3">
        <w:rPr>
          <w:b w:val="0"/>
          <w:bCs w:val="0"/>
          <w:sz w:val="24"/>
          <w:szCs w:val="24"/>
          <w:u w:val="none"/>
        </w:rPr>
        <w:t>in order for</w:t>
      </w:r>
      <w:bookmarkEnd w:id="1654827207"/>
      <w:r w:rsidRPr="5631B4A3" w:rsidR="5631B4A3">
        <w:rPr>
          <w:b w:val="0"/>
          <w:bCs w:val="0"/>
          <w:sz w:val="24"/>
          <w:szCs w:val="24"/>
          <w:u w:val="none"/>
        </w:rPr>
        <w:t xml:space="preserve"> it to be valid. </w:t>
      </w:r>
    </w:p>
    <w:p w:rsidR="6478A417" w:rsidP="5631B4A3" w:rsidRDefault="6478A417" w14:paraId="0017C57E" w14:textId="47C01A10">
      <w:pPr>
        <w:pStyle w:val="Normal"/>
        <w:jc w:val="center"/>
        <w:rPr>
          <w:b w:val="0"/>
          <w:bCs w:val="0"/>
          <w:sz w:val="24"/>
          <w:szCs w:val="24"/>
          <w:u w:val="none"/>
        </w:rPr>
      </w:pPr>
      <w:r w:rsidRPr="5631B4A3" w:rsidR="5631B4A3">
        <w:rPr>
          <w:b w:val="0"/>
          <w:bCs w:val="0"/>
          <w:sz w:val="24"/>
          <w:szCs w:val="24"/>
          <w:u w:val="none"/>
        </w:rPr>
        <w:t xml:space="preserve">For example, Janey is going in for surgery, the doctors have informed her of what the surgery is, </w:t>
      </w:r>
      <w:r w:rsidRPr="5631B4A3" w:rsidR="5631B4A3">
        <w:rPr>
          <w:b w:val="0"/>
          <w:bCs w:val="0"/>
          <w:sz w:val="24"/>
          <w:szCs w:val="24"/>
          <w:u w:val="none"/>
        </w:rPr>
        <w:t>it's</w:t>
      </w:r>
      <w:r w:rsidRPr="5631B4A3" w:rsidR="5631B4A3">
        <w:rPr>
          <w:b w:val="0"/>
          <w:bCs w:val="0"/>
          <w:sz w:val="24"/>
          <w:szCs w:val="24"/>
          <w:u w:val="none"/>
        </w:rPr>
        <w:t xml:space="preserve"> </w:t>
      </w:r>
      <w:r w:rsidRPr="5631B4A3" w:rsidR="5631B4A3">
        <w:rPr>
          <w:b w:val="0"/>
          <w:bCs w:val="0"/>
          <w:sz w:val="24"/>
          <w:szCs w:val="24"/>
          <w:u w:val="none"/>
        </w:rPr>
        <w:t>possible outcomes</w:t>
      </w:r>
      <w:r w:rsidRPr="5631B4A3" w:rsidR="5631B4A3">
        <w:rPr>
          <w:b w:val="0"/>
          <w:bCs w:val="0"/>
          <w:sz w:val="24"/>
          <w:szCs w:val="24"/>
          <w:u w:val="none"/>
        </w:rPr>
        <w:t xml:space="preserve">, side effects and its recovery time, this allows Janey to evaluate and decide whether she wants to go through the surgery or not. It is extremely important to inform a person on what they are agreeing to because if they </w:t>
      </w:r>
      <w:r w:rsidRPr="5631B4A3" w:rsidR="5631B4A3">
        <w:rPr>
          <w:b w:val="0"/>
          <w:bCs w:val="0"/>
          <w:sz w:val="24"/>
          <w:szCs w:val="24"/>
          <w:u w:val="none"/>
        </w:rPr>
        <w:t>don’t</w:t>
      </w:r>
      <w:r w:rsidRPr="5631B4A3" w:rsidR="5631B4A3">
        <w:rPr>
          <w:b w:val="0"/>
          <w:bCs w:val="0"/>
          <w:sz w:val="24"/>
          <w:szCs w:val="24"/>
          <w:u w:val="none"/>
        </w:rPr>
        <w:t xml:space="preserve"> know the full details and go through with something and </w:t>
      </w:r>
      <w:r w:rsidRPr="5631B4A3" w:rsidR="5631B4A3">
        <w:rPr>
          <w:b w:val="0"/>
          <w:bCs w:val="0"/>
          <w:sz w:val="24"/>
          <w:szCs w:val="24"/>
          <w:u w:val="none"/>
        </w:rPr>
        <w:t>aren't</w:t>
      </w:r>
      <w:r w:rsidRPr="5631B4A3" w:rsidR="5631B4A3">
        <w:rPr>
          <w:b w:val="0"/>
          <w:bCs w:val="0"/>
          <w:sz w:val="24"/>
          <w:szCs w:val="24"/>
          <w:u w:val="none"/>
        </w:rPr>
        <w:t xml:space="preserve"> happy that something happened that they </w:t>
      </w:r>
      <w:r w:rsidRPr="5631B4A3" w:rsidR="5631B4A3">
        <w:rPr>
          <w:b w:val="0"/>
          <w:bCs w:val="0"/>
          <w:sz w:val="24"/>
          <w:szCs w:val="24"/>
          <w:u w:val="none"/>
        </w:rPr>
        <w:t>weren’t</w:t>
      </w:r>
      <w:r w:rsidRPr="5631B4A3" w:rsidR="5631B4A3">
        <w:rPr>
          <w:b w:val="0"/>
          <w:bCs w:val="0"/>
          <w:sz w:val="24"/>
          <w:szCs w:val="24"/>
          <w:u w:val="none"/>
        </w:rPr>
        <w:t xml:space="preserve"> informed about, that’s grounds for them to take a person/ people to court.</w:t>
      </w:r>
    </w:p>
    <w:p w:rsidR="6478A417" w:rsidP="5631B4A3" w:rsidRDefault="6478A417" w14:paraId="3644D45C" w14:textId="6039FAC3">
      <w:pPr>
        <w:pStyle w:val="Normal"/>
        <w:jc w:val="center"/>
        <w:rPr>
          <w:b w:val="0"/>
          <w:bCs w:val="0"/>
          <w:sz w:val="24"/>
          <w:szCs w:val="24"/>
          <w:u w:val="none"/>
        </w:rPr>
      </w:pPr>
      <w:r w:rsidRPr="5631B4A3" w:rsidR="5631B4A3">
        <w:rPr>
          <w:b w:val="0"/>
          <w:bCs w:val="0"/>
          <w:sz w:val="24"/>
          <w:szCs w:val="24"/>
          <w:u w:val="none"/>
        </w:rPr>
        <w:t xml:space="preserve"> There is </w:t>
      </w:r>
      <w:bookmarkStart w:name="_Int_3K7l1sc5" w:id="1856798785"/>
      <w:r w:rsidRPr="5631B4A3" w:rsidR="5631B4A3">
        <w:rPr>
          <w:b w:val="0"/>
          <w:bCs w:val="0"/>
          <w:sz w:val="24"/>
          <w:szCs w:val="24"/>
          <w:u w:val="none"/>
        </w:rPr>
        <w:t>actually a</w:t>
      </w:r>
      <w:bookmarkEnd w:id="1856798785"/>
      <w:r w:rsidRPr="5631B4A3" w:rsidR="5631B4A3">
        <w:rPr>
          <w:b w:val="0"/>
          <w:bCs w:val="0"/>
          <w:sz w:val="24"/>
          <w:szCs w:val="24"/>
          <w:u w:val="none"/>
        </w:rPr>
        <w:t xml:space="preserve"> case where this happened and that is the case of Montgomery V Lanarkshire Health board. This was a case where the nurses did not inform Montgomery of the risks that the baby may face if she </w:t>
      </w:r>
      <w:r w:rsidRPr="5631B4A3" w:rsidR="5631B4A3">
        <w:rPr>
          <w:b w:val="0"/>
          <w:bCs w:val="0"/>
          <w:sz w:val="24"/>
          <w:szCs w:val="24"/>
          <w:u w:val="none"/>
        </w:rPr>
        <w:t>was</w:t>
      </w:r>
      <w:r w:rsidRPr="5631B4A3" w:rsidR="5631B4A3">
        <w:rPr>
          <w:b w:val="0"/>
          <w:bCs w:val="0"/>
          <w:sz w:val="24"/>
          <w:szCs w:val="24"/>
          <w:u w:val="none"/>
        </w:rPr>
        <w:t xml:space="preserve"> to do a vaginal delivery instead of a caesarean and because of this, the baby unfortunately came out disabled. This ended up going to supreme court and Ms Montgomery was found to have the right to be informed.</w:t>
      </w:r>
    </w:p>
    <w:p w:rsidR="6478A417" w:rsidP="6478A417" w:rsidRDefault="6478A417" w14:paraId="7FC660C3" w14:textId="0398A3E4">
      <w:pPr>
        <w:pStyle w:val="Normal"/>
        <w:jc w:val="center"/>
        <w:rPr>
          <w:b w:val="0"/>
          <w:bCs w:val="0"/>
          <w:sz w:val="24"/>
          <w:szCs w:val="24"/>
          <w:u w:val="none"/>
        </w:rPr>
      </w:pPr>
      <w:r w:rsidRPr="5631B4A3" w:rsidR="5631B4A3">
        <w:rPr>
          <w:b w:val="0"/>
          <w:bCs w:val="0"/>
          <w:sz w:val="24"/>
          <w:szCs w:val="24"/>
          <w:u w:val="none"/>
        </w:rPr>
        <w:t xml:space="preserve"> For battery, the definition as by e-lawresources.co.uk, ‘an act committed either recklessly or intentionally that applies an unlawful force to another.’ as </w:t>
      </w:r>
      <w:r w:rsidRPr="5631B4A3" w:rsidR="5631B4A3">
        <w:rPr>
          <w:b w:val="0"/>
          <w:bCs w:val="0"/>
          <w:sz w:val="24"/>
          <w:szCs w:val="24"/>
          <w:u w:val="none"/>
        </w:rPr>
        <w:t>stated</w:t>
      </w:r>
      <w:r w:rsidRPr="5631B4A3" w:rsidR="5631B4A3">
        <w:rPr>
          <w:b w:val="0"/>
          <w:bCs w:val="0"/>
          <w:sz w:val="24"/>
          <w:szCs w:val="24"/>
          <w:u w:val="none"/>
        </w:rPr>
        <w:t xml:space="preserve"> by the Lord Chief of Justice, Lord Jane.</w:t>
      </w:r>
    </w:p>
    <w:p w:rsidR="5631B4A3" w:rsidP="5631B4A3" w:rsidRDefault="5631B4A3" w14:paraId="59C6ECF2" w14:textId="69C83398">
      <w:pPr>
        <w:pStyle w:val="Normal"/>
        <w:jc w:val="center"/>
        <w:rPr>
          <w:b w:val="0"/>
          <w:bCs w:val="0"/>
          <w:sz w:val="24"/>
          <w:szCs w:val="24"/>
          <w:u w:val="none"/>
        </w:rPr>
      </w:pPr>
      <w:r w:rsidRPr="5631B4A3" w:rsidR="5631B4A3">
        <w:rPr>
          <w:b w:val="0"/>
          <w:bCs w:val="0"/>
          <w:sz w:val="24"/>
          <w:szCs w:val="24"/>
          <w:u w:val="none"/>
        </w:rPr>
        <w:t>Battery is a summary offense in England and Wales it is seen as unlawful entry into another's space, this could be things like spitting, pushing and even acting to punch or physically harm a person can be counted as battery. This is under the Criminal Justice Act 1988. The website legislation.gov sates that being charged of common assault and batter is a summary offense that the perpetrator pays a fine that cannot go over level 5 and cannot be kept in jail for any longer than 6 months.</w:t>
      </w:r>
    </w:p>
    <w:p w:rsidR="5631B4A3" w:rsidP="5631B4A3" w:rsidRDefault="5631B4A3" w14:paraId="6FC8C2BD" w14:textId="167CAB5C">
      <w:pPr>
        <w:pStyle w:val="Normal"/>
        <w:jc w:val="center"/>
        <w:rPr>
          <w:b w:val="0"/>
          <w:bCs w:val="0"/>
          <w:sz w:val="24"/>
          <w:szCs w:val="24"/>
          <w:u w:val="none"/>
        </w:rPr>
      </w:pPr>
      <w:r w:rsidRPr="5631B4A3" w:rsidR="5631B4A3">
        <w:rPr>
          <w:b w:val="0"/>
          <w:bCs w:val="0"/>
          <w:sz w:val="24"/>
          <w:szCs w:val="24"/>
          <w:u w:val="none"/>
        </w:rPr>
        <w:t xml:space="preserve">If a person does not consent to be physically touched but </w:t>
      </w:r>
      <w:bookmarkStart w:name="_Int_EeawutBA" w:id="1942489315"/>
      <w:r w:rsidRPr="5631B4A3" w:rsidR="5631B4A3">
        <w:rPr>
          <w:b w:val="0"/>
          <w:bCs w:val="0"/>
          <w:sz w:val="24"/>
          <w:szCs w:val="24"/>
          <w:u w:val="none"/>
        </w:rPr>
        <w:t>another</w:t>
      </w:r>
      <w:bookmarkEnd w:id="1942489315"/>
      <w:r w:rsidRPr="5631B4A3" w:rsidR="5631B4A3">
        <w:rPr>
          <w:b w:val="0"/>
          <w:bCs w:val="0"/>
          <w:sz w:val="24"/>
          <w:szCs w:val="24"/>
          <w:u w:val="none"/>
        </w:rPr>
        <w:t xml:space="preserve"> touches them anyway, it can be considered assault due to this. A case that shows this is the case of Collins V Wilcock 1984. This case is about a police officer who expected that a woman was a prostitute, she tried to walk off to which her grabbed her and she started trying to get free from the grip to which she ended up scratching the officer. The courts were in her favour as it was seen as an act of </w:t>
      </w:r>
      <w:r w:rsidRPr="5631B4A3" w:rsidR="5631B4A3">
        <w:rPr>
          <w:b w:val="0"/>
          <w:bCs w:val="0"/>
          <w:sz w:val="24"/>
          <w:szCs w:val="24"/>
          <w:u w:val="none"/>
        </w:rPr>
        <w:t>self-defence</w:t>
      </w:r>
      <w:r w:rsidRPr="5631B4A3" w:rsidR="5631B4A3">
        <w:rPr>
          <w:b w:val="0"/>
          <w:bCs w:val="0"/>
          <w:sz w:val="24"/>
          <w:szCs w:val="24"/>
          <w:u w:val="none"/>
        </w:rPr>
        <w:t xml:space="preserve"> and the officer was faced with the charge of battery.</w:t>
      </w:r>
    </w:p>
    <w:p w:rsidR="5631B4A3" w:rsidP="5631B4A3" w:rsidRDefault="5631B4A3" w14:paraId="2176CC54" w14:textId="0BA26A0C">
      <w:pPr>
        <w:pStyle w:val="Normal"/>
        <w:jc w:val="center"/>
        <w:rPr>
          <w:b w:val="0"/>
          <w:bCs w:val="0"/>
          <w:sz w:val="24"/>
          <w:szCs w:val="24"/>
          <w:u w:val="none"/>
        </w:rPr>
      </w:pPr>
      <w:r w:rsidRPr="17252C47" w:rsidR="17252C47">
        <w:rPr>
          <w:b w:val="0"/>
          <w:bCs w:val="0"/>
          <w:sz w:val="24"/>
          <w:szCs w:val="24"/>
          <w:u w:val="none"/>
        </w:rPr>
        <w:t xml:space="preserve"> The difference between consensual activities and battery is that one has been agreed upon and the person or people that agreed knows what they are in for, they must be able to make these decisions though and if they are drunk for example, they do not have the capacity to agree, battery is when one does not agree to something, for example, they do not want to be touched by another but the other touches them anyway. It also </w:t>
      </w:r>
      <w:r w:rsidRPr="17252C47" w:rsidR="17252C47">
        <w:rPr>
          <w:b w:val="0"/>
          <w:bCs w:val="0"/>
          <w:sz w:val="24"/>
          <w:szCs w:val="24"/>
          <w:u w:val="none"/>
        </w:rPr>
        <w:t>doesn’t</w:t>
      </w:r>
      <w:r w:rsidRPr="17252C47" w:rsidR="17252C47">
        <w:rPr>
          <w:b w:val="0"/>
          <w:bCs w:val="0"/>
          <w:sz w:val="24"/>
          <w:szCs w:val="24"/>
          <w:u w:val="none"/>
        </w:rPr>
        <w:t xml:space="preserve"> count as consent if they </w:t>
      </w:r>
      <w:r w:rsidRPr="17252C47" w:rsidR="17252C47">
        <w:rPr>
          <w:b w:val="0"/>
          <w:bCs w:val="0"/>
          <w:sz w:val="24"/>
          <w:szCs w:val="24"/>
          <w:u w:val="none"/>
        </w:rPr>
        <w:t>don’t</w:t>
      </w:r>
      <w:r w:rsidRPr="17252C47" w:rsidR="17252C47">
        <w:rPr>
          <w:b w:val="0"/>
          <w:bCs w:val="0"/>
          <w:sz w:val="24"/>
          <w:szCs w:val="24"/>
          <w:u w:val="none"/>
        </w:rPr>
        <w:t xml:space="preserve"> say no or yes, the only time its consent is when someone clearly says yes. It can also count as battery when someone who did previously consent, has withdrawn it but the other party keeps going anyway. An example of a case of battery is the case of R V Rolfe 1952.</w:t>
      </w:r>
    </w:p>
    <w:p w:rsidR="5631B4A3" w:rsidP="5631B4A3" w:rsidRDefault="5631B4A3" w14:paraId="2349995F" w14:textId="3CD04CA3">
      <w:pPr>
        <w:pStyle w:val="Normal"/>
        <w:jc w:val="center"/>
        <w:rPr>
          <w:b w:val="0"/>
          <w:bCs w:val="0"/>
          <w:sz w:val="24"/>
          <w:szCs w:val="24"/>
          <w:u w:val="none"/>
        </w:rPr>
      </w:pPr>
      <w:r w:rsidRPr="17252C47" w:rsidR="17252C47">
        <w:rPr>
          <w:b w:val="0"/>
          <w:bCs w:val="0"/>
          <w:sz w:val="24"/>
          <w:szCs w:val="24"/>
          <w:u w:val="none"/>
        </w:rPr>
        <w:t xml:space="preserve">There are grey areas when it comes to consent, for example, many people argue, especially during an intimate act, that the person first consented to it but then withdrew the consent, it’s also very hard to determine if the consent came through word of mouth as generally it’s never recorded therefore it’s harder to prove whether someone gave consent or not if there's no physical embodiments to show, e.g., marks, bruises, cuts etc. It can also get controversial because some people do consent to more physical acts that result in pain and the appearance of marks. In the case of R V Brown there was a police investigation going on with a group of homosexual men, the police found videos of the men engaging in sadomasochism and as a result charged them with actual bodily harm (ABH). Due to the controversies of this case, it has </w:t>
      </w:r>
      <w:r w:rsidRPr="17252C47" w:rsidR="17252C47">
        <w:rPr>
          <w:b w:val="0"/>
          <w:bCs w:val="0"/>
          <w:sz w:val="24"/>
          <w:szCs w:val="24"/>
          <w:u w:val="none"/>
        </w:rPr>
        <w:t>brought up</w:t>
      </w:r>
      <w:r w:rsidRPr="17252C47" w:rsidR="17252C47">
        <w:rPr>
          <w:b w:val="0"/>
          <w:bCs w:val="0"/>
          <w:sz w:val="24"/>
          <w:szCs w:val="24"/>
          <w:u w:val="none"/>
        </w:rPr>
        <w:t xml:space="preserve"> the legality of cases where the harm is consensual. For example, sports like boxing where the harm is consensual, and participants of the sport are informed and know what to expect when </w:t>
      </w:r>
      <w:r w:rsidRPr="17252C47" w:rsidR="17252C47">
        <w:rPr>
          <w:b w:val="0"/>
          <w:bCs w:val="0"/>
          <w:sz w:val="24"/>
          <w:szCs w:val="24"/>
          <w:u w:val="none"/>
        </w:rPr>
        <w:t>engaging</w:t>
      </w:r>
      <w:r w:rsidRPr="17252C47" w:rsidR="17252C47">
        <w:rPr>
          <w:b w:val="0"/>
          <w:bCs w:val="0"/>
          <w:sz w:val="24"/>
          <w:szCs w:val="24"/>
          <w:u w:val="none"/>
        </w:rPr>
        <w:t xml:space="preserve"> in the sport.</w:t>
      </w:r>
    </w:p>
    <w:p w:rsidR="17252C47" w:rsidP="17252C47" w:rsidRDefault="17252C47" w14:paraId="7B23EED4" w14:textId="012DCD43">
      <w:pPr>
        <w:pStyle w:val="Normal"/>
        <w:jc w:val="center"/>
        <w:rPr>
          <w:b w:val="0"/>
          <w:bCs w:val="0"/>
          <w:sz w:val="24"/>
          <w:szCs w:val="24"/>
          <w:u w:val="none"/>
        </w:rPr>
      </w:pPr>
      <w:r w:rsidRPr="17252C47" w:rsidR="17252C47">
        <w:rPr>
          <w:b w:val="0"/>
          <w:bCs w:val="0"/>
          <w:sz w:val="24"/>
          <w:szCs w:val="24"/>
          <w:u w:val="none"/>
        </w:rPr>
        <w:t xml:space="preserve">How consent affects the legal outcomes of battery. A defendant can </w:t>
      </w:r>
      <w:bookmarkStart w:name="_Int_iR9Lr7Rh" w:id="1017009849"/>
      <w:r w:rsidRPr="17252C47" w:rsidR="17252C47">
        <w:rPr>
          <w:b w:val="0"/>
          <w:bCs w:val="0"/>
          <w:sz w:val="24"/>
          <w:szCs w:val="24"/>
          <w:u w:val="none"/>
        </w:rPr>
        <w:t>actually use</w:t>
      </w:r>
      <w:bookmarkEnd w:id="1017009849"/>
      <w:r w:rsidRPr="17252C47" w:rsidR="17252C47">
        <w:rPr>
          <w:b w:val="0"/>
          <w:bCs w:val="0"/>
          <w:sz w:val="24"/>
          <w:szCs w:val="24"/>
          <w:u w:val="none"/>
        </w:rPr>
        <w:t xml:space="preserve"> consent as a defence to a battery charge, it would be made easier for them if it </w:t>
      </w:r>
      <w:r w:rsidRPr="17252C47" w:rsidR="17252C47">
        <w:rPr>
          <w:b w:val="0"/>
          <w:bCs w:val="0"/>
          <w:sz w:val="24"/>
          <w:szCs w:val="24"/>
          <w:u w:val="none"/>
        </w:rPr>
        <w:t>was</w:t>
      </w:r>
      <w:r w:rsidRPr="17252C47" w:rsidR="17252C47">
        <w:rPr>
          <w:b w:val="0"/>
          <w:bCs w:val="0"/>
          <w:sz w:val="24"/>
          <w:szCs w:val="24"/>
          <w:u w:val="none"/>
        </w:rPr>
        <w:t xml:space="preserve"> a form signed by the other party as anyone can use the defence of the other party consented to the act when they </w:t>
      </w:r>
      <w:bookmarkStart w:name="_Int_kop5zrQ1" w:id="766587592"/>
      <w:r w:rsidRPr="17252C47" w:rsidR="17252C47">
        <w:rPr>
          <w:b w:val="0"/>
          <w:bCs w:val="0"/>
          <w:sz w:val="24"/>
          <w:szCs w:val="24"/>
          <w:u w:val="none"/>
        </w:rPr>
        <w:t xml:space="preserve">actually </w:t>
      </w:r>
      <w:r w:rsidRPr="17252C47" w:rsidR="17252C47">
        <w:rPr>
          <w:b w:val="0"/>
          <w:bCs w:val="0"/>
          <w:sz w:val="24"/>
          <w:szCs w:val="24"/>
          <w:u w:val="none"/>
        </w:rPr>
        <w:t>didn’t</w:t>
      </w:r>
      <w:bookmarkEnd w:id="766587592"/>
      <w:r w:rsidRPr="17252C47" w:rsidR="17252C47">
        <w:rPr>
          <w:b w:val="0"/>
          <w:bCs w:val="0"/>
          <w:sz w:val="24"/>
          <w:szCs w:val="24"/>
          <w:u w:val="none"/>
        </w:rPr>
        <w:t>. Signed papers or physical proof show that the person has understood and agreed to the terms. This can change the outcome of the charge to a lesser sentence or no sentence at all, it depends on the amount of harm that had been inflicted in the case of Leach 1969, even though the victim consented to having nails inserted into his hands, they still got found guilty and were not supposed to depend on the victims consent.</w:t>
      </w:r>
    </w:p>
    <w:p w:rsidR="17252C47" w:rsidP="17252C47" w:rsidRDefault="17252C47" w14:paraId="4CE7BC91" w14:textId="3A6EC23C">
      <w:pPr>
        <w:pStyle w:val="Normal"/>
        <w:jc w:val="center"/>
        <w:rPr>
          <w:b w:val="0"/>
          <w:bCs w:val="0"/>
          <w:sz w:val="24"/>
          <w:szCs w:val="24"/>
          <w:u w:val="none"/>
        </w:rPr>
      </w:pPr>
      <w:r w:rsidRPr="17252C47" w:rsidR="17252C47">
        <w:rPr>
          <w:b w:val="0"/>
          <w:bCs w:val="0"/>
          <w:sz w:val="24"/>
          <w:szCs w:val="24"/>
          <w:u w:val="none"/>
        </w:rPr>
        <w:t xml:space="preserve"> This is a case of when the defence of consent was not valid, a case where there was the valid defence of consent is the case of Richardson 1998 where the defended was a suspended dentist, the patients consented to the dental work only to later find out he was suspended. The courts </w:t>
      </w:r>
      <w:r w:rsidRPr="17252C47" w:rsidR="17252C47">
        <w:rPr>
          <w:b w:val="0"/>
          <w:bCs w:val="0"/>
          <w:sz w:val="24"/>
          <w:szCs w:val="24"/>
          <w:u w:val="none"/>
        </w:rPr>
        <w:t>ultimately accepted</w:t>
      </w:r>
      <w:r w:rsidRPr="17252C47" w:rsidR="17252C47">
        <w:rPr>
          <w:b w:val="0"/>
          <w:bCs w:val="0"/>
          <w:sz w:val="24"/>
          <w:szCs w:val="24"/>
          <w:u w:val="none"/>
        </w:rPr>
        <w:t xml:space="preserve"> the defence of consent, and no charges were placed.  some ethical dilemmas may pop up due to this though as people could use the consent defence when they know that ethically, what they did was wrong e.g. tattooing underage persons. Or in sports like boxing where harm is going to come, they could, for example, punch harder than they should and could argue that the other party consented as </w:t>
      </w:r>
      <w:r w:rsidRPr="17252C47" w:rsidR="17252C47">
        <w:rPr>
          <w:b w:val="0"/>
          <w:bCs w:val="0"/>
          <w:sz w:val="24"/>
          <w:szCs w:val="24"/>
          <w:u w:val="none"/>
        </w:rPr>
        <w:t>they know</w:t>
      </w:r>
      <w:r w:rsidRPr="17252C47" w:rsidR="17252C47">
        <w:rPr>
          <w:b w:val="0"/>
          <w:bCs w:val="0"/>
          <w:sz w:val="24"/>
          <w:szCs w:val="24"/>
          <w:u w:val="none"/>
        </w:rPr>
        <w:t xml:space="preserve"> that the sport entails harm to come to both parties. </w:t>
      </w:r>
    </w:p>
    <w:p w:rsidR="17252C47" w:rsidP="17252C47" w:rsidRDefault="17252C47" w14:paraId="3A9E0845" w14:textId="2704AE0F">
      <w:pPr>
        <w:pStyle w:val="Normal"/>
        <w:jc w:val="center"/>
        <w:rPr>
          <w:b w:val="0"/>
          <w:bCs w:val="0"/>
          <w:sz w:val="24"/>
          <w:szCs w:val="24"/>
          <w:u w:val="none"/>
        </w:rPr>
      </w:pPr>
      <w:r w:rsidRPr="17252C47" w:rsidR="17252C47">
        <w:rPr>
          <w:b w:val="0"/>
          <w:bCs w:val="0"/>
          <w:sz w:val="24"/>
          <w:szCs w:val="24"/>
          <w:u w:val="none"/>
        </w:rPr>
        <w:t xml:space="preserve">The public especially today- are very aware of consent and what it is. Especially with movements like the MeToo movement and how much consent is taught to children in school. The public knows how to properly attain consent and know to not push it on to others. The public also understand the importance of consent as it can be the difference between getting a sentence or not. The significance of consent for battery cases is also very </w:t>
      </w:r>
      <w:r w:rsidRPr="17252C47" w:rsidR="17252C47">
        <w:rPr>
          <w:b w:val="0"/>
          <w:bCs w:val="0"/>
          <w:sz w:val="24"/>
          <w:szCs w:val="24"/>
          <w:u w:val="none"/>
        </w:rPr>
        <w:t>substantial</w:t>
      </w:r>
      <w:r w:rsidRPr="17252C47" w:rsidR="17252C47">
        <w:rPr>
          <w:b w:val="0"/>
          <w:bCs w:val="0"/>
          <w:sz w:val="24"/>
          <w:szCs w:val="24"/>
          <w:u w:val="none"/>
        </w:rPr>
        <w:t xml:space="preserve"> as it can change the charge as seen in above cases Richardson 1998, the charges got dropped as it was found that the patients consented.</w:t>
      </w:r>
    </w:p>
    <w:p w:rsidR="17252C47" w:rsidP="17252C47" w:rsidRDefault="17252C47" w14:paraId="4FF36A14" w14:textId="08A646C1">
      <w:pPr>
        <w:pStyle w:val="Normal"/>
        <w:jc w:val="center"/>
        <w:rPr>
          <w:b w:val="0"/>
          <w:bCs w:val="0"/>
          <w:sz w:val="24"/>
          <w:szCs w:val="24"/>
          <w:u w:val="none"/>
        </w:rPr>
      </w:pPr>
      <w:r w:rsidRPr="17252C47" w:rsidR="17252C47">
        <w:rPr>
          <w:b w:val="0"/>
          <w:bCs w:val="0"/>
          <w:sz w:val="24"/>
          <w:szCs w:val="24"/>
          <w:u w:val="none"/>
        </w:rPr>
        <w:t xml:space="preserve">Some misconceptions of battery are that a person </w:t>
      </w:r>
      <w:bookmarkStart w:name="_Int_ZdmGnYvZ" w:id="715671039"/>
      <w:r w:rsidRPr="17252C47" w:rsidR="17252C47">
        <w:rPr>
          <w:b w:val="0"/>
          <w:bCs w:val="0"/>
          <w:sz w:val="24"/>
          <w:szCs w:val="24"/>
          <w:u w:val="none"/>
        </w:rPr>
        <w:t>has to</w:t>
      </w:r>
      <w:bookmarkEnd w:id="715671039"/>
      <w:r w:rsidRPr="17252C47" w:rsidR="17252C47">
        <w:rPr>
          <w:b w:val="0"/>
          <w:bCs w:val="0"/>
          <w:sz w:val="24"/>
          <w:szCs w:val="24"/>
          <w:u w:val="none"/>
        </w:rPr>
        <w:t xml:space="preserve"> seriously hurt the other for it to be battery, but </w:t>
      </w:r>
      <w:r w:rsidRPr="17252C47" w:rsidR="17252C47">
        <w:rPr>
          <w:b w:val="0"/>
          <w:bCs w:val="0"/>
          <w:sz w:val="24"/>
          <w:szCs w:val="24"/>
          <w:u w:val="none"/>
        </w:rPr>
        <w:t>that’s</w:t>
      </w:r>
      <w:r w:rsidRPr="17252C47" w:rsidR="17252C47">
        <w:rPr>
          <w:b w:val="0"/>
          <w:bCs w:val="0"/>
          <w:sz w:val="24"/>
          <w:szCs w:val="24"/>
          <w:u w:val="none"/>
        </w:rPr>
        <w:t xml:space="preserve"> not the case and </w:t>
      </w:r>
      <w:r w:rsidRPr="17252C47" w:rsidR="17252C47">
        <w:rPr>
          <w:b w:val="0"/>
          <w:bCs w:val="0"/>
          <w:sz w:val="24"/>
          <w:szCs w:val="24"/>
          <w:u w:val="none"/>
        </w:rPr>
        <w:t>it's</w:t>
      </w:r>
      <w:r w:rsidRPr="17252C47" w:rsidR="17252C47">
        <w:rPr>
          <w:b w:val="0"/>
          <w:bCs w:val="0"/>
          <w:sz w:val="24"/>
          <w:szCs w:val="24"/>
          <w:u w:val="none"/>
        </w:rPr>
        <w:t xml:space="preserve"> as simple as someone mimicking hitting another. Some societies </w:t>
      </w:r>
      <w:r w:rsidRPr="17252C47" w:rsidR="17252C47">
        <w:rPr>
          <w:b w:val="0"/>
          <w:bCs w:val="0"/>
          <w:sz w:val="24"/>
          <w:szCs w:val="24"/>
          <w:u w:val="none"/>
        </w:rPr>
        <w:t>actually don’t</w:t>
      </w:r>
      <w:r w:rsidRPr="17252C47" w:rsidR="17252C47">
        <w:rPr>
          <w:b w:val="0"/>
          <w:bCs w:val="0"/>
          <w:sz w:val="24"/>
          <w:szCs w:val="24"/>
          <w:u w:val="none"/>
        </w:rPr>
        <w:t xml:space="preserve"> see the point of informed consent with some saying they see the point but most scenarios </w:t>
      </w:r>
      <w:r w:rsidRPr="17252C47" w:rsidR="17252C47">
        <w:rPr>
          <w:b w:val="0"/>
          <w:bCs w:val="0"/>
          <w:sz w:val="24"/>
          <w:szCs w:val="24"/>
          <w:u w:val="none"/>
        </w:rPr>
        <w:t>it's</w:t>
      </w:r>
      <w:r w:rsidRPr="17252C47" w:rsidR="17252C47">
        <w:rPr>
          <w:b w:val="0"/>
          <w:bCs w:val="0"/>
          <w:sz w:val="24"/>
          <w:szCs w:val="24"/>
          <w:u w:val="none"/>
        </w:rPr>
        <w:t xml:space="preserve"> not needed. A quote from the National library of medicine is ‘um, </w:t>
      </w:r>
      <w:r w:rsidRPr="17252C47" w:rsidR="17252C47">
        <w:rPr>
          <w:b w:val="0"/>
          <w:bCs w:val="0"/>
          <w:sz w:val="24"/>
          <w:szCs w:val="24"/>
          <w:u w:val="none"/>
        </w:rPr>
        <w:t>don’t</w:t>
      </w:r>
      <w:r w:rsidRPr="17252C47" w:rsidR="17252C47">
        <w:rPr>
          <w:b w:val="0"/>
          <w:bCs w:val="0"/>
          <w:sz w:val="24"/>
          <w:szCs w:val="24"/>
          <w:u w:val="none"/>
        </w:rPr>
        <w:t xml:space="preserve"> really see a need in some situations’</w:t>
      </w:r>
    </w:p>
    <w:p w:rsidR="17252C47" w:rsidP="17252C47" w:rsidRDefault="17252C47" w14:paraId="03A0E846" w14:textId="6F36F9F8">
      <w:pPr>
        <w:pStyle w:val="Normal"/>
        <w:jc w:val="center"/>
        <w:rPr>
          <w:b w:val="0"/>
          <w:bCs w:val="0"/>
          <w:sz w:val="24"/>
          <w:szCs w:val="24"/>
          <w:u w:val="none"/>
        </w:rPr>
      </w:pPr>
      <w:r w:rsidRPr="17252C47" w:rsidR="17252C47">
        <w:rPr>
          <w:b w:val="0"/>
          <w:bCs w:val="0"/>
          <w:sz w:val="24"/>
          <w:szCs w:val="24"/>
          <w:u w:val="none"/>
        </w:rPr>
        <w:t xml:space="preserve">As a conclusion, it has been discovered that consent can play </w:t>
      </w:r>
      <w:r w:rsidRPr="17252C47" w:rsidR="17252C47">
        <w:rPr>
          <w:b w:val="0"/>
          <w:bCs w:val="0"/>
          <w:sz w:val="24"/>
          <w:szCs w:val="24"/>
          <w:u w:val="none"/>
        </w:rPr>
        <w:t>a big role</w:t>
      </w:r>
      <w:r w:rsidRPr="17252C47" w:rsidR="17252C47">
        <w:rPr>
          <w:b w:val="0"/>
          <w:bCs w:val="0"/>
          <w:sz w:val="24"/>
          <w:szCs w:val="24"/>
          <w:u w:val="none"/>
        </w:rPr>
        <w:t xml:space="preserve"> in cases involving battery, but for the defence to be valid it must be informed, and the level of harm brought upon a person, even if they consented can still result in a battery charge. Consent has evolved throughout the years as beforehand it did use to be if you consented in the first place its legal, but now it has broadened </w:t>
      </w:r>
      <w:r w:rsidRPr="17252C47" w:rsidR="17252C47">
        <w:rPr>
          <w:b w:val="0"/>
          <w:bCs w:val="0"/>
          <w:sz w:val="24"/>
          <w:szCs w:val="24"/>
          <w:u w:val="none"/>
        </w:rPr>
        <w:t>its</w:t>
      </w:r>
      <w:r w:rsidRPr="17252C47" w:rsidR="17252C47">
        <w:rPr>
          <w:b w:val="0"/>
          <w:bCs w:val="0"/>
          <w:sz w:val="24"/>
          <w:szCs w:val="24"/>
          <w:u w:val="none"/>
        </w:rPr>
        <w:t xml:space="preserve"> definition to informed consent and now cases where a person withdrew consent are valid. Sexual offense Act 2003, ‘to be able to have the choice to agree to something and said person has the capacity to agree’.</w:t>
      </w:r>
    </w:p>
    <w:p w:rsidR="5631B4A3" w:rsidP="5631B4A3" w:rsidRDefault="5631B4A3" w14:paraId="2FD04CE3" w14:textId="6618C836">
      <w:pPr>
        <w:pStyle w:val="Normal"/>
        <w:jc w:val="center"/>
        <w:rPr>
          <w:b w:val="0"/>
          <w:bCs w:val="0"/>
          <w:sz w:val="24"/>
          <w:szCs w:val="24"/>
          <w:u w:val="none"/>
        </w:rPr>
      </w:pPr>
    </w:p>
    <w:p w:rsidR="24AA0E2E" w:rsidP="17252C47" w:rsidRDefault="24AA0E2E" w14:paraId="419A3ADE" w14:textId="2D99E498">
      <w:pPr>
        <w:pStyle w:val="Normal"/>
        <w:jc w:val="center"/>
        <w:rPr>
          <w:rFonts w:ascii="Calibri" w:hAnsi="Calibri" w:eastAsia="Calibri" w:cs="Calibri"/>
          <w:noProof w:val="0"/>
          <w:sz w:val="24"/>
          <w:szCs w:val="24"/>
          <w:lang w:val="en-GB"/>
        </w:rPr>
      </w:pPr>
      <w:r w:rsidRPr="17252C47" w:rsidR="17252C47">
        <w:rPr>
          <w:rFonts w:ascii="Calibri" w:hAnsi="Calibri" w:eastAsia="Calibri" w:cs="Calibri"/>
          <w:noProof w:val="0"/>
          <w:sz w:val="24"/>
          <w:szCs w:val="24"/>
          <w:lang w:val="en-GB"/>
        </w:rPr>
        <w:t>Blease C.R., Arnott, T., Kelley et al, A</w:t>
      </w:r>
      <w:r w:rsidRPr="17252C47" w:rsidR="17252C47">
        <w:rPr>
          <w:rFonts w:ascii="Calibri" w:hAnsi="Calibri" w:eastAsia="Calibri" w:cs="Calibri"/>
          <w:i w:val="1"/>
          <w:iCs w:val="1"/>
          <w:noProof w:val="0"/>
          <w:sz w:val="24"/>
          <w:szCs w:val="24"/>
          <w:lang w:val="en-GB"/>
        </w:rPr>
        <w:t>ttitudes about informed consent: An exploratory qualitive analysis of UK psychotherapy trainees,</w:t>
      </w:r>
      <w:r w:rsidRPr="17252C47" w:rsidR="17252C47">
        <w:rPr>
          <w:rFonts w:ascii="Calibri" w:hAnsi="Calibri" w:eastAsia="Calibri" w:cs="Calibri"/>
          <w:i w:val="0"/>
          <w:iCs w:val="0"/>
          <w:noProof w:val="0"/>
          <w:sz w:val="24"/>
          <w:szCs w:val="24"/>
          <w:lang w:val="en-GB"/>
        </w:rPr>
        <w:t xml:space="preserve"> available at,</w:t>
      </w:r>
      <w:r w:rsidRPr="17252C47" w:rsidR="17252C47">
        <w:rPr>
          <w:rFonts w:ascii="Calibri" w:hAnsi="Calibri" w:eastAsia="Calibri" w:cs="Calibri"/>
          <w:i w:val="1"/>
          <w:iCs w:val="1"/>
          <w:noProof w:val="0"/>
          <w:sz w:val="24"/>
          <w:szCs w:val="24"/>
          <w:lang w:val="en-GB"/>
        </w:rPr>
        <w:t xml:space="preserve"> </w:t>
      </w:r>
      <w:hyperlink r:id="R5d9b7ccc4a14433c">
        <w:r w:rsidRPr="17252C47" w:rsidR="17252C47">
          <w:rPr>
            <w:rStyle w:val="Hyperlink"/>
            <w:rFonts w:ascii="Calibri" w:hAnsi="Calibri" w:eastAsia="Calibri" w:cs="Calibri"/>
            <w:noProof w:val="0"/>
            <w:sz w:val="24"/>
            <w:szCs w:val="24"/>
            <w:lang w:val="en-GB"/>
          </w:rPr>
          <w:t>Attitudes About Informed Consent: An Exploratory Qualitative Analysis of UK Psychotherapy Trainees - PMC (nih.gov)</w:t>
        </w:r>
      </w:hyperlink>
      <w:r w:rsidRPr="17252C47" w:rsidR="17252C47">
        <w:rPr>
          <w:rFonts w:ascii="Calibri" w:hAnsi="Calibri" w:eastAsia="Calibri" w:cs="Calibri"/>
          <w:i w:val="1"/>
          <w:iCs w:val="1"/>
          <w:noProof w:val="0"/>
          <w:sz w:val="24"/>
          <w:szCs w:val="24"/>
          <w:lang w:val="en-GB"/>
        </w:rPr>
        <w:t xml:space="preserve">  </w:t>
      </w:r>
      <w:r w:rsidRPr="17252C47" w:rsidR="17252C47">
        <w:rPr>
          <w:rFonts w:ascii="Calibri" w:hAnsi="Calibri" w:eastAsia="Calibri" w:cs="Calibri"/>
          <w:i w:val="0"/>
          <w:iCs w:val="0"/>
          <w:noProof w:val="0"/>
          <w:sz w:val="24"/>
          <w:szCs w:val="24"/>
          <w:lang w:val="en-GB"/>
        </w:rPr>
        <w:t>,visited at</w:t>
      </w:r>
      <w:r w:rsidRPr="17252C47" w:rsidR="17252C47">
        <w:rPr>
          <w:rFonts w:ascii="Calibri" w:hAnsi="Calibri" w:eastAsia="Calibri" w:cs="Calibri"/>
          <w:i w:val="1"/>
          <w:iCs w:val="1"/>
          <w:noProof w:val="0"/>
          <w:sz w:val="24"/>
          <w:szCs w:val="24"/>
          <w:lang w:val="en-GB"/>
        </w:rPr>
        <w:t xml:space="preserve">, </w:t>
      </w:r>
      <w:r w:rsidRPr="17252C47" w:rsidR="17252C47">
        <w:rPr>
          <w:rFonts w:ascii="Calibri" w:hAnsi="Calibri" w:eastAsia="Calibri" w:cs="Calibri"/>
          <w:noProof w:val="0"/>
          <w:sz w:val="24"/>
          <w:szCs w:val="24"/>
          <w:lang w:val="en-GB"/>
        </w:rPr>
        <w:t>10/11/2023 19:53</w:t>
      </w:r>
    </w:p>
    <w:p w:rsidR="24AA0E2E" w:rsidP="17252C47" w:rsidRDefault="24AA0E2E" w14:paraId="7BA0A50B" w14:textId="6673CA6D">
      <w:pPr>
        <w:pStyle w:val="Normal"/>
        <w:jc w:val="center"/>
        <w:rPr>
          <w:rFonts w:ascii="Calibri" w:hAnsi="Calibri" w:eastAsia="Calibri" w:cs="Calibri"/>
          <w:noProof w:val="0"/>
          <w:sz w:val="24"/>
          <w:szCs w:val="24"/>
          <w:lang w:val="en-GB"/>
        </w:rPr>
      </w:pPr>
      <w:r w:rsidRPr="17252C47" w:rsidR="17252C47">
        <w:rPr>
          <w:rFonts w:ascii="Calibri" w:hAnsi="Calibri" w:eastAsia="Calibri" w:cs="Calibri"/>
          <w:noProof w:val="0"/>
          <w:sz w:val="24"/>
          <w:szCs w:val="24"/>
          <w:lang w:val="en-GB"/>
        </w:rPr>
        <w:t xml:space="preserve">Anon, </w:t>
      </w:r>
      <w:r w:rsidRPr="17252C47" w:rsidR="17252C47">
        <w:rPr>
          <w:rFonts w:ascii="Calibri" w:hAnsi="Calibri" w:eastAsia="Calibri" w:cs="Calibri"/>
          <w:i w:val="1"/>
          <w:iCs w:val="1"/>
          <w:noProof w:val="0"/>
          <w:sz w:val="24"/>
          <w:szCs w:val="24"/>
          <w:lang w:val="en-GB"/>
        </w:rPr>
        <w:t xml:space="preserve">A painful precedent? R V Brown, </w:t>
      </w:r>
      <w:r w:rsidRPr="17252C47" w:rsidR="17252C47">
        <w:rPr>
          <w:rFonts w:ascii="Calibri" w:hAnsi="Calibri" w:eastAsia="Calibri" w:cs="Calibri"/>
          <w:i w:val="1"/>
          <w:iCs w:val="1"/>
          <w:noProof w:val="0"/>
          <w:sz w:val="24"/>
          <w:szCs w:val="24"/>
          <w:lang w:val="en-GB"/>
        </w:rPr>
        <w:t>criminality</w:t>
      </w:r>
      <w:r w:rsidRPr="17252C47" w:rsidR="17252C47">
        <w:rPr>
          <w:rFonts w:ascii="Calibri" w:hAnsi="Calibri" w:eastAsia="Calibri" w:cs="Calibri"/>
          <w:i w:val="1"/>
          <w:iCs w:val="1"/>
          <w:noProof w:val="0"/>
          <w:sz w:val="24"/>
          <w:szCs w:val="24"/>
          <w:lang w:val="en-GB"/>
        </w:rPr>
        <w:t xml:space="preserve"> and consent by Rhiannon </w:t>
      </w:r>
      <w:r w:rsidRPr="17252C47" w:rsidR="17252C47">
        <w:rPr>
          <w:rFonts w:ascii="Calibri" w:hAnsi="Calibri" w:eastAsia="Calibri" w:cs="Calibri"/>
          <w:i w:val="1"/>
          <w:iCs w:val="1"/>
          <w:noProof w:val="0"/>
          <w:sz w:val="24"/>
          <w:szCs w:val="24"/>
          <w:lang w:val="en-GB"/>
        </w:rPr>
        <w:t>frowde</w:t>
      </w:r>
      <w:r w:rsidRPr="17252C47" w:rsidR="17252C47">
        <w:rPr>
          <w:rFonts w:ascii="Calibri" w:hAnsi="Calibri" w:eastAsia="Calibri" w:cs="Calibri"/>
          <w:i w:val="1"/>
          <w:iCs w:val="1"/>
          <w:noProof w:val="0"/>
          <w:sz w:val="24"/>
          <w:szCs w:val="24"/>
          <w:lang w:val="en-GB"/>
        </w:rPr>
        <w:t xml:space="preserve">- The Mason institute </w:t>
      </w:r>
      <w:r w:rsidRPr="17252C47" w:rsidR="17252C47">
        <w:rPr>
          <w:rFonts w:ascii="Calibri" w:hAnsi="Calibri" w:eastAsia="Calibri" w:cs="Calibri"/>
          <w:i w:val="1"/>
          <w:iCs w:val="1"/>
          <w:noProof w:val="0"/>
          <w:sz w:val="24"/>
          <w:szCs w:val="24"/>
          <w:lang w:val="en-GB"/>
        </w:rPr>
        <w:t xml:space="preserve">blog, </w:t>
      </w:r>
      <w:r w:rsidRPr="17252C47" w:rsidR="17252C47">
        <w:rPr>
          <w:rFonts w:ascii="Calibri" w:hAnsi="Calibri" w:eastAsia="Calibri" w:cs="Calibri"/>
          <w:i w:val="0"/>
          <w:iCs w:val="0"/>
          <w:noProof w:val="0"/>
          <w:sz w:val="24"/>
          <w:szCs w:val="24"/>
          <w:lang w:val="en-GB"/>
        </w:rPr>
        <w:t>available</w:t>
      </w:r>
      <w:r w:rsidRPr="17252C47" w:rsidR="17252C47">
        <w:rPr>
          <w:rFonts w:ascii="Calibri" w:hAnsi="Calibri" w:eastAsia="Calibri" w:cs="Calibri"/>
          <w:i w:val="0"/>
          <w:iCs w:val="0"/>
          <w:noProof w:val="0"/>
          <w:sz w:val="24"/>
          <w:szCs w:val="24"/>
          <w:lang w:val="en-GB"/>
        </w:rPr>
        <w:t xml:space="preserve"> at</w:t>
      </w:r>
      <w:r w:rsidRPr="17252C47" w:rsidR="17252C47">
        <w:rPr>
          <w:rFonts w:ascii="Calibri" w:hAnsi="Calibri" w:eastAsia="Calibri" w:cs="Calibri"/>
          <w:i w:val="1"/>
          <w:iCs w:val="1"/>
          <w:noProof w:val="0"/>
          <w:sz w:val="24"/>
          <w:szCs w:val="24"/>
          <w:lang w:val="en-GB"/>
        </w:rPr>
        <w:t xml:space="preserve"> </w:t>
      </w:r>
      <w:hyperlink r:id="R041f168c8ab64b18">
        <w:r w:rsidRPr="17252C47" w:rsidR="17252C47">
          <w:rPr>
            <w:rStyle w:val="Hyperlink"/>
            <w:rFonts w:ascii="Calibri" w:hAnsi="Calibri" w:eastAsia="Calibri" w:cs="Calibri"/>
            <w:noProof w:val="0"/>
            <w:sz w:val="24"/>
            <w:szCs w:val="24"/>
            <w:lang w:val="en-GB"/>
          </w:rPr>
          <w:t>A painful precedent? R v Brown, criminality and consent – by Rhiannon Frowde – The Mason Institute Blog</w:t>
        </w:r>
      </w:hyperlink>
      <w:r w:rsidRPr="17252C47" w:rsidR="17252C47">
        <w:rPr>
          <w:rFonts w:ascii="Calibri" w:hAnsi="Calibri" w:eastAsia="Calibri" w:cs="Calibri"/>
          <w:noProof w:val="0"/>
          <w:sz w:val="24"/>
          <w:szCs w:val="24"/>
          <w:lang w:val="en-GB"/>
        </w:rPr>
        <w:t xml:space="preserve"> visited at, 09/11/2023 22:03pm</w:t>
      </w:r>
    </w:p>
    <w:p w:rsidR="24AA0E2E" w:rsidP="17252C47" w:rsidRDefault="24AA0E2E" w14:paraId="398589A2" w14:textId="2D72A5C5">
      <w:pPr>
        <w:pStyle w:val="Normal"/>
        <w:jc w:val="center"/>
        <w:rPr>
          <w:rFonts w:ascii="Calibri" w:hAnsi="Calibri" w:eastAsia="Calibri" w:cs="Calibri"/>
          <w:noProof w:val="0"/>
          <w:sz w:val="24"/>
          <w:szCs w:val="24"/>
          <w:lang w:val="en-GB"/>
        </w:rPr>
      </w:pPr>
      <w:r w:rsidRPr="17252C47" w:rsidR="17252C47">
        <w:rPr>
          <w:rFonts w:ascii="Calibri" w:hAnsi="Calibri" w:eastAsia="Calibri" w:cs="Calibri"/>
          <w:noProof w:val="0"/>
          <w:sz w:val="24"/>
          <w:szCs w:val="24"/>
          <w:lang w:val="en-GB"/>
        </w:rPr>
        <w:t xml:space="preserve">Study smarter UK, </w:t>
      </w:r>
      <w:r w:rsidRPr="17252C47" w:rsidR="17252C47">
        <w:rPr>
          <w:rFonts w:ascii="Calibri" w:hAnsi="Calibri" w:eastAsia="Calibri" w:cs="Calibri"/>
          <w:i w:val="1"/>
          <w:iCs w:val="1"/>
          <w:noProof w:val="0"/>
          <w:sz w:val="24"/>
          <w:szCs w:val="24"/>
          <w:lang w:val="en-GB"/>
        </w:rPr>
        <w:t xml:space="preserve">Battery (crime): Definition, charge, example, sentence, </w:t>
      </w:r>
      <w:r w:rsidRPr="17252C47" w:rsidR="17252C47">
        <w:rPr>
          <w:rFonts w:ascii="Calibri" w:hAnsi="Calibri" w:eastAsia="Calibri" w:cs="Calibri"/>
          <w:i w:val="0"/>
          <w:iCs w:val="0"/>
          <w:noProof w:val="0"/>
          <w:sz w:val="24"/>
          <w:szCs w:val="24"/>
          <w:lang w:val="en-GB"/>
        </w:rPr>
        <w:t>available at</w:t>
      </w:r>
      <w:r w:rsidRPr="17252C47" w:rsidR="17252C47">
        <w:rPr>
          <w:rFonts w:ascii="Calibri" w:hAnsi="Calibri" w:eastAsia="Calibri" w:cs="Calibri"/>
          <w:i w:val="1"/>
          <w:iCs w:val="1"/>
          <w:noProof w:val="0"/>
          <w:sz w:val="24"/>
          <w:szCs w:val="24"/>
          <w:lang w:val="en-GB"/>
        </w:rPr>
        <w:t xml:space="preserve">, </w:t>
      </w:r>
      <w:hyperlink r:id="Ra8611a3a47284b62">
        <w:r w:rsidRPr="17252C47" w:rsidR="17252C47">
          <w:rPr>
            <w:rStyle w:val="Hyperlink"/>
            <w:rFonts w:ascii="Calibri" w:hAnsi="Calibri" w:eastAsia="Calibri" w:cs="Calibri"/>
            <w:noProof w:val="0"/>
            <w:sz w:val="24"/>
            <w:szCs w:val="24"/>
            <w:lang w:val="en-GB"/>
          </w:rPr>
          <w:t>Battery (Crime): Definition, Charge, Example, Sentence (studysmarter.co.uk)</w:t>
        </w:r>
      </w:hyperlink>
      <w:r w:rsidRPr="17252C47" w:rsidR="17252C47">
        <w:rPr>
          <w:rFonts w:ascii="Calibri" w:hAnsi="Calibri" w:eastAsia="Calibri" w:cs="Calibri"/>
          <w:noProof w:val="0"/>
          <w:sz w:val="24"/>
          <w:szCs w:val="24"/>
          <w:lang w:val="en-GB"/>
        </w:rPr>
        <w:t xml:space="preserve"> visited at, 09/11.2023 17:30</w:t>
      </w:r>
    </w:p>
    <w:p w:rsidR="24AA0E2E" w:rsidP="17252C47" w:rsidRDefault="24AA0E2E" w14:paraId="30579E97" w14:textId="08D1E2AC">
      <w:pPr>
        <w:pStyle w:val="Normal"/>
        <w:jc w:val="center"/>
        <w:rPr>
          <w:rFonts w:ascii="Calibri" w:hAnsi="Calibri" w:eastAsia="Calibri" w:cs="Calibri"/>
          <w:noProof w:val="0"/>
          <w:sz w:val="24"/>
          <w:szCs w:val="24"/>
          <w:lang w:val="en-GB"/>
        </w:rPr>
      </w:pPr>
      <w:r w:rsidRPr="17252C47" w:rsidR="17252C47">
        <w:rPr>
          <w:rFonts w:ascii="Calibri" w:hAnsi="Calibri" w:eastAsia="Calibri" w:cs="Calibri"/>
          <w:noProof w:val="0"/>
          <w:sz w:val="24"/>
          <w:szCs w:val="24"/>
          <w:lang w:val="en-GB"/>
        </w:rPr>
        <w:t xml:space="preserve">  E-</w:t>
      </w:r>
      <w:r w:rsidRPr="17252C47" w:rsidR="17252C47">
        <w:rPr>
          <w:rFonts w:ascii="Calibri" w:hAnsi="Calibri" w:eastAsia="Calibri" w:cs="Calibri"/>
          <w:noProof w:val="0"/>
          <w:sz w:val="24"/>
          <w:szCs w:val="24"/>
          <w:lang w:val="en-GB"/>
        </w:rPr>
        <w:t>lawresources</w:t>
      </w:r>
      <w:r w:rsidRPr="17252C47" w:rsidR="17252C47">
        <w:rPr>
          <w:rFonts w:ascii="Calibri" w:hAnsi="Calibri" w:eastAsia="Calibri" w:cs="Calibri"/>
          <w:noProof w:val="0"/>
          <w:sz w:val="24"/>
          <w:szCs w:val="24"/>
          <w:lang w:val="en-GB"/>
        </w:rPr>
        <w:t>,</w:t>
      </w:r>
      <w:r w:rsidRPr="17252C47" w:rsidR="17252C47">
        <w:rPr>
          <w:rFonts w:ascii="Calibri" w:hAnsi="Calibri" w:eastAsia="Calibri" w:cs="Calibri"/>
          <w:i w:val="1"/>
          <w:iCs w:val="1"/>
          <w:noProof w:val="0"/>
          <w:sz w:val="24"/>
          <w:szCs w:val="24"/>
          <w:lang w:val="en-GB"/>
        </w:rPr>
        <w:t xml:space="preserve"> Battery, </w:t>
      </w:r>
      <w:r w:rsidRPr="17252C47" w:rsidR="17252C47">
        <w:rPr>
          <w:rFonts w:ascii="Calibri" w:hAnsi="Calibri" w:eastAsia="Calibri" w:cs="Calibri"/>
          <w:i w:val="0"/>
          <w:iCs w:val="0"/>
          <w:noProof w:val="0"/>
          <w:sz w:val="24"/>
          <w:szCs w:val="24"/>
          <w:lang w:val="en-GB"/>
        </w:rPr>
        <w:t xml:space="preserve">available at, </w:t>
      </w:r>
      <w:hyperlink r:id="R5b78e9ccc08549a6">
        <w:r w:rsidRPr="17252C47" w:rsidR="17252C47">
          <w:rPr>
            <w:rStyle w:val="Hyperlink"/>
            <w:rFonts w:ascii="Calibri" w:hAnsi="Calibri" w:eastAsia="Calibri" w:cs="Calibri"/>
            <w:noProof w:val="0"/>
            <w:sz w:val="24"/>
            <w:szCs w:val="24"/>
            <w:lang w:val="en-GB"/>
          </w:rPr>
          <w:t>Battery (e-lawresources.co.uk)</w:t>
        </w:r>
      </w:hyperlink>
      <w:r w:rsidRPr="17252C47" w:rsidR="17252C47">
        <w:rPr>
          <w:rFonts w:ascii="Calibri" w:hAnsi="Calibri" w:eastAsia="Calibri" w:cs="Calibri"/>
          <w:i w:val="1"/>
          <w:iCs w:val="1"/>
          <w:noProof w:val="0"/>
          <w:sz w:val="24"/>
          <w:szCs w:val="24"/>
          <w:lang w:val="en-GB"/>
        </w:rPr>
        <w:t xml:space="preserve"> </w:t>
      </w:r>
      <w:r w:rsidRPr="17252C47" w:rsidR="17252C47">
        <w:rPr>
          <w:rFonts w:ascii="Calibri" w:hAnsi="Calibri" w:eastAsia="Calibri" w:cs="Calibri"/>
          <w:i w:val="0"/>
          <w:iCs w:val="0"/>
          <w:noProof w:val="0"/>
          <w:sz w:val="24"/>
          <w:szCs w:val="24"/>
          <w:lang w:val="en-GB"/>
        </w:rPr>
        <w:t>visited at</w:t>
      </w:r>
      <w:r w:rsidRPr="17252C47" w:rsidR="17252C47">
        <w:rPr>
          <w:rFonts w:ascii="Calibri" w:hAnsi="Calibri" w:eastAsia="Calibri" w:cs="Calibri"/>
          <w:i w:val="1"/>
          <w:iCs w:val="1"/>
          <w:noProof w:val="0"/>
          <w:sz w:val="24"/>
          <w:szCs w:val="24"/>
          <w:lang w:val="en-GB"/>
        </w:rPr>
        <w:t xml:space="preserve">, </w:t>
      </w:r>
      <w:r w:rsidRPr="17252C47" w:rsidR="17252C47">
        <w:rPr>
          <w:rFonts w:ascii="Calibri" w:hAnsi="Calibri" w:eastAsia="Calibri" w:cs="Calibri"/>
          <w:i w:val="0"/>
          <w:iCs w:val="0"/>
          <w:noProof w:val="0"/>
          <w:sz w:val="24"/>
          <w:szCs w:val="24"/>
          <w:lang w:val="en-GB"/>
        </w:rPr>
        <w:t>08/11/2023 17:02pm</w:t>
      </w:r>
    </w:p>
    <w:p w:rsidR="24AA0E2E" w:rsidP="17252C47" w:rsidRDefault="24AA0E2E" w14:paraId="40692F93" w14:textId="37F35379">
      <w:pPr>
        <w:pStyle w:val="Normal"/>
        <w:jc w:val="center"/>
        <w:rPr>
          <w:rFonts w:ascii="Calibri" w:hAnsi="Calibri" w:eastAsia="Calibri" w:cs="Calibri"/>
          <w:noProof w:val="0"/>
          <w:sz w:val="24"/>
          <w:szCs w:val="24"/>
          <w:lang w:val="en-GB"/>
        </w:rPr>
      </w:pPr>
      <w:r w:rsidRPr="17252C47" w:rsidR="17252C47">
        <w:rPr>
          <w:rFonts w:ascii="Calibri" w:hAnsi="Calibri" w:eastAsia="Calibri" w:cs="Calibri"/>
          <w:noProof w:val="0"/>
          <w:sz w:val="24"/>
          <w:szCs w:val="24"/>
          <w:lang w:val="en-GB"/>
        </w:rPr>
        <w:t xml:space="preserve">Bit of law, </w:t>
      </w:r>
      <w:r w:rsidRPr="17252C47" w:rsidR="17252C47">
        <w:rPr>
          <w:rFonts w:ascii="Calibri" w:hAnsi="Calibri" w:eastAsia="Calibri" w:cs="Calibri"/>
          <w:i w:val="1"/>
          <w:iCs w:val="1"/>
          <w:noProof w:val="0"/>
          <w:sz w:val="24"/>
          <w:szCs w:val="24"/>
          <w:lang w:val="en-GB"/>
        </w:rPr>
        <w:t xml:space="preserve">Bits of </w:t>
      </w:r>
      <w:r w:rsidRPr="17252C47" w:rsidR="17252C47">
        <w:rPr>
          <w:rFonts w:ascii="Calibri" w:hAnsi="Calibri" w:eastAsia="Calibri" w:cs="Calibri"/>
          <w:i w:val="1"/>
          <w:iCs w:val="1"/>
          <w:noProof w:val="0"/>
          <w:sz w:val="24"/>
          <w:szCs w:val="24"/>
          <w:lang w:val="en-GB"/>
        </w:rPr>
        <w:t>law|criminal|defenses|consent</w:t>
      </w:r>
      <w:r w:rsidRPr="17252C47" w:rsidR="17252C47">
        <w:rPr>
          <w:rFonts w:ascii="Calibri" w:hAnsi="Calibri" w:eastAsia="Calibri" w:cs="Calibri"/>
          <w:i w:val="1"/>
          <w:iCs w:val="1"/>
          <w:noProof w:val="0"/>
          <w:sz w:val="24"/>
          <w:szCs w:val="24"/>
          <w:lang w:val="en-GB"/>
        </w:rPr>
        <w:t xml:space="preserve">: evaluation and reform, </w:t>
      </w:r>
      <w:r w:rsidRPr="17252C47" w:rsidR="17252C47">
        <w:rPr>
          <w:rFonts w:ascii="Calibri" w:hAnsi="Calibri" w:eastAsia="Calibri" w:cs="Calibri"/>
          <w:i w:val="0"/>
          <w:iCs w:val="0"/>
          <w:noProof w:val="0"/>
          <w:sz w:val="24"/>
          <w:szCs w:val="24"/>
          <w:lang w:val="en-GB"/>
        </w:rPr>
        <w:t>available at,</w:t>
      </w:r>
      <w:r w:rsidRPr="17252C47" w:rsidR="17252C47">
        <w:rPr>
          <w:rFonts w:ascii="Calibri" w:hAnsi="Calibri" w:eastAsia="Calibri" w:cs="Calibri"/>
          <w:i w:val="1"/>
          <w:iCs w:val="1"/>
          <w:noProof w:val="0"/>
          <w:sz w:val="24"/>
          <w:szCs w:val="24"/>
          <w:lang w:val="en-GB"/>
        </w:rPr>
        <w:t xml:space="preserve"> </w:t>
      </w:r>
      <w:hyperlink r:id="R38bbe747ff4042d1">
        <w:r w:rsidRPr="17252C47" w:rsidR="17252C47">
          <w:rPr>
            <w:rStyle w:val="Hyperlink"/>
            <w:rFonts w:ascii="Calibri" w:hAnsi="Calibri" w:eastAsia="Calibri" w:cs="Calibri"/>
            <w:noProof w:val="0"/>
            <w:sz w:val="24"/>
            <w:szCs w:val="24"/>
            <w:lang w:val="en-GB"/>
          </w:rPr>
          <w:t>bits of law | Criminal | Defences | Consent: Evaluation &amp; Reform</w:t>
        </w:r>
      </w:hyperlink>
      <w:r w:rsidRPr="17252C47" w:rsidR="17252C47">
        <w:rPr>
          <w:rFonts w:ascii="Calibri" w:hAnsi="Calibri" w:eastAsia="Calibri" w:cs="Calibri"/>
          <w:noProof w:val="0"/>
          <w:sz w:val="24"/>
          <w:szCs w:val="24"/>
          <w:lang w:val="en-GB"/>
        </w:rPr>
        <w:t xml:space="preserve">  visited at,10/11/2023 19:12pm</w:t>
      </w:r>
    </w:p>
    <w:p w:rsidR="24AA0E2E" w:rsidP="24AA0E2E" w:rsidRDefault="24AA0E2E" w14:paraId="77E017C9" w14:textId="531AA99E">
      <w:pPr>
        <w:pStyle w:val="Normal"/>
        <w:jc w:val="center"/>
        <w:rPr>
          <w:rFonts w:ascii="Calibri" w:hAnsi="Calibri" w:eastAsia="Calibri" w:cs="Calibri"/>
          <w:noProof w:val="0"/>
          <w:sz w:val="24"/>
          <w:szCs w:val="24"/>
          <w:lang w:val="en-GB"/>
        </w:rPr>
      </w:pPr>
      <w:r w:rsidRPr="17252C47" w:rsidR="17252C47">
        <w:rPr>
          <w:rFonts w:ascii="Calibri" w:hAnsi="Calibri" w:eastAsia="Calibri" w:cs="Calibri"/>
          <w:noProof w:val="0"/>
          <w:sz w:val="24"/>
          <w:szCs w:val="24"/>
          <w:lang w:val="en-GB"/>
        </w:rPr>
        <w:t xml:space="preserve"> Enable law (2018),</w:t>
      </w:r>
      <w:r w:rsidRPr="17252C47" w:rsidR="17252C47">
        <w:rPr>
          <w:rFonts w:ascii="Calibri" w:hAnsi="Calibri" w:eastAsia="Calibri" w:cs="Calibri"/>
          <w:i w:val="1"/>
          <w:iCs w:val="1"/>
          <w:noProof w:val="0"/>
          <w:sz w:val="24"/>
          <w:szCs w:val="24"/>
          <w:lang w:val="en-GB"/>
        </w:rPr>
        <w:t xml:space="preserve"> Consent for medical treatment: a recent case law| Enable law., </w:t>
      </w:r>
      <w:r w:rsidRPr="17252C47" w:rsidR="17252C47">
        <w:rPr>
          <w:rFonts w:ascii="Calibri" w:hAnsi="Calibri" w:eastAsia="Calibri" w:cs="Calibri"/>
          <w:i w:val="0"/>
          <w:iCs w:val="0"/>
          <w:noProof w:val="0"/>
          <w:sz w:val="24"/>
          <w:szCs w:val="24"/>
          <w:lang w:val="en-GB"/>
        </w:rPr>
        <w:t xml:space="preserve">Available at, </w:t>
      </w:r>
      <w:hyperlink r:id="Raebe1e6284b548a9">
        <w:r w:rsidRPr="17252C47" w:rsidR="17252C47">
          <w:rPr>
            <w:rStyle w:val="Hyperlink"/>
            <w:rFonts w:ascii="Calibri" w:hAnsi="Calibri" w:eastAsia="Calibri" w:cs="Calibri"/>
            <w:noProof w:val="0"/>
            <w:sz w:val="24"/>
            <w:szCs w:val="24"/>
            <w:lang w:val="en-GB"/>
          </w:rPr>
          <w:t>Consent for Medical Treatment: Recent Case Law - Enable Law</w:t>
        </w:r>
      </w:hyperlink>
      <w:r w:rsidRPr="17252C47" w:rsidR="17252C47">
        <w:rPr>
          <w:rFonts w:ascii="Calibri" w:hAnsi="Calibri" w:eastAsia="Calibri" w:cs="Calibri"/>
          <w:noProof w:val="0"/>
          <w:sz w:val="24"/>
          <w:szCs w:val="24"/>
          <w:lang w:val="en-GB"/>
        </w:rPr>
        <w:t xml:space="preserve"> , visited at 08/11/2023</w:t>
      </w:r>
    </w:p>
    <w:p w:rsidR="5631B4A3" w:rsidP="5631B4A3" w:rsidRDefault="5631B4A3" w14:paraId="6BB38C3B" w14:textId="21DAC5FE">
      <w:pPr>
        <w:pStyle w:val="Normal"/>
        <w:jc w:val="center"/>
      </w:pPr>
      <w:r w:rsidRPr="17252C47" w:rsidR="17252C47">
        <w:rPr>
          <w:rFonts w:ascii="Calibri" w:hAnsi="Calibri" w:eastAsia="Calibri" w:cs="Calibri"/>
          <w:noProof w:val="0"/>
          <w:sz w:val="24"/>
          <w:szCs w:val="24"/>
          <w:lang w:val="en-GB"/>
        </w:rPr>
        <w:t>E-</w:t>
      </w:r>
      <w:r w:rsidRPr="17252C47" w:rsidR="17252C47">
        <w:rPr>
          <w:rFonts w:ascii="Calibri" w:hAnsi="Calibri" w:eastAsia="Calibri" w:cs="Calibri"/>
          <w:noProof w:val="0"/>
          <w:sz w:val="24"/>
          <w:szCs w:val="24"/>
          <w:lang w:val="en-GB"/>
        </w:rPr>
        <w:t>lawresources</w:t>
      </w:r>
      <w:r w:rsidRPr="17252C47" w:rsidR="17252C47">
        <w:rPr>
          <w:rFonts w:ascii="Calibri" w:hAnsi="Calibri" w:eastAsia="Calibri" w:cs="Calibri"/>
          <w:noProof w:val="0"/>
          <w:sz w:val="24"/>
          <w:szCs w:val="24"/>
          <w:lang w:val="en-GB"/>
        </w:rPr>
        <w:t>,</w:t>
      </w:r>
      <w:r w:rsidRPr="17252C47" w:rsidR="17252C47">
        <w:rPr>
          <w:rFonts w:ascii="Calibri" w:hAnsi="Calibri" w:eastAsia="Calibri" w:cs="Calibri"/>
          <w:i w:val="1"/>
          <w:iCs w:val="1"/>
          <w:noProof w:val="0"/>
          <w:sz w:val="24"/>
          <w:szCs w:val="24"/>
          <w:lang w:val="en-GB"/>
        </w:rPr>
        <w:t xml:space="preserve"> Collins V Wilcock, </w:t>
      </w:r>
      <w:r w:rsidRPr="17252C47" w:rsidR="17252C47">
        <w:rPr>
          <w:rFonts w:ascii="Calibri" w:hAnsi="Calibri" w:eastAsia="Calibri" w:cs="Calibri"/>
          <w:i w:val="0"/>
          <w:iCs w:val="0"/>
          <w:noProof w:val="0"/>
          <w:sz w:val="24"/>
          <w:szCs w:val="24"/>
          <w:lang w:val="en-GB"/>
        </w:rPr>
        <w:t xml:space="preserve">Available at </w:t>
      </w:r>
      <w:hyperlink r:id="Rf9fd3c6a99c049ab">
        <w:r w:rsidRPr="17252C47" w:rsidR="17252C47">
          <w:rPr>
            <w:rStyle w:val="Hyperlink"/>
            <w:rFonts w:ascii="Calibri" w:hAnsi="Calibri" w:eastAsia="Calibri" w:cs="Calibri"/>
            <w:noProof w:val="0"/>
            <w:sz w:val="24"/>
            <w:szCs w:val="24"/>
            <w:lang w:val="en-GB"/>
          </w:rPr>
          <w:t>Collins v Wilcock (e-lawresources.co.uk)</w:t>
        </w:r>
      </w:hyperlink>
      <w:r w:rsidRPr="17252C47" w:rsidR="17252C47">
        <w:rPr>
          <w:rFonts w:ascii="Calibri" w:hAnsi="Calibri" w:eastAsia="Calibri" w:cs="Calibri"/>
          <w:i w:val="0"/>
          <w:iCs w:val="0"/>
          <w:noProof w:val="0"/>
          <w:sz w:val="24"/>
          <w:szCs w:val="24"/>
          <w:lang w:val="en-GB"/>
        </w:rPr>
        <w:t xml:space="preserve"> , visited at, 08/11/2023 18:40pm</w:t>
      </w:r>
    </w:p>
    <w:p w:rsidR="5631B4A3" w:rsidP="17252C47" w:rsidRDefault="5631B4A3" w14:paraId="60A88699" w14:textId="4EC4660E">
      <w:pPr>
        <w:pStyle w:val="Normal"/>
        <w:jc w:val="center"/>
        <w:rPr>
          <w:rFonts w:ascii="Calibri" w:hAnsi="Calibri" w:eastAsia="Calibri" w:cs="Calibri"/>
          <w:noProof w:val="0"/>
          <w:sz w:val="24"/>
          <w:szCs w:val="24"/>
          <w:lang w:val="en-GB"/>
        </w:rPr>
      </w:pPr>
      <w:r w:rsidRPr="17252C47" w:rsidR="17252C47">
        <w:rPr>
          <w:rFonts w:ascii="Calibri" w:hAnsi="Calibri" w:eastAsia="Calibri" w:cs="Calibri"/>
          <w:noProof w:val="0"/>
          <w:sz w:val="24"/>
          <w:szCs w:val="24"/>
          <w:lang w:val="en-GB"/>
        </w:rPr>
        <w:t xml:space="preserve">Legislation.gov.uk (2018), </w:t>
      </w:r>
      <w:r w:rsidRPr="17252C47" w:rsidR="17252C47">
        <w:rPr>
          <w:rFonts w:ascii="Calibri" w:hAnsi="Calibri" w:eastAsia="Calibri" w:cs="Calibri"/>
          <w:i w:val="1"/>
          <w:iCs w:val="1"/>
          <w:noProof w:val="0"/>
          <w:sz w:val="24"/>
          <w:szCs w:val="24"/>
          <w:lang w:val="en-GB"/>
        </w:rPr>
        <w:t xml:space="preserve">Criminal justice act 1988, </w:t>
      </w:r>
      <w:r w:rsidRPr="17252C47" w:rsidR="17252C47">
        <w:rPr>
          <w:rFonts w:ascii="Calibri" w:hAnsi="Calibri" w:eastAsia="Calibri" w:cs="Calibri"/>
          <w:i w:val="0"/>
          <w:iCs w:val="0"/>
          <w:noProof w:val="0"/>
          <w:sz w:val="24"/>
          <w:szCs w:val="24"/>
          <w:lang w:val="en-GB"/>
        </w:rPr>
        <w:t>available at</w:t>
      </w:r>
      <w:r w:rsidRPr="17252C47" w:rsidR="17252C47">
        <w:rPr>
          <w:rFonts w:ascii="Calibri" w:hAnsi="Calibri" w:eastAsia="Calibri" w:cs="Calibri"/>
          <w:i w:val="1"/>
          <w:iCs w:val="1"/>
          <w:noProof w:val="0"/>
          <w:sz w:val="24"/>
          <w:szCs w:val="24"/>
          <w:lang w:val="en-GB"/>
        </w:rPr>
        <w:t xml:space="preserve">, </w:t>
      </w:r>
      <w:hyperlink w:anchor=":~:text=39%20Common%20assault%20and%20battery%20to%20be%20summary,term%20not%20exceeding%20six%20months%2C%20or%20to%20both." r:id="Rff283a20c08a444b">
        <w:r w:rsidRPr="17252C47" w:rsidR="17252C47">
          <w:rPr>
            <w:rStyle w:val="Hyperlink"/>
            <w:rFonts w:ascii="Calibri" w:hAnsi="Calibri" w:eastAsia="Calibri" w:cs="Calibri"/>
            <w:noProof w:val="0"/>
            <w:sz w:val="24"/>
            <w:szCs w:val="24"/>
            <w:lang w:val="en-GB"/>
          </w:rPr>
          <w:t>Criminal Justice Act 1988 (legislation.gov.uk)</w:t>
        </w:r>
      </w:hyperlink>
      <w:r w:rsidRPr="17252C47" w:rsidR="17252C47">
        <w:rPr>
          <w:rFonts w:ascii="Calibri" w:hAnsi="Calibri" w:eastAsia="Calibri" w:cs="Calibri"/>
          <w:noProof w:val="0"/>
          <w:sz w:val="24"/>
          <w:szCs w:val="24"/>
          <w:lang w:val="en-GB"/>
        </w:rPr>
        <w:t xml:space="preserve"> </w:t>
      </w:r>
      <w:r w:rsidRPr="17252C47" w:rsidR="17252C47">
        <w:rPr>
          <w:rFonts w:ascii="Calibri" w:hAnsi="Calibri" w:eastAsia="Calibri" w:cs="Calibri"/>
          <w:noProof w:val="0"/>
          <w:sz w:val="24"/>
          <w:szCs w:val="24"/>
          <w:lang w:val="en-GB"/>
        </w:rPr>
        <w:t>visited</w:t>
      </w:r>
      <w:r w:rsidRPr="17252C47" w:rsidR="17252C47">
        <w:rPr>
          <w:rFonts w:ascii="Calibri" w:hAnsi="Calibri" w:eastAsia="Calibri" w:cs="Calibri"/>
          <w:noProof w:val="0"/>
          <w:sz w:val="24"/>
          <w:szCs w:val="24"/>
          <w:lang w:val="en-GB"/>
        </w:rPr>
        <w:t xml:space="preserve"> at, 08/11/2023, 17:21pm</w:t>
      </w:r>
    </w:p>
    <w:p w:rsidR="5631B4A3" w:rsidP="17252C47" w:rsidRDefault="5631B4A3" w14:paraId="31F1CBCD" w14:textId="199F7D13">
      <w:pPr>
        <w:pStyle w:val="Normal"/>
        <w:jc w:val="center"/>
        <w:rPr>
          <w:rFonts w:ascii="Calibri" w:hAnsi="Calibri" w:eastAsia="Calibri" w:cs="Calibri"/>
          <w:noProof w:val="0"/>
          <w:sz w:val="24"/>
          <w:szCs w:val="24"/>
          <w:lang w:val="en-GB"/>
        </w:rPr>
      </w:pPr>
      <w:r w:rsidRPr="17252C47" w:rsidR="17252C47">
        <w:rPr>
          <w:rFonts w:ascii="Calibri" w:hAnsi="Calibri" w:eastAsia="Calibri" w:cs="Calibri"/>
          <w:noProof w:val="0"/>
          <w:sz w:val="24"/>
          <w:szCs w:val="24"/>
          <w:lang w:val="en-GB"/>
        </w:rPr>
        <w:t xml:space="preserve"> Health.org.uk, </w:t>
      </w:r>
      <w:r w:rsidRPr="17252C47" w:rsidR="17252C47">
        <w:rPr>
          <w:rFonts w:ascii="Calibri" w:hAnsi="Calibri" w:eastAsia="Calibri" w:cs="Calibri"/>
          <w:i w:val="1"/>
          <w:iCs w:val="1"/>
          <w:noProof w:val="0"/>
          <w:sz w:val="24"/>
          <w:szCs w:val="24"/>
          <w:lang w:val="en-GB"/>
        </w:rPr>
        <w:t xml:space="preserve">Patient and public attitude toward informed consent models and levels of awareness of electronic health records in the UK, </w:t>
      </w:r>
      <w:r w:rsidRPr="17252C47" w:rsidR="17252C47">
        <w:rPr>
          <w:rFonts w:ascii="Calibri" w:hAnsi="Calibri" w:eastAsia="Calibri" w:cs="Calibri"/>
          <w:i w:val="0"/>
          <w:iCs w:val="0"/>
          <w:noProof w:val="0"/>
          <w:sz w:val="24"/>
          <w:szCs w:val="24"/>
          <w:lang w:val="en-GB"/>
        </w:rPr>
        <w:t>available at,</w:t>
      </w:r>
      <w:hyperlink r:id="Rfa52662944b54510">
        <w:r w:rsidRPr="17252C47" w:rsidR="17252C47">
          <w:rPr>
            <w:rStyle w:val="Hyperlink"/>
            <w:rFonts w:ascii="Calibri" w:hAnsi="Calibri" w:eastAsia="Calibri" w:cs="Calibri"/>
            <w:noProof w:val="0"/>
            <w:sz w:val="24"/>
            <w:szCs w:val="24"/>
            <w:lang w:val="en-GB"/>
          </w:rPr>
          <w:t>Patient and public attitudes towards informed consent models and levels of awareness of Electronic Health Records in the UK</w:t>
        </w:r>
      </w:hyperlink>
      <w:r w:rsidRPr="17252C47" w:rsidR="17252C47">
        <w:rPr>
          <w:rFonts w:ascii="Calibri" w:hAnsi="Calibri" w:eastAsia="Calibri" w:cs="Calibri"/>
          <w:i w:val="0"/>
          <w:iCs w:val="0"/>
          <w:noProof w:val="0"/>
          <w:sz w:val="24"/>
          <w:szCs w:val="24"/>
          <w:lang w:val="en-GB"/>
        </w:rPr>
        <w:t xml:space="preserve"> , visited at, 10/11/2023 19:33</w:t>
      </w:r>
    </w:p>
    <w:p w:rsidR="5631B4A3" w:rsidP="17252C47" w:rsidRDefault="5631B4A3" w14:paraId="62C46ACC" w14:textId="5768EF5A">
      <w:pPr>
        <w:pStyle w:val="Normal"/>
        <w:jc w:val="center"/>
        <w:rPr>
          <w:rFonts w:ascii="Calibri" w:hAnsi="Calibri" w:eastAsia="Calibri" w:cs="Calibri"/>
          <w:noProof w:val="0"/>
          <w:sz w:val="24"/>
          <w:szCs w:val="24"/>
          <w:lang w:val="en-GB"/>
        </w:rPr>
      </w:pPr>
      <w:r w:rsidRPr="17252C47" w:rsidR="17252C47">
        <w:rPr>
          <w:rFonts w:ascii="Calibri" w:hAnsi="Calibri" w:eastAsia="Calibri" w:cs="Calibri"/>
          <w:noProof w:val="0"/>
          <w:sz w:val="24"/>
          <w:szCs w:val="24"/>
          <w:lang w:val="en-GB"/>
        </w:rPr>
        <w:t xml:space="preserve"> IPSA LOQUITUR (2021), </w:t>
      </w:r>
      <w:r w:rsidRPr="17252C47" w:rsidR="17252C47">
        <w:rPr>
          <w:rFonts w:ascii="Calibri" w:hAnsi="Calibri" w:eastAsia="Calibri" w:cs="Calibri"/>
          <w:i w:val="1"/>
          <w:iCs w:val="1"/>
          <w:noProof w:val="0"/>
          <w:sz w:val="24"/>
          <w:szCs w:val="24"/>
          <w:lang w:val="en-GB"/>
        </w:rPr>
        <w:t>R V Rolf (Kenneth) -case summary, available at,</w:t>
      </w:r>
      <w:hyperlink r:id="R14edd87097264c3a">
        <w:r w:rsidRPr="17252C47" w:rsidR="17252C47">
          <w:rPr>
            <w:rStyle w:val="Hyperlink"/>
            <w:rFonts w:ascii="Calibri" w:hAnsi="Calibri" w:eastAsia="Calibri" w:cs="Calibri"/>
            <w:noProof w:val="0"/>
            <w:sz w:val="24"/>
            <w:szCs w:val="24"/>
            <w:lang w:val="en-GB"/>
          </w:rPr>
          <w:t>R v Rolfe (Kenneth) – Case Summary – IPSA LOQUITUR</w:t>
        </w:r>
      </w:hyperlink>
      <w:r w:rsidRPr="17252C47" w:rsidR="17252C47">
        <w:rPr>
          <w:rFonts w:ascii="Calibri" w:hAnsi="Calibri" w:eastAsia="Calibri" w:cs="Calibri"/>
          <w:i w:val="1"/>
          <w:iCs w:val="1"/>
          <w:noProof w:val="0"/>
          <w:sz w:val="24"/>
          <w:szCs w:val="24"/>
          <w:lang w:val="en-GB"/>
        </w:rPr>
        <w:t xml:space="preserve"> , </w:t>
      </w:r>
      <w:r w:rsidRPr="17252C47" w:rsidR="17252C47">
        <w:rPr>
          <w:rFonts w:ascii="Calibri" w:hAnsi="Calibri" w:eastAsia="Calibri" w:cs="Calibri"/>
          <w:i w:val="0"/>
          <w:iCs w:val="0"/>
          <w:noProof w:val="0"/>
          <w:sz w:val="24"/>
          <w:szCs w:val="24"/>
          <w:lang w:val="en-GB"/>
        </w:rPr>
        <w:t>visited at</w:t>
      </w:r>
      <w:r w:rsidRPr="17252C47" w:rsidR="17252C47">
        <w:rPr>
          <w:rFonts w:ascii="Calibri" w:hAnsi="Calibri" w:eastAsia="Calibri" w:cs="Calibri"/>
          <w:i w:val="1"/>
          <w:iCs w:val="1"/>
          <w:noProof w:val="0"/>
          <w:sz w:val="24"/>
          <w:szCs w:val="24"/>
          <w:lang w:val="en-GB"/>
        </w:rPr>
        <w:t xml:space="preserve">, </w:t>
      </w:r>
      <w:r w:rsidRPr="17252C47" w:rsidR="17252C47">
        <w:rPr>
          <w:rFonts w:ascii="Calibri" w:hAnsi="Calibri" w:eastAsia="Calibri" w:cs="Calibri"/>
          <w:noProof w:val="0"/>
          <w:sz w:val="24"/>
          <w:szCs w:val="24"/>
          <w:lang w:val="en-GB"/>
        </w:rPr>
        <w:t>-09/11/2023 18:58</w:t>
      </w:r>
    </w:p>
    <w:p w:rsidR="5631B4A3" w:rsidP="17252C47" w:rsidRDefault="5631B4A3" w14:paraId="2BF9DCF3" w14:textId="42115C9E">
      <w:pPr>
        <w:pStyle w:val="Normal"/>
        <w:ind w:left="0"/>
        <w:jc w:val="center"/>
        <w:rPr>
          <w:rFonts w:ascii="Calibri" w:hAnsi="Calibri" w:eastAsia="Calibri" w:cs="Calibri"/>
          <w:noProof w:val="0"/>
          <w:sz w:val="24"/>
          <w:szCs w:val="24"/>
          <w:lang w:val="en-GB"/>
        </w:rPr>
      </w:pPr>
      <w:r w:rsidRPr="17252C47" w:rsidR="17252C47">
        <w:rPr>
          <w:rFonts w:ascii="Calibri" w:hAnsi="Calibri" w:eastAsia="Calibri" w:cs="Calibri"/>
          <w:noProof w:val="0"/>
          <w:sz w:val="24"/>
          <w:szCs w:val="24"/>
          <w:lang w:val="en-GB"/>
        </w:rPr>
        <w:t xml:space="preserve"> Yates, J. (2021</w:t>
      </w:r>
      <w:r w:rsidRPr="17252C47" w:rsidR="17252C47">
        <w:rPr>
          <w:rFonts w:ascii="Calibri" w:hAnsi="Calibri" w:eastAsia="Calibri" w:cs="Calibri"/>
          <w:i w:val="1"/>
          <w:iCs w:val="1"/>
          <w:noProof w:val="0"/>
          <w:sz w:val="24"/>
          <w:szCs w:val="24"/>
          <w:lang w:val="en-GB"/>
        </w:rPr>
        <w:t xml:space="preserve">), what is the </w:t>
      </w:r>
      <w:r w:rsidRPr="17252C47" w:rsidR="17252C47">
        <w:rPr>
          <w:rFonts w:ascii="Calibri" w:hAnsi="Calibri" w:eastAsia="Calibri" w:cs="Calibri"/>
          <w:i w:val="1"/>
          <w:iCs w:val="1"/>
          <w:noProof w:val="0"/>
          <w:sz w:val="24"/>
          <w:szCs w:val="24"/>
          <w:lang w:val="en-GB"/>
        </w:rPr>
        <w:t>differnce</w:t>
      </w:r>
      <w:r w:rsidRPr="17252C47" w:rsidR="17252C47">
        <w:rPr>
          <w:rFonts w:ascii="Calibri" w:hAnsi="Calibri" w:eastAsia="Calibri" w:cs="Calibri"/>
          <w:i w:val="1"/>
          <w:iCs w:val="1"/>
          <w:noProof w:val="0"/>
          <w:sz w:val="24"/>
          <w:szCs w:val="24"/>
          <w:lang w:val="en-GB"/>
        </w:rPr>
        <w:t xml:space="preserve"> between assault, battery, ABH and </w:t>
      </w:r>
      <w:r w:rsidRPr="17252C47" w:rsidR="17252C47">
        <w:rPr>
          <w:rFonts w:ascii="Calibri" w:hAnsi="Calibri" w:eastAsia="Calibri" w:cs="Calibri"/>
          <w:i w:val="1"/>
          <w:iCs w:val="1"/>
          <w:noProof w:val="0"/>
          <w:sz w:val="24"/>
          <w:szCs w:val="24"/>
          <w:lang w:val="en-GB"/>
        </w:rPr>
        <w:t>GBH?,</w:t>
      </w:r>
      <w:r w:rsidRPr="17252C47" w:rsidR="17252C47">
        <w:rPr>
          <w:rFonts w:ascii="Calibri" w:hAnsi="Calibri" w:eastAsia="Calibri" w:cs="Calibri"/>
          <w:i w:val="1"/>
          <w:iCs w:val="1"/>
          <w:noProof w:val="0"/>
          <w:sz w:val="24"/>
          <w:szCs w:val="24"/>
          <w:lang w:val="en-GB"/>
        </w:rPr>
        <w:t xml:space="preserve"> </w:t>
      </w:r>
      <w:r w:rsidRPr="17252C47" w:rsidR="17252C47">
        <w:rPr>
          <w:rFonts w:ascii="Calibri" w:hAnsi="Calibri" w:eastAsia="Calibri" w:cs="Calibri"/>
          <w:i w:val="0"/>
          <w:iCs w:val="0"/>
          <w:noProof w:val="0"/>
          <w:sz w:val="24"/>
          <w:szCs w:val="24"/>
          <w:lang w:val="en-GB"/>
        </w:rPr>
        <w:t>available at,</w:t>
      </w:r>
      <w:hyperlink r:id="R0260fbb520ef4a96">
        <w:r w:rsidRPr="17252C47" w:rsidR="17252C47">
          <w:rPr>
            <w:rStyle w:val="Hyperlink"/>
            <w:rFonts w:ascii="Calibri" w:hAnsi="Calibri" w:eastAsia="Calibri" w:cs="Calibri"/>
            <w:noProof w:val="0"/>
            <w:sz w:val="24"/>
            <w:szCs w:val="24"/>
            <w:lang w:val="en-GB"/>
          </w:rPr>
          <w:t>What Is The Difference Between Assault, Battery, ABH And GBH? | Martin Cray &amp; Co.</w:t>
        </w:r>
      </w:hyperlink>
      <w:r w:rsidRPr="17252C47" w:rsidR="17252C47">
        <w:rPr>
          <w:rFonts w:ascii="Calibri" w:hAnsi="Calibri" w:eastAsia="Calibri" w:cs="Calibri"/>
          <w:noProof w:val="0"/>
          <w:sz w:val="24"/>
          <w:szCs w:val="24"/>
          <w:lang w:val="en-GB"/>
        </w:rPr>
        <w:t xml:space="preserve"> Visited at, 08/11.2023 17:19pm</w:t>
      </w:r>
    </w:p>
    <w:p w:rsidR="24AA0E2E" w:rsidP="24AA0E2E" w:rsidRDefault="24AA0E2E" w14:paraId="08BCDE55" w14:textId="1186F427">
      <w:pPr>
        <w:pStyle w:val="Normal"/>
        <w:jc w:val="center"/>
        <w:rPr>
          <w:rFonts w:ascii="Calibri" w:hAnsi="Calibri" w:eastAsia="Calibri" w:cs="Calibri"/>
          <w:noProof w:val="0"/>
          <w:sz w:val="24"/>
          <w:szCs w:val="24"/>
          <w:lang w:val="en-GB"/>
        </w:rPr>
      </w:pPr>
    </w:p>
    <w:p w:rsidR="24AA0E2E" w:rsidP="24AA0E2E" w:rsidRDefault="24AA0E2E" w14:paraId="70FA85CB" w14:textId="75DFEEC8">
      <w:pPr>
        <w:pStyle w:val="Normal"/>
        <w:jc w:val="left"/>
        <w:rPr>
          <w:rFonts w:ascii="Calibri" w:hAnsi="Calibri" w:eastAsia="Calibri" w:cs="Calibri"/>
          <w:noProof w:val="0"/>
          <w:sz w:val="24"/>
          <w:szCs w:val="24"/>
          <w:lang w:val="en-GB"/>
        </w:rPr>
      </w:pPr>
    </w:p>
    <w:p w:rsidR="24AA0E2E" w:rsidP="24AA0E2E" w:rsidRDefault="24AA0E2E" w14:paraId="31FF00FA" w14:textId="07302BDA">
      <w:pPr>
        <w:pStyle w:val="Normal"/>
        <w:jc w:val="left"/>
        <w:rPr>
          <w:rFonts w:ascii="Calibri" w:hAnsi="Calibri" w:eastAsia="Calibri" w:cs="Calibri"/>
          <w:noProof w:val="0"/>
          <w:sz w:val="24"/>
          <w:szCs w:val="24"/>
          <w:lang w:val="en-GB"/>
        </w:rPr>
      </w:pPr>
    </w:p>
    <w:p w:rsidR="24AA0E2E" w:rsidP="24AA0E2E" w:rsidRDefault="24AA0E2E" w14:paraId="28B5E9B2" w14:textId="2D895C40">
      <w:pPr>
        <w:pStyle w:val="Normal"/>
        <w:jc w:val="left"/>
        <w:rPr>
          <w:rFonts w:ascii="Calibri" w:hAnsi="Calibri" w:eastAsia="Calibri" w:cs="Calibri"/>
          <w:noProof w:val="0"/>
          <w:sz w:val="24"/>
          <w:szCs w:val="24"/>
          <w:lang w:val="en-GB"/>
        </w:rPr>
      </w:pPr>
    </w:p>
    <w:p w:rsidR="24AA0E2E" w:rsidP="24AA0E2E" w:rsidRDefault="24AA0E2E" w14:paraId="2B76FFB4" w14:textId="5493AC02">
      <w:pPr>
        <w:pStyle w:val="Normal"/>
        <w:jc w:val="left"/>
        <w:rPr>
          <w:rFonts w:ascii="Calibri" w:hAnsi="Calibri" w:eastAsia="Calibri" w:cs="Calibri"/>
          <w:noProof w:val="0"/>
          <w:sz w:val="24"/>
          <w:szCs w:val="24"/>
          <w:lang w:val="en-GB"/>
        </w:rPr>
      </w:pPr>
    </w:p>
    <w:p w:rsidR="24AA0E2E" w:rsidP="24AA0E2E" w:rsidRDefault="24AA0E2E" w14:paraId="2A978DF4" w14:textId="712BBBEF">
      <w:pPr>
        <w:pStyle w:val="Normal"/>
        <w:jc w:val="left"/>
        <w:rPr>
          <w:rFonts w:ascii="Calibri" w:hAnsi="Calibri" w:eastAsia="Calibri" w:cs="Calibri"/>
          <w:noProof w:val="0"/>
          <w:sz w:val="24"/>
          <w:szCs w:val="24"/>
          <w:lang w:val="en-GB"/>
        </w:rPr>
      </w:pPr>
    </w:p>
    <w:p w:rsidR="24AA0E2E" w:rsidP="24AA0E2E" w:rsidRDefault="24AA0E2E" w14:paraId="53203DD7" w14:textId="02317598">
      <w:pPr>
        <w:pStyle w:val="Normal"/>
        <w:jc w:val="left"/>
        <w:rPr>
          <w:rFonts w:ascii="Calibri" w:hAnsi="Calibri" w:eastAsia="Calibri" w:cs="Calibri"/>
          <w:noProof w:val="0"/>
          <w:sz w:val="24"/>
          <w:szCs w:val="24"/>
          <w:lang w:val="en-GB"/>
        </w:rPr>
      </w:pPr>
    </w:p>
    <w:p w:rsidR="24AA0E2E" w:rsidP="24AA0E2E" w:rsidRDefault="24AA0E2E" w14:paraId="70CB7007" w14:textId="5D88261B">
      <w:pPr>
        <w:pStyle w:val="Normal"/>
        <w:jc w:val="left"/>
        <w:rPr>
          <w:rFonts w:ascii="Calibri" w:hAnsi="Calibri" w:eastAsia="Calibri" w:cs="Calibri"/>
          <w:noProof w:val="0"/>
          <w:sz w:val="24"/>
          <w:szCs w:val="24"/>
          <w:lang w:val="en-GB"/>
        </w:rPr>
      </w:pPr>
    </w:p>
    <w:p w:rsidR="24AA0E2E" w:rsidP="24AA0E2E" w:rsidRDefault="24AA0E2E" w14:paraId="0E12010D" w14:textId="2AC04C8E">
      <w:pPr>
        <w:pStyle w:val="Normal"/>
        <w:jc w:val="left"/>
        <w:rPr>
          <w:rFonts w:ascii="Calibri" w:hAnsi="Calibri" w:eastAsia="Calibri" w:cs="Calibri"/>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ZdmGnYvZ" int2:invalidationBookmarkName="" int2:hashCode="3aKsP3YcWmO9eC" int2:id="HWgIIq9i">
      <int2:state int2:type="AugLoop_Text_Critique" int2:value="Rejected"/>
    </int2:bookmark>
    <int2:bookmark int2:bookmarkName="_Int_kop5zrQ1" int2:invalidationBookmarkName="" int2:hashCode="5NsGkkiP8CZTo5" int2:id="aIsPcY6c">
      <int2:state int2:type="AugLoop_Text_Critique" int2:value="Rejected"/>
    </int2:bookmark>
    <int2:bookmark int2:bookmarkName="_Int_iR9Lr7Rh" int2:invalidationBookmarkName="" int2:hashCode="IZCOE+iBmOg/BT" int2:id="QbhEwdJQ">
      <int2:state int2:type="AugLoop_Text_Critique" int2:value="Rejected"/>
    </int2:bookmark>
    <int2:bookmark int2:bookmarkName="_Int_EeawutBA" int2:invalidationBookmarkName="" int2:hashCode="t8j/uPvGfBcTKO" int2:id="P2MunkMG">
      <int2:state int2:type="AugLoop_Text_Critique" int2:value="Rejected"/>
    </int2:bookmark>
    <int2:bookmark int2:bookmarkName="_Int_3K7l1sc5" int2:invalidationBookmarkName="" int2:hashCode="wg7HUnrTP8SxO8" int2:id="UEHcdn3H">
      <int2:state int2:type="AugLoop_Text_Critique" int2:value="Rejected"/>
    </int2:bookmark>
    <int2:bookmark int2:bookmarkName="_Int_0VHKvajj" int2:invalidationBookmarkName="" int2:hashCode="a2Elz8dU03M6CK" int2:id="5pIt6PkB">
      <int2:state int2:type="AugLoop_Text_Critique" int2:value="Rejected"/>
    </int2:bookmark>
    <int2:bookmark int2:bookmarkName="_Int_nA4W9vXD" int2:invalidationBookmarkName="" int2:hashCode="5cEnj+BQkBZE21" int2:id="J3Yur7F9">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62de7ab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70e4dccf"/>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6fe22843"/>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6ef94ae"/>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0e0576f"/>
    <w:multiLevelType xmlns:w="http://schemas.openxmlformats.org/wordprocessingml/2006/main" w:val="hybridMultilevel"/>
    <w:lvl xmlns:w="http://schemas.openxmlformats.org/wordprocessingml/2006/main" w:ilvl="0">
      <w:start w:val="1"/>
      <w:numFmt w:val="upperRoman"/>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B5C7452"/>
    <w:rsid w:val="17252C47"/>
    <w:rsid w:val="24AA0E2E"/>
    <w:rsid w:val="2B5C7452"/>
    <w:rsid w:val="5631B4A3"/>
    <w:rsid w:val="6478A4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5C7452"/>
  <w15:chartTrackingRefBased/>
  <w15:docId w15:val="{4F316B1C-D112-4181-B3C8-2F500AB3FEC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0e97d43783524a0a" /><Relationship Type="http://schemas.microsoft.com/office/2020/10/relationships/intelligence" Target="/word/intelligence2.xml" Id="Rbe99d55f03bf446b" /><Relationship Type="http://schemas.openxmlformats.org/officeDocument/2006/relationships/hyperlink" Target="https://www.ncbi.nlm.nih.gov/pmc/articles/PMC7083167/" TargetMode="External" Id="R5d9b7ccc4a14433c" /><Relationship Type="http://schemas.openxmlformats.org/officeDocument/2006/relationships/hyperlink" Target="https://blogs.ed.ac.uk/mason-institute/2021/11/25/a-painful-precedent-r-v-brown-criminality-and-consent-by-rhiannon-frowde/" TargetMode="External" Id="R041f168c8ab64b18" /><Relationship Type="http://schemas.openxmlformats.org/officeDocument/2006/relationships/hyperlink" Target="https://www.studysmarter.co.uk/explanations/law/uk-criminal-law/battery-crime/" TargetMode="External" Id="Ra8611a3a47284b62" /><Relationship Type="http://schemas.openxmlformats.org/officeDocument/2006/relationships/hyperlink" Target="https://www.e-lawresources.co.uk/Battery.php" TargetMode="External" Id="R5b78e9ccc08549a6" /><Relationship Type="http://schemas.openxmlformats.org/officeDocument/2006/relationships/hyperlink" Target="http://www.bitsoflaw.org/criminal/defences/study-note/a-level/consent-evaluation-reform" TargetMode="External" Id="R38bbe747ff4042d1" /><Relationship Type="http://schemas.openxmlformats.org/officeDocument/2006/relationships/hyperlink" Target="https://www.enablelaw.com/news/latest-news/consent-medical-treatment-recent-case-law/" TargetMode="External" Id="Raebe1e6284b548a9" /><Relationship Type="http://schemas.openxmlformats.org/officeDocument/2006/relationships/hyperlink" Target="https://www.e-lawresources.co.uk/Collins-v-Wilcock.php" TargetMode="External" Id="Rf9fd3c6a99c049ab" /><Relationship Type="http://schemas.openxmlformats.org/officeDocument/2006/relationships/hyperlink" Target="https://www.legislation.gov.uk/ukpga/1988/33/section/39" TargetMode="External" Id="Rff283a20c08a444b" /><Relationship Type="http://schemas.openxmlformats.org/officeDocument/2006/relationships/hyperlink" Target="https://www.health.org.uk/journal-article/patient-and-public-attitudes-towards-informed-consent-models-and-levels-of" TargetMode="External" Id="Rfa52662944b54510" /><Relationship Type="http://schemas.openxmlformats.org/officeDocument/2006/relationships/hyperlink" Target="https://ipsaloquitur.com/criminal-law/cases/r-v-rolfe-kenneth/" TargetMode="External" Id="R14edd87097264c3a" /><Relationship Type="http://schemas.openxmlformats.org/officeDocument/2006/relationships/hyperlink" Target="https://martincray.co.uk/advice/what-is-assault-battery-abh-and-gbh/" TargetMode="External" Id="R0260fbb520ef4a9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Cerys George</dc:creator>
  <keywords/>
  <dc:description/>
  <lastModifiedBy>Cerys George</lastModifiedBy>
  <revision>5</revision>
  <dcterms:created xsi:type="dcterms:W3CDTF">2023-10-19T20:37:53.0487035Z</dcterms:created>
  <dcterms:modified xsi:type="dcterms:W3CDTF">2023-11-10T21:27:49.2954049Z</dcterms:modified>
</coreProperties>
</file>