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E80F2" w14:textId="77777777" w:rsidR="00E72FF5" w:rsidRDefault="00E72FF5" w:rsidP="00E72FF5"/>
    <w:p w14:paraId="4C957AD6" w14:textId="77777777" w:rsidR="00E72FF5" w:rsidRPr="00826799" w:rsidRDefault="00E72FF5" w:rsidP="00E72FF5">
      <w:pPr>
        <w:jc w:val="center"/>
        <w:rPr>
          <w:rFonts w:ascii="Aptos" w:eastAsia="Aptos" w:hAnsi="Aptos" w:cs="Times New Roman"/>
          <w:color w:val="215E99"/>
          <w:sz w:val="36"/>
          <w:szCs w:val="36"/>
        </w:rPr>
      </w:pPr>
      <w:r w:rsidRPr="00826799">
        <w:rPr>
          <w:rFonts w:ascii="Arial" w:eastAsia="Aptos" w:hAnsi="Arial" w:cs="Arial"/>
          <w:sz w:val="36"/>
          <w:szCs w:val="36"/>
        </w:rPr>
        <w:t>University of Wales Trinity Saint David</w:t>
      </w:r>
      <w:r w:rsidRPr="00826799">
        <w:rPr>
          <w:rFonts w:ascii="Aptos" w:eastAsia="Aptos" w:hAnsi="Aptos" w:cs="Times New Roman"/>
          <w:noProof/>
        </w:rPr>
        <w:drawing>
          <wp:inline distT="0" distB="0" distL="0" distR="0" wp14:anchorId="28C7AD10" wp14:editId="0F46F969">
            <wp:extent cx="388620" cy="447471"/>
            <wp:effectExtent l="0" t="0" r="0" b="0"/>
            <wp:docPr id="200423805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38050" name="Picture 1" descr="A black and yellow shield with blue flower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381" cy="466771"/>
                    </a:xfrm>
                    <a:prstGeom prst="rect">
                      <a:avLst/>
                    </a:prstGeom>
                    <a:noFill/>
                    <a:ln>
                      <a:noFill/>
                    </a:ln>
                  </pic:spPr>
                </pic:pic>
              </a:graphicData>
            </a:graphic>
          </wp:inline>
        </w:drawing>
      </w:r>
    </w:p>
    <w:p w14:paraId="1D96430E" w14:textId="77777777" w:rsidR="00E72FF5" w:rsidRPr="00826799" w:rsidRDefault="00E72FF5" w:rsidP="00E72FF5">
      <w:pPr>
        <w:rPr>
          <w:rFonts w:ascii="Arial" w:eastAsia="Aptos" w:hAnsi="Arial" w:cs="Arial"/>
        </w:rPr>
      </w:pPr>
      <w:r w:rsidRPr="00826799">
        <w:rPr>
          <w:rFonts w:ascii="Arial" w:eastAsia="Aptos" w:hAnsi="Arial" w:cs="Arial"/>
        </w:rPr>
        <w:t xml:space="preserve">                                       Birmingham Campus, Quay Place</w:t>
      </w:r>
    </w:p>
    <w:p w14:paraId="2897255D" w14:textId="77777777" w:rsidR="00E72FF5" w:rsidRPr="00826799" w:rsidRDefault="00E72FF5" w:rsidP="00E72FF5">
      <w:pPr>
        <w:rPr>
          <w:rFonts w:ascii="Arial" w:eastAsia="Aptos" w:hAnsi="Arial" w:cs="Arial"/>
        </w:rPr>
      </w:pPr>
    </w:p>
    <w:p w14:paraId="498119E1" w14:textId="77777777" w:rsidR="00E72FF5" w:rsidRPr="00826799" w:rsidRDefault="00E72FF5" w:rsidP="00E72FF5">
      <w:pPr>
        <w:rPr>
          <w:rFonts w:ascii="Arial" w:eastAsia="Aptos" w:hAnsi="Arial" w:cs="Arial"/>
          <w:i/>
          <w:iCs/>
          <w:sz w:val="24"/>
          <w:szCs w:val="24"/>
          <w:u w:val="single"/>
        </w:rPr>
      </w:pPr>
    </w:p>
    <w:p w14:paraId="78CAB64F" w14:textId="77777777" w:rsidR="00E72FF5" w:rsidRPr="00826799" w:rsidRDefault="00E72FF5" w:rsidP="00E72FF5">
      <w:pPr>
        <w:rPr>
          <w:rFonts w:ascii="Arial" w:eastAsia="Aptos" w:hAnsi="Arial" w:cs="Arial"/>
          <w:i/>
          <w:iCs/>
          <w:sz w:val="24"/>
          <w:szCs w:val="24"/>
          <w:u w:val="single"/>
        </w:rPr>
      </w:pPr>
    </w:p>
    <w:p w14:paraId="13C0F248" w14:textId="77777777" w:rsidR="00E72FF5" w:rsidRPr="00826799" w:rsidRDefault="00E72FF5" w:rsidP="00E72FF5">
      <w:pPr>
        <w:pBdr>
          <w:bottom w:val="single" w:sz="4" w:space="1" w:color="auto"/>
        </w:pBdr>
        <w:rPr>
          <w:rFonts w:ascii="Aptos" w:eastAsia="Aptos" w:hAnsi="Aptos" w:cs="Times New Roman"/>
        </w:rPr>
      </w:pPr>
    </w:p>
    <w:p w14:paraId="69CAD776" w14:textId="77777777" w:rsidR="00E979F8" w:rsidRPr="00E31062" w:rsidRDefault="00E979F8" w:rsidP="00E72FF5">
      <w:pPr>
        <w:jc w:val="center"/>
        <w:rPr>
          <w:rFonts w:ascii="Arial" w:eastAsia="Aptos" w:hAnsi="Arial" w:cs="Arial"/>
          <w:color w:val="4F81BD" w:themeColor="accent1"/>
          <w:sz w:val="40"/>
          <w:szCs w:val="40"/>
        </w:rPr>
      </w:pPr>
      <w:r w:rsidRPr="00E31062">
        <w:rPr>
          <w:rFonts w:ascii="Arial" w:eastAsia="Aptos" w:hAnsi="Arial" w:cs="Arial"/>
          <w:color w:val="4F81BD" w:themeColor="accent1"/>
          <w:sz w:val="40"/>
          <w:szCs w:val="40"/>
        </w:rPr>
        <w:t>NHS England Data Warehousing Strategy Report</w:t>
      </w:r>
    </w:p>
    <w:p w14:paraId="74DBE712" w14:textId="268224CF" w:rsidR="00E72FF5" w:rsidRPr="00826799" w:rsidRDefault="00E72FF5" w:rsidP="00E72FF5">
      <w:pPr>
        <w:jc w:val="center"/>
        <w:rPr>
          <w:rFonts w:ascii="Arial" w:eastAsia="Aptos" w:hAnsi="Arial" w:cs="Arial"/>
          <w:sz w:val="28"/>
          <w:szCs w:val="28"/>
        </w:rPr>
      </w:pPr>
      <w:r w:rsidRPr="00826799">
        <w:rPr>
          <w:rFonts w:ascii="Arial" w:eastAsia="Aptos" w:hAnsi="Arial" w:cs="Arial"/>
          <w:i/>
          <w:iCs/>
          <w:sz w:val="28"/>
          <w:szCs w:val="28"/>
        </w:rPr>
        <w:t>Module</w:t>
      </w:r>
      <w:r w:rsidRPr="00826799">
        <w:rPr>
          <w:rFonts w:ascii="Arial" w:eastAsia="Aptos" w:hAnsi="Arial" w:cs="Arial"/>
          <w:sz w:val="28"/>
          <w:szCs w:val="28"/>
        </w:rPr>
        <w:t xml:space="preserve"> ACCA</w:t>
      </w:r>
      <w:r w:rsidR="00672F6B">
        <w:rPr>
          <w:rFonts w:ascii="Arial" w:eastAsia="Aptos" w:hAnsi="Arial" w:cs="Arial"/>
          <w:sz w:val="28"/>
          <w:szCs w:val="28"/>
        </w:rPr>
        <w:t>6026</w:t>
      </w:r>
    </w:p>
    <w:p w14:paraId="333C852A" w14:textId="77777777" w:rsidR="00E72FF5" w:rsidRPr="00826799" w:rsidRDefault="00E72FF5" w:rsidP="00E72FF5">
      <w:pPr>
        <w:pBdr>
          <w:top w:val="single" w:sz="4" w:space="1" w:color="auto"/>
        </w:pBdr>
        <w:rPr>
          <w:rFonts w:ascii="Aptos" w:eastAsia="Aptos" w:hAnsi="Aptos" w:cs="Times New Roman"/>
        </w:rPr>
      </w:pPr>
    </w:p>
    <w:p w14:paraId="33CD7E31" w14:textId="77777777" w:rsidR="00E72FF5" w:rsidRPr="00826799" w:rsidRDefault="00E72FF5" w:rsidP="00E72FF5">
      <w:pPr>
        <w:pBdr>
          <w:top w:val="single" w:sz="4" w:space="1" w:color="auto"/>
        </w:pBdr>
        <w:rPr>
          <w:rFonts w:ascii="Aptos" w:eastAsia="Aptos" w:hAnsi="Aptos" w:cs="Times New Roman"/>
        </w:rPr>
      </w:pPr>
    </w:p>
    <w:p w14:paraId="6D6EE0C9" w14:textId="77777777" w:rsidR="00E72FF5" w:rsidRPr="00826799" w:rsidRDefault="00E72FF5" w:rsidP="00E72FF5">
      <w:pPr>
        <w:rPr>
          <w:rFonts w:ascii="Aptos" w:eastAsia="Aptos" w:hAnsi="Aptos" w:cs="Times New Roman"/>
        </w:rPr>
      </w:pPr>
    </w:p>
    <w:p w14:paraId="51B267B2" w14:textId="1BBBC204" w:rsidR="00E72FF5" w:rsidRPr="00826799" w:rsidRDefault="009B4627" w:rsidP="00E72FF5">
      <w:pPr>
        <w:rPr>
          <w:rFonts w:ascii="Arial" w:eastAsia="Aptos" w:hAnsi="Arial" w:cs="Arial"/>
          <w:i/>
          <w:iCs/>
          <w:sz w:val="28"/>
          <w:szCs w:val="28"/>
        </w:rPr>
      </w:pPr>
      <w:r>
        <w:rPr>
          <w:rFonts w:ascii="Arial" w:eastAsia="Aptos" w:hAnsi="Arial" w:cs="Arial"/>
          <w:i/>
          <w:iCs/>
          <w:sz w:val="28"/>
          <w:szCs w:val="28"/>
        </w:rPr>
        <w:t xml:space="preserve">         </w:t>
      </w:r>
      <w:r w:rsidR="00E72FF5" w:rsidRPr="00826799">
        <w:rPr>
          <w:rFonts w:ascii="Arial" w:eastAsia="Aptos" w:hAnsi="Arial" w:cs="Arial"/>
          <w:i/>
          <w:iCs/>
          <w:sz w:val="28"/>
          <w:szCs w:val="28"/>
        </w:rPr>
        <w:t>Author                                                         Lecturer</w:t>
      </w:r>
    </w:p>
    <w:p w14:paraId="4440E810" w14:textId="1AAC1FE8" w:rsidR="00E72FF5" w:rsidRPr="00826799" w:rsidRDefault="00E72FF5" w:rsidP="00E72FF5">
      <w:pPr>
        <w:rPr>
          <w:rFonts w:ascii="Arial" w:eastAsia="Aptos" w:hAnsi="Arial" w:cs="Arial"/>
          <w:sz w:val="32"/>
          <w:szCs w:val="32"/>
        </w:rPr>
      </w:pPr>
      <w:r w:rsidRPr="00672F6B">
        <w:rPr>
          <w:rFonts w:ascii="Arial" w:eastAsia="Aptos" w:hAnsi="Arial" w:cs="Arial"/>
          <w:color w:val="4F81BD" w:themeColor="accent1"/>
          <w:sz w:val="32"/>
          <w:szCs w:val="32"/>
        </w:rPr>
        <w:t xml:space="preserve">Mihai Adrian Lungu                  </w:t>
      </w:r>
      <w:r w:rsidR="009B4627" w:rsidRPr="00672F6B">
        <w:rPr>
          <w:rFonts w:ascii="Arial" w:eastAsia="Aptos" w:hAnsi="Arial" w:cs="Arial"/>
          <w:color w:val="4F81BD" w:themeColor="accent1"/>
          <w:sz w:val="32"/>
          <w:szCs w:val="32"/>
        </w:rPr>
        <w:t xml:space="preserve"> </w:t>
      </w:r>
      <w:r w:rsidR="00EB6A8B" w:rsidRPr="00672F6B">
        <w:rPr>
          <w:rFonts w:ascii="Arial" w:eastAsia="Aptos" w:hAnsi="Arial" w:cs="Arial"/>
          <w:color w:val="4F81BD" w:themeColor="accent1"/>
          <w:sz w:val="32"/>
          <w:szCs w:val="32"/>
        </w:rPr>
        <w:t>Md Abrar Jahin Almazi Bipon</w:t>
      </w:r>
      <w:r w:rsidRPr="00672F6B">
        <w:rPr>
          <w:rFonts w:ascii="Arial" w:eastAsia="Aptos" w:hAnsi="Arial" w:cs="Arial"/>
          <w:color w:val="4F81BD" w:themeColor="accent1"/>
          <w:sz w:val="32"/>
          <w:szCs w:val="32"/>
        </w:rPr>
        <w:t xml:space="preserve"> </w:t>
      </w:r>
    </w:p>
    <w:p w14:paraId="61E24192" w14:textId="0A340BEF" w:rsidR="00E72FF5" w:rsidRPr="00E72FF5" w:rsidRDefault="00E72FF5" w:rsidP="00E72FF5">
      <w:pPr>
        <w:rPr>
          <w:rFonts w:ascii="Arial" w:eastAsia="Aptos" w:hAnsi="Arial" w:cs="Arial"/>
          <w:sz w:val="18"/>
          <w:szCs w:val="18"/>
        </w:rPr>
      </w:pPr>
      <w:r w:rsidRPr="00826799">
        <w:rPr>
          <w:rFonts w:ascii="Arial" w:eastAsia="Aptos" w:hAnsi="Arial" w:cs="Arial"/>
          <w:sz w:val="18"/>
          <w:szCs w:val="18"/>
        </w:rPr>
        <w:t>Student ID.2319950</w:t>
      </w:r>
    </w:p>
    <w:p w14:paraId="3FFA5F85" w14:textId="77777777" w:rsidR="00E72FF5" w:rsidRDefault="00E72FF5" w:rsidP="00E72FF5">
      <w:pPr>
        <w:rPr>
          <w:rFonts w:ascii="Arial" w:hAnsi="Arial" w:cs="Arial"/>
        </w:rPr>
      </w:pPr>
    </w:p>
    <w:p w14:paraId="032F5739" w14:textId="77777777" w:rsidR="00E72FF5" w:rsidRDefault="00E72FF5" w:rsidP="00E72FF5">
      <w:pPr>
        <w:rPr>
          <w:rFonts w:ascii="Arial" w:hAnsi="Arial" w:cs="Arial"/>
        </w:rPr>
      </w:pPr>
    </w:p>
    <w:p w14:paraId="4A31DA62" w14:textId="77777777" w:rsidR="00E72FF5" w:rsidRDefault="00E72FF5" w:rsidP="00E72FF5">
      <w:pPr>
        <w:jc w:val="center"/>
        <w:rPr>
          <w:rFonts w:ascii="Arial" w:hAnsi="Arial" w:cs="Arial"/>
          <w:sz w:val="56"/>
          <w:szCs w:val="56"/>
        </w:rPr>
      </w:pPr>
    </w:p>
    <w:p w14:paraId="7593AFAD" w14:textId="77777777" w:rsidR="00E72FF5" w:rsidRPr="009370CF" w:rsidRDefault="00E72FF5" w:rsidP="00E72FF5">
      <w:pPr>
        <w:jc w:val="center"/>
        <w:rPr>
          <w:rFonts w:ascii="Arial" w:hAnsi="Arial" w:cs="Arial"/>
          <w:sz w:val="56"/>
          <w:szCs w:val="56"/>
        </w:rPr>
      </w:pPr>
    </w:p>
    <w:p w14:paraId="75D82812" w14:textId="77777777" w:rsidR="00E979F8" w:rsidRDefault="00E979F8" w:rsidP="00A25511">
      <w:pPr>
        <w:jc w:val="center"/>
        <w:rPr>
          <w:rFonts w:ascii="Arial" w:hAnsi="Arial" w:cs="Arial"/>
          <w:sz w:val="52"/>
          <w:szCs w:val="52"/>
        </w:rPr>
      </w:pPr>
    </w:p>
    <w:p w14:paraId="7D8BC788" w14:textId="008E802E" w:rsidR="00A25511" w:rsidRPr="00FA3882" w:rsidRDefault="00A25511" w:rsidP="00A25511">
      <w:pPr>
        <w:jc w:val="center"/>
        <w:rPr>
          <w:b/>
          <w:bCs/>
          <w:sz w:val="56"/>
          <w:szCs w:val="56"/>
          <w:u w:val="single"/>
        </w:rPr>
      </w:pPr>
      <w:r w:rsidRPr="00FA3882">
        <w:rPr>
          <w:b/>
          <w:bCs/>
          <w:sz w:val="56"/>
          <w:szCs w:val="56"/>
          <w:u w:val="single"/>
        </w:rPr>
        <w:lastRenderedPageBreak/>
        <w:t>Table Of Contents</w:t>
      </w:r>
    </w:p>
    <w:p w14:paraId="767299F3" w14:textId="77777777" w:rsidR="00A25511" w:rsidRPr="00193F76" w:rsidRDefault="00A25511" w:rsidP="00A25511">
      <w:pPr>
        <w:rPr>
          <w:sz w:val="32"/>
          <w:szCs w:val="32"/>
        </w:rPr>
      </w:pPr>
    </w:p>
    <w:p w14:paraId="113A0067" w14:textId="2A17F0EE" w:rsidR="00A25511" w:rsidRDefault="00A25511" w:rsidP="006802E0">
      <w:pPr>
        <w:rPr>
          <w:sz w:val="32"/>
          <w:szCs w:val="32"/>
        </w:rPr>
      </w:pPr>
      <w:r w:rsidRPr="00193F76">
        <w:rPr>
          <w:sz w:val="32"/>
          <w:szCs w:val="32"/>
        </w:rPr>
        <w:t>I</w:t>
      </w:r>
      <w:r>
        <w:rPr>
          <w:sz w:val="32"/>
          <w:szCs w:val="32"/>
        </w:rPr>
        <w:t>ntroduction……………………………………………………</w:t>
      </w:r>
      <w:r w:rsidR="00130235">
        <w:rPr>
          <w:sz w:val="32"/>
          <w:szCs w:val="32"/>
        </w:rPr>
        <w:t>…...</w:t>
      </w:r>
      <w:r>
        <w:rPr>
          <w:sz w:val="32"/>
          <w:szCs w:val="32"/>
        </w:rPr>
        <w:t xml:space="preserve"> </w:t>
      </w:r>
      <w:r w:rsidR="00130235">
        <w:rPr>
          <w:sz w:val="32"/>
          <w:szCs w:val="32"/>
        </w:rPr>
        <w:t xml:space="preserve"> </w:t>
      </w:r>
      <w:r>
        <w:rPr>
          <w:sz w:val="32"/>
          <w:szCs w:val="32"/>
        </w:rPr>
        <w:t xml:space="preserve">page </w:t>
      </w:r>
      <w:r w:rsidR="00C92E75">
        <w:rPr>
          <w:sz w:val="32"/>
          <w:szCs w:val="32"/>
        </w:rPr>
        <w:t>4</w:t>
      </w:r>
    </w:p>
    <w:p w14:paraId="7B538D78" w14:textId="22DE8148" w:rsidR="00A25511" w:rsidRDefault="006802E0" w:rsidP="006802E0">
      <w:pPr>
        <w:rPr>
          <w:sz w:val="32"/>
          <w:szCs w:val="32"/>
        </w:rPr>
      </w:pPr>
      <w:r w:rsidRPr="006802E0">
        <w:rPr>
          <w:sz w:val="32"/>
          <w:szCs w:val="32"/>
        </w:rPr>
        <w:t>OLTP vs Data Warehouse</w:t>
      </w:r>
      <w:r w:rsidR="00A25511">
        <w:rPr>
          <w:sz w:val="32"/>
          <w:szCs w:val="32"/>
        </w:rPr>
        <w:t>…………………………………</w:t>
      </w:r>
      <w:r w:rsidR="00130235">
        <w:rPr>
          <w:sz w:val="32"/>
          <w:szCs w:val="32"/>
        </w:rPr>
        <w:t>.</w:t>
      </w:r>
      <w:r w:rsidR="00A25511">
        <w:rPr>
          <w:sz w:val="32"/>
          <w:szCs w:val="32"/>
        </w:rPr>
        <w:t>…</w:t>
      </w:r>
      <w:r w:rsidR="00130235">
        <w:rPr>
          <w:sz w:val="32"/>
          <w:szCs w:val="32"/>
        </w:rPr>
        <w:t xml:space="preserve">. </w:t>
      </w:r>
      <w:r w:rsidR="00A25511">
        <w:rPr>
          <w:sz w:val="32"/>
          <w:szCs w:val="32"/>
        </w:rPr>
        <w:t>page 4</w:t>
      </w:r>
    </w:p>
    <w:p w14:paraId="4691FA26" w14:textId="5D103F14" w:rsidR="00A25511" w:rsidRDefault="006802E0" w:rsidP="006802E0">
      <w:pPr>
        <w:rPr>
          <w:sz w:val="32"/>
          <w:szCs w:val="32"/>
        </w:rPr>
      </w:pPr>
      <w:r w:rsidRPr="006802E0">
        <w:rPr>
          <w:sz w:val="32"/>
          <w:szCs w:val="32"/>
        </w:rPr>
        <w:t>Data Warehouse Architecture &amp; ETL</w:t>
      </w:r>
      <w:r w:rsidR="00A25511">
        <w:rPr>
          <w:sz w:val="32"/>
          <w:szCs w:val="32"/>
        </w:rPr>
        <w:t>…………………</w:t>
      </w:r>
      <w:r w:rsidR="00130235">
        <w:rPr>
          <w:sz w:val="32"/>
          <w:szCs w:val="32"/>
        </w:rPr>
        <w:t>.</w:t>
      </w:r>
      <w:r w:rsidR="00A25511">
        <w:rPr>
          <w:sz w:val="32"/>
          <w:szCs w:val="32"/>
        </w:rPr>
        <w:t>…. page 5</w:t>
      </w:r>
      <w:r w:rsidR="00275AA4">
        <w:rPr>
          <w:sz w:val="32"/>
          <w:szCs w:val="32"/>
        </w:rPr>
        <w:t>-6</w:t>
      </w:r>
    </w:p>
    <w:p w14:paraId="647442F7" w14:textId="1D5CD3AC" w:rsidR="00A25511" w:rsidRDefault="006802E0" w:rsidP="006802E0">
      <w:pPr>
        <w:rPr>
          <w:sz w:val="32"/>
          <w:szCs w:val="32"/>
        </w:rPr>
      </w:pPr>
      <w:r w:rsidRPr="006802E0">
        <w:rPr>
          <w:sz w:val="32"/>
          <w:szCs w:val="32"/>
        </w:rPr>
        <w:t>Data Marts for Management Decision-Making</w:t>
      </w:r>
      <w:r w:rsidR="00A25511">
        <w:rPr>
          <w:sz w:val="32"/>
          <w:szCs w:val="32"/>
        </w:rPr>
        <w:t>…</w:t>
      </w:r>
      <w:r w:rsidR="0035074C">
        <w:rPr>
          <w:sz w:val="32"/>
          <w:szCs w:val="32"/>
        </w:rPr>
        <w:t>…</w:t>
      </w:r>
      <w:r w:rsidR="00130235">
        <w:rPr>
          <w:sz w:val="32"/>
          <w:szCs w:val="32"/>
        </w:rPr>
        <w:t>.…</w:t>
      </w:r>
      <w:r w:rsidR="0035074C">
        <w:rPr>
          <w:sz w:val="32"/>
          <w:szCs w:val="32"/>
        </w:rPr>
        <w:t>. page</w:t>
      </w:r>
      <w:r w:rsidR="00A25511">
        <w:rPr>
          <w:sz w:val="32"/>
          <w:szCs w:val="32"/>
        </w:rPr>
        <w:t xml:space="preserve"> </w:t>
      </w:r>
      <w:r w:rsidR="00275AA4">
        <w:rPr>
          <w:sz w:val="32"/>
          <w:szCs w:val="32"/>
        </w:rPr>
        <w:t>7-8</w:t>
      </w:r>
    </w:p>
    <w:p w14:paraId="5A4E3150" w14:textId="3675AF7D" w:rsidR="00A25511" w:rsidRDefault="0035074C" w:rsidP="006802E0">
      <w:pPr>
        <w:rPr>
          <w:sz w:val="32"/>
          <w:szCs w:val="32"/>
        </w:rPr>
      </w:pPr>
      <w:r w:rsidRPr="0035074C">
        <w:rPr>
          <w:sz w:val="32"/>
          <w:szCs w:val="32"/>
        </w:rPr>
        <w:t>OLTP Normalization vs Dimensional Modelling</w:t>
      </w:r>
      <w:r w:rsidR="00A25511">
        <w:rPr>
          <w:sz w:val="32"/>
          <w:szCs w:val="32"/>
        </w:rPr>
        <w:t>…</w:t>
      </w:r>
      <w:r w:rsidR="00130235">
        <w:rPr>
          <w:sz w:val="32"/>
          <w:szCs w:val="32"/>
        </w:rPr>
        <w:t>…... page</w:t>
      </w:r>
      <w:r w:rsidR="00A25511">
        <w:rPr>
          <w:sz w:val="32"/>
          <w:szCs w:val="32"/>
        </w:rPr>
        <w:t xml:space="preserve"> </w:t>
      </w:r>
      <w:r w:rsidR="00275AA4">
        <w:rPr>
          <w:sz w:val="32"/>
          <w:szCs w:val="32"/>
        </w:rPr>
        <w:t>8-9</w:t>
      </w:r>
    </w:p>
    <w:p w14:paraId="5844D024" w14:textId="1754201A" w:rsidR="00A25511" w:rsidRDefault="0035074C" w:rsidP="006802E0">
      <w:pPr>
        <w:rPr>
          <w:sz w:val="32"/>
          <w:szCs w:val="32"/>
        </w:rPr>
      </w:pPr>
      <w:r w:rsidRPr="0035074C">
        <w:rPr>
          <w:sz w:val="32"/>
          <w:szCs w:val="32"/>
        </w:rPr>
        <w:t>Source System Identification</w:t>
      </w:r>
      <w:r w:rsidR="00A25511">
        <w:rPr>
          <w:sz w:val="32"/>
          <w:szCs w:val="32"/>
        </w:rPr>
        <w:t>………</w:t>
      </w:r>
      <w:r>
        <w:rPr>
          <w:sz w:val="32"/>
          <w:szCs w:val="32"/>
        </w:rPr>
        <w:t>…………</w:t>
      </w:r>
      <w:r w:rsidR="00A25511">
        <w:rPr>
          <w:sz w:val="32"/>
          <w:szCs w:val="32"/>
        </w:rPr>
        <w:t>………</w:t>
      </w:r>
      <w:r w:rsidR="00130235">
        <w:rPr>
          <w:sz w:val="32"/>
          <w:szCs w:val="32"/>
        </w:rPr>
        <w:t>……… page</w:t>
      </w:r>
      <w:r w:rsidR="00A25511">
        <w:rPr>
          <w:sz w:val="32"/>
          <w:szCs w:val="32"/>
        </w:rPr>
        <w:t xml:space="preserve"> </w:t>
      </w:r>
      <w:r w:rsidR="00275AA4">
        <w:rPr>
          <w:sz w:val="32"/>
          <w:szCs w:val="32"/>
        </w:rPr>
        <w:t>9-10</w:t>
      </w:r>
    </w:p>
    <w:p w14:paraId="75FFCC79" w14:textId="1C43780A" w:rsidR="00A25511" w:rsidRDefault="0035074C" w:rsidP="006802E0">
      <w:pPr>
        <w:rPr>
          <w:sz w:val="32"/>
          <w:szCs w:val="32"/>
        </w:rPr>
      </w:pPr>
      <w:r w:rsidRPr="0035074C">
        <w:rPr>
          <w:sz w:val="32"/>
          <w:szCs w:val="32"/>
        </w:rPr>
        <w:t>Star Schema Design</w:t>
      </w:r>
      <w:r w:rsidR="00A25511">
        <w:rPr>
          <w:sz w:val="32"/>
          <w:szCs w:val="32"/>
        </w:rPr>
        <w:t>………………………………………</w:t>
      </w:r>
      <w:r w:rsidR="00130235">
        <w:rPr>
          <w:sz w:val="32"/>
          <w:szCs w:val="32"/>
        </w:rPr>
        <w:t>…….... page</w:t>
      </w:r>
      <w:r w:rsidR="00A25511">
        <w:rPr>
          <w:sz w:val="32"/>
          <w:szCs w:val="32"/>
        </w:rPr>
        <w:t xml:space="preserve"> </w:t>
      </w:r>
      <w:r w:rsidR="00275AA4">
        <w:rPr>
          <w:sz w:val="32"/>
          <w:szCs w:val="32"/>
        </w:rPr>
        <w:t>10</w:t>
      </w:r>
      <w:r w:rsidR="00DF574C">
        <w:rPr>
          <w:sz w:val="32"/>
          <w:szCs w:val="32"/>
        </w:rPr>
        <w:t>-1</w:t>
      </w:r>
      <w:r w:rsidR="00275AA4">
        <w:rPr>
          <w:sz w:val="32"/>
          <w:szCs w:val="32"/>
        </w:rPr>
        <w:t>2</w:t>
      </w:r>
    </w:p>
    <w:p w14:paraId="47CD5D79" w14:textId="377C1599" w:rsidR="00A25511" w:rsidRDefault="007E31FE" w:rsidP="006802E0">
      <w:pPr>
        <w:rPr>
          <w:sz w:val="32"/>
          <w:szCs w:val="32"/>
        </w:rPr>
      </w:pPr>
      <w:r w:rsidRPr="007E31FE">
        <w:rPr>
          <w:sz w:val="32"/>
          <w:szCs w:val="32"/>
        </w:rPr>
        <w:t>Data Marts</w:t>
      </w:r>
      <w:r w:rsidR="00A25511">
        <w:rPr>
          <w:sz w:val="32"/>
          <w:szCs w:val="32"/>
        </w:rPr>
        <w:t xml:space="preserve">……………………………………………………………page </w:t>
      </w:r>
      <w:r w:rsidR="00DF574C">
        <w:rPr>
          <w:sz w:val="32"/>
          <w:szCs w:val="32"/>
        </w:rPr>
        <w:t>1</w:t>
      </w:r>
      <w:r w:rsidR="00275AA4">
        <w:rPr>
          <w:sz w:val="32"/>
          <w:szCs w:val="32"/>
        </w:rPr>
        <w:t>3</w:t>
      </w:r>
    </w:p>
    <w:p w14:paraId="7B99D4A0" w14:textId="168FFDFD" w:rsidR="007E31FE" w:rsidRDefault="007E31FE" w:rsidP="006802E0">
      <w:pPr>
        <w:rPr>
          <w:sz w:val="32"/>
          <w:szCs w:val="32"/>
        </w:rPr>
      </w:pPr>
      <w:r w:rsidRPr="007E31FE">
        <w:rPr>
          <w:sz w:val="32"/>
          <w:szCs w:val="32"/>
        </w:rPr>
        <w:t>ETL Plan</w:t>
      </w:r>
      <w:r w:rsidR="00254BE3">
        <w:rPr>
          <w:sz w:val="32"/>
          <w:szCs w:val="32"/>
        </w:rPr>
        <w:t>………………………………………………………………</w:t>
      </w:r>
      <w:r w:rsidR="00130235">
        <w:rPr>
          <w:sz w:val="32"/>
          <w:szCs w:val="32"/>
        </w:rPr>
        <w:t xml:space="preserve"> page </w:t>
      </w:r>
      <w:r w:rsidR="00DF574C">
        <w:rPr>
          <w:sz w:val="32"/>
          <w:szCs w:val="32"/>
        </w:rPr>
        <w:t>1</w:t>
      </w:r>
      <w:r w:rsidR="00275AA4">
        <w:rPr>
          <w:sz w:val="32"/>
          <w:szCs w:val="32"/>
        </w:rPr>
        <w:t>3</w:t>
      </w:r>
    </w:p>
    <w:p w14:paraId="7352E5AE" w14:textId="2E14D97E" w:rsidR="00254BE3" w:rsidRDefault="00254BE3" w:rsidP="006802E0">
      <w:pPr>
        <w:rPr>
          <w:sz w:val="32"/>
          <w:szCs w:val="32"/>
        </w:rPr>
      </w:pPr>
      <w:r w:rsidRPr="00254BE3">
        <w:rPr>
          <w:sz w:val="32"/>
          <w:szCs w:val="32"/>
        </w:rPr>
        <w:t>Data Quality &amp; Governance</w:t>
      </w:r>
      <w:r>
        <w:rPr>
          <w:sz w:val="32"/>
          <w:szCs w:val="32"/>
        </w:rPr>
        <w:t>………………………………</w:t>
      </w:r>
      <w:r w:rsidR="00130235">
        <w:rPr>
          <w:sz w:val="32"/>
          <w:szCs w:val="32"/>
        </w:rPr>
        <w:t xml:space="preserve">…... page </w:t>
      </w:r>
      <w:r w:rsidR="00DF574C">
        <w:rPr>
          <w:sz w:val="32"/>
          <w:szCs w:val="32"/>
        </w:rPr>
        <w:t>1</w:t>
      </w:r>
      <w:r w:rsidR="00057C8B">
        <w:rPr>
          <w:sz w:val="32"/>
          <w:szCs w:val="32"/>
        </w:rPr>
        <w:t>4</w:t>
      </w:r>
    </w:p>
    <w:p w14:paraId="61BB9ED4" w14:textId="0212E2BA" w:rsidR="00254BE3" w:rsidRPr="00A25511" w:rsidRDefault="00254BE3" w:rsidP="006802E0">
      <w:pPr>
        <w:rPr>
          <w:sz w:val="32"/>
          <w:szCs w:val="32"/>
        </w:rPr>
      </w:pPr>
      <w:r w:rsidRPr="00254BE3">
        <w:rPr>
          <w:sz w:val="32"/>
          <w:szCs w:val="32"/>
        </w:rPr>
        <w:t>Conclusion</w:t>
      </w:r>
      <w:r w:rsidR="00130235">
        <w:rPr>
          <w:sz w:val="32"/>
          <w:szCs w:val="32"/>
        </w:rPr>
        <w:t xml:space="preserve">…………………………………………………………... page </w:t>
      </w:r>
      <w:r w:rsidR="00DF574C">
        <w:rPr>
          <w:sz w:val="32"/>
          <w:szCs w:val="32"/>
        </w:rPr>
        <w:t>1</w:t>
      </w:r>
      <w:r w:rsidR="00057C8B">
        <w:rPr>
          <w:sz w:val="32"/>
          <w:szCs w:val="32"/>
        </w:rPr>
        <w:t>4</w:t>
      </w:r>
    </w:p>
    <w:p w14:paraId="2C87BAE8" w14:textId="3C87C661" w:rsidR="00A25511" w:rsidRPr="00DA408F" w:rsidRDefault="00A25511" w:rsidP="006802E0">
      <w:pPr>
        <w:rPr>
          <w:sz w:val="32"/>
          <w:szCs w:val="32"/>
        </w:rPr>
      </w:pPr>
      <w:r w:rsidRPr="00DA408F">
        <w:rPr>
          <w:sz w:val="32"/>
          <w:szCs w:val="32"/>
        </w:rPr>
        <w:t>References</w:t>
      </w:r>
      <w:r>
        <w:rPr>
          <w:sz w:val="32"/>
          <w:szCs w:val="32"/>
        </w:rPr>
        <w:t xml:space="preserve">…………………………………………………………. page </w:t>
      </w:r>
      <w:r w:rsidR="00DF574C">
        <w:rPr>
          <w:sz w:val="32"/>
          <w:szCs w:val="32"/>
        </w:rPr>
        <w:t>1</w:t>
      </w:r>
      <w:r w:rsidR="00057C8B">
        <w:rPr>
          <w:sz w:val="32"/>
          <w:szCs w:val="32"/>
        </w:rPr>
        <w:t>5</w:t>
      </w:r>
    </w:p>
    <w:p w14:paraId="089136AB" w14:textId="77777777" w:rsidR="000618E9" w:rsidRDefault="000618E9" w:rsidP="006802E0">
      <w:pPr>
        <w:pStyle w:val="Title"/>
        <w:pBdr>
          <w:bottom w:val="none" w:sz="0" w:space="0" w:color="auto"/>
        </w:pBdr>
      </w:pPr>
    </w:p>
    <w:p w14:paraId="6A89C399" w14:textId="77777777" w:rsidR="000618E9" w:rsidRDefault="000618E9" w:rsidP="004F452C">
      <w:pPr>
        <w:pStyle w:val="Title"/>
        <w:pBdr>
          <w:bottom w:val="none" w:sz="0" w:space="0" w:color="auto"/>
        </w:pBdr>
      </w:pPr>
    </w:p>
    <w:p w14:paraId="21FAA20D" w14:textId="77777777" w:rsidR="000618E9" w:rsidRDefault="000618E9" w:rsidP="004F452C">
      <w:pPr>
        <w:pStyle w:val="Title"/>
        <w:pBdr>
          <w:bottom w:val="none" w:sz="0" w:space="0" w:color="auto"/>
        </w:pBdr>
      </w:pPr>
    </w:p>
    <w:p w14:paraId="3392FD80" w14:textId="77777777" w:rsidR="000618E9" w:rsidRDefault="000618E9" w:rsidP="004F452C">
      <w:pPr>
        <w:pStyle w:val="Title"/>
        <w:pBdr>
          <w:bottom w:val="none" w:sz="0" w:space="0" w:color="auto"/>
        </w:pBdr>
      </w:pPr>
    </w:p>
    <w:p w14:paraId="7E24CE3A" w14:textId="77777777" w:rsidR="0077724F" w:rsidRDefault="0077724F" w:rsidP="001E056C">
      <w:pPr>
        <w:rPr>
          <w:b/>
          <w:bCs/>
          <w:color w:val="4F81BD" w:themeColor="accent1"/>
          <w:sz w:val="32"/>
          <w:szCs w:val="32"/>
        </w:rPr>
      </w:pPr>
    </w:p>
    <w:p w14:paraId="38C32586" w14:textId="4B119F9B" w:rsidR="00E04C9E" w:rsidRDefault="00E04C9E" w:rsidP="001E056C">
      <w:pPr>
        <w:rPr>
          <w:b/>
          <w:bCs/>
          <w:color w:val="4F81BD" w:themeColor="accent1"/>
          <w:sz w:val="32"/>
          <w:szCs w:val="32"/>
        </w:rPr>
      </w:pPr>
      <w:r>
        <w:rPr>
          <w:b/>
          <w:bCs/>
          <w:color w:val="4F81BD" w:themeColor="accent1"/>
          <w:sz w:val="32"/>
          <w:szCs w:val="32"/>
        </w:rPr>
        <w:lastRenderedPageBreak/>
        <w:t xml:space="preserve">Abstract </w:t>
      </w:r>
    </w:p>
    <w:p w14:paraId="14451C01" w14:textId="2D2EAA70" w:rsidR="00E04C9E" w:rsidRPr="00390B3E" w:rsidRDefault="00F81ABB" w:rsidP="00F81ABB">
      <w:pPr>
        <w:jc w:val="both"/>
        <w:rPr>
          <w:lang w:val="en-GB"/>
        </w:rPr>
      </w:pPr>
      <w:r w:rsidRPr="00F81ABB">
        <w:t>This</w:t>
      </w:r>
      <w:r w:rsidR="006F7899">
        <w:t xml:space="preserve"> </w:t>
      </w:r>
      <w:r w:rsidRPr="00F81ABB">
        <w:t>report proposes a strategic enterprise data warehouse for NHS England. The solution addresses the fragmented nature of operational, workforce, financial and clinical data currently stored across multiple systems. By integrating information from Electronic Patient Records, Patient Administration Systems, workforce platforms, financial applications and specialist clinical systems, NHS England can establish a single-trusted source of information for strategic decision-making. The proposed warehouse will support operational efficiency, patient flow management, workforce planning, financial control and quality improvement. Tailored data marts provide focused information for executives while maintaining consistency across the organization. The report also presents a dimensional modelling approach, ETL framework and governance strategy that enables secure, reliable and scalable analytics without disrupting healthcare operations.</w:t>
      </w:r>
    </w:p>
    <w:p w14:paraId="5085B3F2" w14:textId="77777777" w:rsidR="00F81ABB" w:rsidRPr="00F81ABB" w:rsidRDefault="00F81ABB" w:rsidP="001E056C"/>
    <w:p w14:paraId="5EE6FF43" w14:textId="77777777" w:rsidR="00E961E1" w:rsidRDefault="00E961E1" w:rsidP="001E056C">
      <w:pPr>
        <w:rPr>
          <w:b/>
          <w:bCs/>
          <w:color w:val="4F81BD" w:themeColor="accent1"/>
          <w:sz w:val="32"/>
          <w:szCs w:val="32"/>
        </w:rPr>
      </w:pPr>
    </w:p>
    <w:p w14:paraId="2A5039AE" w14:textId="77777777" w:rsidR="00E961E1" w:rsidRDefault="00E961E1" w:rsidP="001E056C">
      <w:pPr>
        <w:rPr>
          <w:b/>
          <w:bCs/>
          <w:color w:val="4F81BD" w:themeColor="accent1"/>
          <w:sz w:val="32"/>
          <w:szCs w:val="32"/>
        </w:rPr>
      </w:pPr>
    </w:p>
    <w:p w14:paraId="3980FDC0" w14:textId="77777777" w:rsidR="00E961E1" w:rsidRDefault="00E961E1" w:rsidP="001E056C">
      <w:pPr>
        <w:rPr>
          <w:b/>
          <w:bCs/>
          <w:color w:val="4F81BD" w:themeColor="accent1"/>
          <w:sz w:val="32"/>
          <w:szCs w:val="32"/>
        </w:rPr>
      </w:pPr>
    </w:p>
    <w:p w14:paraId="47C41EDE" w14:textId="77777777" w:rsidR="00E961E1" w:rsidRDefault="00E961E1" w:rsidP="001E056C">
      <w:pPr>
        <w:rPr>
          <w:b/>
          <w:bCs/>
          <w:color w:val="4F81BD" w:themeColor="accent1"/>
          <w:sz w:val="32"/>
          <w:szCs w:val="32"/>
        </w:rPr>
      </w:pPr>
    </w:p>
    <w:p w14:paraId="5975D592" w14:textId="77777777" w:rsidR="00E961E1" w:rsidRDefault="00E961E1" w:rsidP="001E056C">
      <w:pPr>
        <w:rPr>
          <w:b/>
          <w:bCs/>
          <w:color w:val="4F81BD" w:themeColor="accent1"/>
          <w:sz w:val="32"/>
          <w:szCs w:val="32"/>
        </w:rPr>
      </w:pPr>
    </w:p>
    <w:p w14:paraId="47A2DC16" w14:textId="77777777" w:rsidR="00E961E1" w:rsidRDefault="00E961E1" w:rsidP="001E056C">
      <w:pPr>
        <w:rPr>
          <w:b/>
          <w:bCs/>
          <w:color w:val="4F81BD" w:themeColor="accent1"/>
          <w:sz w:val="32"/>
          <w:szCs w:val="32"/>
        </w:rPr>
      </w:pPr>
    </w:p>
    <w:p w14:paraId="777C2B66" w14:textId="77777777" w:rsidR="00E961E1" w:rsidRDefault="00E961E1" w:rsidP="001E056C">
      <w:pPr>
        <w:rPr>
          <w:b/>
          <w:bCs/>
          <w:color w:val="4F81BD" w:themeColor="accent1"/>
          <w:sz w:val="32"/>
          <w:szCs w:val="32"/>
        </w:rPr>
      </w:pPr>
    </w:p>
    <w:p w14:paraId="35BB3CF7" w14:textId="77777777" w:rsidR="00E961E1" w:rsidRDefault="00E961E1" w:rsidP="001E056C">
      <w:pPr>
        <w:rPr>
          <w:b/>
          <w:bCs/>
          <w:color w:val="4F81BD" w:themeColor="accent1"/>
          <w:sz w:val="32"/>
          <w:szCs w:val="32"/>
        </w:rPr>
      </w:pPr>
    </w:p>
    <w:p w14:paraId="13C087AD" w14:textId="77777777" w:rsidR="00E961E1" w:rsidRDefault="00E961E1" w:rsidP="001E056C">
      <w:pPr>
        <w:rPr>
          <w:b/>
          <w:bCs/>
          <w:color w:val="4F81BD" w:themeColor="accent1"/>
          <w:sz w:val="32"/>
          <w:szCs w:val="32"/>
        </w:rPr>
      </w:pPr>
    </w:p>
    <w:p w14:paraId="16933457" w14:textId="77777777" w:rsidR="00E961E1" w:rsidRDefault="00E961E1" w:rsidP="001E056C">
      <w:pPr>
        <w:rPr>
          <w:b/>
          <w:bCs/>
          <w:color w:val="4F81BD" w:themeColor="accent1"/>
          <w:sz w:val="32"/>
          <w:szCs w:val="32"/>
        </w:rPr>
      </w:pPr>
    </w:p>
    <w:p w14:paraId="78A331F8" w14:textId="77777777" w:rsidR="00E961E1" w:rsidRDefault="00E961E1" w:rsidP="001E056C">
      <w:pPr>
        <w:rPr>
          <w:b/>
          <w:bCs/>
          <w:color w:val="4F81BD" w:themeColor="accent1"/>
          <w:sz w:val="32"/>
          <w:szCs w:val="32"/>
        </w:rPr>
      </w:pPr>
    </w:p>
    <w:p w14:paraId="312C6CBC" w14:textId="77777777" w:rsidR="00E961E1" w:rsidRDefault="00E961E1" w:rsidP="001E056C">
      <w:pPr>
        <w:rPr>
          <w:b/>
          <w:bCs/>
          <w:color w:val="4F81BD" w:themeColor="accent1"/>
          <w:sz w:val="32"/>
          <w:szCs w:val="32"/>
        </w:rPr>
      </w:pPr>
    </w:p>
    <w:p w14:paraId="0C689FA8" w14:textId="77777777" w:rsidR="00E961E1" w:rsidRDefault="00E961E1" w:rsidP="001E056C">
      <w:pPr>
        <w:rPr>
          <w:b/>
          <w:bCs/>
          <w:color w:val="4F81BD" w:themeColor="accent1"/>
          <w:sz w:val="32"/>
          <w:szCs w:val="32"/>
        </w:rPr>
      </w:pPr>
    </w:p>
    <w:p w14:paraId="39076333" w14:textId="1054485C" w:rsidR="00FC47E5" w:rsidRPr="00E9665A" w:rsidRDefault="007355EF" w:rsidP="001E056C">
      <w:pPr>
        <w:rPr>
          <w:b/>
          <w:bCs/>
          <w:color w:val="4F81BD" w:themeColor="accent1"/>
          <w:sz w:val="32"/>
          <w:szCs w:val="32"/>
        </w:rPr>
      </w:pPr>
      <w:r w:rsidRPr="00E9665A">
        <w:rPr>
          <w:b/>
          <w:bCs/>
          <w:color w:val="4F81BD" w:themeColor="accent1"/>
          <w:sz w:val="32"/>
          <w:szCs w:val="32"/>
        </w:rPr>
        <w:lastRenderedPageBreak/>
        <w:t>Introduction</w:t>
      </w:r>
    </w:p>
    <w:p w14:paraId="6B75779D" w14:textId="508F5B96" w:rsidR="00FC47E5" w:rsidRDefault="007355EF" w:rsidP="00393688">
      <w:pPr>
        <w:jc w:val="both"/>
      </w:pPr>
      <w:r>
        <w:t xml:space="preserve">NHS England manages one of the most complex healthcare environments in the world. Healthcare services are delivered through hospitals, community providers, specialist </w:t>
      </w:r>
      <w:r w:rsidR="00146472">
        <w:t>centers</w:t>
      </w:r>
      <w:r>
        <w:t xml:space="preserve"> and Integrated Care Systems. Although operational systems perform effectively within individual </w:t>
      </w:r>
      <w:r w:rsidR="00E12AD6">
        <w:t>organizations</w:t>
      </w:r>
      <w:r>
        <w:t xml:space="preserve">, information is often fragmented and difficult to </w:t>
      </w:r>
      <w:r w:rsidR="00E12AD6">
        <w:t>analyze</w:t>
      </w:r>
      <w:r>
        <w:t xml:space="preserve"> collectively. This creates challenges when attempting to monitor performance nationally or make evidence-based decisions. A strategic data warehouse provides a solution by consolidating information from multiple systems into a unified analytical platform. The following report explains how a data warehouse can support NHS England’s objectives and improve healthcare delivery across England.</w:t>
      </w:r>
    </w:p>
    <w:p w14:paraId="1B4D15F4" w14:textId="77777777" w:rsidR="00DC46B4" w:rsidRDefault="00DC46B4" w:rsidP="001E056C">
      <w:pPr>
        <w:rPr>
          <w:b/>
          <w:bCs/>
          <w:sz w:val="32"/>
          <w:szCs w:val="32"/>
        </w:rPr>
      </w:pPr>
    </w:p>
    <w:p w14:paraId="147AA4F2" w14:textId="27B664FD" w:rsidR="00FC47E5" w:rsidRPr="00E9665A" w:rsidRDefault="007355EF" w:rsidP="001E056C">
      <w:pPr>
        <w:rPr>
          <w:b/>
          <w:bCs/>
          <w:color w:val="4F81BD" w:themeColor="accent1"/>
          <w:sz w:val="32"/>
          <w:szCs w:val="32"/>
        </w:rPr>
      </w:pPr>
      <w:r w:rsidRPr="00E9665A">
        <w:rPr>
          <w:b/>
          <w:bCs/>
          <w:color w:val="4F81BD" w:themeColor="accent1"/>
          <w:sz w:val="32"/>
          <w:szCs w:val="32"/>
        </w:rPr>
        <w:t>OLTP vs Data Warehouse</w:t>
      </w:r>
    </w:p>
    <w:p w14:paraId="40168266" w14:textId="1BBFEA86" w:rsidR="00FC47E5" w:rsidRDefault="007355EF" w:rsidP="00393688">
      <w:pPr>
        <w:jc w:val="both"/>
      </w:pPr>
      <w:r>
        <w:t>Online Transaction Processing systems are designed to support day-to-day healthcare activities</w:t>
      </w:r>
      <w:r w:rsidR="008427DE">
        <w:t xml:space="preserve"> [1]</w:t>
      </w:r>
      <w:r>
        <w:t xml:space="preserve">. NHS England relies on systems such as EPR platforms, PAS applications, workforce systems and finance systems to process thousands of transactions every day. Examples include patient admissions, appointment bookings, diagnostic requests, discharge records and payroll transactions. These systems </w:t>
      </w:r>
      <w:r w:rsidR="002169DE">
        <w:t>prioritize</w:t>
      </w:r>
      <w:r>
        <w:t xml:space="preserve"> speed, availability, security and accuracy because they directly support clinical and operational processes.</w:t>
      </w:r>
      <w:r>
        <w:br/>
      </w:r>
      <w:r>
        <w:br/>
        <w:t xml:space="preserve">A data warehouse serves a different purpose. Instead of processing individual transactions, it consolidates data from multiple systems and </w:t>
      </w:r>
      <w:r w:rsidR="002169DE">
        <w:t>organizes</w:t>
      </w:r>
      <w:r>
        <w:t xml:space="preserve"> it for analysis</w:t>
      </w:r>
      <w:r w:rsidR="00DC439F">
        <w:t xml:space="preserve"> as per Fig.1</w:t>
      </w:r>
      <w:r w:rsidR="00D803B8">
        <w:t xml:space="preserve"> [2]</w:t>
      </w:r>
      <w:r>
        <w:t xml:space="preserve">. Information is stored historically, enabling long-term trend analysis and strategic reporting. Rather than asking what happened to a specific patient today, leaders can </w:t>
      </w:r>
      <w:r w:rsidR="002169DE">
        <w:t>analyze</w:t>
      </w:r>
      <w:r>
        <w:t xml:space="preserve"> patterns across years, </w:t>
      </w:r>
      <w:r w:rsidR="002169DE">
        <w:t>organizations</w:t>
      </w:r>
      <w:r>
        <w:t xml:space="preserve"> and regions.</w:t>
      </w:r>
      <w:r>
        <w:br/>
      </w:r>
      <w:r>
        <w:br/>
        <w:t xml:space="preserve">OLTP systems are highly efficient for operational tasks but are not </w:t>
      </w:r>
      <w:r w:rsidR="00743526">
        <w:t>optimized</w:t>
      </w:r>
      <w:r>
        <w:t xml:space="preserve"> for analytical workloads. Complex reporting can reduce </w:t>
      </w:r>
      <w:r w:rsidR="002169DE">
        <w:t>performance,</w:t>
      </w:r>
      <w:r>
        <w:t xml:space="preserve"> and operational databases often contain inconsistent formats across </w:t>
      </w:r>
      <w:r w:rsidR="00743526">
        <w:t>organizations</w:t>
      </w:r>
      <w:r>
        <w:t>. A data warehouse overcomes these limitations by integrating information into a common structure.</w:t>
      </w:r>
      <w:r>
        <w:br/>
      </w:r>
      <w:r>
        <w:br/>
        <w:t xml:space="preserve">For NHS England, the warehouse would enable executives to monitor bed occupancy, referral-to-treatment performance, workforce shortages, elective backlogs, patient outcomes and financial sustainability through a single source. Consequently, OLTP systems continue supporting healthcare delivery while the warehouse supports strategic management and </w:t>
      </w:r>
      <w:r w:rsidR="00B37099">
        <w:t>organizational</w:t>
      </w:r>
      <w:r>
        <w:t xml:space="preserve"> improvement.</w:t>
      </w:r>
    </w:p>
    <w:p w14:paraId="2B17A09F" w14:textId="77777777" w:rsidR="007C1332" w:rsidRDefault="007C1332" w:rsidP="001E056C">
      <w:pPr>
        <w:rPr>
          <w:b/>
          <w:bCs/>
          <w:sz w:val="32"/>
          <w:szCs w:val="32"/>
        </w:rPr>
      </w:pPr>
    </w:p>
    <w:p w14:paraId="73FBF14E" w14:textId="77777777" w:rsidR="00C92E75" w:rsidRDefault="00C92E75" w:rsidP="001E056C">
      <w:pPr>
        <w:rPr>
          <w:b/>
          <w:bCs/>
          <w:color w:val="4F81BD" w:themeColor="accent1"/>
          <w:sz w:val="32"/>
          <w:szCs w:val="32"/>
        </w:rPr>
      </w:pPr>
    </w:p>
    <w:p w14:paraId="3A955C85" w14:textId="73829786" w:rsidR="00FC47E5" w:rsidRPr="00C92E75" w:rsidRDefault="007355EF" w:rsidP="001E056C">
      <w:pPr>
        <w:rPr>
          <w:b/>
          <w:bCs/>
          <w:color w:val="4F81BD" w:themeColor="accent1"/>
          <w:sz w:val="36"/>
          <w:szCs w:val="36"/>
        </w:rPr>
      </w:pPr>
      <w:r w:rsidRPr="00C92E75">
        <w:rPr>
          <w:b/>
          <w:bCs/>
          <w:color w:val="4F81BD" w:themeColor="accent1"/>
          <w:sz w:val="36"/>
          <w:szCs w:val="36"/>
        </w:rPr>
        <w:lastRenderedPageBreak/>
        <w:t>Data Warehouse Architecture &amp; ETL</w:t>
      </w:r>
    </w:p>
    <w:p w14:paraId="799B5B0E" w14:textId="77777777" w:rsidR="00C92E75" w:rsidRDefault="00C92E75" w:rsidP="00393688">
      <w:pPr>
        <w:pStyle w:val="NormalWeb"/>
        <w:jc w:val="both"/>
      </w:pPr>
    </w:p>
    <w:p w14:paraId="114CB0AC" w14:textId="23652078" w:rsidR="00D601CD" w:rsidRDefault="00D601CD" w:rsidP="00393688">
      <w:pPr>
        <w:pStyle w:val="NormalWeb"/>
        <w:jc w:val="both"/>
      </w:pPr>
      <w:r>
        <w:t>The recommended architecture for NHS England’s proposed data warehouse follows a multi-layered enterprise design that supports the integration of data from numerous healthcare systems while ensuring operational continuity. This architecture is designed to provide a single, trusted source of information for decision-making, performance monitoring, and strategic planning across the NHS</w:t>
      </w:r>
      <w:r w:rsidR="00CE32A1">
        <w:t xml:space="preserve"> </w:t>
      </w:r>
      <w:r w:rsidR="009A7412">
        <w:t>[</w:t>
      </w:r>
      <w:r w:rsidR="00366160">
        <w:t>2</w:t>
      </w:r>
      <w:r w:rsidR="009A7412">
        <w:t>]</w:t>
      </w:r>
      <w:r>
        <w:t>. The architecture consists of source systems, a staging area, ETL processes, an enterprise data warehouse, and subject-specific data marts.</w:t>
      </w:r>
    </w:p>
    <w:p w14:paraId="46225EB9" w14:textId="77777777" w:rsidR="00D601CD" w:rsidRDefault="00D601CD" w:rsidP="00393688">
      <w:pPr>
        <w:pStyle w:val="NormalWeb"/>
        <w:jc w:val="both"/>
      </w:pPr>
      <w:r>
        <w:t>At the lowest level are the operational source systems that support day-to-day healthcare activities. These include Electronic Patient Record (EPR) systems, Patient Administration Systems (PAS), workforce management applications, financial systems, laboratory information systems, radiology systems, and quality management platforms. Each system serves a specific operational purpose and acts as the authoritative source of data for its respective function. These systems remain independent and continue to process transactions efficiently without modification.</w:t>
      </w:r>
    </w:p>
    <w:p w14:paraId="2F98A770" w14:textId="75D120E4" w:rsidR="00D601CD" w:rsidRDefault="00D601CD" w:rsidP="00393688">
      <w:pPr>
        <w:pStyle w:val="NormalWeb"/>
        <w:jc w:val="both"/>
      </w:pPr>
      <w:r>
        <w:t>Data from these operational systems is extracted into a staging area. The staging layer acts as a temporary repository where raw data from different sources is consolidated before being integrated into the data warehouse. This layer is critical because it separates operational systems from analytical processes, reducing risks and preventing performance degradation. The staging area also provides a controlled environment where data can be checked, validated, and prepared for further processing</w:t>
      </w:r>
      <w:r w:rsidR="0032390A">
        <w:t xml:space="preserve"> [</w:t>
      </w:r>
      <w:r w:rsidR="007D7092">
        <w:t>3</w:t>
      </w:r>
      <w:r w:rsidR="0032390A">
        <w:t>]</w:t>
      </w:r>
      <w:r>
        <w:t>.</w:t>
      </w:r>
    </w:p>
    <w:p w14:paraId="0E5C516D" w14:textId="1A95F04D" w:rsidR="00D601CD" w:rsidRDefault="00D601CD" w:rsidP="00393688">
      <w:pPr>
        <w:pStyle w:val="NormalWeb"/>
        <w:jc w:val="both"/>
      </w:pPr>
      <w:r>
        <w:t xml:space="preserve">The transformation layer applies a range of business rules and data quality procedures to ensure consistency and reliability. Duplicate patient records are identified and removed, coding standards such as ICD-10 diagnosis codes are aligned, and organisational identifiers are standardised across NHS trusts and regions. NHS </w:t>
      </w:r>
      <w:r w:rsidR="000E6E13">
        <w:t>numbers</w:t>
      </w:r>
      <w:r>
        <w:t xml:space="preserve"> are validated, incomplete records are investigated, and data from workforce, financial, and clinical systems is converted into a common format suitable for enterprise-wide analysis. These transformation activities ensure that data from different sources can be compared accurately and used confidently by decision-makers</w:t>
      </w:r>
      <w:r w:rsidR="00240672">
        <w:t xml:space="preserve"> [</w:t>
      </w:r>
      <w:r w:rsidR="0073524C">
        <w:t>4</w:t>
      </w:r>
      <w:r w:rsidR="00240672">
        <w:t>]</w:t>
      </w:r>
      <w:r>
        <w:t>.</w:t>
      </w:r>
    </w:p>
    <w:p w14:paraId="47AA95EF" w14:textId="23148FEB" w:rsidR="005F4A7C" w:rsidRDefault="00D601CD" w:rsidP="00393688">
      <w:pPr>
        <w:pStyle w:val="NormalWeb"/>
        <w:jc w:val="both"/>
      </w:pPr>
      <w:r>
        <w:t>Following transformation, the cleansed and integrated data is loaded into the enterprise data warehouse</w:t>
      </w:r>
      <w:r w:rsidR="00547D75">
        <w:t xml:space="preserve"> as </w:t>
      </w:r>
      <w:r w:rsidR="004C7CBE">
        <w:t>showed in Fig.1.</w:t>
      </w:r>
      <w:r>
        <w:t xml:space="preserve"> The warehouse stores historical and current information organised around key business subjects such as patients, hospitals, clinical services, workforce performance, finance, and quality outcomes. From this central repository, specialised data marts can be developed to meet the reporting needs of executives, finance teams, and clinical leaders.</w:t>
      </w:r>
    </w:p>
    <w:p w14:paraId="03A62D5B" w14:textId="3255F33D" w:rsidR="0073109A" w:rsidRDefault="005F4A7C" w:rsidP="00393688">
      <w:pPr>
        <w:pStyle w:val="NormalWeb"/>
        <w:jc w:val="both"/>
      </w:pPr>
      <w:r>
        <w:rPr>
          <w:noProof/>
        </w:rPr>
        <w:lastRenderedPageBreak/>
        <w:drawing>
          <wp:anchor distT="0" distB="0" distL="114300" distR="114300" simplePos="0" relativeHeight="251661312" behindDoc="1" locked="0" layoutInCell="1" allowOverlap="1" wp14:anchorId="3C93C14E" wp14:editId="5A9C2FA2">
            <wp:simplePos x="0" y="0"/>
            <wp:positionH relativeFrom="column">
              <wp:posOffset>-533400</wp:posOffset>
            </wp:positionH>
            <wp:positionV relativeFrom="paragraph">
              <wp:posOffset>1610360</wp:posOffset>
            </wp:positionV>
            <wp:extent cx="6614160" cy="3954780"/>
            <wp:effectExtent l="0" t="0" r="0" b="7620"/>
            <wp:wrapTight wrapText="bothSides">
              <wp:wrapPolygon edited="0">
                <wp:start x="0" y="0"/>
                <wp:lineTo x="0" y="21538"/>
                <wp:lineTo x="21525" y="21538"/>
                <wp:lineTo x="21525" y="0"/>
                <wp:lineTo x="0" y="0"/>
              </wp:wrapPolygon>
            </wp:wrapTight>
            <wp:docPr id="7244105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14160" cy="3954780"/>
                    </a:xfrm>
                    <a:prstGeom prst="rect">
                      <a:avLst/>
                    </a:prstGeom>
                    <a:noFill/>
                  </pic:spPr>
                </pic:pic>
              </a:graphicData>
            </a:graphic>
            <wp14:sizeRelH relativeFrom="margin">
              <wp14:pctWidth>0</wp14:pctWidth>
            </wp14:sizeRelH>
            <wp14:sizeRelV relativeFrom="margin">
              <wp14:pctHeight>0</wp14:pctHeight>
            </wp14:sizeRelV>
          </wp:anchor>
        </w:drawing>
      </w:r>
      <w:r w:rsidR="00D601CD">
        <w:t>A key advantage of this architecture is that it does not disrupt healthcare services. ETL processes operate in a read-only manner, meaning operational systems continue functioning normally while copies of data are extracted. Data extraction can occur overnight or through incremental updates that minimise system load. As a result, NHS England can achieve a comprehensive, near real-time view of performance across regions, enabling leaders to identify bottlenecks, monitor capacity, improve patient outcomes, and support evidence-based decision-making without affecting frontline healthcare delivery</w:t>
      </w:r>
      <w:r w:rsidR="000C021D">
        <w:t xml:space="preserve"> [</w:t>
      </w:r>
      <w:r w:rsidR="0073524C">
        <w:t>5</w:t>
      </w:r>
      <w:r w:rsidR="000C021D">
        <w:t>]</w:t>
      </w:r>
      <w:r w:rsidR="00D601CD">
        <w:t>.</w:t>
      </w:r>
    </w:p>
    <w:p w14:paraId="79614453" w14:textId="4938A4E7" w:rsidR="00393688" w:rsidRDefault="00393688" w:rsidP="00393688">
      <w:pPr>
        <w:pStyle w:val="Caption"/>
      </w:pPr>
    </w:p>
    <w:p w14:paraId="7ED63848" w14:textId="77777777" w:rsidR="006F7899" w:rsidRDefault="006F7899" w:rsidP="006F7899">
      <w:pPr>
        <w:pStyle w:val="Caption"/>
      </w:pPr>
    </w:p>
    <w:p w14:paraId="7B3A2175" w14:textId="77777777" w:rsidR="006F7899" w:rsidRDefault="006F7899" w:rsidP="006F7899">
      <w:pPr>
        <w:pStyle w:val="Caption"/>
      </w:pPr>
      <w:r>
        <w:t xml:space="preserve">Figure </w:t>
      </w:r>
      <w:fldSimple w:instr=" SEQ Figure \* ARABIC ">
        <w:r>
          <w:rPr>
            <w:noProof/>
          </w:rPr>
          <w:t>1</w:t>
        </w:r>
      </w:fldSimple>
      <w:r>
        <w:t xml:space="preserve"> </w:t>
      </w:r>
      <w:r w:rsidRPr="00883D0D">
        <w:t>Data Warehouse Architecture &amp; ETL</w:t>
      </w:r>
    </w:p>
    <w:p w14:paraId="7DA3FB80" w14:textId="77777777" w:rsidR="008C57C4" w:rsidRPr="008C57C4" w:rsidRDefault="008C57C4" w:rsidP="008C57C4"/>
    <w:p w14:paraId="21EE1F99" w14:textId="77777777" w:rsidR="008E0016" w:rsidRDefault="008E0016" w:rsidP="001E056C">
      <w:pPr>
        <w:rPr>
          <w:b/>
          <w:bCs/>
          <w:color w:val="4F81BD" w:themeColor="accent1"/>
          <w:sz w:val="32"/>
          <w:szCs w:val="32"/>
        </w:rPr>
      </w:pPr>
    </w:p>
    <w:p w14:paraId="5304E204" w14:textId="77777777" w:rsidR="008E0016" w:rsidRDefault="008E0016" w:rsidP="001E056C">
      <w:pPr>
        <w:rPr>
          <w:b/>
          <w:bCs/>
          <w:color w:val="4F81BD" w:themeColor="accent1"/>
          <w:sz w:val="32"/>
          <w:szCs w:val="32"/>
        </w:rPr>
      </w:pPr>
    </w:p>
    <w:p w14:paraId="5817ECC2" w14:textId="77777777" w:rsidR="008E0016" w:rsidRDefault="008E0016" w:rsidP="001E056C">
      <w:pPr>
        <w:rPr>
          <w:b/>
          <w:bCs/>
          <w:color w:val="4F81BD" w:themeColor="accent1"/>
          <w:sz w:val="32"/>
          <w:szCs w:val="32"/>
        </w:rPr>
      </w:pPr>
    </w:p>
    <w:p w14:paraId="1CD860A6" w14:textId="77777777" w:rsidR="008E0016" w:rsidRDefault="008E0016" w:rsidP="001E056C">
      <w:pPr>
        <w:rPr>
          <w:b/>
          <w:bCs/>
          <w:color w:val="4F81BD" w:themeColor="accent1"/>
          <w:sz w:val="32"/>
          <w:szCs w:val="32"/>
        </w:rPr>
      </w:pPr>
    </w:p>
    <w:p w14:paraId="67EC630F" w14:textId="28E2B8CD" w:rsidR="00FC47E5" w:rsidRPr="008E0016" w:rsidRDefault="007355EF" w:rsidP="001E056C">
      <w:pPr>
        <w:rPr>
          <w:b/>
          <w:bCs/>
          <w:color w:val="4F81BD" w:themeColor="accent1"/>
          <w:sz w:val="36"/>
          <w:szCs w:val="36"/>
        </w:rPr>
      </w:pPr>
      <w:r w:rsidRPr="008E0016">
        <w:rPr>
          <w:b/>
          <w:bCs/>
          <w:color w:val="4F81BD" w:themeColor="accent1"/>
          <w:sz w:val="36"/>
          <w:szCs w:val="36"/>
        </w:rPr>
        <w:lastRenderedPageBreak/>
        <w:t>Data Marts for Management Decision-Making</w:t>
      </w:r>
    </w:p>
    <w:p w14:paraId="5AAB0433" w14:textId="4F2E7032" w:rsidR="00D601CD" w:rsidRDefault="00D601CD" w:rsidP="00393688">
      <w:pPr>
        <w:pStyle w:val="NormalWeb"/>
        <w:jc w:val="both"/>
      </w:pPr>
      <w:r>
        <w:t>Data marts are specialised subsets of the enterprise data warehouse that are designed to meet the information needs of specific user groups within NHS England. Rather than requiring managers and executives to navigate a large and complex enterprise-wide database, data marts provide focused access to relevant information that supports efficient reporting, analysis, and decision-making. While each data mart serves a different purpose, they all draw data from the same central warehouse, ensuring consistency, accuracy, and a single version of the truth across the organisation.</w:t>
      </w:r>
    </w:p>
    <w:p w14:paraId="6DCD0180" w14:textId="6A65DD3E" w:rsidR="00D601CD" w:rsidRDefault="00D601CD" w:rsidP="00393688">
      <w:pPr>
        <w:pStyle w:val="NormalWeb"/>
        <w:jc w:val="both"/>
      </w:pPr>
      <w:r>
        <w:t>The Chief Executive requires a strategic performance data mart that provides a comprehensive overview of healthcare delivery and organisational performance across England. This mart should include key performance indicators such as referral-to-treatment (RTT) waiting times, emergency department performance, elective care backlogs, bed occupancy rates, patient outcomes, workforce capacity, and financial performance measures. Data should be available at national, regional, and provider levels to enable benchmarking and trend analysis. Interactive dashboards would allow the Chief Executive and senior leadership team to identify underperforming areas, monitor progress against national targets, and support long-term strategic planning</w:t>
      </w:r>
      <w:r w:rsidR="00C55AC0">
        <w:t xml:space="preserve"> [</w:t>
      </w:r>
      <w:r w:rsidR="00367534">
        <w:t>6</w:t>
      </w:r>
      <w:r w:rsidR="00C55AC0">
        <w:t>]</w:t>
      </w:r>
      <w:r>
        <w:t>.</w:t>
      </w:r>
    </w:p>
    <w:p w14:paraId="6CBF77B2" w14:textId="5DB26E2B" w:rsidR="00D601CD" w:rsidRDefault="00D601CD" w:rsidP="00393688">
      <w:pPr>
        <w:pStyle w:val="NormalWeb"/>
        <w:jc w:val="both"/>
      </w:pPr>
      <w:r>
        <w:t xml:space="preserve">The Finance Director requires a dedicated finance data mart focused on financial management and resource allocation. This mart should integrate information relating to budgets, expenditure, national tariff income, service-line costs, workforce expenditure, and cost-per-patient metrics. Financial data could be analysed by NHS Trust, specialty, service type, region, and </w:t>
      </w:r>
      <w:r w:rsidR="00551E42">
        <w:t>time</w:t>
      </w:r>
      <w:r>
        <w:t>. Historical and current financial trends would support forecasting, budgeting, and investment decisions. Predictive analytics could also be incorporated to help identify future financial pressures and opportunities for cost optimisation while maintaining service quality</w:t>
      </w:r>
      <w:r w:rsidR="00C55AC0">
        <w:t xml:space="preserve"> [</w:t>
      </w:r>
      <w:r w:rsidR="00367534">
        <w:t>7</w:t>
      </w:r>
      <w:r w:rsidR="00C55AC0">
        <w:t>]</w:t>
      </w:r>
      <w:r>
        <w:t>.</w:t>
      </w:r>
    </w:p>
    <w:p w14:paraId="085FCC99" w14:textId="77777777" w:rsidR="00D601CD" w:rsidRDefault="00D601CD" w:rsidP="00393688">
      <w:pPr>
        <w:pStyle w:val="NormalWeb"/>
        <w:jc w:val="both"/>
      </w:pPr>
      <w:r>
        <w:t>The Medical Director requires a clinical quality data mart that focuses on patient outcomes and quality-of-care indicators. This mart should contain measures such as mortality rates, readmission rates, hospital-acquired infection statistics, patient safety incidents, treatment effectiveness indicators, and patient satisfaction scores. By analysing these metrics across specialties, hospitals, and regions, clinical leaders can identify variations in care quality, investigate root causes of poor performance, and implement targeted quality improvement initiatives. The mart would also support compliance monitoring against national clinical standards and regulatory requirements.</w:t>
      </w:r>
    </w:p>
    <w:p w14:paraId="5E38B078" w14:textId="0E5B08B4" w:rsidR="00D601CD" w:rsidRDefault="00D601CD" w:rsidP="00393688">
      <w:pPr>
        <w:pStyle w:val="NormalWeb"/>
        <w:jc w:val="both"/>
      </w:pPr>
      <w:r>
        <w:t>Additional data marts should be developed to support workforce planning and operational management. Workforce marts can provide insights into staff vacancies, agency spending, overtime usage, sickness absence rates, and workforce productivity. Operational marts can focus on bed utilisation, theatre capacity, ambulance handover delays, patient flow, and waiting list management. These insights enable managers to address capacity constraints and improve service efficiency.</w:t>
      </w:r>
    </w:p>
    <w:p w14:paraId="4A3E2770" w14:textId="3040F5E0" w:rsidR="00824F19" w:rsidRDefault="003B55DB" w:rsidP="00393688">
      <w:pPr>
        <w:pStyle w:val="NormalWeb"/>
        <w:jc w:val="both"/>
      </w:pPr>
      <w:r>
        <w:rPr>
          <w:noProof/>
        </w:rPr>
        <w:lastRenderedPageBreak/>
        <w:drawing>
          <wp:anchor distT="0" distB="0" distL="114300" distR="114300" simplePos="0" relativeHeight="251659264" behindDoc="0" locked="0" layoutInCell="1" allowOverlap="1" wp14:anchorId="4AB576B7" wp14:editId="280AB365">
            <wp:simplePos x="0" y="0"/>
            <wp:positionH relativeFrom="column">
              <wp:posOffset>-533400</wp:posOffset>
            </wp:positionH>
            <wp:positionV relativeFrom="paragraph">
              <wp:posOffset>1051560</wp:posOffset>
            </wp:positionV>
            <wp:extent cx="6751320" cy="4213860"/>
            <wp:effectExtent l="0" t="0" r="0" b="0"/>
            <wp:wrapThrough wrapText="bothSides">
              <wp:wrapPolygon edited="0">
                <wp:start x="0" y="0"/>
                <wp:lineTo x="0" y="21483"/>
                <wp:lineTo x="21515" y="21483"/>
                <wp:lineTo x="21515" y="0"/>
                <wp:lineTo x="0" y="0"/>
              </wp:wrapPolygon>
            </wp:wrapThrough>
            <wp:docPr id="14021420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142019"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751320" cy="4213860"/>
                    </a:xfrm>
                    <a:prstGeom prst="rect">
                      <a:avLst/>
                    </a:prstGeom>
                  </pic:spPr>
                </pic:pic>
              </a:graphicData>
            </a:graphic>
            <wp14:sizeRelH relativeFrom="margin">
              <wp14:pctWidth>0</wp14:pctWidth>
            </wp14:sizeRelH>
            <wp14:sizeRelV relativeFrom="margin">
              <wp14:pctHeight>0</wp14:pctHeight>
            </wp14:sizeRelV>
          </wp:anchor>
        </w:drawing>
      </w:r>
      <w:r w:rsidR="00D601CD">
        <w:t>The primary advantage of data marts is accessibility. Users receive information tailored to their responsibilities rather than searching through large volumes of detailed data</w:t>
      </w:r>
      <w:r w:rsidR="008312A2">
        <w:t xml:space="preserve"> as showed in Fig.</w:t>
      </w:r>
      <w:r w:rsidR="00EC4B14">
        <w:t>2.</w:t>
      </w:r>
      <w:r w:rsidR="00D601CD">
        <w:t xml:space="preserve"> Because all marts are derived from the same enterprise warehouse, reporting remains consistent across departments, promoting collaboration, evidence-based decision-making, and organisational alignment throughout NHS England.</w:t>
      </w:r>
    </w:p>
    <w:p w14:paraId="2E6D24D1" w14:textId="30AB22C0" w:rsidR="00307FD4" w:rsidRPr="00307FD4" w:rsidRDefault="00824F19" w:rsidP="00824F19">
      <w:pPr>
        <w:pStyle w:val="Caption"/>
      </w:pPr>
      <w:r>
        <w:t xml:space="preserve">Figure </w:t>
      </w:r>
      <w:fldSimple w:instr=" SEQ Figure \* ARABIC ">
        <w:r w:rsidR="009D4E73">
          <w:rPr>
            <w:noProof/>
          </w:rPr>
          <w:t>2</w:t>
        </w:r>
      </w:fldSimple>
      <w:r>
        <w:t xml:space="preserve"> </w:t>
      </w:r>
      <w:r w:rsidRPr="007B4535">
        <w:t>Data Marts for Management Decision-Making</w:t>
      </w:r>
    </w:p>
    <w:p w14:paraId="2881D27A" w14:textId="150082F2" w:rsidR="00FC47E5" w:rsidRPr="00E9665A" w:rsidRDefault="007355EF" w:rsidP="001E056C">
      <w:pPr>
        <w:rPr>
          <w:b/>
          <w:bCs/>
          <w:color w:val="4F81BD" w:themeColor="accent1"/>
          <w:sz w:val="32"/>
          <w:szCs w:val="32"/>
        </w:rPr>
      </w:pPr>
      <w:r w:rsidRPr="00E9665A">
        <w:rPr>
          <w:b/>
          <w:bCs/>
          <w:color w:val="4F81BD" w:themeColor="accent1"/>
          <w:sz w:val="32"/>
          <w:szCs w:val="32"/>
        </w:rPr>
        <w:t xml:space="preserve">OLTP </w:t>
      </w:r>
      <w:r w:rsidR="00961FEF" w:rsidRPr="00E9665A">
        <w:rPr>
          <w:b/>
          <w:bCs/>
          <w:color w:val="4F81BD" w:themeColor="accent1"/>
          <w:sz w:val="32"/>
          <w:szCs w:val="32"/>
        </w:rPr>
        <w:t>Normalization</w:t>
      </w:r>
      <w:r w:rsidRPr="00E9665A">
        <w:rPr>
          <w:b/>
          <w:bCs/>
          <w:color w:val="4F81BD" w:themeColor="accent1"/>
          <w:sz w:val="32"/>
          <w:szCs w:val="32"/>
        </w:rPr>
        <w:t xml:space="preserve"> vs Dimensional Modelling</w:t>
      </w:r>
    </w:p>
    <w:p w14:paraId="61D2094E" w14:textId="1272EEAE" w:rsidR="00D601CD" w:rsidRDefault="00D601CD" w:rsidP="00393688">
      <w:pPr>
        <w:pStyle w:val="NormalWeb"/>
        <w:jc w:val="both"/>
      </w:pPr>
      <w:r>
        <w:t xml:space="preserve">Operational systems within NHS England commonly use highly normalised database structures to support day-to-day healthcare activities. Normalisation is a database design technique that organises data into multiple related tables </w:t>
      </w:r>
      <w:r w:rsidR="0014185F">
        <w:t>to</w:t>
      </w:r>
      <w:r>
        <w:t xml:space="preserve"> minimise duplication, improve storage efficiency, and maintain data integrity. For example, patient details, appointments, admissions, diagnoses, treatments, and staff records are typically stored in separate tables and connected through primary and foreign keys. This structure ensures that information is recorded only once and can be updated consistently across the system. Such designs are highly effective for Online Transaction Processing (OLTP) environments, where thousands of transactions must be processed quickly and accurately every day. Examples include registering patients, scheduling appointments, recording treatments, and updating workforce information</w:t>
      </w:r>
      <w:r w:rsidR="005C18F2">
        <w:t xml:space="preserve"> [</w:t>
      </w:r>
      <w:r w:rsidR="00367534">
        <w:t>8</w:t>
      </w:r>
      <w:r w:rsidR="005C18F2">
        <w:t>]</w:t>
      </w:r>
      <w:r>
        <w:t>.</w:t>
      </w:r>
    </w:p>
    <w:p w14:paraId="51BBE0C9" w14:textId="74159BF9" w:rsidR="00D601CD" w:rsidRDefault="00D601CD" w:rsidP="00393688">
      <w:pPr>
        <w:pStyle w:val="NormalWeb"/>
        <w:jc w:val="both"/>
      </w:pPr>
      <w:r>
        <w:lastRenderedPageBreak/>
        <w:t>Although normalised structures are ideal for operational processing, they are less suitable for analytical reporting. Complex management reports often require data from many different tables, resulting in lengthy queries and slower performance. For a large organisation such as NHS England, which manages data across multiple hospitals, community services, specialist centres, and regions, these limitations make it difficult to perform large-scale analysis efficiently.</w:t>
      </w:r>
    </w:p>
    <w:p w14:paraId="2FAB5018" w14:textId="5A9EB302" w:rsidR="00D601CD" w:rsidRDefault="00D601CD" w:rsidP="00393688">
      <w:pPr>
        <w:pStyle w:val="NormalWeb"/>
        <w:jc w:val="both"/>
      </w:pPr>
      <w:r>
        <w:t>To address this challenge, data warehouses use dimensional modelling rather than highly normalised structures. Dimensional models are specifically designed for reporting, business intelligence, and decision support. They consist of fact tables, which contain measurable business events and performance metrics, and dimension tables, which provide descriptive context for analysis. The design is intentionally simple and intuitive, making it easier for managers, analysts, and executives to access information without extensive technical knowledge.</w:t>
      </w:r>
    </w:p>
    <w:p w14:paraId="5A2C70B9" w14:textId="6471669F" w:rsidR="00D601CD" w:rsidRDefault="00D601CD" w:rsidP="00393688">
      <w:pPr>
        <w:pStyle w:val="NormalWeb"/>
        <w:jc w:val="both"/>
      </w:pPr>
      <w:r>
        <w:t xml:space="preserve">Within NHS England, a central </w:t>
      </w:r>
      <w:r>
        <w:rPr>
          <w:rStyle w:val="Strong"/>
        </w:rPr>
        <w:t>Fact Patient Activity</w:t>
      </w:r>
      <w:r>
        <w:t xml:space="preserve"> table could contain key measures such as treatment costs, appointment volumes, waiting times, length of stay, readmission rates, and patient outcome scores. Surrounding this fact table would be several dimension tables, including </w:t>
      </w:r>
      <w:r>
        <w:rPr>
          <w:rStyle w:val="Strong"/>
        </w:rPr>
        <w:t>Patient</w:t>
      </w:r>
      <w:r>
        <w:t xml:space="preserve">, </w:t>
      </w:r>
      <w:r>
        <w:rPr>
          <w:rStyle w:val="Strong"/>
        </w:rPr>
        <w:t>Hospital</w:t>
      </w:r>
      <w:r>
        <w:t xml:space="preserve">, </w:t>
      </w:r>
      <w:r>
        <w:rPr>
          <w:rStyle w:val="Strong"/>
        </w:rPr>
        <w:t>Time</w:t>
      </w:r>
      <w:r>
        <w:t xml:space="preserve">, </w:t>
      </w:r>
      <w:r>
        <w:rPr>
          <w:rStyle w:val="Strong"/>
        </w:rPr>
        <w:t>Treatment</w:t>
      </w:r>
      <w:r>
        <w:t xml:space="preserve">, </w:t>
      </w:r>
      <w:r w:rsidR="00524F48">
        <w:rPr>
          <w:rStyle w:val="Strong"/>
        </w:rPr>
        <w:t>Staff</w:t>
      </w:r>
      <w:r>
        <w:t xml:space="preserve">, and </w:t>
      </w:r>
      <w:r w:rsidR="00524F48">
        <w:rPr>
          <w:rStyle w:val="Strong"/>
        </w:rPr>
        <w:t>Service</w:t>
      </w:r>
      <w:r>
        <w:t xml:space="preserve"> dimensions. These dimensions allow users to analyse performance from different perspectives. For example, treatment costs can be examined by hospital, specialty, region, or </w:t>
      </w:r>
      <w:r w:rsidR="00477DA7">
        <w:t>time</w:t>
      </w:r>
      <w:r>
        <w:t>, while patient outcomes can be compared across demographic groups and service types</w:t>
      </w:r>
      <w:r w:rsidR="00757166">
        <w:t xml:space="preserve"> [</w:t>
      </w:r>
      <w:r w:rsidR="00100E89">
        <w:t>9</w:t>
      </w:r>
      <w:r w:rsidR="00757166">
        <w:t>]</w:t>
      </w:r>
      <w:r>
        <w:t>.</w:t>
      </w:r>
    </w:p>
    <w:p w14:paraId="680FF672" w14:textId="7B83BBA6" w:rsidR="00FC47E5" w:rsidRDefault="00D601CD" w:rsidP="00393688">
      <w:pPr>
        <w:pStyle w:val="NormalWeb"/>
        <w:jc w:val="both"/>
      </w:pPr>
      <w:r>
        <w:t xml:space="preserve">The resulting structure is known as a </w:t>
      </w:r>
      <w:r>
        <w:rPr>
          <w:rStyle w:val="Strong"/>
        </w:rPr>
        <w:t>star schema</w:t>
      </w:r>
      <w:r>
        <w:t xml:space="preserve"> because the dimension tables radiate outward from the central fact table</w:t>
      </w:r>
      <w:r w:rsidR="00366160">
        <w:t xml:space="preserve"> (see Fig.3)</w:t>
      </w:r>
      <w:r>
        <w:t>. A major advantage of the star schema is improved query performance. Since fewer table joins are required compared to a normalised database, reports can be generated much faster. This enables NHS England analysts and executives to identify trends, monitor performance targets, evaluate service effectiveness, and support evidence-based decision-making. Dimensional modelling therefore transforms operational data into strategic information that supports planning, performance management, resource allocation, and continuous improvement across the healthcare system.</w:t>
      </w:r>
    </w:p>
    <w:p w14:paraId="476E5558" w14:textId="27BE254D" w:rsidR="00FC47E5" w:rsidRPr="00E9665A" w:rsidRDefault="007355EF" w:rsidP="001E056C">
      <w:pPr>
        <w:rPr>
          <w:b/>
          <w:bCs/>
          <w:color w:val="4F81BD" w:themeColor="accent1"/>
          <w:sz w:val="32"/>
          <w:szCs w:val="32"/>
        </w:rPr>
      </w:pPr>
      <w:r w:rsidRPr="00E9665A">
        <w:rPr>
          <w:b/>
          <w:bCs/>
          <w:color w:val="4F81BD" w:themeColor="accent1"/>
          <w:sz w:val="32"/>
          <w:szCs w:val="32"/>
        </w:rPr>
        <w:t>Source System Identification</w:t>
      </w:r>
    </w:p>
    <w:p w14:paraId="6ECCFA51" w14:textId="571BE249" w:rsidR="00FC47E5" w:rsidRDefault="007355EF" w:rsidP="00393688">
      <w:pPr>
        <w:jc w:val="both"/>
      </w:pPr>
      <w:r>
        <w:t>The warehouse should integrate a comprehensive range of internal and external data sources. Internal systems include Electronic Patient Records, Patient Administration Systems, pathology systems, radiology systems, theatre management applications, workforce platforms, payroll systems, finance systems, patient experience databases and incident reporting solutions. These sources provide detailed operational information relating to patient care, workforce activity and financial performance.</w:t>
      </w:r>
      <w:r>
        <w:br/>
        <w:t xml:space="preserve">External data sources include Office for National Statistics datasets, demographic forecasts, deprivation indices, public health statistics, national tariff schedules, UK Health Security Agency information and Integrated Care System reports. Combining internal and external </w:t>
      </w:r>
      <w:r>
        <w:lastRenderedPageBreak/>
        <w:t xml:space="preserve">data allows NHS England to understand both </w:t>
      </w:r>
      <w:r w:rsidR="00180B55">
        <w:t>organizational</w:t>
      </w:r>
      <w:r>
        <w:t xml:space="preserve"> performance and wider population health trends.</w:t>
      </w:r>
    </w:p>
    <w:p w14:paraId="48ABDE1A" w14:textId="5117F8B6" w:rsidR="00FC47E5" w:rsidRPr="00E9665A" w:rsidRDefault="007355EF" w:rsidP="001E056C">
      <w:pPr>
        <w:rPr>
          <w:b/>
          <w:bCs/>
          <w:color w:val="4F81BD" w:themeColor="accent1"/>
          <w:sz w:val="32"/>
          <w:szCs w:val="32"/>
        </w:rPr>
      </w:pPr>
      <w:r w:rsidRPr="00E9665A">
        <w:rPr>
          <w:b/>
          <w:bCs/>
          <w:color w:val="4F81BD" w:themeColor="accent1"/>
          <w:sz w:val="32"/>
          <w:szCs w:val="32"/>
        </w:rPr>
        <w:t>Star Schema Design</w:t>
      </w:r>
    </w:p>
    <w:p w14:paraId="3CC13C6B" w14:textId="3EAB8B0C" w:rsidR="00EB63F0" w:rsidRDefault="007355EF" w:rsidP="00101A50">
      <w:pPr>
        <w:jc w:val="both"/>
      </w:pPr>
      <w:r>
        <w:t xml:space="preserve">The recommended design uses multiple star schemas </w:t>
      </w:r>
      <w:r w:rsidR="00101A50">
        <w:t>centered</w:t>
      </w:r>
      <w:r>
        <w:t xml:space="preserve"> on major business processes. The primary schema is </w:t>
      </w:r>
      <w:r w:rsidRPr="00A32D56">
        <w:rPr>
          <w:b/>
          <w:bCs/>
        </w:rPr>
        <w:t>Fact Patient Activity</w:t>
      </w:r>
      <w:r>
        <w:t xml:space="preserve">. Each row represents a healthcare event such as </w:t>
      </w:r>
      <w:r w:rsidR="00857B74">
        <w:t>admission</w:t>
      </w:r>
      <w:r>
        <w:t>, outpatient consultation, diagnostic procedure or treatment episode.</w:t>
      </w:r>
      <w:r w:rsidR="00857B74">
        <w:t xml:space="preserve"> </w:t>
      </w:r>
      <w:r>
        <w:t>Measures include treatment cost, waiting time, length of stay, appointment count and outcome score. These metrics support operational, clinical and financial analysis.</w:t>
      </w:r>
      <w:r w:rsidR="00EB63F0">
        <w:t xml:space="preserve"> </w:t>
      </w:r>
    </w:p>
    <w:p w14:paraId="466DB512" w14:textId="5168CE5A" w:rsidR="00046468" w:rsidRDefault="007355EF" w:rsidP="00101A50">
      <w:pPr>
        <w:jc w:val="both"/>
      </w:pPr>
      <w:r>
        <w:t xml:space="preserve">Dim Patient stores NHS </w:t>
      </w:r>
      <w:proofErr w:type="gramStart"/>
      <w:r>
        <w:t>number</w:t>
      </w:r>
      <w:proofErr w:type="gramEnd"/>
      <w:r>
        <w:t xml:space="preserve">, age </w:t>
      </w:r>
      <w:proofErr w:type="gramStart"/>
      <w:r>
        <w:t>band</w:t>
      </w:r>
      <w:proofErr w:type="gramEnd"/>
      <w:r>
        <w:t xml:space="preserve">, ethnicity, gender and region. Dim Hospital stores hospital, region and service characteristics. Dim Time contains reporting periods including day, month, quarter and year. Dim Treatment includes diagnosis codes, procedure codes and specialty information. Dim Staff contains workforce details including role, grade and department. Dim Service </w:t>
      </w:r>
      <w:r w:rsidR="00180B55">
        <w:t>categorizes</w:t>
      </w:r>
      <w:r>
        <w:t xml:space="preserve"> activity into acute care, community services, mental health and specialist services.</w:t>
      </w:r>
    </w:p>
    <w:p w14:paraId="15196ABB" w14:textId="2935B5BE" w:rsidR="00046468" w:rsidRDefault="005511AB">
      <w:r>
        <w:rPr>
          <w:noProof/>
        </w:rPr>
        <mc:AlternateContent>
          <mc:Choice Requires="wps">
            <w:drawing>
              <wp:anchor distT="0" distB="0" distL="114300" distR="114300" simplePos="0" relativeHeight="251668480" behindDoc="0" locked="0" layoutInCell="1" allowOverlap="1" wp14:anchorId="0C89FDD6" wp14:editId="49DC2894">
                <wp:simplePos x="0" y="0"/>
                <wp:positionH relativeFrom="column">
                  <wp:posOffset>-30480</wp:posOffset>
                </wp:positionH>
                <wp:positionV relativeFrom="paragraph">
                  <wp:posOffset>4326890</wp:posOffset>
                </wp:positionV>
                <wp:extent cx="6477000" cy="635"/>
                <wp:effectExtent l="0" t="0" r="0" b="5715"/>
                <wp:wrapThrough wrapText="bothSides">
                  <wp:wrapPolygon edited="0">
                    <wp:start x="0" y="0"/>
                    <wp:lineTo x="0" y="20496"/>
                    <wp:lineTo x="21536" y="20496"/>
                    <wp:lineTo x="21536" y="0"/>
                    <wp:lineTo x="0" y="0"/>
                  </wp:wrapPolygon>
                </wp:wrapThrough>
                <wp:docPr id="1959618410" name="Text Box 1"/>
                <wp:cNvGraphicFramePr/>
                <a:graphic xmlns:a="http://schemas.openxmlformats.org/drawingml/2006/main">
                  <a:graphicData uri="http://schemas.microsoft.com/office/word/2010/wordprocessingShape">
                    <wps:wsp>
                      <wps:cNvSpPr txBox="1"/>
                      <wps:spPr>
                        <a:xfrm>
                          <a:off x="0" y="0"/>
                          <a:ext cx="6477000" cy="635"/>
                        </a:xfrm>
                        <a:prstGeom prst="rect">
                          <a:avLst/>
                        </a:prstGeom>
                        <a:solidFill>
                          <a:prstClr val="white"/>
                        </a:solidFill>
                        <a:ln>
                          <a:noFill/>
                        </a:ln>
                      </wps:spPr>
                      <wps:txbx>
                        <w:txbxContent>
                          <w:p w14:paraId="5CB39C44" w14:textId="0507E7B8" w:rsidR="005511AB" w:rsidRPr="00312C61" w:rsidRDefault="005511AB" w:rsidP="005511AB">
                            <w:pPr>
                              <w:pStyle w:val="Caption"/>
                              <w:rPr>
                                <w:noProof/>
                                <w:sz w:val="22"/>
                                <w:szCs w:val="22"/>
                              </w:rPr>
                            </w:pPr>
                            <w:r>
                              <w:t xml:space="preserve">Figure </w:t>
                            </w:r>
                            <w:fldSimple w:instr=" SEQ Figure \* ARABIC ">
                              <w:r w:rsidR="009D4E73">
                                <w:rPr>
                                  <w:noProof/>
                                </w:rPr>
                                <w:t>3</w:t>
                              </w:r>
                            </w:fldSimple>
                            <w:r>
                              <w:t xml:space="preserve"> Fact Patient Activity schema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C89FDD6" id="_x0000_t202" coordsize="21600,21600" o:spt="202" path="m,l,21600r21600,l21600,xe">
                <v:stroke joinstyle="miter"/>
                <v:path gradientshapeok="t" o:connecttype="rect"/>
              </v:shapetype>
              <v:shape id="Text Box 1" o:spid="_x0000_s1026" type="#_x0000_t202" style="position:absolute;margin-left:-2.4pt;margin-top:340.7pt;width:510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" stroked="f">
                <v:textbox style="mso-fit-shape-to-text:t" inset="0,0,0,0">
                  <w:txbxContent>
                    <w:p w14:paraId="5CB39C44" w14:textId="0507E7B8" w:rsidR="005511AB" w:rsidRPr="00312C61" w:rsidRDefault="005511AB" w:rsidP="005511AB">
                      <w:pPr>
                        <w:pStyle w:val="Caption"/>
                        <w:rPr>
                          <w:noProof/>
                          <w:sz w:val="22"/>
                          <w:szCs w:val="22"/>
                        </w:rPr>
                      </w:pPr>
                      <w:r>
                        <w:t xml:space="preserve">Figure </w:t>
                      </w:r>
                      <w:fldSimple w:instr=" SEQ Figure \* ARABIC ">
                        <w:r w:rsidR="009D4E73">
                          <w:rPr>
                            <w:noProof/>
                          </w:rPr>
                          <w:t>3</w:t>
                        </w:r>
                      </w:fldSimple>
                      <w:r>
                        <w:t xml:space="preserve"> Fact Patient Activity schema</w:t>
                      </w:r>
                    </w:p>
                  </w:txbxContent>
                </v:textbox>
                <w10:wrap type="through"/>
              </v:shape>
            </w:pict>
          </mc:Fallback>
        </mc:AlternateContent>
      </w:r>
      <w:r w:rsidR="00046468">
        <w:rPr>
          <w:noProof/>
        </w:rPr>
        <w:drawing>
          <wp:anchor distT="0" distB="0" distL="114300" distR="114300" simplePos="0" relativeHeight="251664384" behindDoc="0" locked="0" layoutInCell="1" allowOverlap="1" wp14:anchorId="23180336" wp14:editId="5038B924">
            <wp:simplePos x="0" y="0"/>
            <wp:positionH relativeFrom="column">
              <wp:posOffset>-762000</wp:posOffset>
            </wp:positionH>
            <wp:positionV relativeFrom="paragraph">
              <wp:posOffset>318770</wp:posOffset>
            </wp:positionV>
            <wp:extent cx="7208520" cy="3947160"/>
            <wp:effectExtent l="0" t="0" r="0" b="0"/>
            <wp:wrapThrough wrapText="bothSides">
              <wp:wrapPolygon edited="0">
                <wp:start x="0" y="0"/>
                <wp:lineTo x="0" y="21475"/>
                <wp:lineTo x="21520" y="21475"/>
                <wp:lineTo x="21520" y="0"/>
                <wp:lineTo x="0" y="0"/>
              </wp:wrapPolygon>
            </wp:wrapThrough>
            <wp:docPr id="1274014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1447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7208520" cy="3947160"/>
                    </a:xfrm>
                    <a:prstGeom prst="rect">
                      <a:avLst/>
                    </a:prstGeom>
                  </pic:spPr>
                </pic:pic>
              </a:graphicData>
            </a:graphic>
            <wp14:sizeRelH relativeFrom="margin">
              <wp14:pctWidth>0</wp14:pctWidth>
            </wp14:sizeRelH>
            <wp14:sizeRelV relativeFrom="margin">
              <wp14:pctHeight>0</wp14:pctHeight>
            </wp14:sizeRelV>
          </wp:anchor>
        </w:drawing>
      </w:r>
    </w:p>
    <w:p w14:paraId="70AAA4C2" w14:textId="77777777" w:rsidR="00046468" w:rsidRDefault="00046468"/>
    <w:p w14:paraId="38CBF3B9" w14:textId="4009CC82" w:rsidR="00046468" w:rsidRDefault="007355EF" w:rsidP="00101A50">
      <w:pPr>
        <w:jc w:val="both"/>
      </w:pPr>
      <w:r>
        <w:lastRenderedPageBreak/>
        <w:t xml:space="preserve">A second </w:t>
      </w:r>
      <w:proofErr w:type="gramStart"/>
      <w:r>
        <w:t>schema</w:t>
      </w:r>
      <w:proofErr w:type="gramEnd"/>
      <w:r>
        <w:t xml:space="preserve"> supports finance. </w:t>
      </w:r>
      <w:r w:rsidRPr="00A32D56">
        <w:rPr>
          <w:b/>
          <w:bCs/>
        </w:rPr>
        <w:t>Fact Finance</w:t>
      </w:r>
      <w:r>
        <w:t xml:space="preserve"> contains expenditure, budget, tariff income and variance measures. Dimensions include hospital, service, region and time. This enables detailed analysis of financial performance.</w:t>
      </w:r>
    </w:p>
    <w:p w14:paraId="18CC9FB4" w14:textId="65ABADC0" w:rsidR="00564B31" w:rsidRDefault="00564B31" w:rsidP="00101A50">
      <w:pPr>
        <w:jc w:val="both"/>
      </w:pPr>
      <w:r>
        <w:t>It enables the analysis of budgets, expenditure, tariff income, cost per patient, service</w:t>
      </w:r>
      <w:r w:rsidR="006A753F">
        <w:t xml:space="preserve"> line costs and financial performance by time, region and </w:t>
      </w:r>
      <w:r w:rsidR="00D34C07">
        <w:t>hospital</w:t>
      </w:r>
      <w:r w:rsidR="00D77E5F">
        <w:t>.</w:t>
      </w:r>
    </w:p>
    <w:p w14:paraId="2761178A" w14:textId="7BD58EE8" w:rsidR="007147D3" w:rsidRDefault="007147D3">
      <w:r>
        <w:rPr>
          <w:noProof/>
        </w:rPr>
        <w:drawing>
          <wp:anchor distT="0" distB="0" distL="114300" distR="114300" simplePos="0" relativeHeight="251666432" behindDoc="0" locked="0" layoutInCell="1" allowOverlap="1" wp14:anchorId="3AB4AA39" wp14:editId="5E0CFFE9">
            <wp:simplePos x="0" y="0"/>
            <wp:positionH relativeFrom="column">
              <wp:posOffset>-670560</wp:posOffset>
            </wp:positionH>
            <wp:positionV relativeFrom="paragraph">
              <wp:posOffset>486410</wp:posOffset>
            </wp:positionV>
            <wp:extent cx="6894830" cy="4053840"/>
            <wp:effectExtent l="0" t="0" r="1270" b="3810"/>
            <wp:wrapThrough wrapText="bothSides">
              <wp:wrapPolygon edited="0">
                <wp:start x="0" y="0"/>
                <wp:lineTo x="0" y="21519"/>
                <wp:lineTo x="21544" y="21519"/>
                <wp:lineTo x="21544" y="0"/>
                <wp:lineTo x="0" y="0"/>
              </wp:wrapPolygon>
            </wp:wrapThrough>
            <wp:docPr id="413130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3009"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894830" cy="4053840"/>
                    </a:xfrm>
                    <a:prstGeom prst="rect">
                      <a:avLst/>
                    </a:prstGeom>
                  </pic:spPr>
                </pic:pic>
              </a:graphicData>
            </a:graphic>
            <wp14:sizeRelH relativeFrom="margin">
              <wp14:pctWidth>0</wp14:pctWidth>
            </wp14:sizeRelH>
            <wp14:sizeRelV relativeFrom="margin">
              <wp14:pctHeight>0</wp14:pctHeight>
            </wp14:sizeRelV>
          </wp:anchor>
        </w:drawing>
      </w:r>
    </w:p>
    <w:p w14:paraId="3230D635" w14:textId="4AD862E0" w:rsidR="007147D3" w:rsidRDefault="007147D3">
      <w:r>
        <w:rPr>
          <w:noProof/>
        </w:rPr>
        <mc:AlternateContent>
          <mc:Choice Requires="wps">
            <w:drawing>
              <wp:anchor distT="0" distB="0" distL="114300" distR="114300" simplePos="0" relativeHeight="251670528" behindDoc="0" locked="0" layoutInCell="1" allowOverlap="1" wp14:anchorId="69F9D12B" wp14:editId="428B77FA">
                <wp:simplePos x="0" y="0"/>
                <wp:positionH relativeFrom="column">
                  <wp:posOffset>22860</wp:posOffset>
                </wp:positionH>
                <wp:positionV relativeFrom="paragraph">
                  <wp:posOffset>4285615</wp:posOffset>
                </wp:positionV>
                <wp:extent cx="6201410" cy="635"/>
                <wp:effectExtent l="0" t="0" r="8890" b="5715"/>
                <wp:wrapThrough wrapText="bothSides">
                  <wp:wrapPolygon edited="0">
                    <wp:start x="0" y="0"/>
                    <wp:lineTo x="0" y="20496"/>
                    <wp:lineTo x="21565" y="20496"/>
                    <wp:lineTo x="21565" y="0"/>
                    <wp:lineTo x="0" y="0"/>
                  </wp:wrapPolygon>
                </wp:wrapThrough>
                <wp:docPr id="2077847463" name="Text Box 1"/>
                <wp:cNvGraphicFramePr/>
                <a:graphic xmlns:a="http://schemas.openxmlformats.org/drawingml/2006/main">
                  <a:graphicData uri="http://schemas.microsoft.com/office/word/2010/wordprocessingShape">
                    <wps:wsp>
                      <wps:cNvSpPr txBox="1"/>
                      <wps:spPr>
                        <a:xfrm>
                          <a:off x="0" y="0"/>
                          <a:ext cx="6201410" cy="635"/>
                        </a:xfrm>
                        <a:prstGeom prst="rect">
                          <a:avLst/>
                        </a:prstGeom>
                        <a:solidFill>
                          <a:prstClr val="white"/>
                        </a:solidFill>
                        <a:ln>
                          <a:noFill/>
                        </a:ln>
                      </wps:spPr>
                      <wps:txbx>
                        <w:txbxContent>
                          <w:p w14:paraId="0E21977B" w14:textId="171C3EF6" w:rsidR="007147D3" w:rsidRPr="0011615E" w:rsidRDefault="007147D3" w:rsidP="007147D3">
                            <w:pPr>
                              <w:pStyle w:val="Caption"/>
                              <w:rPr>
                                <w:noProof/>
                                <w:sz w:val="22"/>
                                <w:szCs w:val="22"/>
                              </w:rPr>
                            </w:pPr>
                            <w:r>
                              <w:t xml:space="preserve">Figure </w:t>
                            </w:r>
                            <w:fldSimple w:instr=" SEQ Figure \* ARABIC ">
                              <w:r w:rsidR="009D4E73">
                                <w:rPr>
                                  <w:noProof/>
                                </w:rPr>
                                <w:t>4</w:t>
                              </w:r>
                            </w:fldSimple>
                            <w:r>
                              <w:t xml:space="preserve"> Fact Finance schema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F9D12B" id="_x0000_s1027" type="#_x0000_t202" style="position:absolute;margin-left:1.8pt;margin-top:337.45pt;width:488.3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" stroked="f">
                <v:textbox style="mso-fit-shape-to-text:t" inset="0,0,0,0">
                  <w:txbxContent>
                    <w:p w14:paraId="0E21977B" w14:textId="171C3EF6" w:rsidR="007147D3" w:rsidRPr="0011615E" w:rsidRDefault="007147D3" w:rsidP="007147D3">
                      <w:pPr>
                        <w:pStyle w:val="Caption"/>
                        <w:rPr>
                          <w:noProof/>
                          <w:sz w:val="22"/>
                          <w:szCs w:val="22"/>
                        </w:rPr>
                      </w:pPr>
                      <w:r>
                        <w:t xml:space="preserve">Figure </w:t>
                      </w:r>
                      <w:fldSimple w:instr=" SEQ Figure \* ARABIC ">
                        <w:r w:rsidR="009D4E73">
                          <w:rPr>
                            <w:noProof/>
                          </w:rPr>
                          <w:t>4</w:t>
                        </w:r>
                      </w:fldSimple>
                      <w:r>
                        <w:t xml:space="preserve"> Fact Finance schema</w:t>
                      </w:r>
                    </w:p>
                  </w:txbxContent>
                </v:textbox>
                <w10:wrap type="through"/>
              </v:shape>
            </w:pict>
          </mc:Fallback>
        </mc:AlternateContent>
      </w:r>
    </w:p>
    <w:p w14:paraId="17D03F1A" w14:textId="77777777" w:rsidR="00046468" w:rsidRDefault="00046468"/>
    <w:p w14:paraId="00C07441" w14:textId="63C4E9FA" w:rsidR="001834E0" w:rsidRDefault="007355EF" w:rsidP="00101A50">
      <w:pPr>
        <w:jc w:val="both"/>
      </w:pPr>
      <w:r>
        <w:t xml:space="preserve">A third </w:t>
      </w:r>
      <w:proofErr w:type="gramStart"/>
      <w:r>
        <w:t>schema</w:t>
      </w:r>
      <w:proofErr w:type="gramEnd"/>
      <w:r>
        <w:t xml:space="preserve"> supports workforce management</w:t>
      </w:r>
      <w:r w:rsidRPr="00A32D56">
        <w:rPr>
          <w:b/>
          <w:bCs/>
        </w:rPr>
        <w:t>. Fact Workforce</w:t>
      </w:r>
      <w:r>
        <w:t xml:space="preserve"> includes vacancies, sickness absence, overtime, agency costs and staffing levels. Dimensions include staff role, department, hospital and time.</w:t>
      </w:r>
    </w:p>
    <w:p w14:paraId="5C07D029" w14:textId="096E71A1" w:rsidR="00046468" w:rsidRDefault="00D77E5F" w:rsidP="00101A50">
      <w:pPr>
        <w:jc w:val="both"/>
      </w:pPr>
      <w:r>
        <w:t xml:space="preserve">It enables </w:t>
      </w:r>
      <w:r w:rsidR="001834E0">
        <w:t>analysis</w:t>
      </w:r>
      <w:r>
        <w:t xml:space="preserve"> </w:t>
      </w:r>
      <w:r w:rsidR="00114118">
        <w:t>of staff levels, vacancies, absence, overtime</w:t>
      </w:r>
      <w:r w:rsidR="003B7588">
        <w:t xml:space="preserve"> and workforce productivity </w:t>
      </w:r>
      <w:r w:rsidR="001834E0">
        <w:t>by role, department and hospital.</w:t>
      </w:r>
      <w:r w:rsidR="007355EF">
        <w:br/>
      </w:r>
    </w:p>
    <w:p w14:paraId="7E243E09" w14:textId="0A44C186" w:rsidR="00046468" w:rsidRDefault="009D4E73">
      <w:r>
        <w:rPr>
          <w:noProof/>
        </w:rPr>
        <w:lastRenderedPageBreak/>
        <mc:AlternateContent>
          <mc:Choice Requires="wps">
            <w:drawing>
              <wp:anchor distT="0" distB="0" distL="114300" distR="114300" simplePos="0" relativeHeight="251673600" behindDoc="0" locked="0" layoutInCell="1" allowOverlap="1" wp14:anchorId="0AC0D81F" wp14:editId="2AFC48F0">
                <wp:simplePos x="0" y="0"/>
                <wp:positionH relativeFrom="column">
                  <wp:posOffset>-106680</wp:posOffset>
                </wp:positionH>
                <wp:positionV relativeFrom="paragraph">
                  <wp:posOffset>4846320</wp:posOffset>
                </wp:positionV>
                <wp:extent cx="6408420" cy="635"/>
                <wp:effectExtent l="0" t="0" r="0" b="5715"/>
                <wp:wrapThrough wrapText="bothSides">
                  <wp:wrapPolygon edited="0">
                    <wp:start x="0" y="0"/>
                    <wp:lineTo x="0" y="20496"/>
                    <wp:lineTo x="21510" y="20496"/>
                    <wp:lineTo x="21510" y="0"/>
                    <wp:lineTo x="0" y="0"/>
                  </wp:wrapPolygon>
                </wp:wrapThrough>
                <wp:docPr id="921375657" name="Text Box 1"/>
                <wp:cNvGraphicFramePr/>
                <a:graphic xmlns:a="http://schemas.openxmlformats.org/drawingml/2006/main">
                  <a:graphicData uri="http://schemas.microsoft.com/office/word/2010/wordprocessingShape">
                    <wps:wsp>
                      <wps:cNvSpPr txBox="1"/>
                      <wps:spPr>
                        <a:xfrm>
                          <a:off x="0" y="0"/>
                          <a:ext cx="6408420" cy="635"/>
                        </a:xfrm>
                        <a:prstGeom prst="rect">
                          <a:avLst/>
                        </a:prstGeom>
                        <a:solidFill>
                          <a:prstClr val="white"/>
                        </a:solidFill>
                        <a:ln>
                          <a:noFill/>
                        </a:ln>
                      </wps:spPr>
                      <wps:txbx>
                        <w:txbxContent>
                          <w:p w14:paraId="05EF7E37" w14:textId="3FD6B85D" w:rsidR="009D4E73" w:rsidRPr="003C1422" w:rsidRDefault="009D4E73" w:rsidP="009D4E73">
                            <w:pPr>
                              <w:pStyle w:val="Caption"/>
                              <w:rPr>
                                <w:noProof/>
                                <w:sz w:val="22"/>
                                <w:szCs w:val="22"/>
                              </w:rPr>
                            </w:pPr>
                            <w:r>
                              <w:t xml:space="preserve">Figure </w:t>
                            </w:r>
                            <w:fldSimple w:instr=" SEQ Figure \* ARABIC ">
                              <w:r>
                                <w:rPr>
                                  <w:noProof/>
                                </w:rPr>
                                <w:t>5</w:t>
                              </w:r>
                            </w:fldSimple>
                            <w:r>
                              <w:t xml:space="preserve"> Fact Workforce schema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AC0D81F" id="_x0000_s1028" type="#_x0000_t202" style="position:absolute;margin-left:-8.4pt;margin-top:381.6pt;width:504.6pt;height:.0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DyJGgIAAD8EAAAOAAAAZHJzL2Uyb0RvYy54bWysU8Fu2zAMvQ/YPwi6L06yri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" stroked="f">
                <v:textbox style="mso-fit-shape-to-text:t" inset="0,0,0,0">
                  <w:txbxContent>
                    <w:p w14:paraId="05EF7E37" w14:textId="3FD6B85D" w:rsidR="009D4E73" w:rsidRPr="003C1422" w:rsidRDefault="009D4E73" w:rsidP="009D4E73">
                      <w:pPr>
                        <w:pStyle w:val="Caption"/>
                        <w:rPr>
                          <w:noProof/>
                          <w:sz w:val="22"/>
                          <w:szCs w:val="22"/>
                        </w:rPr>
                      </w:pPr>
                      <w:r>
                        <w:t xml:space="preserve">Figure </w:t>
                      </w:r>
                      <w:fldSimple w:instr=" SEQ Figure \* ARABIC ">
                        <w:r>
                          <w:rPr>
                            <w:noProof/>
                          </w:rPr>
                          <w:t>5</w:t>
                        </w:r>
                      </w:fldSimple>
                      <w:r>
                        <w:t xml:space="preserve"> Fact Workforce schema</w:t>
                      </w:r>
                    </w:p>
                  </w:txbxContent>
                </v:textbox>
                <w10:wrap type="through"/>
              </v:shape>
            </w:pict>
          </mc:Fallback>
        </mc:AlternateContent>
      </w:r>
      <w:r w:rsidR="00B14EC9">
        <w:rPr>
          <w:noProof/>
        </w:rPr>
        <w:drawing>
          <wp:anchor distT="0" distB="0" distL="114300" distR="114300" simplePos="0" relativeHeight="251671552" behindDoc="0" locked="0" layoutInCell="1" allowOverlap="1" wp14:anchorId="6DBF5460" wp14:editId="65868721">
            <wp:simplePos x="0" y="0"/>
            <wp:positionH relativeFrom="column">
              <wp:posOffset>-830580</wp:posOffset>
            </wp:positionH>
            <wp:positionV relativeFrom="paragraph">
              <wp:posOffset>0</wp:posOffset>
            </wp:positionV>
            <wp:extent cx="7132320" cy="4785360"/>
            <wp:effectExtent l="0" t="0" r="0" b="0"/>
            <wp:wrapThrough wrapText="bothSides">
              <wp:wrapPolygon edited="0">
                <wp:start x="0" y="0"/>
                <wp:lineTo x="0" y="21497"/>
                <wp:lineTo x="21519" y="21497"/>
                <wp:lineTo x="21519" y="0"/>
                <wp:lineTo x="0" y="0"/>
              </wp:wrapPolygon>
            </wp:wrapThrough>
            <wp:docPr id="15841569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5697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7132320" cy="4785360"/>
                    </a:xfrm>
                    <a:prstGeom prst="rect">
                      <a:avLst/>
                    </a:prstGeom>
                  </pic:spPr>
                </pic:pic>
              </a:graphicData>
            </a:graphic>
            <wp14:sizeRelH relativeFrom="margin">
              <wp14:pctWidth>0</wp14:pctWidth>
            </wp14:sizeRelH>
            <wp14:sizeRelV relativeFrom="margin">
              <wp14:pctHeight>0</wp14:pctHeight>
            </wp14:sizeRelV>
          </wp:anchor>
        </w:drawing>
      </w:r>
    </w:p>
    <w:p w14:paraId="67275979" w14:textId="77777777" w:rsidR="00A10249" w:rsidRDefault="00A10249"/>
    <w:p w14:paraId="04745BD9" w14:textId="14510566" w:rsidR="00FC47E5" w:rsidRDefault="007355EF" w:rsidP="00575CDF">
      <w:pPr>
        <w:jc w:val="both"/>
      </w:pPr>
      <w:r>
        <w:t>Master data is managed through dimensions. Metadata tables document source systems, transformation rules, ownership and lineage. Aggregate tables store monthly indicators such as occupancy rates, RTT performance and average treatment costs.</w:t>
      </w:r>
      <w:r>
        <w:br/>
        <w:t xml:space="preserve">This structure enables executives to </w:t>
      </w:r>
      <w:r w:rsidR="003C62A7">
        <w:t>analyze</w:t>
      </w:r>
      <w:r>
        <w:t xml:space="preserve"> healthcare delivery from multiple perspectives. Performance can be evaluated by region, hospital, service, specialty, patient cohort or </w:t>
      </w:r>
      <w:r w:rsidR="00697F7E">
        <w:t>time</w:t>
      </w:r>
      <w:r>
        <w:t>. The warehouse remains scalable and can accommodate future requirements including population health analytics and advanced predictive modelling.</w:t>
      </w:r>
    </w:p>
    <w:p w14:paraId="498CDF9F" w14:textId="77777777" w:rsidR="00AF6D21" w:rsidRDefault="00AF6D21"/>
    <w:p w14:paraId="09857F94" w14:textId="77777777" w:rsidR="00AF6D21" w:rsidRDefault="00AF6D21"/>
    <w:p w14:paraId="69BD9EBD" w14:textId="77777777" w:rsidR="003F15AE" w:rsidRDefault="003F15AE" w:rsidP="00A10249">
      <w:pPr>
        <w:rPr>
          <w:b/>
          <w:bCs/>
          <w:color w:val="4F81BD" w:themeColor="accent1"/>
          <w:sz w:val="32"/>
          <w:szCs w:val="32"/>
        </w:rPr>
      </w:pPr>
    </w:p>
    <w:p w14:paraId="7EF4437C" w14:textId="563927ED" w:rsidR="00FC47E5" w:rsidRPr="00E9665A" w:rsidRDefault="007355EF" w:rsidP="00A10249">
      <w:pPr>
        <w:rPr>
          <w:b/>
          <w:bCs/>
          <w:color w:val="4F81BD" w:themeColor="accent1"/>
          <w:sz w:val="32"/>
          <w:szCs w:val="32"/>
        </w:rPr>
      </w:pPr>
      <w:r w:rsidRPr="00E9665A">
        <w:rPr>
          <w:b/>
          <w:bCs/>
          <w:color w:val="4F81BD" w:themeColor="accent1"/>
          <w:sz w:val="32"/>
          <w:szCs w:val="32"/>
        </w:rPr>
        <w:lastRenderedPageBreak/>
        <w:t>Data Marts</w:t>
      </w:r>
    </w:p>
    <w:p w14:paraId="576B934B" w14:textId="77777777" w:rsidR="003F15AE" w:rsidRDefault="007355EF" w:rsidP="00575CDF">
      <w:pPr>
        <w:jc w:val="both"/>
      </w:pPr>
      <w:r>
        <w:t xml:space="preserve">The Operations Data Mart focuses on service delivery and capacity management. Fact Operations stores occupancy rates, waiting list counts, ambulance delays and theatre </w:t>
      </w:r>
      <w:r w:rsidR="00277DFE">
        <w:t>utilization</w:t>
      </w:r>
      <w:r>
        <w:t>. Dimensions include hospital, service, region and time</w:t>
      </w:r>
      <w:r w:rsidR="00904A1F">
        <w:t xml:space="preserve"> [1</w:t>
      </w:r>
      <w:r w:rsidR="00100E89">
        <w:t>0</w:t>
      </w:r>
      <w:r w:rsidR="00904A1F">
        <w:t>]</w:t>
      </w:r>
      <w:r>
        <w:t>.</w:t>
      </w:r>
    </w:p>
    <w:p w14:paraId="41DC59EB" w14:textId="77777777" w:rsidR="003F15AE" w:rsidRDefault="007355EF" w:rsidP="00575CDF">
      <w:pPr>
        <w:jc w:val="both"/>
      </w:pPr>
      <w:r>
        <w:t>The Finance Data Mart focuses on expenditure and budget control. Fact Finance contains spending, income and variance measures linked to hospital, service and time dimensions. Decision-makers can identify cost pressures and monitor efficiency.</w:t>
      </w:r>
    </w:p>
    <w:p w14:paraId="32464A4A" w14:textId="77777777" w:rsidR="003F15AE" w:rsidRDefault="007355EF" w:rsidP="00575CDF">
      <w:pPr>
        <w:jc w:val="both"/>
      </w:pPr>
      <w:r>
        <w:t>The Clinical Quality Data Mart focuses on patient outcomes. Fact Quality stores mortality indicators, readmission rates, infection measures and safety incidents. Dimensions include patient, treatment, hospital and time.</w:t>
      </w:r>
    </w:p>
    <w:p w14:paraId="306A99D7" w14:textId="77777777" w:rsidR="003F15AE" w:rsidRDefault="007355EF" w:rsidP="00575CDF">
      <w:pPr>
        <w:jc w:val="both"/>
      </w:pPr>
      <w:r>
        <w:t>The Workforce Data Mart supports workforce planning. Fact Workforce contains vacancy levels, sickness absence, agency expenditure and overtime usage. Dimensions include staff role, department, hospital and time</w:t>
      </w:r>
      <w:r w:rsidR="008F6896">
        <w:t xml:space="preserve"> [1</w:t>
      </w:r>
      <w:r w:rsidR="00100E89">
        <w:t>1</w:t>
      </w:r>
      <w:r w:rsidR="008F6896">
        <w:t>]</w:t>
      </w:r>
      <w:r>
        <w:t>.</w:t>
      </w:r>
    </w:p>
    <w:p w14:paraId="7BCDD9F7" w14:textId="049CA4DA" w:rsidR="00FC47E5" w:rsidRDefault="007355EF" w:rsidP="00575CDF">
      <w:pPr>
        <w:jc w:val="both"/>
      </w:pPr>
      <w:r>
        <w:t>Together these marts provide targeted analytical environments while ensuring consistency through the enterprise warehouse architecture</w:t>
      </w:r>
      <w:r w:rsidR="00F21AB9">
        <w:t xml:space="preserve"> [1</w:t>
      </w:r>
      <w:r w:rsidR="002B1030">
        <w:t>2</w:t>
      </w:r>
      <w:r w:rsidR="00F21AB9">
        <w:t>]</w:t>
      </w:r>
      <w:r>
        <w:t>.</w:t>
      </w:r>
    </w:p>
    <w:p w14:paraId="43E50541" w14:textId="77777777" w:rsidR="004D4EC5" w:rsidRDefault="004D4EC5" w:rsidP="00CE4219"/>
    <w:p w14:paraId="232FC48E" w14:textId="57CF39B0" w:rsidR="00FC47E5" w:rsidRPr="00E9665A" w:rsidRDefault="007355EF" w:rsidP="002A150C">
      <w:pPr>
        <w:rPr>
          <w:b/>
          <w:bCs/>
          <w:color w:val="4F81BD" w:themeColor="accent1"/>
          <w:sz w:val="32"/>
          <w:szCs w:val="32"/>
        </w:rPr>
      </w:pPr>
      <w:r w:rsidRPr="00E9665A">
        <w:rPr>
          <w:b/>
          <w:bCs/>
          <w:color w:val="4F81BD" w:themeColor="accent1"/>
          <w:sz w:val="32"/>
          <w:szCs w:val="32"/>
        </w:rPr>
        <w:t>ETL Plan</w:t>
      </w:r>
    </w:p>
    <w:p w14:paraId="64C6C8A6" w14:textId="77777777" w:rsidR="003F15AE" w:rsidRDefault="007355EF" w:rsidP="00575CDF">
      <w:pPr>
        <w:jc w:val="both"/>
      </w:pPr>
      <w:r>
        <w:t>Extraction begins by collecting data from EPR, PAS, finance, workforce and quality systems. Data is transferred into a secure staging environment where validation checks are applied.</w:t>
      </w:r>
    </w:p>
    <w:p w14:paraId="1797A36A" w14:textId="77777777" w:rsidR="003F15AE" w:rsidRDefault="007355EF" w:rsidP="00575CDF">
      <w:pPr>
        <w:jc w:val="both"/>
      </w:pPr>
      <w:r>
        <w:t xml:space="preserve">Transformation activities include cleansing duplicate records, validating NHS numbers, </w:t>
      </w:r>
      <w:r w:rsidR="003C62A7">
        <w:t>standardizing</w:t>
      </w:r>
      <w:r>
        <w:t xml:space="preserve"> diagnosis codes, </w:t>
      </w:r>
      <w:r w:rsidR="003C62A7">
        <w:t>harmonizing</w:t>
      </w:r>
      <w:r>
        <w:t xml:space="preserve"> </w:t>
      </w:r>
      <w:r w:rsidR="003C62A7">
        <w:t>organizational</w:t>
      </w:r>
      <w:r>
        <w:t xml:space="preserve"> identifiers and converting data into common formats. Business rules ensure consistency across regions and trusts.</w:t>
      </w:r>
    </w:p>
    <w:p w14:paraId="581BE571" w14:textId="77777777" w:rsidR="003F15AE" w:rsidRDefault="007355EF" w:rsidP="00575CDF">
      <w:pPr>
        <w:jc w:val="both"/>
      </w:pPr>
      <w:r>
        <w:t>Aggregations are created for executive dashboards and performance reporting. Monthly indicators, regional summaries and trend measures are calculated during transformation.</w:t>
      </w:r>
    </w:p>
    <w:p w14:paraId="1A1A9744" w14:textId="413E10AB" w:rsidR="004D4EC5" w:rsidRDefault="007355EF" w:rsidP="00575CDF">
      <w:pPr>
        <w:jc w:val="both"/>
      </w:pPr>
      <w:r>
        <w:t xml:space="preserve">Loading occurs first into dimension tables and then into fact tables. Incremental updates </w:t>
      </w:r>
      <w:r w:rsidR="003C62A7">
        <w:t>minimize</w:t>
      </w:r>
      <w:r>
        <w:t xml:space="preserve"> processing overhead and support timely reporting. Metadata records capture lineage, ownership and audit information throughout the process.</w:t>
      </w:r>
    </w:p>
    <w:p w14:paraId="40BC94E8" w14:textId="77777777" w:rsidR="00D80BDD" w:rsidRDefault="00D80BDD">
      <w:pPr>
        <w:pStyle w:val="Heading1"/>
      </w:pPr>
    </w:p>
    <w:p w14:paraId="1599DB79" w14:textId="77777777" w:rsidR="00A10249" w:rsidRPr="00A10249" w:rsidRDefault="00A10249" w:rsidP="00A10249"/>
    <w:p w14:paraId="4D479E53" w14:textId="77777777" w:rsidR="00DC1C53" w:rsidRDefault="00DC1C53" w:rsidP="00DC1C53"/>
    <w:p w14:paraId="29B4D3A7" w14:textId="77777777" w:rsidR="003F15AE" w:rsidRDefault="003F15AE" w:rsidP="00DC1C53">
      <w:pPr>
        <w:rPr>
          <w:b/>
          <w:bCs/>
          <w:color w:val="4F81BD" w:themeColor="accent1"/>
          <w:sz w:val="32"/>
          <w:szCs w:val="32"/>
        </w:rPr>
      </w:pPr>
    </w:p>
    <w:p w14:paraId="2411B123" w14:textId="05124A30" w:rsidR="00FC47E5" w:rsidRPr="00E9665A" w:rsidRDefault="007355EF" w:rsidP="00DC1C53">
      <w:pPr>
        <w:rPr>
          <w:b/>
          <w:bCs/>
          <w:color w:val="4F81BD" w:themeColor="accent1"/>
          <w:sz w:val="32"/>
          <w:szCs w:val="32"/>
        </w:rPr>
      </w:pPr>
      <w:r w:rsidRPr="00E9665A">
        <w:rPr>
          <w:b/>
          <w:bCs/>
          <w:color w:val="4F81BD" w:themeColor="accent1"/>
          <w:sz w:val="32"/>
          <w:szCs w:val="32"/>
        </w:rPr>
        <w:lastRenderedPageBreak/>
        <w:t>Data Quality &amp; Governance</w:t>
      </w:r>
    </w:p>
    <w:p w14:paraId="7DA730A3" w14:textId="77777777" w:rsidR="003F15AE" w:rsidRDefault="007355EF" w:rsidP="00575CDF">
      <w:pPr>
        <w:jc w:val="both"/>
      </w:pPr>
      <w:r>
        <w:t>Strong governance is essential for successful implementation. Data must be accurate, complete, timely and consistent. Validation rules should identify missing values, duplicate records and coding errors during ETL processing. Data stewardship responsibilities must be clearly defined and ownership assigned to appropriate departments.</w:t>
      </w:r>
    </w:p>
    <w:p w14:paraId="55C56328" w14:textId="1201DE78" w:rsidR="00FC47E5" w:rsidRDefault="007355EF" w:rsidP="00575CDF">
      <w:pPr>
        <w:jc w:val="both"/>
      </w:pPr>
      <w:r>
        <w:t>Security controls should follow role-based access principles. Sensitive information must be protected in accordance with UK GDPR, NHS information governance standards and cybersecurity policies. Regular auditing, metadata management, quality monitoring and change control processes are required to maintain trust and ensure regulatory compliance throughout the warehouse lifecycle.</w:t>
      </w:r>
    </w:p>
    <w:p w14:paraId="79F7CD2A" w14:textId="77777777" w:rsidR="00A10249" w:rsidRDefault="00A10249" w:rsidP="006F7899">
      <w:pPr>
        <w:pBdr>
          <w:bottom w:val="single" w:sz="4" w:space="1" w:color="auto"/>
        </w:pBdr>
        <w:rPr>
          <w:b/>
          <w:bCs/>
          <w:sz w:val="32"/>
          <w:szCs w:val="32"/>
        </w:rPr>
      </w:pPr>
    </w:p>
    <w:p w14:paraId="78CF61BB" w14:textId="77777777" w:rsidR="00A10249" w:rsidRDefault="00A10249" w:rsidP="00DC1C53">
      <w:pPr>
        <w:rPr>
          <w:b/>
          <w:bCs/>
          <w:sz w:val="32"/>
          <w:szCs w:val="32"/>
        </w:rPr>
      </w:pPr>
    </w:p>
    <w:p w14:paraId="3563F929" w14:textId="77777777" w:rsidR="006F7899" w:rsidRDefault="006F7899" w:rsidP="00DC1C53">
      <w:pPr>
        <w:rPr>
          <w:b/>
          <w:bCs/>
          <w:color w:val="4F81BD" w:themeColor="accent1"/>
          <w:sz w:val="32"/>
          <w:szCs w:val="32"/>
        </w:rPr>
      </w:pPr>
    </w:p>
    <w:p w14:paraId="1079CE66" w14:textId="65241C71" w:rsidR="00FC47E5" w:rsidRPr="00E9665A" w:rsidRDefault="007355EF" w:rsidP="00DC1C53">
      <w:pPr>
        <w:rPr>
          <w:b/>
          <w:bCs/>
          <w:color w:val="4F81BD" w:themeColor="accent1"/>
          <w:sz w:val="32"/>
          <w:szCs w:val="32"/>
        </w:rPr>
      </w:pPr>
      <w:r w:rsidRPr="00E9665A">
        <w:rPr>
          <w:b/>
          <w:bCs/>
          <w:color w:val="4F81BD" w:themeColor="accent1"/>
          <w:sz w:val="32"/>
          <w:szCs w:val="32"/>
        </w:rPr>
        <w:t>Conclusion</w:t>
      </w:r>
    </w:p>
    <w:p w14:paraId="2BEFE2DE" w14:textId="397EFD7B" w:rsidR="00FC47E5" w:rsidRDefault="007355EF" w:rsidP="00575CDF">
      <w:pPr>
        <w:jc w:val="both"/>
      </w:pPr>
      <w:r>
        <w:t xml:space="preserve">A strategic enterprise data warehouse will provide NHS England with an integrated and trusted source of information for decision-making. By consolidating patient, workforce, financial and operational data, leaders can gain a comprehensive understanding of healthcare performance across England. Data </w:t>
      </w:r>
      <w:r w:rsidR="004D4EC5">
        <w:t>Marts</w:t>
      </w:r>
      <w:r>
        <w:t xml:space="preserve"> provide targeted insights for executives while dimensional modelling supports efficient reporting and analysis. The proposed ETL framework ensures reliable integration without disrupting healthcare services. Combined with strong governance and quality management, the warehouse will support operational efficiency, improved patient outcomes and long-term sustainability.</w:t>
      </w:r>
    </w:p>
    <w:p w14:paraId="5C57FAC1" w14:textId="77777777" w:rsidR="00D803B8" w:rsidRDefault="00D803B8" w:rsidP="00575CDF">
      <w:pPr>
        <w:jc w:val="both"/>
      </w:pPr>
    </w:p>
    <w:p w14:paraId="2A57B9C0" w14:textId="77777777" w:rsidR="00D803B8" w:rsidRDefault="00D803B8" w:rsidP="00575CDF">
      <w:pPr>
        <w:jc w:val="both"/>
      </w:pPr>
    </w:p>
    <w:p w14:paraId="2D23FB21" w14:textId="77777777" w:rsidR="00D803B8" w:rsidRDefault="00D803B8" w:rsidP="00575CDF">
      <w:pPr>
        <w:jc w:val="both"/>
      </w:pPr>
    </w:p>
    <w:p w14:paraId="57D0C82B" w14:textId="77777777" w:rsidR="00D803B8" w:rsidRDefault="00D803B8" w:rsidP="00575CDF">
      <w:pPr>
        <w:jc w:val="both"/>
      </w:pPr>
    </w:p>
    <w:p w14:paraId="1EFFAEB6" w14:textId="77777777" w:rsidR="00D803B8" w:rsidRDefault="00D803B8" w:rsidP="00575CDF">
      <w:pPr>
        <w:jc w:val="both"/>
      </w:pPr>
    </w:p>
    <w:p w14:paraId="55F11394" w14:textId="77777777" w:rsidR="00D803B8" w:rsidRDefault="00D803B8" w:rsidP="00575CDF">
      <w:pPr>
        <w:jc w:val="both"/>
      </w:pPr>
    </w:p>
    <w:p w14:paraId="4B05CFB0" w14:textId="77777777" w:rsidR="00D803B8" w:rsidRDefault="00D803B8" w:rsidP="00575CDF">
      <w:pPr>
        <w:jc w:val="both"/>
      </w:pPr>
    </w:p>
    <w:p w14:paraId="6F6AC722" w14:textId="77777777" w:rsidR="00D803B8" w:rsidRDefault="00D803B8" w:rsidP="00575CDF">
      <w:pPr>
        <w:jc w:val="both"/>
      </w:pPr>
    </w:p>
    <w:p w14:paraId="655CFA7E" w14:textId="12D2323A" w:rsidR="00D803B8" w:rsidRPr="00E9665A" w:rsidRDefault="00D67041" w:rsidP="00D67041">
      <w:pPr>
        <w:rPr>
          <w:b/>
          <w:bCs/>
          <w:color w:val="4F81BD" w:themeColor="accent1"/>
          <w:sz w:val="32"/>
          <w:szCs w:val="32"/>
        </w:rPr>
      </w:pPr>
      <w:r w:rsidRPr="00E9665A">
        <w:rPr>
          <w:b/>
          <w:bCs/>
          <w:color w:val="4F81BD" w:themeColor="accent1"/>
          <w:sz w:val="32"/>
          <w:szCs w:val="32"/>
        </w:rPr>
        <w:lastRenderedPageBreak/>
        <w:t>References</w:t>
      </w:r>
    </w:p>
    <w:p w14:paraId="55E782C1" w14:textId="37B58A5B" w:rsidR="00242AA7" w:rsidRDefault="00242AA7" w:rsidP="00242AA7">
      <w:pPr>
        <w:pStyle w:val="pdq2pgselectionanchorcontainer"/>
      </w:pPr>
      <w:r>
        <w:rPr>
          <w:rStyle w:val="Strong"/>
        </w:rPr>
        <w:t>[1]</w:t>
      </w:r>
      <w:r>
        <w:t xml:space="preserve"> R. Kimball and M. Ross, </w:t>
      </w:r>
      <w:r>
        <w:rPr>
          <w:rStyle w:val="Emphasis"/>
        </w:rPr>
        <w:t>The Data Warehouse Toolkit: The Definitive Guide to Dimensional Modelling</w:t>
      </w:r>
      <w:r>
        <w:t>, 3rd ed. Indianapolis, IN, USA: Wiley, 2013.</w:t>
      </w:r>
    </w:p>
    <w:p w14:paraId="2D900F17" w14:textId="77777777" w:rsidR="00242AA7" w:rsidRDefault="00242AA7" w:rsidP="00242AA7">
      <w:pPr>
        <w:pStyle w:val="NormalWeb"/>
      </w:pPr>
      <w:r>
        <w:rPr>
          <w:rStyle w:val="Strong"/>
        </w:rPr>
        <w:t>[2]</w:t>
      </w:r>
      <w:r>
        <w:t xml:space="preserve"> W. H. Inmon, </w:t>
      </w:r>
      <w:r>
        <w:rPr>
          <w:rStyle w:val="Emphasis"/>
        </w:rPr>
        <w:t>Building the Data Warehouse</w:t>
      </w:r>
      <w:r>
        <w:t>, 4th ed. Indianapolis, IN, USA: Wiley, 2005.</w:t>
      </w:r>
    </w:p>
    <w:p w14:paraId="40E8DE63" w14:textId="0658C91D" w:rsidR="00BD0C99" w:rsidRDefault="00BD0C99" w:rsidP="00BD0C99">
      <w:pPr>
        <w:pStyle w:val="NormalWeb"/>
      </w:pPr>
      <w:r>
        <w:rPr>
          <w:rStyle w:val="Strong"/>
        </w:rPr>
        <w:t>[</w:t>
      </w:r>
      <w:r w:rsidR="007D7092">
        <w:rPr>
          <w:rStyle w:val="Strong"/>
        </w:rPr>
        <w:t>3</w:t>
      </w:r>
      <w:r>
        <w:rPr>
          <w:rStyle w:val="Strong"/>
        </w:rPr>
        <w:t>]</w:t>
      </w:r>
      <w:r>
        <w:t xml:space="preserve"> R. Kimball and J. Caserta, </w:t>
      </w:r>
      <w:r>
        <w:rPr>
          <w:rStyle w:val="Emphasis"/>
        </w:rPr>
        <w:t>The Data Warehouse ETL Toolkit: Practical Techniques for Extracting, Cleaning, Conforming, and Delivering Data</w:t>
      </w:r>
      <w:r>
        <w:t>. Indianapolis, IN, USA: Wiley, 2004.</w:t>
      </w:r>
    </w:p>
    <w:p w14:paraId="40A85069" w14:textId="79764723" w:rsidR="00BD0C99" w:rsidRDefault="00BD0C99" w:rsidP="00BD0C99">
      <w:pPr>
        <w:pStyle w:val="NormalWeb"/>
      </w:pPr>
      <w:r>
        <w:rPr>
          <w:rStyle w:val="Strong"/>
        </w:rPr>
        <w:t>[</w:t>
      </w:r>
      <w:r w:rsidR="0073524C">
        <w:rPr>
          <w:rStyle w:val="Strong"/>
        </w:rPr>
        <w:t>4</w:t>
      </w:r>
      <w:r>
        <w:rPr>
          <w:rStyle w:val="Strong"/>
        </w:rPr>
        <w:t>]</w:t>
      </w:r>
      <w:r>
        <w:t xml:space="preserve"> DAMA International, </w:t>
      </w:r>
      <w:r>
        <w:rPr>
          <w:rStyle w:val="Emphasis"/>
        </w:rPr>
        <w:t>The DAMA Guide to the Data Management Body of Knowledge (DAMA-DMBOK2)</w:t>
      </w:r>
      <w:r>
        <w:t>, 2nd ed. Basking Ridge, NJ, USA: Technics Publications, 2017.</w:t>
      </w:r>
    </w:p>
    <w:p w14:paraId="14219AD2" w14:textId="50EB3B7F" w:rsidR="00BD0C99" w:rsidRDefault="00BD0C99" w:rsidP="00BD0C99">
      <w:pPr>
        <w:pStyle w:val="NormalWeb"/>
      </w:pPr>
      <w:r>
        <w:rPr>
          <w:rStyle w:val="Strong"/>
        </w:rPr>
        <w:t>[</w:t>
      </w:r>
      <w:r w:rsidR="0073524C">
        <w:rPr>
          <w:rStyle w:val="Strong"/>
        </w:rPr>
        <w:t>5</w:t>
      </w:r>
      <w:r>
        <w:rPr>
          <w:rStyle w:val="Strong"/>
        </w:rPr>
        <w:t>]</w:t>
      </w:r>
      <w:r>
        <w:t xml:space="preserve"> </w:t>
      </w:r>
      <w:r>
        <w:rPr>
          <w:rStyle w:val="whitespace-normal"/>
        </w:rPr>
        <w:t>NHS England</w:t>
      </w:r>
      <w:r>
        <w:t xml:space="preserve">, </w:t>
      </w:r>
      <w:r>
        <w:rPr>
          <w:rStyle w:val="Emphasis"/>
        </w:rPr>
        <w:t>Data Saves Lives: Reshaping Health and Social Care with Data</w:t>
      </w:r>
      <w:r>
        <w:t>. London, U.K.: Department of Health and Social Care, 2022.</w:t>
      </w:r>
    </w:p>
    <w:p w14:paraId="1FACF2AA" w14:textId="069CB99D" w:rsidR="001E300C" w:rsidRDefault="001E300C" w:rsidP="001E300C">
      <w:pPr>
        <w:pStyle w:val="NormalWeb"/>
      </w:pPr>
      <w:r>
        <w:rPr>
          <w:rStyle w:val="Strong"/>
        </w:rPr>
        <w:t>[</w:t>
      </w:r>
      <w:r w:rsidR="005D48F1">
        <w:rPr>
          <w:rStyle w:val="Strong"/>
        </w:rPr>
        <w:t>6</w:t>
      </w:r>
      <w:r>
        <w:rPr>
          <w:rStyle w:val="Strong"/>
        </w:rPr>
        <w:t>]</w:t>
      </w:r>
      <w:r>
        <w:t xml:space="preserve"> E. Turban, R. Sharda, and D. Delen, </w:t>
      </w:r>
      <w:r>
        <w:rPr>
          <w:rStyle w:val="Emphasis"/>
        </w:rPr>
        <w:t>Decision Support and Business Intelligence Systems</w:t>
      </w:r>
      <w:r>
        <w:t>, 10th ed. Harlow, U.K.: Pearson, 2015.</w:t>
      </w:r>
    </w:p>
    <w:p w14:paraId="48E616C9" w14:textId="45A17996" w:rsidR="001E300C" w:rsidRDefault="001E300C" w:rsidP="001E300C">
      <w:pPr>
        <w:pStyle w:val="NormalWeb"/>
      </w:pPr>
      <w:r>
        <w:rPr>
          <w:rStyle w:val="Strong"/>
        </w:rPr>
        <w:t>[</w:t>
      </w:r>
      <w:r w:rsidR="005D48F1">
        <w:rPr>
          <w:rStyle w:val="Strong"/>
        </w:rPr>
        <w:t>7</w:t>
      </w:r>
      <w:r>
        <w:rPr>
          <w:rStyle w:val="Strong"/>
        </w:rPr>
        <w:t>]</w:t>
      </w:r>
      <w:r>
        <w:t xml:space="preserve"> C. Howson, </w:t>
      </w:r>
      <w:r>
        <w:rPr>
          <w:rStyle w:val="Emphasis"/>
        </w:rPr>
        <w:t>Successful Business Intelligence: Unlock the Value of BI and Big Data</w:t>
      </w:r>
      <w:r>
        <w:t>, 2nd ed. New York, NY, USA: McGraw-Hill Education, 2013.</w:t>
      </w:r>
    </w:p>
    <w:p w14:paraId="14C1BB37" w14:textId="34D87FCF" w:rsidR="006F6C82" w:rsidRDefault="006F6C82" w:rsidP="006F6C82">
      <w:pPr>
        <w:pStyle w:val="pdq2pgselectionanchorcontainer"/>
      </w:pPr>
      <w:r>
        <w:rPr>
          <w:rStyle w:val="Strong"/>
        </w:rPr>
        <w:t>[</w:t>
      </w:r>
      <w:r w:rsidR="005D48F1">
        <w:rPr>
          <w:rStyle w:val="Strong"/>
        </w:rPr>
        <w:t>8</w:t>
      </w:r>
      <w:r>
        <w:rPr>
          <w:rStyle w:val="Strong"/>
        </w:rPr>
        <w:t>]</w:t>
      </w:r>
      <w:r>
        <w:t xml:space="preserve"> A. Silberschatz, H. F. Korth, and S. Sudarshan, </w:t>
      </w:r>
      <w:r>
        <w:rPr>
          <w:rStyle w:val="Emphasis"/>
        </w:rPr>
        <w:t>Database System Concepts</w:t>
      </w:r>
      <w:r>
        <w:t>, 7th ed. New York, NY, USA: McGraw-Hill, 2019.</w:t>
      </w:r>
    </w:p>
    <w:p w14:paraId="0879A9A9" w14:textId="701FF2B0" w:rsidR="006F6C82" w:rsidRDefault="006F6C82" w:rsidP="006F6C82">
      <w:pPr>
        <w:pStyle w:val="NormalWeb"/>
      </w:pPr>
      <w:r>
        <w:rPr>
          <w:rStyle w:val="Strong"/>
        </w:rPr>
        <w:t>[</w:t>
      </w:r>
      <w:r w:rsidR="005D48F1">
        <w:rPr>
          <w:rStyle w:val="Strong"/>
        </w:rPr>
        <w:t>9</w:t>
      </w:r>
      <w:r>
        <w:rPr>
          <w:rStyle w:val="Strong"/>
        </w:rPr>
        <w:t>]</w:t>
      </w:r>
      <w:r>
        <w:t xml:space="preserve"> M. </w:t>
      </w:r>
      <w:proofErr w:type="spellStart"/>
      <w:r>
        <w:t>Golfarelli</w:t>
      </w:r>
      <w:proofErr w:type="spellEnd"/>
      <w:r>
        <w:t xml:space="preserve"> and S. Rizzi, </w:t>
      </w:r>
      <w:r>
        <w:rPr>
          <w:rStyle w:val="Emphasis"/>
        </w:rPr>
        <w:t>Data Warehouse Design: Modern Principles and Methodologies</w:t>
      </w:r>
      <w:r>
        <w:t>. New York, NY, USA: McGraw-Hill, 2009.</w:t>
      </w:r>
    </w:p>
    <w:p w14:paraId="5EA831AC" w14:textId="7CBB4045" w:rsidR="00D42182" w:rsidRDefault="00D42182" w:rsidP="00D42182">
      <w:pPr>
        <w:pStyle w:val="pdq2pgselectionanchorcontainer"/>
      </w:pPr>
      <w:r>
        <w:rPr>
          <w:rStyle w:val="Strong"/>
        </w:rPr>
        <w:t>[1</w:t>
      </w:r>
      <w:r w:rsidR="005D48F1">
        <w:rPr>
          <w:rStyle w:val="Strong"/>
        </w:rPr>
        <w:t>0</w:t>
      </w:r>
      <w:r>
        <w:rPr>
          <w:rStyle w:val="Strong"/>
        </w:rPr>
        <w:t>]</w:t>
      </w:r>
      <w:r>
        <w:t xml:space="preserve"> C. Adamson, </w:t>
      </w:r>
      <w:r>
        <w:rPr>
          <w:rStyle w:val="Emphasis"/>
        </w:rPr>
        <w:t>Star Schema: The Complete Reference</w:t>
      </w:r>
      <w:r>
        <w:t>. New York, NY, USA: McGraw-Hill, 2010.</w:t>
      </w:r>
    </w:p>
    <w:p w14:paraId="75867CE8" w14:textId="53BBC6AD" w:rsidR="00D42182" w:rsidRDefault="00D42182" w:rsidP="00D42182">
      <w:pPr>
        <w:pStyle w:val="NormalWeb"/>
      </w:pPr>
      <w:r>
        <w:rPr>
          <w:rStyle w:val="Strong"/>
        </w:rPr>
        <w:t>[1</w:t>
      </w:r>
      <w:r w:rsidR="005D48F1">
        <w:rPr>
          <w:rStyle w:val="Strong"/>
        </w:rPr>
        <w:t>1</w:t>
      </w:r>
      <w:r>
        <w:rPr>
          <w:rStyle w:val="Strong"/>
        </w:rPr>
        <w:t>]</w:t>
      </w:r>
      <w:r>
        <w:t xml:space="preserve"> </w:t>
      </w:r>
      <w:r>
        <w:rPr>
          <w:rStyle w:val="whitespace-normal"/>
        </w:rPr>
        <w:t>World Health Organization</w:t>
      </w:r>
      <w:r>
        <w:t xml:space="preserve">, </w:t>
      </w:r>
      <w:r>
        <w:rPr>
          <w:rStyle w:val="Emphasis"/>
        </w:rPr>
        <w:t>National Health Workforce Accounts: A Handbook</w:t>
      </w:r>
      <w:r>
        <w:t>. Geneva, Switzerland: World Health Organization, 2017.</w:t>
      </w:r>
    </w:p>
    <w:p w14:paraId="4372BFED" w14:textId="54AAA52F" w:rsidR="00D42182" w:rsidRDefault="00D42182" w:rsidP="00D42182">
      <w:pPr>
        <w:pStyle w:val="NormalWeb"/>
      </w:pPr>
      <w:r>
        <w:rPr>
          <w:rStyle w:val="Strong"/>
        </w:rPr>
        <w:t>[1</w:t>
      </w:r>
      <w:r w:rsidR="005D48F1">
        <w:rPr>
          <w:rStyle w:val="Strong"/>
        </w:rPr>
        <w:t>2</w:t>
      </w:r>
      <w:r>
        <w:rPr>
          <w:rStyle w:val="Strong"/>
        </w:rPr>
        <w:t>]</w:t>
      </w:r>
      <w:r>
        <w:t xml:space="preserve"> P. Ponniah, </w:t>
      </w:r>
      <w:r>
        <w:rPr>
          <w:rStyle w:val="Emphasis"/>
        </w:rPr>
        <w:t>Data Warehousing Fundamentals for IT Professionals</w:t>
      </w:r>
      <w:r>
        <w:t>, 2nd ed. Hoboken, NJ, USA: Wiley, 2010.</w:t>
      </w:r>
    </w:p>
    <w:p w14:paraId="55B87E52" w14:textId="77777777" w:rsidR="00D42182" w:rsidRDefault="00D42182" w:rsidP="006F6C82">
      <w:pPr>
        <w:pStyle w:val="NormalWeb"/>
      </w:pPr>
    </w:p>
    <w:p w14:paraId="49B07B2B" w14:textId="77777777" w:rsidR="00D67041" w:rsidRDefault="00D67041" w:rsidP="00D67041">
      <w:pPr>
        <w:rPr>
          <w:b/>
          <w:bCs/>
          <w:sz w:val="32"/>
          <w:szCs w:val="32"/>
        </w:rPr>
      </w:pPr>
    </w:p>
    <w:p w14:paraId="3A68A99E" w14:textId="77777777" w:rsidR="00D67041" w:rsidRPr="00D67041" w:rsidRDefault="00D67041" w:rsidP="00D67041">
      <w:pPr>
        <w:rPr>
          <w:b/>
          <w:bCs/>
          <w:sz w:val="32"/>
          <w:szCs w:val="32"/>
        </w:rPr>
      </w:pPr>
    </w:p>
    <w:sectPr w:rsidR="00D67041" w:rsidRPr="00D67041" w:rsidSect="00F81ABB">
      <w:footerReference w:type="default" r:id="rId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DBD72" w14:textId="77777777" w:rsidR="00ED4DD1" w:rsidRDefault="00ED4DD1" w:rsidP="00EA06EA">
      <w:pPr>
        <w:spacing w:after="0" w:line="240" w:lineRule="auto"/>
      </w:pPr>
      <w:r>
        <w:separator/>
      </w:r>
    </w:p>
  </w:endnote>
  <w:endnote w:type="continuationSeparator" w:id="0">
    <w:p w14:paraId="3003D4ED" w14:textId="77777777" w:rsidR="00ED4DD1" w:rsidRDefault="00ED4DD1" w:rsidP="00EA0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989733"/>
      <w:docPartObj>
        <w:docPartGallery w:val="Page Numbers (Bottom of Page)"/>
        <w:docPartUnique/>
      </w:docPartObj>
    </w:sdtPr>
    <w:sdtEndPr>
      <w:rPr>
        <w:color w:val="7F7F7F" w:themeColor="background1" w:themeShade="7F"/>
        <w:spacing w:val="60"/>
      </w:rPr>
    </w:sdtEndPr>
    <w:sdtContent>
      <w:p w14:paraId="39D10749" w14:textId="2785E842" w:rsidR="00EA06EA" w:rsidRDefault="00EA06E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EF7726" w14:textId="77777777" w:rsidR="00EA06EA" w:rsidRDefault="00EA0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1C052" w14:textId="77777777" w:rsidR="00ED4DD1" w:rsidRDefault="00ED4DD1" w:rsidP="00EA06EA">
      <w:pPr>
        <w:spacing w:after="0" w:line="240" w:lineRule="auto"/>
      </w:pPr>
      <w:r>
        <w:separator/>
      </w:r>
    </w:p>
  </w:footnote>
  <w:footnote w:type="continuationSeparator" w:id="0">
    <w:p w14:paraId="0372B5BA" w14:textId="77777777" w:rsidR="00ED4DD1" w:rsidRDefault="00ED4DD1" w:rsidP="00EA06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78891986">
    <w:abstractNumId w:val="8"/>
  </w:num>
  <w:num w:numId="2" w16cid:durableId="965083976">
    <w:abstractNumId w:val="6"/>
  </w:num>
  <w:num w:numId="3" w16cid:durableId="609776918">
    <w:abstractNumId w:val="5"/>
  </w:num>
  <w:num w:numId="4" w16cid:durableId="1781997345">
    <w:abstractNumId w:val="4"/>
  </w:num>
  <w:num w:numId="5" w16cid:durableId="509181050">
    <w:abstractNumId w:val="7"/>
  </w:num>
  <w:num w:numId="6" w16cid:durableId="1645042631">
    <w:abstractNumId w:val="3"/>
  </w:num>
  <w:num w:numId="7" w16cid:durableId="2095009379">
    <w:abstractNumId w:val="2"/>
  </w:num>
  <w:num w:numId="8" w16cid:durableId="1094738822">
    <w:abstractNumId w:val="1"/>
  </w:num>
  <w:num w:numId="9" w16cid:durableId="245923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5976"/>
    <w:rsid w:val="00046468"/>
    <w:rsid w:val="00057C8B"/>
    <w:rsid w:val="0006063C"/>
    <w:rsid w:val="000618E9"/>
    <w:rsid w:val="00094D09"/>
    <w:rsid w:val="000B653F"/>
    <w:rsid w:val="000C021D"/>
    <w:rsid w:val="000D03EB"/>
    <w:rsid w:val="000E6E13"/>
    <w:rsid w:val="00100E89"/>
    <w:rsid w:val="00101A50"/>
    <w:rsid w:val="00114118"/>
    <w:rsid w:val="00130235"/>
    <w:rsid w:val="001405AA"/>
    <w:rsid w:val="0014131D"/>
    <w:rsid w:val="0014185F"/>
    <w:rsid w:val="00146472"/>
    <w:rsid w:val="0015072C"/>
    <w:rsid w:val="0015074B"/>
    <w:rsid w:val="001730AD"/>
    <w:rsid w:val="00180B55"/>
    <w:rsid w:val="001834E0"/>
    <w:rsid w:val="0019760E"/>
    <w:rsid w:val="00197691"/>
    <w:rsid w:val="001A75AA"/>
    <w:rsid w:val="001E056C"/>
    <w:rsid w:val="001E300C"/>
    <w:rsid w:val="002169DE"/>
    <w:rsid w:val="00240672"/>
    <w:rsid w:val="00242AA7"/>
    <w:rsid w:val="00252786"/>
    <w:rsid w:val="00254BE3"/>
    <w:rsid w:val="002728F3"/>
    <w:rsid w:val="002733D7"/>
    <w:rsid w:val="00273606"/>
    <w:rsid w:val="00275AA4"/>
    <w:rsid w:val="00277DFE"/>
    <w:rsid w:val="00290AEA"/>
    <w:rsid w:val="0029639D"/>
    <w:rsid w:val="002A150C"/>
    <w:rsid w:val="002B1030"/>
    <w:rsid w:val="002C2F28"/>
    <w:rsid w:val="00300BDE"/>
    <w:rsid w:val="00307FD4"/>
    <w:rsid w:val="0032390A"/>
    <w:rsid w:val="00326F90"/>
    <w:rsid w:val="0035074C"/>
    <w:rsid w:val="00354FDD"/>
    <w:rsid w:val="00366160"/>
    <w:rsid w:val="00367534"/>
    <w:rsid w:val="00390597"/>
    <w:rsid w:val="00390B3E"/>
    <w:rsid w:val="00393688"/>
    <w:rsid w:val="003B55DB"/>
    <w:rsid w:val="003B7588"/>
    <w:rsid w:val="003C62A7"/>
    <w:rsid w:val="003D755B"/>
    <w:rsid w:val="003F15AE"/>
    <w:rsid w:val="00400C1D"/>
    <w:rsid w:val="00403702"/>
    <w:rsid w:val="004223A2"/>
    <w:rsid w:val="00477DA7"/>
    <w:rsid w:val="004834CA"/>
    <w:rsid w:val="00484E9E"/>
    <w:rsid w:val="00494BDE"/>
    <w:rsid w:val="00497F73"/>
    <w:rsid w:val="004B0CD3"/>
    <w:rsid w:val="004B3C5E"/>
    <w:rsid w:val="004B7DE3"/>
    <w:rsid w:val="004C7CBE"/>
    <w:rsid w:val="004D4EC5"/>
    <w:rsid w:val="004F452C"/>
    <w:rsid w:val="00503D76"/>
    <w:rsid w:val="00524F48"/>
    <w:rsid w:val="00547D75"/>
    <w:rsid w:val="005511AB"/>
    <w:rsid w:val="00551E42"/>
    <w:rsid w:val="00564B31"/>
    <w:rsid w:val="00575CDF"/>
    <w:rsid w:val="005A39F5"/>
    <w:rsid w:val="005B7D43"/>
    <w:rsid w:val="005C18F2"/>
    <w:rsid w:val="005D48F1"/>
    <w:rsid w:val="005F4A7C"/>
    <w:rsid w:val="006329A1"/>
    <w:rsid w:val="006344B7"/>
    <w:rsid w:val="0066129C"/>
    <w:rsid w:val="00672F6B"/>
    <w:rsid w:val="006802E0"/>
    <w:rsid w:val="00697F7E"/>
    <w:rsid w:val="006A753F"/>
    <w:rsid w:val="006F5DCE"/>
    <w:rsid w:val="006F6C82"/>
    <w:rsid w:val="006F7899"/>
    <w:rsid w:val="007147D3"/>
    <w:rsid w:val="0073109A"/>
    <w:rsid w:val="0073524C"/>
    <w:rsid w:val="007355EF"/>
    <w:rsid w:val="00743526"/>
    <w:rsid w:val="00757166"/>
    <w:rsid w:val="007720B0"/>
    <w:rsid w:val="0077724F"/>
    <w:rsid w:val="007975A2"/>
    <w:rsid w:val="007C1332"/>
    <w:rsid w:val="007D47C4"/>
    <w:rsid w:val="007D7092"/>
    <w:rsid w:val="007E31FE"/>
    <w:rsid w:val="008056C8"/>
    <w:rsid w:val="008148B9"/>
    <w:rsid w:val="00824F19"/>
    <w:rsid w:val="008312A2"/>
    <w:rsid w:val="00831724"/>
    <w:rsid w:val="008427DE"/>
    <w:rsid w:val="00857B74"/>
    <w:rsid w:val="008704DE"/>
    <w:rsid w:val="008C57C4"/>
    <w:rsid w:val="008E0016"/>
    <w:rsid w:val="008E5A8B"/>
    <w:rsid w:val="008F64AD"/>
    <w:rsid w:val="008F6896"/>
    <w:rsid w:val="00904A1F"/>
    <w:rsid w:val="00907ADC"/>
    <w:rsid w:val="00916458"/>
    <w:rsid w:val="009471E5"/>
    <w:rsid w:val="00961FEF"/>
    <w:rsid w:val="00985030"/>
    <w:rsid w:val="009A2191"/>
    <w:rsid w:val="009A7412"/>
    <w:rsid w:val="009B4627"/>
    <w:rsid w:val="009D4E73"/>
    <w:rsid w:val="00A10249"/>
    <w:rsid w:val="00A25511"/>
    <w:rsid w:val="00A32D56"/>
    <w:rsid w:val="00A64343"/>
    <w:rsid w:val="00AA1D8D"/>
    <w:rsid w:val="00AA234C"/>
    <w:rsid w:val="00AA43CE"/>
    <w:rsid w:val="00AB6324"/>
    <w:rsid w:val="00AE0910"/>
    <w:rsid w:val="00AF6D21"/>
    <w:rsid w:val="00B14EC9"/>
    <w:rsid w:val="00B330F3"/>
    <w:rsid w:val="00B34006"/>
    <w:rsid w:val="00B37099"/>
    <w:rsid w:val="00B47730"/>
    <w:rsid w:val="00BB393A"/>
    <w:rsid w:val="00BD0C99"/>
    <w:rsid w:val="00C138D3"/>
    <w:rsid w:val="00C469BB"/>
    <w:rsid w:val="00C55AC0"/>
    <w:rsid w:val="00C74235"/>
    <w:rsid w:val="00C92E75"/>
    <w:rsid w:val="00CA6E8B"/>
    <w:rsid w:val="00CB0664"/>
    <w:rsid w:val="00CB2094"/>
    <w:rsid w:val="00CB77B8"/>
    <w:rsid w:val="00CE32A1"/>
    <w:rsid w:val="00CE4219"/>
    <w:rsid w:val="00CF4B30"/>
    <w:rsid w:val="00D0592F"/>
    <w:rsid w:val="00D34A5C"/>
    <w:rsid w:val="00D34C07"/>
    <w:rsid w:val="00D42182"/>
    <w:rsid w:val="00D5149C"/>
    <w:rsid w:val="00D601CD"/>
    <w:rsid w:val="00D67041"/>
    <w:rsid w:val="00D77E5F"/>
    <w:rsid w:val="00D803B8"/>
    <w:rsid w:val="00D80BDD"/>
    <w:rsid w:val="00DB58B2"/>
    <w:rsid w:val="00DC1C53"/>
    <w:rsid w:val="00DC439F"/>
    <w:rsid w:val="00DC46B4"/>
    <w:rsid w:val="00DD04F3"/>
    <w:rsid w:val="00DF24CF"/>
    <w:rsid w:val="00DF574C"/>
    <w:rsid w:val="00DF5EBF"/>
    <w:rsid w:val="00E04C9E"/>
    <w:rsid w:val="00E12AD6"/>
    <w:rsid w:val="00E31062"/>
    <w:rsid w:val="00E402FB"/>
    <w:rsid w:val="00E72FF5"/>
    <w:rsid w:val="00E822FD"/>
    <w:rsid w:val="00E961E1"/>
    <w:rsid w:val="00E9665A"/>
    <w:rsid w:val="00E979F8"/>
    <w:rsid w:val="00EA06EA"/>
    <w:rsid w:val="00EB63F0"/>
    <w:rsid w:val="00EB6A8B"/>
    <w:rsid w:val="00EC4488"/>
    <w:rsid w:val="00EC4B14"/>
    <w:rsid w:val="00ED4DD1"/>
    <w:rsid w:val="00EE1292"/>
    <w:rsid w:val="00EE147C"/>
    <w:rsid w:val="00F0208C"/>
    <w:rsid w:val="00F21AB9"/>
    <w:rsid w:val="00F27EC5"/>
    <w:rsid w:val="00F81ABB"/>
    <w:rsid w:val="00F86210"/>
    <w:rsid w:val="00FC47E5"/>
    <w:rsid w:val="00FC693F"/>
    <w:rsid w:val="00FE3C4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E77BC1"/>
  <w14:defaultImageDpi w14:val="300"/>
  <w15:docId w15:val="{4C72755C-8814-4C75-9321-35DE0373A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D601C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dq2pgselectionanchorcontainer">
    <w:name w:val="pdq2pg_selectionanchorcontainer"/>
    <w:basedOn w:val="Normal"/>
    <w:rsid w:val="00242A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whitespace-normal">
    <w:name w:val="whitespace-normal"/>
    <w:basedOn w:val="DefaultParagraphFont"/>
    <w:rsid w:val="00BD0C99"/>
  </w:style>
  <w:style w:type="character" w:customStyle="1" w:styleId="NoSpacingChar">
    <w:name w:val="No Spacing Char"/>
    <w:basedOn w:val="DefaultParagraphFont"/>
    <w:link w:val="NoSpacing"/>
    <w:uiPriority w:val="1"/>
    <w:rsid w:val="00354FDD"/>
  </w:style>
  <w:style w:type="character" w:styleId="Hyperlink">
    <w:name w:val="Hyperlink"/>
    <w:basedOn w:val="DefaultParagraphFont"/>
    <w:uiPriority w:val="99"/>
    <w:semiHidden/>
    <w:unhideWhenUsed/>
    <w:rsid w:val="00E72F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sv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proposes a strategic enterprise data warehouse for NHS England. The solution addresses the fragmented nature of operational, workforce, financial and clinical data currently stored across multiple systems. By integrating information from Electronic Patient Records, Patient Administration Systems, workforce platforms, financial applications and specialist clinical systems, NHS England can establish a single-trusted source of information for strategic decision-making. The proposed warehouse will support operational efficiency, patient flow management, workforce planning, financial control and quality improvement. Tailored data marts provide focused information for executives while maintaining consistency across the organization. The report also presents a dimensional modelling approach, ETL framework and governance strategy that enables secure, reliable and scalable analytics without disrupting healthcare operations.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15</Pages>
  <Words>3404</Words>
  <Characters>19409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22768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Md Abrar Jahin Almazi Bipon</dc:subject>
  <dc:creator>Mihai Adrian Lungu 2319950</dc:creator>
  <cp:keywords/>
  <dc:description>generated by python-docx</dc:description>
  <cp:lastModifiedBy>Mihai Adrian Lungu</cp:lastModifiedBy>
  <cp:revision>150</cp:revision>
  <dcterms:created xsi:type="dcterms:W3CDTF">2026-06-29T11:57:00Z</dcterms:created>
  <dcterms:modified xsi:type="dcterms:W3CDTF">2026-07-06T11:47:00Z</dcterms:modified>
  <cp:category>ACCA 6026</cp:category>
</cp:coreProperties>
</file>