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B08651" w14:textId="16FFC833" w:rsidR="00B17BB1" w:rsidRDefault="00B17BB1" w:rsidP="00B17B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56FC49C" wp14:editId="249C3090">
            <wp:extent cx="2261870" cy="859790"/>
            <wp:effectExtent l="0" t="0" r="5080" b="0"/>
            <wp:docPr id="9645575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1870" cy="859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569DD0" w14:textId="77777777" w:rsidR="00B17BB1" w:rsidRDefault="00B17BB1" w:rsidP="00B17BB1">
      <w:pPr>
        <w:spacing w:line="360" w:lineRule="auto"/>
        <w:rPr>
          <w:rFonts w:ascii="Arial" w:hAnsi="Arial" w:cs="Arial"/>
        </w:rPr>
      </w:pPr>
    </w:p>
    <w:p w14:paraId="0DAB5262" w14:textId="77777777" w:rsidR="00B17BB1" w:rsidRDefault="00B17BB1" w:rsidP="00B17BB1">
      <w:pPr>
        <w:spacing w:line="360" w:lineRule="auto"/>
        <w:rPr>
          <w:rFonts w:ascii="Arial" w:hAnsi="Arial" w:cs="Arial"/>
        </w:rPr>
      </w:pPr>
    </w:p>
    <w:p w14:paraId="699CCB9E" w14:textId="77777777" w:rsidR="00B17BB1" w:rsidRDefault="00B17BB1" w:rsidP="00B17BB1">
      <w:pPr>
        <w:spacing w:line="360" w:lineRule="auto"/>
        <w:rPr>
          <w:rFonts w:ascii="Arial" w:hAnsi="Arial" w:cs="Arial"/>
        </w:rPr>
      </w:pPr>
    </w:p>
    <w:p w14:paraId="0895B5D3" w14:textId="77777777" w:rsidR="00B17BB1" w:rsidRDefault="00B17BB1" w:rsidP="00B17BB1">
      <w:pPr>
        <w:spacing w:line="360" w:lineRule="auto"/>
        <w:rPr>
          <w:rFonts w:ascii="Arial" w:hAnsi="Arial" w:cs="Arial"/>
        </w:rPr>
      </w:pPr>
    </w:p>
    <w:p w14:paraId="263F9DA1" w14:textId="3F3C5500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7BB1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18EE5A7" w14:textId="56883EF3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7BB1">
        <w:rPr>
          <w:rFonts w:ascii="Arial" w:hAnsi="Arial" w:cs="Arial"/>
          <w:b/>
          <w:bCs/>
          <w:sz w:val="28"/>
          <w:szCs w:val="28"/>
        </w:rPr>
        <w:t>Module: Empowering the Older Person</w:t>
      </w:r>
    </w:p>
    <w:p w14:paraId="120D3267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7BB1">
        <w:rPr>
          <w:rFonts w:ascii="Arial" w:hAnsi="Arial" w:cs="Arial"/>
          <w:b/>
          <w:bCs/>
          <w:sz w:val="28"/>
          <w:szCs w:val="28"/>
        </w:rPr>
        <w:t>Module code: (BMHP6027_BIRM)</w:t>
      </w:r>
    </w:p>
    <w:p w14:paraId="1F536147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7BB1">
        <w:rPr>
          <w:rFonts w:ascii="Arial" w:hAnsi="Arial" w:cs="Arial"/>
          <w:b/>
          <w:bCs/>
          <w:sz w:val="28"/>
          <w:szCs w:val="28"/>
        </w:rPr>
        <w:t>Lecturer Name: Joanne Davies</w:t>
      </w:r>
    </w:p>
    <w:p w14:paraId="5CC79BAF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7BB1">
        <w:rPr>
          <w:rFonts w:ascii="Arial" w:hAnsi="Arial" w:cs="Arial"/>
          <w:b/>
          <w:bCs/>
          <w:sz w:val="28"/>
          <w:szCs w:val="28"/>
        </w:rPr>
        <w:t>Component 2: Reference list of debate</w:t>
      </w:r>
    </w:p>
    <w:p w14:paraId="70AC7FEF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4B4DB3A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94B0D05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F3F678F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E74C4A0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0A7E247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3A08174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F9319CD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7BB1">
        <w:rPr>
          <w:rFonts w:ascii="Arial" w:hAnsi="Arial" w:cs="Arial"/>
          <w:b/>
          <w:bCs/>
          <w:sz w:val="28"/>
          <w:szCs w:val="28"/>
        </w:rPr>
        <w:t>Name: Nazdar Sami</w:t>
      </w:r>
    </w:p>
    <w:p w14:paraId="11095FE4" w14:textId="4951D0E6" w:rsidR="006E0650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17BB1">
        <w:rPr>
          <w:rFonts w:ascii="Arial" w:hAnsi="Arial" w:cs="Arial"/>
          <w:b/>
          <w:bCs/>
          <w:sz w:val="28"/>
          <w:szCs w:val="28"/>
        </w:rPr>
        <w:t>ID: 2122282</w:t>
      </w:r>
    </w:p>
    <w:p w14:paraId="173E9289" w14:textId="77777777" w:rsidR="00B17BB1" w:rsidRPr="00B17BB1" w:rsidRDefault="00B17BB1" w:rsidP="00B17BB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7D8AF87" w14:textId="77777777" w:rsidR="00B17BB1" w:rsidRDefault="00B17BB1" w:rsidP="00780AB2">
      <w:pPr>
        <w:spacing w:line="360" w:lineRule="auto"/>
        <w:rPr>
          <w:rFonts w:ascii="Arial" w:hAnsi="Arial" w:cs="Arial"/>
        </w:rPr>
      </w:pPr>
    </w:p>
    <w:p w14:paraId="2253CE4C" w14:textId="38FFD328" w:rsidR="00B17BB1" w:rsidRPr="00B073CB" w:rsidRDefault="00B17BB1" w:rsidP="00780AB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B17BB1">
        <w:rPr>
          <w:rFonts w:ascii="Arial" w:hAnsi="Arial" w:cs="Arial"/>
          <w:b/>
          <w:bCs/>
          <w:sz w:val="36"/>
          <w:szCs w:val="36"/>
        </w:rPr>
        <w:lastRenderedPageBreak/>
        <w:t xml:space="preserve">References </w:t>
      </w:r>
    </w:p>
    <w:p w14:paraId="1BD2ECA8" w14:textId="011161BF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Department of Health, (2014) Care and Support Statutory Guidance, Available at: </w:t>
      </w:r>
      <w:hyperlink r:id="rId10" w:history="1">
        <w:r w:rsidRPr="00C30054">
          <w:rPr>
            <w:rStyle w:val="Hyperlink"/>
            <w:rFonts w:ascii="Arial" w:hAnsi="Arial" w:cs="Arial"/>
          </w:rPr>
          <w:t>https://assets.publishing.service.gov.uk/media/5a7dcf2aed915d2ac884dafa/Care-Act-Guidance.pdf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30 October 2025).</w:t>
      </w:r>
    </w:p>
    <w:p w14:paraId="3C6733FC" w14:textId="641D316C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>World Health Organization, (2015) World report on ageing and health. World Health Organization.</w:t>
      </w:r>
    </w:p>
    <w:p w14:paraId="5E4220CA" w14:textId="652E67DE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Age UK (2025), The State of Health and Care of Older People in England 2025, Available at: </w:t>
      </w:r>
      <w:hyperlink r:id="rId11" w:history="1">
        <w:r w:rsidRPr="00C30054">
          <w:rPr>
            <w:rStyle w:val="Hyperlink"/>
            <w:rFonts w:ascii="Arial" w:hAnsi="Arial" w:cs="Arial"/>
          </w:rPr>
          <w:t>https://www.ageuk.org.uk/discover/2025/september/state-of-health-and-care-of-older-people-in-england-2025/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30 October 2025).</w:t>
      </w:r>
    </w:p>
    <w:p w14:paraId="29F0C1D9" w14:textId="6A357901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Care Quality Commission (CQC) (2024), The state of health care and adult social care in England 2023/24, Available at: </w:t>
      </w:r>
      <w:hyperlink r:id="rId12" w:history="1">
        <w:r w:rsidRPr="00C30054">
          <w:rPr>
            <w:rStyle w:val="Hyperlink"/>
            <w:rFonts w:ascii="Arial" w:hAnsi="Arial" w:cs="Arial"/>
          </w:rPr>
          <w:t>https://www.cqc.org.uk/publications/major-report/state-care/2023-2024/access/asc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30 October 2025).</w:t>
      </w:r>
    </w:p>
    <w:p w14:paraId="14495ADB" w14:textId="03D232AE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Social Care Institute for Excellence (SCIE) (no date) Introduction to personalisation, Available at: </w:t>
      </w:r>
      <w:hyperlink r:id="rId13" w:history="1">
        <w:r w:rsidRPr="00C30054">
          <w:rPr>
            <w:rStyle w:val="Hyperlink"/>
            <w:rFonts w:ascii="Arial" w:hAnsi="Arial" w:cs="Arial"/>
          </w:rPr>
          <w:t>https://www.scie.org.uk/providing-care/personalised-and-person-centred-care/introduction-to-personalisation/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30 October 2025).</w:t>
      </w:r>
    </w:p>
    <w:p w14:paraId="5D2F3FCD" w14:textId="77777777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>Lin, H.H., Yu, C.L., Liou, M.S., Chou, H.C. and Chang, S.H., (2022) Empowerment of frail institutionalized older people for self-care: from administrators’ and staff caregivers’ perspectives. International Journal of Qualitative Studies on Health and Well-being, 17(1), p.2022071.</w:t>
      </w:r>
    </w:p>
    <w:p w14:paraId="78AF76CF" w14:textId="77777777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>Shearer, N.B., Fleury, J., Ward, K.A. and O’Brien, A.M., (2012) Empowerment interventions for older adults. Western journal of nursing research, 34(1), pp.24-51.</w:t>
      </w:r>
    </w:p>
    <w:p w14:paraId="7E6DCD25" w14:textId="77777777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>Duffy, A., Browne, F. and Connolly, M., (2025) Safeguarding adults: A concept analysis. Journal of Advanced Nursing, 81(1), pp.181-197.</w:t>
      </w:r>
    </w:p>
    <w:p w14:paraId="5563FEA6" w14:textId="77777777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>Beard, J.R., Officer, A., De Carvalho, I.A., Sadana, R., Pot, A.M., Michel, J.P., et al, (2016) The World report on ageing and health: a policy framework for healthy ageing. The lancet, 387(10033), pp.2145-2154.</w:t>
      </w:r>
    </w:p>
    <w:p w14:paraId="782D0A08" w14:textId="5B987EC2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NHS England, (2014) Safe, compassionate care for frail older people using an integrated care pathway. Available at: </w:t>
      </w:r>
      <w:hyperlink r:id="rId14" w:history="1">
        <w:r w:rsidRPr="00C30054">
          <w:rPr>
            <w:rStyle w:val="Hyperlink"/>
            <w:rFonts w:ascii="Arial" w:hAnsi="Arial" w:cs="Arial"/>
          </w:rPr>
          <w:t>https://www.england.nhs.uk/wp-content/uploads/2014/02/safe-comp-care.pdf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30 October 2025).</w:t>
      </w:r>
    </w:p>
    <w:p w14:paraId="72E6CC0A" w14:textId="77777777" w:rsidR="00B073CB" w:rsidRPr="00B073CB" w:rsidRDefault="00B073CB" w:rsidP="00B073CB">
      <w:pPr>
        <w:spacing w:line="360" w:lineRule="auto"/>
        <w:rPr>
          <w:rFonts w:ascii="Arial" w:hAnsi="Arial" w:cs="Arial"/>
        </w:rPr>
      </w:pPr>
      <w:proofErr w:type="spellStart"/>
      <w:r w:rsidRPr="00B073CB">
        <w:rPr>
          <w:rFonts w:ascii="Arial" w:hAnsi="Arial" w:cs="Arial" w:hint="eastAsia"/>
        </w:rPr>
        <w:lastRenderedPageBreak/>
        <w:t>Kraun</w:t>
      </w:r>
      <w:proofErr w:type="spellEnd"/>
      <w:r w:rsidRPr="00B073CB">
        <w:rPr>
          <w:rFonts w:ascii="Arial" w:hAnsi="Arial" w:cs="Arial" w:hint="eastAsia"/>
        </w:rPr>
        <w:t xml:space="preserve">, L., De </w:t>
      </w:r>
      <w:proofErr w:type="spellStart"/>
      <w:r w:rsidRPr="00B073CB">
        <w:rPr>
          <w:rFonts w:ascii="Arial" w:hAnsi="Arial" w:cs="Arial" w:hint="eastAsia"/>
        </w:rPr>
        <w:t>Vliegher</w:t>
      </w:r>
      <w:proofErr w:type="spellEnd"/>
      <w:r w:rsidRPr="00B073CB">
        <w:rPr>
          <w:rFonts w:ascii="Arial" w:hAnsi="Arial" w:cs="Arial" w:hint="eastAsia"/>
        </w:rPr>
        <w:t xml:space="preserve">, K., </w:t>
      </w:r>
      <w:proofErr w:type="spellStart"/>
      <w:r w:rsidRPr="00B073CB">
        <w:rPr>
          <w:rFonts w:ascii="Arial" w:hAnsi="Arial" w:cs="Arial" w:hint="eastAsia"/>
        </w:rPr>
        <w:t>Keldermans</w:t>
      </w:r>
      <w:proofErr w:type="spellEnd"/>
      <w:r w:rsidRPr="00B073CB">
        <w:rPr>
          <w:rFonts w:ascii="Arial" w:hAnsi="Arial" w:cs="Arial" w:hint="eastAsia"/>
        </w:rPr>
        <w:t>, E., Ellen, M.E. and van Achterberg, T., (2025) Capturing Potential Interventions for the Empowerment of Older People and Informal Caregivers in Transitional Care Decision</w:t>
      </w:r>
      <w:r w:rsidRPr="00B073CB">
        <w:rPr>
          <w:rFonts w:ascii="Arial" w:hAnsi="Arial" w:cs="Arial" w:hint="eastAsia"/>
        </w:rPr>
        <w:t>‐</w:t>
      </w:r>
      <w:r w:rsidRPr="00B073CB">
        <w:rPr>
          <w:rFonts w:ascii="Arial" w:hAnsi="Arial" w:cs="Arial" w:hint="eastAsia"/>
        </w:rPr>
        <w:t>Making: A Qualitative Study Using Focus Group</w:t>
      </w:r>
      <w:r w:rsidRPr="00B073CB">
        <w:rPr>
          <w:rFonts w:ascii="Arial" w:hAnsi="Arial" w:cs="Arial"/>
        </w:rPr>
        <w:t>s. Journal of Advanced Nursing, 81(5), pp.2644-2656.</w:t>
      </w:r>
    </w:p>
    <w:p w14:paraId="1B2E94A5" w14:textId="106CB299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Care Act 2014. (2014) UK Public General Acts. Available at: </w:t>
      </w:r>
      <w:hyperlink r:id="rId15" w:history="1">
        <w:r w:rsidRPr="00C30054">
          <w:rPr>
            <w:rStyle w:val="Hyperlink"/>
            <w:rFonts w:ascii="Arial" w:hAnsi="Arial" w:cs="Arial"/>
          </w:rPr>
          <w:t>https://www.legislation.gov.uk/ukpga/2014/23/part/1/crossheading/general-responsibilities-of-local-authorities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4 November).</w:t>
      </w:r>
    </w:p>
    <w:p w14:paraId="65093EE7" w14:textId="77777777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>Zimmerman, M., (2000) Empowerment theory: Psychological, organizational and community levels of analysis. In Handbook of community psychology (pp. 43-63).</w:t>
      </w:r>
    </w:p>
    <w:p w14:paraId="2EBF1044" w14:textId="77777777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>Arfaoui, H. (2018) PERSON-CENTERED DEMENTIA CARE: From Care Theory to Care Practice - How do health personnel and management understand and enact person-</w:t>
      </w:r>
      <w:proofErr w:type="spellStart"/>
      <w:r w:rsidRPr="00B073CB">
        <w:rPr>
          <w:rFonts w:ascii="Arial" w:hAnsi="Arial" w:cs="Arial"/>
        </w:rPr>
        <w:t>centered</w:t>
      </w:r>
      <w:proofErr w:type="spellEnd"/>
      <w:r w:rsidRPr="00B073CB">
        <w:rPr>
          <w:rFonts w:ascii="Arial" w:hAnsi="Arial" w:cs="Arial"/>
        </w:rPr>
        <w:t xml:space="preserve"> dementia care in Norwegian nursing homes?</w:t>
      </w:r>
    </w:p>
    <w:p w14:paraId="72DFCD34" w14:textId="0E2E7558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Bradshaw, E., Anderson, J., Banday, M. et al.( 2024) ‘A Quantitative Meta-Analysis and Qualitative Meta-Synthesis of Aged Care Residents’ Experiences of Autonomy, Being Controlled, and Optimal Functioning’, The Gerontologist, Volume 64, Issue 5, pp.135, </w:t>
      </w:r>
      <w:hyperlink r:id="rId16" w:history="1">
        <w:r w:rsidRPr="00C30054">
          <w:rPr>
            <w:rStyle w:val="Hyperlink"/>
            <w:rFonts w:ascii="Arial" w:hAnsi="Arial" w:cs="Arial"/>
          </w:rPr>
          <w:t>https://academic.oup.com/gerontologist/article/64/5/gnad135/7293006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(Accessed:31 October 2025).</w:t>
      </w:r>
    </w:p>
    <w:p w14:paraId="0ED02F31" w14:textId="06C255AE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Bölenius, K., </w:t>
      </w:r>
      <w:proofErr w:type="spellStart"/>
      <w:r w:rsidRPr="00B073CB">
        <w:rPr>
          <w:rFonts w:ascii="Arial" w:hAnsi="Arial" w:cs="Arial"/>
        </w:rPr>
        <w:t>Lämås</w:t>
      </w:r>
      <w:proofErr w:type="spellEnd"/>
      <w:r w:rsidRPr="00B073CB">
        <w:rPr>
          <w:rFonts w:ascii="Arial" w:hAnsi="Arial" w:cs="Arial"/>
        </w:rPr>
        <w:t xml:space="preserve">, K. and Edvardsson, D. (2023) ‘Older adults’ experiences of self-determination when needing homecare services—an interview study’. BMC Geriatric. Available at: </w:t>
      </w:r>
      <w:hyperlink r:id="rId17" w:history="1">
        <w:r w:rsidRPr="00C30054">
          <w:rPr>
            <w:rStyle w:val="Hyperlink"/>
            <w:rFonts w:ascii="Arial" w:hAnsi="Arial" w:cs="Arial"/>
          </w:rPr>
          <w:t>https://doi.org/10.1186/s12877-023-04533-6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31 October 2025).</w:t>
      </w:r>
    </w:p>
    <w:p w14:paraId="63AF2278" w14:textId="5701935D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Care Quality Commission. (2024a) ‘The fundamental standards’. Available at: </w:t>
      </w:r>
      <w:hyperlink r:id="rId18" w:history="1">
        <w:r w:rsidRPr="00C30054">
          <w:rPr>
            <w:rStyle w:val="Hyperlink"/>
            <w:rFonts w:ascii="Arial" w:hAnsi="Arial" w:cs="Arial"/>
          </w:rPr>
          <w:t>https://www.cqc.org.uk/about-us/fundamental-standards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04 November 2025).</w:t>
      </w:r>
    </w:p>
    <w:p w14:paraId="50CA5439" w14:textId="787A0B08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Care Quality Commission (2024b) ‘The state of health care and adult social care in England 2023/24’, Available at: </w:t>
      </w:r>
      <w:hyperlink r:id="rId19" w:history="1">
        <w:r w:rsidRPr="00C30054">
          <w:rPr>
            <w:rStyle w:val="Hyperlink"/>
            <w:rFonts w:ascii="Arial" w:hAnsi="Arial" w:cs="Arial"/>
          </w:rPr>
          <w:t>https://www.cqc.org.uk/publications/major-report/state-care/2023-2024/access/asc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30 October 2025).</w:t>
      </w:r>
    </w:p>
    <w:p w14:paraId="7D0DE77E" w14:textId="21F9D828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Department of Health (2014) ‘Care and Support Statutory Guidance’. Available at: </w:t>
      </w:r>
      <w:hyperlink r:id="rId20" w:history="1">
        <w:r w:rsidRPr="00C30054">
          <w:rPr>
            <w:rStyle w:val="Hyperlink"/>
            <w:rFonts w:ascii="Arial" w:hAnsi="Arial" w:cs="Arial"/>
          </w:rPr>
          <w:t>https://assets.publishing.service.gov.uk/media/5a7dcf2aed915d2ac884dafa/Care-Act-Guidance.pdf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04 November 2025).</w:t>
      </w:r>
    </w:p>
    <w:p w14:paraId="1976D658" w14:textId="10C4C028" w:rsidR="00B073CB" w:rsidRPr="00B073CB" w:rsidRDefault="00B073CB" w:rsidP="00B073CB">
      <w:pPr>
        <w:spacing w:line="360" w:lineRule="auto"/>
        <w:rPr>
          <w:rFonts w:ascii="Arial" w:hAnsi="Arial" w:cs="Arial"/>
        </w:rPr>
      </w:pPr>
      <w:proofErr w:type="spellStart"/>
      <w:r w:rsidRPr="00B073CB">
        <w:rPr>
          <w:rFonts w:ascii="Arial" w:hAnsi="Arial" w:cs="Arial"/>
        </w:rPr>
        <w:lastRenderedPageBreak/>
        <w:t>Dobarrio</w:t>
      </w:r>
      <w:proofErr w:type="spellEnd"/>
      <w:r w:rsidRPr="00B073CB">
        <w:rPr>
          <w:rFonts w:ascii="Arial" w:hAnsi="Arial" w:cs="Arial"/>
        </w:rPr>
        <w:t xml:space="preserve">-Sanz, I., Chica-Pérez, A., López-Entrambasaguas, O.M. et al. (2024) ‘Promoting the empowerment and emancipation of community-dwelling older adults with chronic multimorbidity through a home visiting programme: a hermeneutical study’. BMC Nursing Available at: </w:t>
      </w:r>
      <w:hyperlink r:id="rId21" w:history="1">
        <w:r w:rsidRPr="00C30054">
          <w:rPr>
            <w:rStyle w:val="Hyperlink"/>
            <w:rFonts w:ascii="Arial" w:hAnsi="Arial" w:cs="Arial"/>
          </w:rPr>
          <w:t>https://doi.org/10.1186/s12912-024-02117-2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(Accessed:31 October 2025).</w:t>
      </w:r>
    </w:p>
    <w:p w14:paraId="3257C37F" w14:textId="7590651D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Leverton, M., Burton, A., Beresford-Dent, J., et al. (2021) ‘Supporting independence at home for people living with dementia: a qualitative ethnographic study of homecare’. Social psychiatry and psychiatric epidemiology, 56(12), 2323–2336. Available at: </w:t>
      </w:r>
      <w:hyperlink r:id="rId22" w:history="1">
        <w:r w:rsidRPr="00C30054">
          <w:rPr>
            <w:rStyle w:val="Hyperlink"/>
            <w:rFonts w:ascii="Arial" w:hAnsi="Arial" w:cs="Arial"/>
          </w:rPr>
          <w:t>https://doi.org/10.1007/s00127-021-02084-y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31 October 2025).</w:t>
      </w:r>
    </w:p>
    <w:p w14:paraId="6BF3B5FA" w14:textId="03769CD5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Moilanen, T., Kangasniemi, M., </w:t>
      </w:r>
      <w:proofErr w:type="spellStart"/>
      <w:r w:rsidRPr="00B073CB">
        <w:rPr>
          <w:rFonts w:ascii="Arial" w:hAnsi="Arial" w:cs="Arial"/>
        </w:rPr>
        <w:t>Papinaho</w:t>
      </w:r>
      <w:proofErr w:type="spellEnd"/>
      <w:r w:rsidRPr="00B073CB">
        <w:rPr>
          <w:rFonts w:ascii="Arial" w:hAnsi="Arial" w:cs="Arial"/>
        </w:rPr>
        <w:t xml:space="preserve">, O., et al. (2021) ‘Older people's perceived autonomy in residential care: An integrative review’. Nursing ethics, 28(3), 414–434.Available at: </w:t>
      </w:r>
      <w:hyperlink r:id="rId23" w:history="1">
        <w:r w:rsidRPr="00C30054">
          <w:rPr>
            <w:rStyle w:val="Hyperlink"/>
            <w:rFonts w:ascii="Arial" w:hAnsi="Arial" w:cs="Arial"/>
          </w:rPr>
          <w:t>https://doi.org/10.1177/0969733020948115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31 October 2025).</w:t>
      </w:r>
    </w:p>
    <w:p w14:paraId="7F9925A9" w14:textId="1483E351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National Institute for Health and Care Excellence (2015) ‘Home care: delivering personal care and practical support to older people living in their own homes’. NICE Guideline NG21.Available at: </w:t>
      </w:r>
      <w:hyperlink r:id="rId24" w:history="1">
        <w:r w:rsidRPr="00C30054">
          <w:rPr>
            <w:rStyle w:val="Hyperlink"/>
            <w:rFonts w:ascii="Arial" w:hAnsi="Arial" w:cs="Arial"/>
          </w:rPr>
          <w:t>https://www.nice.org.uk/guidance/ng21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2025).</w:t>
      </w:r>
    </w:p>
    <w:p w14:paraId="3146CFB0" w14:textId="3346790F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Pocock, L., MacKichan, F., Deibel, F., et al. (2021)’ Stories from the fourth age: autonomy and the lives of older care home residents’. Ageing and Society.;41(7):1637-1650. Available at: </w:t>
      </w:r>
      <w:hyperlink r:id="rId25" w:history="1">
        <w:r w:rsidRPr="00C30054">
          <w:rPr>
            <w:rStyle w:val="Hyperlink"/>
            <w:rFonts w:ascii="Arial" w:hAnsi="Arial" w:cs="Arial"/>
          </w:rPr>
          <w:t>https://doi.org/10.1017/S0144686X1900182X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31 October 2025).</w:t>
      </w:r>
    </w:p>
    <w:p w14:paraId="049A6031" w14:textId="38672DFE" w:rsidR="00B073CB" w:rsidRPr="00B073CB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Social Care Institute for Excellence (no data a) ‘Freedom to choose and dignity in care’, Available </w:t>
      </w:r>
      <w:proofErr w:type="spellStart"/>
      <w:r w:rsidRPr="00B073CB">
        <w:rPr>
          <w:rFonts w:ascii="Arial" w:hAnsi="Arial" w:cs="Arial"/>
        </w:rPr>
        <w:t>t</w:t>
      </w:r>
      <w:proofErr w:type="spellEnd"/>
      <w:r w:rsidRPr="00B073CB">
        <w:rPr>
          <w:rFonts w:ascii="Arial" w:hAnsi="Arial" w:cs="Arial"/>
        </w:rPr>
        <w:t xml:space="preserve">: </w:t>
      </w:r>
      <w:hyperlink r:id="rId26" w:history="1">
        <w:r w:rsidRPr="00C30054">
          <w:rPr>
            <w:rStyle w:val="Hyperlink"/>
            <w:rFonts w:ascii="Arial" w:hAnsi="Arial" w:cs="Arial"/>
          </w:rPr>
          <w:t>https://www.scie.org.uk/providing-care/dignity-in-care/freedom/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31 October 2025).</w:t>
      </w:r>
    </w:p>
    <w:p w14:paraId="4C545B61" w14:textId="497F580F" w:rsidR="00B25823" w:rsidRPr="00780AB2" w:rsidRDefault="00B073CB" w:rsidP="00B073CB">
      <w:pPr>
        <w:spacing w:line="360" w:lineRule="auto"/>
        <w:rPr>
          <w:rFonts w:ascii="Arial" w:hAnsi="Arial" w:cs="Arial"/>
        </w:rPr>
      </w:pPr>
      <w:r w:rsidRPr="00B073CB">
        <w:rPr>
          <w:rFonts w:ascii="Arial" w:hAnsi="Arial" w:cs="Arial"/>
        </w:rPr>
        <w:t xml:space="preserve">Social Care Institute for Excellence (no data b) ‘Involvement and inclusion promoting dignity in care’. Available at: </w:t>
      </w:r>
      <w:hyperlink r:id="rId27" w:history="1">
        <w:r w:rsidRPr="00C30054">
          <w:rPr>
            <w:rStyle w:val="Hyperlink"/>
            <w:rFonts w:ascii="Arial" w:hAnsi="Arial" w:cs="Arial"/>
          </w:rPr>
          <w:t>https://www.scie.org.uk/providing-care/dignity-in-care/involvement/</w:t>
        </w:r>
      </w:hyperlink>
      <w:r>
        <w:rPr>
          <w:rFonts w:ascii="Arial" w:hAnsi="Arial" w:cs="Arial"/>
        </w:rPr>
        <w:t xml:space="preserve"> </w:t>
      </w:r>
      <w:r w:rsidRPr="00B073CB">
        <w:rPr>
          <w:rFonts w:ascii="Arial" w:hAnsi="Arial" w:cs="Arial"/>
        </w:rPr>
        <w:t>(Accessed: 31 October 2025).</w:t>
      </w:r>
    </w:p>
    <w:sectPr w:rsidR="00B25823" w:rsidRPr="00780A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7C2C31" w14:textId="77777777" w:rsidR="0097107E" w:rsidRDefault="0097107E">
      <w:pPr>
        <w:spacing w:after="0" w:line="240" w:lineRule="auto"/>
      </w:pPr>
    </w:p>
  </w:endnote>
  <w:endnote w:type="continuationSeparator" w:id="0">
    <w:p w14:paraId="1142ACAA" w14:textId="77777777" w:rsidR="0097107E" w:rsidRDefault="0097107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EF4A0F" w14:textId="77777777" w:rsidR="0097107E" w:rsidRDefault="0097107E">
      <w:pPr>
        <w:spacing w:after="0" w:line="240" w:lineRule="auto"/>
      </w:pPr>
    </w:p>
  </w:footnote>
  <w:footnote w:type="continuationSeparator" w:id="0">
    <w:p w14:paraId="3B7CC6B0" w14:textId="77777777" w:rsidR="0097107E" w:rsidRDefault="0097107E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650"/>
    <w:rsid w:val="000E2E6E"/>
    <w:rsid w:val="0028324A"/>
    <w:rsid w:val="003E3F64"/>
    <w:rsid w:val="006404B9"/>
    <w:rsid w:val="006E0650"/>
    <w:rsid w:val="00780AB2"/>
    <w:rsid w:val="00811A71"/>
    <w:rsid w:val="0097107E"/>
    <w:rsid w:val="00A818E2"/>
    <w:rsid w:val="00B073CB"/>
    <w:rsid w:val="00B17BB1"/>
    <w:rsid w:val="00B25823"/>
    <w:rsid w:val="00EE38E1"/>
    <w:rsid w:val="00EF7367"/>
    <w:rsid w:val="00F731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A140EC"/>
  <w15:chartTrackingRefBased/>
  <w15:docId w15:val="{2425425A-E994-4AC0-AE1B-8DFAA1EE6F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0650"/>
    <w:pPr>
      <w:spacing w:line="278" w:lineRule="auto"/>
    </w:pPr>
    <w:rPr>
      <w:rFonts w:eastAsiaTheme="minorEastAsia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0650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0650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0650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0650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sz w:val="22"/>
      <w:szCs w:val="22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0650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sz w:val="22"/>
      <w:szCs w:val="22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0650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0650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sz w:val="22"/>
      <w:szCs w:val="22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0650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sz w:val="22"/>
      <w:szCs w:val="22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0650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06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06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06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06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06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06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06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06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06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06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6E06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0650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6E06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0650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sz w:val="22"/>
      <w:szCs w:val="22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6E06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0650"/>
    <w:pPr>
      <w:spacing w:line="259" w:lineRule="auto"/>
      <w:ind w:left="720"/>
      <w:contextualSpacing/>
    </w:pPr>
    <w:rPr>
      <w:rFonts w:eastAsiaTheme="minorHAnsi"/>
      <w:sz w:val="22"/>
      <w:szCs w:val="22"/>
      <w:lang w:eastAsia="en-US"/>
    </w:rPr>
  </w:style>
  <w:style w:type="character" w:styleId="IntenseEmphasis">
    <w:name w:val="Intense Emphasis"/>
    <w:basedOn w:val="DefaultParagraphFont"/>
    <w:uiPriority w:val="21"/>
    <w:qFormat/>
    <w:rsid w:val="006E06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06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sz w:val="22"/>
      <w:szCs w:val="22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06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065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E0650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E0650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F73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7367"/>
    <w:rPr>
      <w:rFonts w:eastAsiaTheme="minorEastAsia"/>
      <w:sz w:val="24"/>
      <w:szCs w:val="24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EF73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7367"/>
    <w:rPr>
      <w:rFonts w:eastAsiaTheme="minorEastAsia"/>
      <w:sz w:val="24"/>
      <w:szCs w:val="24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B073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scie.org.uk/providing-care/personalised-and-person-centred-care/introduction-to-personalisation/" TargetMode="External"/><Relationship Id="rId18" Type="http://schemas.openxmlformats.org/officeDocument/2006/relationships/hyperlink" Target="https://www.cqc.org.uk/about-us/fundamental-standards" TargetMode="External"/><Relationship Id="rId26" Type="http://schemas.openxmlformats.org/officeDocument/2006/relationships/hyperlink" Target="https://www.scie.org.uk/providing-care/dignity-in-care/freedom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186/s12912-024-02117-2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cqc.org.uk/publications/major-report/state-care/2023-2024/access/asc" TargetMode="External"/><Relationship Id="rId17" Type="http://schemas.openxmlformats.org/officeDocument/2006/relationships/hyperlink" Target="https://doi.org/10.1186/s12877-023-04533-6" TargetMode="External"/><Relationship Id="rId25" Type="http://schemas.openxmlformats.org/officeDocument/2006/relationships/hyperlink" Target="https://doi.org/10.1017/S0144686X1900182X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cademic.oup.com/gerontologist/article/64/5/gnad135/7293006" TargetMode="External"/><Relationship Id="rId20" Type="http://schemas.openxmlformats.org/officeDocument/2006/relationships/hyperlink" Target="https://assets.publishing.service.gov.uk/media/5a7dcf2aed915d2ac884dafa/Care-Act-Guidance.pdf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geuk.org.uk/discover/2025/september/state-of-health-and-care-of-older-people-in-england-2025/" TargetMode="External"/><Relationship Id="rId24" Type="http://schemas.openxmlformats.org/officeDocument/2006/relationships/hyperlink" Target="https://www.nice.org.uk/guidance/ng21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legislation.gov.uk/ukpga/2014/23/part/1/crossheading/general-responsibilities-of-local-authorities" TargetMode="External"/><Relationship Id="rId23" Type="http://schemas.openxmlformats.org/officeDocument/2006/relationships/hyperlink" Target="https://doi.org/10.1177/0969733020948115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assets.publishing.service.gov.uk/media/5a7dcf2aed915d2ac884dafa/Care-Act-Guidance.pdf" TargetMode="External"/><Relationship Id="rId19" Type="http://schemas.openxmlformats.org/officeDocument/2006/relationships/hyperlink" Target="https://www.cqc.org.uk/publications/major-report/state-care/2023-2024/access/asc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england.nhs.uk/wp-content/uploads/2014/02/safe-comp-care.pdf" TargetMode="External"/><Relationship Id="rId22" Type="http://schemas.openxmlformats.org/officeDocument/2006/relationships/hyperlink" Target="https://doi.org/10.1007/s00127-021-02084-y" TargetMode="External"/><Relationship Id="rId27" Type="http://schemas.openxmlformats.org/officeDocument/2006/relationships/hyperlink" Target="https://www.scie.org.uk/providing-care/dignity-in-care/involv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6E78D3D16FFE4AA931795123FBE5F3" ma:contentTypeVersion="11" ma:contentTypeDescription="Create a new document." ma:contentTypeScope="" ma:versionID="5e504b36b1c856bc2bc95529cb0d3319">
  <xsd:schema xmlns:xsd="http://www.w3.org/2001/XMLSchema" xmlns:xs="http://www.w3.org/2001/XMLSchema" xmlns:p="http://schemas.microsoft.com/office/2006/metadata/properties" xmlns:ns3="82f5a46a-80c7-47f7-9d28-dc929746944c" xmlns:ns4="26393a7d-09c1-409c-a1bc-d9a7995be7f3" targetNamespace="http://schemas.microsoft.com/office/2006/metadata/properties" ma:root="true" ma:fieldsID="ce8dff3f4f8a1e4517318177b0e33a31" ns3:_="" ns4:_="">
    <xsd:import namespace="82f5a46a-80c7-47f7-9d28-dc929746944c"/>
    <xsd:import namespace="26393a7d-09c1-409c-a1bc-d9a7995be7f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f5a46a-80c7-47f7-9d28-dc929746944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393a7d-09c1-409c-a1bc-d9a7995be7f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f5a46a-80c7-47f7-9d28-dc929746944c" xsi:nil="true"/>
  </documentManagement>
</p:properties>
</file>

<file path=customXml/itemProps1.xml><?xml version="1.0" encoding="utf-8"?>
<ds:datastoreItem xmlns:ds="http://schemas.openxmlformats.org/officeDocument/2006/customXml" ds:itemID="{AC634647-F31A-406A-809A-B973E8B8BB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f5a46a-80c7-47f7-9d28-dc929746944c"/>
    <ds:schemaRef ds:uri="26393a7d-09c1-409c-a1bc-d9a7995be7f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9771C97-BB05-45B0-8AE1-003CA66EAC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1A9061-BECB-4C9B-931C-87FDCF8A3486}">
  <ds:schemaRefs>
    <ds:schemaRef ds:uri="http://schemas.microsoft.com/office/2006/metadata/properties"/>
    <ds:schemaRef ds:uri="http://schemas.microsoft.com/office/infopath/2007/PartnerControls"/>
    <ds:schemaRef ds:uri="82f5a46a-80c7-47f7-9d28-dc929746944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1139</Words>
  <Characters>6496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Petronela Cucu (2226969)</dc:creator>
  <cp:keywords/>
  <dc:description/>
  <cp:lastModifiedBy>Nazdar Sami (2122282)</cp:lastModifiedBy>
  <cp:revision>6</cp:revision>
  <dcterms:created xsi:type="dcterms:W3CDTF">2025-11-05T00:52:00Z</dcterms:created>
  <dcterms:modified xsi:type="dcterms:W3CDTF">2025-11-05T16:20:00Z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0x010100886E78D3D16FFE4AA931795123FBE5F3</vt:lpwstr>
  </property>
</Properties>
</file>