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400B" w:rsidRDefault="0067400B"/>
    <w:p w:rsidR="0067400B" w:rsidRDefault="0067400B" w:rsidP="0067400B">
      <w:pPr>
        <w:jc w:val="both"/>
        <w:rPr>
          <w:rFonts w:cstheme="minorHAnsi"/>
        </w:rPr>
      </w:pPr>
    </w:p>
    <w:p w:rsidR="0067400B" w:rsidRDefault="0067400B" w:rsidP="0067400B">
      <w:pPr>
        <w:jc w:val="both"/>
        <w:rPr>
          <w:rFonts w:cstheme="minorHAnsi"/>
        </w:rPr>
      </w:pPr>
    </w:p>
    <w:p w:rsidR="0067400B" w:rsidRDefault="0067400B" w:rsidP="0067400B">
      <w:pPr>
        <w:jc w:val="both"/>
        <w:rPr>
          <w:rFonts w:cstheme="minorHAnsi"/>
        </w:rPr>
      </w:pPr>
      <w:r>
        <w:rPr>
          <w:rFonts w:cstheme="minorHAnsi"/>
        </w:rPr>
        <w:t xml:space="preserve">This </w:t>
      </w:r>
      <w:r w:rsidRPr="001C3508">
        <w:rPr>
          <w:rFonts w:cstheme="minorHAnsi"/>
        </w:rPr>
        <w:t>question concerns several claims in negligence.</w:t>
      </w:r>
      <w:r>
        <w:rPr>
          <w:rFonts w:cstheme="minorHAnsi"/>
        </w:rPr>
        <w:t xml:space="preserve"> The first is Mason, against his employer ‘the Crown Inn,’ for failing to replace a fire blanket after Mason’s towel caught fire, causing him a small burn to his arm. The second potential claim is Ava against the Crown Inn (and potentially Jack) after she slipped on spilt food and could not hold onto a broken stair railing for support, Aca sustained injury to her collar bone. Both claims are against an employer: </w:t>
      </w:r>
      <w:proofErr w:type="gramStart"/>
      <w:r>
        <w:rPr>
          <w:rFonts w:cstheme="minorHAnsi"/>
        </w:rPr>
        <w:t>the</w:t>
      </w:r>
      <w:proofErr w:type="gramEnd"/>
      <w:r>
        <w:rPr>
          <w:rFonts w:cstheme="minorHAnsi"/>
        </w:rPr>
        <w:t xml:space="preserve"> Crown Inn. In order for a claim to be made via employer’s liability, both Mason and Ava must establish that they were employees of the Crown Inn.</w:t>
      </w:r>
    </w:p>
    <w:p w:rsidR="0067400B" w:rsidRDefault="0067400B" w:rsidP="0067400B">
      <w:pPr>
        <w:jc w:val="both"/>
        <w:rPr>
          <w:rFonts w:cstheme="minorHAnsi"/>
        </w:rPr>
      </w:pPr>
    </w:p>
    <w:p w:rsidR="0067400B" w:rsidRDefault="0067400B" w:rsidP="0067400B">
      <w:pPr>
        <w:jc w:val="both"/>
        <w:rPr>
          <w:rFonts w:cstheme="minorHAnsi"/>
        </w:rPr>
      </w:pPr>
      <w:r>
        <w:rPr>
          <w:rFonts w:cstheme="minorHAnsi"/>
        </w:rPr>
        <w:t xml:space="preserve">To decide whether Ava (A), Mason (M) and Jack (J) are employed by Crown Inn (CI), and therefore an employee of CI, the ‘economic reality’ test outlined in </w:t>
      </w:r>
      <w:r w:rsidRPr="001C3508">
        <w:rPr>
          <w:rFonts w:cstheme="minorHAnsi"/>
        </w:rPr>
        <w:t xml:space="preserve">Ready Mixed Concrete (South East) Ltd v Minister of Pensions and National Insurance [1968] 2 QB 497 </w:t>
      </w:r>
      <w:r>
        <w:rPr>
          <w:rFonts w:cstheme="minorHAnsi"/>
        </w:rPr>
        <w:t xml:space="preserve">asks three questions: Does the employee agrees to provide a work or skill in return for a wage? Pay is provided irrespective of the workers output and can be a regular wage or cash in hand. In this case, there is nothing from the facts that suggest that pay is withheld. Secondly, does the employee accept that their work will be subject to the control of their employer? This concerns whether the purported employee can choose where and when to work. </w:t>
      </w:r>
      <w:proofErr w:type="spellStart"/>
      <w:r>
        <w:rPr>
          <w:rFonts w:cstheme="minorHAnsi"/>
        </w:rPr>
        <w:t>Norich</w:t>
      </w:r>
      <w:proofErr w:type="spellEnd"/>
      <w:r>
        <w:rPr>
          <w:rFonts w:cstheme="minorHAnsi"/>
        </w:rPr>
        <w:t xml:space="preserve"> Pty Ltd states that the more discretion a worker has on when the work is done, the more likely he is an independent contractor. From the facts, it seems that A, M and J are under the control of CI. Finally, are all other elements in the contract consistent with there being a contract of employment? Factors such as who provides the tools and equipment and the method of payment (including tax and national insurance deduction) would be relevant here. Uniform is also suggestive of employment. Again, it seems that nothing from the facts of this case at hand suggest otherwise in the case of A, M and J—and thus, all three seem to be ‘employees’ of CI.</w:t>
      </w:r>
    </w:p>
    <w:p w:rsidR="0067400B" w:rsidRDefault="0067400B" w:rsidP="0067400B">
      <w:pPr>
        <w:jc w:val="both"/>
        <w:rPr>
          <w:rFonts w:cstheme="minorHAnsi"/>
          <w:color w:val="FF0000"/>
        </w:rPr>
      </w:pPr>
    </w:p>
    <w:p w:rsidR="0067400B" w:rsidRDefault="0067400B" w:rsidP="0067400B">
      <w:pPr>
        <w:jc w:val="both"/>
        <w:rPr>
          <w:rFonts w:cstheme="minorHAnsi"/>
          <w:color w:val="000000" w:themeColor="text1"/>
        </w:rPr>
      </w:pPr>
      <w:r>
        <w:rPr>
          <w:rFonts w:cstheme="minorHAnsi"/>
          <w:color w:val="000000" w:themeColor="text1"/>
        </w:rPr>
        <w:t>A duty of care can be defined whereby one person owes another to take proper care of one another. Lord Atkin goes onto elucidate further in Donoghue v Stevenson [1932] AC 562: ‘You must take reasonable care to avoid acts or omissions which you can reasonably foresee would be likely to injure your neighbour. Who then in law is my neighbour? The answer seems to be persons who are so closely and directly affected by my act that I ought reasonably to have them in contemplation as being so affected when I am directing my mind to the acts or omissions which are called in question.’</w:t>
      </w:r>
    </w:p>
    <w:p w:rsidR="0067400B" w:rsidRDefault="0067400B" w:rsidP="0067400B">
      <w:pPr>
        <w:jc w:val="both"/>
        <w:rPr>
          <w:rFonts w:cstheme="minorHAnsi"/>
          <w:color w:val="FF0000"/>
        </w:rPr>
      </w:pPr>
    </w:p>
    <w:p w:rsidR="0067400B" w:rsidRDefault="0067400B" w:rsidP="0067400B">
      <w:pPr>
        <w:jc w:val="both"/>
        <w:rPr>
          <w:rFonts w:cstheme="minorHAnsi"/>
          <w:color w:val="000000" w:themeColor="text1"/>
        </w:rPr>
      </w:pPr>
      <w:r>
        <w:rPr>
          <w:rFonts w:cstheme="minorHAnsi"/>
          <w:color w:val="000000" w:themeColor="text1"/>
        </w:rPr>
        <w:t xml:space="preserve">From the above, it is clear that an employer owes their employees a duty of care. Applying the three-part </w:t>
      </w:r>
      <w:r w:rsidRPr="001C3508">
        <w:rPr>
          <w:rFonts w:cstheme="minorHAnsi"/>
          <w:color w:val="000000" w:themeColor="text1"/>
        </w:rPr>
        <w:t xml:space="preserve">Caparo Industries PLC v Dickman [1990] UKHL 2 </w:t>
      </w:r>
      <w:r>
        <w:rPr>
          <w:rFonts w:cstheme="minorHAnsi"/>
          <w:color w:val="000000" w:themeColor="text1"/>
        </w:rPr>
        <w:t>test, it is first asked whether the harm was foreseeable to a reasonable man, in this case, the harm suffered by A was a foreseeable result of the existing faulty stair rail. The harm suffered by M was foreseeable as a result of not replacing the fire blanket. Secondly, there was proximity between CI and M and A through their employer-employee relationship. Thirdly, it is fair, just and reasonable to impose a duty upon CI because CI is not a public body and therefore a policy issue does not arise. There also seems to be no reason why it would not be FJR, as it does not open the floodgates of litigation (</w:t>
      </w:r>
      <w:r w:rsidRPr="001C3508">
        <w:rPr>
          <w:rFonts w:cstheme="minorHAnsi"/>
          <w:color w:val="000000" w:themeColor="text1"/>
        </w:rPr>
        <w:t>Hill v Chief Constable of West Yorkshire [1987] UKHL 12</w:t>
      </w:r>
      <w:r>
        <w:rPr>
          <w:rFonts w:cstheme="minorHAnsi"/>
          <w:color w:val="000000" w:themeColor="text1"/>
        </w:rPr>
        <w:t xml:space="preserve">). </w:t>
      </w:r>
    </w:p>
    <w:p w:rsidR="0067400B" w:rsidRDefault="0067400B" w:rsidP="0067400B">
      <w:pPr>
        <w:jc w:val="both"/>
        <w:rPr>
          <w:rFonts w:cstheme="minorHAnsi"/>
          <w:color w:val="000000" w:themeColor="text1"/>
        </w:rPr>
      </w:pPr>
    </w:p>
    <w:p w:rsidR="0067400B" w:rsidRDefault="0067400B" w:rsidP="0067400B">
      <w:pPr>
        <w:jc w:val="both"/>
        <w:rPr>
          <w:rFonts w:cstheme="minorHAnsi"/>
          <w:color w:val="000000" w:themeColor="text1"/>
        </w:rPr>
      </w:pPr>
      <w:r>
        <w:rPr>
          <w:rFonts w:cstheme="minorHAnsi"/>
          <w:color w:val="000000" w:themeColor="text1"/>
        </w:rPr>
        <w:lastRenderedPageBreak/>
        <w:t>It also seems that CI has called below the standard of a reasonable employer by failing to replace the stair rail and blanket (</w:t>
      </w:r>
      <w:r w:rsidRPr="001C3508">
        <w:rPr>
          <w:rFonts w:cstheme="minorHAnsi"/>
          <w:color w:val="000000" w:themeColor="text1"/>
        </w:rPr>
        <w:t>Blyth v Birmingham Waterworks Company (1856) 11 Ex Ch 781</w:t>
      </w:r>
      <w:r>
        <w:rPr>
          <w:rFonts w:cstheme="minorHAnsi"/>
          <w:color w:val="000000" w:themeColor="text1"/>
        </w:rPr>
        <w:t>). It is this breach which also factually caused the harm suffered by M and A, i.e. but for CI’s actions in omitting to replace the stair rail and blanket, M and A would not have suffered any harm (</w:t>
      </w:r>
      <w:r w:rsidRPr="001C3508">
        <w:rPr>
          <w:rFonts w:cstheme="minorHAnsi"/>
          <w:color w:val="000000" w:themeColor="text1"/>
        </w:rPr>
        <w:t>Barnett v Chelsea &amp; Kensington Hospital Management Committee [1968] 2 WLR 422</w:t>
      </w:r>
      <w:r>
        <w:rPr>
          <w:rFonts w:cstheme="minorHAnsi"/>
          <w:color w:val="000000" w:themeColor="text1"/>
        </w:rPr>
        <w:t>). The type of harm suffered by M and A was also foreseeable and not too remote (</w:t>
      </w:r>
      <w:r w:rsidRPr="001C3508">
        <w:rPr>
          <w:rFonts w:cstheme="minorHAnsi"/>
          <w:color w:val="000000" w:themeColor="text1"/>
        </w:rPr>
        <w:t>The Wagon Mound (No 1) [1961] AC 388</w:t>
      </w:r>
      <w:r>
        <w:rPr>
          <w:rFonts w:cstheme="minorHAnsi"/>
          <w:color w:val="000000" w:themeColor="text1"/>
        </w:rPr>
        <w:t>)- it does not matter that the harm suffered may have occurred in an unusual way or to an unusual extent in this case (</w:t>
      </w:r>
      <w:r w:rsidRPr="001C3508">
        <w:rPr>
          <w:rFonts w:cstheme="minorHAnsi"/>
          <w:color w:val="000000" w:themeColor="text1"/>
        </w:rPr>
        <w:t>Hughes v Lord Advocate [1963] AC 837</w:t>
      </w:r>
      <w:r>
        <w:rPr>
          <w:rFonts w:cstheme="minorHAnsi"/>
          <w:color w:val="000000" w:themeColor="text1"/>
        </w:rPr>
        <w:t>). There were also no intervening acts that broke this chain of causation, therefore CI seemingly owe a duty of care towards M and A.</w:t>
      </w:r>
    </w:p>
    <w:p w:rsidR="0067400B" w:rsidRDefault="0067400B" w:rsidP="0067400B">
      <w:pPr>
        <w:jc w:val="both"/>
        <w:rPr>
          <w:rFonts w:cstheme="minorHAnsi"/>
        </w:rPr>
      </w:pPr>
    </w:p>
    <w:p w:rsidR="0067400B" w:rsidRDefault="0067400B" w:rsidP="0067400B">
      <w:pPr>
        <w:jc w:val="both"/>
        <w:rPr>
          <w:rFonts w:cstheme="minorHAnsi"/>
        </w:rPr>
      </w:pPr>
    </w:p>
    <w:p w:rsidR="0067400B" w:rsidRDefault="0067400B" w:rsidP="0067400B">
      <w:pPr>
        <w:jc w:val="both"/>
        <w:rPr>
          <w:rFonts w:cstheme="minorHAnsi"/>
          <w:color w:val="000000" w:themeColor="text1"/>
        </w:rPr>
      </w:pPr>
      <w:r>
        <w:rPr>
          <w:rFonts w:cstheme="minorHAnsi"/>
          <w:color w:val="000000" w:themeColor="text1"/>
        </w:rPr>
        <w:t xml:space="preserve">In </w:t>
      </w:r>
      <w:r w:rsidRPr="001C3508">
        <w:rPr>
          <w:rFonts w:cstheme="minorHAnsi"/>
          <w:color w:val="000000" w:themeColor="text1"/>
        </w:rPr>
        <w:t>Wilsons &amp; Clyde Co Ltd v English [1938] AC 57</w:t>
      </w:r>
      <w:r>
        <w:rPr>
          <w:rFonts w:cstheme="minorHAnsi"/>
          <w:color w:val="000000" w:themeColor="text1"/>
        </w:rPr>
        <w:t xml:space="preserve">, the Courts ruled that an employer owes a duty of care to provide a safe working environment, which cannot be assigned to another employee Consequentially, </w:t>
      </w:r>
      <w:proofErr w:type="gramStart"/>
      <w:r>
        <w:rPr>
          <w:rFonts w:cstheme="minorHAnsi"/>
          <w:color w:val="000000" w:themeColor="text1"/>
        </w:rPr>
        <w:t>employers  are</w:t>
      </w:r>
      <w:proofErr w:type="gramEnd"/>
      <w:r>
        <w:rPr>
          <w:rFonts w:cstheme="minorHAnsi"/>
          <w:color w:val="000000" w:themeColor="text1"/>
        </w:rPr>
        <w:t xml:space="preserve"> always responsible for providing a safe workplace for their staff and are vicariously liable for the negligence their employees. An employer is under a non-delegable personal duty under common law to his employees to see that reasonable care is taken of them (Wilsons and Clyde Coal Ltd v English [1938]). This duty is owed to individual employees, meaning that CI may need to take extra care of an employee if this employee is particularly vulnerable because of his or her particular characteristics (</w:t>
      </w:r>
      <w:r w:rsidRPr="001C3508">
        <w:rPr>
          <w:rFonts w:cstheme="minorHAnsi"/>
          <w:color w:val="000000" w:themeColor="text1"/>
        </w:rPr>
        <w:t>Paris v Stepney Borough Council [1951] AC 367</w:t>
      </w:r>
      <w:r>
        <w:rPr>
          <w:rFonts w:cstheme="minorHAnsi"/>
          <w:color w:val="000000" w:themeColor="text1"/>
        </w:rPr>
        <w:t>). In this case, it is potentially arguable that CI had a personal duty owed to M for his burn and A for her collar bone. The employer also has an obligation to employ reasonably competent fellow employees (</w:t>
      </w:r>
      <w:r w:rsidRPr="001C3508">
        <w:rPr>
          <w:rFonts w:cstheme="minorHAnsi"/>
          <w:color w:val="000000" w:themeColor="text1"/>
        </w:rPr>
        <w:t>Hudson v Ridge Manufacturing Co Ltd [1957] 2 QB 348</w:t>
      </w:r>
      <w:r>
        <w:rPr>
          <w:rFonts w:cstheme="minorHAnsi"/>
          <w:color w:val="000000" w:themeColor="text1"/>
        </w:rPr>
        <w:t xml:space="preserve">). This is particularly contentious in relation to Jack, who may well fall below the standard of a reasonably competent employee. </w:t>
      </w:r>
    </w:p>
    <w:p w:rsidR="0067400B" w:rsidRDefault="0067400B" w:rsidP="0067400B">
      <w:pPr>
        <w:jc w:val="both"/>
        <w:rPr>
          <w:rFonts w:cstheme="minorHAnsi"/>
          <w:color w:val="000000" w:themeColor="text1"/>
        </w:rPr>
      </w:pPr>
    </w:p>
    <w:p w:rsidR="0067400B" w:rsidRDefault="0067400B" w:rsidP="0067400B">
      <w:pPr>
        <w:jc w:val="both"/>
        <w:rPr>
          <w:rFonts w:cstheme="minorHAnsi"/>
          <w:color w:val="000000" w:themeColor="text1"/>
        </w:rPr>
      </w:pPr>
    </w:p>
    <w:p w:rsidR="0067400B" w:rsidRPr="001C3508" w:rsidRDefault="0067400B" w:rsidP="0067400B">
      <w:pPr>
        <w:jc w:val="both"/>
        <w:rPr>
          <w:rFonts w:cstheme="minorHAnsi"/>
          <w:color w:val="000000" w:themeColor="text1"/>
        </w:rPr>
      </w:pPr>
      <w:r>
        <w:rPr>
          <w:rFonts w:cstheme="minorHAnsi"/>
          <w:color w:val="000000" w:themeColor="text1"/>
        </w:rPr>
        <w:t>An employer has a ‘duty of taking reasonable care to provide proper appliances, and to maintain them in proper condition’ (</w:t>
      </w:r>
      <w:r>
        <w:rPr>
          <w:rFonts w:cstheme="minorHAnsi"/>
          <w:i/>
          <w:iCs/>
          <w:color w:val="000000" w:themeColor="text1"/>
        </w:rPr>
        <w:t>Smith v Baker</w:t>
      </w:r>
      <w:r>
        <w:rPr>
          <w:rFonts w:cstheme="minorHAnsi"/>
          <w:color w:val="000000" w:themeColor="text1"/>
        </w:rPr>
        <w:t xml:space="preserve"> [1891] AC 325, 362, per Lord </w:t>
      </w:r>
      <w:proofErr w:type="spellStart"/>
      <w:r>
        <w:rPr>
          <w:rFonts w:cstheme="minorHAnsi"/>
          <w:color w:val="000000" w:themeColor="text1"/>
        </w:rPr>
        <w:t>Herschell</w:t>
      </w:r>
      <w:proofErr w:type="spellEnd"/>
      <w:r>
        <w:rPr>
          <w:rFonts w:cstheme="minorHAnsi"/>
          <w:color w:val="000000" w:themeColor="text1"/>
        </w:rPr>
        <w:t>) and implement a safe system of work (</w:t>
      </w:r>
      <w:r>
        <w:rPr>
          <w:rFonts w:cstheme="minorHAnsi"/>
          <w:i/>
          <w:iCs/>
          <w:color w:val="000000" w:themeColor="text1"/>
        </w:rPr>
        <w:t>Walker v Northumberland County Council</w:t>
      </w:r>
      <w:r>
        <w:rPr>
          <w:rFonts w:cstheme="minorHAnsi"/>
          <w:color w:val="000000" w:themeColor="text1"/>
        </w:rPr>
        <w:t xml:space="preserve"> [1995]). Furthermore, an employer must take reasonable steps to see that the place of work is reasonably safe (</w:t>
      </w:r>
      <w:proofErr w:type="spellStart"/>
      <w:r>
        <w:rPr>
          <w:rFonts w:cstheme="minorHAnsi"/>
          <w:i/>
          <w:iCs/>
          <w:color w:val="000000" w:themeColor="text1"/>
        </w:rPr>
        <w:t>Coxall</w:t>
      </w:r>
      <w:proofErr w:type="spellEnd"/>
      <w:r>
        <w:rPr>
          <w:rFonts w:cstheme="minorHAnsi"/>
          <w:color w:val="000000" w:themeColor="text1"/>
        </w:rPr>
        <w:t xml:space="preserve"> </w:t>
      </w:r>
      <w:r>
        <w:rPr>
          <w:rFonts w:cstheme="minorHAnsi"/>
          <w:i/>
          <w:iCs/>
          <w:color w:val="000000" w:themeColor="text1"/>
        </w:rPr>
        <w:t>v</w:t>
      </w:r>
      <w:r>
        <w:rPr>
          <w:rFonts w:cstheme="minorHAnsi"/>
          <w:color w:val="000000" w:themeColor="text1"/>
        </w:rPr>
        <w:t xml:space="preserve"> </w:t>
      </w:r>
      <w:r>
        <w:rPr>
          <w:rFonts w:cstheme="minorHAnsi"/>
          <w:i/>
          <w:iCs/>
          <w:color w:val="000000" w:themeColor="text1"/>
        </w:rPr>
        <w:t>Goodyear Great Britain Ltd</w:t>
      </w:r>
      <w:r>
        <w:rPr>
          <w:rFonts w:cstheme="minorHAnsi"/>
          <w:color w:val="000000" w:themeColor="text1"/>
        </w:rPr>
        <w:t xml:space="preserve"> [2002]).  It is clear from the fact pattern that CI has not taken reasonable care in failing to repair the railing on the stairs and failing to replace the fire towel, thus failing to ensure that CI is a safe place of work for A and M. </w:t>
      </w:r>
      <w:r>
        <w:rPr>
          <w:rFonts w:cstheme="minorHAnsi"/>
        </w:rPr>
        <w:t xml:space="preserve">In </w:t>
      </w:r>
      <w:proofErr w:type="spellStart"/>
      <w:r>
        <w:rPr>
          <w:rFonts w:cstheme="minorHAnsi"/>
        </w:rPr>
        <w:t>Ammah</w:t>
      </w:r>
      <w:proofErr w:type="spellEnd"/>
      <w:r>
        <w:rPr>
          <w:rFonts w:cstheme="minorHAnsi"/>
        </w:rPr>
        <w:t xml:space="preserve"> v Kuehne </w:t>
      </w:r>
      <w:proofErr w:type="spellStart"/>
      <w:r>
        <w:rPr>
          <w:rFonts w:cstheme="minorHAnsi"/>
        </w:rPr>
        <w:t>Nagal</w:t>
      </w:r>
      <w:proofErr w:type="spellEnd"/>
      <w:r>
        <w:rPr>
          <w:rFonts w:cstheme="minorHAnsi"/>
        </w:rPr>
        <w:t xml:space="preserve"> Logistics Ltd [2009], it was found that the employer ‘complied with its duty of care to ensure a safe system of work,’ when the Claimant injured himself after standing on a box trying to reach a high shelf. The employer told employees not to use boxes for such a purpose, despite the Claimant receiving no training. This case is somewhat analogous to the facts at hand whereby the employer omitting to replace the fire blanket leading to M’s burns not only breach the Health and Safety at Work Act 1974 but also arguably in negligence. Furthermore, this applied to the faulty upper part of the handrail leading to the top of the pub not being repaired by management and therefore leading to A’s broken collar bone.</w:t>
      </w:r>
    </w:p>
    <w:p w:rsidR="0067400B" w:rsidRDefault="0067400B" w:rsidP="0067400B">
      <w:pPr>
        <w:jc w:val="both"/>
        <w:rPr>
          <w:rFonts w:cstheme="minorHAnsi"/>
          <w:color w:val="FF0000"/>
        </w:rPr>
      </w:pPr>
    </w:p>
    <w:p w:rsidR="0067400B" w:rsidRDefault="0067400B" w:rsidP="0067400B">
      <w:pPr>
        <w:jc w:val="both"/>
        <w:rPr>
          <w:rFonts w:cstheme="minorHAnsi"/>
        </w:rPr>
      </w:pPr>
      <w:r>
        <w:rPr>
          <w:rFonts w:cstheme="minorHAnsi"/>
          <w:color w:val="000000" w:themeColor="text1"/>
        </w:rPr>
        <w:t xml:space="preserve">The defence of contributory negligence could be argued by the CI. </w:t>
      </w:r>
      <w:r>
        <w:rPr>
          <w:rFonts w:cstheme="minorHAnsi"/>
        </w:rPr>
        <w:t xml:space="preserve">In </w:t>
      </w:r>
      <w:proofErr w:type="spellStart"/>
      <w:r>
        <w:rPr>
          <w:rFonts w:cstheme="minorHAnsi"/>
        </w:rPr>
        <w:t>Jebson</w:t>
      </w:r>
      <w:proofErr w:type="spellEnd"/>
      <w:r>
        <w:rPr>
          <w:rFonts w:cstheme="minorHAnsi"/>
        </w:rPr>
        <w:t xml:space="preserve"> v Ministry of Defence [2000], it was found that if the risk of injury was foreseeable, then the Claimant will be at least contributory negligent. In this case, CI could argue that M misjudging the </w:t>
      </w:r>
      <w:r>
        <w:rPr>
          <w:rFonts w:cstheme="minorHAnsi"/>
        </w:rPr>
        <w:lastRenderedPageBreak/>
        <w:t>placement of his towel was at least in part, his fault, and therefore M is contributory negligent to his own burn on his arm. It is unclear from the facts on how A could have contributed to her injuries.</w:t>
      </w:r>
    </w:p>
    <w:p w:rsidR="0067400B" w:rsidRDefault="0067400B" w:rsidP="0067400B">
      <w:pPr>
        <w:jc w:val="both"/>
        <w:rPr>
          <w:rFonts w:cstheme="minorHAnsi"/>
          <w:color w:val="000000" w:themeColor="text1"/>
        </w:rPr>
      </w:pPr>
    </w:p>
    <w:p w:rsidR="0067400B" w:rsidRPr="001C3508" w:rsidRDefault="0067400B" w:rsidP="0067400B">
      <w:pPr>
        <w:jc w:val="both"/>
        <w:rPr>
          <w:rFonts w:cstheme="minorHAnsi"/>
          <w:color w:val="000000" w:themeColor="text1"/>
        </w:rPr>
      </w:pPr>
      <w:r>
        <w:rPr>
          <w:rFonts w:cstheme="minorHAnsi"/>
          <w:color w:val="000000" w:themeColor="text1"/>
        </w:rPr>
        <w:t xml:space="preserve">The Health and Safety At Work etc Act 1974 imposes a number of general duties in relation to the health, safety and welfare of employees, but breach of these duties does not give rise to a civil action (s 47(1)), meaning that there is no civil liability for breach of a duty imposed by health and safety legislation except where such a right is specifically provided for (Health and Safety at Work etc Act 1974, s. 47 as amended by the Enterprise and Regulatory Reform Act 2013, s. 69). Following the Employers’ Liability (Defective Equipment) Act 1969, s 1, an employee has a duty to take reasonable care to provide proper appliances and to maintain them in a proper condition. The Management of Health and Safety at Work Regulations 1999 outlines that through a rigorous risk assessment process, an employer must identify the hazards that workers, contractors, and members of the public may encounter and take actions to manage or reduce those risks. The Provision and use of work equipment regulations 1998 requires that equipment provided for use at work is: ‘suitable for the intended use, safe for use, maintained in a safe condition and inspected to ensure it is correctly installed and does not subsequently deteriorate and used only by people who have received adequate information, instruction and training,’ (Health and Safety Executive, </w:t>
      </w:r>
      <w:proofErr w:type="spellStart"/>
      <w:r>
        <w:rPr>
          <w:rFonts w:cstheme="minorHAnsi"/>
          <w:color w:val="000000" w:themeColor="text1"/>
        </w:rPr>
        <w:t>n.a</w:t>
      </w:r>
      <w:proofErr w:type="spellEnd"/>
      <w:r>
        <w:rPr>
          <w:rFonts w:cstheme="minorHAnsi"/>
          <w:color w:val="000000" w:themeColor="text1"/>
        </w:rPr>
        <w:t xml:space="preserve">). </w:t>
      </w:r>
      <w:proofErr w:type="gramStart"/>
      <w:r>
        <w:rPr>
          <w:rFonts w:cstheme="minorHAnsi"/>
          <w:color w:val="000000" w:themeColor="text1"/>
        </w:rPr>
        <w:t>Therefore</w:t>
      </w:r>
      <w:proofErr w:type="gramEnd"/>
      <w:r>
        <w:rPr>
          <w:rFonts w:cstheme="minorHAnsi"/>
          <w:color w:val="000000" w:themeColor="text1"/>
        </w:rPr>
        <w:t xml:space="preserve"> CI possesses the aforementioned statutory duties.</w:t>
      </w:r>
    </w:p>
    <w:p w:rsidR="0067400B" w:rsidRDefault="0067400B" w:rsidP="0067400B">
      <w:pPr>
        <w:jc w:val="both"/>
        <w:rPr>
          <w:rFonts w:cstheme="minorHAnsi"/>
          <w:color w:val="FF0000"/>
        </w:rPr>
      </w:pPr>
    </w:p>
    <w:p w:rsidR="0067400B" w:rsidRDefault="0067400B" w:rsidP="0067400B">
      <w:pPr>
        <w:jc w:val="both"/>
        <w:rPr>
          <w:rFonts w:cstheme="minorHAnsi"/>
          <w:color w:val="000000" w:themeColor="text1"/>
        </w:rPr>
      </w:pPr>
      <w:r>
        <w:rPr>
          <w:rFonts w:cstheme="minorHAnsi"/>
          <w:color w:val="000000" w:themeColor="text1"/>
        </w:rPr>
        <w:t>From the aforementioned facts, it is unclear whether the staff of CI was trained in their employment. The fact that M was very busy, could have been dealt with CI in providing extra staff members, thus avoiding any future hazards. Furthermore, it seems that the top of the pub was in regular customer use and therefore the stair rail should have been repaired swiftly, avoiding any injury to A.</w:t>
      </w:r>
    </w:p>
    <w:p w:rsidR="0067400B" w:rsidRDefault="0067400B" w:rsidP="0067400B">
      <w:pPr>
        <w:jc w:val="both"/>
        <w:rPr>
          <w:rFonts w:cstheme="minorHAnsi"/>
          <w:color w:val="FF0000"/>
        </w:rPr>
      </w:pPr>
    </w:p>
    <w:p w:rsidR="0067400B" w:rsidRDefault="0067400B" w:rsidP="0067400B">
      <w:pPr>
        <w:jc w:val="both"/>
        <w:rPr>
          <w:rFonts w:cstheme="minorHAnsi"/>
          <w:color w:val="000000" w:themeColor="text1"/>
        </w:rPr>
      </w:pPr>
      <w:r>
        <w:rPr>
          <w:rFonts w:cstheme="minorHAnsi"/>
          <w:color w:val="000000" w:themeColor="text1"/>
        </w:rPr>
        <w:t>Following the Health and Safety at Work Act 1974, generally it is the obligation of the employer to ensure that everyone is safe. However, employees have a responsibility to protect their own health and safety, as well as the health and safety of others (including the public and other employees) who may be affected by their activities at work.  Employees must also cooperate with their employers and adhere to orders given by them, not endanger others and make sure to report any risks, diseases, or injuries.</w:t>
      </w:r>
    </w:p>
    <w:p w:rsidR="0067400B" w:rsidRDefault="0067400B" w:rsidP="0067400B">
      <w:pPr>
        <w:jc w:val="both"/>
        <w:rPr>
          <w:rFonts w:cstheme="minorHAnsi"/>
          <w:color w:val="FF0000"/>
        </w:rPr>
      </w:pPr>
    </w:p>
    <w:p w:rsidR="0067400B" w:rsidRDefault="0067400B" w:rsidP="0067400B">
      <w:pPr>
        <w:jc w:val="both"/>
        <w:rPr>
          <w:rFonts w:cstheme="minorHAnsi"/>
          <w:color w:val="000000" w:themeColor="text1"/>
        </w:rPr>
      </w:pPr>
      <w:r>
        <w:rPr>
          <w:rFonts w:cstheme="minorHAnsi"/>
          <w:color w:val="000000" w:themeColor="text1"/>
        </w:rPr>
        <w:t>Vicarious liability is a form of liability without fault; i.e. strict liability. Generally, anyone who wishes to hold an employer vicariously liable must prove: that the tortfeasor was D’s employee; that the tortfeasor did in fact commit a tort; and that the tortfeasor committed the tort in the course of employment. In order for CI to be vicariously liable for J’s actions, J must be ‘in the course of employment’ at the time the negligence occurred. Here, CI will be liable to J’s authorised acts, J’s authorised acts done negligently and/or an act so closely linked to what J was meant to be doing. However, CI will not be liable if J was outside the “course of employment,” therefore here the courts must decide whether J was in “the course of employment at the time?” It seems in this case that J was carrying out an authorised act in dropping food, which would arguably occur often in a restaurant type setting. However, the fact that J first seeks a cleaner without placing a warning sign on the floor indicating spilt food (which a reasonable man would have expected to do) and therefore hazardous could be regarded as an authorised act done negligently (</w:t>
      </w:r>
      <w:r w:rsidRPr="001C3508">
        <w:rPr>
          <w:rFonts w:cstheme="minorHAnsi"/>
          <w:color w:val="000000" w:themeColor="text1"/>
        </w:rPr>
        <w:t xml:space="preserve">Century Insurance v NI Road Transport Board </w:t>
      </w:r>
      <w:r w:rsidRPr="001C3508">
        <w:rPr>
          <w:rFonts w:cstheme="minorHAnsi"/>
          <w:color w:val="000000" w:themeColor="text1"/>
        </w:rPr>
        <w:lastRenderedPageBreak/>
        <w:t>[1942] AC 509</w:t>
      </w:r>
      <w:r>
        <w:rPr>
          <w:rFonts w:cstheme="minorHAnsi"/>
          <w:color w:val="000000" w:themeColor="text1"/>
        </w:rPr>
        <w:t>). It therefore seems that J, CI’s employee, was indeed within the course of employment at the time.</w:t>
      </w:r>
    </w:p>
    <w:p w:rsidR="0067400B" w:rsidRDefault="0067400B" w:rsidP="0067400B">
      <w:pPr>
        <w:jc w:val="both"/>
        <w:rPr>
          <w:rFonts w:cstheme="minorHAnsi"/>
          <w:color w:val="FF0000"/>
        </w:rPr>
      </w:pPr>
    </w:p>
    <w:p w:rsidR="0067400B" w:rsidRDefault="0067400B" w:rsidP="0067400B">
      <w:pPr>
        <w:jc w:val="both"/>
        <w:rPr>
          <w:rFonts w:cstheme="minorHAnsi"/>
          <w:color w:val="FF0000"/>
        </w:rPr>
      </w:pPr>
    </w:p>
    <w:p w:rsidR="0067400B" w:rsidRDefault="0067400B" w:rsidP="0067400B">
      <w:pPr>
        <w:jc w:val="both"/>
        <w:rPr>
          <w:rFonts w:cstheme="minorHAnsi"/>
          <w:color w:val="000000" w:themeColor="text1"/>
        </w:rPr>
      </w:pPr>
      <w:r w:rsidRPr="001C3508">
        <w:rPr>
          <w:rFonts w:cstheme="minorHAnsi"/>
          <w:color w:val="000000" w:themeColor="text1"/>
        </w:rPr>
        <w:t>To conclude</w:t>
      </w:r>
      <w:r>
        <w:rPr>
          <w:rFonts w:cstheme="minorHAnsi"/>
          <w:color w:val="000000" w:themeColor="text1"/>
        </w:rPr>
        <w:t xml:space="preserve"> and summarise,</w:t>
      </w:r>
      <w:r w:rsidRPr="001C3508">
        <w:rPr>
          <w:rFonts w:cstheme="minorHAnsi"/>
          <w:color w:val="000000" w:themeColor="text1"/>
        </w:rPr>
        <w:t xml:space="preserve"> it seems</w:t>
      </w:r>
      <w:r>
        <w:rPr>
          <w:rFonts w:cstheme="minorHAnsi"/>
          <w:color w:val="000000" w:themeColor="text1"/>
        </w:rPr>
        <w:t xml:space="preserve"> from the aforementioned,</w:t>
      </w:r>
      <w:r w:rsidRPr="001C3508">
        <w:rPr>
          <w:rFonts w:cstheme="minorHAnsi"/>
          <w:color w:val="000000" w:themeColor="text1"/>
        </w:rPr>
        <w:t xml:space="preserve"> that CI owe a duty of care to A and M and could be vicariously liable for J’s actions. There is an argument, though perhaps somewhat unconvincing, that M could have safeguarded better against any impeding hazards and is therefore contributory negligent.</w:t>
      </w:r>
      <w:r>
        <w:rPr>
          <w:rFonts w:cstheme="minorHAnsi"/>
          <w:color w:val="000000" w:themeColor="text1"/>
        </w:rPr>
        <w:t xml:space="preserve"> </w:t>
      </w:r>
    </w:p>
    <w:p w:rsidR="0067400B" w:rsidRDefault="0067400B" w:rsidP="0067400B"/>
    <w:p w:rsidR="0067400B" w:rsidRDefault="0067400B" w:rsidP="0067400B"/>
    <w:p w:rsidR="0067400B" w:rsidRPr="001C3508" w:rsidRDefault="0067400B" w:rsidP="0067400B">
      <w:pPr>
        <w:rPr>
          <w:rFonts w:cstheme="minorHAnsi"/>
          <w:b/>
          <w:bCs/>
          <w:u w:val="single"/>
        </w:rPr>
      </w:pPr>
      <w:r w:rsidRPr="001C3508">
        <w:rPr>
          <w:rFonts w:cstheme="minorHAnsi"/>
          <w:b/>
          <w:bCs/>
          <w:u w:val="single"/>
        </w:rPr>
        <w:t>References List</w:t>
      </w:r>
    </w:p>
    <w:p w:rsidR="0067400B" w:rsidRPr="001C3508" w:rsidRDefault="0067400B" w:rsidP="0067400B">
      <w:pPr>
        <w:autoSpaceDE w:val="0"/>
        <w:autoSpaceDN w:val="0"/>
        <w:adjustRightInd w:val="0"/>
        <w:rPr>
          <w:rFonts w:cstheme="minorHAnsi"/>
          <w:b/>
          <w:bCs/>
        </w:rPr>
      </w:pPr>
    </w:p>
    <w:p w:rsidR="0067400B" w:rsidRPr="001C3508" w:rsidRDefault="0067400B" w:rsidP="0067400B">
      <w:pPr>
        <w:autoSpaceDE w:val="0"/>
        <w:autoSpaceDN w:val="0"/>
        <w:adjustRightInd w:val="0"/>
        <w:rPr>
          <w:rFonts w:cstheme="minorHAnsi"/>
          <w:b/>
          <w:bCs/>
        </w:rPr>
      </w:pPr>
      <w:r w:rsidRPr="001C3508">
        <w:rPr>
          <w:rFonts w:cstheme="minorHAnsi"/>
          <w:b/>
          <w:bCs/>
        </w:rPr>
        <w:t>Table of Cases</w:t>
      </w:r>
    </w:p>
    <w:p w:rsidR="0067400B" w:rsidRPr="001C3508" w:rsidRDefault="0067400B" w:rsidP="0067400B">
      <w:pPr>
        <w:autoSpaceDE w:val="0"/>
        <w:autoSpaceDN w:val="0"/>
        <w:adjustRightInd w:val="0"/>
        <w:rPr>
          <w:rFonts w:cstheme="minorHAnsi"/>
        </w:rPr>
      </w:pPr>
      <w:r w:rsidRPr="001C3508">
        <w:rPr>
          <w:rFonts w:cstheme="minorHAnsi"/>
        </w:rPr>
        <w:t xml:space="preserve">Donoghue v Stevenson [1932] AC 562 </w:t>
      </w:r>
    </w:p>
    <w:p w:rsidR="0067400B" w:rsidRPr="001C3508" w:rsidRDefault="0067400B" w:rsidP="0067400B">
      <w:pPr>
        <w:autoSpaceDE w:val="0"/>
        <w:autoSpaceDN w:val="0"/>
        <w:adjustRightInd w:val="0"/>
        <w:rPr>
          <w:rFonts w:cstheme="minorHAnsi"/>
        </w:rPr>
      </w:pPr>
      <w:r w:rsidRPr="001C3508">
        <w:rPr>
          <w:rFonts w:cstheme="minorHAnsi"/>
        </w:rPr>
        <w:t>Ready Mixed Concrete (South East) Ltd v Minister of Pensions and National Insurance [1968] 2 QB 497 </w:t>
      </w:r>
    </w:p>
    <w:p w:rsidR="0067400B" w:rsidRPr="001C3508" w:rsidRDefault="0067400B" w:rsidP="0067400B">
      <w:pPr>
        <w:autoSpaceDE w:val="0"/>
        <w:autoSpaceDN w:val="0"/>
        <w:adjustRightInd w:val="0"/>
        <w:rPr>
          <w:rFonts w:cstheme="minorHAnsi"/>
        </w:rPr>
      </w:pPr>
      <w:r w:rsidRPr="001C3508">
        <w:rPr>
          <w:rFonts w:cstheme="minorHAnsi"/>
        </w:rPr>
        <w:t xml:space="preserve">Caparo Industries PLC v Dickman [1990] UKHL 2 </w:t>
      </w:r>
    </w:p>
    <w:p w:rsidR="0067400B" w:rsidRPr="001C3508" w:rsidRDefault="0067400B" w:rsidP="0067400B">
      <w:pPr>
        <w:autoSpaceDE w:val="0"/>
        <w:autoSpaceDN w:val="0"/>
        <w:adjustRightInd w:val="0"/>
        <w:rPr>
          <w:rFonts w:cstheme="minorHAnsi"/>
        </w:rPr>
      </w:pPr>
      <w:r w:rsidRPr="001C3508">
        <w:rPr>
          <w:rFonts w:cstheme="minorHAnsi"/>
        </w:rPr>
        <w:t xml:space="preserve">Hill v Chief Constable of West Yorkshire [1987] UKHL 12 </w:t>
      </w:r>
    </w:p>
    <w:p w:rsidR="0067400B" w:rsidRPr="001C3508" w:rsidRDefault="0067400B" w:rsidP="0067400B">
      <w:pPr>
        <w:autoSpaceDE w:val="0"/>
        <w:autoSpaceDN w:val="0"/>
        <w:adjustRightInd w:val="0"/>
        <w:rPr>
          <w:rFonts w:cstheme="minorHAnsi"/>
        </w:rPr>
      </w:pPr>
      <w:r w:rsidRPr="001C3508">
        <w:rPr>
          <w:rFonts w:cstheme="minorHAnsi"/>
        </w:rPr>
        <w:t xml:space="preserve">Blyth v Birmingham Waterworks Company (1856) 11 Ex Ch 781 </w:t>
      </w:r>
    </w:p>
    <w:p w:rsidR="0067400B" w:rsidRPr="001C3508" w:rsidRDefault="0067400B" w:rsidP="0067400B">
      <w:pPr>
        <w:autoSpaceDE w:val="0"/>
        <w:autoSpaceDN w:val="0"/>
        <w:adjustRightInd w:val="0"/>
        <w:rPr>
          <w:rFonts w:cstheme="minorHAnsi"/>
        </w:rPr>
      </w:pPr>
      <w:r w:rsidRPr="001C3508">
        <w:rPr>
          <w:rFonts w:cstheme="minorHAnsi"/>
        </w:rPr>
        <w:t>Barnett v Chelsea &amp; Kensington Hospital Management Committee [1968] 2 WLR 422</w:t>
      </w:r>
    </w:p>
    <w:p w:rsidR="0067400B" w:rsidRPr="001C3508" w:rsidRDefault="0067400B" w:rsidP="0067400B">
      <w:pPr>
        <w:autoSpaceDE w:val="0"/>
        <w:autoSpaceDN w:val="0"/>
        <w:adjustRightInd w:val="0"/>
        <w:rPr>
          <w:rFonts w:cstheme="minorHAnsi"/>
        </w:rPr>
      </w:pPr>
      <w:r w:rsidRPr="001C3508">
        <w:rPr>
          <w:rFonts w:cstheme="minorHAnsi"/>
        </w:rPr>
        <w:t>The Wagon Mound (No 1) [1961] AC 388</w:t>
      </w:r>
    </w:p>
    <w:p w:rsidR="0067400B" w:rsidRPr="001C3508" w:rsidRDefault="0067400B" w:rsidP="0067400B">
      <w:pPr>
        <w:autoSpaceDE w:val="0"/>
        <w:autoSpaceDN w:val="0"/>
        <w:adjustRightInd w:val="0"/>
        <w:rPr>
          <w:rFonts w:cstheme="minorHAnsi"/>
        </w:rPr>
      </w:pPr>
      <w:r w:rsidRPr="001C3508">
        <w:rPr>
          <w:rFonts w:cstheme="minorHAnsi"/>
        </w:rPr>
        <w:t>Hughes v Lord Advocate [1963] AC 837</w:t>
      </w:r>
    </w:p>
    <w:p w:rsidR="0067400B" w:rsidRPr="001C3508" w:rsidRDefault="0067400B" w:rsidP="0067400B">
      <w:pPr>
        <w:autoSpaceDE w:val="0"/>
        <w:autoSpaceDN w:val="0"/>
        <w:adjustRightInd w:val="0"/>
        <w:rPr>
          <w:rFonts w:cstheme="minorHAnsi"/>
        </w:rPr>
      </w:pPr>
      <w:r w:rsidRPr="001C3508">
        <w:rPr>
          <w:rFonts w:cstheme="minorHAnsi"/>
        </w:rPr>
        <w:t>Wilsons &amp; Clyde Co Ltd v English [1938] AC 57</w:t>
      </w:r>
    </w:p>
    <w:p w:rsidR="0067400B" w:rsidRPr="001C3508" w:rsidRDefault="0067400B" w:rsidP="0067400B">
      <w:pPr>
        <w:autoSpaceDE w:val="0"/>
        <w:autoSpaceDN w:val="0"/>
        <w:adjustRightInd w:val="0"/>
        <w:rPr>
          <w:rFonts w:cstheme="minorHAnsi"/>
        </w:rPr>
      </w:pPr>
      <w:r w:rsidRPr="001C3508">
        <w:rPr>
          <w:rFonts w:cstheme="minorHAnsi"/>
        </w:rPr>
        <w:t>Paris v Stepney Borough Council [1951] AC 367</w:t>
      </w:r>
    </w:p>
    <w:p w:rsidR="0067400B" w:rsidRPr="001C3508" w:rsidRDefault="0067400B" w:rsidP="0067400B">
      <w:pPr>
        <w:autoSpaceDE w:val="0"/>
        <w:autoSpaceDN w:val="0"/>
        <w:adjustRightInd w:val="0"/>
        <w:rPr>
          <w:rFonts w:cstheme="minorHAnsi"/>
        </w:rPr>
      </w:pPr>
      <w:r w:rsidRPr="001C3508">
        <w:rPr>
          <w:rFonts w:cstheme="minorHAnsi"/>
        </w:rPr>
        <w:t>Hudson v Ridge Manufacturing Co Ltd [1957] 2 QB 348</w:t>
      </w:r>
    </w:p>
    <w:p w:rsidR="0067400B" w:rsidRPr="001C3508" w:rsidRDefault="0067400B" w:rsidP="0067400B">
      <w:pPr>
        <w:autoSpaceDE w:val="0"/>
        <w:autoSpaceDN w:val="0"/>
        <w:adjustRightInd w:val="0"/>
        <w:rPr>
          <w:rFonts w:cstheme="minorHAnsi"/>
        </w:rPr>
      </w:pPr>
      <w:r w:rsidRPr="001C3508">
        <w:rPr>
          <w:rFonts w:cstheme="minorHAnsi"/>
        </w:rPr>
        <w:t xml:space="preserve">Smith v Baker [1891] AC 325 </w:t>
      </w:r>
    </w:p>
    <w:p w:rsidR="0067400B" w:rsidRPr="001C3508" w:rsidRDefault="0067400B" w:rsidP="0067400B">
      <w:pPr>
        <w:autoSpaceDE w:val="0"/>
        <w:autoSpaceDN w:val="0"/>
        <w:adjustRightInd w:val="0"/>
        <w:rPr>
          <w:rFonts w:cstheme="minorHAnsi"/>
        </w:rPr>
      </w:pPr>
      <w:r w:rsidRPr="001C3508">
        <w:rPr>
          <w:rFonts w:cstheme="minorHAnsi"/>
        </w:rPr>
        <w:t xml:space="preserve">Walker v Northumberland County Council [1995] </w:t>
      </w:r>
    </w:p>
    <w:p w:rsidR="0067400B" w:rsidRPr="001C3508" w:rsidRDefault="0067400B" w:rsidP="0067400B">
      <w:pPr>
        <w:autoSpaceDE w:val="0"/>
        <w:autoSpaceDN w:val="0"/>
        <w:adjustRightInd w:val="0"/>
        <w:rPr>
          <w:rFonts w:cstheme="minorHAnsi"/>
        </w:rPr>
      </w:pPr>
      <w:proofErr w:type="spellStart"/>
      <w:r w:rsidRPr="001C3508">
        <w:rPr>
          <w:rFonts w:cstheme="minorHAnsi"/>
        </w:rPr>
        <w:t>Coxall</w:t>
      </w:r>
      <w:proofErr w:type="spellEnd"/>
      <w:r w:rsidRPr="001C3508">
        <w:rPr>
          <w:rFonts w:cstheme="minorHAnsi"/>
        </w:rPr>
        <w:t xml:space="preserve"> v Goodyear Great Britain Ltd [2002]</w:t>
      </w:r>
    </w:p>
    <w:p w:rsidR="0067400B" w:rsidRPr="001C3508" w:rsidRDefault="0067400B" w:rsidP="0067400B">
      <w:pPr>
        <w:autoSpaceDE w:val="0"/>
        <w:autoSpaceDN w:val="0"/>
        <w:adjustRightInd w:val="0"/>
        <w:rPr>
          <w:rFonts w:cstheme="minorHAnsi"/>
        </w:rPr>
      </w:pPr>
      <w:proofErr w:type="spellStart"/>
      <w:r w:rsidRPr="001C3508">
        <w:rPr>
          <w:rFonts w:cstheme="minorHAnsi"/>
        </w:rPr>
        <w:t>Jebson</w:t>
      </w:r>
      <w:proofErr w:type="spellEnd"/>
      <w:r w:rsidRPr="001C3508">
        <w:rPr>
          <w:rFonts w:cstheme="minorHAnsi"/>
        </w:rPr>
        <w:t xml:space="preserve"> v Ministry of Defence [2000] </w:t>
      </w:r>
    </w:p>
    <w:p w:rsidR="0067400B" w:rsidRDefault="0067400B" w:rsidP="0067400B">
      <w:pPr>
        <w:autoSpaceDE w:val="0"/>
        <w:autoSpaceDN w:val="0"/>
        <w:adjustRightInd w:val="0"/>
        <w:rPr>
          <w:rFonts w:cstheme="minorHAnsi"/>
        </w:rPr>
      </w:pPr>
      <w:r w:rsidRPr="001C3508">
        <w:rPr>
          <w:rFonts w:cstheme="minorHAnsi"/>
        </w:rPr>
        <w:t>Century Insurance v NI Road Transport Board [1942] AC 509</w:t>
      </w:r>
    </w:p>
    <w:p w:rsidR="0067400B" w:rsidRPr="001C3508" w:rsidRDefault="0067400B" w:rsidP="0067400B">
      <w:pPr>
        <w:autoSpaceDE w:val="0"/>
        <w:autoSpaceDN w:val="0"/>
        <w:adjustRightInd w:val="0"/>
        <w:rPr>
          <w:rFonts w:cstheme="minorHAnsi"/>
        </w:rPr>
      </w:pPr>
      <w:proofErr w:type="spellStart"/>
      <w:r w:rsidRPr="001C3508">
        <w:rPr>
          <w:rFonts w:cstheme="minorHAnsi"/>
        </w:rPr>
        <w:t>Ammah</w:t>
      </w:r>
      <w:proofErr w:type="spellEnd"/>
      <w:r w:rsidRPr="001C3508">
        <w:rPr>
          <w:rFonts w:cstheme="minorHAnsi"/>
        </w:rPr>
        <w:t xml:space="preserve"> v Kuehne and </w:t>
      </w:r>
      <w:proofErr w:type="spellStart"/>
      <w:r w:rsidRPr="001C3508">
        <w:rPr>
          <w:rFonts w:cstheme="minorHAnsi"/>
        </w:rPr>
        <w:t>Nagal</w:t>
      </w:r>
      <w:proofErr w:type="spellEnd"/>
      <w:r w:rsidRPr="001C3508">
        <w:rPr>
          <w:rFonts w:cstheme="minorHAnsi"/>
        </w:rPr>
        <w:t xml:space="preserve"> Logistics Ltd [2009] EWCA CIV 11</w:t>
      </w:r>
    </w:p>
    <w:p w:rsidR="0067400B" w:rsidRPr="001C3508" w:rsidRDefault="0067400B" w:rsidP="0067400B">
      <w:pPr>
        <w:autoSpaceDE w:val="0"/>
        <w:autoSpaceDN w:val="0"/>
        <w:adjustRightInd w:val="0"/>
        <w:rPr>
          <w:rFonts w:cstheme="minorHAnsi"/>
        </w:rPr>
      </w:pPr>
    </w:p>
    <w:p w:rsidR="0067400B" w:rsidRPr="001C3508" w:rsidRDefault="0067400B" w:rsidP="0067400B">
      <w:pPr>
        <w:autoSpaceDE w:val="0"/>
        <w:autoSpaceDN w:val="0"/>
        <w:adjustRightInd w:val="0"/>
        <w:rPr>
          <w:rFonts w:cstheme="minorHAnsi"/>
        </w:rPr>
      </w:pPr>
    </w:p>
    <w:p w:rsidR="0067400B" w:rsidRPr="001C3508" w:rsidRDefault="0067400B" w:rsidP="0067400B">
      <w:pPr>
        <w:autoSpaceDE w:val="0"/>
        <w:autoSpaceDN w:val="0"/>
        <w:adjustRightInd w:val="0"/>
        <w:rPr>
          <w:rFonts w:cstheme="minorHAnsi"/>
          <w:b/>
          <w:bCs/>
        </w:rPr>
      </w:pPr>
      <w:r w:rsidRPr="001C3508">
        <w:rPr>
          <w:rFonts w:cstheme="minorHAnsi"/>
          <w:b/>
          <w:bCs/>
        </w:rPr>
        <w:t xml:space="preserve">Table of Legislation </w:t>
      </w:r>
    </w:p>
    <w:p w:rsidR="0067400B" w:rsidRPr="001C3508" w:rsidRDefault="0067400B" w:rsidP="0067400B">
      <w:pPr>
        <w:autoSpaceDE w:val="0"/>
        <w:autoSpaceDN w:val="0"/>
        <w:adjustRightInd w:val="0"/>
        <w:rPr>
          <w:rFonts w:cstheme="minorHAnsi"/>
        </w:rPr>
      </w:pPr>
      <w:r w:rsidRPr="001C3508">
        <w:rPr>
          <w:rFonts w:cstheme="minorHAnsi"/>
        </w:rPr>
        <w:t xml:space="preserve">The Health and Safety at Work Act 1974 </w:t>
      </w:r>
    </w:p>
    <w:p w:rsidR="0067400B" w:rsidRPr="001C3508" w:rsidRDefault="0067400B" w:rsidP="0067400B">
      <w:pPr>
        <w:autoSpaceDE w:val="0"/>
        <w:autoSpaceDN w:val="0"/>
        <w:adjustRightInd w:val="0"/>
        <w:rPr>
          <w:rFonts w:cstheme="minorHAnsi"/>
        </w:rPr>
      </w:pPr>
      <w:r w:rsidRPr="001C3508">
        <w:rPr>
          <w:rFonts w:cstheme="minorHAnsi"/>
        </w:rPr>
        <w:t xml:space="preserve">The Employers’ Liability (Defective Equipment) Act 1969 </w:t>
      </w:r>
    </w:p>
    <w:p w:rsidR="0067400B" w:rsidRPr="001C3508" w:rsidRDefault="0067400B" w:rsidP="0067400B">
      <w:pPr>
        <w:rPr>
          <w:rFonts w:cstheme="minorHAnsi"/>
        </w:rPr>
      </w:pPr>
      <w:r w:rsidRPr="001C3508">
        <w:rPr>
          <w:rFonts w:cstheme="minorHAnsi"/>
        </w:rPr>
        <w:t>The Management of Health and Safety at Work Regulations 1999</w:t>
      </w:r>
    </w:p>
    <w:p w:rsidR="0067400B" w:rsidRPr="001C3508" w:rsidRDefault="0067400B" w:rsidP="0067400B">
      <w:pPr>
        <w:rPr>
          <w:rFonts w:cstheme="minorHAnsi"/>
        </w:rPr>
      </w:pPr>
    </w:p>
    <w:p w:rsidR="0067400B" w:rsidRDefault="0067400B" w:rsidP="0067400B">
      <w:r w:rsidRPr="001C3508">
        <w:rPr>
          <w:rFonts w:cstheme="minorHAnsi"/>
        </w:rPr>
        <w:t>Provision and Use of Work Equipment Regulations 1998 (PUWER) (no date) Provision and use of Work Equipment Regulations 1998 (PUWER). Available at: https://www.hse.gov.uk/work-equipment-machinery/puwer.htm (Accessed: January 9, 2023).</w:t>
      </w:r>
      <w:bookmarkStart w:id="0" w:name="_GoBack"/>
      <w:bookmarkEnd w:id="0"/>
    </w:p>
    <w:sectPr w:rsidR="006740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00B"/>
    <w:rsid w:val="00015E76"/>
    <w:rsid w:val="00674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FEE39"/>
  <w15:chartTrackingRefBased/>
  <w15:docId w15:val="{5D94E25A-EC50-4143-A381-B0AD2F49E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400B"/>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1874</Words>
  <Characters>10686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1</cp:revision>
  <dcterms:created xsi:type="dcterms:W3CDTF">2023-01-12T17:49:00Z</dcterms:created>
  <dcterms:modified xsi:type="dcterms:W3CDTF">2023-01-12T17:52:00Z</dcterms:modified>
</cp:coreProperties>
</file>