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EFA35B" w14:textId="77777777" w:rsidR="00A166EA" w:rsidRDefault="00A166EA" w:rsidP="00A166EA">
      <w:pPr>
        <w:jc w:val="center"/>
        <w:rPr>
          <w:sz w:val="36"/>
          <w:szCs w:val="32"/>
        </w:rPr>
      </w:pPr>
    </w:p>
    <w:p w14:paraId="2FF43B6C" w14:textId="77777777" w:rsidR="00A166EA" w:rsidRDefault="00A166EA" w:rsidP="00A166EA">
      <w:pPr>
        <w:jc w:val="center"/>
        <w:rPr>
          <w:sz w:val="36"/>
          <w:szCs w:val="32"/>
        </w:rPr>
      </w:pPr>
    </w:p>
    <w:p w14:paraId="3E7FCB5E" w14:textId="06C77B77" w:rsidR="00A166EA" w:rsidRPr="008C61D0" w:rsidRDefault="008C61D0" w:rsidP="00A166EA">
      <w:pPr>
        <w:jc w:val="center"/>
        <w:rPr>
          <w:b/>
          <w:bCs/>
          <w:sz w:val="44"/>
          <w:szCs w:val="44"/>
        </w:rPr>
      </w:pPr>
      <w:r w:rsidRPr="008C61D0">
        <w:rPr>
          <w:b/>
          <w:bCs/>
          <w:sz w:val="44"/>
          <w:szCs w:val="44"/>
        </w:rPr>
        <w:t>Managing Food and Beverage Operations</w:t>
      </w:r>
    </w:p>
    <w:p w14:paraId="3850B1F6" w14:textId="77777777" w:rsidR="008C61D0" w:rsidRPr="008C61D0" w:rsidRDefault="008C61D0" w:rsidP="008C61D0">
      <w:pPr>
        <w:jc w:val="center"/>
        <w:rPr>
          <w:b/>
          <w:bCs/>
          <w:sz w:val="44"/>
          <w:szCs w:val="44"/>
        </w:rPr>
      </w:pPr>
      <w:r w:rsidRPr="008C61D0">
        <w:rPr>
          <w:b/>
          <w:bCs/>
          <w:sz w:val="44"/>
          <w:szCs w:val="44"/>
        </w:rPr>
        <w:t xml:space="preserve">Hotel Placement </w:t>
      </w:r>
    </w:p>
    <w:p w14:paraId="47AC6C58" w14:textId="67959C1A" w:rsidR="008C61D0" w:rsidRPr="008C61D0" w:rsidRDefault="008C61D0" w:rsidP="008C61D0">
      <w:pPr>
        <w:jc w:val="center"/>
        <w:rPr>
          <w:b/>
          <w:bCs/>
          <w:sz w:val="44"/>
          <w:szCs w:val="44"/>
          <w:u w:val="single"/>
        </w:rPr>
      </w:pPr>
      <w:r w:rsidRPr="008C61D0">
        <w:rPr>
          <w:b/>
          <w:bCs/>
          <w:sz w:val="44"/>
          <w:szCs w:val="44"/>
          <w:u w:val="single"/>
        </w:rPr>
        <w:t>BMIH600</w:t>
      </w:r>
      <w:r w:rsidRPr="008C61D0">
        <w:rPr>
          <w:b/>
          <w:bCs/>
          <w:sz w:val="44"/>
          <w:szCs w:val="44"/>
          <w:u w:val="single"/>
        </w:rPr>
        <w:t>2</w:t>
      </w:r>
    </w:p>
    <w:p w14:paraId="3CC556BE" w14:textId="77777777" w:rsidR="008C61D0" w:rsidRPr="008C61D0" w:rsidRDefault="008C61D0" w:rsidP="008C61D0">
      <w:pPr>
        <w:jc w:val="center"/>
        <w:rPr>
          <w:b/>
          <w:bCs/>
          <w:sz w:val="44"/>
          <w:szCs w:val="44"/>
          <w:u w:val="single"/>
        </w:rPr>
      </w:pPr>
      <w:r w:rsidRPr="008C61D0">
        <w:rPr>
          <w:b/>
          <w:bCs/>
          <w:sz w:val="44"/>
          <w:szCs w:val="44"/>
          <w:u w:val="single"/>
        </w:rPr>
        <w:t>Student Learning Log</w:t>
      </w:r>
    </w:p>
    <w:p w14:paraId="799D8AA4" w14:textId="77777777" w:rsidR="008C61D0" w:rsidRDefault="008C61D0" w:rsidP="008C61D0">
      <w:pPr>
        <w:jc w:val="center"/>
        <w:rPr>
          <w:b/>
          <w:sz w:val="40"/>
          <w:szCs w:val="36"/>
        </w:rPr>
      </w:pPr>
    </w:p>
    <w:p w14:paraId="2BDCAAB1" w14:textId="77777777" w:rsidR="008C61D0" w:rsidRDefault="008C61D0" w:rsidP="008C61D0">
      <w:pPr>
        <w:tabs>
          <w:tab w:val="left" w:pos="7620"/>
        </w:tabs>
        <w:jc w:val="left"/>
        <w:rPr>
          <w:b/>
          <w:sz w:val="40"/>
          <w:szCs w:val="36"/>
        </w:rPr>
      </w:pPr>
      <w:r>
        <w:rPr>
          <w:b/>
          <w:sz w:val="40"/>
          <w:szCs w:val="36"/>
        </w:rPr>
        <w:tab/>
      </w:r>
    </w:p>
    <w:p w14:paraId="4B8D1E8B" w14:textId="77777777" w:rsidR="008C61D0" w:rsidRDefault="008C61D0" w:rsidP="008C61D0">
      <w:pPr>
        <w:jc w:val="center"/>
        <w:rPr>
          <w:b/>
          <w:sz w:val="40"/>
          <w:szCs w:val="36"/>
        </w:rPr>
      </w:pPr>
    </w:p>
    <w:p w14:paraId="7FD996F4" w14:textId="77777777" w:rsidR="008C61D0" w:rsidRPr="00203E76" w:rsidRDefault="008C61D0" w:rsidP="008C61D0">
      <w:pPr>
        <w:jc w:val="center"/>
        <w:rPr>
          <w:b/>
          <w:sz w:val="28"/>
          <w:szCs w:val="28"/>
        </w:rPr>
      </w:pPr>
      <w:r w:rsidRPr="00203E76">
        <w:rPr>
          <w:b/>
          <w:sz w:val="28"/>
          <w:szCs w:val="28"/>
        </w:rPr>
        <w:t>Student: Jaber Hossin Ruman</w:t>
      </w:r>
    </w:p>
    <w:p w14:paraId="59811463" w14:textId="77777777" w:rsidR="008C61D0" w:rsidRDefault="008C61D0" w:rsidP="008C61D0">
      <w:pPr>
        <w:jc w:val="center"/>
        <w:rPr>
          <w:b/>
          <w:sz w:val="28"/>
          <w:szCs w:val="28"/>
        </w:rPr>
      </w:pPr>
      <w:r w:rsidRPr="00203E76">
        <w:rPr>
          <w:b/>
          <w:sz w:val="28"/>
          <w:szCs w:val="28"/>
        </w:rPr>
        <w:t>Lecturer: Jessica Newport &amp; Ka Po Chong</w:t>
      </w:r>
    </w:p>
    <w:p w14:paraId="47F7FCA5" w14:textId="77777777" w:rsidR="008C61D0" w:rsidRPr="00203E76" w:rsidRDefault="008C61D0" w:rsidP="008C61D0">
      <w:pPr>
        <w:jc w:val="center"/>
        <w:rPr>
          <w:b/>
          <w:sz w:val="28"/>
          <w:szCs w:val="28"/>
        </w:rPr>
      </w:pPr>
      <w:r>
        <w:rPr>
          <w:b/>
          <w:sz w:val="28"/>
          <w:szCs w:val="28"/>
        </w:rPr>
        <w:t>Submission deadline: 03-06-2024</w:t>
      </w:r>
    </w:p>
    <w:p w14:paraId="1764C8B1" w14:textId="77777777" w:rsidR="008C61D0" w:rsidRDefault="008C61D0" w:rsidP="00A05191">
      <w:pPr>
        <w:jc w:val="center"/>
        <w:rPr>
          <w:sz w:val="36"/>
          <w:szCs w:val="32"/>
        </w:rPr>
      </w:pPr>
    </w:p>
    <w:p w14:paraId="4AE1C383" w14:textId="290DCC0E" w:rsidR="00A05191" w:rsidRDefault="00A05191" w:rsidP="00A166EA">
      <w:pPr>
        <w:jc w:val="center"/>
        <w:rPr>
          <w:sz w:val="36"/>
          <w:szCs w:val="32"/>
        </w:rPr>
      </w:pPr>
    </w:p>
    <w:p w14:paraId="20E1A563" w14:textId="77777777" w:rsidR="00A05191" w:rsidRDefault="00A05191" w:rsidP="008C61D0">
      <w:pPr>
        <w:rPr>
          <w:sz w:val="36"/>
          <w:szCs w:val="32"/>
        </w:rPr>
      </w:pPr>
    </w:p>
    <w:p w14:paraId="7AD81D7E" w14:textId="7CF67436" w:rsidR="00BB7DFF" w:rsidRDefault="003977A6" w:rsidP="003977A6">
      <w:pPr>
        <w:rPr>
          <w:sz w:val="36"/>
          <w:szCs w:val="32"/>
        </w:rPr>
      </w:pPr>
      <w:r>
        <w:rPr>
          <w:sz w:val="36"/>
          <w:szCs w:val="32"/>
        </w:rPr>
        <w:br w:type="page"/>
      </w:r>
    </w:p>
    <w:sdt>
      <w:sdtPr>
        <w:rPr>
          <w:rFonts w:ascii="Times New Roman" w:eastAsiaTheme="minorHAnsi" w:hAnsi="Times New Roman" w:cstheme="minorBidi"/>
          <w:color w:val="auto"/>
          <w:sz w:val="24"/>
          <w:szCs w:val="22"/>
        </w:rPr>
        <w:id w:val="-407297712"/>
        <w:docPartObj>
          <w:docPartGallery w:val="Table of Contents"/>
          <w:docPartUnique/>
        </w:docPartObj>
      </w:sdtPr>
      <w:sdtEndPr>
        <w:rPr>
          <w:b/>
          <w:bCs/>
          <w:noProof/>
        </w:rPr>
      </w:sdtEndPr>
      <w:sdtContent>
        <w:p w14:paraId="25142590" w14:textId="2B18DCDA" w:rsidR="003977A6" w:rsidRPr="003977A6" w:rsidRDefault="003977A6">
          <w:pPr>
            <w:pStyle w:val="TOCHeading"/>
            <w:rPr>
              <w:rFonts w:ascii="Times New Roman" w:hAnsi="Times New Roman" w:cs="Times New Roman"/>
            </w:rPr>
          </w:pPr>
          <w:r w:rsidRPr="003977A6">
            <w:rPr>
              <w:rFonts w:ascii="Times New Roman" w:hAnsi="Times New Roman" w:cs="Times New Roman"/>
            </w:rPr>
            <w:t>Contents</w:t>
          </w:r>
        </w:p>
        <w:p w14:paraId="1BE719B1" w14:textId="7E512A6D" w:rsidR="00D07CBB" w:rsidRDefault="003977A6">
          <w:pPr>
            <w:pStyle w:val="TOC1"/>
            <w:tabs>
              <w:tab w:val="right" w:leader="dot" w:pos="9350"/>
            </w:tabs>
            <w:rPr>
              <w:rFonts w:asciiTheme="minorHAnsi" w:eastAsiaTheme="minorEastAsia" w:hAnsiTheme="minorHAnsi"/>
              <w:noProof/>
              <w:sz w:val="22"/>
            </w:rPr>
          </w:pPr>
          <w:r w:rsidRPr="003977A6">
            <w:rPr>
              <w:rFonts w:cs="Times New Roman"/>
            </w:rPr>
            <w:fldChar w:fldCharType="begin"/>
          </w:r>
          <w:r w:rsidRPr="003977A6">
            <w:rPr>
              <w:rFonts w:cs="Times New Roman"/>
            </w:rPr>
            <w:instrText xml:space="preserve"> TOC \o "1-3" \h \z \u </w:instrText>
          </w:r>
          <w:r w:rsidRPr="003977A6">
            <w:rPr>
              <w:rFonts w:cs="Times New Roman"/>
            </w:rPr>
            <w:fldChar w:fldCharType="separate"/>
          </w:r>
          <w:hyperlink w:anchor="_Toc167647754" w:history="1">
            <w:r w:rsidR="00D07CBB" w:rsidRPr="0090204B">
              <w:rPr>
                <w:rStyle w:val="Hyperlink"/>
                <w:b/>
                <w:noProof/>
              </w:rPr>
              <w:t>Introduction</w:t>
            </w:r>
            <w:r w:rsidR="00D07CBB">
              <w:rPr>
                <w:noProof/>
                <w:webHidden/>
              </w:rPr>
              <w:tab/>
            </w:r>
            <w:r w:rsidR="00D07CBB">
              <w:rPr>
                <w:noProof/>
                <w:webHidden/>
              </w:rPr>
              <w:fldChar w:fldCharType="begin"/>
            </w:r>
            <w:r w:rsidR="00D07CBB">
              <w:rPr>
                <w:noProof/>
                <w:webHidden/>
              </w:rPr>
              <w:instrText xml:space="preserve"> PAGEREF _Toc167647754 \h </w:instrText>
            </w:r>
            <w:r w:rsidR="00D07CBB">
              <w:rPr>
                <w:noProof/>
                <w:webHidden/>
              </w:rPr>
            </w:r>
            <w:r w:rsidR="00D07CBB">
              <w:rPr>
                <w:noProof/>
                <w:webHidden/>
              </w:rPr>
              <w:fldChar w:fldCharType="separate"/>
            </w:r>
            <w:r w:rsidR="00D07CBB">
              <w:rPr>
                <w:noProof/>
                <w:webHidden/>
              </w:rPr>
              <w:t>3</w:t>
            </w:r>
            <w:r w:rsidR="00D07CBB">
              <w:rPr>
                <w:noProof/>
                <w:webHidden/>
              </w:rPr>
              <w:fldChar w:fldCharType="end"/>
            </w:r>
          </w:hyperlink>
        </w:p>
        <w:p w14:paraId="0BD160C3" w14:textId="7A31CAB3" w:rsidR="00D07CBB" w:rsidRDefault="00000000">
          <w:pPr>
            <w:pStyle w:val="TOC1"/>
            <w:tabs>
              <w:tab w:val="right" w:leader="dot" w:pos="9350"/>
            </w:tabs>
            <w:rPr>
              <w:rFonts w:asciiTheme="minorHAnsi" w:eastAsiaTheme="minorEastAsia" w:hAnsiTheme="minorHAnsi"/>
              <w:noProof/>
              <w:sz w:val="22"/>
            </w:rPr>
          </w:pPr>
          <w:hyperlink w:anchor="_Toc167647755" w:history="1">
            <w:r w:rsidR="00D07CBB" w:rsidRPr="0090204B">
              <w:rPr>
                <w:rStyle w:val="Hyperlink"/>
                <w:b/>
                <w:noProof/>
              </w:rPr>
              <w:t>Section 1: Reflection on Experience and Personal Development</w:t>
            </w:r>
            <w:r w:rsidR="00D07CBB">
              <w:rPr>
                <w:noProof/>
                <w:webHidden/>
              </w:rPr>
              <w:tab/>
            </w:r>
            <w:r w:rsidR="00D07CBB">
              <w:rPr>
                <w:noProof/>
                <w:webHidden/>
              </w:rPr>
              <w:fldChar w:fldCharType="begin"/>
            </w:r>
            <w:r w:rsidR="00D07CBB">
              <w:rPr>
                <w:noProof/>
                <w:webHidden/>
              </w:rPr>
              <w:instrText xml:space="preserve"> PAGEREF _Toc167647755 \h </w:instrText>
            </w:r>
            <w:r w:rsidR="00D07CBB">
              <w:rPr>
                <w:noProof/>
                <w:webHidden/>
              </w:rPr>
            </w:r>
            <w:r w:rsidR="00D07CBB">
              <w:rPr>
                <w:noProof/>
                <w:webHidden/>
              </w:rPr>
              <w:fldChar w:fldCharType="separate"/>
            </w:r>
            <w:r w:rsidR="00D07CBB">
              <w:rPr>
                <w:noProof/>
                <w:webHidden/>
              </w:rPr>
              <w:t>3</w:t>
            </w:r>
            <w:r w:rsidR="00D07CBB">
              <w:rPr>
                <w:noProof/>
                <w:webHidden/>
              </w:rPr>
              <w:fldChar w:fldCharType="end"/>
            </w:r>
          </w:hyperlink>
        </w:p>
        <w:p w14:paraId="7A79DAEC" w14:textId="10D2C79D" w:rsidR="00D07CBB" w:rsidRDefault="00000000">
          <w:pPr>
            <w:pStyle w:val="TOC1"/>
            <w:tabs>
              <w:tab w:val="right" w:leader="dot" w:pos="9350"/>
            </w:tabs>
            <w:rPr>
              <w:rFonts w:asciiTheme="minorHAnsi" w:eastAsiaTheme="minorEastAsia" w:hAnsiTheme="minorHAnsi"/>
              <w:noProof/>
              <w:sz w:val="22"/>
            </w:rPr>
          </w:pPr>
          <w:hyperlink w:anchor="_Toc167647756" w:history="1">
            <w:r w:rsidR="00D07CBB" w:rsidRPr="0090204B">
              <w:rPr>
                <w:rStyle w:val="Hyperlink"/>
                <w:b/>
                <w:noProof/>
              </w:rPr>
              <w:t>Section 2: Critical Analysis of Work-Based Skills and Technical Knowledge</w:t>
            </w:r>
            <w:r w:rsidR="00D07CBB">
              <w:rPr>
                <w:noProof/>
                <w:webHidden/>
              </w:rPr>
              <w:tab/>
            </w:r>
            <w:r w:rsidR="00D07CBB">
              <w:rPr>
                <w:noProof/>
                <w:webHidden/>
              </w:rPr>
              <w:fldChar w:fldCharType="begin"/>
            </w:r>
            <w:r w:rsidR="00D07CBB">
              <w:rPr>
                <w:noProof/>
                <w:webHidden/>
              </w:rPr>
              <w:instrText xml:space="preserve"> PAGEREF _Toc167647756 \h </w:instrText>
            </w:r>
            <w:r w:rsidR="00D07CBB">
              <w:rPr>
                <w:noProof/>
                <w:webHidden/>
              </w:rPr>
            </w:r>
            <w:r w:rsidR="00D07CBB">
              <w:rPr>
                <w:noProof/>
                <w:webHidden/>
              </w:rPr>
              <w:fldChar w:fldCharType="separate"/>
            </w:r>
            <w:r w:rsidR="00D07CBB">
              <w:rPr>
                <w:noProof/>
                <w:webHidden/>
              </w:rPr>
              <w:t>4</w:t>
            </w:r>
            <w:r w:rsidR="00D07CBB">
              <w:rPr>
                <w:noProof/>
                <w:webHidden/>
              </w:rPr>
              <w:fldChar w:fldCharType="end"/>
            </w:r>
          </w:hyperlink>
        </w:p>
        <w:p w14:paraId="2FD097E1" w14:textId="0418EAC2" w:rsidR="00D07CBB" w:rsidRDefault="00000000">
          <w:pPr>
            <w:pStyle w:val="TOC1"/>
            <w:tabs>
              <w:tab w:val="right" w:leader="dot" w:pos="9350"/>
            </w:tabs>
            <w:rPr>
              <w:rFonts w:asciiTheme="minorHAnsi" w:eastAsiaTheme="minorEastAsia" w:hAnsiTheme="minorHAnsi"/>
              <w:noProof/>
              <w:sz w:val="22"/>
            </w:rPr>
          </w:pPr>
          <w:hyperlink w:anchor="_Toc167647757" w:history="1">
            <w:r w:rsidR="00D07CBB" w:rsidRPr="0090204B">
              <w:rPr>
                <w:rStyle w:val="Hyperlink"/>
                <w:b/>
                <w:noProof/>
              </w:rPr>
              <w:t>Section 3: Reflection on Organizational Issues</w:t>
            </w:r>
            <w:r w:rsidR="00D07CBB">
              <w:rPr>
                <w:noProof/>
                <w:webHidden/>
              </w:rPr>
              <w:tab/>
            </w:r>
            <w:r w:rsidR="00D07CBB">
              <w:rPr>
                <w:noProof/>
                <w:webHidden/>
              </w:rPr>
              <w:fldChar w:fldCharType="begin"/>
            </w:r>
            <w:r w:rsidR="00D07CBB">
              <w:rPr>
                <w:noProof/>
                <w:webHidden/>
              </w:rPr>
              <w:instrText xml:space="preserve"> PAGEREF _Toc167647757 \h </w:instrText>
            </w:r>
            <w:r w:rsidR="00D07CBB">
              <w:rPr>
                <w:noProof/>
                <w:webHidden/>
              </w:rPr>
            </w:r>
            <w:r w:rsidR="00D07CBB">
              <w:rPr>
                <w:noProof/>
                <w:webHidden/>
              </w:rPr>
              <w:fldChar w:fldCharType="separate"/>
            </w:r>
            <w:r w:rsidR="00D07CBB">
              <w:rPr>
                <w:noProof/>
                <w:webHidden/>
              </w:rPr>
              <w:t>5</w:t>
            </w:r>
            <w:r w:rsidR="00D07CBB">
              <w:rPr>
                <w:noProof/>
                <w:webHidden/>
              </w:rPr>
              <w:fldChar w:fldCharType="end"/>
            </w:r>
          </w:hyperlink>
        </w:p>
        <w:p w14:paraId="705F6E39" w14:textId="10A37BFC" w:rsidR="00D07CBB" w:rsidRDefault="00000000">
          <w:pPr>
            <w:pStyle w:val="TOC1"/>
            <w:tabs>
              <w:tab w:val="right" w:leader="dot" w:pos="9350"/>
            </w:tabs>
            <w:rPr>
              <w:rFonts w:asciiTheme="minorHAnsi" w:eastAsiaTheme="minorEastAsia" w:hAnsiTheme="minorHAnsi"/>
              <w:noProof/>
              <w:sz w:val="22"/>
            </w:rPr>
          </w:pPr>
          <w:hyperlink w:anchor="_Toc167647758" w:history="1">
            <w:r w:rsidR="00D07CBB" w:rsidRPr="0090204B">
              <w:rPr>
                <w:rStyle w:val="Hyperlink"/>
                <w:b/>
                <w:noProof/>
              </w:rPr>
              <w:t>Section 4: Future Action Plan</w:t>
            </w:r>
            <w:r w:rsidR="00D07CBB">
              <w:rPr>
                <w:noProof/>
                <w:webHidden/>
              </w:rPr>
              <w:tab/>
            </w:r>
            <w:r w:rsidR="00D07CBB">
              <w:rPr>
                <w:noProof/>
                <w:webHidden/>
              </w:rPr>
              <w:fldChar w:fldCharType="begin"/>
            </w:r>
            <w:r w:rsidR="00D07CBB">
              <w:rPr>
                <w:noProof/>
                <w:webHidden/>
              </w:rPr>
              <w:instrText xml:space="preserve"> PAGEREF _Toc167647758 \h </w:instrText>
            </w:r>
            <w:r w:rsidR="00D07CBB">
              <w:rPr>
                <w:noProof/>
                <w:webHidden/>
              </w:rPr>
            </w:r>
            <w:r w:rsidR="00D07CBB">
              <w:rPr>
                <w:noProof/>
                <w:webHidden/>
              </w:rPr>
              <w:fldChar w:fldCharType="separate"/>
            </w:r>
            <w:r w:rsidR="00D07CBB">
              <w:rPr>
                <w:noProof/>
                <w:webHidden/>
              </w:rPr>
              <w:t>6</w:t>
            </w:r>
            <w:r w:rsidR="00D07CBB">
              <w:rPr>
                <w:noProof/>
                <w:webHidden/>
              </w:rPr>
              <w:fldChar w:fldCharType="end"/>
            </w:r>
          </w:hyperlink>
        </w:p>
        <w:p w14:paraId="18147898" w14:textId="1B2FE743" w:rsidR="00D07CBB" w:rsidRDefault="00000000">
          <w:pPr>
            <w:pStyle w:val="TOC1"/>
            <w:tabs>
              <w:tab w:val="right" w:leader="dot" w:pos="9350"/>
            </w:tabs>
            <w:rPr>
              <w:rFonts w:asciiTheme="minorHAnsi" w:eastAsiaTheme="minorEastAsia" w:hAnsiTheme="minorHAnsi"/>
              <w:noProof/>
              <w:sz w:val="22"/>
            </w:rPr>
          </w:pPr>
          <w:hyperlink w:anchor="_Toc167647759" w:history="1">
            <w:r w:rsidR="00D07CBB" w:rsidRPr="0090204B">
              <w:rPr>
                <w:rStyle w:val="Hyperlink"/>
                <w:b/>
                <w:noProof/>
              </w:rPr>
              <w:t>Conclusion</w:t>
            </w:r>
            <w:r w:rsidR="00D07CBB">
              <w:rPr>
                <w:noProof/>
                <w:webHidden/>
              </w:rPr>
              <w:tab/>
            </w:r>
            <w:r w:rsidR="00D07CBB">
              <w:rPr>
                <w:noProof/>
                <w:webHidden/>
              </w:rPr>
              <w:fldChar w:fldCharType="begin"/>
            </w:r>
            <w:r w:rsidR="00D07CBB">
              <w:rPr>
                <w:noProof/>
                <w:webHidden/>
              </w:rPr>
              <w:instrText xml:space="preserve"> PAGEREF _Toc167647759 \h </w:instrText>
            </w:r>
            <w:r w:rsidR="00D07CBB">
              <w:rPr>
                <w:noProof/>
                <w:webHidden/>
              </w:rPr>
            </w:r>
            <w:r w:rsidR="00D07CBB">
              <w:rPr>
                <w:noProof/>
                <w:webHidden/>
              </w:rPr>
              <w:fldChar w:fldCharType="separate"/>
            </w:r>
            <w:r w:rsidR="00D07CBB">
              <w:rPr>
                <w:noProof/>
                <w:webHidden/>
              </w:rPr>
              <w:t>7</w:t>
            </w:r>
            <w:r w:rsidR="00D07CBB">
              <w:rPr>
                <w:noProof/>
                <w:webHidden/>
              </w:rPr>
              <w:fldChar w:fldCharType="end"/>
            </w:r>
          </w:hyperlink>
        </w:p>
        <w:p w14:paraId="64632AAB" w14:textId="0E587EDC" w:rsidR="00D07CBB" w:rsidRDefault="00000000">
          <w:pPr>
            <w:pStyle w:val="TOC1"/>
            <w:tabs>
              <w:tab w:val="right" w:leader="dot" w:pos="9350"/>
            </w:tabs>
            <w:rPr>
              <w:rFonts w:asciiTheme="minorHAnsi" w:eastAsiaTheme="minorEastAsia" w:hAnsiTheme="minorHAnsi"/>
              <w:noProof/>
              <w:sz w:val="22"/>
            </w:rPr>
          </w:pPr>
          <w:hyperlink w:anchor="_Toc167647760" w:history="1">
            <w:r w:rsidR="00D07CBB" w:rsidRPr="0090204B">
              <w:rPr>
                <w:rStyle w:val="Hyperlink"/>
                <w:b/>
                <w:noProof/>
              </w:rPr>
              <w:t>References</w:t>
            </w:r>
            <w:r w:rsidR="00D07CBB">
              <w:rPr>
                <w:noProof/>
                <w:webHidden/>
              </w:rPr>
              <w:tab/>
            </w:r>
            <w:r w:rsidR="00D07CBB">
              <w:rPr>
                <w:noProof/>
                <w:webHidden/>
              </w:rPr>
              <w:fldChar w:fldCharType="begin"/>
            </w:r>
            <w:r w:rsidR="00D07CBB">
              <w:rPr>
                <w:noProof/>
                <w:webHidden/>
              </w:rPr>
              <w:instrText xml:space="preserve"> PAGEREF _Toc167647760 \h </w:instrText>
            </w:r>
            <w:r w:rsidR="00D07CBB">
              <w:rPr>
                <w:noProof/>
                <w:webHidden/>
              </w:rPr>
            </w:r>
            <w:r w:rsidR="00D07CBB">
              <w:rPr>
                <w:noProof/>
                <w:webHidden/>
              </w:rPr>
              <w:fldChar w:fldCharType="separate"/>
            </w:r>
            <w:r w:rsidR="00D07CBB">
              <w:rPr>
                <w:noProof/>
                <w:webHidden/>
              </w:rPr>
              <w:t>8</w:t>
            </w:r>
            <w:r w:rsidR="00D07CBB">
              <w:rPr>
                <w:noProof/>
                <w:webHidden/>
              </w:rPr>
              <w:fldChar w:fldCharType="end"/>
            </w:r>
          </w:hyperlink>
        </w:p>
        <w:p w14:paraId="10F1C1EF" w14:textId="7FB9F489" w:rsidR="003977A6" w:rsidRDefault="003977A6">
          <w:r w:rsidRPr="003977A6">
            <w:rPr>
              <w:rFonts w:cs="Times New Roman"/>
              <w:b/>
              <w:bCs/>
              <w:noProof/>
            </w:rPr>
            <w:fldChar w:fldCharType="end"/>
          </w:r>
        </w:p>
      </w:sdtContent>
    </w:sdt>
    <w:p w14:paraId="52714CF5" w14:textId="77777777" w:rsidR="00A166EA" w:rsidRDefault="00A166EA" w:rsidP="00A166EA">
      <w:pPr>
        <w:jc w:val="center"/>
        <w:rPr>
          <w:sz w:val="36"/>
          <w:szCs w:val="32"/>
        </w:rPr>
      </w:pPr>
    </w:p>
    <w:p w14:paraId="6ADBB4EF" w14:textId="09B919E8" w:rsidR="00A166EA" w:rsidRDefault="00A166EA">
      <w:pPr>
        <w:rPr>
          <w:sz w:val="36"/>
          <w:szCs w:val="32"/>
        </w:rPr>
      </w:pPr>
      <w:r>
        <w:rPr>
          <w:sz w:val="36"/>
          <w:szCs w:val="32"/>
        </w:rPr>
        <w:br w:type="page"/>
      </w:r>
    </w:p>
    <w:p w14:paraId="1D238E1C" w14:textId="5524876C" w:rsidR="00A166EA" w:rsidRPr="00003BED" w:rsidRDefault="00A166EA" w:rsidP="00A166EA">
      <w:pPr>
        <w:pStyle w:val="Heading1"/>
        <w:rPr>
          <w:b/>
          <w:color w:val="000000" w:themeColor="text1"/>
          <w:sz w:val="32"/>
        </w:rPr>
      </w:pPr>
      <w:bookmarkStart w:id="0" w:name="_Toc167647754"/>
      <w:r w:rsidRPr="00003BED">
        <w:rPr>
          <w:b/>
          <w:color w:val="000000" w:themeColor="text1"/>
          <w:sz w:val="32"/>
        </w:rPr>
        <w:lastRenderedPageBreak/>
        <w:t>Introduction</w:t>
      </w:r>
      <w:bookmarkEnd w:id="0"/>
    </w:p>
    <w:p w14:paraId="524A4089" w14:textId="07C050B4" w:rsidR="00A166EA" w:rsidRDefault="00A166EA" w:rsidP="00A166EA">
      <w:r w:rsidRPr="00A166EA">
        <w:t xml:space="preserve">A fine dining restaurant with Self-operated Food &amp; Beverage facilities that aim at unprecedented guest satisfaction at Trinity Hotel &amp; Suites. It comprises </w:t>
      </w:r>
      <w:r>
        <w:t xml:space="preserve">the </w:t>
      </w:r>
      <w:r w:rsidRPr="00A166EA">
        <w:t>best food preparation, processing</w:t>
      </w:r>
      <w:r>
        <w:t>,</w:t>
      </w:r>
      <w:r w:rsidRPr="00A166EA">
        <w:t xml:space="preserve"> and food service production systems with strong management and supervisory structures </w:t>
      </w:r>
      <w:r>
        <w:t>that</w:t>
      </w:r>
      <w:r w:rsidRPr="00A166EA">
        <w:t xml:space="preserve"> accommodate domestic and international guests (Fallon &amp; Rutherford, 2010; Vallen &amp; Vallen, 2014). The placement learning objectives primarily relate to developing the core competencies of achieving tasks, solving them, and communicating them imperative to supervisory responsibilities in this complex context. The idea is to develop these skills in </w:t>
      </w:r>
      <w:r>
        <w:t>a</w:t>
      </w:r>
      <w:r w:rsidRPr="00A166EA">
        <w:t xml:space="preserve"> real setting so that hardly any student would face the theory practical translation problem again (ASET, 2017).</w:t>
      </w:r>
    </w:p>
    <w:p w14:paraId="16CD02CF" w14:textId="03F019C6" w:rsidR="00A166EA" w:rsidRPr="00003BED" w:rsidRDefault="00715BCC" w:rsidP="00715BCC">
      <w:pPr>
        <w:pStyle w:val="Heading1"/>
        <w:rPr>
          <w:b/>
          <w:color w:val="000000" w:themeColor="text1"/>
          <w:sz w:val="32"/>
        </w:rPr>
      </w:pPr>
      <w:bookmarkStart w:id="1" w:name="_Toc167647755"/>
      <w:r w:rsidRPr="00003BED">
        <w:rPr>
          <w:b/>
          <w:color w:val="000000" w:themeColor="text1"/>
          <w:sz w:val="32"/>
        </w:rPr>
        <w:t>Section 1: Reflection on Experience and Personal Development</w:t>
      </w:r>
      <w:bookmarkEnd w:id="1"/>
    </w:p>
    <w:p w14:paraId="5CA62797" w14:textId="624284B9" w:rsidR="00715BCC" w:rsidRDefault="00715BCC" w:rsidP="00715BCC">
      <w:pPr>
        <w:pStyle w:val="ListParagraph"/>
        <w:numPr>
          <w:ilvl w:val="0"/>
          <w:numId w:val="1"/>
        </w:numPr>
      </w:pPr>
      <w:r w:rsidRPr="00715BCC">
        <w:rPr>
          <w:b/>
          <w:bCs/>
        </w:rPr>
        <w:t>Shadowing Experience:</w:t>
      </w:r>
      <w:r>
        <w:t xml:space="preserve"> Being in a supervisory position helped me experience the theoretical aspects of the department and observe the operational coordination by applying the concepts from the theories of Fallon and Rutherford (2010) and Vallen &amp; Vallen (2014).</w:t>
      </w:r>
    </w:p>
    <w:p w14:paraId="41ECDB38" w14:textId="094E8A53" w:rsidR="00715BCC" w:rsidRDefault="00715BCC" w:rsidP="00715BCC">
      <w:pPr>
        <w:pStyle w:val="ListParagraph"/>
        <w:numPr>
          <w:ilvl w:val="0"/>
          <w:numId w:val="1"/>
        </w:numPr>
      </w:pPr>
      <w:r w:rsidRPr="00715BCC">
        <w:rPr>
          <w:b/>
          <w:bCs/>
        </w:rPr>
        <w:t>Work-based Skills</w:t>
      </w:r>
      <w:r>
        <w:t>: An important aspect of this role was the importance of good communication and collaboration within the organization, as well as the staff to improve guest service and overall business performance, which enriched the findings from the theories proposed by ASET (2017) and Hagg (2013).</w:t>
      </w:r>
    </w:p>
    <w:p w14:paraId="1CEBA9AA" w14:textId="4DAD3CFF" w:rsidR="00715BCC" w:rsidRDefault="00715BCC" w:rsidP="00715BCC">
      <w:pPr>
        <w:pStyle w:val="ListParagraph"/>
        <w:numPr>
          <w:ilvl w:val="0"/>
          <w:numId w:val="1"/>
        </w:numPr>
      </w:pPr>
      <w:r w:rsidRPr="00715BCC">
        <w:rPr>
          <w:b/>
          <w:bCs/>
        </w:rPr>
        <w:t>Technical Knowledge:</w:t>
      </w:r>
      <w:r>
        <w:t xml:space="preserve"> In my placement, I was able to use technical knowledge and expertise in food preparation and general service mounting as postulated by Johnston et al.</w:t>
      </w:r>
    </w:p>
    <w:p w14:paraId="6D7CB64A" w14:textId="0A09DF40" w:rsidR="00715BCC" w:rsidRDefault="00715BCC" w:rsidP="00715BCC">
      <w:pPr>
        <w:pStyle w:val="ListParagraph"/>
        <w:numPr>
          <w:ilvl w:val="0"/>
          <w:numId w:val="1"/>
        </w:numPr>
      </w:pPr>
      <w:r w:rsidRPr="00715BCC">
        <w:rPr>
          <w:b/>
          <w:bCs/>
        </w:rPr>
        <w:t>Personal and Vocational Development</w:t>
      </w:r>
      <w:r>
        <w:t>: Previous work experiences as well as classroom training improved my ability as well as ways of handling issues within the hospitality sector, employing the Integrated Learning model suggested by Fallon and Rutherford (2010).</w:t>
      </w:r>
    </w:p>
    <w:p w14:paraId="646A2C3E" w14:textId="152BD594" w:rsidR="00715BCC" w:rsidRDefault="00715BCC" w:rsidP="00715BCC">
      <w:pPr>
        <w:pStyle w:val="ListParagraph"/>
        <w:numPr>
          <w:ilvl w:val="0"/>
          <w:numId w:val="1"/>
        </w:numPr>
      </w:pPr>
      <w:r w:rsidRPr="00715BCC">
        <w:rPr>
          <w:b/>
          <w:bCs/>
        </w:rPr>
        <w:t>Impact on Service Delivery:</w:t>
      </w:r>
      <w:r>
        <w:t xml:space="preserve"> The combination of chapters devoted to theories and case studies enriched my learning about guest service standards and operations and, as elaborated by Vallen &amp; Vallen (2014), the program enhanced in-depth learning.</w:t>
      </w:r>
    </w:p>
    <w:p w14:paraId="3F36B6EF" w14:textId="508C089E" w:rsidR="00715BCC" w:rsidRDefault="00715BCC" w:rsidP="00715BCC">
      <w:pPr>
        <w:pStyle w:val="ListParagraph"/>
        <w:numPr>
          <w:ilvl w:val="0"/>
          <w:numId w:val="1"/>
        </w:numPr>
      </w:pPr>
      <w:r w:rsidRPr="00715BCC">
        <w:rPr>
          <w:b/>
          <w:bCs/>
        </w:rPr>
        <w:t>Continuous Development:</w:t>
      </w:r>
      <w:r>
        <w:t xml:space="preserve"> It was especially enlightening on how the need for the improvement and training of skills is paramount for mining the potential of trends in the hospitality sector (Wood, 2013; Fanthorne, 2004).</w:t>
      </w:r>
    </w:p>
    <w:p w14:paraId="4CC69402" w14:textId="77777777" w:rsidR="00715BCC" w:rsidRPr="00715BCC" w:rsidRDefault="00715BCC" w:rsidP="00715BCC"/>
    <w:p w14:paraId="0809FD93" w14:textId="77777777" w:rsidR="00715BCC" w:rsidRPr="00003BED" w:rsidRDefault="00715BCC" w:rsidP="00715BCC">
      <w:pPr>
        <w:pStyle w:val="Heading1"/>
        <w:rPr>
          <w:b/>
          <w:color w:val="000000" w:themeColor="text1"/>
          <w:sz w:val="32"/>
        </w:rPr>
      </w:pPr>
      <w:bookmarkStart w:id="2" w:name="_Toc167647756"/>
      <w:r w:rsidRPr="00003BED">
        <w:rPr>
          <w:b/>
          <w:color w:val="000000" w:themeColor="text1"/>
          <w:sz w:val="32"/>
        </w:rPr>
        <w:t>Section 2: Critical Analysis of Work-Based Skills and Technical Knowledge</w:t>
      </w:r>
      <w:bookmarkEnd w:id="2"/>
    </w:p>
    <w:p w14:paraId="136F7A51" w14:textId="2A39F8B6" w:rsidR="00715BCC" w:rsidRDefault="00715BCC" w:rsidP="00715BCC">
      <w:r>
        <w:t>The importance of work-based skills and technical knowledge in the hospitality industry cannot be excessive, especially in meeting and exceeding guest service standards. Throughout my shadowing experience, the application of complete communication and dynamic problem-solving was vital in managing daily operations and resolving guest concerns effectively (Johnston et al., 2012). These skills were dynamic in ensuring that guest interactions were handled with professionalism and efficacy, reflecting standards conferred by Fallon and Rutherford (2010).</w:t>
      </w:r>
    </w:p>
    <w:p w14:paraId="3A388494" w14:textId="7A5EC3B8" w:rsidR="00715BCC" w:rsidRDefault="00715BCC" w:rsidP="00715BCC">
      <w:r>
        <w:t>Technical knowledge, mainly in food safety and quality control, played a significant role in preserving the hotel's reputation for high standards. Mastery in these areas ensured compliance with health regulations and customer satisfaction, aligning with the operational guidelines suggested by Vallen and Vallen (2014). My experience also painted the need for adept task management, as effectual workflow directly impacted service delivery speed and quality (Hagg, 2013).</w:t>
      </w:r>
    </w:p>
    <w:p w14:paraId="6CB3CB60" w14:textId="730D91BC" w:rsidR="00715BCC" w:rsidRDefault="00715BCC" w:rsidP="00715BCC">
      <w:r>
        <w:t>Additionally, the ability to work collaboratively within a team was essential. This skill was crucial for coordinating various sections of the food and beverage department to ensure a seamless service experience, a key aspect emphasized by Wood (2013). The integration of these work-based skills and technical knowledge not only improved guest satisfaction but also adopted a learning environment conducive to continuous improvement, as advocated by ASET (2017).</w:t>
      </w:r>
      <w:r w:rsidR="00126A16" w:rsidRPr="00126A16">
        <w:t xml:space="preserve"> Particularly in the context of exceeding and meeting visitor service standards, the significance of technical knowledge and work-based skills in the hospitality industry cannot be overstated. The effective management of daily operations and the resolution of guest concerns were contingent upon the application of dynamic problem-solving and complete communication throughout my shadowing experience (Johnston et al., 2012). These abilities were dynamic in their ability to ensure that visitor interactions were conducted with professionalism and efficacy, which was consistent with the standards established by Fallon and Rutherford (2010).</w:t>
      </w:r>
    </w:p>
    <w:p w14:paraId="7E8BC351" w14:textId="122300E6" w:rsidR="00D852BF" w:rsidRPr="00003BED" w:rsidRDefault="00D852BF" w:rsidP="00D852BF">
      <w:pPr>
        <w:pStyle w:val="Heading1"/>
        <w:rPr>
          <w:b/>
          <w:color w:val="000000" w:themeColor="text1"/>
          <w:sz w:val="32"/>
        </w:rPr>
      </w:pPr>
      <w:bookmarkStart w:id="3" w:name="_Toc167647757"/>
      <w:r w:rsidRPr="00003BED">
        <w:rPr>
          <w:b/>
          <w:color w:val="000000" w:themeColor="text1"/>
          <w:sz w:val="32"/>
        </w:rPr>
        <w:lastRenderedPageBreak/>
        <w:t>Section 3: Reflection on Organizational Issues</w:t>
      </w:r>
      <w:bookmarkEnd w:id="3"/>
    </w:p>
    <w:p w14:paraId="535FA368" w14:textId="6968EEAC" w:rsidR="00D852BF" w:rsidRDefault="00D852BF" w:rsidP="00D852BF">
      <w:r>
        <w:t xml:space="preserve">In the course of my placement, one of the organizational problems that I noticed was of the disregard for the standard operating procedures (SOPs) where the Food and Beverage department appeared to be practicing the policies in a rather inconsistent manner across the shifts. The constancy was mostly disrupted, and this meant that quality delivery of services to guests and guests’ satisfaction since operations were compromised. The tenets of organizational alignment state that service standards can only be achieved if SOPs are stringently followed at all times (Heizer et al., 2021). </w:t>
      </w:r>
    </w:p>
    <w:p w14:paraId="0EC31274" w14:textId="68116961" w:rsidR="00D852BF" w:rsidRDefault="00D852BF" w:rsidP="00D852BF">
      <w:r>
        <w:t>One possible solution is to implement a staff-training program that can include the provision of refresher courses as necessary to maintain all relevant staff informed adequately on the standards of practice set by the firm’s SOPs, thus enhancing the homogeneity of service delivery. Additionally, introducing a monitoring system that would allow for guests’ and staff’s feedback on the observed standards might help to adjust the problematic areas of the hotel and guarantee compliance with the required level of the standards. Having good leadership and communication in support of these outlines can enhance team objectives towards enhancing organizational goals, as well as the quality of service delivery (Daft, 2018).</w:t>
      </w:r>
    </w:p>
    <w:p w14:paraId="7F04ABAA" w14:textId="776CB73D" w:rsidR="00126A16" w:rsidRDefault="00126A16" w:rsidP="00D852BF">
      <w:r w:rsidRPr="00126A16">
        <w:t xml:space="preserve">The hotel's reputation for high standards was significantly preserved by technical expertise, particularly in the areas of culinary safety and quality control. Compliance with health regulations and customer satisfaction were guaranteed through mastery of these domains, which was consistent with the operational guidelines proposed by Vallen and Vallen (2014). </w:t>
      </w:r>
    </w:p>
    <w:p w14:paraId="252DCD77" w14:textId="2258B4CC" w:rsidR="00126A16" w:rsidRDefault="00126A16" w:rsidP="00D852BF"/>
    <w:p w14:paraId="4BBA579C" w14:textId="0A4587DB" w:rsidR="00126A16" w:rsidRDefault="00126A16" w:rsidP="00D852BF"/>
    <w:p w14:paraId="28798133" w14:textId="7959F0F2" w:rsidR="00D07CBB" w:rsidRDefault="00D07CBB" w:rsidP="00D852BF"/>
    <w:p w14:paraId="0A7D6895" w14:textId="549BE4DD" w:rsidR="00D07CBB" w:rsidRDefault="00D07CBB" w:rsidP="00D852BF"/>
    <w:p w14:paraId="7BA7E4EC" w14:textId="64A76B70" w:rsidR="00003BED" w:rsidRDefault="00003BED" w:rsidP="00D852BF"/>
    <w:p w14:paraId="05D18F8B" w14:textId="77777777" w:rsidR="00003BED" w:rsidRDefault="00003BED" w:rsidP="00D852BF"/>
    <w:p w14:paraId="05BFD159" w14:textId="1F21FEEF" w:rsidR="00D852BF" w:rsidRPr="00003BED" w:rsidRDefault="00D852BF" w:rsidP="00D852BF">
      <w:pPr>
        <w:pStyle w:val="Heading1"/>
        <w:rPr>
          <w:b/>
          <w:color w:val="000000" w:themeColor="text1"/>
          <w:sz w:val="32"/>
        </w:rPr>
      </w:pPr>
      <w:bookmarkStart w:id="4" w:name="_Toc167647758"/>
      <w:r w:rsidRPr="00003BED">
        <w:rPr>
          <w:b/>
          <w:color w:val="000000" w:themeColor="text1"/>
          <w:sz w:val="32"/>
        </w:rPr>
        <w:lastRenderedPageBreak/>
        <w:t>Section 4: Future Action Plan</w:t>
      </w:r>
      <w:bookmarkEnd w:id="4"/>
    </w:p>
    <w:p w14:paraId="4EBACDA8" w14:textId="006504E7" w:rsidR="00D852BF" w:rsidRPr="00D852BF" w:rsidRDefault="00D852BF" w:rsidP="00D852BF">
      <w:pPr>
        <w:rPr>
          <w:b/>
          <w:bCs/>
        </w:rPr>
      </w:pPr>
      <w:r w:rsidRPr="00D852BF">
        <w:rPr>
          <w:b/>
          <w:bCs/>
        </w:rPr>
        <w:t>Enhance Communication:</w:t>
      </w:r>
    </w:p>
    <w:p w14:paraId="4D4D587F" w14:textId="23F2E414" w:rsidR="00D852BF" w:rsidRDefault="00D852BF" w:rsidP="00D852BF">
      <w:pPr>
        <w:pStyle w:val="ListParagraph"/>
        <w:numPr>
          <w:ilvl w:val="0"/>
          <w:numId w:val="2"/>
        </w:numPr>
      </w:pPr>
      <w:r w:rsidRPr="00D852BF">
        <w:rPr>
          <w:b/>
          <w:bCs/>
        </w:rPr>
        <w:t>Strategy</w:t>
      </w:r>
      <w:r>
        <w:t>: Use technological applications for communication in an organization to enhance the quality of communication and to enhance the coherency of the message being passed between digital teams.</w:t>
      </w:r>
    </w:p>
    <w:p w14:paraId="2768C044" w14:textId="6D5DC1C9" w:rsidR="00D852BF" w:rsidRDefault="00D852BF" w:rsidP="00D852BF">
      <w:pPr>
        <w:pStyle w:val="ListParagraph"/>
        <w:numPr>
          <w:ilvl w:val="0"/>
          <w:numId w:val="2"/>
        </w:numPr>
      </w:pPr>
      <w:r w:rsidRPr="00D852BF">
        <w:rPr>
          <w:b/>
          <w:bCs/>
        </w:rPr>
        <w:t>Action:</w:t>
      </w:r>
      <w:r>
        <w:t xml:space="preserve"> This should be done through conducting common and persistent exercises on how better communication should be achieved, as explained by Senge (2010).</w:t>
      </w:r>
    </w:p>
    <w:p w14:paraId="63519B4E" w14:textId="40E03973" w:rsidR="00D852BF" w:rsidRPr="00D852BF" w:rsidRDefault="00D852BF" w:rsidP="00D852BF">
      <w:pPr>
        <w:rPr>
          <w:b/>
          <w:bCs/>
        </w:rPr>
      </w:pPr>
      <w:r w:rsidRPr="00D852BF">
        <w:rPr>
          <w:b/>
          <w:bCs/>
        </w:rPr>
        <w:t>Strengthen Teamwork:</w:t>
      </w:r>
    </w:p>
    <w:p w14:paraId="7C1A2A0B" w14:textId="154340E2" w:rsidR="00D852BF" w:rsidRDefault="00D852BF" w:rsidP="00D852BF">
      <w:pPr>
        <w:pStyle w:val="ListParagraph"/>
        <w:numPr>
          <w:ilvl w:val="0"/>
          <w:numId w:val="3"/>
        </w:numPr>
      </w:pPr>
      <w:r w:rsidRPr="00D852BF">
        <w:rPr>
          <w:b/>
          <w:bCs/>
        </w:rPr>
        <w:t>Strategy</w:t>
      </w:r>
      <w:r>
        <w:t>: Employer-initiated and formally planned activities that involve the work team to foster cohesiveness.</w:t>
      </w:r>
    </w:p>
    <w:p w14:paraId="339D7E04" w14:textId="48086601" w:rsidR="00D852BF" w:rsidRDefault="00D852BF" w:rsidP="00D852BF">
      <w:pPr>
        <w:pStyle w:val="ListParagraph"/>
        <w:numPr>
          <w:ilvl w:val="0"/>
          <w:numId w:val="3"/>
        </w:numPr>
      </w:pPr>
      <w:r w:rsidRPr="00D852BF">
        <w:rPr>
          <w:b/>
          <w:bCs/>
        </w:rPr>
        <w:t>Action:</w:t>
      </w:r>
      <w:r>
        <w:t xml:space="preserve"> Coordinate these activities using the Knowledge gained from Katzenbach and Smith (2015) on how to create effective high-performance teams.</w:t>
      </w:r>
    </w:p>
    <w:p w14:paraId="3C78A6E5" w14:textId="053E18EC" w:rsidR="00D852BF" w:rsidRPr="00D852BF" w:rsidRDefault="00D852BF" w:rsidP="00D852BF">
      <w:pPr>
        <w:rPr>
          <w:b/>
          <w:bCs/>
        </w:rPr>
      </w:pPr>
      <w:r w:rsidRPr="00D852BF">
        <w:rPr>
          <w:b/>
          <w:bCs/>
        </w:rPr>
        <w:t>Improve Task Management:</w:t>
      </w:r>
    </w:p>
    <w:p w14:paraId="7BA76446" w14:textId="77777777" w:rsidR="00D852BF" w:rsidRDefault="00D852BF" w:rsidP="00D852BF">
      <w:pPr>
        <w:pStyle w:val="ListParagraph"/>
        <w:numPr>
          <w:ilvl w:val="0"/>
          <w:numId w:val="4"/>
        </w:numPr>
      </w:pPr>
      <w:r w:rsidRPr="00D852BF">
        <w:rPr>
          <w:b/>
          <w:bCs/>
        </w:rPr>
        <w:t>Strategy</w:t>
      </w:r>
      <w:r>
        <w:t>: Use the project management tools to correct the organizational problems.</w:t>
      </w:r>
    </w:p>
    <w:p w14:paraId="2708F076" w14:textId="47AC2635" w:rsidR="00D852BF" w:rsidRDefault="00D852BF" w:rsidP="00D852BF">
      <w:pPr>
        <w:pStyle w:val="ListParagraph"/>
        <w:numPr>
          <w:ilvl w:val="0"/>
          <w:numId w:val="4"/>
        </w:numPr>
      </w:pPr>
      <w:r w:rsidRPr="00D852BF">
        <w:rPr>
          <w:b/>
          <w:bCs/>
        </w:rPr>
        <w:t>Action:</w:t>
      </w:r>
      <w:r>
        <w:t xml:space="preserve"> Immersive familiarizes employees with these tools to improve efficiency based on the principles of management by Thompson (2017).</w:t>
      </w:r>
    </w:p>
    <w:p w14:paraId="4C5ECC87" w14:textId="3242877C" w:rsidR="00D852BF" w:rsidRPr="00D852BF" w:rsidRDefault="00D852BF" w:rsidP="00D852BF">
      <w:pPr>
        <w:rPr>
          <w:b/>
          <w:bCs/>
        </w:rPr>
      </w:pPr>
      <w:r w:rsidRPr="00D852BF">
        <w:rPr>
          <w:b/>
          <w:bCs/>
        </w:rPr>
        <w:t>Develop Personal Skills:</w:t>
      </w:r>
    </w:p>
    <w:p w14:paraId="0976BA46" w14:textId="3D547DC8" w:rsidR="00D852BF" w:rsidRDefault="00D852BF" w:rsidP="00D852BF">
      <w:pPr>
        <w:pStyle w:val="ListParagraph"/>
        <w:numPr>
          <w:ilvl w:val="0"/>
          <w:numId w:val="5"/>
        </w:numPr>
      </w:pPr>
      <w:r w:rsidRPr="00D852BF">
        <w:rPr>
          <w:b/>
          <w:bCs/>
        </w:rPr>
        <w:t>Strategy</w:t>
      </w:r>
      <w:r>
        <w:t>: Bring improvements in the professionals’ knowledge base through training and information from various industry conferences.</w:t>
      </w:r>
    </w:p>
    <w:p w14:paraId="3E549AD1" w14:textId="38B778A9" w:rsidR="00D852BF" w:rsidRDefault="00D852BF" w:rsidP="00D852BF">
      <w:pPr>
        <w:pStyle w:val="ListParagraph"/>
        <w:numPr>
          <w:ilvl w:val="0"/>
          <w:numId w:val="5"/>
        </w:numPr>
      </w:pPr>
      <w:r w:rsidRPr="00D852BF">
        <w:rPr>
          <w:b/>
          <w:bCs/>
        </w:rPr>
        <w:t>Action</w:t>
      </w:r>
      <w:r>
        <w:t>: Frequent changes in the operational practices and trends of hospitality help in the building of personal competency and improve the standard of services being offered.</w:t>
      </w:r>
    </w:p>
    <w:p w14:paraId="54C7F919" w14:textId="719CAAC8" w:rsidR="00D852BF" w:rsidRPr="00D852BF" w:rsidRDefault="00D852BF" w:rsidP="00D852BF">
      <w:pPr>
        <w:rPr>
          <w:b/>
          <w:bCs/>
        </w:rPr>
      </w:pPr>
      <w:r w:rsidRPr="00D852BF">
        <w:rPr>
          <w:b/>
          <w:bCs/>
        </w:rPr>
        <w:t>Professional Growth:</w:t>
      </w:r>
    </w:p>
    <w:p w14:paraId="6398D1A5" w14:textId="2250AE1F" w:rsidR="00D852BF" w:rsidRDefault="00D852BF" w:rsidP="00D852BF">
      <w:pPr>
        <w:pStyle w:val="ListParagraph"/>
        <w:numPr>
          <w:ilvl w:val="0"/>
          <w:numId w:val="6"/>
        </w:numPr>
      </w:pPr>
      <w:r w:rsidRPr="00D852BF">
        <w:rPr>
          <w:b/>
          <w:bCs/>
        </w:rPr>
        <w:t>Goal</w:t>
      </w:r>
      <w:r>
        <w:t>: It is therefore pertinent to align these strategies with vocations and with the broader aims for vocational development, supporting the career ladder within the hospitality industry.</w:t>
      </w:r>
    </w:p>
    <w:p w14:paraId="36700FB0" w14:textId="2A1F3E1A" w:rsidR="00D852BF" w:rsidRDefault="00D852BF" w:rsidP="00D852BF">
      <w:pPr>
        <w:pStyle w:val="ListParagraph"/>
        <w:numPr>
          <w:ilvl w:val="0"/>
          <w:numId w:val="6"/>
        </w:numPr>
      </w:pPr>
      <w:r w:rsidRPr="00D852BF">
        <w:rPr>
          <w:b/>
          <w:bCs/>
        </w:rPr>
        <w:t>Outcome:</w:t>
      </w:r>
      <w:r>
        <w:t xml:space="preserve"> Maintain high standards that reflect the company mission and vision, and provide the best and satisfying guest services.</w:t>
      </w:r>
    </w:p>
    <w:p w14:paraId="3C897201" w14:textId="69428557" w:rsidR="00D852BF" w:rsidRPr="00003BED" w:rsidRDefault="00D852BF" w:rsidP="00D852BF">
      <w:pPr>
        <w:pStyle w:val="Heading1"/>
        <w:rPr>
          <w:b/>
          <w:color w:val="000000" w:themeColor="text1"/>
          <w:sz w:val="32"/>
        </w:rPr>
      </w:pPr>
      <w:bookmarkStart w:id="5" w:name="_Toc167647759"/>
      <w:r w:rsidRPr="00003BED">
        <w:rPr>
          <w:b/>
          <w:color w:val="000000" w:themeColor="text1"/>
          <w:sz w:val="32"/>
        </w:rPr>
        <w:lastRenderedPageBreak/>
        <w:t>Conclusion</w:t>
      </w:r>
      <w:bookmarkEnd w:id="5"/>
    </w:p>
    <w:p w14:paraId="247AB1DA" w14:textId="4E49730E" w:rsidR="00D852BF" w:rsidRPr="00D852BF" w:rsidRDefault="003977A6" w:rsidP="00D852BF">
      <w:r w:rsidRPr="003977A6">
        <w:t xml:space="preserve">The shadowing undertaken specifically in the Food and Beverage department has been greatly beneficial in </w:t>
      </w:r>
      <w:r>
        <w:t>complementing</w:t>
      </w:r>
      <w:r w:rsidRPr="003977A6">
        <w:t xml:space="preserve"> the traditional classroom learning by nurturing vital work-related competencies and gaining </w:t>
      </w:r>
      <w:r>
        <w:t xml:space="preserve">a </w:t>
      </w:r>
      <w:r w:rsidRPr="003977A6">
        <w:t xml:space="preserve">valuable technical understanding that </w:t>
      </w:r>
      <w:r>
        <w:t>is</w:t>
      </w:r>
      <w:r w:rsidRPr="003977A6">
        <w:t xml:space="preserve"> important in delivering good service to customers. To a large degree</w:t>
      </w:r>
      <w:r>
        <w:t>,</w:t>
      </w:r>
      <w:r w:rsidRPr="003977A6">
        <w:t xml:space="preserve"> it has provided me with essential working experience which, in addition to expanding my knowledge on how operations run, has also confirmed to me the need to engage in lifelong learning whether as a personal or vocational endeavor. Such experiences have groomed me regarding my future jobs’ expectations thus placing me in proper stead within the food and beverage sector. In summary, this kind of placement has appreciated the importance of the link between theory and practice that can be useful for working in the complex field of hospitality.</w:t>
      </w:r>
    </w:p>
    <w:p w14:paraId="1B6B16A1" w14:textId="732BA708" w:rsidR="00A166EA" w:rsidRDefault="00A166EA" w:rsidP="00715BCC">
      <w:r>
        <w:br w:type="page"/>
      </w:r>
    </w:p>
    <w:bookmarkStart w:id="6" w:name="_Toc167647760" w:displacedByCustomXml="next"/>
    <w:sdt>
      <w:sdtPr>
        <w:rPr>
          <w:rFonts w:eastAsiaTheme="minorHAnsi" w:cstheme="minorBidi"/>
          <w:b/>
          <w:color w:val="000000" w:themeColor="text1"/>
          <w:sz w:val="22"/>
          <w:szCs w:val="22"/>
        </w:rPr>
        <w:id w:val="2048949066"/>
        <w:docPartObj>
          <w:docPartGallery w:val="Bibliographies"/>
          <w:docPartUnique/>
        </w:docPartObj>
      </w:sdtPr>
      <w:sdtEndPr>
        <w:rPr>
          <w:b w:val="0"/>
          <w:color w:val="auto"/>
          <w:sz w:val="24"/>
        </w:rPr>
      </w:sdtEndPr>
      <w:sdtContent>
        <w:p w14:paraId="11ECCC80" w14:textId="0847944A" w:rsidR="00A166EA" w:rsidRPr="00003BED" w:rsidRDefault="00A166EA">
          <w:pPr>
            <w:pStyle w:val="Heading1"/>
            <w:rPr>
              <w:b/>
              <w:color w:val="000000" w:themeColor="text1"/>
              <w:sz w:val="32"/>
            </w:rPr>
          </w:pPr>
          <w:r w:rsidRPr="00003BED">
            <w:rPr>
              <w:b/>
              <w:color w:val="000000" w:themeColor="text1"/>
              <w:sz w:val="32"/>
            </w:rPr>
            <w:t>References</w:t>
          </w:r>
          <w:bookmarkEnd w:id="6"/>
        </w:p>
        <w:sdt>
          <w:sdtPr>
            <w:id w:val="-573587230"/>
            <w:bibliography/>
          </w:sdtPr>
          <w:sdtContent>
            <w:p w14:paraId="14483100" w14:textId="77777777" w:rsidR="003977A6" w:rsidRPr="00A166EA" w:rsidRDefault="003977A6" w:rsidP="003977A6">
              <w:r w:rsidRPr="00A166EA">
                <w:t xml:space="preserve">ASET, 2017. </w:t>
              </w:r>
              <w:r w:rsidRPr="003977A6">
                <w:rPr>
                  <w:i/>
                  <w:iCs/>
                </w:rPr>
                <w:t>Good Practice Guide for Workbased and Placement Learning in Higher Education</w:t>
              </w:r>
              <w:r w:rsidRPr="00A166EA">
                <w:t>. Sheffield: ASET.</w:t>
              </w:r>
            </w:p>
            <w:p w14:paraId="573A0040" w14:textId="77777777" w:rsidR="003977A6" w:rsidRPr="00D852BF" w:rsidRDefault="003977A6" w:rsidP="003977A6">
              <w:r w:rsidRPr="00D852BF">
                <w:t xml:space="preserve">Daft, R. L., 2018. </w:t>
              </w:r>
              <w:r w:rsidRPr="003977A6">
                <w:rPr>
                  <w:i/>
                  <w:iCs/>
                </w:rPr>
                <w:t>Management</w:t>
              </w:r>
              <w:r w:rsidRPr="00D852BF">
                <w:t>. Boston, MA: Cengage Learning.</w:t>
              </w:r>
            </w:p>
            <w:p w14:paraId="672875A8" w14:textId="77777777" w:rsidR="003977A6" w:rsidRPr="00A166EA" w:rsidRDefault="003977A6" w:rsidP="003977A6">
              <w:r w:rsidRPr="00A166EA">
                <w:t xml:space="preserve">Fallon, M. &amp; Rutherford, D., 2010. </w:t>
              </w:r>
              <w:r w:rsidRPr="003977A6">
                <w:rPr>
                  <w:i/>
                  <w:iCs/>
                </w:rPr>
                <w:t>Hotel Management and Operations</w:t>
              </w:r>
              <w:r w:rsidRPr="00A166EA">
                <w:t>. London: Wiley.</w:t>
              </w:r>
            </w:p>
            <w:p w14:paraId="0575856C" w14:textId="77777777" w:rsidR="003977A6" w:rsidRDefault="003977A6" w:rsidP="003977A6">
              <w:r w:rsidRPr="00A166EA">
                <w:t xml:space="preserve">Fanthorne, C., 2004. </w:t>
              </w:r>
              <w:r w:rsidRPr="003977A6">
                <w:rPr>
                  <w:i/>
                  <w:iCs/>
                </w:rPr>
                <w:t>Work Placements – A Survival Guide for Students</w:t>
              </w:r>
              <w:r w:rsidRPr="00A166EA">
                <w:t>. Basingstoke: Macmillan.</w:t>
              </w:r>
            </w:p>
            <w:p w14:paraId="088C34FD" w14:textId="77777777" w:rsidR="003977A6" w:rsidRPr="00D852BF" w:rsidRDefault="003977A6" w:rsidP="003977A6">
              <w:r w:rsidRPr="00D852BF">
                <w:t xml:space="preserve">Goldratt, E.M., &amp; Cox, J., 2016. </w:t>
              </w:r>
              <w:r w:rsidRPr="003977A6">
                <w:rPr>
                  <w:i/>
                  <w:iCs/>
                </w:rPr>
                <w:t>The Goal: A Process of Ongoing Improvement</w:t>
              </w:r>
              <w:r w:rsidRPr="00D852BF">
                <w:t>. North River Press.</w:t>
              </w:r>
            </w:p>
            <w:p w14:paraId="05D97C98" w14:textId="77777777" w:rsidR="003977A6" w:rsidRPr="00A166EA" w:rsidRDefault="003977A6" w:rsidP="003977A6">
              <w:r w:rsidRPr="00A166EA">
                <w:t xml:space="preserve">Hagg, E., 2013. </w:t>
              </w:r>
              <w:r w:rsidRPr="003977A6">
                <w:rPr>
                  <w:i/>
                  <w:iCs/>
                </w:rPr>
                <w:t>Internship Guide Eleven</w:t>
              </w:r>
              <w:r w:rsidRPr="00A166EA">
                <w:t>. The Hague.</w:t>
              </w:r>
            </w:p>
            <w:p w14:paraId="6863C19A" w14:textId="77777777" w:rsidR="003977A6" w:rsidRPr="00D852BF" w:rsidRDefault="003977A6" w:rsidP="003977A6">
              <w:r w:rsidRPr="00D852BF">
                <w:t xml:space="preserve">Heizer, J., Render, B., &amp; Munson, C., 2021. </w:t>
              </w:r>
              <w:r w:rsidRPr="003977A6">
                <w:rPr>
                  <w:i/>
                  <w:iCs/>
                </w:rPr>
                <w:t>Operations Management: Sustainability and Supply Chain Management</w:t>
              </w:r>
              <w:r w:rsidRPr="00D852BF">
                <w:t>. 13th ed. Pearson.</w:t>
              </w:r>
            </w:p>
            <w:p w14:paraId="56070D8E" w14:textId="77777777" w:rsidR="003977A6" w:rsidRPr="00A166EA" w:rsidRDefault="003977A6" w:rsidP="003977A6">
              <w:r w:rsidRPr="00A166EA">
                <w:t xml:space="preserve">Johnston, R., Clark, G. &amp; Shulver, M., 2012. </w:t>
              </w:r>
              <w:r w:rsidRPr="003977A6">
                <w:rPr>
                  <w:i/>
                  <w:iCs/>
                </w:rPr>
                <w:t>Service Operations Management</w:t>
              </w:r>
              <w:r w:rsidRPr="00A166EA">
                <w:t>. London: Pearson.</w:t>
              </w:r>
            </w:p>
            <w:p w14:paraId="7D76B7A4" w14:textId="77777777" w:rsidR="003977A6" w:rsidRPr="00D852BF" w:rsidRDefault="003977A6" w:rsidP="003977A6">
              <w:r w:rsidRPr="00D852BF">
                <w:t xml:space="preserve">Katzenbach, J.R., &amp; Smith, D.K., 2015. </w:t>
              </w:r>
              <w:r w:rsidRPr="003977A6">
                <w:rPr>
                  <w:i/>
                  <w:iCs/>
                </w:rPr>
                <w:t>The Wisdom of Teams: Creating the High-Performance Organization</w:t>
              </w:r>
              <w:r w:rsidRPr="00D852BF">
                <w:t>. Harvard Business Review Press.</w:t>
              </w:r>
            </w:p>
            <w:p w14:paraId="4E701107" w14:textId="77777777" w:rsidR="003977A6" w:rsidRPr="00D852BF" w:rsidRDefault="003977A6" w:rsidP="003977A6">
              <w:r w:rsidRPr="00D852BF">
                <w:t xml:space="preserve">Kotter, J.P., 2012. </w:t>
              </w:r>
              <w:r w:rsidRPr="003977A6">
                <w:rPr>
                  <w:i/>
                  <w:iCs/>
                </w:rPr>
                <w:t>Leading Change</w:t>
              </w:r>
              <w:r w:rsidRPr="00D852BF">
                <w:t>. Harvard Business Review Press.</w:t>
              </w:r>
            </w:p>
            <w:p w14:paraId="3C4A1C86" w14:textId="77777777" w:rsidR="003977A6" w:rsidRPr="00D852BF" w:rsidRDefault="003977A6" w:rsidP="003977A6">
              <w:r w:rsidRPr="00D852BF">
                <w:t xml:space="preserve">Senge, P.M., 2010. </w:t>
              </w:r>
              <w:r w:rsidRPr="003977A6">
                <w:rPr>
                  <w:i/>
                  <w:iCs/>
                </w:rPr>
                <w:t>The Fifth Discipline: The Art &amp; Practice of The Learning Organization</w:t>
              </w:r>
              <w:r w:rsidRPr="00D852BF">
                <w:t>. Currency.</w:t>
              </w:r>
            </w:p>
            <w:p w14:paraId="02351880" w14:textId="77777777" w:rsidR="003977A6" w:rsidRDefault="003977A6" w:rsidP="003977A6">
              <w:r w:rsidRPr="00D852BF">
                <w:t xml:space="preserve">Slack, N., Brandon-Jones, A., &amp; Johnston, R., 2019. </w:t>
              </w:r>
              <w:r w:rsidRPr="003977A6">
                <w:rPr>
                  <w:i/>
                  <w:iCs/>
                </w:rPr>
                <w:t>Operations Management</w:t>
              </w:r>
              <w:r w:rsidRPr="00D852BF">
                <w:t>. 8th ed. Pearson Education Limited.</w:t>
              </w:r>
            </w:p>
            <w:p w14:paraId="49F9957B" w14:textId="77777777" w:rsidR="003977A6" w:rsidRPr="00D852BF" w:rsidRDefault="003977A6" w:rsidP="003977A6">
              <w:r w:rsidRPr="00D852BF">
                <w:t xml:space="preserve">Thompson, J.L., 2017. </w:t>
              </w:r>
              <w:r w:rsidRPr="003977A6">
                <w:rPr>
                  <w:i/>
                  <w:iCs/>
                </w:rPr>
                <w:t>Understanding and Managing Organizational Behavior</w:t>
              </w:r>
              <w:r w:rsidRPr="00D852BF">
                <w:t>. 6th ed. Pearson.</w:t>
              </w:r>
            </w:p>
            <w:p w14:paraId="26F6399E" w14:textId="77777777" w:rsidR="003977A6" w:rsidRPr="00715BCC" w:rsidRDefault="003977A6" w:rsidP="003977A6">
              <w:r w:rsidRPr="00715BCC">
                <w:t xml:space="preserve">Vallen, G.K. &amp; Vallen, J.J., 2014. </w:t>
              </w:r>
              <w:r w:rsidRPr="003977A6">
                <w:rPr>
                  <w:i/>
                  <w:iCs/>
                </w:rPr>
                <w:t>Check-in check-out: managing hotel operations</w:t>
              </w:r>
              <w:r w:rsidRPr="00715BCC">
                <w:t>. Ninth edition. Pearson new international.</w:t>
              </w:r>
            </w:p>
            <w:p w14:paraId="0C2C1424" w14:textId="07590441" w:rsidR="00715BCC" w:rsidRPr="00A166EA" w:rsidRDefault="003977A6" w:rsidP="00A166EA">
              <w:r w:rsidRPr="00715BCC">
                <w:t xml:space="preserve">Wood, R., 2013. </w:t>
              </w:r>
              <w:r w:rsidRPr="003977A6">
                <w:rPr>
                  <w:i/>
                  <w:iCs/>
                </w:rPr>
                <w:t>Key Concepts in Hospitality Management</w:t>
              </w:r>
              <w:r w:rsidRPr="00715BCC">
                <w:t>. London: Sage.</w:t>
              </w:r>
            </w:p>
            <w:p w14:paraId="446E1401" w14:textId="5391BA03" w:rsidR="00A166EA" w:rsidRDefault="00000000"/>
          </w:sdtContent>
        </w:sdt>
      </w:sdtContent>
    </w:sdt>
    <w:p w14:paraId="6E620BF8" w14:textId="77777777" w:rsidR="00A166EA" w:rsidRPr="00A166EA" w:rsidRDefault="00A166EA" w:rsidP="00A166EA"/>
    <w:sectPr w:rsidR="00A166EA" w:rsidRPr="00A166EA">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2C275FB" w14:textId="77777777" w:rsidR="005741DE" w:rsidRDefault="005741DE" w:rsidP="00A166EA">
      <w:pPr>
        <w:spacing w:after="0" w:line="240" w:lineRule="auto"/>
      </w:pPr>
      <w:r>
        <w:separator/>
      </w:r>
    </w:p>
  </w:endnote>
  <w:endnote w:type="continuationSeparator" w:id="0">
    <w:p w14:paraId="79B83970" w14:textId="77777777" w:rsidR="005741DE" w:rsidRDefault="005741DE" w:rsidP="00A166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4555479"/>
      <w:docPartObj>
        <w:docPartGallery w:val="Page Numbers (Bottom of Page)"/>
        <w:docPartUnique/>
      </w:docPartObj>
    </w:sdtPr>
    <w:sdtEndPr>
      <w:rPr>
        <w:noProof/>
      </w:rPr>
    </w:sdtEndPr>
    <w:sdtContent>
      <w:p w14:paraId="6125FC72" w14:textId="57014FAA" w:rsidR="00A166EA" w:rsidRDefault="00A166EA">
        <w:pPr>
          <w:pStyle w:val="Footer"/>
          <w:jc w:val="center"/>
        </w:pPr>
        <w:r>
          <w:fldChar w:fldCharType="begin"/>
        </w:r>
        <w:r>
          <w:instrText xml:space="preserve"> PAGE   \* MERGEFORMAT </w:instrText>
        </w:r>
        <w:r>
          <w:fldChar w:fldCharType="separate"/>
        </w:r>
        <w:r w:rsidR="00003BED">
          <w:rPr>
            <w:noProof/>
          </w:rPr>
          <w:t>6</w:t>
        </w:r>
        <w:r>
          <w:rPr>
            <w:noProof/>
          </w:rPr>
          <w:fldChar w:fldCharType="end"/>
        </w:r>
      </w:p>
    </w:sdtContent>
  </w:sdt>
  <w:p w14:paraId="4F981D34" w14:textId="77777777" w:rsidR="00A166EA" w:rsidRDefault="00A166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E98CFE3" w14:textId="77777777" w:rsidR="005741DE" w:rsidRDefault="005741DE" w:rsidP="00A166EA">
      <w:pPr>
        <w:spacing w:after="0" w:line="240" w:lineRule="auto"/>
      </w:pPr>
      <w:r>
        <w:separator/>
      </w:r>
    </w:p>
  </w:footnote>
  <w:footnote w:type="continuationSeparator" w:id="0">
    <w:p w14:paraId="48174C8D" w14:textId="77777777" w:rsidR="005741DE" w:rsidRDefault="005741DE" w:rsidP="00A166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30ECC"/>
    <w:multiLevelType w:val="hybridMultilevel"/>
    <w:tmpl w:val="9496AA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EB4437"/>
    <w:multiLevelType w:val="hybridMultilevel"/>
    <w:tmpl w:val="4AF4DD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E15E79"/>
    <w:multiLevelType w:val="hybridMultilevel"/>
    <w:tmpl w:val="4B4041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9B850C4"/>
    <w:multiLevelType w:val="hybridMultilevel"/>
    <w:tmpl w:val="6228EF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0F7062"/>
    <w:multiLevelType w:val="hybridMultilevel"/>
    <w:tmpl w:val="414C4C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4732B41"/>
    <w:multiLevelType w:val="hybridMultilevel"/>
    <w:tmpl w:val="1D689A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B4275AC"/>
    <w:multiLevelType w:val="hybridMultilevel"/>
    <w:tmpl w:val="252C89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73645680">
    <w:abstractNumId w:val="4"/>
  </w:num>
  <w:num w:numId="2" w16cid:durableId="1050494679">
    <w:abstractNumId w:val="2"/>
  </w:num>
  <w:num w:numId="3" w16cid:durableId="536697228">
    <w:abstractNumId w:val="1"/>
  </w:num>
  <w:num w:numId="4" w16cid:durableId="138766576">
    <w:abstractNumId w:val="0"/>
  </w:num>
  <w:num w:numId="5" w16cid:durableId="1477533302">
    <w:abstractNumId w:val="3"/>
  </w:num>
  <w:num w:numId="6" w16cid:durableId="1877621777">
    <w:abstractNumId w:val="6"/>
  </w:num>
  <w:num w:numId="7" w16cid:durableId="62266130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166EA"/>
    <w:rsid w:val="00003BED"/>
    <w:rsid w:val="000D7A9F"/>
    <w:rsid w:val="00126A16"/>
    <w:rsid w:val="003977A6"/>
    <w:rsid w:val="003D583B"/>
    <w:rsid w:val="004E1598"/>
    <w:rsid w:val="005741DE"/>
    <w:rsid w:val="006A7AB6"/>
    <w:rsid w:val="00715BCC"/>
    <w:rsid w:val="008C61D0"/>
    <w:rsid w:val="00972323"/>
    <w:rsid w:val="00A05191"/>
    <w:rsid w:val="00A166EA"/>
    <w:rsid w:val="00BA65B5"/>
    <w:rsid w:val="00BB7DFF"/>
    <w:rsid w:val="00D07CBB"/>
    <w:rsid w:val="00D53E38"/>
    <w:rsid w:val="00D852BF"/>
    <w:rsid w:val="00E12E8A"/>
    <w:rsid w:val="00E716CB"/>
    <w:rsid w:val="00EA094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EA85268"/>
  <w15:chartTrackingRefBased/>
  <w15:docId w15:val="{DE3E52AF-BC05-46F3-88C2-4BD26345E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DFF"/>
    <w:rPr>
      <w:rFonts w:ascii="Times New Roman" w:hAnsi="Times New Roman"/>
      <w:sz w:val="24"/>
    </w:rPr>
  </w:style>
  <w:style w:type="paragraph" w:styleId="Heading1">
    <w:name w:val="heading 1"/>
    <w:basedOn w:val="Normal"/>
    <w:next w:val="Normal"/>
    <w:link w:val="Heading1Char"/>
    <w:uiPriority w:val="9"/>
    <w:qFormat/>
    <w:rsid w:val="00BB7DFF"/>
    <w:pPr>
      <w:keepNext/>
      <w:keepLines/>
      <w:spacing w:before="240" w:after="0"/>
      <w:outlineLvl w:val="0"/>
    </w:pPr>
    <w:rPr>
      <w:rFonts w:eastAsiaTheme="majorEastAsia" w:cstheme="majorBidi"/>
      <w:color w:val="2E74B5" w:themeColor="accent1" w:themeShade="BF"/>
      <w:sz w:val="36"/>
      <w:szCs w:val="32"/>
    </w:rPr>
  </w:style>
  <w:style w:type="paragraph" w:styleId="Heading2">
    <w:name w:val="heading 2"/>
    <w:basedOn w:val="Normal"/>
    <w:next w:val="Normal"/>
    <w:link w:val="Heading2Char"/>
    <w:uiPriority w:val="9"/>
    <w:semiHidden/>
    <w:unhideWhenUsed/>
    <w:qFormat/>
    <w:rsid w:val="00BB7DFF"/>
    <w:pPr>
      <w:keepNext/>
      <w:keepLines/>
      <w:spacing w:before="40" w:after="0"/>
      <w:outlineLvl w:val="1"/>
    </w:pPr>
    <w:rPr>
      <w:rFonts w:eastAsiaTheme="majorEastAsia" w:cstheme="majorBidi"/>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DFF"/>
    <w:rPr>
      <w:rFonts w:ascii="Times New Roman" w:eastAsiaTheme="majorEastAsia" w:hAnsi="Times New Roman" w:cstheme="majorBidi"/>
      <w:color w:val="2E74B5" w:themeColor="accent1" w:themeShade="BF"/>
      <w:sz w:val="36"/>
      <w:szCs w:val="32"/>
    </w:rPr>
  </w:style>
  <w:style w:type="character" w:customStyle="1" w:styleId="Heading2Char">
    <w:name w:val="Heading 2 Char"/>
    <w:basedOn w:val="DefaultParagraphFont"/>
    <w:link w:val="Heading2"/>
    <w:uiPriority w:val="9"/>
    <w:semiHidden/>
    <w:rsid w:val="00BB7DFF"/>
    <w:rPr>
      <w:rFonts w:ascii="Times New Roman" w:eastAsiaTheme="majorEastAsia" w:hAnsi="Times New Roman" w:cstheme="majorBidi"/>
      <w:color w:val="2E74B5" w:themeColor="accent1" w:themeShade="BF"/>
      <w:sz w:val="28"/>
      <w:szCs w:val="26"/>
    </w:rPr>
  </w:style>
  <w:style w:type="paragraph" w:styleId="Header">
    <w:name w:val="header"/>
    <w:basedOn w:val="Normal"/>
    <w:link w:val="HeaderChar"/>
    <w:uiPriority w:val="99"/>
    <w:unhideWhenUsed/>
    <w:rsid w:val="00A166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A166EA"/>
    <w:rPr>
      <w:rFonts w:ascii="Times New Roman" w:hAnsi="Times New Roman"/>
      <w:sz w:val="24"/>
    </w:rPr>
  </w:style>
  <w:style w:type="paragraph" w:styleId="Footer">
    <w:name w:val="footer"/>
    <w:basedOn w:val="Normal"/>
    <w:link w:val="FooterChar"/>
    <w:uiPriority w:val="99"/>
    <w:unhideWhenUsed/>
    <w:rsid w:val="00A166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A166EA"/>
    <w:rPr>
      <w:rFonts w:ascii="Times New Roman" w:hAnsi="Times New Roman"/>
      <w:sz w:val="24"/>
    </w:rPr>
  </w:style>
  <w:style w:type="paragraph" w:styleId="NormalWeb">
    <w:name w:val="Normal (Web)"/>
    <w:basedOn w:val="Normal"/>
    <w:uiPriority w:val="99"/>
    <w:semiHidden/>
    <w:unhideWhenUsed/>
    <w:rsid w:val="00A166EA"/>
    <w:rPr>
      <w:rFonts w:cs="Times New Roman"/>
      <w:szCs w:val="24"/>
    </w:rPr>
  </w:style>
  <w:style w:type="paragraph" w:styleId="ListParagraph">
    <w:name w:val="List Paragraph"/>
    <w:basedOn w:val="Normal"/>
    <w:uiPriority w:val="34"/>
    <w:qFormat/>
    <w:rsid w:val="00715BCC"/>
    <w:pPr>
      <w:ind w:left="720"/>
      <w:contextualSpacing/>
    </w:pPr>
  </w:style>
  <w:style w:type="paragraph" w:styleId="TOCHeading">
    <w:name w:val="TOC Heading"/>
    <w:basedOn w:val="Heading1"/>
    <w:next w:val="Normal"/>
    <w:uiPriority w:val="39"/>
    <w:unhideWhenUsed/>
    <w:qFormat/>
    <w:rsid w:val="003977A6"/>
    <w:pPr>
      <w:spacing w:line="259" w:lineRule="auto"/>
      <w:jc w:val="left"/>
      <w:outlineLvl w:val="9"/>
    </w:pPr>
    <w:rPr>
      <w:rFonts w:asciiTheme="majorHAnsi" w:hAnsiTheme="majorHAnsi"/>
      <w:sz w:val="32"/>
    </w:rPr>
  </w:style>
  <w:style w:type="paragraph" w:styleId="TOC1">
    <w:name w:val="toc 1"/>
    <w:basedOn w:val="Normal"/>
    <w:next w:val="Normal"/>
    <w:autoRedefine/>
    <w:uiPriority w:val="39"/>
    <w:unhideWhenUsed/>
    <w:rsid w:val="003977A6"/>
    <w:pPr>
      <w:spacing w:after="100"/>
    </w:pPr>
  </w:style>
  <w:style w:type="character" w:styleId="Hyperlink">
    <w:name w:val="Hyperlink"/>
    <w:basedOn w:val="DefaultParagraphFont"/>
    <w:uiPriority w:val="99"/>
    <w:unhideWhenUsed/>
    <w:rsid w:val="003977A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26890">
      <w:bodyDiv w:val="1"/>
      <w:marLeft w:val="0"/>
      <w:marRight w:val="0"/>
      <w:marTop w:val="0"/>
      <w:marBottom w:val="0"/>
      <w:divBdr>
        <w:top w:val="none" w:sz="0" w:space="0" w:color="auto"/>
        <w:left w:val="none" w:sz="0" w:space="0" w:color="auto"/>
        <w:bottom w:val="none" w:sz="0" w:space="0" w:color="auto"/>
        <w:right w:val="none" w:sz="0" w:space="0" w:color="auto"/>
      </w:divBdr>
    </w:div>
    <w:div w:id="381563839">
      <w:bodyDiv w:val="1"/>
      <w:marLeft w:val="0"/>
      <w:marRight w:val="0"/>
      <w:marTop w:val="0"/>
      <w:marBottom w:val="0"/>
      <w:divBdr>
        <w:top w:val="none" w:sz="0" w:space="0" w:color="auto"/>
        <w:left w:val="none" w:sz="0" w:space="0" w:color="auto"/>
        <w:bottom w:val="none" w:sz="0" w:space="0" w:color="auto"/>
        <w:right w:val="none" w:sz="0" w:space="0" w:color="auto"/>
      </w:divBdr>
    </w:div>
    <w:div w:id="424309580">
      <w:bodyDiv w:val="1"/>
      <w:marLeft w:val="0"/>
      <w:marRight w:val="0"/>
      <w:marTop w:val="0"/>
      <w:marBottom w:val="0"/>
      <w:divBdr>
        <w:top w:val="none" w:sz="0" w:space="0" w:color="auto"/>
        <w:left w:val="none" w:sz="0" w:space="0" w:color="auto"/>
        <w:bottom w:val="none" w:sz="0" w:space="0" w:color="auto"/>
        <w:right w:val="none" w:sz="0" w:space="0" w:color="auto"/>
      </w:divBdr>
    </w:div>
    <w:div w:id="822546237">
      <w:bodyDiv w:val="1"/>
      <w:marLeft w:val="0"/>
      <w:marRight w:val="0"/>
      <w:marTop w:val="0"/>
      <w:marBottom w:val="0"/>
      <w:divBdr>
        <w:top w:val="none" w:sz="0" w:space="0" w:color="auto"/>
        <w:left w:val="none" w:sz="0" w:space="0" w:color="auto"/>
        <w:bottom w:val="none" w:sz="0" w:space="0" w:color="auto"/>
        <w:right w:val="none" w:sz="0" w:space="0" w:color="auto"/>
      </w:divBdr>
    </w:div>
    <w:div w:id="1910460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5FE06D3-D142-4824-ACC7-4D24E37A16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1653</Words>
  <Characters>9423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Jaber Hossin Ruman</cp:lastModifiedBy>
  <cp:revision>2</cp:revision>
  <dcterms:created xsi:type="dcterms:W3CDTF">2024-05-31T12:31:00Z</dcterms:created>
  <dcterms:modified xsi:type="dcterms:W3CDTF">2024-05-31T12:31:00Z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e1f919f6-4288-4511-ab53-d34aafc09689</vt:lpwstr>
  </property>
</Properties>
</file>