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A635CBF" w14:textId="77777777" w:rsidR="00BA46DF" w:rsidRDefault="00BA46DF">
      <w:pPr>
        <w:spacing w:before="200" w:after="200" w:line="360" w:lineRule="auto"/>
        <w:jc w:val="center"/>
        <w:rPr>
          <w:rFonts w:ascii="Times New Roman" w:eastAsia="Times New Roman" w:hAnsi="Times New Roman" w:cs="Times New Roman"/>
          <w:sz w:val="24"/>
          <w:szCs w:val="24"/>
        </w:rPr>
      </w:pPr>
    </w:p>
    <w:p w14:paraId="30E9E1EE" w14:textId="77777777" w:rsidR="00BA46DF" w:rsidRDefault="00BA46DF">
      <w:pPr>
        <w:spacing w:before="200" w:after="200" w:line="360" w:lineRule="auto"/>
        <w:jc w:val="center"/>
        <w:rPr>
          <w:rFonts w:ascii="Times New Roman" w:eastAsia="Times New Roman" w:hAnsi="Times New Roman" w:cs="Times New Roman"/>
          <w:sz w:val="24"/>
          <w:szCs w:val="24"/>
        </w:rPr>
      </w:pPr>
    </w:p>
    <w:p w14:paraId="178D47D2" w14:textId="77777777" w:rsidR="00BA46DF" w:rsidRDefault="003A0BD6">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0" distB="0" distL="114300" distR="114300" wp14:anchorId="6445B988" wp14:editId="61EB72CB">
            <wp:extent cx="1809750" cy="723900"/>
            <wp:effectExtent l="0" t="0" r="0" b="0"/>
            <wp:docPr id="7" name="image7.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7.png" descr="Discover University of Wales Trinity Saint David"/>
                    <pic:cNvPicPr preferRelativeResize="0"/>
                  </pic:nvPicPr>
                  <pic:blipFill>
                    <a:blip r:embed="rId6"/>
                    <a:srcRect/>
                    <a:stretch>
                      <a:fillRect/>
                    </a:stretch>
                  </pic:blipFill>
                  <pic:spPr>
                    <a:xfrm>
                      <a:off x="0" y="0"/>
                      <a:ext cx="1809750" cy="723900"/>
                    </a:xfrm>
                    <a:prstGeom prst="rect">
                      <a:avLst/>
                    </a:prstGeom>
                    <a:ln/>
                  </pic:spPr>
                </pic:pic>
              </a:graphicData>
            </a:graphic>
          </wp:inline>
        </w:drawing>
      </w:r>
    </w:p>
    <w:p w14:paraId="22090D65" w14:textId="77777777" w:rsidR="00BA46DF" w:rsidRDefault="00BA46DF">
      <w:pPr>
        <w:spacing w:before="200" w:after="200" w:line="360" w:lineRule="auto"/>
        <w:rPr>
          <w:rFonts w:ascii="Times New Roman" w:eastAsia="Times New Roman" w:hAnsi="Times New Roman" w:cs="Times New Roman"/>
          <w:sz w:val="24"/>
          <w:szCs w:val="24"/>
        </w:rPr>
      </w:pPr>
    </w:p>
    <w:p w14:paraId="5053A7D1" w14:textId="77777777" w:rsidR="00BA46DF" w:rsidRDefault="00BA46DF">
      <w:pPr>
        <w:spacing w:before="200" w:after="200" w:line="360" w:lineRule="auto"/>
        <w:jc w:val="center"/>
        <w:rPr>
          <w:rFonts w:ascii="Times New Roman" w:eastAsia="Times New Roman" w:hAnsi="Times New Roman" w:cs="Times New Roman"/>
          <w:sz w:val="24"/>
          <w:szCs w:val="24"/>
        </w:rPr>
      </w:pPr>
    </w:p>
    <w:p w14:paraId="3459EBBF" w14:textId="77777777" w:rsidR="00BA46DF" w:rsidRDefault="003A0BD6">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36"/>
          <w:szCs w:val="36"/>
        </w:rPr>
        <w:t>Master of Business Administration</w:t>
      </w:r>
    </w:p>
    <w:p w14:paraId="78B5CAA9" w14:textId="77777777" w:rsidR="00BA46DF" w:rsidRDefault="003A0BD6">
      <w:pPr>
        <w:spacing w:before="200" w:after="20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LCMB7024_Marketing Management</w:t>
      </w:r>
    </w:p>
    <w:p w14:paraId="712CB226" w14:textId="77777777" w:rsidR="00BA46DF" w:rsidRDefault="00BA46DF">
      <w:pPr>
        <w:spacing w:before="200" w:after="200" w:line="360" w:lineRule="auto"/>
        <w:jc w:val="center"/>
        <w:rPr>
          <w:rFonts w:ascii="Times New Roman" w:eastAsia="Times New Roman" w:hAnsi="Times New Roman" w:cs="Times New Roman"/>
          <w:sz w:val="24"/>
          <w:szCs w:val="24"/>
        </w:rPr>
      </w:pPr>
    </w:p>
    <w:p w14:paraId="5ABB4647" w14:textId="77777777" w:rsidR="00BA46DF" w:rsidRDefault="00BA46DF">
      <w:pPr>
        <w:spacing w:before="200" w:after="200" w:line="360" w:lineRule="auto"/>
        <w:jc w:val="center"/>
        <w:rPr>
          <w:rFonts w:ascii="Times New Roman" w:eastAsia="Times New Roman" w:hAnsi="Times New Roman" w:cs="Times New Roman"/>
          <w:b/>
          <w:sz w:val="32"/>
          <w:szCs w:val="32"/>
        </w:rPr>
      </w:pPr>
    </w:p>
    <w:p w14:paraId="5D83EFFA" w14:textId="77777777" w:rsidR="00BA46DF" w:rsidRDefault="003A0BD6">
      <w:pPr>
        <w:spacing w:before="200" w:after="20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Marketing Environment Analysis</w:t>
      </w:r>
    </w:p>
    <w:p w14:paraId="299A3006" w14:textId="77777777" w:rsidR="00BA46DF" w:rsidRDefault="00BA46DF">
      <w:pPr>
        <w:spacing w:before="200" w:after="200" w:line="360" w:lineRule="auto"/>
        <w:jc w:val="center"/>
        <w:rPr>
          <w:rFonts w:ascii="Times New Roman" w:eastAsia="Times New Roman" w:hAnsi="Times New Roman" w:cs="Times New Roman"/>
          <w:sz w:val="24"/>
          <w:szCs w:val="24"/>
        </w:rPr>
      </w:pPr>
    </w:p>
    <w:p w14:paraId="1B3126BB" w14:textId="77777777" w:rsidR="00BA46DF" w:rsidRDefault="00BA46DF">
      <w:pPr>
        <w:spacing w:before="200" w:after="200" w:line="360" w:lineRule="auto"/>
        <w:jc w:val="center"/>
        <w:rPr>
          <w:rFonts w:ascii="Times New Roman" w:eastAsia="Times New Roman" w:hAnsi="Times New Roman" w:cs="Times New Roman"/>
          <w:sz w:val="24"/>
          <w:szCs w:val="24"/>
        </w:rPr>
      </w:pPr>
    </w:p>
    <w:p w14:paraId="47A79186" w14:textId="77777777" w:rsidR="00BA46DF" w:rsidRDefault="00BA46DF">
      <w:pPr>
        <w:spacing w:before="200" w:after="200" w:line="360" w:lineRule="auto"/>
        <w:jc w:val="center"/>
        <w:rPr>
          <w:rFonts w:ascii="Times New Roman" w:eastAsia="Times New Roman" w:hAnsi="Times New Roman" w:cs="Times New Roman"/>
          <w:sz w:val="24"/>
          <w:szCs w:val="24"/>
        </w:rPr>
      </w:pPr>
    </w:p>
    <w:p w14:paraId="122FBF81" w14:textId="3ECBC185" w:rsidR="007F08AA" w:rsidRPr="007F08AA" w:rsidRDefault="003A0BD6" w:rsidP="007F08AA">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 Name:</w:t>
      </w:r>
      <w:r w:rsidR="007F08AA" w:rsidRPr="007F08AA">
        <w:t xml:space="preserve"> </w:t>
      </w:r>
      <w:proofErr w:type="spellStart"/>
      <w:r w:rsidR="007F08AA" w:rsidRPr="007F08AA">
        <w:rPr>
          <w:rFonts w:ascii="Times New Roman" w:eastAsia="Times New Roman" w:hAnsi="Times New Roman" w:cs="Times New Roman"/>
          <w:sz w:val="24"/>
          <w:szCs w:val="24"/>
        </w:rPr>
        <w:t>Iyappan</w:t>
      </w:r>
      <w:proofErr w:type="spellEnd"/>
      <w:r w:rsidR="007F08AA" w:rsidRPr="007F08AA">
        <w:rPr>
          <w:rFonts w:ascii="Times New Roman" w:eastAsia="Times New Roman" w:hAnsi="Times New Roman" w:cs="Times New Roman"/>
          <w:sz w:val="24"/>
          <w:szCs w:val="24"/>
        </w:rPr>
        <w:t xml:space="preserve"> </w:t>
      </w:r>
      <w:proofErr w:type="spellStart"/>
      <w:r w:rsidR="007F08AA" w:rsidRPr="007F08AA">
        <w:rPr>
          <w:rFonts w:ascii="Times New Roman" w:eastAsia="Times New Roman" w:hAnsi="Times New Roman" w:cs="Times New Roman"/>
          <w:sz w:val="24"/>
          <w:szCs w:val="24"/>
        </w:rPr>
        <w:t>Balakrishnan</w:t>
      </w:r>
      <w:proofErr w:type="spellEnd"/>
      <w:r w:rsidR="007F08AA" w:rsidRPr="007F08AA">
        <w:rPr>
          <w:rFonts w:ascii="Times New Roman" w:eastAsia="Times New Roman" w:hAnsi="Times New Roman" w:cs="Times New Roman"/>
          <w:sz w:val="24"/>
          <w:szCs w:val="24"/>
        </w:rPr>
        <w:t xml:space="preserve"> </w:t>
      </w:r>
    </w:p>
    <w:p w14:paraId="02CF3A8F" w14:textId="4F3F2B17" w:rsidR="00BA46DF" w:rsidRDefault="003A0BD6" w:rsidP="007F08AA">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 ID:</w:t>
      </w:r>
      <w:r w:rsidR="007F08AA" w:rsidRPr="007F08AA">
        <w:rPr>
          <w:rFonts w:ascii="Times New Roman" w:eastAsia="Times New Roman" w:hAnsi="Times New Roman" w:cs="Times New Roman"/>
          <w:sz w:val="24"/>
          <w:szCs w:val="24"/>
        </w:rPr>
        <w:t xml:space="preserve"> </w:t>
      </w:r>
      <w:r w:rsidR="007F08AA" w:rsidRPr="007F08AA">
        <w:rPr>
          <w:rFonts w:ascii="Times New Roman" w:eastAsia="Times New Roman" w:hAnsi="Times New Roman" w:cs="Times New Roman"/>
          <w:sz w:val="24"/>
          <w:szCs w:val="24"/>
        </w:rPr>
        <w:t>2434791</w:t>
      </w:r>
    </w:p>
    <w:p w14:paraId="63063406" w14:textId="6D2D8CC4" w:rsidR="00BA46DF" w:rsidRDefault="003A0BD6">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Date:</w:t>
      </w:r>
      <w:r w:rsidR="007F08AA">
        <w:rPr>
          <w:rFonts w:ascii="Times New Roman" w:eastAsia="Times New Roman" w:hAnsi="Times New Roman" w:cs="Times New Roman"/>
          <w:sz w:val="24"/>
          <w:szCs w:val="24"/>
        </w:rPr>
        <w:t xml:space="preserve"> 24</w:t>
      </w:r>
      <w:r w:rsidR="007F08AA" w:rsidRPr="007F08AA">
        <w:rPr>
          <w:rFonts w:ascii="Times New Roman" w:eastAsia="Times New Roman" w:hAnsi="Times New Roman" w:cs="Times New Roman"/>
          <w:sz w:val="24"/>
          <w:szCs w:val="24"/>
          <w:vertAlign w:val="superscript"/>
        </w:rPr>
        <w:t>th</w:t>
      </w:r>
      <w:r w:rsidR="007F08AA">
        <w:rPr>
          <w:rFonts w:ascii="Times New Roman" w:eastAsia="Times New Roman" w:hAnsi="Times New Roman" w:cs="Times New Roman"/>
          <w:sz w:val="24"/>
          <w:szCs w:val="24"/>
        </w:rPr>
        <w:t xml:space="preserve"> O</w:t>
      </w:r>
      <w:bookmarkStart w:id="0" w:name="_GoBack"/>
      <w:bookmarkEnd w:id="0"/>
      <w:r w:rsidR="007F08AA">
        <w:rPr>
          <w:rFonts w:ascii="Times New Roman" w:eastAsia="Times New Roman" w:hAnsi="Times New Roman" w:cs="Times New Roman"/>
          <w:sz w:val="24"/>
          <w:szCs w:val="24"/>
        </w:rPr>
        <w:t>ctober 2025</w:t>
      </w:r>
      <w:r>
        <w:br w:type="page"/>
      </w:r>
    </w:p>
    <w:p w14:paraId="0006C43D" w14:textId="77777777" w:rsidR="00BA46DF" w:rsidRDefault="003A0BD6">
      <w:pPr>
        <w:spacing w:before="200" w:after="200"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Table of Contents</w:t>
      </w:r>
    </w:p>
    <w:sdt>
      <w:sdtPr>
        <w:id w:val="-140943689"/>
        <w:docPartObj>
          <w:docPartGallery w:val="Table of Contents"/>
          <w:docPartUnique/>
        </w:docPartObj>
      </w:sdtPr>
      <w:sdtEndPr/>
      <w:sdtContent>
        <w:p w14:paraId="1EA2FFE0" w14:textId="77777777" w:rsidR="00BA46DF" w:rsidRDefault="00BA46DF">
          <w:pPr>
            <w:widowControl w:val="0"/>
            <w:tabs>
              <w:tab w:val="right" w:leader="dot" w:pos="9360"/>
            </w:tabs>
            <w:spacing w:before="60" w:after="200" w:line="36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3,3,Heading 4,4,Heading 5,5,Heading 6,6,"</w:instrText>
          </w:r>
          <w:r>
            <w:fldChar w:fldCharType="separate"/>
          </w:r>
          <w:hyperlink w:anchor="_59vbsc2js6t0">
            <w:r>
              <w:rPr>
                <w:rFonts w:ascii="Times New Roman" w:eastAsia="Times New Roman" w:hAnsi="Times New Roman" w:cs="Times New Roman"/>
                <w:color w:val="000000"/>
                <w:sz w:val="24"/>
                <w:szCs w:val="24"/>
              </w:rPr>
              <w:t>1. Introduction</w:t>
            </w:r>
            <w:r>
              <w:rPr>
                <w:rFonts w:ascii="Times New Roman" w:eastAsia="Times New Roman" w:hAnsi="Times New Roman" w:cs="Times New Roman"/>
                <w:color w:val="000000"/>
                <w:sz w:val="24"/>
                <w:szCs w:val="24"/>
              </w:rPr>
              <w:tab/>
            </w:r>
          </w:hyperlink>
          <w:r>
            <w:fldChar w:fldCharType="begin"/>
          </w:r>
          <w:r>
            <w:instrText xml:space="preserve"> PAGEREF _59vbsc2js6t0 \h </w:instrText>
          </w:r>
          <w:r>
            <w:fldChar w:fldCharType="separate"/>
          </w:r>
          <w:r>
            <w:rPr>
              <w:rFonts w:ascii="Times New Roman" w:eastAsia="Times New Roman" w:hAnsi="Times New Roman" w:cs="Times New Roman"/>
              <w:sz w:val="24"/>
              <w:szCs w:val="24"/>
            </w:rPr>
            <w:t>2</w:t>
          </w:r>
          <w:r>
            <w:fldChar w:fldCharType="end"/>
          </w:r>
        </w:p>
        <w:p w14:paraId="6E3EF231" w14:textId="77777777" w:rsidR="00BA46DF" w:rsidRDefault="003A0BD6">
          <w:pPr>
            <w:widowControl w:val="0"/>
            <w:tabs>
              <w:tab w:val="right" w:leader="dot" w:pos="9360"/>
            </w:tabs>
            <w:spacing w:before="60" w:after="200" w:line="360" w:lineRule="auto"/>
            <w:jc w:val="both"/>
            <w:rPr>
              <w:rFonts w:ascii="Times New Roman" w:eastAsia="Times New Roman" w:hAnsi="Times New Roman" w:cs="Times New Roman"/>
              <w:color w:val="000000"/>
              <w:sz w:val="24"/>
              <w:szCs w:val="24"/>
            </w:rPr>
          </w:pPr>
          <w:hyperlink w:anchor="_sew677ne661x">
            <w:r w:rsidR="00BA46DF">
              <w:rPr>
                <w:rFonts w:ascii="Times New Roman" w:eastAsia="Times New Roman" w:hAnsi="Times New Roman" w:cs="Times New Roman"/>
                <w:color w:val="000000"/>
                <w:sz w:val="24"/>
                <w:szCs w:val="24"/>
              </w:rPr>
              <w:t>2. Task 1: Macro Marketing Environment Analysis</w:t>
            </w:r>
            <w:r w:rsidR="00BA46DF">
              <w:rPr>
                <w:rFonts w:ascii="Times New Roman" w:eastAsia="Times New Roman" w:hAnsi="Times New Roman" w:cs="Times New Roman"/>
                <w:color w:val="000000"/>
                <w:sz w:val="24"/>
                <w:szCs w:val="24"/>
              </w:rPr>
              <w:tab/>
            </w:r>
          </w:hyperlink>
          <w:r w:rsidR="00BA46DF">
            <w:fldChar w:fldCharType="begin"/>
          </w:r>
          <w:r w:rsidR="00BA46DF">
            <w:instrText xml:space="preserve"> PAGEREF _sew677ne661x \h </w:instrText>
          </w:r>
          <w:r w:rsidR="00BA46DF">
            <w:fldChar w:fldCharType="separate"/>
          </w:r>
          <w:r w:rsidR="00BA46DF">
            <w:rPr>
              <w:rFonts w:ascii="Times New Roman" w:eastAsia="Times New Roman" w:hAnsi="Times New Roman" w:cs="Times New Roman"/>
              <w:sz w:val="24"/>
              <w:szCs w:val="24"/>
            </w:rPr>
            <w:t>2</w:t>
          </w:r>
          <w:r w:rsidR="00BA46DF">
            <w:fldChar w:fldCharType="end"/>
          </w:r>
        </w:p>
        <w:p w14:paraId="7FDE23A7" w14:textId="77777777" w:rsidR="00BA46DF" w:rsidRDefault="003A0BD6">
          <w:pPr>
            <w:widowControl w:val="0"/>
            <w:tabs>
              <w:tab w:val="right" w:leader="dot" w:pos="9360"/>
            </w:tabs>
            <w:spacing w:before="60" w:after="200" w:line="360" w:lineRule="auto"/>
            <w:jc w:val="both"/>
            <w:rPr>
              <w:rFonts w:ascii="Times New Roman" w:eastAsia="Times New Roman" w:hAnsi="Times New Roman" w:cs="Times New Roman"/>
              <w:color w:val="000000"/>
              <w:sz w:val="24"/>
              <w:szCs w:val="24"/>
            </w:rPr>
          </w:pPr>
          <w:hyperlink w:anchor="_7x95bs33qwob">
            <w:r w:rsidR="00BA46DF">
              <w:rPr>
                <w:rFonts w:ascii="Times New Roman" w:eastAsia="Times New Roman" w:hAnsi="Times New Roman" w:cs="Times New Roman"/>
                <w:color w:val="000000"/>
                <w:sz w:val="24"/>
                <w:szCs w:val="24"/>
              </w:rPr>
              <w:t>3. Task 2: Strategic Responses by Pioneers and Followers</w:t>
            </w:r>
            <w:r w:rsidR="00BA46DF">
              <w:rPr>
                <w:rFonts w:ascii="Times New Roman" w:eastAsia="Times New Roman" w:hAnsi="Times New Roman" w:cs="Times New Roman"/>
                <w:color w:val="000000"/>
                <w:sz w:val="24"/>
                <w:szCs w:val="24"/>
              </w:rPr>
              <w:tab/>
            </w:r>
          </w:hyperlink>
          <w:r w:rsidR="00BA46DF">
            <w:fldChar w:fldCharType="begin"/>
          </w:r>
          <w:r w:rsidR="00BA46DF">
            <w:instrText xml:space="preserve"> PAGEREF _7x95bs33qwob \h </w:instrText>
          </w:r>
          <w:r w:rsidR="00BA46DF">
            <w:fldChar w:fldCharType="separate"/>
          </w:r>
          <w:r w:rsidR="00BA46DF">
            <w:rPr>
              <w:rFonts w:ascii="Times New Roman" w:eastAsia="Times New Roman" w:hAnsi="Times New Roman" w:cs="Times New Roman"/>
              <w:sz w:val="24"/>
              <w:szCs w:val="24"/>
            </w:rPr>
            <w:t>6</w:t>
          </w:r>
          <w:r w:rsidR="00BA46DF">
            <w:fldChar w:fldCharType="end"/>
          </w:r>
        </w:p>
        <w:p w14:paraId="080AC691" w14:textId="77777777" w:rsidR="00BA46DF" w:rsidRDefault="003A0BD6">
          <w:pPr>
            <w:widowControl w:val="0"/>
            <w:tabs>
              <w:tab w:val="right" w:leader="dot" w:pos="9360"/>
            </w:tabs>
            <w:spacing w:before="60" w:after="200" w:line="360" w:lineRule="auto"/>
            <w:jc w:val="both"/>
            <w:rPr>
              <w:rFonts w:ascii="Times New Roman" w:eastAsia="Times New Roman" w:hAnsi="Times New Roman" w:cs="Times New Roman"/>
              <w:color w:val="000000"/>
              <w:sz w:val="24"/>
              <w:szCs w:val="24"/>
            </w:rPr>
          </w:pPr>
          <w:hyperlink w:anchor="_8qph352xoqo3">
            <w:r w:rsidR="00BA46DF">
              <w:rPr>
                <w:rFonts w:ascii="Times New Roman" w:eastAsia="Times New Roman" w:hAnsi="Times New Roman" w:cs="Times New Roman"/>
                <w:color w:val="000000"/>
                <w:sz w:val="24"/>
                <w:szCs w:val="24"/>
              </w:rPr>
              <w:t>4. Conclusion</w:t>
            </w:r>
            <w:r w:rsidR="00BA46DF">
              <w:rPr>
                <w:rFonts w:ascii="Times New Roman" w:eastAsia="Times New Roman" w:hAnsi="Times New Roman" w:cs="Times New Roman"/>
                <w:color w:val="000000"/>
                <w:sz w:val="24"/>
                <w:szCs w:val="24"/>
              </w:rPr>
              <w:tab/>
            </w:r>
          </w:hyperlink>
          <w:r w:rsidR="00BA46DF">
            <w:fldChar w:fldCharType="begin"/>
          </w:r>
          <w:r w:rsidR="00BA46DF">
            <w:instrText xml:space="preserve"> PAGEREF _8qph352xoqo3 \h </w:instrText>
          </w:r>
          <w:r w:rsidR="00BA46DF">
            <w:fldChar w:fldCharType="separate"/>
          </w:r>
          <w:r w:rsidR="00BA46DF">
            <w:rPr>
              <w:rFonts w:ascii="Times New Roman" w:eastAsia="Times New Roman" w:hAnsi="Times New Roman" w:cs="Times New Roman"/>
              <w:sz w:val="24"/>
              <w:szCs w:val="24"/>
            </w:rPr>
            <w:t>11</w:t>
          </w:r>
          <w:r w:rsidR="00BA46DF">
            <w:fldChar w:fldCharType="end"/>
          </w:r>
        </w:p>
        <w:p w14:paraId="207056C2" w14:textId="77777777" w:rsidR="00BA46DF" w:rsidRDefault="003A0BD6">
          <w:pPr>
            <w:widowControl w:val="0"/>
            <w:tabs>
              <w:tab w:val="right" w:leader="dot" w:pos="9360"/>
            </w:tabs>
            <w:spacing w:before="60" w:after="200" w:line="360" w:lineRule="auto"/>
            <w:jc w:val="both"/>
            <w:rPr>
              <w:rFonts w:ascii="Times New Roman" w:eastAsia="Times New Roman" w:hAnsi="Times New Roman" w:cs="Times New Roman"/>
              <w:color w:val="000000"/>
              <w:sz w:val="24"/>
              <w:szCs w:val="24"/>
            </w:rPr>
          </w:pPr>
          <w:hyperlink w:anchor="_myq7iwvgfpuk">
            <w:r w:rsidR="00BA46DF">
              <w:rPr>
                <w:rFonts w:ascii="Times New Roman" w:eastAsia="Times New Roman" w:hAnsi="Times New Roman" w:cs="Times New Roman"/>
                <w:color w:val="000000"/>
                <w:sz w:val="24"/>
                <w:szCs w:val="24"/>
              </w:rPr>
              <w:t>References</w:t>
            </w:r>
            <w:r w:rsidR="00BA46DF">
              <w:rPr>
                <w:rFonts w:ascii="Times New Roman" w:eastAsia="Times New Roman" w:hAnsi="Times New Roman" w:cs="Times New Roman"/>
                <w:color w:val="000000"/>
                <w:sz w:val="24"/>
                <w:szCs w:val="24"/>
              </w:rPr>
              <w:tab/>
            </w:r>
          </w:hyperlink>
          <w:r w:rsidR="00BA46DF">
            <w:fldChar w:fldCharType="begin"/>
          </w:r>
          <w:r w:rsidR="00BA46DF">
            <w:instrText xml:space="preserve"> PAGEREF _myq7iwvgfpuk \h </w:instrText>
          </w:r>
          <w:r w:rsidR="00BA46DF">
            <w:fldChar w:fldCharType="separate"/>
          </w:r>
          <w:r w:rsidR="00BA46DF">
            <w:rPr>
              <w:rFonts w:ascii="Times New Roman" w:eastAsia="Times New Roman" w:hAnsi="Times New Roman" w:cs="Times New Roman"/>
              <w:sz w:val="24"/>
              <w:szCs w:val="24"/>
            </w:rPr>
            <w:t>12</w:t>
          </w:r>
          <w:r w:rsidR="00BA46DF">
            <w:fldChar w:fldCharType="end"/>
          </w:r>
          <w:r w:rsidR="00BA46DF">
            <w:fldChar w:fldCharType="end"/>
          </w:r>
        </w:p>
      </w:sdtContent>
    </w:sdt>
    <w:p w14:paraId="10BD1F28" w14:textId="77777777" w:rsidR="00BA46DF" w:rsidRDefault="003A0BD6">
      <w:pPr>
        <w:spacing w:before="200" w:after="200" w:line="360" w:lineRule="auto"/>
        <w:jc w:val="center"/>
        <w:rPr>
          <w:rFonts w:ascii="Times New Roman" w:eastAsia="Times New Roman" w:hAnsi="Times New Roman" w:cs="Times New Roman"/>
          <w:b/>
          <w:sz w:val="28"/>
          <w:szCs w:val="28"/>
        </w:rPr>
      </w:pPr>
      <w:r>
        <w:br w:type="page"/>
      </w:r>
    </w:p>
    <w:p w14:paraId="4260EA5E" w14:textId="77777777" w:rsidR="00BA46DF" w:rsidRDefault="003A0BD6">
      <w:pPr>
        <w:pStyle w:val="Heading1"/>
      </w:pPr>
      <w:bookmarkStart w:id="1" w:name="_59vbsc2js6t0" w:colFirst="0" w:colLast="0"/>
      <w:bookmarkEnd w:id="1"/>
      <w:r>
        <w:lastRenderedPageBreak/>
        <w:t>1. Introduction</w:t>
      </w:r>
    </w:p>
    <w:p w14:paraId="1B0BF1C4" w14:textId="6E7C15BC" w:rsidR="00BA46DF" w:rsidRDefault="005A3B55">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w:t>
      </w:r>
      <w:r w:rsidR="00944D84" w:rsidRPr="00944D84">
        <w:rPr>
          <w:rFonts w:ascii="Times New Roman" w:eastAsia="Times New Roman" w:hAnsi="Times New Roman" w:cs="Times New Roman"/>
          <w:sz w:val="24"/>
          <w:szCs w:val="24"/>
        </w:rPr>
        <w:t>his essay investigates the impact of technological changes and legal changes on the pioneers and followers in the EV industry.</w:t>
      </w:r>
      <w:r w:rsidR="00944D84">
        <w:rPr>
          <w:rFonts w:ascii="Times New Roman" w:eastAsia="Times New Roman" w:hAnsi="Times New Roman" w:cs="Times New Roman"/>
          <w:sz w:val="24"/>
          <w:szCs w:val="24"/>
        </w:rPr>
        <w:t xml:space="preserve"> Tesla, BYD, and other pioneers have developed the market of EVs throughout the whole world not only based on the early use of advanced battery technologies, but also on proactive regulatory compliance. In contrast, the follower firms such as Jaguar Land Rover and Volkswagen have adjusted their efforts in order to be competitive in the market that has been changing rapidly. The discussion provides the opportunities and threats brought by these external factors and the ways in which every firm reacts to them using marketing and innovation tactics. The analysis makes use of the applicable marketing theories to point out how environmental dynamics can define sustainable competitive advantage.</w:t>
      </w:r>
    </w:p>
    <w:p w14:paraId="3446A8F9" w14:textId="77777777" w:rsidR="00BA46DF" w:rsidRDefault="003A0BD6">
      <w:pPr>
        <w:pStyle w:val="Heading1"/>
      </w:pPr>
      <w:bookmarkStart w:id="2" w:name="_sew677ne661x" w:colFirst="0" w:colLast="0"/>
      <w:bookmarkEnd w:id="2"/>
      <w:r>
        <w:t>2. Task 1: Macro Marketing Environment Analysis</w:t>
      </w:r>
    </w:p>
    <w:p w14:paraId="15CD17D9" w14:textId="77777777" w:rsidR="00BA46DF" w:rsidRDefault="003A0BD6">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section, only</w:t>
      </w:r>
      <w:r>
        <w:rPr>
          <w:rFonts w:ascii="Times New Roman" w:eastAsia="Times New Roman" w:hAnsi="Times New Roman" w:cs="Times New Roman"/>
          <w:sz w:val="24"/>
          <w:szCs w:val="24"/>
        </w:rPr>
        <w:t xml:space="preserve"> two factors, including technological and legal, from the PESTLE framework have been considered. It helps in identifying the impact of external factors of the marketing environment on pioneer and follower EV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w:t>
      </w:r>
    </w:p>
    <w:p w14:paraId="7818ACEE" w14:textId="77777777" w:rsidR="00BA46DF" w:rsidRDefault="003A0BD6">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114300" distB="114300" distL="114300" distR="114300" wp14:anchorId="209FAE2A" wp14:editId="28E9419F">
            <wp:extent cx="4552950" cy="2527750"/>
            <wp:effectExtent l="25400" t="25400" r="25400" b="2540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7"/>
                    <a:srcRect r="2724"/>
                    <a:stretch>
                      <a:fillRect/>
                    </a:stretch>
                  </pic:blipFill>
                  <pic:spPr>
                    <a:xfrm>
                      <a:off x="0" y="0"/>
                      <a:ext cx="4552950" cy="2527750"/>
                    </a:xfrm>
                    <a:prstGeom prst="rect">
                      <a:avLst/>
                    </a:prstGeom>
                    <a:ln w="25400">
                      <a:solidFill>
                        <a:srgbClr val="000000"/>
                      </a:solidFill>
                      <a:prstDash val="solid"/>
                    </a:ln>
                  </pic:spPr>
                </pic:pic>
              </a:graphicData>
            </a:graphic>
          </wp:inline>
        </w:drawing>
      </w:r>
    </w:p>
    <w:p w14:paraId="65AF2324" w14:textId="77777777" w:rsidR="00BA46DF" w:rsidRDefault="003A0BD6">
      <w:pPr>
        <w:spacing w:before="200"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PESTLE Framework</w:t>
      </w:r>
    </w:p>
    <w:p w14:paraId="0AE3FF83" w14:textId="77777777" w:rsidR="00BA46DF" w:rsidRDefault="003A0BD6">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w:t>
      </w:r>
      <w:r>
        <w:rPr>
          <w:rFonts w:ascii="Times New Roman" w:eastAsia="Times New Roman" w:hAnsi="Times New Roman" w:cs="Times New Roman"/>
          <w:sz w:val="24"/>
          <w:szCs w:val="24"/>
        </w:rPr>
        <w:t xml:space="preserve">rce: </w:t>
      </w:r>
      <w:proofErr w:type="spellStart"/>
      <w:r>
        <w:rPr>
          <w:rFonts w:ascii="Times New Roman" w:eastAsia="Times New Roman" w:hAnsi="Times New Roman" w:cs="Times New Roman"/>
          <w:sz w:val="24"/>
          <w:szCs w:val="24"/>
        </w:rPr>
        <w:t>Ormston</w:t>
      </w:r>
      <w:proofErr w:type="spellEnd"/>
      <w:r>
        <w:rPr>
          <w:rFonts w:ascii="Times New Roman" w:eastAsia="Times New Roman" w:hAnsi="Times New Roman" w:cs="Times New Roman"/>
          <w:sz w:val="24"/>
          <w:szCs w:val="24"/>
        </w:rPr>
        <w:t>, 2025)</w:t>
      </w:r>
    </w:p>
    <w:p w14:paraId="67CDF97D" w14:textId="77777777" w:rsidR="00BA46DF" w:rsidRDefault="003A0BD6">
      <w:pPr>
        <w:spacing w:before="200" w:after="200" w:line="36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2.1 Technological Factors</w:t>
      </w:r>
    </w:p>
    <w:p w14:paraId="63E91363" w14:textId="77777777" w:rsidR="00BA46DF" w:rsidRDefault="003A0BD6">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electric-vehicle (EV) market across the globe is undergoing radical changes in technology that have presented both major opportunities and realistic threats to companies in the market as the innovators and </w:t>
      </w:r>
      <w:r>
        <w:rPr>
          <w:rFonts w:ascii="Times New Roman" w:eastAsia="Times New Roman" w:hAnsi="Times New Roman" w:cs="Times New Roman"/>
          <w:sz w:val="24"/>
          <w:szCs w:val="24"/>
        </w:rPr>
        <w:t xml:space="preserve">imitators. One of the major factors influencing this change is the high rate of increase in the demand of EV batteries. The demand of EV-battery in 2024 that is discussed by the </w:t>
      </w:r>
      <w:r>
        <w:rPr>
          <w:rFonts w:ascii="Times New Roman" w:eastAsia="Times New Roman" w:hAnsi="Times New Roman" w:cs="Times New Roman"/>
          <w:b/>
          <w:i/>
          <w:sz w:val="24"/>
          <w:szCs w:val="24"/>
        </w:rPr>
        <w:t>“International Energy Agency”</w:t>
      </w:r>
      <w:r>
        <w:rPr>
          <w:rFonts w:ascii="Times New Roman" w:eastAsia="Times New Roman" w:hAnsi="Times New Roman" w:cs="Times New Roman"/>
          <w:sz w:val="24"/>
          <w:szCs w:val="24"/>
        </w:rPr>
        <w:t xml:space="preserve"> </w:t>
      </w:r>
      <w:r>
        <w:rPr>
          <w:rFonts w:ascii="Times New Roman" w:eastAsia="Times New Roman" w:hAnsi="Times New Roman" w:cs="Times New Roman"/>
          <w:b/>
          <w:i/>
          <w:sz w:val="24"/>
          <w:szCs w:val="24"/>
        </w:rPr>
        <w:t>(IEA)</w:t>
      </w:r>
      <w:r>
        <w:rPr>
          <w:rFonts w:ascii="Times New Roman" w:eastAsia="Times New Roman" w:hAnsi="Times New Roman" w:cs="Times New Roman"/>
          <w:sz w:val="24"/>
          <w:szCs w:val="24"/>
        </w:rPr>
        <w:t xml:space="preserve"> is more than 950 </w:t>
      </w:r>
      <w:proofErr w:type="spellStart"/>
      <w:r>
        <w:rPr>
          <w:rFonts w:ascii="Times New Roman" w:eastAsia="Times New Roman" w:hAnsi="Times New Roman" w:cs="Times New Roman"/>
          <w:sz w:val="24"/>
          <w:szCs w:val="24"/>
        </w:rPr>
        <w:t>GWh</w:t>
      </w:r>
      <w:proofErr w:type="spellEnd"/>
      <w:r>
        <w:rPr>
          <w:rFonts w:ascii="Times New Roman" w:eastAsia="Times New Roman" w:hAnsi="Times New Roman" w:cs="Times New Roman"/>
          <w:sz w:val="24"/>
          <w:szCs w:val="24"/>
        </w:rPr>
        <w:t>, which is around 25 p</w:t>
      </w:r>
      <w:r>
        <w:rPr>
          <w:rFonts w:ascii="Times New Roman" w:eastAsia="Times New Roman" w:hAnsi="Times New Roman" w:cs="Times New Roman"/>
          <w:sz w:val="24"/>
          <w:szCs w:val="24"/>
        </w:rPr>
        <w:t>ercent compared to 2023 (IEA, 2025a). This wave indicates the role of central battery technology in the development of the industry.</w:t>
      </w:r>
    </w:p>
    <w:p w14:paraId="7F99BB24" w14:textId="77777777" w:rsidR="00BA46DF" w:rsidRDefault="003A0BD6">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114300" distB="114300" distL="114300" distR="114300" wp14:anchorId="17874BBA" wp14:editId="3C70E5AE">
            <wp:extent cx="4934054" cy="2938463"/>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934054" cy="2938463"/>
                    </a:xfrm>
                    <a:prstGeom prst="rect">
                      <a:avLst/>
                    </a:prstGeom>
                    <a:ln w="25400">
                      <a:solidFill>
                        <a:srgbClr val="000000"/>
                      </a:solidFill>
                      <a:prstDash val="solid"/>
                    </a:ln>
                  </pic:spPr>
                </pic:pic>
              </a:graphicData>
            </a:graphic>
          </wp:inline>
        </w:drawing>
      </w:r>
    </w:p>
    <w:p w14:paraId="47AD4FC9" w14:textId="77777777" w:rsidR="00BA46DF" w:rsidRDefault="003A0BD6">
      <w:pPr>
        <w:spacing w:before="200"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Demand of EV Battery in 2024</w:t>
      </w:r>
    </w:p>
    <w:p w14:paraId="5EDAA7A9" w14:textId="77777777" w:rsidR="00BA46DF" w:rsidRDefault="003A0BD6">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IEA, 2025a)</w:t>
      </w:r>
    </w:p>
    <w:p w14:paraId="055EEFD7" w14:textId="77777777" w:rsidR="00BA46DF" w:rsidRDefault="003A0BD6">
      <w:p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 for Pioneers</w:t>
      </w:r>
    </w:p>
    <w:p w14:paraId="2623BEBC" w14:textId="77777777" w:rsidR="00BA46DF" w:rsidRDefault="003A0BD6">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case of a pioneer company, </w:t>
      </w:r>
      <w:r>
        <w:rPr>
          <w:rFonts w:ascii="Times New Roman" w:eastAsia="Times New Roman" w:hAnsi="Times New Roman" w:cs="Times New Roman"/>
          <w:sz w:val="24"/>
          <w:szCs w:val="24"/>
        </w:rPr>
        <w:t xml:space="preserve">innovative battery chemistries, higher energy densities and quicker charging can provide a chance to differentiate and gain a competitive advantage. As a case in point, new battery technology of </w:t>
      </w:r>
      <w:r>
        <w:rPr>
          <w:rFonts w:ascii="Times New Roman" w:eastAsia="Times New Roman" w:hAnsi="Times New Roman" w:cs="Times New Roman"/>
          <w:b/>
          <w:i/>
          <w:sz w:val="24"/>
          <w:szCs w:val="24"/>
        </w:rPr>
        <w:t>“lithium-iron-phosphate” (LFP)</w:t>
      </w:r>
      <w:r>
        <w:rPr>
          <w:rFonts w:ascii="Times New Roman" w:eastAsia="Times New Roman" w:hAnsi="Times New Roman" w:cs="Times New Roman"/>
          <w:sz w:val="24"/>
          <w:szCs w:val="24"/>
        </w:rPr>
        <w:t xml:space="preserve"> has been adopted at a fast rat</w:t>
      </w:r>
      <w:r>
        <w:rPr>
          <w:rFonts w:ascii="Times New Roman" w:eastAsia="Times New Roman" w:hAnsi="Times New Roman" w:cs="Times New Roman"/>
          <w:sz w:val="24"/>
          <w:szCs w:val="24"/>
        </w:rPr>
        <w:t>e to be cheaper and safer as opposed to conventional NMC chemistries. According to IEA (2025), LFP batteries had over 10 percent of EV sales in the EU in 2024 and over 50 percent battery sales of EVs in Southeast Asia and Brazil. This gives a chance to pio</w:t>
      </w:r>
      <w:r>
        <w:rPr>
          <w:rFonts w:ascii="Times New Roman" w:eastAsia="Times New Roman" w:hAnsi="Times New Roman" w:cs="Times New Roman"/>
          <w:sz w:val="24"/>
          <w:szCs w:val="24"/>
        </w:rPr>
        <w:t xml:space="preserve">neer firms, which are </w:t>
      </w:r>
      <w:r>
        <w:rPr>
          <w:rFonts w:ascii="Times New Roman" w:eastAsia="Times New Roman" w:hAnsi="Times New Roman" w:cs="Times New Roman"/>
          <w:sz w:val="24"/>
          <w:szCs w:val="24"/>
        </w:rPr>
        <w:lastRenderedPageBreak/>
        <w:t>heavily invested in R&amp;D and the production of batteries to dominate the market, establish standards and draw in cost advantages.</w:t>
      </w:r>
    </w:p>
    <w:p w14:paraId="4458EB8B" w14:textId="77777777" w:rsidR="00BA46DF" w:rsidRDefault="003A0BD6">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114300" distB="114300" distL="114300" distR="114300" wp14:anchorId="52280626" wp14:editId="6480B3A6">
            <wp:extent cx="4997026" cy="2195513"/>
            <wp:effectExtent l="25400" t="25400" r="25400" b="2540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4997026" cy="2195513"/>
                    </a:xfrm>
                    <a:prstGeom prst="rect">
                      <a:avLst/>
                    </a:prstGeom>
                    <a:ln w="25400">
                      <a:solidFill>
                        <a:srgbClr val="000000"/>
                      </a:solidFill>
                      <a:prstDash val="solid"/>
                    </a:ln>
                  </pic:spPr>
                </pic:pic>
              </a:graphicData>
            </a:graphic>
          </wp:inline>
        </w:drawing>
      </w:r>
    </w:p>
    <w:p w14:paraId="225104A5" w14:textId="77777777" w:rsidR="00BA46DF" w:rsidRDefault="003A0BD6">
      <w:pPr>
        <w:spacing w:before="200"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Sales of Electric Vehicle Batteries in Different Regions</w:t>
      </w:r>
    </w:p>
    <w:p w14:paraId="192BFCEB" w14:textId="77777777" w:rsidR="00BA46DF" w:rsidRDefault="003A0BD6">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IEA, 2025a)</w:t>
      </w:r>
    </w:p>
    <w:p w14:paraId="47928815" w14:textId="77777777" w:rsidR="00BA46DF" w:rsidRDefault="003A0BD6">
      <w:p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Threats for </w:t>
      </w:r>
      <w:r>
        <w:rPr>
          <w:rFonts w:ascii="Times New Roman" w:eastAsia="Times New Roman" w:hAnsi="Times New Roman" w:cs="Times New Roman"/>
          <w:b/>
          <w:sz w:val="24"/>
          <w:szCs w:val="24"/>
        </w:rPr>
        <w:t>Pioneers</w:t>
      </w:r>
    </w:p>
    <w:p w14:paraId="5B7B56C2" w14:textId="77777777" w:rsidR="00BA46DF" w:rsidRDefault="003A0BD6">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Meanwhile, this high-speed development of technologies is threatened by high costs of R&amp;D and capital, the risk of obsolescence of technologies, and restrictions in the supply chain (</w:t>
      </w:r>
      <w:proofErr w:type="spellStart"/>
      <w:r>
        <w:rPr>
          <w:rFonts w:ascii="Times New Roman" w:eastAsia="Times New Roman" w:hAnsi="Times New Roman" w:cs="Times New Roman"/>
          <w:sz w:val="24"/>
          <w:szCs w:val="24"/>
        </w:rPr>
        <w:t>Jagani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 In particular, the move from NMC to LFP in </w:t>
      </w:r>
      <w:r>
        <w:rPr>
          <w:rFonts w:ascii="Times New Roman" w:eastAsia="Times New Roman" w:hAnsi="Times New Roman" w:cs="Times New Roman"/>
          <w:sz w:val="24"/>
          <w:szCs w:val="24"/>
        </w:rPr>
        <w:t>EVs of the enterprise status meant that the pack structure, cell form factor, and the thermal treatment had to be re-engineered (</w:t>
      </w:r>
      <w:proofErr w:type="spellStart"/>
      <w:r>
        <w:rPr>
          <w:rFonts w:ascii="Times New Roman" w:eastAsia="Times New Roman" w:hAnsi="Times New Roman" w:cs="Times New Roman"/>
          <w:sz w:val="24"/>
          <w:szCs w:val="24"/>
        </w:rPr>
        <w:t>Möller</w:t>
      </w:r>
      <w:proofErr w:type="spellEnd"/>
      <w:r>
        <w:rPr>
          <w:rFonts w:ascii="Times New Roman" w:eastAsia="Times New Roman" w:hAnsi="Times New Roman" w:cs="Times New Roman"/>
          <w:sz w:val="24"/>
          <w:szCs w:val="24"/>
        </w:rPr>
        <w:t>, 2024). Failure by an innovative company to predict or manage such an innovation supply chain means that its first-mover</w:t>
      </w:r>
      <w:r>
        <w:rPr>
          <w:rFonts w:ascii="Times New Roman" w:eastAsia="Times New Roman" w:hAnsi="Times New Roman" w:cs="Times New Roman"/>
          <w:sz w:val="24"/>
          <w:szCs w:val="24"/>
        </w:rPr>
        <w:t xml:space="preserve"> advantage might be lost.</w:t>
      </w:r>
    </w:p>
    <w:p w14:paraId="25BC351B" w14:textId="77777777" w:rsidR="00BA46DF" w:rsidRDefault="003A0BD6">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Opportunities for Followers</w:t>
      </w:r>
    </w:p>
    <w:p w14:paraId="404E247A" w14:textId="77777777" w:rsidR="00BA46DF" w:rsidRDefault="003A0BD6">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case of follower firms, there is the chance of fast-follower adaptation of the technology wave (</w:t>
      </w:r>
      <w:proofErr w:type="spellStart"/>
      <w:r>
        <w:rPr>
          <w:rFonts w:ascii="Times New Roman" w:eastAsia="Times New Roman" w:hAnsi="Times New Roman" w:cs="Times New Roman"/>
          <w:sz w:val="24"/>
          <w:szCs w:val="24"/>
        </w:rPr>
        <w:t>Bohnsack</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They can also </w:t>
      </w:r>
      <w:proofErr w:type="spellStart"/>
      <w:r>
        <w:rPr>
          <w:rFonts w:ascii="Times New Roman" w:eastAsia="Times New Roman" w:hAnsi="Times New Roman" w:cs="Times New Roman"/>
          <w:sz w:val="24"/>
          <w:szCs w:val="24"/>
        </w:rPr>
        <w:t>capitalise</w:t>
      </w:r>
      <w:proofErr w:type="spellEnd"/>
      <w:r>
        <w:rPr>
          <w:rFonts w:ascii="Times New Roman" w:eastAsia="Times New Roman" w:hAnsi="Times New Roman" w:cs="Times New Roman"/>
          <w:sz w:val="24"/>
          <w:szCs w:val="24"/>
        </w:rPr>
        <w:t xml:space="preserve"> on the reduced costs of increasing technologies thr</w:t>
      </w:r>
      <w:r>
        <w:rPr>
          <w:rFonts w:ascii="Times New Roman" w:eastAsia="Times New Roman" w:hAnsi="Times New Roman" w:cs="Times New Roman"/>
          <w:sz w:val="24"/>
          <w:szCs w:val="24"/>
        </w:rPr>
        <w:t>ough emerging platforms, licensing, or even joint ventures, and in this case, they do not need to incur all the initial expenses of innovation. An example is the IEA has observed that global battery-making capacity was approximately 30 percent higher in 20</w:t>
      </w:r>
      <w:r>
        <w:rPr>
          <w:rFonts w:ascii="Times New Roman" w:eastAsia="Times New Roman" w:hAnsi="Times New Roman" w:cs="Times New Roman"/>
          <w:sz w:val="24"/>
          <w:szCs w:val="24"/>
        </w:rPr>
        <w:t xml:space="preserve">24 to above 3 </w:t>
      </w:r>
      <w:proofErr w:type="spellStart"/>
      <w:r>
        <w:rPr>
          <w:rFonts w:ascii="Times New Roman" w:eastAsia="Times New Roman" w:hAnsi="Times New Roman" w:cs="Times New Roman"/>
          <w:sz w:val="24"/>
          <w:szCs w:val="24"/>
        </w:rPr>
        <w:t>TWh</w:t>
      </w:r>
      <w:proofErr w:type="spellEnd"/>
      <w:r>
        <w:rPr>
          <w:rFonts w:ascii="Times New Roman" w:eastAsia="Times New Roman" w:hAnsi="Times New Roman" w:cs="Times New Roman"/>
          <w:sz w:val="24"/>
          <w:szCs w:val="24"/>
        </w:rPr>
        <w:t>, with China supplying nearly 85 percent of this capacity (IEA, 2025a). This scale-up assists in the compacting of cost curves to enable the access of competitive technology by the ability to enter later.</w:t>
      </w:r>
    </w:p>
    <w:p w14:paraId="10DA23BB" w14:textId="77777777" w:rsidR="00BA46DF" w:rsidRDefault="003A0BD6">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Threats for Followers</w:t>
      </w:r>
    </w:p>
    <w:p w14:paraId="1B997462" w14:textId="77777777" w:rsidR="00BA46DF" w:rsidRDefault="003A0BD6">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However, fol</w:t>
      </w:r>
      <w:r>
        <w:rPr>
          <w:rFonts w:ascii="Times New Roman" w:eastAsia="Times New Roman" w:hAnsi="Times New Roman" w:cs="Times New Roman"/>
          <w:sz w:val="24"/>
          <w:szCs w:val="24"/>
        </w:rPr>
        <w:t xml:space="preserve">lower firms are also threatened. They can be underperforming in terms of proprietary technology, may be vulnerable in case of control over major chemistries or patents by dominant players or reduced margins in case of </w:t>
      </w:r>
      <w:proofErr w:type="spellStart"/>
      <w:r>
        <w:rPr>
          <w:rFonts w:ascii="Times New Roman" w:eastAsia="Times New Roman" w:hAnsi="Times New Roman" w:cs="Times New Roman"/>
          <w:sz w:val="24"/>
          <w:szCs w:val="24"/>
        </w:rPr>
        <w:t>commoditisation</w:t>
      </w:r>
      <w:proofErr w:type="spellEnd"/>
      <w:r>
        <w:rPr>
          <w:rFonts w:ascii="Times New Roman" w:eastAsia="Times New Roman" w:hAnsi="Times New Roman" w:cs="Times New Roman"/>
          <w:sz w:val="24"/>
          <w:szCs w:val="24"/>
        </w:rPr>
        <w:t xml:space="preserve"> of technology. In addi</w:t>
      </w:r>
      <w:r>
        <w:rPr>
          <w:rFonts w:ascii="Times New Roman" w:eastAsia="Times New Roman" w:hAnsi="Times New Roman" w:cs="Times New Roman"/>
          <w:sz w:val="24"/>
          <w:szCs w:val="24"/>
        </w:rPr>
        <w:t>tion, Chinese fabricators control a significant share of the LFP battery market to sell it to the US and EU (IEA, 2025a). Hence, there is a risk of being in a strategically weak position among follower automakers in these locations.</w:t>
      </w:r>
    </w:p>
    <w:p w14:paraId="691296F6" w14:textId="77777777" w:rsidR="00BA46DF" w:rsidRDefault="003A0BD6">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addition to batterie</w:t>
      </w:r>
      <w:r>
        <w:rPr>
          <w:rFonts w:ascii="Times New Roman" w:eastAsia="Times New Roman" w:hAnsi="Times New Roman" w:cs="Times New Roman"/>
          <w:sz w:val="24"/>
          <w:szCs w:val="24"/>
        </w:rPr>
        <w:t>s, other technological aspects like autonomous driving software, a connected car architecture and rapid charge infrastructure also create dynamic opportunities and threats (</w:t>
      </w:r>
      <w:proofErr w:type="spellStart"/>
      <w:r>
        <w:rPr>
          <w:rFonts w:ascii="Times New Roman" w:eastAsia="Times New Roman" w:hAnsi="Times New Roman" w:cs="Times New Roman"/>
          <w:sz w:val="24"/>
          <w:szCs w:val="24"/>
        </w:rPr>
        <w:t>Abro</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First-movers are able to create leadership in the ecosystem and </w:t>
      </w:r>
      <w:r>
        <w:rPr>
          <w:rFonts w:ascii="Times New Roman" w:eastAsia="Times New Roman" w:hAnsi="Times New Roman" w:cs="Times New Roman"/>
          <w:sz w:val="24"/>
          <w:szCs w:val="24"/>
        </w:rPr>
        <w:t>followers have a choice to either invest a lot or ride on the already made platforms.</w:t>
      </w:r>
    </w:p>
    <w:p w14:paraId="09364086" w14:textId="77777777" w:rsidR="00BA46DF" w:rsidRDefault="003A0BD6">
      <w:pPr>
        <w:spacing w:before="200" w:after="200" w:line="36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2.2 Legal and Regulatory Factors</w:t>
      </w:r>
    </w:p>
    <w:p w14:paraId="01561067" w14:textId="77777777" w:rsidR="00BA46DF" w:rsidRDefault="003A0BD6">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Regulation and law in the world electric-vehicle (EV) market have become important sources of opportunity and threat to the manufacturers</w:t>
      </w:r>
      <w:r>
        <w:rPr>
          <w:rFonts w:ascii="Times New Roman" w:eastAsia="Times New Roman" w:hAnsi="Times New Roman" w:cs="Times New Roman"/>
          <w:sz w:val="24"/>
          <w:szCs w:val="24"/>
        </w:rPr>
        <w:t>. In addition, there is robust policy enforcement via emissions standards, zero-emission vehicles (ZEVs), and incentives, the basis of predicting an increasing sales percentage of electric light-duty vehicles (LDVs). According to IEA (2024), this share wil</w:t>
      </w:r>
      <w:r>
        <w:rPr>
          <w:rFonts w:ascii="Times New Roman" w:eastAsia="Times New Roman" w:hAnsi="Times New Roman" w:cs="Times New Roman"/>
          <w:sz w:val="24"/>
          <w:szCs w:val="24"/>
        </w:rPr>
        <w:t>l increase to around 40 percent in 2030 despite stated-policy situations suggesting a rise of 18 percent in 2023.</w:t>
      </w:r>
    </w:p>
    <w:p w14:paraId="5DBFE9FA" w14:textId="77777777" w:rsidR="00BA46DF" w:rsidRDefault="003A0BD6">
      <w:p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 for Pioneers</w:t>
      </w:r>
    </w:p>
    <w:p w14:paraId="267FFC42" w14:textId="77777777" w:rsidR="00BA46DF" w:rsidRDefault="003A0BD6">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Leading companies are also placed well to take advantage of regulation requirements as market capture advantages. </w:t>
      </w:r>
      <w:r>
        <w:rPr>
          <w:rFonts w:ascii="Times New Roman" w:eastAsia="Times New Roman" w:hAnsi="Times New Roman" w:cs="Times New Roman"/>
          <w:sz w:val="24"/>
          <w:szCs w:val="24"/>
        </w:rPr>
        <w:t>For evidence, the EU Fit for 55 Regulation proposes the target of 100 percent of CO</w:t>
      </w:r>
      <w:r>
        <w:rPr>
          <w:rFonts w:ascii="Times New Roman" w:eastAsia="Times New Roman" w:hAnsi="Times New Roman" w:cs="Times New Roman"/>
          <w:sz w:val="24"/>
          <w:szCs w:val="24"/>
          <w:vertAlign w:val="subscript"/>
        </w:rPr>
        <w:t>2</w:t>
      </w:r>
      <w:r>
        <w:rPr>
          <w:rFonts w:ascii="Times New Roman" w:eastAsia="Times New Roman" w:hAnsi="Times New Roman" w:cs="Times New Roman"/>
          <w:sz w:val="24"/>
          <w:szCs w:val="24"/>
        </w:rPr>
        <w:t xml:space="preserve"> reduction of new automobiles and vans by the year 2035 (European Parliament, 2023). It also has intermediate goals of 55% car and 50% van reductions compared to the situat</w:t>
      </w:r>
      <w:r>
        <w:rPr>
          <w:rFonts w:ascii="Times New Roman" w:eastAsia="Times New Roman" w:hAnsi="Times New Roman" w:cs="Times New Roman"/>
          <w:sz w:val="24"/>
          <w:szCs w:val="24"/>
        </w:rPr>
        <w:t xml:space="preserve">ion in 2021. In this control, the first mover companies that have already produced BEVs or </w:t>
      </w:r>
      <w:proofErr w:type="spellStart"/>
      <w:r>
        <w:rPr>
          <w:rFonts w:ascii="Times New Roman" w:eastAsia="Times New Roman" w:hAnsi="Times New Roman" w:cs="Times New Roman"/>
          <w:sz w:val="24"/>
          <w:szCs w:val="24"/>
        </w:rPr>
        <w:t>capitalised</w:t>
      </w:r>
      <w:proofErr w:type="spellEnd"/>
      <w:r>
        <w:rPr>
          <w:rFonts w:ascii="Times New Roman" w:eastAsia="Times New Roman" w:hAnsi="Times New Roman" w:cs="Times New Roman"/>
          <w:sz w:val="24"/>
          <w:szCs w:val="24"/>
        </w:rPr>
        <w:t xml:space="preserve"> on plug-in hybrids are likely to have policy-related demand, subsidies and a good image. On the US state level, the increasing shares of ZEV sales mandat</w:t>
      </w:r>
      <w:r>
        <w:rPr>
          <w:rFonts w:ascii="Times New Roman" w:eastAsia="Times New Roman" w:hAnsi="Times New Roman" w:cs="Times New Roman"/>
          <w:sz w:val="24"/>
          <w:szCs w:val="24"/>
        </w:rPr>
        <w:t xml:space="preserve">ed by the regulations like the “ACC II” regulation, also a promoter of a </w:t>
      </w:r>
      <w:proofErr w:type="spellStart"/>
      <w:r>
        <w:rPr>
          <w:rFonts w:ascii="Times New Roman" w:eastAsia="Times New Roman" w:hAnsi="Times New Roman" w:cs="Times New Roman"/>
          <w:sz w:val="24"/>
          <w:szCs w:val="24"/>
        </w:rPr>
        <w:t>favourable</w:t>
      </w:r>
      <w:proofErr w:type="spellEnd"/>
      <w:r>
        <w:rPr>
          <w:rFonts w:ascii="Times New Roman" w:eastAsia="Times New Roman" w:hAnsi="Times New Roman" w:cs="Times New Roman"/>
          <w:sz w:val="24"/>
          <w:szCs w:val="24"/>
        </w:rPr>
        <w:t xml:space="preserve"> regulatory tailwind (IEA, 2025b). By matching strategies of </w:t>
      </w:r>
      <w:r>
        <w:rPr>
          <w:rFonts w:ascii="Times New Roman" w:eastAsia="Times New Roman" w:hAnsi="Times New Roman" w:cs="Times New Roman"/>
          <w:sz w:val="24"/>
          <w:szCs w:val="24"/>
        </w:rPr>
        <w:lastRenderedPageBreak/>
        <w:t>products with these regulations, pioneers can gain government incentives, tax credits and an edge in the market,</w:t>
      </w:r>
      <w:r>
        <w:rPr>
          <w:rFonts w:ascii="Times New Roman" w:eastAsia="Times New Roman" w:hAnsi="Times New Roman" w:cs="Times New Roman"/>
          <w:sz w:val="24"/>
          <w:szCs w:val="24"/>
        </w:rPr>
        <w:t xml:space="preserve"> making compliance effectively a competitive edge.</w:t>
      </w:r>
    </w:p>
    <w:p w14:paraId="16FD2627" w14:textId="77777777" w:rsidR="00BA46DF" w:rsidRDefault="003A0BD6">
      <w:p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Threats for Pioneers</w:t>
      </w:r>
    </w:p>
    <w:p w14:paraId="08AD6629" w14:textId="77777777" w:rsidR="00BA46DF" w:rsidRDefault="003A0BD6">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 the other hand, complicated regulations and altered standards are also costly and hazardous. Compliance is an expensive undertaking. The review clause of Fit for 55 in the EU to eva</w:t>
      </w:r>
      <w:r>
        <w:rPr>
          <w:rFonts w:ascii="Times New Roman" w:eastAsia="Times New Roman" w:hAnsi="Times New Roman" w:cs="Times New Roman"/>
          <w:sz w:val="24"/>
          <w:szCs w:val="24"/>
        </w:rPr>
        <w:t>luate the results and possible revision in 2026, puts manufacturers, who scale production prematurely at a regulatory risk (</w:t>
      </w:r>
      <w:proofErr w:type="spellStart"/>
      <w:r>
        <w:rPr>
          <w:rFonts w:ascii="Times New Roman" w:eastAsia="Times New Roman" w:hAnsi="Times New Roman" w:cs="Times New Roman"/>
          <w:sz w:val="24"/>
          <w:szCs w:val="24"/>
        </w:rPr>
        <w:t>Consilium</w:t>
      </w:r>
      <w:proofErr w:type="spellEnd"/>
      <w:r>
        <w:rPr>
          <w:rFonts w:ascii="Times New Roman" w:eastAsia="Times New Roman" w:hAnsi="Times New Roman" w:cs="Times New Roman"/>
          <w:sz w:val="24"/>
          <w:szCs w:val="24"/>
        </w:rPr>
        <w:t>, 2023). Additionally, regulation can either increase topography in some markets or punitive non-conformity, which will cut</w:t>
      </w:r>
      <w:r>
        <w:rPr>
          <w:rFonts w:ascii="Times New Roman" w:eastAsia="Times New Roman" w:hAnsi="Times New Roman" w:cs="Times New Roman"/>
          <w:sz w:val="24"/>
          <w:szCs w:val="24"/>
        </w:rPr>
        <w:t xml:space="preserve"> margins and interfere with first-mover benefits.</w:t>
      </w:r>
    </w:p>
    <w:p w14:paraId="7F34EB03" w14:textId="77777777" w:rsidR="00BA46DF" w:rsidRDefault="003A0BD6">
      <w:p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 for Followers</w:t>
      </w:r>
    </w:p>
    <w:p w14:paraId="2C28D42B" w14:textId="77777777" w:rsidR="00BA46DF" w:rsidRDefault="003A0BD6">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a follower firm, regulatory requirements offer an easier market pull and reasonably dilute the risk of a gamble on technology. With clarity in regulation, followers get to enj</w:t>
      </w:r>
      <w:r>
        <w:rPr>
          <w:rFonts w:ascii="Times New Roman" w:eastAsia="Times New Roman" w:hAnsi="Times New Roman" w:cs="Times New Roman"/>
          <w:sz w:val="24"/>
          <w:szCs w:val="24"/>
        </w:rPr>
        <w:t>oy developed compliance channels, subsidies, and developed rollout of charging infrastructure. As IEA (2025b) noted, policy assistance has contributed to improving the direction of EV sales worldwide and therefore enabling adherents to follow established B</w:t>
      </w:r>
      <w:r>
        <w:rPr>
          <w:rFonts w:ascii="Times New Roman" w:eastAsia="Times New Roman" w:hAnsi="Times New Roman" w:cs="Times New Roman"/>
          <w:sz w:val="24"/>
          <w:szCs w:val="24"/>
        </w:rPr>
        <w:t>EV platforms and regulation measures instead of developing innovative groundbreakers.</w:t>
      </w:r>
    </w:p>
    <w:p w14:paraId="356035B0" w14:textId="77777777" w:rsidR="00BA46DF" w:rsidRDefault="003A0BD6">
      <w:p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Threats for Followers</w:t>
      </w:r>
    </w:p>
    <w:p w14:paraId="46F86007" w14:textId="77777777" w:rsidR="00BA46DF" w:rsidRDefault="003A0BD6">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there are immense threats to followers. They stand a chance of being squeezed in case other innovative companies win first place in </w:t>
      </w:r>
      <w:r>
        <w:rPr>
          <w:rFonts w:ascii="Times New Roman" w:eastAsia="Times New Roman" w:hAnsi="Times New Roman" w:cs="Times New Roman"/>
          <w:sz w:val="24"/>
          <w:szCs w:val="24"/>
        </w:rPr>
        <w:t xml:space="preserve">regulatory perks and acquire markets prior to them. Also, the regulatory regimes may </w:t>
      </w:r>
      <w:proofErr w:type="spellStart"/>
      <w:r>
        <w:rPr>
          <w:rFonts w:ascii="Times New Roman" w:eastAsia="Times New Roman" w:hAnsi="Times New Roman" w:cs="Times New Roman"/>
          <w:sz w:val="24"/>
          <w:szCs w:val="24"/>
        </w:rPr>
        <w:t>favour</w:t>
      </w:r>
      <w:proofErr w:type="spellEnd"/>
      <w:r>
        <w:rPr>
          <w:rFonts w:ascii="Times New Roman" w:eastAsia="Times New Roman" w:hAnsi="Times New Roman" w:cs="Times New Roman"/>
          <w:sz w:val="24"/>
          <w:szCs w:val="24"/>
        </w:rPr>
        <w:t xml:space="preserve"> firms that have already met the standards, thereby providing a disadvantage to the non-pioneers. In one example, Blenkinsop (2025) stated that China’s dominance in </w:t>
      </w:r>
      <w:r>
        <w:rPr>
          <w:rFonts w:ascii="Times New Roman" w:eastAsia="Times New Roman" w:hAnsi="Times New Roman" w:cs="Times New Roman"/>
          <w:sz w:val="24"/>
          <w:szCs w:val="24"/>
        </w:rPr>
        <w:t xml:space="preserve">the export of BEVs to Europe is enhanced by regulatory trade policies by the European Union, a phenomenon that may be to the </w:t>
      </w:r>
      <w:proofErr w:type="spellStart"/>
      <w:r>
        <w:rPr>
          <w:rFonts w:ascii="Times New Roman" w:eastAsia="Times New Roman" w:hAnsi="Times New Roman" w:cs="Times New Roman"/>
          <w:sz w:val="24"/>
          <w:szCs w:val="24"/>
        </w:rPr>
        <w:t>disfavour</w:t>
      </w:r>
      <w:proofErr w:type="spellEnd"/>
      <w:r>
        <w:rPr>
          <w:rFonts w:ascii="Times New Roman" w:eastAsia="Times New Roman" w:hAnsi="Times New Roman" w:cs="Times New Roman"/>
          <w:sz w:val="24"/>
          <w:szCs w:val="24"/>
        </w:rPr>
        <w:t xml:space="preserve"> of Western follower companies.</w:t>
      </w:r>
    </w:p>
    <w:p w14:paraId="4188C422" w14:textId="77777777" w:rsidR="00BA46DF" w:rsidRDefault="003A0BD6">
      <w:pPr>
        <w:pStyle w:val="Heading1"/>
      </w:pPr>
      <w:bookmarkStart w:id="3" w:name="_7x95bs33qwob" w:colFirst="0" w:colLast="0"/>
      <w:bookmarkEnd w:id="3"/>
      <w:r>
        <w:t>3. Task 2: Strategic Responses by Pioneers and Followers</w:t>
      </w:r>
    </w:p>
    <w:p w14:paraId="36D93327" w14:textId="77777777" w:rsidR="00BA46DF" w:rsidRDefault="003A0BD6">
      <w:pPr>
        <w:spacing w:before="200" w:after="200" w:line="36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3.1 Pioneer Response</w:t>
      </w:r>
    </w:p>
    <w:p w14:paraId="458C4119" w14:textId="77777777" w:rsidR="00BA46DF" w:rsidRDefault="003A0BD6">
      <w:p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Pioneer 1: T</w:t>
      </w:r>
      <w:r>
        <w:rPr>
          <w:rFonts w:ascii="Times New Roman" w:eastAsia="Times New Roman" w:hAnsi="Times New Roman" w:cs="Times New Roman"/>
          <w:b/>
          <w:sz w:val="24"/>
          <w:szCs w:val="24"/>
        </w:rPr>
        <w:t>esla</w:t>
      </w:r>
    </w:p>
    <w:p w14:paraId="30AA456F" w14:textId="77777777" w:rsidR="00BA46DF" w:rsidRDefault="003A0BD6">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Tesla has tried to preserve its pioneer position in the EV business by tapping into the most current technology and optimal vertical integration. In 2024, Tesla spent more money </w:t>
      </w:r>
      <w:proofErr w:type="spellStart"/>
      <w:r>
        <w:rPr>
          <w:rFonts w:ascii="Times New Roman" w:eastAsia="Times New Roman" w:hAnsi="Times New Roman" w:cs="Times New Roman"/>
          <w:sz w:val="24"/>
          <w:szCs w:val="24"/>
        </w:rPr>
        <w:t>onR&amp;D</w:t>
      </w:r>
      <w:proofErr w:type="spellEnd"/>
      <w:r>
        <w:rPr>
          <w:rFonts w:ascii="Times New Roman" w:eastAsia="Times New Roman" w:hAnsi="Times New Roman" w:cs="Times New Roman"/>
          <w:sz w:val="24"/>
          <w:szCs w:val="24"/>
        </w:rPr>
        <w:t>, which was equal to about $4.54 billion, a rise compared to $3.97 b</w:t>
      </w:r>
      <w:r>
        <w:rPr>
          <w:rFonts w:ascii="Times New Roman" w:eastAsia="Times New Roman" w:hAnsi="Times New Roman" w:cs="Times New Roman"/>
          <w:sz w:val="24"/>
          <w:szCs w:val="24"/>
        </w:rPr>
        <w:t>illion in 2023 (Macro Trends, 2025). Moreover, the Q4 2024 update of the company states that the company has added over 10,000 new Supercharger stalls to its worldwide network, which is an increase of 19% to an apparent total of over 65,000 stalls. It also</w:t>
      </w:r>
      <w:r>
        <w:rPr>
          <w:rFonts w:ascii="Times New Roman" w:eastAsia="Times New Roman" w:hAnsi="Times New Roman" w:cs="Times New Roman"/>
          <w:sz w:val="24"/>
          <w:szCs w:val="24"/>
        </w:rPr>
        <w:t xml:space="preserve"> unveiled its new V4 cabinet that will have the capacity to provide passenger vehicles with up to 500 kW charging (Tesla, 2024).</w:t>
      </w:r>
    </w:p>
    <w:p w14:paraId="0F3675A4" w14:textId="77777777" w:rsidR="00BA46DF" w:rsidRDefault="003A0BD6">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114300" distB="114300" distL="114300" distR="114300" wp14:anchorId="3878CAF6" wp14:editId="0D0F092D">
            <wp:extent cx="4733925" cy="3440993"/>
            <wp:effectExtent l="25400" t="25400" r="25400" b="2540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4733925" cy="3440993"/>
                    </a:xfrm>
                    <a:prstGeom prst="rect">
                      <a:avLst/>
                    </a:prstGeom>
                    <a:ln w="25400">
                      <a:solidFill>
                        <a:srgbClr val="000000"/>
                      </a:solidFill>
                      <a:prstDash val="solid"/>
                    </a:ln>
                  </pic:spPr>
                </pic:pic>
              </a:graphicData>
            </a:graphic>
          </wp:inline>
        </w:drawing>
      </w:r>
    </w:p>
    <w:p w14:paraId="374BBE8A" w14:textId="77777777" w:rsidR="00BA46DF" w:rsidRDefault="003A0BD6">
      <w:pPr>
        <w:spacing w:before="200"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4: R&amp;D Expenses of Tesla</w:t>
      </w:r>
    </w:p>
    <w:p w14:paraId="6FD9832E" w14:textId="77777777" w:rsidR="00BA46DF" w:rsidRDefault="003A0BD6">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MacroTrends</w:t>
      </w:r>
      <w:proofErr w:type="spellEnd"/>
      <w:r>
        <w:rPr>
          <w:rFonts w:ascii="Times New Roman" w:eastAsia="Times New Roman" w:hAnsi="Times New Roman" w:cs="Times New Roman"/>
          <w:sz w:val="24"/>
          <w:szCs w:val="24"/>
        </w:rPr>
        <w:t>, 2025)</w:t>
      </w:r>
    </w:p>
    <w:p w14:paraId="068A6DC1" w14:textId="77777777" w:rsidR="00BA46DF" w:rsidRDefault="003A0BD6">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Another aspect Tesla is investing heavily in is autonomous-drivin</w:t>
      </w:r>
      <w:r>
        <w:rPr>
          <w:rFonts w:ascii="Times New Roman" w:eastAsia="Times New Roman" w:hAnsi="Times New Roman" w:cs="Times New Roman"/>
          <w:sz w:val="24"/>
          <w:szCs w:val="24"/>
        </w:rPr>
        <w:t xml:space="preserve">g technology, which is powered by an experimental AI training system it has deployed in a large, Tesla-built facility in </w:t>
      </w:r>
      <w:proofErr w:type="spellStart"/>
      <w:r>
        <w:rPr>
          <w:rFonts w:ascii="Times New Roman" w:eastAsia="Times New Roman" w:hAnsi="Times New Roman" w:cs="Times New Roman"/>
          <w:sz w:val="24"/>
          <w:szCs w:val="24"/>
        </w:rPr>
        <w:t>Gigafactory</w:t>
      </w:r>
      <w:proofErr w:type="spellEnd"/>
      <w:r>
        <w:rPr>
          <w:rFonts w:ascii="Times New Roman" w:eastAsia="Times New Roman" w:hAnsi="Times New Roman" w:cs="Times New Roman"/>
          <w:sz w:val="24"/>
          <w:szCs w:val="24"/>
        </w:rPr>
        <w:t xml:space="preserve"> Texas, serving its entire self-driving (FSD) stack. This orientation towards technology has good prospects (</w:t>
      </w:r>
      <w:proofErr w:type="spellStart"/>
      <w:r>
        <w:rPr>
          <w:rFonts w:ascii="Times New Roman" w:eastAsia="Times New Roman" w:hAnsi="Times New Roman" w:cs="Times New Roman"/>
          <w:sz w:val="24"/>
          <w:szCs w:val="24"/>
        </w:rPr>
        <w:t>Tradingkey</w:t>
      </w:r>
      <w:proofErr w:type="spellEnd"/>
      <w:r>
        <w:rPr>
          <w:rFonts w:ascii="Times New Roman" w:eastAsia="Times New Roman" w:hAnsi="Times New Roman" w:cs="Times New Roman"/>
          <w:sz w:val="24"/>
          <w:szCs w:val="24"/>
        </w:rPr>
        <w:t>, 202</w:t>
      </w:r>
      <w:r>
        <w:rPr>
          <w:rFonts w:ascii="Times New Roman" w:eastAsia="Times New Roman" w:hAnsi="Times New Roman" w:cs="Times New Roman"/>
          <w:sz w:val="24"/>
          <w:szCs w:val="24"/>
        </w:rPr>
        <w:t xml:space="preserve">5). The differentiation is facilitated by its proprietary platform, which assists Tesla in powering its first-mover advantage. Through vehicle, energy, and software interdependence, Tesla will have an opportunity to propose a value offering that is unique </w:t>
      </w:r>
      <w:r>
        <w:rPr>
          <w:rFonts w:ascii="Times New Roman" w:eastAsia="Times New Roman" w:hAnsi="Times New Roman" w:cs="Times New Roman"/>
          <w:sz w:val="24"/>
          <w:szCs w:val="24"/>
        </w:rPr>
        <w:t xml:space="preserve">and holistic. These strategies are orientated toward product development and diversification, which </w:t>
      </w:r>
      <w:r>
        <w:rPr>
          <w:rFonts w:ascii="Times New Roman" w:eastAsia="Times New Roman" w:hAnsi="Times New Roman" w:cs="Times New Roman"/>
          <w:sz w:val="24"/>
          <w:szCs w:val="24"/>
        </w:rPr>
        <w:lastRenderedPageBreak/>
        <w:t xml:space="preserve">correlate with the </w:t>
      </w:r>
      <w:proofErr w:type="spellStart"/>
      <w:r>
        <w:rPr>
          <w:rFonts w:ascii="Times New Roman" w:eastAsia="Times New Roman" w:hAnsi="Times New Roman" w:cs="Times New Roman"/>
          <w:sz w:val="24"/>
          <w:szCs w:val="24"/>
        </w:rPr>
        <w:t>Ansoff</w:t>
      </w:r>
      <w:proofErr w:type="spellEnd"/>
      <w:r>
        <w:rPr>
          <w:rFonts w:ascii="Times New Roman" w:eastAsia="Times New Roman" w:hAnsi="Times New Roman" w:cs="Times New Roman"/>
          <w:sz w:val="24"/>
          <w:szCs w:val="24"/>
        </w:rPr>
        <w:t xml:space="preserve"> Matrix, and increase the new technologies and ecosystems focused on other than the usual EV products (</w:t>
      </w:r>
      <w:proofErr w:type="spellStart"/>
      <w:r>
        <w:rPr>
          <w:rFonts w:ascii="Times New Roman" w:eastAsia="Times New Roman" w:hAnsi="Times New Roman" w:cs="Times New Roman"/>
          <w:sz w:val="24"/>
          <w:szCs w:val="24"/>
        </w:rPr>
        <w:t>Khajezadeh</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w:t>
      </w:r>
    </w:p>
    <w:p w14:paraId="07A14A47" w14:textId="77777777" w:rsidR="00BA46DF" w:rsidRDefault="003A0BD6">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114300" distB="114300" distL="114300" distR="114300" wp14:anchorId="14DFB39B" wp14:editId="64F9F3E2">
            <wp:extent cx="5010210" cy="2914377"/>
            <wp:effectExtent l="25400" t="25400" r="25400" b="2540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010210" cy="2914377"/>
                    </a:xfrm>
                    <a:prstGeom prst="rect">
                      <a:avLst/>
                    </a:prstGeom>
                    <a:ln w="25400">
                      <a:solidFill>
                        <a:srgbClr val="000000"/>
                      </a:solidFill>
                      <a:prstDash val="solid"/>
                    </a:ln>
                  </pic:spPr>
                </pic:pic>
              </a:graphicData>
            </a:graphic>
          </wp:inline>
        </w:drawing>
      </w:r>
    </w:p>
    <w:p w14:paraId="51AB2C01" w14:textId="77777777" w:rsidR="00BA46DF" w:rsidRDefault="003A0BD6">
      <w:pPr>
        <w:spacing w:before="200"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w:t>
      </w:r>
      <w:r>
        <w:rPr>
          <w:rFonts w:ascii="Times New Roman" w:eastAsia="Times New Roman" w:hAnsi="Times New Roman" w:cs="Times New Roman"/>
          <w:b/>
          <w:sz w:val="24"/>
          <w:szCs w:val="24"/>
        </w:rPr>
        <w:t xml:space="preserve">igure 5: </w:t>
      </w:r>
      <w:proofErr w:type="spellStart"/>
      <w:r>
        <w:rPr>
          <w:rFonts w:ascii="Times New Roman" w:eastAsia="Times New Roman" w:hAnsi="Times New Roman" w:cs="Times New Roman"/>
          <w:b/>
          <w:sz w:val="24"/>
          <w:szCs w:val="24"/>
        </w:rPr>
        <w:t>Ansoff</w:t>
      </w:r>
      <w:proofErr w:type="spellEnd"/>
      <w:r>
        <w:rPr>
          <w:rFonts w:ascii="Times New Roman" w:eastAsia="Times New Roman" w:hAnsi="Times New Roman" w:cs="Times New Roman"/>
          <w:b/>
          <w:sz w:val="24"/>
          <w:szCs w:val="24"/>
        </w:rPr>
        <w:t xml:space="preserve"> Matrix</w:t>
      </w:r>
    </w:p>
    <w:p w14:paraId="2EC414A1" w14:textId="77777777" w:rsidR="00BA46DF" w:rsidRDefault="003A0BD6">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Peterdy</w:t>
      </w:r>
      <w:proofErr w:type="spellEnd"/>
      <w:r>
        <w:rPr>
          <w:rFonts w:ascii="Times New Roman" w:eastAsia="Times New Roman" w:hAnsi="Times New Roman" w:cs="Times New Roman"/>
          <w:sz w:val="24"/>
          <w:szCs w:val="24"/>
        </w:rPr>
        <w:t>, 2025)</w:t>
      </w:r>
    </w:p>
    <w:p w14:paraId="33583E67" w14:textId="77777777" w:rsidR="00BA46DF" w:rsidRDefault="003A0BD6">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However, the threats also appear. The expensive nature of innovation remains a significant issue to the company. In 2024, vehicle deliveries decreased to 1.789 million units, which is a 1% fall in comparison w</w:t>
      </w:r>
      <w:r>
        <w:rPr>
          <w:rFonts w:ascii="Times New Roman" w:eastAsia="Times New Roman" w:hAnsi="Times New Roman" w:cs="Times New Roman"/>
          <w:sz w:val="24"/>
          <w:szCs w:val="24"/>
        </w:rPr>
        <w:t>ith the 2023 data due to fierce competition (</w:t>
      </w:r>
      <w:proofErr w:type="spellStart"/>
      <w:r>
        <w:rPr>
          <w:rFonts w:ascii="Times New Roman" w:eastAsia="Times New Roman" w:hAnsi="Times New Roman" w:cs="Times New Roman"/>
          <w:sz w:val="24"/>
          <w:szCs w:val="24"/>
        </w:rPr>
        <w:t>Kolodny</w:t>
      </w:r>
      <w:proofErr w:type="spellEnd"/>
      <w:r>
        <w:rPr>
          <w:rFonts w:ascii="Times New Roman" w:eastAsia="Times New Roman" w:hAnsi="Times New Roman" w:cs="Times New Roman"/>
          <w:sz w:val="24"/>
          <w:szCs w:val="24"/>
        </w:rPr>
        <w:t>, 2025). In addition, the change in the strategic messages of Tesla, including the ratio of the 20 million vehicle delivery that the company set before 2030, points to the shift in the direction (</w:t>
      </w:r>
      <w:proofErr w:type="spellStart"/>
      <w:r>
        <w:rPr>
          <w:rFonts w:ascii="Times New Roman" w:eastAsia="Times New Roman" w:hAnsi="Times New Roman" w:cs="Times New Roman"/>
          <w:sz w:val="24"/>
          <w:szCs w:val="24"/>
        </w:rPr>
        <w:t>Sriram</w:t>
      </w:r>
      <w:proofErr w:type="spellEnd"/>
      <w:r>
        <w:rPr>
          <w:rFonts w:ascii="Times New Roman" w:eastAsia="Times New Roman" w:hAnsi="Times New Roman" w:cs="Times New Roman"/>
          <w:sz w:val="24"/>
          <w:szCs w:val="24"/>
        </w:rPr>
        <w:t xml:space="preserve"> a</w:t>
      </w:r>
      <w:r>
        <w:rPr>
          <w:rFonts w:ascii="Times New Roman" w:eastAsia="Times New Roman" w:hAnsi="Times New Roman" w:cs="Times New Roman"/>
          <w:sz w:val="24"/>
          <w:szCs w:val="24"/>
        </w:rPr>
        <w:t xml:space="preserve">nd </w:t>
      </w:r>
      <w:proofErr w:type="spellStart"/>
      <w:r>
        <w:rPr>
          <w:rFonts w:ascii="Times New Roman" w:eastAsia="Times New Roman" w:hAnsi="Times New Roman" w:cs="Times New Roman"/>
          <w:sz w:val="24"/>
          <w:szCs w:val="24"/>
        </w:rPr>
        <w:t>Jin</w:t>
      </w:r>
      <w:proofErr w:type="spellEnd"/>
      <w:r>
        <w:rPr>
          <w:rFonts w:ascii="Times New Roman" w:eastAsia="Times New Roman" w:hAnsi="Times New Roman" w:cs="Times New Roman"/>
          <w:sz w:val="24"/>
          <w:szCs w:val="24"/>
        </w:rPr>
        <w:t>, 2024). The change is also a trend towards market expansion, expanding the company to mobility services at large, energy integration, and AI-based transport solutions. The firm now seems to be re-establishing itself as a pure volume pioneer to a gre</w:t>
      </w:r>
      <w:r>
        <w:rPr>
          <w:rFonts w:ascii="Times New Roman" w:eastAsia="Times New Roman" w:hAnsi="Times New Roman" w:cs="Times New Roman"/>
          <w:sz w:val="24"/>
          <w:szCs w:val="24"/>
        </w:rPr>
        <w:t>ater mobility ecosystem player. The reaction of Tesla is classic pioneer, such as innovation, integration, and charging infrastructure, but it is currently facing execution risk and competition.</w:t>
      </w:r>
    </w:p>
    <w:p w14:paraId="5B5ECE0F" w14:textId="77777777" w:rsidR="00BA46DF" w:rsidRDefault="003A0BD6">
      <w:p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Pioneer 2: BYD</w:t>
      </w:r>
    </w:p>
    <w:p w14:paraId="5F13EAB7" w14:textId="77777777" w:rsidR="00BA46DF" w:rsidRDefault="003A0BD6">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BYD has come out as a success as a technologic</w:t>
      </w:r>
      <w:r>
        <w:rPr>
          <w:rFonts w:ascii="Times New Roman" w:eastAsia="Times New Roman" w:hAnsi="Times New Roman" w:cs="Times New Roman"/>
          <w:sz w:val="24"/>
          <w:szCs w:val="24"/>
        </w:rPr>
        <w:t xml:space="preserve">al innovator in the EV business, especially in battery and platform cost-effectiveness. In 2024, BYD recorded revenue of RMB 777.1 billion, an </w:t>
      </w:r>
      <w:r>
        <w:rPr>
          <w:rFonts w:ascii="Times New Roman" w:eastAsia="Times New Roman" w:hAnsi="Times New Roman" w:cs="Times New Roman"/>
          <w:sz w:val="24"/>
          <w:szCs w:val="24"/>
        </w:rPr>
        <w:lastRenderedPageBreak/>
        <w:t xml:space="preserve">increase of 29 </w:t>
      </w:r>
      <w:proofErr w:type="spellStart"/>
      <w:r>
        <w:rPr>
          <w:rFonts w:ascii="Times New Roman" w:eastAsia="Times New Roman" w:hAnsi="Times New Roman" w:cs="Times New Roman"/>
          <w:sz w:val="24"/>
          <w:szCs w:val="24"/>
        </w:rPr>
        <w:t>Yoy</w:t>
      </w:r>
      <w:proofErr w:type="spellEnd"/>
      <w:r>
        <w:rPr>
          <w:rFonts w:ascii="Times New Roman" w:eastAsia="Times New Roman" w:hAnsi="Times New Roman" w:cs="Times New Roman"/>
          <w:sz w:val="24"/>
          <w:szCs w:val="24"/>
        </w:rPr>
        <w:t xml:space="preserve"> and net profit increased 34 percent to RMB 40.25 billion (BYD Europe, 2025). In 2024, the comp</w:t>
      </w:r>
      <w:r>
        <w:rPr>
          <w:rFonts w:ascii="Times New Roman" w:eastAsia="Times New Roman" w:hAnsi="Times New Roman" w:cs="Times New Roman"/>
          <w:sz w:val="24"/>
          <w:szCs w:val="24"/>
        </w:rPr>
        <w:t xml:space="preserve">any spent RMB 54.2 billion on R&amp;D, which is an indication of an investment in being technologically ahead of others (IG Analyst, 2025). BYD has already introduced super technologies behind such features as the </w:t>
      </w:r>
      <w:r>
        <w:rPr>
          <w:rFonts w:ascii="Times New Roman" w:eastAsia="Times New Roman" w:hAnsi="Times New Roman" w:cs="Times New Roman"/>
          <w:b/>
          <w:i/>
          <w:sz w:val="24"/>
          <w:szCs w:val="24"/>
        </w:rPr>
        <w:t>“Super e-Platform”</w:t>
      </w:r>
      <w:r>
        <w:rPr>
          <w:rFonts w:ascii="Times New Roman" w:eastAsia="Times New Roman" w:hAnsi="Times New Roman" w:cs="Times New Roman"/>
          <w:sz w:val="24"/>
          <w:szCs w:val="24"/>
        </w:rPr>
        <w:t>, the potential of a five-mi</w:t>
      </w:r>
      <w:r>
        <w:rPr>
          <w:rFonts w:ascii="Times New Roman" w:eastAsia="Times New Roman" w:hAnsi="Times New Roman" w:cs="Times New Roman"/>
          <w:sz w:val="24"/>
          <w:szCs w:val="24"/>
        </w:rPr>
        <w:t>nute charge covering a 400 km range and internally designed modular systems on the battery, motor, and vehicle platforms (Meredith, 2025). This will provide BYD with opportunities. Learning the entire value chain allows BYD to manage cost and performance a</w:t>
      </w:r>
      <w:r>
        <w:rPr>
          <w:rFonts w:ascii="Times New Roman" w:eastAsia="Times New Roman" w:hAnsi="Times New Roman" w:cs="Times New Roman"/>
          <w:sz w:val="24"/>
          <w:szCs w:val="24"/>
        </w:rPr>
        <w:t>nd can scale up quickly and be competitive worldwide. Its distinctive business model of selling both BEVs and PHEVs gives it a chance to enter any region in a flexible manner. Conversely, threats exist. The rapid growth is also accompanied by the progressi</w:t>
      </w:r>
      <w:r>
        <w:rPr>
          <w:rFonts w:ascii="Times New Roman" w:eastAsia="Times New Roman" w:hAnsi="Times New Roman" w:cs="Times New Roman"/>
          <w:sz w:val="24"/>
          <w:szCs w:val="24"/>
        </w:rPr>
        <w:t>ve scale complexity and beneficiation of the supply-chain bottlenecks. As indicated by the Times of India (2025), There are also risks of regulatory and trade barriers as BYD starts to expand internationally and undergo observation or trade restrictions.</w:t>
      </w:r>
    </w:p>
    <w:p w14:paraId="1A206372" w14:textId="77777777" w:rsidR="00BA46DF" w:rsidRDefault="003A0BD6">
      <w:pPr>
        <w:spacing w:before="200" w:after="200" w:line="36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3</w:t>
      </w:r>
      <w:r>
        <w:rPr>
          <w:rFonts w:ascii="Times New Roman" w:eastAsia="Times New Roman" w:hAnsi="Times New Roman" w:cs="Times New Roman"/>
          <w:b/>
          <w:sz w:val="26"/>
          <w:szCs w:val="26"/>
        </w:rPr>
        <w:t>.2 Follower Response</w:t>
      </w:r>
    </w:p>
    <w:p w14:paraId="6793D4A5" w14:textId="77777777" w:rsidR="00BA46DF" w:rsidRDefault="003A0BD6">
      <w:p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Follower 1: Volkswagen</w:t>
      </w:r>
    </w:p>
    <w:p w14:paraId="2D519BAE" w14:textId="77777777" w:rsidR="00BA46DF" w:rsidRDefault="003A0BD6">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type of strategy involving Volkswagen Group (VW) is typically quite a typical follower strategy in the EV market. The company is also using scale, brand equity and accommodation instead of raw first-mover innovation. In 2024, VW shipped 9 million vehic</w:t>
      </w:r>
      <w:r>
        <w:rPr>
          <w:rFonts w:ascii="Times New Roman" w:eastAsia="Times New Roman" w:hAnsi="Times New Roman" w:cs="Times New Roman"/>
          <w:sz w:val="24"/>
          <w:szCs w:val="24"/>
        </w:rPr>
        <w:t>les worldwide, with nearly 744,800 battery-electric vehicles (BEVs), 3.4 percent fewer than last year (</w:t>
      </w:r>
      <w:proofErr w:type="spellStart"/>
      <w:r>
        <w:rPr>
          <w:rFonts w:ascii="Times New Roman" w:eastAsia="Times New Roman" w:hAnsi="Times New Roman" w:cs="Times New Roman"/>
          <w:sz w:val="24"/>
          <w:szCs w:val="24"/>
        </w:rPr>
        <w:t>Electrive</w:t>
      </w:r>
      <w:proofErr w:type="spellEnd"/>
      <w:r>
        <w:rPr>
          <w:rFonts w:ascii="Times New Roman" w:eastAsia="Times New Roman" w:hAnsi="Times New Roman" w:cs="Times New Roman"/>
          <w:sz w:val="24"/>
          <w:szCs w:val="24"/>
        </w:rPr>
        <w:t>, 2025). In that, the BEV sales in Europe fell to about 447,900 by 5.2 percent (</w:t>
      </w:r>
      <w:proofErr w:type="spellStart"/>
      <w:r>
        <w:rPr>
          <w:rFonts w:ascii="Times New Roman" w:eastAsia="Times New Roman" w:hAnsi="Times New Roman" w:cs="Times New Roman"/>
          <w:sz w:val="24"/>
          <w:szCs w:val="24"/>
        </w:rPr>
        <w:t>Bekker</w:t>
      </w:r>
      <w:proofErr w:type="spellEnd"/>
      <w:r>
        <w:rPr>
          <w:rFonts w:ascii="Times New Roman" w:eastAsia="Times New Roman" w:hAnsi="Times New Roman" w:cs="Times New Roman"/>
          <w:sz w:val="24"/>
          <w:szCs w:val="24"/>
        </w:rPr>
        <w:t xml:space="preserve">, 2025). The strategic actions of VW are </w:t>
      </w:r>
      <w:proofErr w:type="spellStart"/>
      <w:r>
        <w:rPr>
          <w:rFonts w:ascii="Times New Roman" w:eastAsia="Times New Roman" w:hAnsi="Times New Roman" w:cs="Times New Roman"/>
          <w:sz w:val="24"/>
          <w:szCs w:val="24"/>
        </w:rPr>
        <w:t>centred</w:t>
      </w:r>
      <w:proofErr w:type="spellEnd"/>
      <w:r>
        <w:rPr>
          <w:rFonts w:ascii="Times New Roman" w:eastAsia="Times New Roman" w:hAnsi="Times New Roman" w:cs="Times New Roman"/>
          <w:sz w:val="24"/>
          <w:szCs w:val="24"/>
        </w:rPr>
        <w:t xml:space="preserve"> on the is</w:t>
      </w:r>
      <w:r>
        <w:rPr>
          <w:rFonts w:ascii="Times New Roman" w:eastAsia="Times New Roman" w:hAnsi="Times New Roman" w:cs="Times New Roman"/>
          <w:sz w:val="24"/>
          <w:szCs w:val="24"/>
        </w:rPr>
        <w:t>sues of cost reduction and platform consolidation. As an example, its investment rate in the Automotive Division is likely to drop to approximately 12-13 percent in 2025 as compared to 13 percent in 2024 (Volkswagen Group, 2025). VW tries to do so by dedic</w:t>
      </w:r>
      <w:r>
        <w:rPr>
          <w:rFonts w:ascii="Times New Roman" w:eastAsia="Times New Roman" w:hAnsi="Times New Roman" w:cs="Times New Roman"/>
          <w:sz w:val="24"/>
          <w:szCs w:val="24"/>
        </w:rPr>
        <w:t xml:space="preserve">ating fewer proprietary risk efforts and implementing established modular EV designs. According to </w:t>
      </w:r>
      <w:r>
        <w:rPr>
          <w:rFonts w:ascii="Times New Roman" w:eastAsia="Times New Roman" w:hAnsi="Times New Roman" w:cs="Times New Roman"/>
          <w:b/>
          <w:i/>
          <w:sz w:val="24"/>
          <w:szCs w:val="24"/>
        </w:rPr>
        <w:t>“First-Mover vs Late-Mover Advantage Theory”</w:t>
      </w:r>
      <w:r>
        <w:rPr>
          <w:rFonts w:ascii="Times New Roman" w:eastAsia="Times New Roman" w:hAnsi="Times New Roman" w:cs="Times New Roman"/>
          <w:sz w:val="24"/>
          <w:szCs w:val="24"/>
        </w:rPr>
        <w:t>, Volkswagen is exchanging early innovation with swifter imitation and adaptation, and it will launch cost-effici</w:t>
      </w:r>
      <w:r>
        <w:rPr>
          <w:rFonts w:ascii="Times New Roman" w:eastAsia="Times New Roman" w:hAnsi="Times New Roman" w:cs="Times New Roman"/>
          <w:sz w:val="24"/>
          <w:szCs w:val="24"/>
        </w:rPr>
        <w:t>ent and high-volume electric cars with less market risk (</w:t>
      </w:r>
      <w:proofErr w:type="spellStart"/>
      <w:r>
        <w:rPr>
          <w:rFonts w:ascii="Times New Roman" w:eastAsia="Times New Roman" w:hAnsi="Times New Roman" w:cs="Times New Roman"/>
          <w:sz w:val="24"/>
          <w:szCs w:val="24"/>
        </w:rPr>
        <w:t>Varadararajan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2008). However, in comparison to actual pioneers, VW is weaker in terms of innovation, being prone to eroding margins and brand relevance, especially as BEV technology matures an</w:t>
      </w:r>
      <w:r>
        <w:rPr>
          <w:rFonts w:ascii="Times New Roman" w:eastAsia="Times New Roman" w:hAnsi="Times New Roman" w:cs="Times New Roman"/>
          <w:sz w:val="24"/>
          <w:szCs w:val="24"/>
        </w:rPr>
        <w:t>d pioneers command ecosystem benefits. Although VW has a good global brand with a scale, the follower stance requires the company to deal with dependencies and quick adaptation instead of innovating in front of the curve.</w:t>
      </w:r>
    </w:p>
    <w:p w14:paraId="2ECE1E9B" w14:textId="77777777" w:rsidR="00BA46DF" w:rsidRDefault="003A0BD6">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lastRenderedPageBreak/>
        <w:drawing>
          <wp:inline distT="114300" distB="114300" distL="114300" distR="114300" wp14:anchorId="640E163E" wp14:editId="0B782D01">
            <wp:extent cx="4576763" cy="2398400"/>
            <wp:effectExtent l="25400" t="25400" r="25400" b="2540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4576763" cy="2398400"/>
                    </a:xfrm>
                    <a:prstGeom prst="rect">
                      <a:avLst/>
                    </a:prstGeom>
                    <a:ln w="25400">
                      <a:solidFill>
                        <a:srgbClr val="000000"/>
                      </a:solidFill>
                      <a:prstDash val="solid"/>
                    </a:ln>
                  </pic:spPr>
                </pic:pic>
              </a:graphicData>
            </a:graphic>
          </wp:inline>
        </w:drawing>
      </w:r>
    </w:p>
    <w:p w14:paraId="3478E338" w14:textId="77777777" w:rsidR="00BA46DF" w:rsidRDefault="003A0BD6">
      <w:pPr>
        <w:spacing w:before="200"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6: First-mover Advantage</w:t>
      </w:r>
    </w:p>
    <w:p w14:paraId="1CB1BD0D" w14:textId="77777777" w:rsidR="00BA46DF" w:rsidRDefault="003A0BD6">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Faster Capital, 2024)</w:t>
      </w:r>
    </w:p>
    <w:p w14:paraId="69AE702A" w14:textId="77777777" w:rsidR="00BA46DF" w:rsidRDefault="003A0BD6">
      <w:p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Follower 2: Hyundai Motor Company</w:t>
      </w:r>
    </w:p>
    <w:p w14:paraId="6411F04B" w14:textId="77777777" w:rsidR="00BA46DF" w:rsidRDefault="003A0BD6">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Hyundai Motor Company has followed a follower strategy that has been </w:t>
      </w:r>
      <w:proofErr w:type="spellStart"/>
      <w:r>
        <w:rPr>
          <w:rFonts w:ascii="Times New Roman" w:eastAsia="Times New Roman" w:hAnsi="Times New Roman" w:cs="Times New Roman"/>
          <w:sz w:val="24"/>
          <w:szCs w:val="24"/>
        </w:rPr>
        <w:t>characterised</w:t>
      </w:r>
      <w:proofErr w:type="spellEnd"/>
      <w:r>
        <w:rPr>
          <w:rFonts w:ascii="Times New Roman" w:eastAsia="Times New Roman" w:hAnsi="Times New Roman" w:cs="Times New Roman"/>
          <w:sz w:val="24"/>
          <w:szCs w:val="24"/>
        </w:rPr>
        <w:t xml:space="preserve"> as agility, expansion of modular platform and regional flexibility instead of being the first entrant into i</w:t>
      </w:r>
      <w:r>
        <w:rPr>
          <w:rFonts w:ascii="Times New Roman" w:eastAsia="Times New Roman" w:hAnsi="Times New Roman" w:cs="Times New Roman"/>
          <w:sz w:val="24"/>
          <w:szCs w:val="24"/>
        </w:rPr>
        <w:t>nternational BEVs. Hyundai, compared to 2024 registered 218,500 fully electric automobiles and a total of 757,191 electrified automobiles in the year and that is 8.9 percent expansion in year-on-year growth of the electrified segment (Hyundai, 2024). In 20</w:t>
      </w:r>
      <w:r>
        <w:rPr>
          <w:rFonts w:ascii="Times New Roman" w:eastAsia="Times New Roman" w:hAnsi="Times New Roman" w:cs="Times New Roman"/>
          <w:sz w:val="24"/>
          <w:szCs w:val="24"/>
        </w:rPr>
        <w:t>24, the revenues of the company increased by about 7.7% to become KRW 175.2 trillion (</w:t>
      </w:r>
      <w:proofErr w:type="spellStart"/>
      <w:r>
        <w:rPr>
          <w:rFonts w:ascii="Times New Roman" w:eastAsia="Times New Roman" w:hAnsi="Times New Roman" w:cs="Times New Roman"/>
          <w:sz w:val="24"/>
          <w:szCs w:val="24"/>
        </w:rPr>
        <w:t>Walz</w:t>
      </w:r>
      <w:proofErr w:type="spellEnd"/>
      <w:r>
        <w:rPr>
          <w:rFonts w:ascii="Times New Roman" w:eastAsia="Times New Roman" w:hAnsi="Times New Roman" w:cs="Times New Roman"/>
          <w:sz w:val="24"/>
          <w:szCs w:val="24"/>
        </w:rPr>
        <w:t>, 2025). The strategy of Hyundai is consistent with the modification of the successful technology. It is launching 21 new EVs and aims to achieve 2 million EVs a year</w:t>
      </w:r>
      <w:r>
        <w:rPr>
          <w:rFonts w:ascii="Times New Roman" w:eastAsia="Times New Roman" w:hAnsi="Times New Roman" w:cs="Times New Roman"/>
          <w:sz w:val="24"/>
          <w:szCs w:val="24"/>
        </w:rPr>
        <w:t xml:space="preserve"> in 2030 (</w:t>
      </w:r>
      <w:proofErr w:type="spellStart"/>
      <w:r>
        <w:rPr>
          <w:rFonts w:ascii="Times New Roman" w:eastAsia="Times New Roman" w:hAnsi="Times New Roman" w:cs="Times New Roman"/>
          <w:sz w:val="24"/>
          <w:szCs w:val="24"/>
        </w:rPr>
        <w:t>Williment</w:t>
      </w:r>
      <w:proofErr w:type="spellEnd"/>
      <w:r>
        <w:rPr>
          <w:rFonts w:ascii="Times New Roman" w:eastAsia="Times New Roman" w:hAnsi="Times New Roman" w:cs="Times New Roman"/>
          <w:sz w:val="24"/>
          <w:szCs w:val="24"/>
        </w:rPr>
        <w:t xml:space="preserve">, 2025). Considering the theory of </w:t>
      </w:r>
      <w:r>
        <w:rPr>
          <w:rFonts w:ascii="Times New Roman" w:eastAsia="Times New Roman" w:hAnsi="Times New Roman" w:cs="Times New Roman"/>
          <w:b/>
          <w:i/>
          <w:sz w:val="24"/>
          <w:szCs w:val="24"/>
        </w:rPr>
        <w:t>“First-Mover vs Late-Mover Advantage”</w:t>
      </w:r>
      <w:r>
        <w:rPr>
          <w:rFonts w:ascii="Times New Roman" w:eastAsia="Times New Roman" w:hAnsi="Times New Roman" w:cs="Times New Roman"/>
          <w:sz w:val="24"/>
          <w:szCs w:val="24"/>
        </w:rPr>
        <w:t>, Hyundai will accept the fact that it might not enjoy the rents of first-mover innovation, but rather it can enjoy the rents of late-movers, using the scale platfor</w:t>
      </w:r>
      <w:r>
        <w:rPr>
          <w:rFonts w:ascii="Times New Roman" w:eastAsia="Times New Roman" w:hAnsi="Times New Roman" w:cs="Times New Roman"/>
          <w:sz w:val="24"/>
          <w:szCs w:val="24"/>
        </w:rPr>
        <w:t>ms, region-specific approaches, and cost efficiencies. However, speed is the threat of Hyundai. The future of follower firms, as the technology frontier accelerates, will be to not be left always behind pioneers who will gain lock-in effects within the eco</w:t>
      </w:r>
      <w:r>
        <w:rPr>
          <w:rFonts w:ascii="Times New Roman" w:eastAsia="Times New Roman" w:hAnsi="Times New Roman" w:cs="Times New Roman"/>
          <w:sz w:val="24"/>
          <w:szCs w:val="24"/>
        </w:rPr>
        <w:t>systems. The dilemma facing Hyundai will be to become second or even first by 2030.</w:t>
      </w:r>
    </w:p>
    <w:p w14:paraId="1F3C62D0" w14:textId="77777777" w:rsidR="00BA46DF" w:rsidRDefault="003A0BD6">
      <w:pPr>
        <w:pStyle w:val="Heading1"/>
        <w:rPr>
          <w:sz w:val="24"/>
          <w:szCs w:val="24"/>
        </w:rPr>
      </w:pPr>
      <w:bookmarkStart w:id="4" w:name="_8qph352xoqo3" w:colFirst="0" w:colLast="0"/>
      <w:bookmarkEnd w:id="4"/>
      <w:r>
        <w:lastRenderedPageBreak/>
        <w:t>4. Conclusion</w:t>
      </w:r>
    </w:p>
    <w:p w14:paraId="6AA778D0" w14:textId="77777777" w:rsidR="00BA46DF" w:rsidRDefault="003A0BD6">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discussed in the analysis, the dynamic competitive environment in the global EV industry is transformed by advancements in technology and the development o</w:t>
      </w:r>
      <w:r>
        <w:rPr>
          <w:rFonts w:ascii="Times New Roman" w:eastAsia="Times New Roman" w:hAnsi="Times New Roman" w:cs="Times New Roman"/>
          <w:sz w:val="24"/>
          <w:szCs w:val="24"/>
        </w:rPr>
        <w:t>f new legal frameworks. Tesla and BYD adopt innovation and vertical integration to consolidate their presence in the market, and Volkswagen and Hyundai, as followers, adopt the method of adaptation, alliances, and cost-effectiveness to keep up with the mar</w:t>
      </w:r>
      <w:r>
        <w:rPr>
          <w:rFonts w:ascii="Times New Roman" w:eastAsia="Times New Roman" w:hAnsi="Times New Roman" w:cs="Times New Roman"/>
          <w:sz w:val="24"/>
          <w:szCs w:val="24"/>
        </w:rPr>
        <w:t>ket. The high cost of investing and uncertainty about the policies are a threat to both groups but also an advantage as a result of increasing global mobility that needs sustainability. In general, the capacity to act strategically to the external technolo</w:t>
      </w:r>
      <w:r>
        <w:rPr>
          <w:rFonts w:ascii="Times New Roman" w:eastAsia="Times New Roman" w:hAnsi="Times New Roman" w:cs="Times New Roman"/>
          <w:sz w:val="24"/>
          <w:szCs w:val="24"/>
        </w:rPr>
        <w:t>gical and regulatory changes is paramount to the attainment of long-term competitiveness and sustainability in the EV industry.</w:t>
      </w:r>
      <w:r>
        <w:br w:type="page"/>
      </w:r>
    </w:p>
    <w:p w14:paraId="35D2A6B2" w14:textId="77777777" w:rsidR="00BA46DF" w:rsidRDefault="003A0BD6">
      <w:pPr>
        <w:pStyle w:val="Heading1"/>
      </w:pPr>
      <w:bookmarkStart w:id="5" w:name="_myq7iwvgfpuk" w:colFirst="0" w:colLast="0"/>
      <w:bookmarkEnd w:id="5"/>
      <w:r>
        <w:lastRenderedPageBreak/>
        <w:t>References</w:t>
      </w:r>
    </w:p>
    <w:p w14:paraId="102891DD" w14:textId="77777777" w:rsidR="003825F6" w:rsidRDefault="003825F6">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Abro</w:t>
      </w:r>
      <w:proofErr w:type="spellEnd"/>
      <w:r>
        <w:rPr>
          <w:rFonts w:ascii="Times New Roman" w:eastAsia="Times New Roman" w:hAnsi="Times New Roman" w:cs="Times New Roman"/>
          <w:sz w:val="24"/>
          <w:szCs w:val="24"/>
          <w:highlight w:val="white"/>
        </w:rPr>
        <w:t xml:space="preserve">, G.E.M., </w:t>
      </w:r>
      <w:proofErr w:type="spellStart"/>
      <w:r>
        <w:rPr>
          <w:rFonts w:ascii="Times New Roman" w:eastAsia="Times New Roman" w:hAnsi="Times New Roman" w:cs="Times New Roman"/>
          <w:sz w:val="24"/>
          <w:szCs w:val="24"/>
          <w:highlight w:val="white"/>
        </w:rPr>
        <w:t>Zulkifli</w:t>
      </w:r>
      <w:proofErr w:type="spellEnd"/>
      <w:r>
        <w:rPr>
          <w:rFonts w:ascii="Times New Roman" w:eastAsia="Times New Roman" w:hAnsi="Times New Roman" w:cs="Times New Roman"/>
          <w:sz w:val="24"/>
          <w:szCs w:val="24"/>
          <w:highlight w:val="white"/>
        </w:rPr>
        <w:t xml:space="preserve">, S.A.B., Kumar, K., El </w:t>
      </w:r>
      <w:proofErr w:type="spellStart"/>
      <w:r>
        <w:rPr>
          <w:rFonts w:ascii="Times New Roman" w:eastAsia="Times New Roman" w:hAnsi="Times New Roman" w:cs="Times New Roman"/>
          <w:sz w:val="24"/>
          <w:szCs w:val="24"/>
          <w:highlight w:val="white"/>
        </w:rPr>
        <w:t>Ouanjli</w:t>
      </w:r>
      <w:proofErr w:type="spellEnd"/>
      <w:r>
        <w:rPr>
          <w:rFonts w:ascii="Times New Roman" w:eastAsia="Times New Roman" w:hAnsi="Times New Roman" w:cs="Times New Roman"/>
          <w:sz w:val="24"/>
          <w:szCs w:val="24"/>
          <w:highlight w:val="white"/>
        </w:rPr>
        <w:t xml:space="preserve">, N., </w:t>
      </w:r>
      <w:proofErr w:type="spellStart"/>
      <w:r>
        <w:rPr>
          <w:rFonts w:ascii="Times New Roman" w:eastAsia="Times New Roman" w:hAnsi="Times New Roman" w:cs="Times New Roman"/>
          <w:sz w:val="24"/>
          <w:szCs w:val="24"/>
          <w:highlight w:val="white"/>
        </w:rPr>
        <w:t>Asirvadam</w:t>
      </w:r>
      <w:proofErr w:type="spellEnd"/>
      <w:r>
        <w:rPr>
          <w:rFonts w:ascii="Times New Roman" w:eastAsia="Times New Roman" w:hAnsi="Times New Roman" w:cs="Times New Roman"/>
          <w:sz w:val="24"/>
          <w:szCs w:val="24"/>
          <w:highlight w:val="white"/>
        </w:rPr>
        <w:t xml:space="preserve">, V.S. and </w:t>
      </w:r>
      <w:proofErr w:type="spellStart"/>
      <w:r>
        <w:rPr>
          <w:rFonts w:ascii="Times New Roman" w:eastAsia="Times New Roman" w:hAnsi="Times New Roman" w:cs="Times New Roman"/>
          <w:sz w:val="24"/>
          <w:szCs w:val="24"/>
          <w:highlight w:val="white"/>
        </w:rPr>
        <w:t>Mossa</w:t>
      </w:r>
      <w:proofErr w:type="spellEnd"/>
      <w:r>
        <w:rPr>
          <w:rFonts w:ascii="Times New Roman" w:eastAsia="Times New Roman" w:hAnsi="Times New Roman" w:cs="Times New Roman"/>
          <w:sz w:val="24"/>
          <w:szCs w:val="24"/>
          <w:highlight w:val="white"/>
        </w:rPr>
        <w:t xml:space="preserve">, M.A., (2023) ‘Comprehensive review of recent advancements in battery technology, propulsion, power interfaces, and vehicle network systems for intelligent autonomous and connected electric vehicles’. </w:t>
      </w:r>
      <w:r>
        <w:rPr>
          <w:rFonts w:ascii="Times New Roman" w:eastAsia="Times New Roman" w:hAnsi="Times New Roman" w:cs="Times New Roman"/>
          <w:i/>
          <w:sz w:val="24"/>
          <w:szCs w:val="24"/>
          <w:highlight w:val="white"/>
        </w:rPr>
        <w:t>Energies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16</w:t>
      </w:r>
      <w:r>
        <w:rPr>
          <w:rFonts w:ascii="Times New Roman" w:eastAsia="Times New Roman" w:hAnsi="Times New Roman" w:cs="Times New Roman"/>
          <w:sz w:val="24"/>
          <w:szCs w:val="24"/>
          <w:highlight w:val="white"/>
        </w:rPr>
        <w:t xml:space="preserve">(6), p. 2925. Available at: </w:t>
      </w:r>
      <w:hyperlink r:id="rId13">
        <w:r>
          <w:rPr>
            <w:rFonts w:ascii="Times New Roman" w:eastAsia="Times New Roman" w:hAnsi="Times New Roman" w:cs="Times New Roman"/>
            <w:color w:val="1155CC"/>
            <w:sz w:val="24"/>
            <w:szCs w:val="24"/>
            <w:highlight w:val="white"/>
            <w:u w:val="single"/>
          </w:rPr>
          <w:t>https://doi.org/10.3390/en16062925</w:t>
        </w:r>
      </w:hyperlink>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rPr>
        <w:t>(Accessed: 19 October 2025).</w:t>
      </w:r>
    </w:p>
    <w:p w14:paraId="7F70855A" w14:textId="77777777" w:rsidR="003825F6" w:rsidRDefault="003825F6">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Bekker</w:t>
      </w:r>
      <w:proofErr w:type="spellEnd"/>
      <w:r>
        <w:rPr>
          <w:rFonts w:ascii="Times New Roman" w:eastAsia="Times New Roman" w:hAnsi="Times New Roman" w:cs="Times New Roman"/>
          <w:sz w:val="24"/>
          <w:szCs w:val="24"/>
        </w:rPr>
        <w:t xml:space="preserve">, H. (2025) </w:t>
      </w:r>
      <w:r>
        <w:rPr>
          <w:rFonts w:ascii="Times New Roman" w:eastAsia="Times New Roman" w:hAnsi="Times New Roman" w:cs="Times New Roman"/>
          <w:i/>
          <w:sz w:val="24"/>
          <w:szCs w:val="24"/>
        </w:rPr>
        <w:t>2024 (Full Year) Global: Volkswagen Group Electric Car Sales Worldwide by Brand and Model - Car Sales Statistics</w:t>
      </w:r>
      <w:r>
        <w:rPr>
          <w:rFonts w:ascii="Times New Roman" w:eastAsia="Times New Roman" w:hAnsi="Times New Roman" w:cs="Times New Roman"/>
          <w:sz w:val="24"/>
          <w:szCs w:val="24"/>
        </w:rPr>
        <w:t xml:space="preserve">. Available at: </w:t>
      </w:r>
      <w:hyperlink r:id="rId14">
        <w:r>
          <w:rPr>
            <w:rFonts w:ascii="Times New Roman" w:eastAsia="Times New Roman" w:hAnsi="Times New Roman" w:cs="Times New Roman"/>
            <w:color w:val="1155CC"/>
            <w:sz w:val="24"/>
            <w:szCs w:val="24"/>
            <w:u w:val="single"/>
          </w:rPr>
          <w:t>https://www.best-selling-cars.com/brands/2024-full-year-global-volkswagen-group-electric-car-sales-worldwide-by-brand-and-model/</w:t>
        </w:r>
      </w:hyperlink>
      <w:r>
        <w:rPr>
          <w:rFonts w:ascii="Times New Roman" w:eastAsia="Times New Roman" w:hAnsi="Times New Roman" w:cs="Times New Roman"/>
          <w:sz w:val="24"/>
          <w:szCs w:val="24"/>
        </w:rPr>
        <w:t xml:space="preserve"> (Accessed: 19 October 2025).</w:t>
      </w:r>
    </w:p>
    <w:p w14:paraId="1AB8C522" w14:textId="77777777" w:rsidR="003825F6" w:rsidRDefault="003825F6">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Blenkinsop, P. (2025) </w:t>
      </w:r>
      <w:r>
        <w:rPr>
          <w:rFonts w:ascii="Times New Roman" w:eastAsia="Times New Roman" w:hAnsi="Times New Roman" w:cs="Times New Roman"/>
          <w:i/>
          <w:sz w:val="24"/>
          <w:szCs w:val="24"/>
        </w:rPr>
        <w:t>EU says it sticks to zero-emission car path to 2035 | Reuters</w:t>
      </w:r>
      <w:r>
        <w:rPr>
          <w:rFonts w:ascii="Times New Roman" w:eastAsia="Times New Roman" w:hAnsi="Times New Roman" w:cs="Times New Roman"/>
          <w:sz w:val="24"/>
          <w:szCs w:val="24"/>
        </w:rPr>
        <w:t xml:space="preserve">. Available at: </w:t>
      </w:r>
      <w:hyperlink r:id="rId15">
        <w:r>
          <w:rPr>
            <w:rFonts w:ascii="Times New Roman" w:eastAsia="Times New Roman" w:hAnsi="Times New Roman" w:cs="Times New Roman"/>
            <w:color w:val="1155CC"/>
            <w:sz w:val="24"/>
            <w:szCs w:val="24"/>
            <w:u w:val="single"/>
          </w:rPr>
          <w:t>https://www.reuters.com/business/autos-transportation/eu-sticks-2035-zero-emissions-target-new-cars-2025-03-05/</w:t>
        </w:r>
      </w:hyperlink>
      <w:r>
        <w:rPr>
          <w:rFonts w:ascii="Times New Roman" w:eastAsia="Times New Roman" w:hAnsi="Times New Roman" w:cs="Times New Roman"/>
          <w:sz w:val="24"/>
          <w:szCs w:val="24"/>
        </w:rPr>
        <w:t xml:space="preserve"> (Accessed: 19 October 2025).</w:t>
      </w:r>
    </w:p>
    <w:p w14:paraId="3D6F7182" w14:textId="77777777" w:rsidR="003825F6" w:rsidRDefault="003825F6">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Bohnsack</w:t>
      </w:r>
      <w:proofErr w:type="spellEnd"/>
      <w:r>
        <w:rPr>
          <w:rFonts w:ascii="Times New Roman" w:eastAsia="Times New Roman" w:hAnsi="Times New Roman" w:cs="Times New Roman"/>
          <w:sz w:val="24"/>
          <w:szCs w:val="24"/>
          <w:highlight w:val="white"/>
        </w:rPr>
        <w:t xml:space="preserve">, R., </w:t>
      </w:r>
      <w:proofErr w:type="spellStart"/>
      <w:r>
        <w:rPr>
          <w:rFonts w:ascii="Times New Roman" w:eastAsia="Times New Roman" w:hAnsi="Times New Roman" w:cs="Times New Roman"/>
          <w:sz w:val="24"/>
          <w:szCs w:val="24"/>
          <w:highlight w:val="white"/>
        </w:rPr>
        <w:t>Kolk</w:t>
      </w:r>
      <w:proofErr w:type="spellEnd"/>
      <w:r>
        <w:rPr>
          <w:rFonts w:ascii="Times New Roman" w:eastAsia="Times New Roman" w:hAnsi="Times New Roman" w:cs="Times New Roman"/>
          <w:sz w:val="24"/>
          <w:szCs w:val="24"/>
          <w:highlight w:val="white"/>
        </w:rPr>
        <w:t xml:space="preserve">, A., </w:t>
      </w:r>
      <w:proofErr w:type="spellStart"/>
      <w:r>
        <w:rPr>
          <w:rFonts w:ascii="Times New Roman" w:eastAsia="Times New Roman" w:hAnsi="Times New Roman" w:cs="Times New Roman"/>
          <w:sz w:val="24"/>
          <w:szCs w:val="24"/>
          <w:highlight w:val="white"/>
        </w:rPr>
        <w:t>Pinkse</w:t>
      </w:r>
      <w:proofErr w:type="spellEnd"/>
      <w:r>
        <w:rPr>
          <w:rFonts w:ascii="Times New Roman" w:eastAsia="Times New Roman" w:hAnsi="Times New Roman" w:cs="Times New Roman"/>
          <w:sz w:val="24"/>
          <w:szCs w:val="24"/>
          <w:highlight w:val="white"/>
        </w:rPr>
        <w:t xml:space="preserve">, J. and </w:t>
      </w:r>
      <w:proofErr w:type="spellStart"/>
      <w:r>
        <w:rPr>
          <w:rFonts w:ascii="Times New Roman" w:eastAsia="Times New Roman" w:hAnsi="Times New Roman" w:cs="Times New Roman"/>
          <w:sz w:val="24"/>
          <w:szCs w:val="24"/>
          <w:highlight w:val="white"/>
        </w:rPr>
        <w:t>Bidmon</w:t>
      </w:r>
      <w:proofErr w:type="spellEnd"/>
      <w:r>
        <w:rPr>
          <w:rFonts w:ascii="Times New Roman" w:eastAsia="Times New Roman" w:hAnsi="Times New Roman" w:cs="Times New Roman"/>
          <w:sz w:val="24"/>
          <w:szCs w:val="24"/>
          <w:highlight w:val="white"/>
        </w:rPr>
        <w:t>, C.M. (2020) ‘</w:t>
      </w:r>
      <w:proofErr w:type="gramStart"/>
      <w:r>
        <w:rPr>
          <w:rFonts w:ascii="Times New Roman" w:eastAsia="Times New Roman" w:hAnsi="Times New Roman" w:cs="Times New Roman"/>
          <w:sz w:val="24"/>
          <w:szCs w:val="24"/>
          <w:highlight w:val="white"/>
        </w:rPr>
        <w:t>Driving</w:t>
      </w:r>
      <w:proofErr w:type="gramEnd"/>
      <w:r>
        <w:rPr>
          <w:rFonts w:ascii="Times New Roman" w:eastAsia="Times New Roman" w:hAnsi="Times New Roman" w:cs="Times New Roman"/>
          <w:sz w:val="24"/>
          <w:szCs w:val="24"/>
          <w:highlight w:val="white"/>
        </w:rPr>
        <w:t xml:space="preserve"> the electric bandwagon: The dynamics of incumbents' sustainable innovation’. </w:t>
      </w:r>
      <w:r>
        <w:rPr>
          <w:rFonts w:ascii="Times New Roman" w:eastAsia="Times New Roman" w:hAnsi="Times New Roman" w:cs="Times New Roman"/>
          <w:i/>
          <w:sz w:val="24"/>
          <w:szCs w:val="24"/>
          <w:highlight w:val="white"/>
        </w:rPr>
        <w:t>Business Strategy and the Environment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29</w:t>
      </w:r>
      <w:r>
        <w:rPr>
          <w:rFonts w:ascii="Times New Roman" w:eastAsia="Times New Roman" w:hAnsi="Times New Roman" w:cs="Times New Roman"/>
          <w:sz w:val="24"/>
          <w:szCs w:val="24"/>
          <w:highlight w:val="white"/>
        </w:rPr>
        <w:t xml:space="preserve">(2), pp.727-743. Available at: </w:t>
      </w:r>
      <w:hyperlink r:id="rId16">
        <w:r>
          <w:rPr>
            <w:rFonts w:ascii="Times New Roman" w:eastAsia="Times New Roman" w:hAnsi="Times New Roman" w:cs="Times New Roman"/>
            <w:color w:val="1155CC"/>
            <w:sz w:val="24"/>
            <w:szCs w:val="24"/>
            <w:highlight w:val="white"/>
            <w:u w:val="single"/>
          </w:rPr>
          <w:t>https://onlinelibrary.wiley.com/doi/pdf/10.1002/bse.2430</w:t>
        </w:r>
      </w:hyperlink>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rPr>
        <w:t>(Accessed: 19 October 2025).</w:t>
      </w:r>
    </w:p>
    <w:p w14:paraId="77625EFE" w14:textId="77777777" w:rsidR="003825F6" w:rsidRDefault="003825F6">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BYD Europe (2025) </w:t>
      </w:r>
      <w:r>
        <w:rPr>
          <w:rFonts w:ascii="Times New Roman" w:eastAsia="Times New Roman" w:hAnsi="Times New Roman" w:cs="Times New Roman"/>
          <w:i/>
          <w:sz w:val="24"/>
          <w:szCs w:val="24"/>
        </w:rPr>
        <w:t xml:space="preserve">BYD reports its financial results in 2024: revenue hits 777.1 billion yuan, up 23% year on year | BYD Europe. </w:t>
      </w:r>
      <w:r>
        <w:rPr>
          <w:rFonts w:ascii="Times New Roman" w:eastAsia="Times New Roman" w:hAnsi="Times New Roman" w:cs="Times New Roman"/>
          <w:sz w:val="24"/>
          <w:szCs w:val="24"/>
        </w:rPr>
        <w:t xml:space="preserve">Available at: </w:t>
      </w:r>
      <w:hyperlink r:id="rId17">
        <w:r>
          <w:rPr>
            <w:rFonts w:ascii="Times New Roman" w:eastAsia="Times New Roman" w:hAnsi="Times New Roman" w:cs="Times New Roman"/>
            <w:color w:val="1155CC"/>
            <w:sz w:val="24"/>
            <w:szCs w:val="24"/>
            <w:u w:val="single"/>
          </w:rPr>
          <w:t>https://www.bydukmedia.com/en/news-articles/byd-reports-its-financial-results-in-2024-revenue-hits-777.1-billion-yuan%2C-up-23-year-on-year.html</w:t>
        </w:r>
      </w:hyperlink>
      <w:r>
        <w:rPr>
          <w:rFonts w:ascii="Times New Roman" w:eastAsia="Times New Roman" w:hAnsi="Times New Roman" w:cs="Times New Roman"/>
          <w:sz w:val="24"/>
          <w:szCs w:val="24"/>
        </w:rPr>
        <w:t xml:space="preserve"> (Accessed: 19 October 2025).</w:t>
      </w:r>
    </w:p>
    <w:p w14:paraId="13E31D27" w14:textId="77777777" w:rsidR="003825F6" w:rsidRDefault="003825F6">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Consilium</w:t>
      </w:r>
      <w:proofErr w:type="spellEnd"/>
      <w:r>
        <w:rPr>
          <w:rFonts w:ascii="Times New Roman" w:eastAsia="Times New Roman" w:hAnsi="Times New Roman" w:cs="Times New Roman"/>
          <w:sz w:val="24"/>
          <w:szCs w:val="24"/>
        </w:rPr>
        <w:t xml:space="preserve"> (2023) </w:t>
      </w:r>
      <w:r>
        <w:rPr>
          <w:rFonts w:ascii="Times New Roman" w:eastAsia="Times New Roman" w:hAnsi="Times New Roman" w:cs="Times New Roman"/>
          <w:i/>
          <w:sz w:val="24"/>
          <w:szCs w:val="24"/>
        </w:rPr>
        <w:t xml:space="preserve">‘Fit for 55’: Council adopts regulation on CO2 emissions for new cars and vans. </w:t>
      </w:r>
      <w:r>
        <w:rPr>
          <w:rFonts w:ascii="Times New Roman" w:eastAsia="Times New Roman" w:hAnsi="Times New Roman" w:cs="Times New Roman"/>
          <w:sz w:val="24"/>
          <w:szCs w:val="24"/>
        </w:rPr>
        <w:t xml:space="preserve">Available at: </w:t>
      </w:r>
      <w:hyperlink r:id="rId18">
        <w:r>
          <w:rPr>
            <w:rFonts w:ascii="Times New Roman" w:eastAsia="Times New Roman" w:hAnsi="Times New Roman" w:cs="Times New Roman"/>
            <w:color w:val="1155CC"/>
            <w:sz w:val="24"/>
            <w:szCs w:val="24"/>
            <w:u w:val="single"/>
          </w:rPr>
          <w:t>https://www.consilium.europa.eu/en/press/press-releases/2023/03/28/fit-for-55-council-adopts-regulation-on-co2-emissions-for-new-cars-and-vans/pdf</w:t>
        </w:r>
      </w:hyperlink>
      <w:r>
        <w:rPr>
          <w:rFonts w:ascii="Times New Roman" w:eastAsia="Times New Roman" w:hAnsi="Times New Roman" w:cs="Times New Roman"/>
          <w:sz w:val="24"/>
          <w:szCs w:val="24"/>
        </w:rPr>
        <w:t xml:space="preserve"> (Accessed: 19 October 2025).</w:t>
      </w:r>
    </w:p>
    <w:p w14:paraId="0AE223C8" w14:textId="77777777" w:rsidR="003825F6" w:rsidRDefault="003825F6">
      <w:pPr>
        <w:spacing w:before="200"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Electrive</w:t>
      </w:r>
      <w:proofErr w:type="spellEnd"/>
      <w:r>
        <w:rPr>
          <w:rFonts w:ascii="Times New Roman" w:eastAsia="Times New Roman" w:hAnsi="Times New Roman" w:cs="Times New Roman"/>
          <w:sz w:val="24"/>
          <w:szCs w:val="24"/>
        </w:rPr>
        <w:t xml:space="preserve"> (2025) </w:t>
      </w:r>
      <w:r>
        <w:rPr>
          <w:rFonts w:ascii="Times New Roman" w:eastAsia="Times New Roman" w:hAnsi="Times New Roman" w:cs="Times New Roman"/>
          <w:i/>
          <w:sz w:val="24"/>
          <w:szCs w:val="24"/>
        </w:rPr>
        <w:t xml:space="preserve">2024 balance sheet: Volkswagen Group sells fewer electric cars | </w:t>
      </w:r>
      <w:proofErr w:type="spellStart"/>
      <w:r>
        <w:rPr>
          <w:rFonts w:ascii="Times New Roman" w:eastAsia="Times New Roman" w:hAnsi="Times New Roman" w:cs="Times New Roman"/>
          <w:i/>
          <w:sz w:val="24"/>
          <w:szCs w:val="24"/>
        </w:rPr>
        <w:t>Electrive</w:t>
      </w:r>
      <w:proofErr w:type="spellEnd"/>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 xml:space="preserve">Available at: </w:t>
      </w:r>
      <w:hyperlink r:id="rId19">
        <w:r>
          <w:rPr>
            <w:rFonts w:ascii="Times New Roman" w:eastAsia="Times New Roman" w:hAnsi="Times New Roman" w:cs="Times New Roman"/>
            <w:color w:val="1155CC"/>
            <w:sz w:val="24"/>
            <w:szCs w:val="24"/>
            <w:u w:val="single"/>
          </w:rPr>
          <w:t>https://www.electrive.com/2025/01/14/2024-balance-sheet-volkswagen-group-sells-fewer-electric-cars/</w:t>
        </w:r>
      </w:hyperlink>
      <w:r>
        <w:rPr>
          <w:rFonts w:ascii="Times New Roman" w:eastAsia="Times New Roman" w:hAnsi="Times New Roman" w:cs="Times New Roman"/>
          <w:sz w:val="24"/>
          <w:szCs w:val="24"/>
        </w:rPr>
        <w:t xml:space="preserve"> (Accessed: 19 October 2025).</w:t>
      </w:r>
    </w:p>
    <w:p w14:paraId="2083757E" w14:textId="77777777" w:rsidR="003825F6" w:rsidRDefault="003825F6">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European Parliament (2023) </w:t>
      </w:r>
      <w:r>
        <w:rPr>
          <w:rFonts w:ascii="Times New Roman" w:eastAsia="Times New Roman" w:hAnsi="Times New Roman" w:cs="Times New Roman"/>
          <w:i/>
          <w:sz w:val="24"/>
          <w:szCs w:val="24"/>
        </w:rPr>
        <w:t>Fit for 55: zero CO2 emissions for new cars and vans in 2035 | News | European Parliament</w:t>
      </w:r>
      <w:r>
        <w:rPr>
          <w:rFonts w:ascii="Times New Roman" w:eastAsia="Times New Roman" w:hAnsi="Times New Roman" w:cs="Times New Roman"/>
          <w:sz w:val="24"/>
          <w:szCs w:val="24"/>
        </w:rPr>
        <w:t xml:space="preserve">. Available at: </w:t>
      </w:r>
      <w:hyperlink r:id="rId20">
        <w:r>
          <w:rPr>
            <w:rFonts w:ascii="Times New Roman" w:eastAsia="Times New Roman" w:hAnsi="Times New Roman" w:cs="Times New Roman"/>
            <w:color w:val="1155CC"/>
            <w:sz w:val="24"/>
            <w:szCs w:val="24"/>
            <w:u w:val="single"/>
          </w:rPr>
          <w:t>https://www.europarl.europa.eu/news/en/press-room/20230210IPR74715/fit-for-55-zero-co2-emissions-for-new-cars-and-vans-in-2035</w:t>
        </w:r>
      </w:hyperlink>
      <w:r>
        <w:rPr>
          <w:rFonts w:ascii="Times New Roman" w:eastAsia="Times New Roman" w:hAnsi="Times New Roman" w:cs="Times New Roman"/>
          <w:sz w:val="24"/>
          <w:szCs w:val="24"/>
        </w:rPr>
        <w:t xml:space="preserve"> (Accessed: 19 October 2025).</w:t>
      </w:r>
    </w:p>
    <w:p w14:paraId="6E3F2156" w14:textId="77777777" w:rsidR="003825F6" w:rsidRDefault="003825F6">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Faster Capital (2024) </w:t>
      </w:r>
      <w:proofErr w:type="gramStart"/>
      <w:r>
        <w:rPr>
          <w:rFonts w:ascii="Times New Roman" w:eastAsia="Times New Roman" w:hAnsi="Times New Roman" w:cs="Times New Roman"/>
          <w:i/>
          <w:sz w:val="24"/>
          <w:szCs w:val="24"/>
        </w:rPr>
        <w:t>The</w:t>
      </w:r>
      <w:proofErr w:type="gramEnd"/>
      <w:r>
        <w:rPr>
          <w:rFonts w:ascii="Times New Roman" w:eastAsia="Times New Roman" w:hAnsi="Times New Roman" w:cs="Times New Roman"/>
          <w:i/>
          <w:sz w:val="24"/>
          <w:szCs w:val="24"/>
        </w:rPr>
        <w:t xml:space="preserve"> First Mover Advantage: Early Adopters and Industry Disruption - </w:t>
      </w:r>
      <w:proofErr w:type="spellStart"/>
      <w:r>
        <w:rPr>
          <w:rFonts w:ascii="Times New Roman" w:eastAsia="Times New Roman" w:hAnsi="Times New Roman" w:cs="Times New Roman"/>
          <w:i/>
          <w:sz w:val="24"/>
          <w:szCs w:val="24"/>
        </w:rPr>
        <w:t>FasterCapital</w:t>
      </w:r>
      <w:proofErr w:type="spellEnd"/>
      <w:r>
        <w:rPr>
          <w:rFonts w:ascii="Times New Roman" w:eastAsia="Times New Roman" w:hAnsi="Times New Roman" w:cs="Times New Roman"/>
          <w:sz w:val="24"/>
          <w:szCs w:val="24"/>
        </w:rPr>
        <w:t xml:space="preserve">. Available at: </w:t>
      </w:r>
      <w:hyperlink r:id="rId21">
        <w:r>
          <w:rPr>
            <w:rFonts w:ascii="Times New Roman" w:eastAsia="Times New Roman" w:hAnsi="Times New Roman" w:cs="Times New Roman"/>
            <w:color w:val="1155CC"/>
            <w:sz w:val="24"/>
            <w:szCs w:val="24"/>
            <w:u w:val="single"/>
          </w:rPr>
          <w:t>https://fastercapital.com/content/The-First-Mover-Advantage--Early-Adopters-and-Industry-Disruption.html</w:t>
        </w:r>
      </w:hyperlink>
      <w:r>
        <w:rPr>
          <w:rFonts w:ascii="Times New Roman" w:eastAsia="Times New Roman" w:hAnsi="Times New Roman" w:cs="Times New Roman"/>
          <w:sz w:val="24"/>
          <w:szCs w:val="24"/>
        </w:rPr>
        <w:t xml:space="preserve"> (Accessed: 19 October 2025).</w:t>
      </w:r>
    </w:p>
    <w:p w14:paraId="06EED3C9" w14:textId="77777777" w:rsidR="003825F6" w:rsidRDefault="003825F6">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Hyundai (2024) </w:t>
      </w:r>
      <w:r>
        <w:rPr>
          <w:rFonts w:ascii="Times New Roman" w:eastAsia="Times New Roman" w:hAnsi="Times New Roman" w:cs="Times New Roman"/>
          <w:i/>
          <w:sz w:val="24"/>
          <w:szCs w:val="24"/>
        </w:rPr>
        <w:t>Hyundai Motor Announces 2024 Annual and Q4 Business Results</w:t>
      </w:r>
      <w:r>
        <w:rPr>
          <w:rFonts w:ascii="Times New Roman" w:eastAsia="Times New Roman" w:hAnsi="Times New Roman" w:cs="Times New Roman"/>
          <w:sz w:val="24"/>
          <w:szCs w:val="24"/>
        </w:rPr>
        <w:t xml:space="preserve"> | </w:t>
      </w:r>
      <w:r>
        <w:rPr>
          <w:rFonts w:ascii="Times New Roman" w:eastAsia="Times New Roman" w:hAnsi="Times New Roman" w:cs="Times New Roman"/>
          <w:i/>
          <w:sz w:val="24"/>
          <w:szCs w:val="24"/>
        </w:rPr>
        <w:t>HYUNDAI MOTORS.</w:t>
      </w:r>
      <w:r>
        <w:rPr>
          <w:rFonts w:ascii="Times New Roman" w:eastAsia="Times New Roman" w:hAnsi="Times New Roman" w:cs="Times New Roman"/>
          <w:sz w:val="24"/>
          <w:szCs w:val="24"/>
        </w:rPr>
        <w:t xml:space="preserve"> Available at: </w:t>
      </w:r>
      <w:hyperlink r:id="rId22">
        <w:r>
          <w:rPr>
            <w:rFonts w:ascii="Times New Roman" w:eastAsia="Times New Roman" w:hAnsi="Times New Roman" w:cs="Times New Roman"/>
            <w:color w:val="1155CC"/>
            <w:sz w:val="24"/>
            <w:szCs w:val="24"/>
            <w:u w:val="single"/>
          </w:rPr>
          <w:t>https://www.hyundai.com/worldwide/en/newsroom/detail/hyundai-motor-announces-2024-annual-and-q4-business-results-0000000897</w:t>
        </w:r>
      </w:hyperlink>
      <w:r>
        <w:rPr>
          <w:rFonts w:ascii="Times New Roman" w:eastAsia="Times New Roman" w:hAnsi="Times New Roman" w:cs="Times New Roman"/>
          <w:sz w:val="24"/>
          <w:szCs w:val="24"/>
        </w:rPr>
        <w:t xml:space="preserve"> (Accessed: 19 October 2025).</w:t>
      </w:r>
      <w:r>
        <w:rPr>
          <w:rFonts w:ascii="Times New Roman" w:eastAsia="Times New Roman" w:hAnsi="Times New Roman" w:cs="Times New Roman"/>
          <w:sz w:val="24"/>
          <w:szCs w:val="24"/>
        </w:rPr>
        <w:br/>
      </w:r>
    </w:p>
    <w:p w14:paraId="133F7D18" w14:textId="77777777" w:rsidR="003825F6" w:rsidRDefault="003825F6">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IEA (2024) </w:t>
      </w:r>
      <w:r>
        <w:rPr>
          <w:rFonts w:ascii="Times New Roman" w:eastAsia="Times New Roman" w:hAnsi="Times New Roman" w:cs="Times New Roman"/>
          <w:i/>
          <w:sz w:val="24"/>
          <w:szCs w:val="24"/>
        </w:rPr>
        <w:t xml:space="preserve">Outlook for electric mobility | Global EV Outlook 2024 - IEA. </w:t>
      </w:r>
      <w:r>
        <w:rPr>
          <w:rFonts w:ascii="Times New Roman" w:eastAsia="Times New Roman" w:hAnsi="Times New Roman" w:cs="Times New Roman"/>
          <w:sz w:val="24"/>
          <w:szCs w:val="24"/>
        </w:rPr>
        <w:t xml:space="preserve">Available at: </w:t>
      </w:r>
      <w:hyperlink r:id="rId23">
        <w:r>
          <w:rPr>
            <w:rFonts w:ascii="Times New Roman" w:eastAsia="Times New Roman" w:hAnsi="Times New Roman" w:cs="Times New Roman"/>
            <w:color w:val="1155CC"/>
            <w:sz w:val="24"/>
            <w:szCs w:val="24"/>
            <w:u w:val="single"/>
          </w:rPr>
          <w:t>https://www.iea.org/reports/global-ev-outlook-2024/outlook-for-electric-mobility</w:t>
        </w:r>
      </w:hyperlink>
      <w:r>
        <w:rPr>
          <w:rFonts w:ascii="Times New Roman" w:eastAsia="Times New Roman" w:hAnsi="Times New Roman" w:cs="Times New Roman"/>
          <w:sz w:val="24"/>
          <w:szCs w:val="24"/>
        </w:rPr>
        <w:t xml:space="preserve"> (Accessed: 19 October 2025).</w:t>
      </w:r>
    </w:p>
    <w:p w14:paraId="05AEC89B" w14:textId="77777777" w:rsidR="003825F6" w:rsidRDefault="003825F6">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IEA (2025a) </w:t>
      </w:r>
      <w:r>
        <w:rPr>
          <w:rFonts w:ascii="Times New Roman" w:eastAsia="Times New Roman" w:hAnsi="Times New Roman" w:cs="Times New Roman"/>
          <w:i/>
          <w:sz w:val="24"/>
          <w:szCs w:val="24"/>
        </w:rPr>
        <w:t xml:space="preserve">Electric vehicle batteries | Global EV Outlook 2025 - IEA. </w:t>
      </w:r>
      <w:r>
        <w:rPr>
          <w:rFonts w:ascii="Times New Roman" w:eastAsia="Times New Roman" w:hAnsi="Times New Roman" w:cs="Times New Roman"/>
          <w:sz w:val="24"/>
          <w:szCs w:val="24"/>
        </w:rPr>
        <w:t xml:space="preserve">Available at: </w:t>
      </w:r>
      <w:hyperlink r:id="rId24">
        <w:r>
          <w:rPr>
            <w:rFonts w:ascii="Times New Roman" w:eastAsia="Times New Roman" w:hAnsi="Times New Roman" w:cs="Times New Roman"/>
            <w:color w:val="1155CC"/>
            <w:sz w:val="24"/>
            <w:szCs w:val="24"/>
            <w:u w:val="single"/>
          </w:rPr>
          <w:t>https://www.iea.org/reports/global-ev-outlook-2025/electric-vehicle-batteries</w:t>
        </w:r>
      </w:hyperlink>
      <w:r>
        <w:rPr>
          <w:rFonts w:ascii="Times New Roman" w:eastAsia="Times New Roman" w:hAnsi="Times New Roman" w:cs="Times New Roman"/>
          <w:sz w:val="24"/>
          <w:szCs w:val="24"/>
        </w:rPr>
        <w:t xml:space="preserve"> (Accessed: 19 October 2025).</w:t>
      </w:r>
    </w:p>
    <w:p w14:paraId="1D528F58" w14:textId="77777777" w:rsidR="003825F6" w:rsidRDefault="003825F6">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IEA (2025b) </w:t>
      </w:r>
      <w:r>
        <w:rPr>
          <w:rFonts w:ascii="Times New Roman" w:eastAsia="Times New Roman" w:hAnsi="Times New Roman" w:cs="Times New Roman"/>
          <w:i/>
          <w:sz w:val="24"/>
          <w:szCs w:val="24"/>
        </w:rPr>
        <w:t xml:space="preserve">Outlook for electric mobility | Global EV Outlook 2025 - IEA. </w:t>
      </w:r>
      <w:r>
        <w:rPr>
          <w:rFonts w:ascii="Times New Roman" w:eastAsia="Times New Roman" w:hAnsi="Times New Roman" w:cs="Times New Roman"/>
          <w:sz w:val="24"/>
          <w:szCs w:val="24"/>
        </w:rPr>
        <w:t xml:space="preserve">Available at: </w:t>
      </w:r>
      <w:hyperlink r:id="rId25">
        <w:r>
          <w:rPr>
            <w:rFonts w:ascii="Times New Roman" w:eastAsia="Times New Roman" w:hAnsi="Times New Roman" w:cs="Times New Roman"/>
            <w:color w:val="1155CC"/>
            <w:sz w:val="24"/>
            <w:szCs w:val="24"/>
            <w:u w:val="single"/>
          </w:rPr>
          <w:t>https://www.iea.org/reports/global-ev-outlook-2025/outlook-for-electric-mobility</w:t>
        </w:r>
      </w:hyperlink>
      <w:r>
        <w:rPr>
          <w:rFonts w:ascii="Times New Roman" w:eastAsia="Times New Roman" w:hAnsi="Times New Roman" w:cs="Times New Roman"/>
          <w:sz w:val="24"/>
          <w:szCs w:val="24"/>
        </w:rPr>
        <w:t xml:space="preserve"> (Accessed: 19 October 2025).</w:t>
      </w:r>
    </w:p>
    <w:p w14:paraId="0351DCD1" w14:textId="77777777" w:rsidR="003825F6" w:rsidRDefault="003825F6">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IG Analyst (2025) </w:t>
      </w:r>
      <w:r>
        <w:rPr>
          <w:rFonts w:ascii="Times New Roman" w:eastAsia="Times New Roman" w:hAnsi="Times New Roman" w:cs="Times New Roman"/>
          <w:i/>
          <w:sz w:val="24"/>
          <w:szCs w:val="24"/>
        </w:rPr>
        <w:t>BYD’s 2024 financial results show strong growth despite market challenges</w:t>
      </w:r>
      <w:r>
        <w:rPr>
          <w:rFonts w:ascii="Times New Roman" w:eastAsia="Times New Roman" w:hAnsi="Times New Roman" w:cs="Times New Roman"/>
          <w:sz w:val="24"/>
          <w:szCs w:val="24"/>
        </w:rPr>
        <w:t xml:space="preserve">. Available at: </w:t>
      </w:r>
      <w:hyperlink r:id="rId26">
        <w:r>
          <w:rPr>
            <w:rFonts w:ascii="Times New Roman" w:eastAsia="Times New Roman" w:hAnsi="Times New Roman" w:cs="Times New Roman"/>
            <w:color w:val="1155CC"/>
            <w:sz w:val="24"/>
            <w:szCs w:val="24"/>
            <w:u w:val="single"/>
          </w:rPr>
          <w:t>https://www.ig.com/en/news-and-trade-ideas/byd_2024_earnings-250326</w:t>
        </w:r>
      </w:hyperlink>
      <w:r>
        <w:rPr>
          <w:rFonts w:ascii="Times New Roman" w:eastAsia="Times New Roman" w:hAnsi="Times New Roman" w:cs="Times New Roman"/>
          <w:sz w:val="24"/>
          <w:szCs w:val="24"/>
        </w:rPr>
        <w:t xml:space="preserve"> (Accessed: 19 October 2025).</w:t>
      </w:r>
    </w:p>
    <w:p w14:paraId="7690FA17" w14:textId="77777777" w:rsidR="003825F6" w:rsidRDefault="003825F6">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lastRenderedPageBreak/>
        <w:t>Jagani</w:t>
      </w:r>
      <w:proofErr w:type="spellEnd"/>
      <w:r>
        <w:rPr>
          <w:rFonts w:ascii="Times New Roman" w:eastAsia="Times New Roman" w:hAnsi="Times New Roman" w:cs="Times New Roman"/>
          <w:sz w:val="24"/>
          <w:szCs w:val="24"/>
          <w:highlight w:val="white"/>
        </w:rPr>
        <w:t xml:space="preserve">, S., </w:t>
      </w:r>
      <w:proofErr w:type="spellStart"/>
      <w:r>
        <w:rPr>
          <w:rFonts w:ascii="Times New Roman" w:eastAsia="Times New Roman" w:hAnsi="Times New Roman" w:cs="Times New Roman"/>
          <w:sz w:val="24"/>
          <w:szCs w:val="24"/>
          <w:highlight w:val="white"/>
        </w:rPr>
        <w:t>Marsillac</w:t>
      </w:r>
      <w:proofErr w:type="spellEnd"/>
      <w:r>
        <w:rPr>
          <w:rFonts w:ascii="Times New Roman" w:eastAsia="Times New Roman" w:hAnsi="Times New Roman" w:cs="Times New Roman"/>
          <w:sz w:val="24"/>
          <w:szCs w:val="24"/>
          <w:highlight w:val="white"/>
        </w:rPr>
        <w:t>, E. and Hong, P. (2024) ‘</w:t>
      </w:r>
      <w:proofErr w:type="gramStart"/>
      <w:r>
        <w:rPr>
          <w:rFonts w:ascii="Times New Roman" w:eastAsia="Times New Roman" w:hAnsi="Times New Roman" w:cs="Times New Roman"/>
          <w:sz w:val="24"/>
          <w:szCs w:val="24"/>
          <w:highlight w:val="white"/>
        </w:rPr>
        <w:t>The</w:t>
      </w:r>
      <w:proofErr w:type="gramEnd"/>
      <w:r>
        <w:rPr>
          <w:rFonts w:ascii="Times New Roman" w:eastAsia="Times New Roman" w:hAnsi="Times New Roman" w:cs="Times New Roman"/>
          <w:sz w:val="24"/>
          <w:szCs w:val="24"/>
          <w:highlight w:val="white"/>
        </w:rPr>
        <w:t xml:space="preserve"> electric vehicle supply chain ecosystem: changing roles of automotive suppliers’. </w:t>
      </w:r>
      <w:r>
        <w:rPr>
          <w:rFonts w:ascii="Times New Roman" w:eastAsia="Times New Roman" w:hAnsi="Times New Roman" w:cs="Times New Roman"/>
          <w:i/>
          <w:sz w:val="24"/>
          <w:szCs w:val="24"/>
          <w:highlight w:val="white"/>
        </w:rPr>
        <w:t>Sustainability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16</w:t>
      </w:r>
      <w:r>
        <w:rPr>
          <w:rFonts w:ascii="Times New Roman" w:eastAsia="Times New Roman" w:hAnsi="Times New Roman" w:cs="Times New Roman"/>
          <w:sz w:val="24"/>
          <w:szCs w:val="24"/>
          <w:highlight w:val="white"/>
        </w:rPr>
        <w:t xml:space="preserve">(4), p. 1570. Available at: </w:t>
      </w:r>
      <w:hyperlink r:id="rId27">
        <w:r>
          <w:rPr>
            <w:rFonts w:ascii="Times New Roman" w:eastAsia="Times New Roman" w:hAnsi="Times New Roman" w:cs="Times New Roman"/>
            <w:color w:val="1155CC"/>
            <w:sz w:val="24"/>
            <w:szCs w:val="24"/>
            <w:highlight w:val="white"/>
            <w:u w:val="single"/>
          </w:rPr>
          <w:t>https://doi.org/10.3390/su16041570</w:t>
        </w:r>
      </w:hyperlink>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rPr>
        <w:t>(Accessed: 19 October 2025).</w:t>
      </w:r>
    </w:p>
    <w:p w14:paraId="32D73F17" w14:textId="77777777" w:rsidR="003825F6" w:rsidRDefault="003825F6">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Khajezadeh</w:t>
      </w:r>
      <w:proofErr w:type="spellEnd"/>
      <w:r>
        <w:rPr>
          <w:rFonts w:ascii="Times New Roman" w:eastAsia="Times New Roman" w:hAnsi="Times New Roman" w:cs="Times New Roman"/>
          <w:sz w:val="24"/>
          <w:szCs w:val="24"/>
          <w:highlight w:val="white"/>
        </w:rPr>
        <w:t xml:space="preserve">, M., </w:t>
      </w:r>
      <w:proofErr w:type="spellStart"/>
      <w:r>
        <w:rPr>
          <w:rFonts w:ascii="Times New Roman" w:eastAsia="Times New Roman" w:hAnsi="Times New Roman" w:cs="Times New Roman"/>
          <w:sz w:val="24"/>
          <w:szCs w:val="24"/>
          <w:highlight w:val="white"/>
        </w:rPr>
        <w:t>Niasar</w:t>
      </w:r>
      <w:proofErr w:type="spellEnd"/>
      <w:r>
        <w:rPr>
          <w:rFonts w:ascii="Times New Roman" w:eastAsia="Times New Roman" w:hAnsi="Times New Roman" w:cs="Times New Roman"/>
          <w:sz w:val="24"/>
          <w:szCs w:val="24"/>
          <w:highlight w:val="white"/>
        </w:rPr>
        <w:t xml:space="preserve">, M.S.F., </w:t>
      </w:r>
      <w:proofErr w:type="spellStart"/>
      <w:r>
        <w:rPr>
          <w:rFonts w:ascii="Times New Roman" w:eastAsia="Times New Roman" w:hAnsi="Times New Roman" w:cs="Times New Roman"/>
          <w:sz w:val="24"/>
          <w:szCs w:val="24"/>
          <w:highlight w:val="white"/>
        </w:rPr>
        <w:t>Asli</w:t>
      </w:r>
      <w:proofErr w:type="spellEnd"/>
      <w:r>
        <w:rPr>
          <w:rFonts w:ascii="Times New Roman" w:eastAsia="Times New Roman" w:hAnsi="Times New Roman" w:cs="Times New Roman"/>
          <w:sz w:val="24"/>
          <w:szCs w:val="24"/>
          <w:highlight w:val="white"/>
        </w:rPr>
        <w:t xml:space="preserve">, S.A., </w:t>
      </w:r>
      <w:proofErr w:type="spellStart"/>
      <w:r>
        <w:rPr>
          <w:rFonts w:ascii="Times New Roman" w:eastAsia="Times New Roman" w:hAnsi="Times New Roman" w:cs="Times New Roman"/>
          <w:sz w:val="24"/>
          <w:szCs w:val="24"/>
          <w:highlight w:val="white"/>
        </w:rPr>
        <w:t>Davari</w:t>
      </w:r>
      <w:proofErr w:type="spellEnd"/>
      <w:r>
        <w:rPr>
          <w:rFonts w:ascii="Times New Roman" w:eastAsia="Times New Roman" w:hAnsi="Times New Roman" w:cs="Times New Roman"/>
          <w:sz w:val="24"/>
          <w:szCs w:val="24"/>
          <w:highlight w:val="white"/>
        </w:rPr>
        <w:t xml:space="preserve">, D.D., </w:t>
      </w:r>
      <w:proofErr w:type="spellStart"/>
      <w:r>
        <w:rPr>
          <w:rFonts w:ascii="Times New Roman" w:eastAsia="Times New Roman" w:hAnsi="Times New Roman" w:cs="Times New Roman"/>
          <w:sz w:val="24"/>
          <w:szCs w:val="24"/>
          <w:highlight w:val="white"/>
        </w:rPr>
        <w:t>Godarzi</w:t>
      </w:r>
      <w:proofErr w:type="spellEnd"/>
      <w:r>
        <w:rPr>
          <w:rFonts w:ascii="Times New Roman" w:eastAsia="Times New Roman" w:hAnsi="Times New Roman" w:cs="Times New Roman"/>
          <w:sz w:val="24"/>
          <w:szCs w:val="24"/>
          <w:highlight w:val="white"/>
        </w:rPr>
        <w:t xml:space="preserve">, M. and </w:t>
      </w:r>
      <w:proofErr w:type="spellStart"/>
      <w:r>
        <w:rPr>
          <w:rFonts w:ascii="Times New Roman" w:eastAsia="Times New Roman" w:hAnsi="Times New Roman" w:cs="Times New Roman"/>
          <w:sz w:val="24"/>
          <w:szCs w:val="24"/>
          <w:highlight w:val="white"/>
        </w:rPr>
        <w:t>Asgari</w:t>
      </w:r>
      <w:proofErr w:type="spellEnd"/>
      <w:r>
        <w:rPr>
          <w:rFonts w:ascii="Times New Roman" w:eastAsia="Times New Roman" w:hAnsi="Times New Roman" w:cs="Times New Roman"/>
          <w:sz w:val="24"/>
          <w:szCs w:val="24"/>
          <w:highlight w:val="white"/>
        </w:rPr>
        <w:t xml:space="preserve">, Y. (2019) ‘Application of neural network in portfolio product companies: Integration of Boston consulting group matrix and </w:t>
      </w:r>
      <w:proofErr w:type="spellStart"/>
      <w:r>
        <w:rPr>
          <w:rFonts w:ascii="Times New Roman" w:eastAsia="Times New Roman" w:hAnsi="Times New Roman" w:cs="Times New Roman"/>
          <w:sz w:val="24"/>
          <w:szCs w:val="24"/>
          <w:highlight w:val="white"/>
        </w:rPr>
        <w:t>Ansoff</w:t>
      </w:r>
      <w:proofErr w:type="spellEnd"/>
      <w:r>
        <w:rPr>
          <w:rFonts w:ascii="Times New Roman" w:eastAsia="Times New Roman" w:hAnsi="Times New Roman" w:cs="Times New Roman"/>
          <w:sz w:val="24"/>
          <w:szCs w:val="24"/>
          <w:highlight w:val="white"/>
        </w:rPr>
        <w:t xml:space="preserve"> matrix’. </w:t>
      </w:r>
      <w:r>
        <w:rPr>
          <w:rFonts w:ascii="Times New Roman" w:eastAsia="Times New Roman" w:hAnsi="Times New Roman" w:cs="Times New Roman"/>
          <w:i/>
          <w:sz w:val="24"/>
          <w:szCs w:val="24"/>
          <w:highlight w:val="white"/>
        </w:rPr>
        <w:t>International Journal of Economics and Management Engineering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13</w:t>
      </w:r>
      <w:r>
        <w:rPr>
          <w:rFonts w:ascii="Times New Roman" w:eastAsia="Times New Roman" w:hAnsi="Times New Roman" w:cs="Times New Roman"/>
          <w:sz w:val="24"/>
          <w:szCs w:val="24"/>
          <w:highlight w:val="white"/>
        </w:rPr>
        <w:t xml:space="preserve">(6), pp. 821-825. Available at: </w:t>
      </w:r>
      <w:hyperlink r:id="rId28">
        <w:r>
          <w:rPr>
            <w:rFonts w:ascii="Times New Roman" w:eastAsia="Times New Roman" w:hAnsi="Times New Roman" w:cs="Times New Roman"/>
            <w:color w:val="1155CC"/>
            <w:sz w:val="24"/>
            <w:szCs w:val="24"/>
            <w:highlight w:val="white"/>
            <w:u w:val="single"/>
          </w:rPr>
          <w:t>https://www.researchgate.net/profile/Sali-Asli/publication/360928851_Application_of_neural_network_in_portfolio_product_companies_Integration_of_Boston_Consulting_Group_matrix_and_Ansoff_matrix/links/629340546886635d5cad0cbf/Application-of-neural-network-in-portfolio-product-companies-Integration-of-Boston-Consulting-Group-matrix-and-Ansoff-matrix.pdf</w:t>
        </w:r>
      </w:hyperlink>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rPr>
        <w:t>(Accessed: 19 October 2025).</w:t>
      </w:r>
    </w:p>
    <w:p w14:paraId="069C3425" w14:textId="77777777" w:rsidR="003825F6" w:rsidRDefault="003825F6">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Kolodny</w:t>
      </w:r>
      <w:proofErr w:type="spellEnd"/>
      <w:r>
        <w:rPr>
          <w:rFonts w:ascii="Times New Roman" w:eastAsia="Times New Roman" w:hAnsi="Times New Roman" w:cs="Times New Roman"/>
          <w:sz w:val="24"/>
          <w:szCs w:val="24"/>
        </w:rPr>
        <w:t xml:space="preserve">, L. (2025) </w:t>
      </w:r>
      <w:r>
        <w:rPr>
          <w:rFonts w:ascii="Times New Roman" w:eastAsia="Times New Roman" w:hAnsi="Times New Roman" w:cs="Times New Roman"/>
          <w:i/>
          <w:sz w:val="24"/>
          <w:szCs w:val="24"/>
        </w:rPr>
        <w:t>Tesla shares slide after it reports first drop in annual deliveries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CNBC</w:t>
      </w:r>
      <w:r>
        <w:rPr>
          <w:rFonts w:ascii="Times New Roman" w:eastAsia="Times New Roman" w:hAnsi="Times New Roman" w:cs="Times New Roman"/>
          <w:sz w:val="24"/>
          <w:szCs w:val="24"/>
        </w:rPr>
        <w:t xml:space="preserve">. Available at: </w:t>
      </w:r>
      <w:hyperlink r:id="rId29">
        <w:r>
          <w:rPr>
            <w:rFonts w:ascii="Times New Roman" w:eastAsia="Times New Roman" w:hAnsi="Times New Roman" w:cs="Times New Roman"/>
            <w:color w:val="1155CC"/>
            <w:sz w:val="24"/>
            <w:szCs w:val="24"/>
            <w:u w:val="single"/>
          </w:rPr>
          <w:t>https://www.cnbc.com/2025/01/02/tesla-tsla-q4-2024-vehicle-delivery-and-production-numbers.html</w:t>
        </w:r>
      </w:hyperlink>
      <w:r>
        <w:rPr>
          <w:rFonts w:ascii="Times New Roman" w:eastAsia="Times New Roman" w:hAnsi="Times New Roman" w:cs="Times New Roman"/>
          <w:sz w:val="24"/>
          <w:szCs w:val="24"/>
        </w:rPr>
        <w:t xml:space="preserve"> (Accessed: 19 October 2025).</w:t>
      </w:r>
    </w:p>
    <w:p w14:paraId="31891A4D" w14:textId="77777777" w:rsidR="003825F6" w:rsidRDefault="003825F6">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Macro Trends (2025) </w:t>
      </w:r>
      <w:r>
        <w:rPr>
          <w:rFonts w:ascii="Times New Roman" w:eastAsia="Times New Roman" w:hAnsi="Times New Roman" w:cs="Times New Roman"/>
          <w:i/>
          <w:sz w:val="24"/>
          <w:szCs w:val="24"/>
        </w:rPr>
        <w:t>Tesla Research and Development Expenses 2009-2019 | TSLA</w:t>
      </w:r>
      <w:r>
        <w:rPr>
          <w:rFonts w:ascii="Times New Roman" w:eastAsia="Times New Roman" w:hAnsi="Times New Roman" w:cs="Times New Roman"/>
          <w:sz w:val="24"/>
          <w:szCs w:val="24"/>
        </w:rPr>
        <w:t xml:space="preserve">. Available at: </w:t>
      </w:r>
      <w:hyperlink r:id="rId30">
        <w:r>
          <w:rPr>
            <w:rFonts w:ascii="Times New Roman" w:eastAsia="Times New Roman" w:hAnsi="Times New Roman" w:cs="Times New Roman"/>
            <w:color w:val="1155CC"/>
            <w:sz w:val="24"/>
            <w:szCs w:val="24"/>
            <w:u w:val="single"/>
          </w:rPr>
          <w:t>https://www.macrotrends.net/stocks/charts/TSLA/tesla/research-development-expenses</w:t>
        </w:r>
      </w:hyperlink>
      <w:r>
        <w:rPr>
          <w:rFonts w:ascii="Times New Roman" w:eastAsia="Times New Roman" w:hAnsi="Times New Roman" w:cs="Times New Roman"/>
          <w:sz w:val="24"/>
          <w:szCs w:val="24"/>
        </w:rPr>
        <w:t xml:space="preserve"> (Accessed: 19 October 2025).</w:t>
      </w:r>
    </w:p>
    <w:p w14:paraId="73C2D1EA" w14:textId="77777777" w:rsidR="003825F6" w:rsidRDefault="003825F6">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Meredith, S. (2025) </w:t>
      </w:r>
      <w:r>
        <w:rPr>
          <w:rFonts w:ascii="Times New Roman" w:eastAsia="Times New Roman" w:hAnsi="Times New Roman" w:cs="Times New Roman"/>
          <w:i/>
          <w:sz w:val="24"/>
          <w:szCs w:val="24"/>
        </w:rPr>
        <w:t>Chinese EV giant BYD outpaces Tesla with annual sales of more than $100 billion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CNBC.</w:t>
      </w:r>
      <w:r>
        <w:rPr>
          <w:rFonts w:ascii="Times New Roman" w:eastAsia="Times New Roman" w:hAnsi="Times New Roman" w:cs="Times New Roman"/>
          <w:sz w:val="24"/>
          <w:szCs w:val="24"/>
        </w:rPr>
        <w:t xml:space="preserve"> Available at: </w:t>
      </w:r>
      <w:hyperlink r:id="rId31">
        <w:r>
          <w:rPr>
            <w:rFonts w:ascii="Times New Roman" w:eastAsia="Times New Roman" w:hAnsi="Times New Roman" w:cs="Times New Roman"/>
            <w:color w:val="1155CC"/>
            <w:sz w:val="24"/>
            <w:szCs w:val="24"/>
            <w:u w:val="single"/>
          </w:rPr>
          <w:t>https://www.cnbc.com/2025/03/25/ev-giant-byd-outpaces-tesla-with-annual-sales-of-over-100-billion.html</w:t>
        </w:r>
      </w:hyperlink>
      <w:r>
        <w:rPr>
          <w:rFonts w:ascii="Times New Roman" w:eastAsia="Times New Roman" w:hAnsi="Times New Roman" w:cs="Times New Roman"/>
          <w:sz w:val="24"/>
          <w:szCs w:val="24"/>
        </w:rPr>
        <w:t xml:space="preserve"> (Accessed: 19 October 2025).</w:t>
      </w:r>
    </w:p>
    <w:p w14:paraId="13FBE4F6" w14:textId="77777777" w:rsidR="003825F6" w:rsidRDefault="003825F6">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Möller</w:t>
      </w:r>
      <w:proofErr w:type="spellEnd"/>
      <w:r>
        <w:rPr>
          <w:rFonts w:ascii="Times New Roman" w:eastAsia="Times New Roman" w:hAnsi="Times New Roman" w:cs="Times New Roman"/>
          <w:sz w:val="24"/>
          <w:szCs w:val="24"/>
        </w:rPr>
        <w:t xml:space="preserve">, T. (2024) </w:t>
      </w:r>
      <w:proofErr w:type="gramStart"/>
      <w:r>
        <w:rPr>
          <w:rFonts w:ascii="Times New Roman" w:eastAsia="Times New Roman" w:hAnsi="Times New Roman" w:cs="Times New Roman"/>
          <w:i/>
          <w:sz w:val="24"/>
          <w:szCs w:val="24"/>
        </w:rPr>
        <w:t>The</w:t>
      </w:r>
      <w:proofErr w:type="gramEnd"/>
      <w:r>
        <w:rPr>
          <w:rFonts w:ascii="Times New Roman" w:eastAsia="Times New Roman" w:hAnsi="Times New Roman" w:cs="Times New Roman"/>
          <w:i/>
          <w:sz w:val="24"/>
          <w:szCs w:val="24"/>
        </w:rPr>
        <w:t xml:space="preserve"> battery chemistries powering the future of electric vehicles</w:t>
      </w:r>
      <w:r>
        <w:rPr>
          <w:rFonts w:ascii="Times New Roman" w:eastAsia="Times New Roman" w:hAnsi="Times New Roman" w:cs="Times New Roman"/>
          <w:sz w:val="24"/>
          <w:szCs w:val="24"/>
        </w:rPr>
        <w:t xml:space="preserve"> | </w:t>
      </w:r>
      <w:r>
        <w:rPr>
          <w:rFonts w:ascii="Times New Roman" w:eastAsia="Times New Roman" w:hAnsi="Times New Roman" w:cs="Times New Roman"/>
          <w:i/>
          <w:sz w:val="24"/>
          <w:szCs w:val="24"/>
        </w:rPr>
        <w:t>McKinsey &amp; Company.</w:t>
      </w:r>
      <w:r>
        <w:rPr>
          <w:rFonts w:ascii="Times New Roman" w:eastAsia="Times New Roman" w:hAnsi="Times New Roman" w:cs="Times New Roman"/>
          <w:sz w:val="24"/>
          <w:szCs w:val="24"/>
        </w:rPr>
        <w:t xml:space="preserve"> Available at: </w:t>
      </w:r>
      <w:hyperlink r:id="rId32">
        <w:r>
          <w:rPr>
            <w:rFonts w:ascii="Times New Roman" w:eastAsia="Times New Roman" w:hAnsi="Times New Roman" w:cs="Times New Roman"/>
            <w:color w:val="1155CC"/>
            <w:sz w:val="24"/>
            <w:szCs w:val="24"/>
            <w:u w:val="single"/>
          </w:rPr>
          <w:t>https://www.mckinsey.com/industries/automotive-and-assembly/our-insights/the-battery-chemistries-powering-the-future-of-electric-vehicles</w:t>
        </w:r>
      </w:hyperlink>
      <w:r>
        <w:rPr>
          <w:rFonts w:ascii="Times New Roman" w:eastAsia="Times New Roman" w:hAnsi="Times New Roman" w:cs="Times New Roman"/>
          <w:sz w:val="24"/>
          <w:szCs w:val="24"/>
        </w:rPr>
        <w:t xml:space="preserve"> (Accessed: 19 October 2025).</w:t>
      </w:r>
    </w:p>
    <w:p w14:paraId="418B7B06" w14:textId="77777777" w:rsidR="003825F6" w:rsidRDefault="003825F6">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Ormston</w:t>
      </w:r>
      <w:proofErr w:type="spellEnd"/>
      <w:r>
        <w:rPr>
          <w:rFonts w:ascii="Times New Roman" w:eastAsia="Times New Roman" w:hAnsi="Times New Roman" w:cs="Times New Roman"/>
          <w:sz w:val="24"/>
          <w:szCs w:val="24"/>
        </w:rPr>
        <w:t xml:space="preserve">, A. (2025) </w:t>
      </w:r>
      <w:r>
        <w:rPr>
          <w:rFonts w:ascii="Times New Roman" w:eastAsia="Times New Roman" w:hAnsi="Times New Roman" w:cs="Times New Roman"/>
          <w:i/>
          <w:sz w:val="24"/>
          <w:szCs w:val="24"/>
        </w:rPr>
        <w:t>PESTLE Analysis: A Guide to Understanding Market Influence |</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B2B International.</w:t>
      </w:r>
      <w:r>
        <w:rPr>
          <w:rFonts w:ascii="Times New Roman" w:eastAsia="Times New Roman" w:hAnsi="Times New Roman" w:cs="Times New Roman"/>
          <w:sz w:val="24"/>
          <w:szCs w:val="24"/>
        </w:rPr>
        <w:t xml:space="preserve"> Available at: </w:t>
      </w:r>
      <w:hyperlink r:id="rId33">
        <w:r>
          <w:rPr>
            <w:rFonts w:ascii="Times New Roman" w:eastAsia="Times New Roman" w:hAnsi="Times New Roman" w:cs="Times New Roman"/>
            <w:color w:val="1155CC"/>
            <w:sz w:val="24"/>
            <w:szCs w:val="24"/>
            <w:u w:val="single"/>
          </w:rPr>
          <w:t>https://www.b2binternational.com/2025/04/03/pestle-analysis/</w:t>
        </w:r>
      </w:hyperlink>
      <w:r>
        <w:rPr>
          <w:rFonts w:ascii="Times New Roman" w:eastAsia="Times New Roman" w:hAnsi="Times New Roman" w:cs="Times New Roman"/>
          <w:sz w:val="24"/>
          <w:szCs w:val="24"/>
        </w:rPr>
        <w:t xml:space="preserve"> (Accessed: 19 October 2025).</w:t>
      </w:r>
    </w:p>
    <w:p w14:paraId="1EFB5DDD" w14:textId="77777777" w:rsidR="003825F6" w:rsidRDefault="003825F6">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Peterdy</w:t>
      </w:r>
      <w:proofErr w:type="spellEnd"/>
      <w:r>
        <w:rPr>
          <w:rFonts w:ascii="Times New Roman" w:eastAsia="Times New Roman" w:hAnsi="Times New Roman" w:cs="Times New Roman"/>
          <w:sz w:val="24"/>
          <w:szCs w:val="24"/>
        </w:rPr>
        <w:t xml:space="preserve">, K. (2025) </w:t>
      </w:r>
      <w:proofErr w:type="spellStart"/>
      <w:r>
        <w:rPr>
          <w:rFonts w:ascii="Times New Roman" w:eastAsia="Times New Roman" w:hAnsi="Times New Roman" w:cs="Times New Roman"/>
          <w:i/>
          <w:sz w:val="24"/>
          <w:szCs w:val="24"/>
        </w:rPr>
        <w:t>Ansoff</w:t>
      </w:r>
      <w:proofErr w:type="spellEnd"/>
      <w:r>
        <w:rPr>
          <w:rFonts w:ascii="Times New Roman" w:eastAsia="Times New Roman" w:hAnsi="Times New Roman" w:cs="Times New Roman"/>
          <w:i/>
          <w:sz w:val="24"/>
          <w:szCs w:val="24"/>
        </w:rPr>
        <w:t xml:space="preserve"> Matrix</w:t>
      </w:r>
      <w:r>
        <w:rPr>
          <w:rFonts w:ascii="Times New Roman" w:eastAsia="Times New Roman" w:hAnsi="Times New Roman" w:cs="Times New Roman"/>
          <w:sz w:val="24"/>
          <w:szCs w:val="24"/>
        </w:rPr>
        <w:t xml:space="preserve"> | </w:t>
      </w:r>
      <w:r>
        <w:rPr>
          <w:rFonts w:ascii="Times New Roman" w:eastAsia="Times New Roman" w:hAnsi="Times New Roman" w:cs="Times New Roman"/>
          <w:i/>
          <w:sz w:val="24"/>
          <w:szCs w:val="24"/>
        </w:rPr>
        <w:t>Corporate Finance Institute</w:t>
      </w:r>
      <w:r>
        <w:rPr>
          <w:rFonts w:ascii="Times New Roman" w:eastAsia="Times New Roman" w:hAnsi="Times New Roman" w:cs="Times New Roman"/>
          <w:sz w:val="24"/>
          <w:szCs w:val="24"/>
        </w:rPr>
        <w:t xml:space="preserve">. Available at: </w:t>
      </w:r>
      <w:hyperlink r:id="rId34">
        <w:r>
          <w:rPr>
            <w:rFonts w:ascii="Times New Roman" w:eastAsia="Times New Roman" w:hAnsi="Times New Roman" w:cs="Times New Roman"/>
            <w:color w:val="1155CC"/>
            <w:sz w:val="24"/>
            <w:szCs w:val="24"/>
            <w:u w:val="single"/>
          </w:rPr>
          <w:t>https://corporatefinanceinstitute.com/resources/management/ansoff-matrix/</w:t>
        </w:r>
      </w:hyperlink>
      <w:r>
        <w:rPr>
          <w:rFonts w:ascii="Times New Roman" w:eastAsia="Times New Roman" w:hAnsi="Times New Roman" w:cs="Times New Roman"/>
          <w:sz w:val="24"/>
          <w:szCs w:val="24"/>
        </w:rPr>
        <w:t xml:space="preserve"> (Accessed: 19 October 2025).</w:t>
      </w:r>
    </w:p>
    <w:p w14:paraId="2C4CA21B" w14:textId="77777777" w:rsidR="003825F6" w:rsidRDefault="003825F6">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Sriram</w:t>
      </w:r>
      <w:proofErr w:type="spellEnd"/>
      <w:r>
        <w:rPr>
          <w:rFonts w:ascii="Times New Roman" w:eastAsia="Times New Roman" w:hAnsi="Times New Roman" w:cs="Times New Roman"/>
          <w:sz w:val="24"/>
          <w:szCs w:val="24"/>
        </w:rPr>
        <w:t xml:space="preserve">, A. and </w:t>
      </w:r>
      <w:proofErr w:type="spellStart"/>
      <w:r>
        <w:rPr>
          <w:rFonts w:ascii="Times New Roman" w:eastAsia="Times New Roman" w:hAnsi="Times New Roman" w:cs="Times New Roman"/>
          <w:sz w:val="24"/>
          <w:szCs w:val="24"/>
        </w:rPr>
        <w:t>Jin</w:t>
      </w:r>
      <w:proofErr w:type="spellEnd"/>
      <w:r>
        <w:rPr>
          <w:rFonts w:ascii="Times New Roman" w:eastAsia="Times New Roman" w:hAnsi="Times New Roman" w:cs="Times New Roman"/>
          <w:sz w:val="24"/>
          <w:szCs w:val="24"/>
        </w:rPr>
        <w:t xml:space="preserve">, H. (2024) </w:t>
      </w:r>
      <w:r>
        <w:rPr>
          <w:rFonts w:ascii="Times New Roman" w:eastAsia="Times New Roman" w:hAnsi="Times New Roman" w:cs="Times New Roman"/>
          <w:i/>
          <w:sz w:val="24"/>
          <w:szCs w:val="24"/>
        </w:rPr>
        <w:t>Tesla drops delivery goal of 20 million vehicles a year from latest report</w:t>
      </w:r>
      <w:r>
        <w:rPr>
          <w:rFonts w:ascii="Times New Roman" w:eastAsia="Times New Roman" w:hAnsi="Times New Roman" w:cs="Times New Roman"/>
          <w:sz w:val="24"/>
          <w:szCs w:val="24"/>
        </w:rPr>
        <w:t xml:space="preserve"> | </w:t>
      </w:r>
      <w:r>
        <w:rPr>
          <w:rFonts w:ascii="Times New Roman" w:eastAsia="Times New Roman" w:hAnsi="Times New Roman" w:cs="Times New Roman"/>
          <w:i/>
          <w:sz w:val="24"/>
          <w:szCs w:val="24"/>
        </w:rPr>
        <w:t>Reuters</w:t>
      </w:r>
      <w:r>
        <w:rPr>
          <w:rFonts w:ascii="Times New Roman" w:eastAsia="Times New Roman" w:hAnsi="Times New Roman" w:cs="Times New Roman"/>
          <w:sz w:val="24"/>
          <w:szCs w:val="24"/>
        </w:rPr>
        <w:t xml:space="preserve">. Available at: </w:t>
      </w:r>
      <w:hyperlink r:id="rId35">
        <w:r>
          <w:rPr>
            <w:rFonts w:ascii="Times New Roman" w:eastAsia="Times New Roman" w:hAnsi="Times New Roman" w:cs="Times New Roman"/>
            <w:color w:val="1155CC"/>
            <w:sz w:val="24"/>
            <w:szCs w:val="24"/>
            <w:u w:val="single"/>
          </w:rPr>
          <w:t>https://www.reuters.com/business/autos-transportation/tesla-drops-reference-its-goal-delivering-20-mln-vehicles-annually-impact-report-2024-05-23/</w:t>
        </w:r>
      </w:hyperlink>
      <w:r>
        <w:rPr>
          <w:rFonts w:ascii="Times New Roman" w:eastAsia="Times New Roman" w:hAnsi="Times New Roman" w:cs="Times New Roman"/>
          <w:sz w:val="24"/>
          <w:szCs w:val="24"/>
        </w:rPr>
        <w:t xml:space="preserve"> (Accessed: 19 October 2025).</w:t>
      </w:r>
    </w:p>
    <w:p w14:paraId="12F3AFD7" w14:textId="77777777" w:rsidR="003825F6" w:rsidRDefault="003825F6">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Tesla (2024) </w:t>
      </w:r>
      <w:r>
        <w:rPr>
          <w:rFonts w:ascii="Times New Roman" w:eastAsia="Times New Roman" w:hAnsi="Times New Roman" w:cs="Times New Roman"/>
          <w:i/>
          <w:sz w:val="24"/>
          <w:szCs w:val="24"/>
        </w:rPr>
        <w:t xml:space="preserve">Q4 and FY 2024 Update. </w:t>
      </w:r>
      <w:r>
        <w:rPr>
          <w:rFonts w:ascii="Times New Roman" w:eastAsia="Times New Roman" w:hAnsi="Times New Roman" w:cs="Times New Roman"/>
          <w:sz w:val="24"/>
          <w:szCs w:val="24"/>
        </w:rPr>
        <w:t xml:space="preserve">Available at: </w:t>
      </w:r>
      <w:hyperlink r:id="rId36">
        <w:r>
          <w:rPr>
            <w:rFonts w:ascii="Times New Roman" w:eastAsia="Times New Roman" w:hAnsi="Times New Roman" w:cs="Times New Roman"/>
            <w:color w:val="1155CC"/>
            <w:sz w:val="24"/>
            <w:szCs w:val="24"/>
            <w:u w:val="single"/>
          </w:rPr>
          <w:t>https://digitalassets.tesla.com/tesla-contents/image/upload/IR/TSLA-Q4-2024-Update.pdf</w:t>
        </w:r>
      </w:hyperlink>
      <w:r>
        <w:rPr>
          <w:rFonts w:ascii="Times New Roman" w:eastAsia="Times New Roman" w:hAnsi="Times New Roman" w:cs="Times New Roman"/>
          <w:sz w:val="24"/>
          <w:szCs w:val="24"/>
        </w:rPr>
        <w:t xml:space="preserve"> (Accessed: 19 October 2025).</w:t>
      </w:r>
    </w:p>
    <w:p w14:paraId="29AD9044" w14:textId="77777777" w:rsidR="003825F6" w:rsidRDefault="003825F6">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Times of India (2025) </w:t>
      </w:r>
      <w:r>
        <w:rPr>
          <w:rFonts w:ascii="Times New Roman" w:eastAsia="Times New Roman" w:hAnsi="Times New Roman" w:cs="Times New Roman"/>
          <w:i/>
          <w:sz w:val="24"/>
          <w:szCs w:val="24"/>
        </w:rPr>
        <w:t xml:space="preserve">Chinese EV giant BYD outpaces Tesla with record-breaking revenue in 2024 | The Times of India. </w:t>
      </w:r>
      <w:r>
        <w:rPr>
          <w:rFonts w:ascii="Times New Roman" w:eastAsia="Times New Roman" w:hAnsi="Times New Roman" w:cs="Times New Roman"/>
          <w:sz w:val="24"/>
          <w:szCs w:val="24"/>
        </w:rPr>
        <w:t xml:space="preserve">Available at: </w:t>
      </w:r>
      <w:hyperlink r:id="rId37">
        <w:r>
          <w:rPr>
            <w:rFonts w:ascii="Times New Roman" w:eastAsia="Times New Roman" w:hAnsi="Times New Roman" w:cs="Times New Roman"/>
            <w:color w:val="1155CC"/>
            <w:sz w:val="24"/>
            <w:szCs w:val="24"/>
            <w:u w:val="single"/>
          </w:rPr>
          <w:t>https://timesofindia.indiatimes.com/auto/cars/chinese-ev-giant-byd-outpaces-tesla-with-record-breaking-revenue-in-2024/articleshow/119459044.cms</w:t>
        </w:r>
      </w:hyperlink>
      <w:r>
        <w:rPr>
          <w:rFonts w:ascii="Times New Roman" w:eastAsia="Times New Roman" w:hAnsi="Times New Roman" w:cs="Times New Roman"/>
          <w:sz w:val="24"/>
          <w:szCs w:val="24"/>
        </w:rPr>
        <w:t xml:space="preserve"> (Accessed: 19 October 2025).</w:t>
      </w:r>
    </w:p>
    <w:p w14:paraId="02844D49" w14:textId="77777777" w:rsidR="003825F6" w:rsidRDefault="003825F6">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Tradingkey</w:t>
      </w:r>
      <w:proofErr w:type="spellEnd"/>
      <w:r>
        <w:rPr>
          <w:rFonts w:ascii="Times New Roman" w:eastAsia="Times New Roman" w:hAnsi="Times New Roman" w:cs="Times New Roman"/>
          <w:sz w:val="24"/>
          <w:szCs w:val="24"/>
        </w:rPr>
        <w:t xml:space="preserve"> (2025) </w:t>
      </w:r>
      <w:r>
        <w:rPr>
          <w:rFonts w:ascii="Times New Roman" w:eastAsia="Times New Roman" w:hAnsi="Times New Roman" w:cs="Times New Roman"/>
          <w:i/>
          <w:sz w:val="24"/>
          <w:szCs w:val="24"/>
        </w:rPr>
        <w:t>Tesla in 2025: Brilliance, Bottlenecks, and the Billion-Dollar Question</w:t>
      </w:r>
      <w:r>
        <w:rPr>
          <w:rFonts w:ascii="Times New Roman" w:eastAsia="Times New Roman" w:hAnsi="Times New Roman" w:cs="Times New Roman"/>
          <w:sz w:val="24"/>
          <w:szCs w:val="24"/>
        </w:rPr>
        <w:t xml:space="preserve">. Available at: </w:t>
      </w:r>
      <w:hyperlink r:id="rId38">
        <w:r>
          <w:rPr>
            <w:rFonts w:ascii="Times New Roman" w:eastAsia="Times New Roman" w:hAnsi="Times New Roman" w:cs="Times New Roman"/>
            <w:color w:val="1155CC"/>
            <w:sz w:val="24"/>
            <w:szCs w:val="24"/>
            <w:u w:val="single"/>
          </w:rPr>
          <w:t>https://www.mitrade.com/insights/news/live-news/article-8-717145-20250325</w:t>
        </w:r>
      </w:hyperlink>
      <w:r>
        <w:rPr>
          <w:rFonts w:ascii="Times New Roman" w:eastAsia="Times New Roman" w:hAnsi="Times New Roman" w:cs="Times New Roman"/>
          <w:sz w:val="24"/>
          <w:szCs w:val="24"/>
        </w:rPr>
        <w:t xml:space="preserve"> (Accessed: 19 October 2025).</w:t>
      </w:r>
    </w:p>
    <w:p w14:paraId="28958F0F" w14:textId="77777777" w:rsidR="003825F6" w:rsidRDefault="003825F6">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Varadarajan</w:t>
      </w:r>
      <w:proofErr w:type="spellEnd"/>
      <w:r>
        <w:rPr>
          <w:rFonts w:ascii="Times New Roman" w:eastAsia="Times New Roman" w:hAnsi="Times New Roman" w:cs="Times New Roman"/>
          <w:sz w:val="24"/>
          <w:szCs w:val="24"/>
          <w:highlight w:val="white"/>
        </w:rPr>
        <w:t xml:space="preserve">, R., Yadav, M.S. and Shankar, V. (2008) ‘First-mover advantage in an internet-enabled market environment: conceptual framework and propositions’. </w:t>
      </w:r>
      <w:r>
        <w:rPr>
          <w:rFonts w:ascii="Times New Roman" w:eastAsia="Times New Roman" w:hAnsi="Times New Roman" w:cs="Times New Roman"/>
          <w:i/>
          <w:sz w:val="24"/>
          <w:szCs w:val="24"/>
          <w:highlight w:val="white"/>
        </w:rPr>
        <w:t>Journal of the Academy of Marketing Science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36</w:t>
      </w:r>
      <w:r>
        <w:rPr>
          <w:rFonts w:ascii="Times New Roman" w:eastAsia="Times New Roman" w:hAnsi="Times New Roman" w:cs="Times New Roman"/>
          <w:sz w:val="24"/>
          <w:szCs w:val="24"/>
          <w:highlight w:val="white"/>
        </w:rPr>
        <w:t xml:space="preserve">(3), pp. 293-308. Available at: </w:t>
      </w:r>
      <w:hyperlink r:id="rId39">
        <w:r>
          <w:rPr>
            <w:rFonts w:ascii="Times New Roman" w:eastAsia="Times New Roman" w:hAnsi="Times New Roman" w:cs="Times New Roman"/>
            <w:color w:val="1155CC"/>
            <w:sz w:val="24"/>
            <w:szCs w:val="24"/>
            <w:highlight w:val="white"/>
            <w:u w:val="single"/>
          </w:rPr>
          <w:t>https://www.researchgate.net/profile/Rajan-Varadarajan-2/publication/227158218_First-mover_advantage_in_an_Internet-enabled_market_environment_Conceptual_framework_and_propositions/links/0fcfd50a17102bdb11000000/First-mover-advantage-in-an-Internet-enabled-market-environment-Conceptual-framework-and-propositions.pdf</w:t>
        </w:r>
      </w:hyperlink>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rPr>
        <w:t>(Accessed: 19 October 2025).</w:t>
      </w:r>
    </w:p>
    <w:p w14:paraId="0C9E0C5E" w14:textId="77777777" w:rsidR="003825F6" w:rsidRDefault="003825F6">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Volkswagen Group (2025) </w:t>
      </w:r>
      <w:r>
        <w:rPr>
          <w:rFonts w:ascii="Times New Roman" w:eastAsia="Times New Roman" w:hAnsi="Times New Roman" w:cs="Times New Roman"/>
          <w:i/>
          <w:sz w:val="24"/>
          <w:szCs w:val="24"/>
        </w:rPr>
        <w:t>Volkswagen Group with mixed start to FY 2025; strong product momentum and focus on cost discipline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Volkswagen Group.</w:t>
      </w:r>
      <w:r>
        <w:rPr>
          <w:rFonts w:ascii="Times New Roman" w:eastAsia="Times New Roman" w:hAnsi="Times New Roman" w:cs="Times New Roman"/>
          <w:sz w:val="24"/>
          <w:szCs w:val="24"/>
        </w:rPr>
        <w:t xml:space="preserve"> Available at: </w:t>
      </w:r>
      <w:hyperlink r:id="rId40">
        <w:r>
          <w:rPr>
            <w:rFonts w:ascii="Times New Roman" w:eastAsia="Times New Roman" w:hAnsi="Times New Roman" w:cs="Times New Roman"/>
            <w:color w:val="1155CC"/>
            <w:sz w:val="24"/>
            <w:szCs w:val="24"/>
            <w:u w:val="single"/>
          </w:rPr>
          <w:t>https://www.volkswagen-group.com/en/press-releases/volkswagen-group-with-mixed-start-to-fy-2025-strong-product-momentum-and-focus-on-cost-discipline-19223</w:t>
        </w:r>
      </w:hyperlink>
      <w:r>
        <w:rPr>
          <w:rFonts w:ascii="Times New Roman" w:eastAsia="Times New Roman" w:hAnsi="Times New Roman" w:cs="Times New Roman"/>
          <w:sz w:val="24"/>
          <w:szCs w:val="24"/>
        </w:rPr>
        <w:t xml:space="preserve"> (Accessed: 19 October 2025).</w:t>
      </w:r>
    </w:p>
    <w:p w14:paraId="264D3B6E" w14:textId="77777777" w:rsidR="003825F6" w:rsidRDefault="003825F6">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Walz</w:t>
      </w:r>
      <w:proofErr w:type="spellEnd"/>
      <w:r>
        <w:rPr>
          <w:rFonts w:ascii="Times New Roman" w:eastAsia="Times New Roman" w:hAnsi="Times New Roman" w:cs="Times New Roman"/>
          <w:sz w:val="24"/>
          <w:szCs w:val="24"/>
        </w:rPr>
        <w:t xml:space="preserve">, E. (2025) </w:t>
      </w:r>
      <w:r>
        <w:rPr>
          <w:rFonts w:ascii="Times New Roman" w:eastAsia="Times New Roman" w:hAnsi="Times New Roman" w:cs="Times New Roman"/>
          <w:i/>
          <w:sz w:val="24"/>
          <w:szCs w:val="24"/>
        </w:rPr>
        <w:t>Hyundai’s revenue jumped 11.9% in 2024</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WardsAuto</w:t>
      </w:r>
      <w:proofErr w:type="spellEnd"/>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 Available at: </w:t>
      </w:r>
      <w:hyperlink r:id="rId41">
        <w:r>
          <w:rPr>
            <w:rFonts w:ascii="Times New Roman" w:eastAsia="Times New Roman" w:hAnsi="Times New Roman" w:cs="Times New Roman"/>
            <w:color w:val="1155CC"/>
            <w:sz w:val="24"/>
            <w:szCs w:val="24"/>
            <w:u w:val="single"/>
          </w:rPr>
          <w:t>https://www.wardsauto.com/news/archive-auto-hyundai-motor-reports-q4-earnings-2024-revenue-jump-vehicle-sales/738386/</w:t>
        </w:r>
      </w:hyperlink>
      <w:r>
        <w:rPr>
          <w:rFonts w:ascii="Times New Roman" w:eastAsia="Times New Roman" w:hAnsi="Times New Roman" w:cs="Times New Roman"/>
          <w:sz w:val="24"/>
          <w:szCs w:val="24"/>
        </w:rPr>
        <w:t xml:space="preserve"> (Accessed: 19 October 2025).</w:t>
      </w:r>
    </w:p>
    <w:p w14:paraId="7BEDB729" w14:textId="1C329E23" w:rsidR="001A6B06" w:rsidRDefault="003825F6">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Williment</w:t>
      </w:r>
      <w:proofErr w:type="spellEnd"/>
      <w:r>
        <w:rPr>
          <w:rFonts w:ascii="Times New Roman" w:eastAsia="Times New Roman" w:hAnsi="Times New Roman" w:cs="Times New Roman"/>
          <w:sz w:val="24"/>
          <w:szCs w:val="24"/>
        </w:rPr>
        <w:t xml:space="preserve">, C. (2025) </w:t>
      </w:r>
      <w:proofErr w:type="gramStart"/>
      <w:r>
        <w:rPr>
          <w:rFonts w:ascii="Times New Roman" w:eastAsia="Times New Roman" w:hAnsi="Times New Roman" w:cs="Times New Roman"/>
          <w:i/>
          <w:sz w:val="24"/>
          <w:szCs w:val="24"/>
        </w:rPr>
        <w:t>How</w:t>
      </w:r>
      <w:proofErr w:type="gramEnd"/>
      <w:r>
        <w:rPr>
          <w:rFonts w:ascii="Times New Roman" w:eastAsia="Times New Roman" w:hAnsi="Times New Roman" w:cs="Times New Roman"/>
          <w:i/>
          <w:sz w:val="24"/>
          <w:szCs w:val="24"/>
        </w:rPr>
        <w:t xml:space="preserve"> are EVs Powering Hyundai’s Journey to Net Zero by 2045?</w:t>
      </w:r>
      <w:r>
        <w:rPr>
          <w:rFonts w:ascii="Times New Roman" w:eastAsia="Times New Roman" w:hAnsi="Times New Roman" w:cs="Times New Roman"/>
          <w:sz w:val="24"/>
          <w:szCs w:val="24"/>
        </w:rPr>
        <w:t xml:space="preserve"> Available at: </w:t>
      </w:r>
      <w:hyperlink r:id="rId42">
        <w:r>
          <w:rPr>
            <w:rFonts w:ascii="Times New Roman" w:eastAsia="Times New Roman" w:hAnsi="Times New Roman" w:cs="Times New Roman"/>
            <w:color w:val="1155CC"/>
            <w:sz w:val="24"/>
            <w:szCs w:val="24"/>
            <w:u w:val="single"/>
          </w:rPr>
          <w:t>https://evmagazine.com/news/how-evs-are-powering-hyundais-journey-to-net-zero-by-2045</w:t>
        </w:r>
      </w:hyperlink>
      <w:r>
        <w:rPr>
          <w:rFonts w:ascii="Times New Roman" w:eastAsia="Times New Roman" w:hAnsi="Times New Roman" w:cs="Times New Roman"/>
          <w:sz w:val="24"/>
          <w:szCs w:val="24"/>
        </w:rPr>
        <w:t xml:space="preserve"> (Accessed: 19 October 2025).</w:t>
      </w:r>
    </w:p>
    <w:p w14:paraId="045DC3F1" w14:textId="40E67C95" w:rsidR="003825F6" w:rsidRDefault="003825F6" w:rsidP="005A3B55">
      <w:pPr>
        <w:rPr>
          <w:rFonts w:ascii="Times New Roman" w:eastAsia="Times New Roman" w:hAnsi="Times New Roman" w:cs="Times New Roman"/>
          <w:sz w:val="24"/>
          <w:szCs w:val="24"/>
        </w:rPr>
      </w:pPr>
    </w:p>
    <w:sectPr w:rsidR="003825F6">
      <w:footerReference w:type="default" r:id="rId43"/>
      <w:footerReference w:type="first" r:id="rId44"/>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4E43851" w14:textId="77777777" w:rsidR="003A0BD6" w:rsidRDefault="003A0BD6">
      <w:pPr>
        <w:spacing w:line="240" w:lineRule="auto"/>
      </w:pPr>
      <w:r>
        <w:separator/>
      </w:r>
    </w:p>
  </w:endnote>
  <w:endnote w:type="continuationSeparator" w:id="0">
    <w:p w14:paraId="191DB6E4" w14:textId="77777777" w:rsidR="003A0BD6" w:rsidRDefault="003A0BD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2A162C4" w14:textId="77777777" w:rsidR="00BA46DF" w:rsidRDefault="003A0BD6">
    <w:pPr>
      <w:jc w:val="right"/>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7F08AA">
      <w:rPr>
        <w:rFonts w:ascii="Times New Roman" w:eastAsia="Times New Roman" w:hAnsi="Times New Roman" w:cs="Times New Roman"/>
        <w:noProof/>
        <w:sz w:val="24"/>
        <w:szCs w:val="24"/>
      </w:rPr>
      <w:t>16</w:t>
    </w:r>
    <w:r>
      <w:rPr>
        <w:rFonts w:ascii="Times New Roman" w:eastAsia="Times New Roman" w:hAnsi="Times New Roman" w:cs="Times New Roman"/>
        <w:sz w:val="24"/>
        <w:szCs w:val="24"/>
      </w:rP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D78D1E3" w14:textId="77777777" w:rsidR="00BA46DF" w:rsidRDefault="00BA46DF"/>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07FDF34" w14:textId="77777777" w:rsidR="003A0BD6" w:rsidRDefault="003A0BD6">
      <w:pPr>
        <w:spacing w:line="240" w:lineRule="auto"/>
      </w:pPr>
      <w:r>
        <w:separator/>
      </w:r>
    </w:p>
  </w:footnote>
  <w:footnote w:type="continuationSeparator" w:id="0">
    <w:p w14:paraId="6C43828C" w14:textId="77777777" w:rsidR="003A0BD6" w:rsidRDefault="003A0BD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46DF"/>
    <w:rsid w:val="00113EA7"/>
    <w:rsid w:val="0014791B"/>
    <w:rsid w:val="001A6B06"/>
    <w:rsid w:val="00232ABE"/>
    <w:rsid w:val="00311F51"/>
    <w:rsid w:val="003825F6"/>
    <w:rsid w:val="003A0BD6"/>
    <w:rsid w:val="005A3B55"/>
    <w:rsid w:val="00673274"/>
    <w:rsid w:val="007F08AA"/>
    <w:rsid w:val="00944D84"/>
    <w:rsid w:val="00A117BA"/>
    <w:rsid w:val="00A52DA2"/>
    <w:rsid w:val="00BA46DF"/>
    <w:rsid w:val="00D13968"/>
    <w:rsid w:val="00EA0060"/>
    <w:rsid w:val="00F04083"/>
    <w:rsid w:val="00FB2C2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4E8CCA3"/>
  <w15:docId w15:val="{D65815BA-F0B7-4E1B-806A-49DE7314D0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before="200" w:after="200"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doi.org/10.3390/en16062925" TargetMode="External"/><Relationship Id="rId18" Type="http://schemas.openxmlformats.org/officeDocument/2006/relationships/hyperlink" Target="https://www.consilium.europa.eu/en/press/press-releases/2023/03/28/fit-for-55-council-adopts-regulation-on-co2-emissions-for-new-cars-and-vans/pdf" TargetMode="External"/><Relationship Id="rId26" Type="http://schemas.openxmlformats.org/officeDocument/2006/relationships/hyperlink" Target="https://www.ig.com/en/news-and-trade-ideas/byd_2024_earnings-250326" TargetMode="External"/><Relationship Id="rId39" Type="http://schemas.openxmlformats.org/officeDocument/2006/relationships/hyperlink" Target="https://www.researchgate.net/profile/Rajan-Varadarajan-2/publication/227158218_First-mover_advantage_in_an_Internet-enabled_market_environment_Conceptual_framework_and_propositions/links/0fcfd50a17102bdb11000000/First-mover-advantage-in-an-Internet-enabled-market-environment-Conceptual-framework-and-propositions.pdf" TargetMode="External"/><Relationship Id="rId3" Type="http://schemas.openxmlformats.org/officeDocument/2006/relationships/webSettings" Target="webSettings.xml"/><Relationship Id="rId21" Type="http://schemas.openxmlformats.org/officeDocument/2006/relationships/hyperlink" Target="https://fastercapital.com/content/The-First-Mover-Advantage--Early-Adopters-and-Industry-Disruption.html" TargetMode="External"/><Relationship Id="rId34" Type="http://schemas.openxmlformats.org/officeDocument/2006/relationships/hyperlink" Target="https://corporatefinanceinstitute.com/resources/management/ansoff-matrix/" TargetMode="External"/><Relationship Id="rId42" Type="http://schemas.openxmlformats.org/officeDocument/2006/relationships/hyperlink" Target="https://evmagazine.com/news/how-evs-are-powering-hyundais-journey-to-net-zero-by-2045"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bydukmedia.com/en/news-articles/byd-reports-its-financial-results-in-2024-revenue-hits-777.1-billion-yuan%2C-up-23-year-on-year.html" TargetMode="External"/><Relationship Id="rId25" Type="http://schemas.openxmlformats.org/officeDocument/2006/relationships/hyperlink" Target="https://www.iea.org/reports/global-ev-outlook-2025/outlook-for-electric-mobility" TargetMode="External"/><Relationship Id="rId33" Type="http://schemas.openxmlformats.org/officeDocument/2006/relationships/hyperlink" Target="https://www.b2binternational.com/2025/04/03/pestle-analysis/" TargetMode="External"/><Relationship Id="rId38" Type="http://schemas.openxmlformats.org/officeDocument/2006/relationships/hyperlink" Target="https://www.mitrade.com/insights/news/live-news/article-8-717145-20250325" TargetMode="External"/><Relationship Id="rId46"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onlinelibrary.wiley.com/doi/pdf/10.1002/bse.2430" TargetMode="External"/><Relationship Id="rId20" Type="http://schemas.openxmlformats.org/officeDocument/2006/relationships/hyperlink" Target="https://www.europarl.europa.eu/news/en/press-room/20230210IPR74715/fit-for-55-zero-co2-emissions-for-new-cars-and-vans-in-2035" TargetMode="External"/><Relationship Id="rId29" Type="http://schemas.openxmlformats.org/officeDocument/2006/relationships/hyperlink" Target="https://www.cnbc.com/2025/01/02/tesla-tsla-q4-2024-vehicle-delivery-and-production-numbers.html" TargetMode="External"/><Relationship Id="rId41" Type="http://schemas.openxmlformats.org/officeDocument/2006/relationships/hyperlink" Target="https://www.wardsauto.com/news/archive-auto-hyundai-motor-reports-q4-earnings-2024-revenue-jump-vehicle-sales/738386/"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iea.org/reports/global-ev-outlook-2025/electric-vehicle-batteries" TargetMode="External"/><Relationship Id="rId32" Type="http://schemas.openxmlformats.org/officeDocument/2006/relationships/hyperlink" Target="https://www.mckinsey.com/industries/automotive-and-assembly/our-insights/the-battery-chemistries-powering-the-future-of-electric-vehicles" TargetMode="External"/><Relationship Id="rId37" Type="http://schemas.openxmlformats.org/officeDocument/2006/relationships/hyperlink" Target="https://timesofindia.indiatimes.com/auto/cars/chinese-ev-giant-byd-outpaces-tesla-with-record-breaking-revenue-in-2024/articleshow/119459044.cms" TargetMode="External"/><Relationship Id="rId40" Type="http://schemas.openxmlformats.org/officeDocument/2006/relationships/hyperlink" Target="https://www.volkswagen-group.com/en/press-releases/volkswagen-group-with-mixed-start-to-fy-2025-strong-product-momentum-and-focus-on-cost-discipline-19223" TargetMode="External"/><Relationship Id="rId45"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reuters.com/business/autos-transportation/eu-sticks-2035-zero-emissions-target-new-cars-2025-03-05/" TargetMode="External"/><Relationship Id="rId23" Type="http://schemas.openxmlformats.org/officeDocument/2006/relationships/hyperlink" Target="https://www.iea.org/reports/global-ev-outlook-2024/outlook-for-electric-mobility" TargetMode="External"/><Relationship Id="rId28" Type="http://schemas.openxmlformats.org/officeDocument/2006/relationships/hyperlink" Target="https://www.researchgate.net/profile/Sali-Asli/publication/360928851_Application_of_neural_network_in_portfolio_product_companies_Integration_of_Boston_Consulting_Group_matrix_and_Ansoff_matrix/links/629340546886635d5cad0cbf/Application-of-neural-network-in-portfolio-product-companies-Integration-of-Boston-Consulting-Group-matrix-and-Ansoff-matrix.pdf" TargetMode="External"/><Relationship Id="rId36" Type="http://schemas.openxmlformats.org/officeDocument/2006/relationships/hyperlink" Target="https://digitalassets.tesla.com/tesla-contents/image/upload/IR/TSLA-Q4-2024-Update.pdf" TargetMode="External"/><Relationship Id="rId10" Type="http://schemas.openxmlformats.org/officeDocument/2006/relationships/image" Target="media/image5.png"/><Relationship Id="rId19" Type="http://schemas.openxmlformats.org/officeDocument/2006/relationships/hyperlink" Target="https://www.electrive.com/2025/01/14/2024-balance-sheet-volkswagen-group-sells-fewer-electric-cars/" TargetMode="External"/><Relationship Id="rId31" Type="http://schemas.openxmlformats.org/officeDocument/2006/relationships/hyperlink" Target="https://www.cnbc.com/2025/03/25/ev-giant-byd-outpaces-tesla-with-annual-sales-of-over-100-billion.html" TargetMode="External"/><Relationship Id="rId44"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www.best-selling-cars.com/brands/2024-full-year-global-volkswagen-group-electric-car-sales-worldwide-by-brand-and-model/" TargetMode="External"/><Relationship Id="rId22" Type="http://schemas.openxmlformats.org/officeDocument/2006/relationships/hyperlink" Target="https://www.hyundai.com/worldwide/en/newsroom/detail/hyundai-motor-announces-2024-annual-and-q4-business-results-0000000897" TargetMode="External"/><Relationship Id="rId27" Type="http://schemas.openxmlformats.org/officeDocument/2006/relationships/hyperlink" Target="https://doi.org/10.3390/su16041570" TargetMode="External"/><Relationship Id="rId30" Type="http://schemas.openxmlformats.org/officeDocument/2006/relationships/hyperlink" Target="https://www.macrotrends.net/stocks/charts/TSLA/tesla/research-development-expenses" TargetMode="External"/><Relationship Id="rId35" Type="http://schemas.openxmlformats.org/officeDocument/2006/relationships/hyperlink" Target="https://www.reuters.com/business/autos-transportation/tesla-drops-reference-its-goal-delivering-20-mln-vehicles-annually-impact-report-2024-05-23/" TargetMode="External"/><Relationship Id="rId43"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17</Pages>
  <Words>4302</Words>
  <Characters>24523</Characters>
  <Application>Microsoft Office Word</Application>
  <DocSecurity>0</DocSecurity>
  <Lines>204</Lines>
  <Paragraphs>57</Paragraphs>
  <ScaleCrop>false</ScaleCrop>
  <Company/>
  <LinksUpToDate>false</LinksUpToDate>
  <CharactersWithSpaces>28768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NAVU</dc:creator>
  <cp:lastModifiedBy>Microsoft account</cp:lastModifiedBy>
  <cp:revision>2</cp:revision>
  <dcterms:created xsi:type="dcterms:W3CDTF">2025-10-23T21:59:00Z</dcterms:created>
  <dcterms:modified xsi:type="dcterms:W3CDTF">2025-10-23T21:59:00Z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43230191-6ad7-4916-95f3-6690e7e839d0</vt:lpwstr>
  </property>
</Properties>
</file>