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A88FCC" wp14:paraId="086E6988" wp14:textId="4400240A">
      <w:pPr>
        <w:pStyle w:val="Normal"/>
        <w:spacing w:before="240" w:beforeAutospacing="off" w:after="240" w:afterAutospacing="off"/>
        <w:rPr>
          <w:rFonts w:ascii="Aptos" w:hAnsi="Aptos" w:eastAsia="Aptos" w:cs="Aptos"/>
          <w:b w:val="1"/>
          <w:bCs w:val="1"/>
          <w:noProof w:val="0"/>
          <w:sz w:val="36"/>
          <w:szCs w:val="36"/>
          <w:lang w:val="en-GB"/>
        </w:rPr>
      </w:pPr>
      <w:r w:rsidRPr="15A88FCC" w:rsidR="48940473">
        <w:rPr>
          <w:rFonts w:ascii="Aptos" w:hAnsi="Aptos" w:eastAsia="Aptos" w:cs="Aptos"/>
          <w:b w:val="1"/>
          <w:bCs w:val="1"/>
          <w:noProof w:val="0"/>
          <w:sz w:val="36"/>
          <w:szCs w:val="36"/>
          <w:lang w:val="en-GB"/>
        </w:rPr>
        <w:t>Name:</w:t>
      </w:r>
      <w:r w:rsidRPr="15A88FCC" w:rsidR="48940473">
        <w:rPr>
          <w:rFonts w:ascii="Aptos" w:hAnsi="Aptos" w:eastAsia="Aptos" w:cs="Aptos"/>
          <w:b w:val="1"/>
          <w:bCs w:val="1"/>
          <w:noProof w:val="0"/>
          <w:sz w:val="36"/>
          <w:szCs w:val="36"/>
          <w:lang w:val="en-GB"/>
        </w:rPr>
        <w:t xml:space="preserve"> </w:t>
      </w:r>
      <w:r w:rsidRPr="15A88FCC" w:rsidR="0A35B6FC">
        <w:rPr>
          <w:rFonts w:ascii="Aptos" w:hAnsi="Aptos" w:eastAsia="Aptos" w:cs="Aptos"/>
          <w:b w:val="1"/>
          <w:bCs w:val="1"/>
          <w:noProof w:val="0"/>
          <w:sz w:val="36"/>
          <w:szCs w:val="36"/>
          <w:lang w:val="en-GB"/>
        </w:rPr>
        <w:t>Lula Baqa</w:t>
      </w:r>
    </w:p>
    <w:p xmlns:wp14="http://schemas.microsoft.com/office/word/2010/wordml" w:rsidP="15A88FCC" wp14:paraId="0212A538" wp14:textId="62F37955">
      <w:pPr>
        <w:rPr>
          <w:rFonts w:ascii="Aptos" w:hAnsi="Aptos" w:eastAsia="Aptos" w:cs="Aptos"/>
          <w:b w:val="1"/>
          <w:bCs w:val="1"/>
          <w:noProof w:val="0"/>
          <w:sz w:val="36"/>
          <w:szCs w:val="36"/>
          <w:lang w:val="en-GB"/>
        </w:rPr>
      </w:pPr>
      <w:r w:rsidRPr="15A88FCC" w:rsidR="48940473">
        <w:rPr>
          <w:rFonts w:ascii="Aptos" w:hAnsi="Aptos" w:eastAsia="Aptos" w:cs="Aptos"/>
          <w:b w:val="1"/>
          <w:bCs w:val="1"/>
          <w:noProof w:val="0"/>
          <w:sz w:val="36"/>
          <w:szCs w:val="36"/>
          <w:lang w:val="en-GB"/>
        </w:rPr>
        <w:t>Student I</w:t>
      </w:r>
      <w:r w:rsidRPr="15A88FCC" w:rsidR="48940473">
        <w:rPr>
          <w:rFonts w:ascii="Aptos" w:hAnsi="Aptos" w:eastAsia="Aptos" w:cs="Aptos"/>
          <w:b w:val="1"/>
          <w:bCs w:val="1"/>
          <w:noProof w:val="0"/>
          <w:sz w:val="36"/>
          <w:szCs w:val="36"/>
          <w:lang w:val="en-GB"/>
        </w:rPr>
        <w:t xml:space="preserve">D: </w:t>
      </w:r>
      <w:r w:rsidRPr="15A88FCC" w:rsidR="73E49420">
        <w:rPr>
          <w:rFonts w:ascii="Aptos" w:hAnsi="Aptos" w:eastAsia="Aptos" w:cs="Aptos"/>
          <w:b w:val="1"/>
          <w:bCs w:val="1"/>
          <w:noProof w:val="0"/>
          <w:sz w:val="36"/>
          <w:szCs w:val="36"/>
          <w:lang w:val="en-GB"/>
        </w:rPr>
        <w:t>2325989</w:t>
      </w:r>
    </w:p>
    <w:p xmlns:wp14="http://schemas.microsoft.com/office/word/2010/wordml" w:rsidP="15A88FCC" wp14:paraId="78A0E2E8" wp14:textId="7140924D">
      <w:pPr>
        <w:rPr>
          <w:rFonts w:ascii="Aptos" w:hAnsi="Aptos" w:eastAsia="Aptos" w:cs="Aptos"/>
          <w:b w:val="1"/>
          <w:bCs w:val="1"/>
          <w:noProof w:val="0"/>
          <w:sz w:val="36"/>
          <w:szCs w:val="36"/>
          <w:lang w:val="en-GB"/>
        </w:rPr>
      </w:pPr>
      <w:r w:rsidRPr="15A88FCC" w:rsidR="48940473">
        <w:rPr>
          <w:rFonts w:ascii="Aptos" w:hAnsi="Aptos" w:eastAsia="Aptos" w:cs="Aptos"/>
          <w:b w:val="1"/>
          <w:bCs w:val="1"/>
          <w:noProof w:val="0"/>
          <w:sz w:val="36"/>
          <w:szCs w:val="36"/>
          <w:lang w:val="en-GB"/>
        </w:rPr>
        <w:t>Module:</w:t>
      </w:r>
      <w:r w:rsidRPr="15A88FCC" w:rsidR="48940473">
        <w:rPr>
          <w:rFonts w:ascii="Aptos" w:hAnsi="Aptos" w:eastAsia="Aptos" w:cs="Aptos"/>
          <w:b w:val="1"/>
          <w:bCs w:val="1"/>
          <w:noProof w:val="0"/>
          <w:sz w:val="36"/>
          <w:szCs w:val="36"/>
          <w:lang w:val="en-GB"/>
        </w:rPr>
        <w:t xml:space="preserve"> </w:t>
      </w:r>
      <w:r w:rsidRPr="15A88FCC" w:rsidR="0AAB3D76">
        <w:rPr>
          <w:rFonts w:ascii="Aptos" w:hAnsi="Aptos" w:eastAsia="Aptos" w:cs="Aptos"/>
          <w:b w:val="1"/>
          <w:bCs w:val="1"/>
          <w:noProof w:val="0"/>
          <w:sz w:val="36"/>
          <w:szCs w:val="36"/>
          <w:lang w:val="en-GB"/>
        </w:rPr>
        <w:t>BMNS4014</w:t>
      </w:r>
    </w:p>
    <w:p xmlns:wp14="http://schemas.microsoft.com/office/word/2010/wordml" w:rsidP="15A88FCC" wp14:paraId="2AC0E13B" wp14:textId="079C527A">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2FF6F748" wp14:textId="7A2B962C">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2977EFDC" wp14:textId="2A0F1D7F">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33612AFA" wp14:textId="109A075D">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2AD41EEC" wp14:textId="29B00E99">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46504851" wp14:textId="1DDB1701">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06ED1E8A" wp14:textId="55AAE1F7">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5EB0F533" wp14:textId="6BA9AF61">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36E7A543" wp14:textId="10E5D20C">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1CC887F5" wp14:textId="7F0A6EEE">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5CDAA8DE" wp14:textId="2761DE98">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2F31284C" wp14:textId="668B9585">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5B6EEAA8" wp14:textId="413638C5">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198ADA0A" wp14:textId="4AE079DA">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19E2C934" wp14:textId="3A5ADF2B">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2BDA2E43" wp14:textId="394A8DD9">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6D060D6C" wp14:textId="72F97FF8">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078CB4A8" wp14:textId="1664486B">
      <w:pPr>
        <w:pStyle w:val="Normal"/>
        <w:spacing w:before="240" w:beforeAutospacing="off" w:after="240" w:afterAutospacing="off"/>
        <w:rPr>
          <w:rFonts w:ascii="Aptos" w:hAnsi="Aptos" w:eastAsia="Aptos" w:cs="Aptos"/>
          <w:b w:val="1"/>
          <w:bCs w:val="1"/>
          <w:noProof w:val="0"/>
          <w:sz w:val="24"/>
          <w:szCs w:val="24"/>
          <w:lang w:val="en-GB"/>
        </w:rPr>
      </w:pPr>
    </w:p>
    <w:p xmlns:wp14="http://schemas.microsoft.com/office/word/2010/wordml" w:rsidP="15A88FCC" wp14:paraId="667447AC" wp14:textId="570D50A6">
      <w:pPr>
        <w:pStyle w:val="ListParagraph"/>
        <w:numPr>
          <w:ilvl w:val="0"/>
          <w:numId w:val="1"/>
        </w:numPr>
        <w:spacing w:before="0" w:beforeAutospacing="off" w:after="0" w:afterAutospacing="off"/>
        <w:rPr>
          <w:noProof w:val="0"/>
          <w:lang w:val="en-GB"/>
        </w:rPr>
      </w:pPr>
      <w:r w:rsidRPr="15A88FCC" w:rsidR="35F51673">
        <w:rPr>
          <w:noProof w:val="0"/>
          <w:lang w:val="en-GB"/>
        </w:rPr>
        <w:t>Introduction ............................................................................. 1</w:t>
      </w:r>
    </w:p>
    <w:p xmlns:wp14="http://schemas.microsoft.com/office/word/2010/wordml" w:rsidP="15A88FCC" wp14:paraId="6D6BC712" wp14:textId="7DFB8F48">
      <w:pPr>
        <w:pStyle w:val="ListParagraph"/>
        <w:numPr>
          <w:ilvl w:val="0"/>
          <w:numId w:val="1"/>
        </w:numPr>
        <w:spacing w:before="0" w:beforeAutospacing="off" w:after="0" w:afterAutospacing="off"/>
        <w:rPr>
          <w:noProof w:val="0"/>
          <w:lang w:val="en-GB"/>
        </w:rPr>
      </w:pPr>
      <w:r w:rsidRPr="15A88FCC" w:rsidR="35F51673">
        <w:rPr>
          <w:noProof w:val="0"/>
          <w:lang w:val="en-GB"/>
        </w:rPr>
        <w:t>Early Childhood (0–8 Years) .................................................. 2</w:t>
      </w:r>
      <w:r>
        <w:br/>
      </w:r>
      <w:r w:rsidRPr="15A88FCC" w:rsidR="35F51673">
        <w:rPr>
          <w:noProof w:val="0"/>
          <w:lang w:val="en-GB"/>
        </w:rPr>
        <w:t> 2.1 Positive Influences ............................................................. 2</w:t>
      </w:r>
      <w:r>
        <w:br/>
      </w:r>
      <w:r w:rsidRPr="15A88FCC" w:rsidR="35F51673">
        <w:rPr>
          <w:noProof w:val="0"/>
          <w:lang w:val="en-GB"/>
        </w:rPr>
        <w:t> 2.2 Negative Influences ............................................................. 3</w:t>
      </w:r>
    </w:p>
    <w:p xmlns:wp14="http://schemas.microsoft.com/office/word/2010/wordml" w:rsidP="15A88FCC" wp14:paraId="1296576D" wp14:textId="5A2A3191">
      <w:pPr>
        <w:pStyle w:val="ListParagraph"/>
        <w:numPr>
          <w:ilvl w:val="0"/>
          <w:numId w:val="1"/>
        </w:numPr>
        <w:spacing w:before="0" w:beforeAutospacing="off" w:after="0" w:afterAutospacing="off"/>
        <w:rPr>
          <w:noProof w:val="0"/>
          <w:lang w:val="en-GB"/>
        </w:rPr>
      </w:pPr>
      <w:r w:rsidRPr="15A88FCC" w:rsidR="35F51673">
        <w:rPr>
          <w:noProof w:val="0"/>
          <w:lang w:val="en-GB"/>
        </w:rPr>
        <w:t>Adolescence (9–18 Years) .................................................... 4</w:t>
      </w:r>
      <w:r>
        <w:br/>
      </w:r>
      <w:r w:rsidRPr="15A88FCC" w:rsidR="35F51673">
        <w:rPr>
          <w:noProof w:val="0"/>
          <w:lang w:val="en-GB"/>
        </w:rPr>
        <w:t> 3.1 Positive Influences ............................................................. 4</w:t>
      </w:r>
      <w:r>
        <w:br/>
      </w:r>
      <w:r w:rsidRPr="15A88FCC" w:rsidR="35F51673">
        <w:rPr>
          <w:noProof w:val="0"/>
          <w:lang w:val="en-GB"/>
        </w:rPr>
        <w:t> 3.2 Negative Influences ............................................................. 5</w:t>
      </w:r>
    </w:p>
    <w:p xmlns:wp14="http://schemas.microsoft.com/office/word/2010/wordml" w:rsidP="15A88FCC" wp14:paraId="7A74A48E" wp14:textId="2E612A5C">
      <w:pPr>
        <w:pStyle w:val="ListParagraph"/>
        <w:numPr>
          <w:ilvl w:val="0"/>
          <w:numId w:val="1"/>
        </w:numPr>
        <w:spacing w:before="0" w:beforeAutospacing="off" w:after="0" w:afterAutospacing="off"/>
        <w:rPr>
          <w:noProof w:val="0"/>
          <w:lang w:val="en-GB"/>
        </w:rPr>
      </w:pPr>
      <w:r w:rsidRPr="15A88FCC" w:rsidR="35F51673">
        <w:rPr>
          <w:noProof w:val="0"/>
          <w:lang w:val="en-GB"/>
        </w:rPr>
        <w:t>Adulthood (19–64 Years) ..................................................... 6</w:t>
      </w:r>
      <w:r>
        <w:br/>
      </w:r>
      <w:r w:rsidRPr="15A88FCC" w:rsidR="35F51673">
        <w:rPr>
          <w:noProof w:val="0"/>
          <w:lang w:val="en-GB"/>
        </w:rPr>
        <w:t> 4.1 Positive Influences ............................................................. 6</w:t>
      </w:r>
      <w:r>
        <w:br/>
      </w:r>
      <w:r w:rsidRPr="15A88FCC" w:rsidR="35F51673">
        <w:rPr>
          <w:noProof w:val="0"/>
          <w:lang w:val="en-GB"/>
        </w:rPr>
        <w:t> 4.2 Negative Influences ............................................................. 7</w:t>
      </w:r>
    </w:p>
    <w:p xmlns:wp14="http://schemas.microsoft.com/office/word/2010/wordml" w:rsidP="15A88FCC" wp14:paraId="4F1589A6" wp14:textId="1549C04B">
      <w:pPr>
        <w:pStyle w:val="ListParagraph"/>
        <w:numPr>
          <w:ilvl w:val="0"/>
          <w:numId w:val="1"/>
        </w:numPr>
        <w:spacing w:before="0" w:beforeAutospacing="off" w:after="0" w:afterAutospacing="off"/>
        <w:rPr>
          <w:noProof w:val="0"/>
          <w:lang w:val="en-GB"/>
        </w:rPr>
      </w:pPr>
      <w:r w:rsidRPr="15A88FCC" w:rsidR="35F51673">
        <w:rPr>
          <w:noProof w:val="0"/>
          <w:lang w:val="en-GB"/>
        </w:rPr>
        <w:t>Later Life (65+ Years) .......................................................... 8</w:t>
      </w:r>
      <w:r>
        <w:br/>
      </w:r>
      <w:r w:rsidRPr="15A88FCC" w:rsidR="35F51673">
        <w:rPr>
          <w:noProof w:val="0"/>
          <w:lang w:val="en-GB"/>
        </w:rPr>
        <w:t> 5.1 Positive Influences ............................................................. 8</w:t>
      </w:r>
      <w:r>
        <w:br/>
      </w:r>
      <w:r w:rsidRPr="15A88FCC" w:rsidR="35F51673">
        <w:rPr>
          <w:noProof w:val="0"/>
          <w:lang w:val="en-GB"/>
        </w:rPr>
        <w:t> 5.2 Negative Influences ............................................................. 9</w:t>
      </w:r>
    </w:p>
    <w:p xmlns:wp14="http://schemas.microsoft.com/office/word/2010/wordml" w:rsidP="15A88FCC" wp14:paraId="140DEF58" wp14:textId="464E78CA">
      <w:pPr>
        <w:pStyle w:val="ListParagraph"/>
        <w:numPr>
          <w:ilvl w:val="0"/>
          <w:numId w:val="1"/>
        </w:numPr>
        <w:spacing w:before="0" w:beforeAutospacing="off" w:after="0" w:afterAutospacing="off"/>
        <w:rPr>
          <w:noProof w:val="0"/>
          <w:lang w:val="en-GB"/>
        </w:rPr>
      </w:pPr>
      <w:r w:rsidRPr="15A88FCC" w:rsidR="35F51673">
        <w:rPr>
          <w:noProof w:val="0"/>
          <w:lang w:val="en-GB"/>
        </w:rPr>
        <w:t>Social Determinants of Health ............................................. 10</w:t>
      </w:r>
    </w:p>
    <w:p xmlns:wp14="http://schemas.microsoft.com/office/word/2010/wordml" w:rsidP="15A88FCC" wp14:paraId="1EBDABFB" wp14:textId="10DBD819">
      <w:pPr>
        <w:pStyle w:val="ListParagraph"/>
        <w:numPr>
          <w:ilvl w:val="0"/>
          <w:numId w:val="1"/>
        </w:numPr>
        <w:spacing w:before="0" w:beforeAutospacing="off" w:after="0" w:afterAutospacing="off"/>
        <w:rPr>
          <w:noProof w:val="0"/>
          <w:lang w:val="en-GB"/>
        </w:rPr>
      </w:pPr>
      <w:r w:rsidRPr="15A88FCC" w:rsidR="35F51673">
        <w:rPr>
          <w:noProof w:val="0"/>
          <w:lang w:val="en-GB"/>
        </w:rPr>
        <w:t>Resilience and Protective Factors ........................................ 11</w:t>
      </w:r>
    </w:p>
    <w:p xmlns:wp14="http://schemas.microsoft.com/office/word/2010/wordml" w:rsidP="15A88FCC" wp14:paraId="5E099224" wp14:textId="21984670">
      <w:pPr>
        <w:pStyle w:val="ListParagraph"/>
        <w:numPr>
          <w:ilvl w:val="0"/>
          <w:numId w:val="1"/>
        </w:numPr>
        <w:spacing w:before="0" w:beforeAutospacing="off" w:after="0" w:afterAutospacing="off"/>
        <w:rPr>
          <w:noProof w:val="0"/>
          <w:lang w:val="en-GB"/>
        </w:rPr>
      </w:pPr>
      <w:r w:rsidRPr="15A88FCC" w:rsidR="35F51673">
        <w:rPr>
          <w:noProof w:val="0"/>
          <w:lang w:val="en-GB"/>
        </w:rPr>
        <w:t>Policy Implications ............................................................... 12</w:t>
      </w:r>
    </w:p>
    <w:p xmlns:wp14="http://schemas.microsoft.com/office/word/2010/wordml" w:rsidP="15A88FCC" wp14:paraId="53CF3792" wp14:textId="4502605D">
      <w:pPr>
        <w:pStyle w:val="ListParagraph"/>
        <w:numPr>
          <w:ilvl w:val="0"/>
          <w:numId w:val="1"/>
        </w:numPr>
        <w:spacing w:before="0" w:beforeAutospacing="off" w:after="0" w:afterAutospacing="off"/>
        <w:rPr>
          <w:noProof w:val="0"/>
          <w:lang w:val="en-GB"/>
        </w:rPr>
      </w:pPr>
      <w:r w:rsidRPr="15A88FCC" w:rsidR="35F51673">
        <w:rPr>
          <w:noProof w:val="0"/>
          <w:lang w:val="en-GB"/>
        </w:rPr>
        <w:t>Conclusion .............................................................................. 13</w:t>
      </w:r>
    </w:p>
    <w:p xmlns:wp14="http://schemas.microsoft.com/office/word/2010/wordml" w:rsidP="15A88FCC" wp14:paraId="0B671231" wp14:textId="4C9D9C0E">
      <w:pPr>
        <w:spacing w:before="240" w:beforeAutospacing="off" w:after="240" w:afterAutospacing="off"/>
      </w:pPr>
      <w:r w:rsidRPr="15A88FCC" w:rsidR="35F51673">
        <w:rPr>
          <w:noProof w:val="0"/>
          <w:lang w:val="en-GB"/>
        </w:rPr>
        <w:t>Reference List ............................................................................. 14</w:t>
      </w:r>
      <w:r w:rsidRPr="15A88FCC" w:rsidR="35F51673">
        <w:rPr>
          <w:b w:val="1"/>
          <w:bCs w:val="1"/>
          <w:noProof w:val="0"/>
          <w:lang w:val="en-GB"/>
        </w:rPr>
        <w:t xml:space="preserve"> </w:t>
      </w:r>
    </w:p>
    <w:p xmlns:wp14="http://schemas.microsoft.com/office/word/2010/wordml" w:rsidP="15A88FCC" wp14:paraId="4EDFADF7" wp14:textId="1BBF7F8B">
      <w:pPr>
        <w:pStyle w:val="Title"/>
        <w:rPr>
          <w:b w:val="1"/>
          <w:bCs w:val="1"/>
          <w:noProof w:val="0"/>
          <w:lang w:val="en-GB"/>
        </w:rPr>
      </w:pPr>
    </w:p>
    <w:p xmlns:wp14="http://schemas.microsoft.com/office/word/2010/wordml" w:rsidP="15A88FCC" wp14:paraId="2AA1D37E" wp14:textId="04031457">
      <w:pPr>
        <w:pStyle w:val="Title"/>
        <w:rPr>
          <w:b w:val="1"/>
          <w:bCs w:val="1"/>
          <w:noProof w:val="0"/>
          <w:lang w:val="en-GB"/>
        </w:rPr>
      </w:pPr>
    </w:p>
    <w:p xmlns:wp14="http://schemas.microsoft.com/office/word/2010/wordml" w:rsidP="15A88FCC" wp14:paraId="7AA2842E" wp14:textId="3D18269B">
      <w:pPr>
        <w:pStyle w:val="Title"/>
        <w:rPr>
          <w:b w:val="1"/>
          <w:bCs w:val="1"/>
          <w:noProof w:val="0"/>
          <w:lang w:val="en-GB"/>
        </w:rPr>
      </w:pPr>
    </w:p>
    <w:p xmlns:wp14="http://schemas.microsoft.com/office/word/2010/wordml" w:rsidP="15A88FCC" wp14:paraId="2128C2E1" wp14:textId="4E6BDD67">
      <w:pPr>
        <w:pStyle w:val="Title"/>
        <w:rPr>
          <w:b w:val="1"/>
          <w:bCs w:val="1"/>
          <w:noProof w:val="0"/>
          <w:lang w:val="en-GB"/>
        </w:rPr>
      </w:pPr>
    </w:p>
    <w:p xmlns:wp14="http://schemas.microsoft.com/office/word/2010/wordml" w:rsidP="15A88FCC" wp14:paraId="5C8E5098" wp14:textId="7B7F424F">
      <w:pPr>
        <w:pStyle w:val="Title"/>
        <w:rPr>
          <w:b w:val="1"/>
          <w:bCs w:val="1"/>
          <w:noProof w:val="0"/>
          <w:lang w:val="en-GB"/>
        </w:rPr>
      </w:pPr>
    </w:p>
    <w:p xmlns:wp14="http://schemas.microsoft.com/office/word/2010/wordml" w:rsidP="15A88FCC" wp14:paraId="7648129D" wp14:textId="2D4D4CE3">
      <w:pPr>
        <w:pStyle w:val="Title"/>
        <w:rPr>
          <w:b w:val="1"/>
          <w:bCs w:val="1"/>
          <w:noProof w:val="0"/>
          <w:lang w:val="en-GB"/>
        </w:rPr>
      </w:pPr>
      <w:r w:rsidRPr="15A88FCC" w:rsidR="198953E5">
        <w:rPr>
          <w:b w:val="1"/>
          <w:bCs w:val="1"/>
          <w:noProof w:val="0"/>
          <w:lang w:val="en-GB"/>
        </w:rPr>
        <w:t>Evaluating Positive and Negative Influences on Individuals Across the Life Course</w:t>
      </w:r>
    </w:p>
    <w:p xmlns:wp14="http://schemas.microsoft.com/office/word/2010/wordml" w:rsidP="15A88FCC" wp14:paraId="23EA5D1A" wp14:textId="6085ADC4">
      <w:pPr>
        <w:pStyle w:val="NoSpacing"/>
        <w:rPr>
          <w:b w:val="1"/>
          <w:bCs w:val="1"/>
          <w:noProof w:val="0"/>
          <w:sz w:val="28"/>
          <w:szCs w:val="28"/>
          <w:lang w:val="en-GB"/>
        </w:rPr>
      </w:pPr>
      <w:r w:rsidRPr="15A88FCC" w:rsidR="198953E5">
        <w:rPr>
          <w:b w:val="1"/>
          <w:bCs w:val="1"/>
          <w:noProof w:val="0"/>
          <w:sz w:val="28"/>
          <w:szCs w:val="28"/>
          <w:lang w:val="en-GB"/>
        </w:rPr>
        <w:t>1. Introduction</w:t>
      </w:r>
    </w:p>
    <w:p xmlns:wp14="http://schemas.microsoft.com/office/word/2010/wordml" w:rsidP="15A88FCC" wp14:paraId="3A635FE2" wp14:textId="64EC806E">
      <w:pPr>
        <w:pStyle w:val="NoSpacing"/>
      </w:pPr>
      <w:r w:rsidRPr="15A88FCC" w:rsidR="198953E5">
        <w:rPr>
          <w:noProof w:val="0"/>
          <w:lang w:val="en-GB"/>
        </w:rPr>
        <w:t xml:space="preserve">Human development is shaped by a complex interaction of biological, psychological, and social influences that unfold across the lifespan. The life course perspective provides a valuable framework for understanding how these factors interact over time, emphasising that development is both cumulative and dynamic (Halfon and Forrest, 2018). Rather than viewing life stages in isolation, this approach recognises that early experiences can have long-term consequences, while later stages still offer opportunities for change and intervention (Ben-Shlomo </w:t>
      </w:r>
      <w:r w:rsidRPr="15A88FCC" w:rsidR="198953E5">
        <w:rPr>
          <w:noProof w:val="0"/>
          <w:lang w:val="en-GB"/>
        </w:rPr>
        <w:t>et al</w:t>
      </w:r>
      <w:r w:rsidRPr="15A88FCC" w:rsidR="198953E5">
        <w:rPr>
          <w:noProof w:val="0"/>
          <w:lang w:val="en-GB"/>
        </w:rPr>
        <w:t>., 2020).</w:t>
      </w:r>
    </w:p>
    <w:p xmlns:wp14="http://schemas.microsoft.com/office/word/2010/wordml" w:rsidP="15A88FCC" wp14:paraId="7076A383" wp14:textId="3E8D4669">
      <w:pPr>
        <w:pStyle w:val="NoSpacing"/>
      </w:pPr>
      <w:r w:rsidRPr="15A88FCC" w:rsidR="198953E5">
        <w:rPr>
          <w:noProof w:val="0"/>
          <w:lang w:val="en-GB"/>
        </w:rPr>
        <w:t xml:space="preserve">Marmot </w:t>
      </w:r>
      <w:r w:rsidRPr="15A88FCC" w:rsidR="198953E5">
        <w:rPr>
          <w:noProof w:val="0"/>
          <w:lang w:val="en-GB"/>
        </w:rPr>
        <w:t>et al</w:t>
      </w:r>
      <w:r w:rsidRPr="15A88FCC" w:rsidR="198953E5">
        <w:rPr>
          <w:noProof w:val="0"/>
          <w:lang w:val="en-GB"/>
        </w:rPr>
        <w:t xml:space="preserve">. (2020) argue that social inequalities play </w:t>
      </w:r>
      <w:r w:rsidRPr="15A88FCC" w:rsidR="198953E5">
        <w:rPr>
          <w:noProof w:val="0"/>
          <w:lang w:val="en-GB"/>
        </w:rPr>
        <w:t>a central role</w:t>
      </w:r>
      <w:r w:rsidRPr="15A88FCC" w:rsidR="198953E5">
        <w:rPr>
          <w:noProof w:val="0"/>
          <w:lang w:val="en-GB"/>
        </w:rPr>
        <w:t xml:space="preserve"> in shaping life outcomes, with factors such as income, education, and living conditions influencing health, wellbeing, and social mobility. This highlights the importance of considering both individual and structural influences when evaluating development across the life course.</w:t>
      </w:r>
    </w:p>
    <w:p xmlns:wp14="http://schemas.microsoft.com/office/word/2010/wordml" w:rsidP="15A88FCC" wp14:paraId="702C3782" wp14:textId="2200EFF5">
      <w:pPr>
        <w:pStyle w:val="NoSpacing"/>
      </w:pPr>
      <w:r w:rsidRPr="15A88FCC" w:rsidR="198953E5">
        <w:rPr>
          <w:noProof w:val="0"/>
          <w:lang w:val="en-GB"/>
        </w:rPr>
        <w:t>This report critically evaluates the positive and negative influences affecting individuals across four key life stages: early childhood, adolescence, adulthood, and later life. It also examines the role of social determinants, resilience, and policy interventions, with a focus on how these factors interact to shape long-term outcomes.</w:t>
      </w:r>
    </w:p>
    <w:p xmlns:wp14="http://schemas.microsoft.com/office/word/2010/wordml" w:rsidP="15A88FCC" wp14:paraId="37666C1C" wp14:textId="711326C9">
      <w:pPr>
        <w:pStyle w:val="NoSpacing"/>
      </w:pPr>
    </w:p>
    <w:p xmlns:wp14="http://schemas.microsoft.com/office/word/2010/wordml" w:rsidP="15A88FCC" wp14:paraId="66139193" wp14:textId="49E09481">
      <w:pPr>
        <w:pStyle w:val="NoSpacing"/>
        <w:rPr>
          <w:b w:val="1"/>
          <w:bCs w:val="1"/>
          <w:noProof w:val="0"/>
          <w:sz w:val="28"/>
          <w:szCs w:val="28"/>
          <w:lang w:val="en-GB"/>
        </w:rPr>
      </w:pPr>
      <w:r w:rsidRPr="15A88FCC" w:rsidR="198953E5">
        <w:rPr>
          <w:b w:val="1"/>
          <w:bCs w:val="1"/>
          <w:noProof w:val="0"/>
          <w:sz w:val="28"/>
          <w:szCs w:val="28"/>
          <w:lang w:val="en-GB"/>
        </w:rPr>
        <w:t>2. Early Childhood (0–8 Years)</w:t>
      </w:r>
    </w:p>
    <w:p xmlns:wp14="http://schemas.microsoft.com/office/word/2010/wordml" w:rsidP="15A88FCC" wp14:paraId="74A005B3" wp14:textId="1EF5CBD7">
      <w:pPr>
        <w:pStyle w:val="NoSpacing"/>
        <w:rPr>
          <w:b w:val="1"/>
          <w:bCs w:val="1"/>
          <w:noProof w:val="0"/>
          <w:sz w:val="28"/>
          <w:szCs w:val="28"/>
          <w:lang w:val="en-GB"/>
        </w:rPr>
      </w:pPr>
    </w:p>
    <w:p xmlns:wp14="http://schemas.microsoft.com/office/word/2010/wordml" w:rsidP="15A88FCC" wp14:paraId="579B2006" wp14:textId="4493B9FF">
      <w:pPr>
        <w:pStyle w:val="NoSpacing"/>
        <w:rPr>
          <w:b w:val="1"/>
          <w:bCs w:val="1"/>
          <w:noProof w:val="0"/>
          <w:sz w:val="28"/>
          <w:szCs w:val="28"/>
          <w:lang w:val="en-GB"/>
        </w:rPr>
      </w:pPr>
      <w:r w:rsidRPr="15A88FCC" w:rsidR="198953E5">
        <w:rPr>
          <w:b w:val="1"/>
          <w:bCs w:val="1"/>
          <w:noProof w:val="0"/>
          <w:sz w:val="28"/>
          <w:szCs w:val="28"/>
          <w:lang w:val="en-GB"/>
        </w:rPr>
        <w:t>2.1 Positive Influences</w:t>
      </w:r>
    </w:p>
    <w:p xmlns:wp14="http://schemas.microsoft.com/office/word/2010/wordml" w:rsidP="15A88FCC" wp14:paraId="5F098AE8" wp14:textId="3EDC9712">
      <w:pPr>
        <w:pStyle w:val="NoSpacing"/>
      </w:pPr>
      <w:r w:rsidRPr="15A88FCC" w:rsidR="198953E5">
        <w:rPr>
          <w:noProof w:val="0"/>
          <w:lang w:val="en-GB"/>
        </w:rPr>
        <w:t xml:space="preserve">Early childhood is widely recognised as a critical period for development, particularly in relation to brain growth and emotional regulation. Nelson </w:t>
      </w:r>
      <w:r w:rsidRPr="15A88FCC" w:rsidR="198953E5">
        <w:rPr>
          <w:noProof w:val="0"/>
          <w:lang w:val="en-GB"/>
        </w:rPr>
        <w:t>et al</w:t>
      </w:r>
      <w:r w:rsidRPr="15A88FCC" w:rsidR="198953E5">
        <w:rPr>
          <w:noProof w:val="0"/>
          <w:lang w:val="en-GB"/>
        </w:rPr>
        <w:t xml:space="preserve">. (2020) found that responsive caregiving and secure attachment relationships play a fundamental role in shaping neural development and emotional resilience. These early interactions </w:t>
      </w:r>
      <w:r w:rsidRPr="15A88FCC" w:rsidR="198953E5">
        <w:rPr>
          <w:noProof w:val="0"/>
          <w:lang w:val="en-GB"/>
        </w:rPr>
        <w:t>establish</w:t>
      </w:r>
      <w:r w:rsidRPr="15A88FCC" w:rsidR="198953E5">
        <w:rPr>
          <w:noProof w:val="0"/>
          <w:lang w:val="en-GB"/>
        </w:rPr>
        <w:t xml:space="preserve"> the foundation for later cognitive and social functioning.</w:t>
      </w:r>
    </w:p>
    <w:p xmlns:wp14="http://schemas.microsoft.com/office/word/2010/wordml" w:rsidP="15A88FCC" wp14:paraId="73444D75" wp14:textId="731C8659">
      <w:pPr>
        <w:pStyle w:val="NoSpacing"/>
      </w:pPr>
      <w:r w:rsidRPr="15A88FCC" w:rsidR="198953E5">
        <w:rPr>
          <w:noProof w:val="0"/>
          <w:lang w:val="en-GB"/>
        </w:rPr>
        <w:t xml:space="preserve">Melhuish </w:t>
      </w:r>
      <w:r w:rsidRPr="15A88FCC" w:rsidR="198953E5">
        <w:rPr>
          <w:noProof w:val="0"/>
          <w:lang w:val="en-GB"/>
        </w:rPr>
        <w:t>et al</w:t>
      </w:r>
      <w:r w:rsidRPr="15A88FCC" w:rsidR="198953E5">
        <w:rPr>
          <w:noProof w:val="0"/>
          <w:lang w:val="en-GB"/>
        </w:rPr>
        <w:t xml:space="preserve">. (2020) suggest that access to high-quality early childhood education significantly enhances cognitive development and academic achievement. Importantly, such provision can reduce social inequalities by supporting children from disadvantaged backgrounds. However, while early education is beneficial, its impact is often influenced by wider socioeconomic conditions, </w:t>
      </w:r>
      <w:r w:rsidRPr="15A88FCC" w:rsidR="198953E5">
        <w:rPr>
          <w:noProof w:val="0"/>
          <w:lang w:val="en-GB"/>
        </w:rPr>
        <w:t>indicating</w:t>
      </w:r>
      <w:r w:rsidRPr="15A88FCC" w:rsidR="198953E5">
        <w:rPr>
          <w:noProof w:val="0"/>
          <w:lang w:val="en-GB"/>
        </w:rPr>
        <w:t xml:space="preserve"> that educational interventions alone may not fully address inequality.</w:t>
      </w:r>
    </w:p>
    <w:p xmlns:wp14="http://schemas.microsoft.com/office/word/2010/wordml" w:rsidP="15A88FCC" wp14:paraId="655043C0" wp14:textId="1913F745">
      <w:pPr>
        <w:pStyle w:val="NoSpacing"/>
      </w:pPr>
      <w:r w:rsidRPr="15A88FCC" w:rsidR="198953E5">
        <w:rPr>
          <w:noProof w:val="0"/>
          <w:lang w:val="en-GB"/>
        </w:rPr>
        <w:t xml:space="preserve">Keats </w:t>
      </w:r>
      <w:r w:rsidRPr="15A88FCC" w:rsidR="198953E5">
        <w:rPr>
          <w:noProof w:val="0"/>
          <w:lang w:val="en-GB"/>
        </w:rPr>
        <w:t>et al</w:t>
      </w:r>
      <w:r w:rsidRPr="15A88FCC" w:rsidR="198953E5">
        <w:rPr>
          <w:noProof w:val="0"/>
          <w:lang w:val="en-GB"/>
        </w:rPr>
        <w:t>. (2021) argue that adequate nutrition during early childhood is essential for healthy development, supporting both physical growth and cognitive functioning. Poor nutrition, particularly in low-income settings, can have long-lasting consequences, reinforcing the importance of early intervention.</w:t>
      </w:r>
    </w:p>
    <w:p xmlns:wp14="http://schemas.microsoft.com/office/word/2010/wordml" w:rsidP="15A88FCC" wp14:paraId="4D5834FE" wp14:textId="390A41EF">
      <w:pPr>
        <w:pStyle w:val="NoSpacing"/>
        <w:rPr>
          <w:b w:val="1"/>
          <w:bCs w:val="1"/>
          <w:noProof w:val="0"/>
          <w:sz w:val="28"/>
          <w:szCs w:val="28"/>
          <w:lang w:val="en-GB"/>
        </w:rPr>
      </w:pPr>
    </w:p>
    <w:p xmlns:wp14="http://schemas.microsoft.com/office/word/2010/wordml" w:rsidP="15A88FCC" wp14:paraId="79F69BF3" wp14:textId="546C3D78">
      <w:pPr>
        <w:pStyle w:val="NoSpacing"/>
        <w:rPr>
          <w:b w:val="1"/>
          <w:bCs w:val="1"/>
          <w:noProof w:val="0"/>
          <w:sz w:val="28"/>
          <w:szCs w:val="28"/>
          <w:lang w:val="en-GB"/>
        </w:rPr>
      </w:pPr>
      <w:r w:rsidRPr="15A88FCC" w:rsidR="198953E5">
        <w:rPr>
          <w:b w:val="1"/>
          <w:bCs w:val="1"/>
          <w:noProof w:val="0"/>
          <w:sz w:val="28"/>
          <w:szCs w:val="28"/>
          <w:lang w:val="en-GB"/>
        </w:rPr>
        <w:t>2.2 Negative Influences</w:t>
      </w:r>
    </w:p>
    <w:p xmlns:wp14="http://schemas.microsoft.com/office/word/2010/wordml" w:rsidP="15A88FCC" wp14:paraId="473847A7" wp14:textId="10B858AF">
      <w:pPr>
        <w:pStyle w:val="NoSpacing"/>
      </w:pPr>
      <w:r w:rsidRPr="15A88FCC" w:rsidR="198953E5">
        <w:rPr>
          <w:noProof w:val="0"/>
          <w:lang w:val="en-GB"/>
        </w:rPr>
        <w:t xml:space="preserve">Despite the potential for positive development, many children are exposed to adverse childhood experiences (ACEs). Hughes </w:t>
      </w:r>
      <w:r w:rsidRPr="15A88FCC" w:rsidR="198953E5">
        <w:rPr>
          <w:noProof w:val="0"/>
          <w:lang w:val="en-GB"/>
        </w:rPr>
        <w:t>et al</w:t>
      </w:r>
      <w:r w:rsidRPr="15A88FCC" w:rsidR="198953E5">
        <w:rPr>
          <w:noProof w:val="0"/>
          <w:lang w:val="en-GB"/>
        </w:rPr>
        <w:t xml:space="preserve">. (2021) </w:t>
      </w:r>
      <w:r w:rsidRPr="15A88FCC" w:rsidR="198953E5">
        <w:rPr>
          <w:noProof w:val="0"/>
          <w:lang w:val="en-GB"/>
        </w:rPr>
        <w:t>demonstrate</w:t>
      </w:r>
      <w:r w:rsidRPr="15A88FCC" w:rsidR="198953E5">
        <w:rPr>
          <w:noProof w:val="0"/>
          <w:lang w:val="en-GB"/>
        </w:rPr>
        <w:t xml:space="preserve"> that exposure to abuse, neglect, or household dysfunction is strongly associated with increased risks of mental illness, substance misuse, and chronic disease in later life. This supports the concept of cumulative disadvantage, where early adversity leads to long-term negative outcomes.</w:t>
      </w:r>
    </w:p>
    <w:p xmlns:wp14="http://schemas.microsoft.com/office/word/2010/wordml" w:rsidP="15A88FCC" wp14:paraId="0D27B5C6" wp14:textId="7544290F">
      <w:pPr>
        <w:pStyle w:val="NoSpacing"/>
      </w:pPr>
      <w:r w:rsidRPr="15A88FCC" w:rsidR="198953E5">
        <w:rPr>
          <w:noProof w:val="0"/>
          <w:lang w:val="en-GB"/>
        </w:rPr>
        <w:t xml:space="preserve">Cooper and Stewart (2022) further argue that child poverty significantly affects developmental outcomes by limiting access to essential resources such as education, healthcare, and nutrition. Poverty also increases exposure to stress and instability, which can negatively affect emotional and cognitive development. Critically, these factors often interact, meaning that children experiencing poverty are more likely to </w:t>
      </w:r>
      <w:r w:rsidRPr="15A88FCC" w:rsidR="198953E5">
        <w:rPr>
          <w:noProof w:val="0"/>
          <w:lang w:val="en-GB"/>
        </w:rPr>
        <w:t>encounter</w:t>
      </w:r>
      <w:r w:rsidRPr="15A88FCC" w:rsidR="198953E5">
        <w:rPr>
          <w:noProof w:val="0"/>
          <w:lang w:val="en-GB"/>
        </w:rPr>
        <w:t xml:space="preserve"> multiple forms of disadvantage.</w:t>
      </w:r>
    </w:p>
    <w:p xmlns:wp14="http://schemas.microsoft.com/office/word/2010/wordml" w:rsidP="15A88FCC" wp14:paraId="126A9CE1" wp14:textId="23B3D989">
      <w:pPr>
        <w:pStyle w:val="NoSpacing"/>
      </w:pPr>
    </w:p>
    <w:p xmlns:wp14="http://schemas.microsoft.com/office/word/2010/wordml" w:rsidP="15A88FCC" wp14:paraId="2BF5215D" wp14:textId="16502D1E">
      <w:pPr>
        <w:pStyle w:val="NoSpacing"/>
        <w:rPr>
          <w:b w:val="1"/>
          <w:bCs w:val="1"/>
          <w:noProof w:val="0"/>
          <w:sz w:val="28"/>
          <w:szCs w:val="28"/>
          <w:lang w:val="en-GB"/>
        </w:rPr>
      </w:pPr>
      <w:r w:rsidRPr="15A88FCC" w:rsidR="198953E5">
        <w:rPr>
          <w:b w:val="1"/>
          <w:bCs w:val="1"/>
          <w:noProof w:val="0"/>
          <w:sz w:val="28"/>
          <w:szCs w:val="28"/>
          <w:lang w:val="en-GB"/>
        </w:rPr>
        <w:t>3. Adolescence (9–18 Years)</w:t>
      </w:r>
    </w:p>
    <w:p xmlns:wp14="http://schemas.microsoft.com/office/word/2010/wordml" w:rsidP="15A88FCC" wp14:paraId="24FD3E07" wp14:textId="045AAE4F">
      <w:pPr>
        <w:pStyle w:val="NoSpacing"/>
        <w:rPr>
          <w:b w:val="1"/>
          <w:bCs w:val="1"/>
          <w:noProof w:val="0"/>
          <w:sz w:val="28"/>
          <w:szCs w:val="28"/>
          <w:lang w:val="en-GB"/>
        </w:rPr>
      </w:pPr>
    </w:p>
    <w:p xmlns:wp14="http://schemas.microsoft.com/office/word/2010/wordml" w:rsidP="15A88FCC" wp14:paraId="18672140" wp14:textId="5DF65ACA">
      <w:pPr>
        <w:pStyle w:val="NoSpacing"/>
        <w:rPr>
          <w:b w:val="1"/>
          <w:bCs w:val="1"/>
          <w:noProof w:val="0"/>
          <w:sz w:val="28"/>
          <w:szCs w:val="28"/>
          <w:lang w:val="en-GB"/>
        </w:rPr>
      </w:pPr>
      <w:r w:rsidRPr="15A88FCC" w:rsidR="198953E5">
        <w:rPr>
          <w:b w:val="1"/>
          <w:bCs w:val="1"/>
          <w:noProof w:val="0"/>
          <w:sz w:val="28"/>
          <w:szCs w:val="28"/>
          <w:lang w:val="en-GB"/>
        </w:rPr>
        <w:t>3.1 Positive Influences</w:t>
      </w:r>
    </w:p>
    <w:p xmlns:wp14="http://schemas.microsoft.com/office/word/2010/wordml" w:rsidP="15A88FCC" wp14:paraId="0E282AE7" wp14:textId="4B387BAC">
      <w:pPr>
        <w:pStyle w:val="NoSpacing"/>
      </w:pPr>
      <w:r w:rsidRPr="15A88FCC" w:rsidR="198953E5">
        <w:rPr>
          <w:noProof w:val="0"/>
          <w:lang w:val="en-GB"/>
        </w:rPr>
        <w:t xml:space="preserve">Adolescence </w:t>
      </w:r>
      <w:r w:rsidRPr="15A88FCC" w:rsidR="198953E5">
        <w:rPr>
          <w:noProof w:val="0"/>
          <w:lang w:val="en-GB"/>
        </w:rPr>
        <w:t>represents</w:t>
      </w:r>
      <w:r w:rsidRPr="15A88FCC" w:rsidR="198953E5">
        <w:rPr>
          <w:noProof w:val="0"/>
          <w:lang w:val="en-GB"/>
        </w:rPr>
        <w:t xml:space="preserve"> a key transitional stage characterised by identity formation and increased independence. Rueger </w:t>
      </w:r>
      <w:r w:rsidRPr="15A88FCC" w:rsidR="198953E5">
        <w:rPr>
          <w:noProof w:val="0"/>
          <w:lang w:val="en-GB"/>
        </w:rPr>
        <w:t>et al</w:t>
      </w:r>
      <w:r w:rsidRPr="15A88FCC" w:rsidR="198953E5">
        <w:rPr>
          <w:noProof w:val="0"/>
          <w:lang w:val="en-GB"/>
        </w:rPr>
        <w:t>. (2021) found that supportive relationships with family, peers, and teachers are strongly associated with improved mental health and higher self-esteem. These findings highlight the importance of social support as a protective factor during this stage.</w:t>
      </w:r>
    </w:p>
    <w:p xmlns:wp14="http://schemas.microsoft.com/office/word/2010/wordml" w:rsidP="15A88FCC" wp14:paraId="7528A401" wp14:textId="34D27D86">
      <w:pPr>
        <w:pStyle w:val="NoSpacing"/>
      </w:pPr>
      <w:r w:rsidRPr="15A88FCC" w:rsidR="198953E5">
        <w:rPr>
          <w:noProof w:val="0"/>
          <w:lang w:val="en-GB"/>
        </w:rPr>
        <w:t xml:space="preserve">Badura </w:t>
      </w:r>
      <w:r w:rsidRPr="15A88FCC" w:rsidR="198953E5">
        <w:rPr>
          <w:noProof w:val="0"/>
          <w:lang w:val="en-GB"/>
        </w:rPr>
        <w:t>et al</w:t>
      </w:r>
      <w:r w:rsidRPr="15A88FCC" w:rsidR="198953E5">
        <w:rPr>
          <w:noProof w:val="0"/>
          <w:lang w:val="en-GB"/>
        </w:rPr>
        <w:t>. (2021) suggest that participation in structured activities, such as sports and arts, promotes social development and reduces engagement in risky behaviours. These activities provide opportunities for skill development and a sense of belonging, which can enhance overall wellbeing.</w:t>
      </w:r>
    </w:p>
    <w:p xmlns:wp14="http://schemas.microsoft.com/office/word/2010/wordml" w:rsidP="15A88FCC" wp14:paraId="569BD3BA" wp14:textId="2E89112B">
      <w:pPr>
        <w:pStyle w:val="NoSpacing"/>
      </w:pPr>
      <w:r w:rsidRPr="15A88FCC" w:rsidR="198953E5">
        <w:rPr>
          <w:noProof w:val="0"/>
          <w:lang w:val="en-GB"/>
        </w:rPr>
        <w:t>Educational environments also play a critical role in shaping aspirations and future opportunities. Positive school experiences can foster motivation and resilience, although disparities in educational quality mean that not all individuals benefit equally.</w:t>
      </w:r>
    </w:p>
    <w:p xmlns:wp14="http://schemas.microsoft.com/office/word/2010/wordml" w:rsidP="15A88FCC" wp14:paraId="39C45A4D" wp14:textId="1534F5CB">
      <w:pPr>
        <w:pStyle w:val="NoSpacing"/>
        <w:rPr>
          <w:b w:val="1"/>
          <w:bCs w:val="1"/>
          <w:noProof w:val="0"/>
          <w:sz w:val="28"/>
          <w:szCs w:val="28"/>
          <w:lang w:val="en-GB"/>
        </w:rPr>
      </w:pPr>
    </w:p>
    <w:p xmlns:wp14="http://schemas.microsoft.com/office/word/2010/wordml" w:rsidP="15A88FCC" wp14:paraId="78D41F18" wp14:textId="22CB9898">
      <w:pPr>
        <w:pStyle w:val="NoSpacing"/>
        <w:rPr>
          <w:b w:val="1"/>
          <w:bCs w:val="1"/>
          <w:noProof w:val="0"/>
          <w:sz w:val="28"/>
          <w:szCs w:val="28"/>
          <w:lang w:val="en-GB"/>
        </w:rPr>
      </w:pPr>
      <w:r w:rsidRPr="15A88FCC" w:rsidR="198953E5">
        <w:rPr>
          <w:b w:val="1"/>
          <w:bCs w:val="1"/>
          <w:noProof w:val="0"/>
          <w:sz w:val="28"/>
          <w:szCs w:val="28"/>
          <w:lang w:val="en-GB"/>
        </w:rPr>
        <w:t>3.2 Negative Influences</w:t>
      </w:r>
    </w:p>
    <w:p xmlns:wp14="http://schemas.microsoft.com/office/word/2010/wordml" w:rsidP="15A88FCC" wp14:paraId="4BE3E849" wp14:textId="0C98FAD6">
      <w:pPr>
        <w:pStyle w:val="NoSpacing"/>
        <w:rPr>
          <w:noProof w:val="0"/>
          <w:lang w:val="en-GB"/>
        </w:rPr>
      </w:pPr>
      <w:r w:rsidRPr="15A88FCC" w:rsidR="198953E5">
        <w:rPr>
          <w:noProof w:val="0"/>
          <w:lang w:val="en-GB"/>
        </w:rPr>
        <w:t xml:space="preserve">Adolescence is also associated with increased vulnerability to mental health challenges. Racine </w:t>
      </w:r>
      <w:r w:rsidRPr="15A88FCC" w:rsidR="198953E5">
        <w:rPr>
          <w:noProof w:val="0"/>
          <w:lang w:val="en-GB"/>
        </w:rPr>
        <w:t>et al</w:t>
      </w:r>
      <w:r w:rsidRPr="15A88FCC" w:rsidR="198953E5">
        <w:rPr>
          <w:noProof w:val="0"/>
          <w:lang w:val="en-GB"/>
        </w:rPr>
        <w:t>. (2021) highlight a significant rise in anxiety and depression among young people, linking this trend to academic pressure and social media use. While digital platforms can provide social connection, they can also contribute to negative self-image and comparison.</w:t>
      </w:r>
    </w:p>
    <w:p xmlns:wp14="http://schemas.microsoft.com/office/word/2010/wordml" w:rsidP="15A88FCC" wp14:paraId="7FD2254A" wp14:textId="302190DE">
      <w:pPr>
        <w:pStyle w:val="NoSpacing"/>
      </w:pPr>
      <w:r w:rsidRPr="15A88FCC" w:rsidR="198953E5">
        <w:rPr>
          <w:noProof w:val="0"/>
          <w:lang w:val="en-GB"/>
        </w:rPr>
        <w:t xml:space="preserve">Kowalski </w:t>
      </w:r>
      <w:r w:rsidRPr="15A88FCC" w:rsidR="198953E5">
        <w:rPr>
          <w:noProof w:val="0"/>
          <w:lang w:val="en-GB"/>
        </w:rPr>
        <w:t>et al</w:t>
      </w:r>
      <w:r w:rsidRPr="15A88FCC" w:rsidR="198953E5">
        <w:rPr>
          <w:noProof w:val="0"/>
          <w:lang w:val="en-GB"/>
        </w:rPr>
        <w:t xml:space="preserve">. (2020) argue that cyberbullying </w:t>
      </w:r>
      <w:r w:rsidRPr="15A88FCC" w:rsidR="198953E5">
        <w:rPr>
          <w:noProof w:val="0"/>
          <w:lang w:val="en-GB"/>
        </w:rPr>
        <w:t>represents</w:t>
      </w:r>
      <w:r w:rsidRPr="15A88FCC" w:rsidR="198953E5">
        <w:rPr>
          <w:noProof w:val="0"/>
          <w:lang w:val="en-GB"/>
        </w:rPr>
        <w:t xml:space="preserve"> a particularly harmful influence, as it can occur continuously and anonymously. Victims often experience severe psychological distress, including depression and self-harm.</w:t>
      </w:r>
    </w:p>
    <w:p xmlns:wp14="http://schemas.microsoft.com/office/word/2010/wordml" w:rsidP="15A88FCC" wp14:paraId="6AD27247" wp14:textId="435E5D34">
      <w:pPr>
        <w:pStyle w:val="NoSpacing"/>
      </w:pPr>
      <w:r w:rsidRPr="15A88FCC" w:rsidR="198953E5">
        <w:rPr>
          <w:noProof w:val="0"/>
          <w:lang w:val="en-GB"/>
        </w:rPr>
        <w:t xml:space="preserve">Viner </w:t>
      </w:r>
      <w:r w:rsidRPr="15A88FCC" w:rsidR="198953E5">
        <w:rPr>
          <w:noProof w:val="0"/>
          <w:lang w:val="en-GB"/>
        </w:rPr>
        <w:t>et al</w:t>
      </w:r>
      <w:r w:rsidRPr="15A88FCC" w:rsidR="198953E5">
        <w:rPr>
          <w:noProof w:val="0"/>
          <w:lang w:val="en-GB"/>
        </w:rPr>
        <w:t>. (2022) emphasise that risk-taking behaviours, such as substance misuse, are influenced by peer pressure and social norms. Although some risk-taking is developmentally normal, excessive behaviours can have long-term consequences, particularly when combined with other vulnerabilities.</w:t>
      </w:r>
    </w:p>
    <w:p xmlns:wp14="http://schemas.microsoft.com/office/word/2010/wordml" w:rsidP="15A88FCC" wp14:paraId="0343623A" wp14:textId="6F1A055E">
      <w:pPr>
        <w:pStyle w:val="NoSpacing"/>
      </w:pPr>
    </w:p>
    <w:p xmlns:wp14="http://schemas.microsoft.com/office/word/2010/wordml" w:rsidP="15A88FCC" wp14:paraId="0578A55D" wp14:textId="4EF00B58">
      <w:pPr>
        <w:pStyle w:val="NoSpacing"/>
        <w:rPr>
          <w:b w:val="1"/>
          <w:bCs w:val="1"/>
          <w:noProof w:val="0"/>
          <w:sz w:val="28"/>
          <w:szCs w:val="28"/>
          <w:lang w:val="en-GB"/>
        </w:rPr>
      </w:pPr>
      <w:r w:rsidRPr="15A88FCC" w:rsidR="198953E5">
        <w:rPr>
          <w:b w:val="1"/>
          <w:bCs w:val="1"/>
          <w:noProof w:val="0"/>
          <w:sz w:val="28"/>
          <w:szCs w:val="28"/>
          <w:lang w:val="en-GB"/>
        </w:rPr>
        <w:t>4. Adulthood (19–64 Years)</w:t>
      </w:r>
    </w:p>
    <w:p xmlns:wp14="http://schemas.microsoft.com/office/word/2010/wordml" w:rsidP="15A88FCC" wp14:paraId="0230EAC5" wp14:textId="4DC47B07">
      <w:pPr>
        <w:pStyle w:val="NoSpacing"/>
        <w:rPr>
          <w:b w:val="1"/>
          <w:bCs w:val="1"/>
          <w:noProof w:val="0"/>
          <w:sz w:val="28"/>
          <w:szCs w:val="28"/>
          <w:lang w:val="en-GB"/>
        </w:rPr>
      </w:pPr>
    </w:p>
    <w:p xmlns:wp14="http://schemas.microsoft.com/office/word/2010/wordml" w:rsidP="15A88FCC" wp14:paraId="47E6346C" wp14:textId="3D247781">
      <w:pPr>
        <w:pStyle w:val="NoSpacing"/>
        <w:rPr>
          <w:b w:val="1"/>
          <w:bCs w:val="1"/>
          <w:noProof w:val="0"/>
          <w:sz w:val="28"/>
          <w:szCs w:val="28"/>
          <w:lang w:val="en-GB"/>
        </w:rPr>
      </w:pPr>
      <w:r w:rsidRPr="15A88FCC" w:rsidR="198953E5">
        <w:rPr>
          <w:b w:val="1"/>
          <w:bCs w:val="1"/>
          <w:noProof w:val="0"/>
          <w:sz w:val="28"/>
          <w:szCs w:val="28"/>
          <w:lang w:val="en-GB"/>
        </w:rPr>
        <w:t>4.1 Positive Influences</w:t>
      </w:r>
    </w:p>
    <w:p xmlns:wp14="http://schemas.microsoft.com/office/word/2010/wordml" w:rsidP="15A88FCC" wp14:paraId="7A39C8E4" wp14:textId="3A9CDCE2">
      <w:pPr>
        <w:pStyle w:val="NoSpacing"/>
        <w:rPr>
          <w:b w:val="1"/>
          <w:bCs w:val="1"/>
          <w:noProof w:val="0"/>
          <w:sz w:val="28"/>
          <w:szCs w:val="28"/>
          <w:lang w:val="en-GB"/>
        </w:rPr>
      </w:pPr>
      <w:r w:rsidRPr="15A88FCC" w:rsidR="198953E5">
        <w:rPr>
          <w:noProof w:val="0"/>
          <w:lang w:val="en-GB"/>
        </w:rPr>
        <w:t xml:space="preserve">Adulthood is characterised by increased responsibility, particularly in relation to employment, relationships, and family life. Kim and von </w:t>
      </w:r>
      <w:r w:rsidRPr="15A88FCC" w:rsidR="198953E5">
        <w:rPr>
          <w:noProof w:val="0"/>
          <w:lang w:val="en-GB"/>
        </w:rPr>
        <w:t>dem</w:t>
      </w:r>
      <w:r w:rsidRPr="15A88FCC" w:rsidR="198953E5">
        <w:rPr>
          <w:noProof w:val="0"/>
          <w:lang w:val="en-GB"/>
        </w:rPr>
        <w:t xml:space="preserve"> </w:t>
      </w:r>
      <w:r w:rsidRPr="15A88FCC" w:rsidR="198953E5">
        <w:rPr>
          <w:noProof w:val="0"/>
          <w:lang w:val="en-GB"/>
        </w:rPr>
        <w:t>Knesebeck</w:t>
      </w:r>
      <w:r w:rsidRPr="15A88FCC" w:rsidR="198953E5">
        <w:rPr>
          <w:noProof w:val="0"/>
          <w:lang w:val="en-GB"/>
        </w:rPr>
        <w:t xml:space="preserve"> (2021) found that stable employment is associated with improved mental and physical health, as it provides financial security and a sense of purpose.</w:t>
      </w:r>
    </w:p>
    <w:p xmlns:wp14="http://schemas.microsoft.com/office/word/2010/wordml" w:rsidP="15A88FCC" wp14:paraId="765DB608" wp14:textId="52A01A5C">
      <w:pPr>
        <w:pStyle w:val="NoSpacing"/>
      </w:pPr>
      <w:r w:rsidRPr="15A88FCC" w:rsidR="198953E5">
        <w:rPr>
          <w:noProof w:val="0"/>
          <w:lang w:val="en-GB"/>
        </w:rPr>
        <w:t>The World Health Organization (2022) emphasises the importance of healthy lifestyle behaviours, including regular physical activity and balanced nutrition, in reducing the risk of chronic disease. Lifelong learning also contributes to cognitive health and adaptability in changing labour markets.</w:t>
      </w:r>
    </w:p>
    <w:p xmlns:wp14="http://schemas.microsoft.com/office/word/2010/wordml" w:rsidP="15A88FCC" wp14:paraId="18BEBCD9" wp14:textId="0151C455">
      <w:pPr>
        <w:pStyle w:val="NoSpacing"/>
      </w:pPr>
      <w:r w:rsidRPr="15A88FCC" w:rsidR="198953E5">
        <w:rPr>
          <w:noProof w:val="0"/>
          <w:lang w:val="en-GB"/>
        </w:rPr>
        <w:t>Umberson and Montez (2020) argue that strong social relationships act as a protective factor, reducing stress and improving both mental and physical wellbeing. These findings highlight the continued importance of social connections throughout adulthood.</w:t>
      </w:r>
    </w:p>
    <w:p xmlns:wp14="http://schemas.microsoft.com/office/word/2010/wordml" w:rsidP="15A88FCC" wp14:paraId="118A6465" wp14:textId="51A59C58">
      <w:pPr>
        <w:pStyle w:val="NoSpacing"/>
        <w:rPr>
          <w:b w:val="1"/>
          <w:bCs w:val="1"/>
          <w:noProof w:val="0"/>
          <w:sz w:val="28"/>
          <w:szCs w:val="28"/>
          <w:lang w:val="en-GB"/>
        </w:rPr>
      </w:pPr>
    </w:p>
    <w:p xmlns:wp14="http://schemas.microsoft.com/office/word/2010/wordml" w:rsidP="15A88FCC" wp14:paraId="0ADAA0B8" wp14:textId="6F67532A">
      <w:pPr>
        <w:pStyle w:val="NoSpacing"/>
        <w:rPr>
          <w:b w:val="1"/>
          <w:bCs w:val="1"/>
          <w:noProof w:val="0"/>
          <w:sz w:val="28"/>
          <w:szCs w:val="28"/>
          <w:lang w:val="en-GB"/>
        </w:rPr>
      </w:pPr>
      <w:r w:rsidRPr="15A88FCC" w:rsidR="198953E5">
        <w:rPr>
          <w:b w:val="1"/>
          <w:bCs w:val="1"/>
          <w:noProof w:val="0"/>
          <w:sz w:val="28"/>
          <w:szCs w:val="28"/>
          <w:lang w:val="en-GB"/>
        </w:rPr>
        <w:t>4.2 Negative Influences</w:t>
      </w:r>
    </w:p>
    <w:p xmlns:wp14="http://schemas.microsoft.com/office/word/2010/wordml" w:rsidP="15A88FCC" wp14:paraId="040517C3" wp14:textId="2DF0318E">
      <w:pPr>
        <w:pStyle w:val="NoSpacing"/>
      </w:pPr>
      <w:r w:rsidRPr="15A88FCC" w:rsidR="198953E5">
        <w:rPr>
          <w:noProof w:val="0"/>
          <w:lang w:val="en-GB"/>
        </w:rPr>
        <w:t xml:space="preserve">However, adulthood is often associated with significant pressures. Benach </w:t>
      </w:r>
      <w:r w:rsidRPr="15A88FCC" w:rsidR="198953E5">
        <w:rPr>
          <w:noProof w:val="0"/>
          <w:lang w:val="en-GB"/>
        </w:rPr>
        <w:t>et al</w:t>
      </w:r>
      <w:r w:rsidRPr="15A88FCC" w:rsidR="198953E5">
        <w:rPr>
          <w:noProof w:val="0"/>
          <w:lang w:val="en-GB"/>
        </w:rPr>
        <w:t>. (2020) highlight that precarious employment and job insecurity are linked to increased stress, anxiety, and poorer health outcomes. This reflects broader economic changes that have increased instability in the labour market.</w:t>
      </w:r>
    </w:p>
    <w:p xmlns:wp14="http://schemas.microsoft.com/office/word/2010/wordml" w:rsidP="15A88FCC" wp14:paraId="1BFEB1C8" wp14:textId="5A02727F">
      <w:pPr>
        <w:pStyle w:val="NoSpacing"/>
      </w:pPr>
      <w:r w:rsidRPr="15A88FCC" w:rsidR="198953E5">
        <w:rPr>
          <w:noProof w:val="0"/>
          <w:lang w:val="en-GB"/>
        </w:rPr>
        <w:t xml:space="preserve">Bom </w:t>
      </w:r>
      <w:r w:rsidRPr="15A88FCC" w:rsidR="198953E5">
        <w:rPr>
          <w:noProof w:val="0"/>
          <w:lang w:val="en-GB"/>
        </w:rPr>
        <w:t>et al</w:t>
      </w:r>
      <w:r w:rsidRPr="15A88FCC" w:rsidR="198953E5">
        <w:rPr>
          <w:noProof w:val="0"/>
          <w:lang w:val="en-GB"/>
        </w:rPr>
        <w:t xml:space="preserve">. (2021) </w:t>
      </w:r>
      <w:r w:rsidRPr="15A88FCC" w:rsidR="198953E5">
        <w:rPr>
          <w:noProof w:val="0"/>
          <w:lang w:val="en-GB"/>
        </w:rPr>
        <w:t>demonstrate</w:t>
      </w:r>
      <w:r w:rsidRPr="15A88FCC" w:rsidR="198953E5">
        <w:rPr>
          <w:noProof w:val="0"/>
          <w:lang w:val="en-GB"/>
        </w:rPr>
        <w:t xml:space="preserve"> that caregiving responsibilities can negatively </w:t>
      </w:r>
      <w:r w:rsidRPr="15A88FCC" w:rsidR="198953E5">
        <w:rPr>
          <w:noProof w:val="0"/>
          <w:lang w:val="en-GB"/>
        </w:rPr>
        <w:t>impact</w:t>
      </w:r>
      <w:r w:rsidRPr="15A88FCC" w:rsidR="198953E5">
        <w:rPr>
          <w:noProof w:val="0"/>
          <w:lang w:val="en-GB"/>
        </w:rPr>
        <w:t xml:space="preserve"> wellbeing, particularly when individuals lack adequate support. Informal caregivers often experience burnout and reduced quality of life.</w:t>
      </w:r>
    </w:p>
    <w:p xmlns:wp14="http://schemas.microsoft.com/office/word/2010/wordml" w:rsidP="15A88FCC" wp14:paraId="55752B8E" wp14:textId="4E887C41">
      <w:pPr>
        <w:pStyle w:val="NoSpacing"/>
      </w:pPr>
      <w:r w:rsidRPr="15A88FCC" w:rsidR="198953E5">
        <w:rPr>
          <w:noProof w:val="0"/>
          <w:lang w:val="en-GB"/>
        </w:rPr>
        <w:t xml:space="preserve">Marmot </w:t>
      </w:r>
      <w:r w:rsidRPr="15A88FCC" w:rsidR="198953E5">
        <w:rPr>
          <w:noProof w:val="0"/>
          <w:lang w:val="en-GB"/>
        </w:rPr>
        <w:t>et al</w:t>
      </w:r>
      <w:r w:rsidRPr="15A88FCC" w:rsidR="198953E5">
        <w:rPr>
          <w:noProof w:val="0"/>
          <w:lang w:val="en-GB"/>
        </w:rPr>
        <w:t xml:space="preserve">. (2020) argue that health inequalities </w:t>
      </w:r>
      <w:r w:rsidRPr="15A88FCC" w:rsidR="198953E5">
        <w:rPr>
          <w:noProof w:val="0"/>
          <w:lang w:val="en-GB"/>
        </w:rPr>
        <w:t>remain</w:t>
      </w:r>
      <w:r w:rsidRPr="15A88FCC" w:rsidR="198953E5">
        <w:rPr>
          <w:noProof w:val="0"/>
          <w:lang w:val="en-GB"/>
        </w:rPr>
        <w:t xml:space="preserve"> a persistent issue in adulthood, with individuals from disadvantaged backgrounds experiencing higher rates of chronic illness and reduced access to healthcare. This reinforces the role of structural factors in shaping outcomes.</w:t>
      </w:r>
    </w:p>
    <w:p xmlns:wp14="http://schemas.microsoft.com/office/word/2010/wordml" w:rsidP="15A88FCC" wp14:paraId="52B147BA" wp14:textId="19A9A90B">
      <w:pPr>
        <w:pStyle w:val="NoSpacing"/>
        <w:rPr>
          <w:b w:val="1"/>
          <w:bCs w:val="1"/>
          <w:sz w:val="28"/>
          <w:szCs w:val="28"/>
        </w:rPr>
      </w:pPr>
    </w:p>
    <w:p xmlns:wp14="http://schemas.microsoft.com/office/word/2010/wordml" w:rsidP="15A88FCC" wp14:paraId="0C41C574" wp14:textId="203C6549">
      <w:pPr>
        <w:pStyle w:val="NoSpacing"/>
        <w:rPr>
          <w:b w:val="1"/>
          <w:bCs w:val="1"/>
          <w:noProof w:val="0"/>
          <w:sz w:val="28"/>
          <w:szCs w:val="28"/>
          <w:lang w:val="en-GB"/>
        </w:rPr>
      </w:pPr>
      <w:r w:rsidRPr="15A88FCC" w:rsidR="198953E5">
        <w:rPr>
          <w:b w:val="1"/>
          <w:bCs w:val="1"/>
          <w:noProof w:val="0"/>
          <w:sz w:val="28"/>
          <w:szCs w:val="28"/>
          <w:lang w:val="en-GB"/>
        </w:rPr>
        <w:t>5. Later Life (65+ Years)</w:t>
      </w:r>
    </w:p>
    <w:p xmlns:wp14="http://schemas.microsoft.com/office/word/2010/wordml" w:rsidP="15A88FCC" wp14:paraId="4F42BAC5" wp14:textId="1594069E">
      <w:pPr>
        <w:pStyle w:val="NoSpacing"/>
        <w:rPr>
          <w:b w:val="1"/>
          <w:bCs w:val="1"/>
          <w:noProof w:val="0"/>
          <w:sz w:val="28"/>
          <w:szCs w:val="28"/>
          <w:lang w:val="en-GB"/>
        </w:rPr>
      </w:pPr>
    </w:p>
    <w:p xmlns:wp14="http://schemas.microsoft.com/office/word/2010/wordml" w:rsidP="15A88FCC" wp14:paraId="0B743B00" wp14:textId="34D21E0E">
      <w:pPr>
        <w:pStyle w:val="NoSpacing"/>
        <w:rPr>
          <w:b w:val="1"/>
          <w:bCs w:val="1"/>
          <w:noProof w:val="0"/>
          <w:sz w:val="28"/>
          <w:szCs w:val="28"/>
          <w:lang w:val="en-GB"/>
        </w:rPr>
      </w:pPr>
      <w:r w:rsidRPr="15A88FCC" w:rsidR="198953E5">
        <w:rPr>
          <w:b w:val="1"/>
          <w:bCs w:val="1"/>
          <w:noProof w:val="0"/>
          <w:sz w:val="28"/>
          <w:szCs w:val="28"/>
          <w:lang w:val="en-GB"/>
        </w:rPr>
        <w:t>5.1 Positive Influences</w:t>
      </w:r>
    </w:p>
    <w:p xmlns:wp14="http://schemas.microsoft.com/office/word/2010/wordml" w:rsidP="15A88FCC" wp14:paraId="5237A4A8" wp14:textId="17457B6B">
      <w:pPr>
        <w:pStyle w:val="NoSpacing"/>
      </w:pPr>
      <w:r w:rsidRPr="15A88FCC" w:rsidR="198953E5">
        <w:rPr>
          <w:noProof w:val="0"/>
          <w:lang w:val="en-GB"/>
        </w:rPr>
        <w:t>Later life is increasingly recognised as a stage of continued development and engagement. The World Health Organization (2022) suggests that active ageing, including physical activity and social participation, supports cognitive function and mental health.</w:t>
      </w:r>
    </w:p>
    <w:p xmlns:wp14="http://schemas.microsoft.com/office/word/2010/wordml" w:rsidP="15A88FCC" wp14:paraId="163FDE66" wp14:textId="3A5FE52A">
      <w:pPr>
        <w:pStyle w:val="NoSpacing"/>
      </w:pPr>
      <w:r w:rsidRPr="15A88FCC" w:rsidR="198953E5">
        <w:rPr>
          <w:noProof w:val="0"/>
          <w:lang w:val="en-GB"/>
        </w:rPr>
        <w:t xml:space="preserve">Santini </w:t>
      </w:r>
      <w:r w:rsidRPr="15A88FCC" w:rsidR="198953E5">
        <w:rPr>
          <w:noProof w:val="0"/>
          <w:lang w:val="en-GB"/>
        </w:rPr>
        <w:t>et al</w:t>
      </w:r>
      <w:r w:rsidRPr="15A88FCC" w:rsidR="198953E5">
        <w:rPr>
          <w:noProof w:val="0"/>
          <w:lang w:val="en-GB"/>
        </w:rPr>
        <w:t xml:space="preserve">. (2021) found that strong social connections significantly reduce the risk of cognitive decline, highlighting the importance of </w:t>
      </w:r>
      <w:r w:rsidRPr="15A88FCC" w:rsidR="198953E5">
        <w:rPr>
          <w:noProof w:val="0"/>
          <w:lang w:val="en-GB"/>
        </w:rPr>
        <w:t>maintaining</w:t>
      </w:r>
      <w:r w:rsidRPr="15A88FCC" w:rsidR="198953E5">
        <w:rPr>
          <w:noProof w:val="0"/>
          <w:lang w:val="en-GB"/>
        </w:rPr>
        <w:t xml:space="preserve"> relationships in older age.</w:t>
      </w:r>
    </w:p>
    <w:p xmlns:wp14="http://schemas.microsoft.com/office/word/2010/wordml" w:rsidP="15A88FCC" wp14:paraId="0F6098EE" wp14:textId="40B92766">
      <w:pPr>
        <w:pStyle w:val="NoSpacing"/>
        <w:rPr>
          <w:b w:val="1"/>
          <w:bCs w:val="1"/>
          <w:noProof w:val="0"/>
          <w:sz w:val="28"/>
          <w:szCs w:val="28"/>
          <w:lang w:val="en-GB"/>
        </w:rPr>
      </w:pPr>
    </w:p>
    <w:p xmlns:wp14="http://schemas.microsoft.com/office/word/2010/wordml" w:rsidP="15A88FCC" wp14:paraId="7D8AD000" wp14:textId="0DC9DCEA">
      <w:pPr>
        <w:pStyle w:val="NoSpacing"/>
        <w:rPr>
          <w:b w:val="1"/>
          <w:bCs w:val="1"/>
          <w:noProof w:val="0"/>
          <w:sz w:val="28"/>
          <w:szCs w:val="28"/>
          <w:lang w:val="en-GB"/>
        </w:rPr>
      </w:pPr>
      <w:r w:rsidRPr="15A88FCC" w:rsidR="198953E5">
        <w:rPr>
          <w:b w:val="1"/>
          <w:bCs w:val="1"/>
          <w:noProof w:val="0"/>
          <w:sz w:val="28"/>
          <w:szCs w:val="28"/>
          <w:lang w:val="en-GB"/>
        </w:rPr>
        <w:t>5.2 Negative Influences</w:t>
      </w:r>
    </w:p>
    <w:p xmlns:wp14="http://schemas.microsoft.com/office/word/2010/wordml" w:rsidP="15A88FCC" wp14:paraId="77A66DE8" wp14:textId="1646AAAB">
      <w:pPr>
        <w:pStyle w:val="NoSpacing"/>
        <w:rPr>
          <w:noProof w:val="0"/>
          <w:lang w:val="en-GB"/>
        </w:rPr>
      </w:pPr>
      <w:r w:rsidRPr="15A88FCC" w:rsidR="198953E5">
        <w:rPr>
          <w:noProof w:val="0"/>
          <w:lang w:val="en-GB"/>
        </w:rPr>
        <w:t>Despite these opportunities, later life presents several challenges. Holt-</w:t>
      </w:r>
      <w:r w:rsidRPr="15A88FCC" w:rsidR="198953E5">
        <w:rPr>
          <w:noProof w:val="0"/>
          <w:lang w:val="en-GB"/>
        </w:rPr>
        <w:t>Lunstad</w:t>
      </w:r>
      <w:r w:rsidRPr="15A88FCC" w:rsidR="198953E5">
        <w:rPr>
          <w:noProof w:val="0"/>
          <w:lang w:val="en-GB"/>
        </w:rPr>
        <w:t xml:space="preserve"> (2020) argues that loneliness and social isolation are major risk factors for mortality and mental health problems. These issues are particularly prevalent among individuals with limited social networks.</w:t>
      </w:r>
    </w:p>
    <w:p xmlns:wp14="http://schemas.microsoft.com/office/word/2010/wordml" w:rsidP="15A88FCC" wp14:paraId="3FF59F74" wp14:textId="1AB183EF">
      <w:pPr>
        <w:pStyle w:val="NoSpacing"/>
      </w:pPr>
      <w:r w:rsidRPr="15A88FCC" w:rsidR="198953E5">
        <w:rPr>
          <w:noProof w:val="0"/>
          <w:lang w:val="en-GB"/>
        </w:rPr>
        <w:t xml:space="preserve">Chronic illnesses, such as cardiovascular disease and dementia, also become more common with age, reducing independence and quality of life. Financial insecurity further </w:t>
      </w:r>
      <w:r w:rsidRPr="15A88FCC" w:rsidR="198953E5">
        <w:rPr>
          <w:noProof w:val="0"/>
          <w:lang w:val="en-GB"/>
        </w:rPr>
        <w:t>exacerbates</w:t>
      </w:r>
      <w:r w:rsidRPr="15A88FCC" w:rsidR="198953E5">
        <w:rPr>
          <w:noProof w:val="0"/>
          <w:lang w:val="en-GB"/>
        </w:rPr>
        <w:t xml:space="preserve"> these challenges, particularly for individuals without adequate pensions.</w:t>
      </w:r>
    </w:p>
    <w:p xmlns:wp14="http://schemas.microsoft.com/office/word/2010/wordml" w:rsidP="15A88FCC" wp14:paraId="23B38A85" wp14:textId="0779FE7D">
      <w:pPr>
        <w:pStyle w:val="NoSpacing"/>
      </w:pPr>
    </w:p>
    <w:p xmlns:wp14="http://schemas.microsoft.com/office/word/2010/wordml" w:rsidP="15A88FCC" wp14:paraId="64D1D255" wp14:textId="5DFF13AC">
      <w:pPr>
        <w:pStyle w:val="NoSpacing"/>
        <w:rPr>
          <w:b w:val="1"/>
          <w:bCs w:val="1"/>
          <w:noProof w:val="0"/>
          <w:sz w:val="28"/>
          <w:szCs w:val="28"/>
          <w:lang w:val="en-GB"/>
        </w:rPr>
      </w:pPr>
      <w:r w:rsidRPr="15A88FCC" w:rsidR="198953E5">
        <w:rPr>
          <w:b w:val="1"/>
          <w:bCs w:val="1"/>
          <w:noProof w:val="0"/>
          <w:sz w:val="28"/>
          <w:szCs w:val="28"/>
          <w:lang w:val="en-GB"/>
        </w:rPr>
        <w:t>6. Social Determinants of Health</w:t>
      </w:r>
    </w:p>
    <w:p xmlns:wp14="http://schemas.microsoft.com/office/word/2010/wordml" w:rsidP="15A88FCC" wp14:paraId="51F69756" wp14:textId="78071C60">
      <w:pPr>
        <w:pStyle w:val="NoSpacing"/>
      </w:pPr>
      <w:r w:rsidRPr="15A88FCC" w:rsidR="198953E5">
        <w:rPr>
          <w:noProof w:val="0"/>
          <w:lang w:val="en-GB"/>
        </w:rPr>
        <w:t xml:space="preserve">Marmot </w:t>
      </w:r>
      <w:r w:rsidRPr="15A88FCC" w:rsidR="198953E5">
        <w:rPr>
          <w:noProof w:val="0"/>
          <w:lang w:val="en-GB"/>
        </w:rPr>
        <w:t>et al</w:t>
      </w:r>
      <w:r w:rsidRPr="15A88FCC" w:rsidR="198953E5">
        <w:rPr>
          <w:noProof w:val="0"/>
          <w:lang w:val="en-GB"/>
        </w:rPr>
        <w:t>. (2020) emphasise that social determinants such as income, education, and living conditions influence outcomes across all life stages. These factors shape access to resources and opportunities, contributing to patterns of cumulative advantage and disadvantage.</w:t>
      </w:r>
    </w:p>
    <w:p xmlns:wp14="http://schemas.microsoft.com/office/word/2010/wordml" w:rsidP="15A88FCC" wp14:paraId="4108FD0E" wp14:textId="4359B808">
      <w:pPr>
        <w:pStyle w:val="NoSpacing"/>
      </w:pPr>
      <w:r w:rsidRPr="15A88FCC" w:rsidR="198953E5">
        <w:rPr>
          <w:noProof w:val="0"/>
          <w:lang w:val="en-GB"/>
        </w:rPr>
        <w:t xml:space="preserve">The COVID-19 pandemic highlighted these inequalities, as disadvantaged populations experienced disproportionately negative health and economic impacts. This </w:t>
      </w:r>
      <w:r w:rsidRPr="15A88FCC" w:rsidR="198953E5">
        <w:rPr>
          <w:noProof w:val="0"/>
          <w:lang w:val="en-GB"/>
        </w:rPr>
        <w:t>demonstrates</w:t>
      </w:r>
      <w:r w:rsidRPr="15A88FCC" w:rsidR="198953E5">
        <w:rPr>
          <w:noProof w:val="0"/>
          <w:lang w:val="en-GB"/>
        </w:rPr>
        <w:t xml:space="preserve"> how structural factors can amplify existing vulnerabilities.</w:t>
      </w:r>
    </w:p>
    <w:p xmlns:wp14="http://schemas.microsoft.com/office/word/2010/wordml" w:rsidP="15A88FCC" wp14:paraId="574CC68A" wp14:textId="324A254D">
      <w:pPr>
        <w:pStyle w:val="NoSpacing"/>
      </w:pPr>
    </w:p>
    <w:p xmlns:wp14="http://schemas.microsoft.com/office/word/2010/wordml" w:rsidP="15A88FCC" wp14:paraId="119EF556" wp14:textId="4E670742">
      <w:pPr>
        <w:pStyle w:val="NoSpacing"/>
        <w:rPr>
          <w:b w:val="1"/>
          <w:bCs w:val="1"/>
          <w:noProof w:val="0"/>
          <w:sz w:val="28"/>
          <w:szCs w:val="28"/>
          <w:lang w:val="en-GB"/>
        </w:rPr>
      </w:pPr>
      <w:r w:rsidRPr="15A88FCC" w:rsidR="198953E5">
        <w:rPr>
          <w:b w:val="1"/>
          <w:bCs w:val="1"/>
          <w:noProof w:val="0"/>
          <w:sz w:val="28"/>
          <w:szCs w:val="28"/>
          <w:lang w:val="en-GB"/>
        </w:rPr>
        <w:t>7. Resilience and Protective Factors</w:t>
      </w:r>
    </w:p>
    <w:p xmlns:wp14="http://schemas.microsoft.com/office/word/2010/wordml" w:rsidP="15A88FCC" wp14:paraId="478EC1CC" wp14:textId="0BCD262C">
      <w:pPr>
        <w:pStyle w:val="NoSpacing"/>
      </w:pPr>
      <w:r w:rsidRPr="15A88FCC" w:rsidR="198953E5">
        <w:rPr>
          <w:noProof w:val="0"/>
          <w:lang w:val="en-GB"/>
        </w:rPr>
        <w:t>Resilience refers to the ability to adapt positively despite adversity. Masten and Motti-</w:t>
      </w:r>
      <w:r w:rsidRPr="15A88FCC" w:rsidR="198953E5">
        <w:rPr>
          <w:noProof w:val="0"/>
          <w:lang w:val="en-GB"/>
        </w:rPr>
        <w:t>Stefanidi</w:t>
      </w:r>
      <w:r w:rsidRPr="15A88FCC" w:rsidR="198953E5">
        <w:rPr>
          <w:noProof w:val="0"/>
          <w:lang w:val="en-GB"/>
        </w:rPr>
        <w:t xml:space="preserve"> (2020) emphasise that resilience is shaped by access to protective factors, including supportive relationships, education, and community resources.</w:t>
      </w:r>
    </w:p>
    <w:p xmlns:wp14="http://schemas.microsoft.com/office/word/2010/wordml" w:rsidP="15A88FCC" wp14:paraId="17295205" wp14:textId="34AC00D2">
      <w:pPr>
        <w:pStyle w:val="NoSpacing"/>
      </w:pPr>
      <w:r w:rsidRPr="15A88FCC" w:rsidR="198953E5">
        <w:rPr>
          <w:noProof w:val="0"/>
          <w:lang w:val="en-GB"/>
        </w:rPr>
        <w:t>Importantly, resilience is not fixed and can be developed throughout life. This suggests that interventions at any stage can help mitigate the effects of earlier disadvantage.</w:t>
      </w:r>
    </w:p>
    <w:p xmlns:wp14="http://schemas.microsoft.com/office/word/2010/wordml" w:rsidP="15A88FCC" wp14:paraId="0C303678" wp14:textId="50BD2BD0">
      <w:pPr>
        <w:pStyle w:val="NoSpacing"/>
      </w:pPr>
    </w:p>
    <w:p xmlns:wp14="http://schemas.microsoft.com/office/word/2010/wordml" w:rsidP="15A88FCC" wp14:paraId="0FC3C429" wp14:textId="5A22BD2B">
      <w:pPr>
        <w:pStyle w:val="NoSpacing"/>
        <w:rPr>
          <w:b w:val="1"/>
          <w:bCs w:val="1"/>
          <w:noProof w:val="0"/>
          <w:sz w:val="28"/>
          <w:szCs w:val="28"/>
          <w:lang w:val="en-GB"/>
        </w:rPr>
      </w:pPr>
      <w:r w:rsidRPr="15A88FCC" w:rsidR="198953E5">
        <w:rPr>
          <w:b w:val="1"/>
          <w:bCs w:val="1"/>
          <w:noProof w:val="0"/>
          <w:sz w:val="28"/>
          <w:szCs w:val="28"/>
          <w:lang w:val="en-GB"/>
        </w:rPr>
        <w:t>8. Policy Implications</w:t>
      </w:r>
    </w:p>
    <w:p xmlns:wp14="http://schemas.microsoft.com/office/word/2010/wordml" w:rsidP="15A88FCC" wp14:paraId="73CC8482" wp14:textId="566A67A7">
      <w:pPr>
        <w:pStyle w:val="NoSpacing"/>
      </w:pPr>
      <w:r w:rsidRPr="15A88FCC" w:rsidR="198953E5">
        <w:rPr>
          <w:noProof w:val="0"/>
          <w:lang w:val="en-GB"/>
        </w:rPr>
        <w:t>A life course approach has significant implications for policy and practice. Early intervention is particularly effective, as it can prevent the long-term effects of negative influences. Programmes focusing on early education, parenting support, and nutrition have been shown to improve outcomes.</w:t>
      </w:r>
    </w:p>
    <w:p xmlns:wp14="http://schemas.microsoft.com/office/word/2010/wordml" w:rsidP="15A88FCC" wp14:paraId="6E2B8FBD" wp14:textId="1A7C805A">
      <w:pPr>
        <w:pStyle w:val="NoSpacing"/>
      </w:pPr>
      <w:r w:rsidRPr="15A88FCC" w:rsidR="198953E5">
        <w:rPr>
          <w:noProof w:val="0"/>
          <w:lang w:val="en-GB"/>
        </w:rPr>
        <w:t>In adolescence, policies should prioritise mental health support and risk prevention. In adulthood, improving employment conditions and access to healthcare is essential. In later life, promoting social inclusion and active ageing can enhance quality of life.</w:t>
      </w:r>
    </w:p>
    <w:p xmlns:wp14="http://schemas.microsoft.com/office/word/2010/wordml" w:rsidP="15A88FCC" wp14:paraId="536424DE" wp14:textId="21825738">
      <w:pPr>
        <w:pStyle w:val="NoSpacing"/>
      </w:pPr>
      <w:r w:rsidRPr="15A88FCC" w:rsidR="198953E5">
        <w:rPr>
          <w:noProof w:val="0"/>
          <w:lang w:val="en-GB"/>
        </w:rPr>
        <w:t xml:space="preserve">However, as Marmot </w:t>
      </w:r>
      <w:r w:rsidRPr="15A88FCC" w:rsidR="198953E5">
        <w:rPr>
          <w:noProof w:val="0"/>
          <w:lang w:val="en-GB"/>
        </w:rPr>
        <w:t>et al</w:t>
      </w:r>
      <w:r w:rsidRPr="15A88FCC" w:rsidR="198953E5">
        <w:rPr>
          <w:noProof w:val="0"/>
          <w:lang w:val="en-GB"/>
        </w:rPr>
        <w:t>. (2020) argue, addressing individual factors alone is insufficient. Policies must also tackle structural inequalities to achieve meaningful and lasting change.</w:t>
      </w:r>
    </w:p>
    <w:p xmlns:wp14="http://schemas.microsoft.com/office/word/2010/wordml" w:rsidP="15A88FCC" wp14:paraId="7EC2A633" wp14:textId="108593A0">
      <w:pPr>
        <w:pStyle w:val="NoSpacing"/>
      </w:pPr>
    </w:p>
    <w:p xmlns:wp14="http://schemas.microsoft.com/office/word/2010/wordml" w:rsidP="15A88FCC" wp14:paraId="158EE95D" wp14:textId="4E7E51CA">
      <w:pPr>
        <w:pStyle w:val="NoSpacing"/>
        <w:rPr>
          <w:b w:val="1"/>
          <w:bCs w:val="1"/>
          <w:noProof w:val="0"/>
          <w:sz w:val="28"/>
          <w:szCs w:val="28"/>
          <w:lang w:val="en-GB"/>
        </w:rPr>
      </w:pPr>
      <w:r w:rsidRPr="15A88FCC" w:rsidR="198953E5">
        <w:rPr>
          <w:b w:val="1"/>
          <w:bCs w:val="1"/>
          <w:noProof w:val="0"/>
          <w:sz w:val="28"/>
          <w:szCs w:val="28"/>
          <w:lang w:val="en-GB"/>
        </w:rPr>
        <w:t>9. Conclusion</w:t>
      </w:r>
    </w:p>
    <w:p xmlns:wp14="http://schemas.microsoft.com/office/word/2010/wordml" w:rsidP="15A88FCC" wp14:paraId="1AB70928" wp14:textId="7AD16549">
      <w:pPr>
        <w:pStyle w:val="NoSpacing"/>
      </w:pPr>
      <w:r w:rsidRPr="15A88FCC" w:rsidR="198953E5">
        <w:rPr>
          <w:noProof w:val="0"/>
          <w:lang w:val="en-GB"/>
        </w:rPr>
        <w:t>In conclusion, development across the life course is shaped by a complex interplay of positive and negative influences. Early experiences provide the foundation for future outcomes, but later stages also offer opportunities for change and intervention.</w:t>
      </w:r>
    </w:p>
    <w:p xmlns:wp14="http://schemas.microsoft.com/office/word/2010/wordml" w:rsidP="15A88FCC" wp14:paraId="0C26EA33" wp14:textId="45CAAD7F">
      <w:pPr>
        <w:pStyle w:val="NoSpacing"/>
      </w:pPr>
      <w:r w:rsidRPr="15A88FCC" w:rsidR="198953E5">
        <w:rPr>
          <w:noProof w:val="0"/>
          <w:lang w:val="en-GB"/>
        </w:rPr>
        <w:t>The cumulative nature of these influences highlights the importance of addressing social inequalities while promoting protective factors such as education, healthcare, and social support. A comprehensive life course approach is therefore essential for improving wellbeing and reducing disparities across the population.</w:t>
      </w:r>
    </w:p>
    <w:p xmlns:wp14="http://schemas.microsoft.com/office/word/2010/wordml" wp14:paraId="5E5787A5" wp14:textId="74EE3B9E"/>
    <w:p w:rsidR="15A88FCC" w:rsidRDefault="15A88FCC" w14:paraId="78ABF65B" w14:textId="26F60B0B"/>
    <w:p w:rsidR="15A88FCC" w:rsidP="15A88FCC" w:rsidRDefault="15A88FCC" w14:paraId="1D09A4E9" w14:textId="6B04422A">
      <w:pPr>
        <w:pStyle w:val="Normal"/>
      </w:pPr>
    </w:p>
    <w:p w:rsidR="15A88FCC" w:rsidP="15A88FCC" w:rsidRDefault="15A88FCC" w14:paraId="6BB8046F" w14:textId="273934EB">
      <w:pPr>
        <w:pStyle w:val="Normal"/>
      </w:pPr>
    </w:p>
    <w:p w:rsidR="52EDDD2F" w:rsidP="15A88FCC" w:rsidRDefault="52EDDD2F" w14:paraId="0C51A2F5" w14:textId="6B3EEB8A">
      <w:pPr>
        <w:pStyle w:val="NoSpacing"/>
        <w:rPr>
          <w:noProof w:val="0"/>
          <w:sz w:val="28"/>
          <w:szCs w:val="28"/>
          <w:lang w:val="en-GB"/>
        </w:rPr>
      </w:pPr>
      <w:r w:rsidRPr="15A88FCC" w:rsidR="52EDDD2F">
        <w:rPr>
          <w:noProof w:val="0"/>
          <w:sz w:val="28"/>
          <w:szCs w:val="28"/>
          <w:lang w:val="en-GB"/>
        </w:rPr>
        <w:t>Reference List</w:t>
      </w:r>
    </w:p>
    <w:p w:rsidR="52EDDD2F" w:rsidP="15A88FCC" w:rsidRDefault="52EDDD2F" w14:paraId="4FDE8178" w14:textId="15FCDB30">
      <w:pPr>
        <w:spacing w:before="240" w:beforeAutospacing="off" w:after="240" w:afterAutospacing="off"/>
      </w:pPr>
      <w:r w:rsidRPr="15A88FCC" w:rsidR="52EDDD2F">
        <w:rPr>
          <w:rFonts w:ascii="Aptos" w:hAnsi="Aptos" w:eastAsia="Aptos" w:cs="Aptos"/>
          <w:noProof w:val="0"/>
          <w:sz w:val="24"/>
          <w:szCs w:val="24"/>
          <w:lang w:val="en-GB"/>
        </w:rPr>
        <w:t xml:space="preserve">Badura, P., Geckova, A.M., Sigmundova, D. and van Dijk, J.P. (2021) ‘Organised activity participation and adolescent health’, </w:t>
      </w:r>
      <w:r w:rsidRPr="15A88FCC" w:rsidR="52EDDD2F">
        <w:rPr>
          <w:rFonts w:ascii="Aptos" w:hAnsi="Aptos" w:eastAsia="Aptos" w:cs="Aptos"/>
          <w:i w:val="1"/>
          <w:iCs w:val="1"/>
          <w:noProof w:val="0"/>
          <w:sz w:val="24"/>
          <w:szCs w:val="24"/>
          <w:lang w:val="en-GB"/>
        </w:rPr>
        <w:t>BMC Public Health</w:t>
      </w:r>
      <w:r w:rsidRPr="15A88FCC" w:rsidR="52EDDD2F">
        <w:rPr>
          <w:rFonts w:ascii="Aptos" w:hAnsi="Aptos" w:eastAsia="Aptos" w:cs="Aptos"/>
          <w:noProof w:val="0"/>
          <w:sz w:val="24"/>
          <w:szCs w:val="24"/>
          <w:lang w:val="en-GB"/>
        </w:rPr>
        <w:t>, 21, pp. 1–10.</w:t>
      </w:r>
    </w:p>
    <w:p w:rsidR="52EDDD2F" w:rsidP="15A88FCC" w:rsidRDefault="52EDDD2F" w14:paraId="7FEF28F2" w14:textId="70BF9588">
      <w:pPr>
        <w:spacing w:before="240" w:beforeAutospacing="off" w:after="240" w:afterAutospacing="off"/>
      </w:pPr>
      <w:r w:rsidRPr="15A88FCC" w:rsidR="52EDDD2F">
        <w:rPr>
          <w:rFonts w:ascii="Aptos" w:hAnsi="Aptos" w:eastAsia="Aptos" w:cs="Aptos"/>
          <w:noProof w:val="0"/>
          <w:sz w:val="24"/>
          <w:szCs w:val="24"/>
          <w:lang w:val="en-GB"/>
        </w:rPr>
        <w:t xml:space="preserve">Benach, J., Vives, A., Amable, M., Vanroelen, C., Tarafa, G. and Muntaner, C. (2020) ‘Precarious employment and health: developing a research agenda’, </w:t>
      </w:r>
      <w:r w:rsidRPr="15A88FCC" w:rsidR="52EDDD2F">
        <w:rPr>
          <w:rFonts w:ascii="Aptos" w:hAnsi="Aptos" w:eastAsia="Aptos" w:cs="Aptos"/>
          <w:i w:val="1"/>
          <w:iCs w:val="1"/>
          <w:noProof w:val="0"/>
          <w:sz w:val="24"/>
          <w:szCs w:val="24"/>
          <w:lang w:val="en-GB"/>
        </w:rPr>
        <w:t>Annual Review of Public Health</w:t>
      </w:r>
      <w:r w:rsidRPr="15A88FCC" w:rsidR="52EDDD2F">
        <w:rPr>
          <w:rFonts w:ascii="Aptos" w:hAnsi="Aptos" w:eastAsia="Aptos" w:cs="Aptos"/>
          <w:noProof w:val="0"/>
          <w:sz w:val="24"/>
          <w:szCs w:val="24"/>
          <w:lang w:val="en-GB"/>
        </w:rPr>
        <w:t>, 41, pp. 229–253.</w:t>
      </w:r>
    </w:p>
    <w:p w:rsidR="52EDDD2F" w:rsidP="15A88FCC" w:rsidRDefault="52EDDD2F" w14:paraId="74AC064B" w14:textId="5DE9401E">
      <w:pPr>
        <w:spacing w:before="240" w:beforeAutospacing="off" w:after="240" w:afterAutospacing="off"/>
      </w:pPr>
      <w:r w:rsidRPr="15A88FCC" w:rsidR="52EDDD2F">
        <w:rPr>
          <w:rFonts w:ascii="Aptos" w:hAnsi="Aptos" w:eastAsia="Aptos" w:cs="Aptos"/>
          <w:noProof w:val="0"/>
          <w:sz w:val="24"/>
          <w:szCs w:val="24"/>
          <w:lang w:val="en-GB"/>
        </w:rPr>
        <w:t xml:space="preserve">Ben-Shlomo, Y., Kuh, D., Benzeval, M., Lynch, J. and Hallqvist, J. (2020) </w:t>
      </w:r>
      <w:r w:rsidRPr="15A88FCC" w:rsidR="52EDDD2F">
        <w:rPr>
          <w:rFonts w:ascii="Aptos" w:hAnsi="Aptos" w:eastAsia="Aptos" w:cs="Aptos"/>
          <w:i w:val="1"/>
          <w:iCs w:val="1"/>
          <w:noProof w:val="0"/>
          <w:sz w:val="24"/>
          <w:szCs w:val="24"/>
          <w:lang w:val="en-GB"/>
        </w:rPr>
        <w:t>A life course approach to chronic disease epidemiology</w:t>
      </w:r>
      <w:r w:rsidRPr="15A88FCC" w:rsidR="52EDDD2F">
        <w:rPr>
          <w:rFonts w:ascii="Aptos" w:hAnsi="Aptos" w:eastAsia="Aptos" w:cs="Aptos"/>
          <w:noProof w:val="0"/>
          <w:sz w:val="24"/>
          <w:szCs w:val="24"/>
          <w:lang w:val="en-GB"/>
        </w:rPr>
        <w:t>. 3rd edn. Oxford: Oxford University Press.</w:t>
      </w:r>
    </w:p>
    <w:p w:rsidR="52EDDD2F" w:rsidP="15A88FCC" w:rsidRDefault="52EDDD2F" w14:paraId="00D29F3A" w14:textId="421D7F03">
      <w:pPr>
        <w:spacing w:before="240" w:beforeAutospacing="off" w:after="240" w:afterAutospacing="off"/>
      </w:pPr>
      <w:r w:rsidRPr="15A88FCC" w:rsidR="52EDDD2F">
        <w:rPr>
          <w:rFonts w:ascii="Aptos" w:hAnsi="Aptos" w:eastAsia="Aptos" w:cs="Aptos"/>
          <w:noProof w:val="0"/>
          <w:sz w:val="24"/>
          <w:szCs w:val="24"/>
          <w:lang w:val="en-GB"/>
        </w:rPr>
        <w:t xml:space="preserve">Bom, J., Bakx, P., Schut, F. and van Doorslaer, E. (2021) ‘The impact of informal caregiving on caregivers’ health’, </w:t>
      </w:r>
      <w:r w:rsidRPr="15A88FCC" w:rsidR="52EDDD2F">
        <w:rPr>
          <w:rFonts w:ascii="Aptos" w:hAnsi="Aptos" w:eastAsia="Aptos" w:cs="Aptos"/>
          <w:i w:val="1"/>
          <w:iCs w:val="1"/>
          <w:noProof w:val="0"/>
          <w:sz w:val="24"/>
          <w:szCs w:val="24"/>
          <w:lang w:val="en-GB"/>
        </w:rPr>
        <w:t>Health Economics</w:t>
      </w:r>
      <w:r w:rsidRPr="15A88FCC" w:rsidR="52EDDD2F">
        <w:rPr>
          <w:rFonts w:ascii="Aptos" w:hAnsi="Aptos" w:eastAsia="Aptos" w:cs="Aptos"/>
          <w:noProof w:val="0"/>
          <w:sz w:val="24"/>
          <w:szCs w:val="24"/>
          <w:lang w:val="en-GB"/>
        </w:rPr>
        <w:t>, 30(4), pp. 1024–1045.</w:t>
      </w:r>
    </w:p>
    <w:p w:rsidR="52EDDD2F" w:rsidP="15A88FCC" w:rsidRDefault="52EDDD2F" w14:paraId="0ED1FC1E" w14:textId="393DDD6C">
      <w:pPr>
        <w:spacing w:before="240" w:beforeAutospacing="off" w:after="240" w:afterAutospacing="off"/>
      </w:pPr>
      <w:r w:rsidRPr="15A88FCC" w:rsidR="52EDDD2F">
        <w:rPr>
          <w:rFonts w:ascii="Aptos" w:hAnsi="Aptos" w:eastAsia="Aptos" w:cs="Aptos"/>
          <w:noProof w:val="0"/>
          <w:sz w:val="24"/>
          <w:szCs w:val="24"/>
          <w:lang w:val="en-GB"/>
        </w:rPr>
        <w:t xml:space="preserve">Cooper, K. and Stewart, K. (2022) ‘Does money affect children’s outcomes? A systematic review’, </w:t>
      </w:r>
      <w:r w:rsidRPr="15A88FCC" w:rsidR="52EDDD2F">
        <w:rPr>
          <w:rFonts w:ascii="Aptos" w:hAnsi="Aptos" w:eastAsia="Aptos" w:cs="Aptos"/>
          <w:i w:val="1"/>
          <w:iCs w:val="1"/>
          <w:noProof w:val="0"/>
          <w:sz w:val="24"/>
          <w:szCs w:val="24"/>
          <w:lang w:val="en-GB"/>
        </w:rPr>
        <w:t>Child Indicators Research</w:t>
      </w:r>
      <w:r w:rsidRPr="15A88FCC" w:rsidR="52EDDD2F">
        <w:rPr>
          <w:rFonts w:ascii="Aptos" w:hAnsi="Aptos" w:eastAsia="Aptos" w:cs="Aptos"/>
          <w:noProof w:val="0"/>
          <w:sz w:val="24"/>
          <w:szCs w:val="24"/>
          <w:lang w:val="en-GB"/>
        </w:rPr>
        <w:t>, 15(2), pp. 405–428.</w:t>
      </w:r>
    </w:p>
    <w:p w:rsidR="52EDDD2F" w:rsidP="15A88FCC" w:rsidRDefault="52EDDD2F" w14:paraId="7D5427BC" w14:textId="466703AA">
      <w:pPr>
        <w:spacing w:before="240" w:beforeAutospacing="off" w:after="240" w:afterAutospacing="off"/>
      </w:pPr>
      <w:r w:rsidRPr="15A88FCC" w:rsidR="52EDDD2F">
        <w:rPr>
          <w:rFonts w:ascii="Aptos" w:hAnsi="Aptos" w:eastAsia="Aptos" w:cs="Aptos"/>
          <w:noProof w:val="0"/>
          <w:sz w:val="24"/>
          <w:szCs w:val="24"/>
          <w:lang w:val="en-GB"/>
        </w:rPr>
        <w:t xml:space="preserve">Halfon, N. and Forrest, C.B. (2018) ‘The emerging theoretical framework of life course health development’, in Halfon, N. et al. (eds.) </w:t>
      </w:r>
      <w:r w:rsidRPr="15A88FCC" w:rsidR="52EDDD2F">
        <w:rPr>
          <w:rFonts w:ascii="Aptos" w:hAnsi="Aptos" w:eastAsia="Aptos" w:cs="Aptos"/>
          <w:i w:val="1"/>
          <w:iCs w:val="1"/>
          <w:noProof w:val="0"/>
          <w:sz w:val="24"/>
          <w:szCs w:val="24"/>
          <w:lang w:val="en-GB"/>
        </w:rPr>
        <w:t>Handbook of Life Course Health Development</w:t>
      </w:r>
      <w:r w:rsidRPr="15A88FCC" w:rsidR="52EDDD2F">
        <w:rPr>
          <w:rFonts w:ascii="Aptos" w:hAnsi="Aptos" w:eastAsia="Aptos" w:cs="Aptos"/>
          <w:noProof w:val="0"/>
          <w:sz w:val="24"/>
          <w:szCs w:val="24"/>
          <w:lang w:val="en-GB"/>
        </w:rPr>
        <w:t>. Cham: Springer, pp. 19–43.</w:t>
      </w:r>
    </w:p>
    <w:p w:rsidR="52EDDD2F" w:rsidP="15A88FCC" w:rsidRDefault="52EDDD2F" w14:paraId="47DA5757" w14:textId="309DDCFA">
      <w:pPr>
        <w:spacing w:before="240" w:beforeAutospacing="off" w:after="240" w:afterAutospacing="off"/>
      </w:pPr>
      <w:r w:rsidRPr="15A88FCC" w:rsidR="52EDDD2F">
        <w:rPr>
          <w:rFonts w:ascii="Aptos" w:hAnsi="Aptos" w:eastAsia="Aptos" w:cs="Aptos"/>
          <w:noProof w:val="0"/>
          <w:sz w:val="24"/>
          <w:szCs w:val="24"/>
          <w:lang w:val="en-GB"/>
        </w:rPr>
        <w:t xml:space="preserve">Holt-Lunstad, J. (2020) ‘Loneliness and social isolation as risk factors for mortality’, </w:t>
      </w:r>
      <w:r w:rsidRPr="15A88FCC" w:rsidR="52EDDD2F">
        <w:rPr>
          <w:rFonts w:ascii="Aptos" w:hAnsi="Aptos" w:eastAsia="Aptos" w:cs="Aptos"/>
          <w:i w:val="1"/>
          <w:iCs w:val="1"/>
          <w:noProof w:val="0"/>
          <w:sz w:val="24"/>
          <w:szCs w:val="24"/>
          <w:lang w:val="en-GB"/>
        </w:rPr>
        <w:t>The Lancet Public Health</w:t>
      </w:r>
      <w:r w:rsidRPr="15A88FCC" w:rsidR="52EDDD2F">
        <w:rPr>
          <w:rFonts w:ascii="Aptos" w:hAnsi="Aptos" w:eastAsia="Aptos" w:cs="Aptos"/>
          <w:noProof w:val="0"/>
          <w:sz w:val="24"/>
          <w:szCs w:val="24"/>
          <w:lang w:val="en-GB"/>
        </w:rPr>
        <w:t>, 5(1), pp. e62–e63.</w:t>
      </w:r>
    </w:p>
    <w:p w:rsidR="52EDDD2F" w:rsidP="15A88FCC" w:rsidRDefault="52EDDD2F" w14:paraId="5804A551" w14:textId="42321DFC">
      <w:pPr>
        <w:spacing w:before="240" w:beforeAutospacing="off" w:after="240" w:afterAutospacing="off"/>
      </w:pPr>
      <w:r w:rsidRPr="15A88FCC" w:rsidR="52EDDD2F">
        <w:rPr>
          <w:rFonts w:ascii="Aptos" w:hAnsi="Aptos" w:eastAsia="Aptos" w:cs="Aptos"/>
          <w:noProof w:val="0"/>
          <w:sz w:val="24"/>
          <w:szCs w:val="24"/>
          <w:lang w:val="en-GB"/>
        </w:rPr>
        <w:t xml:space="preserve">Hughes, K., Bellis, M.A., Hardcastle, K.A., Sethi, D., Butchart, A., Mikton, C. and Dunne, M.P. (2021) ‘The effect of multiple adverse childhood experiences on health: a systematic review and meta-analysis’, </w:t>
      </w:r>
      <w:r w:rsidRPr="15A88FCC" w:rsidR="52EDDD2F">
        <w:rPr>
          <w:rFonts w:ascii="Aptos" w:hAnsi="Aptos" w:eastAsia="Aptos" w:cs="Aptos"/>
          <w:i w:val="1"/>
          <w:iCs w:val="1"/>
          <w:noProof w:val="0"/>
          <w:sz w:val="24"/>
          <w:szCs w:val="24"/>
          <w:lang w:val="en-GB"/>
        </w:rPr>
        <w:t>The Lancet Public Health</w:t>
      </w:r>
      <w:r w:rsidRPr="15A88FCC" w:rsidR="52EDDD2F">
        <w:rPr>
          <w:rFonts w:ascii="Aptos" w:hAnsi="Aptos" w:eastAsia="Aptos" w:cs="Aptos"/>
          <w:noProof w:val="0"/>
          <w:sz w:val="24"/>
          <w:szCs w:val="24"/>
          <w:lang w:val="en-GB"/>
        </w:rPr>
        <w:t>, 6(8), pp. e356–e366.</w:t>
      </w:r>
    </w:p>
    <w:p w:rsidR="52EDDD2F" w:rsidP="15A88FCC" w:rsidRDefault="52EDDD2F" w14:paraId="0C40273B" w14:textId="52045489">
      <w:pPr>
        <w:spacing w:before="240" w:beforeAutospacing="off" w:after="240" w:afterAutospacing="off"/>
      </w:pPr>
      <w:r w:rsidRPr="15A88FCC" w:rsidR="52EDDD2F">
        <w:rPr>
          <w:rFonts w:ascii="Aptos" w:hAnsi="Aptos" w:eastAsia="Aptos" w:cs="Aptos"/>
          <w:noProof w:val="0"/>
          <w:sz w:val="24"/>
          <w:szCs w:val="24"/>
          <w:lang w:val="en-GB"/>
        </w:rPr>
        <w:t xml:space="preserve">Keats, E.C., Das, J.K., Salam, R.A. and Bhutta, Z.A. (2021) ‘Effective interventions to address maternal and child malnutrition’, </w:t>
      </w:r>
      <w:r w:rsidRPr="15A88FCC" w:rsidR="52EDDD2F">
        <w:rPr>
          <w:rFonts w:ascii="Aptos" w:hAnsi="Aptos" w:eastAsia="Aptos" w:cs="Aptos"/>
          <w:i w:val="1"/>
          <w:iCs w:val="1"/>
          <w:noProof w:val="0"/>
          <w:sz w:val="24"/>
          <w:szCs w:val="24"/>
          <w:lang w:val="en-GB"/>
        </w:rPr>
        <w:t>The Lancet Child &amp; Adolescent Health</w:t>
      </w:r>
      <w:r w:rsidRPr="15A88FCC" w:rsidR="52EDDD2F">
        <w:rPr>
          <w:rFonts w:ascii="Aptos" w:hAnsi="Aptos" w:eastAsia="Aptos" w:cs="Aptos"/>
          <w:noProof w:val="0"/>
          <w:sz w:val="24"/>
          <w:szCs w:val="24"/>
          <w:lang w:val="en-GB"/>
        </w:rPr>
        <w:t>, 5(5), pp. 367–384.</w:t>
      </w:r>
    </w:p>
    <w:p w:rsidR="52EDDD2F" w:rsidP="15A88FCC" w:rsidRDefault="52EDDD2F" w14:paraId="1BF7463E" w14:textId="663E457E">
      <w:pPr>
        <w:spacing w:before="240" w:beforeAutospacing="off" w:after="240" w:afterAutospacing="off"/>
      </w:pPr>
      <w:r w:rsidRPr="15A88FCC" w:rsidR="52EDDD2F">
        <w:rPr>
          <w:rFonts w:ascii="Aptos" w:hAnsi="Aptos" w:eastAsia="Aptos" w:cs="Aptos"/>
          <w:noProof w:val="0"/>
          <w:sz w:val="24"/>
          <w:szCs w:val="24"/>
          <w:lang w:val="en-GB"/>
        </w:rPr>
        <w:t xml:space="preserve">Kim, T.J. and von dem Knesebeck, O. (2021) ‘Is an insecure job better for health than having no job at all?’, </w:t>
      </w:r>
      <w:r w:rsidRPr="15A88FCC" w:rsidR="52EDDD2F">
        <w:rPr>
          <w:rFonts w:ascii="Aptos" w:hAnsi="Aptos" w:eastAsia="Aptos" w:cs="Aptos"/>
          <w:i w:val="1"/>
          <w:iCs w:val="1"/>
          <w:noProof w:val="0"/>
          <w:sz w:val="24"/>
          <w:szCs w:val="24"/>
          <w:lang w:val="en-GB"/>
        </w:rPr>
        <w:t>Social Science &amp; Medicine</w:t>
      </w:r>
      <w:r w:rsidRPr="15A88FCC" w:rsidR="52EDDD2F">
        <w:rPr>
          <w:rFonts w:ascii="Aptos" w:hAnsi="Aptos" w:eastAsia="Aptos" w:cs="Aptos"/>
          <w:noProof w:val="0"/>
          <w:sz w:val="24"/>
          <w:szCs w:val="24"/>
          <w:lang w:val="en-GB"/>
        </w:rPr>
        <w:t>, 283, p. 114152.</w:t>
      </w:r>
    </w:p>
    <w:p w:rsidR="52EDDD2F" w:rsidP="15A88FCC" w:rsidRDefault="52EDDD2F" w14:paraId="4BB012E4" w14:textId="2D1EA9E9">
      <w:pPr>
        <w:spacing w:before="240" w:beforeAutospacing="off" w:after="240" w:afterAutospacing="off"/>
      </w:pPr>
      <w:r w:rsidRPr="15A88FCC" w:rsidR="52EDDD2F">
        <w:rPr>
          <w:rFonts w:ascii="Aptos" w:hAnsi="Aptos" w:eastAsia="Aptos" w:cs="Aptos"/>
          <w:noProof w:val="0"/>
          <w:sz w:val="24"/>
          <w:szCs w:val="24"/>
          <w:lang w:val="en-GB"/>
        </w:rPr>
        <w:t xml:space="preserve">Kowalski, R.M., Giumetti, G.W., Schroeder, A.N. and Lattanner, M.R. (2020) ‘Bullying in the digital age: a critical review’, </w:t>
      </w:r>
      <w:r w:rsidRPr="15A88FCC" w:rsidR="52EDDD2F">
        <w:rPr>
          <w:rFonts w:ascii="Aptos" w:hAnsi="Aptos" w:eastAsia="Aptos" w:cs="Aptos"/>
          <w:i w:val="1"/>
          <w:iCs w:val="1"/>
          <w:noProof w:val="0"/>
          <w:sz w:val="24"/>
          <w:szCs w:val="24"/>
          <w:lang w:val="en-GB"/>
        </w:rPr>
        <w:t>Psychological Bulletin</w:t>
      </w:r>
      <w:r w:rsidRPr="15A88FCC" w:rsidR="52EDDD2F">
        <w:rPr>
          <w:rFonts w:ascii="Aptos" w:hAnsi="Aptos" w:eastAsia="Aptos" w:cs="Aptos"/>
          <w:noProof w:val="0"/>
          <w:sz w:val="24"/>
          <w:szCs w:val="24"/>
          <w:lang w:val="en-GB"/>
        </w:rPr>
        <w:t>, 146(3), pp. 203–233.</w:t>
      </w:r>
    </w:p>
    <w:p w:rsidR="52EDDD2F" w:rsidP="15A88FCC" w:rsidRDefault="52EDDD2F" w14:paraId="30A4114A" w14:textId="2E5E70D5">
      <w:pPr>
        <w:spacing w:before="240" w:beforeAutospacing="off" w:after="240" w:afterAutospacing="off"/>
      </w:pPr>
      <w:r w:rsidRPr="15A88FCC" w:rsidR="52EDDD2F">
        <w:rPr>
          <w:rFonts w:ascii="Aptos" w:hAnsi="Aptos" w:eastAsia="Aptos" w:cs="Aptos"/>
          <w:noProof w:val="0"/>
          <w:sz w:val="24"/>
          <w:szCs w:val="24"/>
          <w:lang w:val="en-GB"/>
        </w:rPr>
        <w:t xml:space="preserve">Marmot, M., Allen, J., Boyce, T., Goldblatt, P. and Morrison, J. (2020) </w:t>
      </w:r>
      <w:r w:rsidRPr="15A88FCC" w:rsidR="52EDDD2F">
        <w:rPr>
          <w:rFonts w:ascii="Aptos" w:hAnsi="Aptos" w:eastAsia="Aptos" w:cs="Aptos"/>
          <w:i w:val="1"/>
          <w:iCs w:val="1"/>
          <w:noProof w:val="0"/>
          <w:sz w:val="24"/>
          <w:szCs w:val="24"/>
          <w:lang w:val="en-GB"/>
        </w:rPr>
        <w:t>Health equity in England: The Marmot Review 10 years on</w:t>
      </w:r>
      <w:r w:rsidRPr="15A88FCC" w:rsidR="52EDDD2F">
        <w:rPr>
          <w:rFonts w:ascii="Aptos" w:hAnsi="Aptos" w:eastAsia="Aptos" w:cs="Aptos"/>
          <w:noProof w:val="0"/>
          <w:sz w:val="24"/>
          <w:szCs w:val="24"/>
          <w:lang w:val="en-GB"/>
        </w:rPr>
        <w:t>. London: Institute of Health Equity.</w:t>
      </w:r>
    </w:p>
    <w:p w:rsidR="52EDDD2F" w:rsidP="15A88FCC" w:rsidRDefault="52EDDD2F" w14:paraId="7CE607B8" w14:textId="12B31EA1">
      <w:pPr>
        <w:spacing w:before="240" w:beforeAutospacing="off" w:after="240" w:afterAutospacing="off"/>
      </w:pPr>
      <w:r w:rsidRPr="15A88FCC" w:rsidR="52EDDD2F">
        <w:rPr>
          <w:rFonts w:ascii="Aptos" w:hAnsi="Aptos" w:eastAsia="Aptos" w:cs="Aptos"/>
          <w:noProof w:val="0"/>
          <w:sz w:val="24"/>
          <w:szCs w:val="24"/>
          <w:lang w:val="en-GB"/>
        </w:rPr>
        <w:t xml:space="preserve">Masten, A.S. and Motti-Stefanidi, F. (2020) ‘Multisystem resilience for children and youth’, </w:t>
      </w:r>
      <w:r w:rsidRPr="15A88FCC" w:rsidR="52EDDD2F">
        <w:rPr>
          <w:rFonts w:ascii="Aptos" w:hAnsi="Aptos" w:eastAsia="Aptos" w:cs="Aptos"/>
          <w:i w:val="1"/>
          <w:iCs w:val="1"/>
          <w:noProof w:val="0"/>
          <w:sz w:val="24"/>
          <w:szCs w:val="24"/>
          <w:lang w:val="en-GB"/>
        </w:rPr>
        <w:t>Development and Psychopathology</w:t>
      </w:r>
      <w:r w:rsidRPr="15A88FCC" w:rsidR="52EDDD2F">
        <w:rPr>
          <w:rFonts w:ascii="Aptos" w:hAnsi="Aptos" w:eastAsia="Aptos" w:cs="Aptos"/>
          <w:noProof w:val="0"/>
          <w:sz w:val="24"/>
          <w:szCs w:val="24"/>
          <w:lang w:val="en-GB"/>
        </w:rPr>
        <w:t>, 32(2), pp. 1–15.</w:t>
      </w:r>
    </w:p>
    <w:p w:rsidR="52EDDD2F" w:rsidP="15A88FCC" w:rsidRDefault="52EDDD2F" w14:paraId="1ECDB0CC" w14:textId="30586BFA">
      <w:pPr>
        <w:spacing w:before="240" w:beforeAutospacing="off" w:after="240" w:afterAutospacing="off"/>
      </w:pPr>
      <w:r w:rsidRPr="15A88FCC" w:rsidR="52EDDD2F">
        <w:rPr>
          <w:rFonts w:ascii="Aptos" w:hAnsi="Aptos" w:eastAsia="Aptos" w:cs="Aptos"/>
          <w:noProof w:val="0"/>
          <w:sz w:val="24"/>
          <w:szCs w:val="24"/>
          <w:lang w:val="en-GB"/>
        </w:rPr>
        <w:t xml:space="preserve">Melhuish, E., Ereky-Stevens, K., Petrogiannis, K. and Ariescu, A. (2020) ‘A review of research on the effects of early childhood education’, </w:t>
      </w:r>
      <w:r w:rsidRPr="15A88FCC" w:rsidR="52EDDD2F">
        <w:rPr>
          <w:rFonts w:ascii="Aptos" w:hAnsi="Aptos" w:eastAsia="Aptos" w:cs="Aptos"/>
          <w:i w:val="1"/>
          <w:iCs w:val="1"/>
          <w:noProof w:val="0"/>
          <w:sz w:val="24"/>
          <w:szCs w:val="24"/>
          <w:lang w:val="en-GB"/>
        </w:rPr>
        <w:t>International Journal of Child Care and Education Policy</w:t>
      </w:r>
      <w:r w:rsidRPr="15A88FCC" w:rsidR="52EDDD2F">
        <w:rPr>
          <w:rFonts w:ascii="Aptos" w:hAnsi="Aptos" w:eastAsia="Aptos" w:cs="Aptos"/>
          <w:noProof w:val="0"/>
          <w:sz w:val="24"/>
          <w:szCs w:val="24"/>
          <w:lang w:val="en-GB"/>
        </w:rPr>
        <w:t>, 14(1), pp. 1–16.</w:t>
      </w:r>
    </w:p>
    <w:p w:rsidR="52EDDD2F" w:rsidP="15A88FCC" w:rsidRDefault="52EDDD2F" w14:paraId="0001BCE5" w14:textId="33759F79">
      <w:pPr>
        <w:spacing w:before="240" w:beforeAutospacing="off" w:after="240" w:afterAutospacing="off"/>
      </w:pPr>
      <w:r w:rsidRPr="15A88FCC" w:rsidR="52EDDD2F">
        <w:rPr>
          <w:rFonts w:ascii="Aptos" w:hAnsi="Aptos" w:eastAsia="Aptos" w:cs="Aptos"/>
          <w:noProof w:val="0"/>
          <w:sz w:val="24"/>
          <w:szCs w:val="24"/>
          <w:lang w:val="en-GB"/>
        </w:rPr>
        <w:t xml:space="preserve">Nelson, C.A., Gabard-Durnam, L.J., Wilkinson, C.L. and Lindquist, K.A. (2020) ‘Neurodevelopmental effects of early adversity’, </w:t>
      </w:r>
      <w:r w:rsidRPr="15A88FCC" w:rsidR="52EDDD2F">
        <w:rPr>
          <w:rFonts w:ascii="Aptos" w:hAnsi="Aptos" w:eastAsia="Aptos" w:cs="Aptos"/>
          <w:i w:val="1"/>
          <w:iCs w:val="1"/>
          <w:noProof w:val="0"/>
          <w:sz w:val="24"/>
          <w:szCs w:val="24"/>
          <w:lang w:val="en-GB"/>
        </w:rPr>
        <w:t>Annual Review of Psychology</w:t>
      </w:r>
      <w:r w:rsidRPr="15A88FCC" w:rsidR="52EDDD2F">
        <w:rPr>
          <w:rFonts w:ascii="Aptos" w:hAnsi="Aptos" w:eastAsia="Aptos" w:cs="Aptos"/>
          <w:noProof w:val="0"/>
          <w:sz w:val="24"/>
          <w:szCs w:val="24"/>
          <w:lang w:val="en-GB"/>
        </w:rPr>
        <w:t>, 71, pp. 451–476.</w:t>
      </w:r>
    </w:p>
    <w:p w:rsidR="52EDDD2F" w:rsidP="15A88FCC" w:rsidRDefault="52EDDD2F" w14:paraId="03E9391B" w14:textId="6646CF04">
      <w:pPr>
        <w:spacing w:before="240" w:beforeAutospacing="off" w:after="240" w:afterAutospacing="off"/>
      </w:pPr>
      <w:r w:rsidRPr="15A88FCC" w:rsidR="52EDDD2F">
        <w:rPr>
          <w:rFonts w:ascii="Aptos" w:hAnsi="Aptos" w:eastAsia="Aptos" w:cs="Aptos"/>
          <w:noProof w:val="0"/>
          <w:sz w:val="24"/>
          <w:szCs w:val="24"/>
          <w:lang w:val="en-GB"/>
        </w:rPr>
        <w:t xml:space="preserve">Racine, N., McArthur, B.A., Cooke, J.E., Eirich, R., Zhu, J. and Madigan, S. (2021) ‘Global prevalence of depressive and anxiety symptoms in children and adolescents’, </w:t>
      </w:r>
      <w:r w:rsidRPr="15A88FCC" w:rsidR="52EDDD2F">
        <w:rPr>
          <w:rFonts w:ascii="Aptos" w:hAnsi="Aptos" w:eastAsia="Aptos" w:cs="Aptos"/>
          <w:i w:val="1"/>
          <w:iCs w:val="1"/>
          <w:noProof w:val="0"/>
          <w:sz w:val="24"/>
          <w:szCs w:val="24"/>
          <w:lang w:val="en-GB"/>
        </w:rPr>
        <w:t>JAMA Pediatrics</w:t>
      </w:r>
      <w:r w:rsidRPr="15A88FCC" w:rsidR="52EDDD2F">
        <w:rPr>
          <w:rFonts w:ascii="Aptos" w:hAnsi="Aptos" w:eastAsia="Aptos" w:cs="Aptos"/>
          <w:noProof w:val="0"/>
          <w:sz w:val="24"/>
          <w:szCs w:val="24"/>
          <w:lang w:val="en-GB"/>
        </w:rPr>
        <w:t>, 175(11), pp. 1142–1150.</w:t>
      </w:r>
    </w:p>
    <w:p w:rsidR="52EDDD2F" w:rsidP="15A88FCC" w:rsidRDefault="52EDDD2F" w14:paraId="380DD03E" w14:textId="62030F95">
      <w:pPr>
        <w:spacing w:before="240" w:beforeAutospacing="off" w:after="240" w:afterAutospacing="off"/>
      </w:pPr>
      <w:r w:rsidRPr="15A88FCC" w:rsidR="52EDDD2F">
        <w:rPr>
          <w:rFonts w:ascii="Aptos" w:hAnsi="Aptos" w:eastAsia="Aptos" w:cs="Aptos"/>
          <w:noProof w:val="0"/>
          <w:sz w:val="24"/>
          <w:szCs w:val="24"/>
          <w:lang w:val="en-GB"/>
        </w:rPr>
        <w:t xml:space="preserve">Rueger, S.Y., Malecki, C.K., Pyun, Y., Aycock, C. and Coyle, S. (2021) ‘A meta-analytic review of the association between perceived social support and depression’, </w:t>
      </w:r>
      <w:r w:rsidRPr="15A88FCC" w:rsidR="52EDDD2F">
        <w:rPr>
          <w:rFonts w:ascii="Aptos" w:hAnsi="Aptos" w:eastAsia="Aptos" w:cs="Aptos"/>
          <w:i w:val="1"/>
          <w:iCs w:val="1"/>
          <w:noProof w:val="0"/>
          <w:sz w:val="24"/>
          <w:szCs w:val="24"/>
          <w:lang w:val="en-GB"/>
        </w:rPr>
        <w:t>Journal of Youth and Adolescence</w:t>
      </w:r>
      <w:r w:rsidRPr="15A88FCC" w:rsidR="52EDDD2F">
        <w:rPr>
          <w:rFonts w:ascii="Aptos" w:hAnsi="Aptos" w:eastAsia="Aptos" w:cs="Aptos"/>
          <w:noProof w:val="0"/>
          <w:sz w:val="24"/>
          <w:szCs w:val="24"/>
          <w:lang w:val="en-GB"/>
        </w:rPr>
        <w:t>, 50(3), pp. 1–15.</w:t>
      </w:r>
    </w:p>
    <w:p w:rsidR="52EDDD2F" w:rsidP="15A88FCC" w:rsidRDefault="52EDDD2F" w14:paraId="6E0598F6" w14:textId="05980935">
      <w:pPr>
        <w:spacing w:before="240" w:beforeAutospacing="off" w:after="240" w:afterAutospacing="off"/>
      </w:pPr>
      <w:r w:rsidRPr="15A88FCC" w:rsidR="52EDDD2F">
        <w:rPr>
          <w:rFonts w:ascii="Aptos" w:hAnsi="Aptos" w:eastAsia="Aptos" w:cs="Aptos"/>
          <w:noProof w:val="0"/>
          <w:sz w:val="24"/>
          <w:szCs w:val="24"/>
          <w:lang w:val="en-GB"/>
        </w:rPr>
        <w:t xml:space="preserve">Santini, Z.I., Jose, P.E., Cornwell, E.Y. and Koyanagi, A. (2021) ‘Social disconnectedness and cognitive decline’, </w:t>
      </w:r>
      <w:r w:rsidRPr="15A88FCC" w:rsidR="52EDDD2F">
        <w:rPr>
          <w:rFonts w:ascii="Aptos" w:hAnsi="Aptos" w:eastAsia="Aptos" w:cs="Aptos"/>
          <w:i w:val="1"/>
          <w:iCs w:val="1"/>
          <w:noProof w:val="0"/>
          <w:sz w:val="24"/>
          <w:szCs w:val="24"/>
          <w:lang w:val="en-GB"/>
        </w:rPr>
        <w:t>The Journals of Gerontology: Series B</w:t>
      </w:r>
      <w:r w:rsidRPr="15A88FCC" w:rsidR="52EDDD2F">
        <w:rPr>
          <w:rFonts w:ascii="Aptos" w:hAnsi="Aptos" w:eastAsia="Aptos" w:cs="Aptos"/>
          <w:noProof w:val="0"/>
          <w:sz w:val="24"/>
          <w:szCs w:val="24"/>
          <w:lang w:val="en-GB"/>
        </w:rPr>
        <w:t>, 76(3), pp. 1–10.</w:t>
      </w:r>
    </w:p>
    <w:p w:rsidR="52EDDD2F" w:rsidP="15A88FCC" w:rsidRDefault="52EDDD2F" w14:paraId="19474495" w14:textId="78571F6B">
      <w:pPr>
        <w:spacing w:before="240" w:beforeAutospacing="off" w:after="240" w:afterAutospacing="off"/>
      </w:pPr>
      <w:r w:rsidRPr="15A88FCC" w:rsidR="52EDDD2F">
        <w:rPr>
          <w:rFonts w:ascii="Aptos" w:hAnsi="Aptos" w:eastAsia="Aptos" w:cs="Aptos"/>
          <w:noProof w:val="0"/>
          <w:sz w:val="24"/>
          <w:szCs w:val="24"/>
          <w:lang w:val="en-GB"/>
        </w:rPr>
        <w:t xml:space="preserve">Umberson, D. and Montez, J.K. (2020) ‘Social relationships and health: a flashpoint for health policy’, </w:t>
      </w:r>
      <w:r w:rsidRPr="15A88FCC" w:rsidR="52EDDD2F">
        <w:rPr>
          <w:rFonts w:ascii="Aptos" w:hAnsi="Aptos" w:eastAsia="Aptos" w:cs="Aptos"/>
          <w:i w:val="1"/>
          <w:iCs w:val="1"/>
          <w:noProof w:val="0"/>
          <w:sz w:val="24"/>
          <w:szCs w:val="24"/>
          <w:lang w:val="en-GB"/>
        </w:rPr>
        <w:t>Journal of Health and Social Behavior</w:t>
      </w:r>
      <w:r w:rsidRPr="15A88FCC" w:rsidR="52EDDD2F">
        <w:rPr>
          <w:rFonts w:ascii="Aptos" w:hAnsi="Aptos" w:eastAsia="Aptos" w:cs="Aptos"/>
          <w:noProof w:val="0"/>
          <w:sz w:val="24"/>
          <w:szCs w:val="24"/>
          <w:lang w:val="en-GB"/>
        </w:rPr>
        <w:t>, 61(1), pp. S54–S66.</w:t>
      </w:r>
    </w:p>
    <w:p w:rsidR="52EDDD2F" w:rsidP="15A88FCC" w:rsidRDefault="52EDDD2F" w14:paraId="10F17A6C" w14:textId="77FAC4EC">
      <w:pPr>
        <w:spacing w:before="240" w:beforeAutospacing="off" w:after="240" w:afterAutospacing="off"/>
      </w:pPr>
      <w:r w:rsidRPr="15A88FCC" w:rsidR="52EDDD2F">
        <w:rPr>
          <w:rFonts w:ascii="Aptos" w:hAnsi="Aptos" w:eastAsia="Aptos" w:cs="Aptos"/>
          <w:noProof w:val="0"/>
          <w:sz w:val="24"/>
          <w:szCs w:val="24"/>
          <w:lang w:val="en-GB"/>
        </w:rPr>
        <w:t xml:space="preserve">Viner, R.M., Bonell, C., Drake, L. and Jourdan, D. (2022) ‘Adolescence and the social determinants of health’, </w:t>
      </w:r>
      <w:r w:rsidRPr="15A88FCC" w:rsidR="52EDDD2F">
        <w:rPr>
          <w:rFonts w:ascii="Aptos" w:hAnsi="Aptos" w:eastAsia="Aptos" w:cs="Aptos"/>
          <w:i w:val="1"/>
          <w:iCs w:val="1"/>
          <w:noProof w:val="0"/>
          <w:sz w:val="24"/>
          <w:szCs w:val="24"/>
          <w:lang w:val="en-GB"/>
        </w:rPr>
        <w:t>The Lancet</w:t>
      </w:r>
      <w:r w:rsidRPr="15A88FCC" w:rsidR="52EDDD2F">
        <w:rPr>
          <w:rFonts w:ascii="Aptos" w:hAnsi="Aptos" w:eastAsia="Aptos" w:cs="Aptos"/>
          <w:noProof w:val="0"/>
          <w:sz w:val="24"/>
          <w:szCs w:val="24"/>
          <w:lang w:val="en-GB"/>
        </w:rPr>
        <w:t>, 379(9826), pp. 1641–1652.</w:t>
      </w:r>
    </w:p>
    <w:p w:rsidR="52EDDD2F" w:rsidP="15A88FCC" w:rsidRDefault="52EDDD2F" w14:paraId="3CBD937E" w14:textId="739C0880">
      <w:pPr>
        <w:spacing w:before="240" w:beforeAutospacing="off" w:after="240" w:afterAutospacing="off"/>
      </w:pPr>
      <w:r w:rsidRPr="15A88FCC" w:rsidR="52EDDD2F">
        <w:rPr>
          <w:rFonts w:ascii="Aptos" w:hAnsi="Aptos" w:eastAsia="Aptos" w:cs="Aptos"/>
          <w:noProof w:val="0"/>
          <w:sz w:val="24"/>
          <w:szCs w:val="24"/>
          <w:lang w:val="en-GB"/>
        </w:rPr>
        <w:t xml:space="preserve">World Health Organization (2022) </w:t>
      </w:r>
      <w:r w:rsidRPr="15A88FCC" w:rsidR="52EDDD2F">
        <w:rPr>
          <w:rFonts w:ascii="Aptos" w:hAnsi="Aptos" w:eastAsia="Aptos" w:cs="Aptos"/>
          <w:i w:val="1"/>
          <w:iCs w:val="1"/>
          <w:noProof w:val="0"/>
          <w:sz w:val="24"/>
          <w:szCs w:val="24"/>
          <w:lang w:val="en-GB"/>
        </w:rPr>
        <w:t>World health statistics 2022: monitoring health for the SDGs</w:t>
      </w:r>
      <w:r w:rsidRPr="15A88FCC" w:rsidR="52EDDD2F">
        <w:rPr>
          <w:rFonts w:ascii="Aptos" w:hAnsi="Aptos" w:eastAsia="Aptos" w:cs="Aptos"/>
          <w:noProof w:val="0"/>
          <w:sz w:val="24"/>
          <w:szCs w:val="24"/>
          <w:lang w:val="en-GB"/>
        </w:rPr>
        <w:t>. Geneva: World Health Organization.</w:t>
      </w:r>
    </w:p>
    <w:p w:rsidR="15A88FCC" w:rsidRDefault="15A88FCC" w14:paraId="128675E9" w14:textId="0B16BA70"/>
    <w:sectPr>
      <w:pgSz w:w="11906" w:h="16838" w:orient="portrait"/>
      <w:pgMar w:top="1440" w:right="1440" w:bottom="1440" w:left="1440" w:header="720" w:footer="720" w:gutter="0"/>
      <w:cols w:space="720"/>
      <w:docGrid w:linePitch="360"/>
      <w:footerReference w:type="default" r:id="R74d2c81931c144c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5A88FCC" w:rsidTr="15A88FCC" w14:paraId="0EA5BF69">
      <w:trPr>
        <w:trHeight w:val="300"/>
      </w:trPr>
      <w:tc>
        <w:tcPr>
          <w:tcW w:w="3005" w:type="dxa"/>
          <w:tcMar/>
        </w:tcPr>
        <w:p w:rsidR="15A88FCC" w:rsidP="15A88FCC" w:rsidRDefault="15A88FCC" w14:paraId="6A2C7517" w14:textId="2ECBB895">
          <w:pPr>
            <w:pStyle w:val="Header"/>
            <w:bidi w:val="0"/>
            <w:ind w:left="-115"/>
            <w:jc w:val="left"/>
          </w:pPr>
        </w:p>
      </w:tc>
      <w:tc>
        <w:tcPr>
          <w:tcW w:w="3005" w:type="dxa"/>
          <w:tcMar/>
        </w:tcPr>
        <w:p w:rsidR="15A88FCC" w:rsidP="15A88FCC" w:rsidRDefault="15A88FCC" w14:paraId="21DA6548" w14:textId="368FBB77">
          <w:pPr>
            <w:pStyle w:val="Header"/>
            <w:bidi w:val="0"/>
            <w:jc w:val="center"/>
          </w:pPr>
        </w:p>
      </w:tc>
      <w:tc>
        <w:tcPr>
          <w:tcW w:w="3005" w:type="dxa"/>
          <w:tcMar/>
        </w:tcPr>
        <w:p w:rsidR="15A88FCC" w:rsidP="15A88FCC" w:rsidRDefault="15A88FCC" w14:paraId="168F7710" w14:textId="30B16504">
          <w:pPr>
            <w:pStyle w:val="Header"/>
            <w:bidi w:val="0"/>
            <w:ind w:right="-115"/>
            <w:jc w:val="right"/>
          </w:pPr>
        </w:p>
      </w:tc>
    </w:tr>
  </w:tbl>
  <w:p w:rsidR="15A88FCC" w:rsidP="15A88FCC" w:rsidRDefault="15A88FCC" w14:paraId="564EE892" w14:textId="78E7F803">
    <w:pPr>
      <w:pStyle w:val="Footer"/>
      <w:bidi w:val="0"/>
    </w:pPr>
  </w:p>
</w:ftr>
</file>

<file path=word/numbering.xml><?xml version="1.0" encoding="utf-8"?>
<w:numbering xmlns:w="http://schemas.openxmlformats.org/wordprocessingml/2006/main">
  <w:abstractNum xmlns:w="http://schemas.openxmlformats.org/wordprocessingml/2006/main" w:abstractNumId="1">
    <w:nsid w:val="491f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5B45D90"/>
    <w:rsid w:val="01E4B0BF"/>
    <w:rsid w:val="09F5E929"/>
    <w:rsid w:val="0A35B6FC"/>
    <w:rsid w:val="0A791789"/>
    <w:rsid w:val="0AAB3D76"/>
    <w:rsid w:val="0FED8069"/>
    <w:rsid w:val="13F1F1A7"/>
    <w:rsid w:val="15A88FCC"/>
    <w:rsid w:val="15F82E1E"/>
    <w:rsid w:val="198953E5"/>
    <w:rsid w:val="1D850BFF"/>
    <w:rsid w:val="241E49E5"/>
    <w:rsid w:val="24448931"/>
    <w:rsid w:val="259A9532"/>
    <w:rsid w:val="30EEDA59"/>
    <w:rsid w:val="3190A192"/>
    <w:rsid w:val="32292904"/>
    <w:rsid w:val="35F51673"/>
    <w:rsid w:val="3F2C37E6"/>
    <w:rsid w:val="42278E47"/>
    <w:rsid w:val="43598F1E"/>
    <w:rsid w:val="469A4914"/>
    <w:rsid w:val="48940473"/>
    <w:rsid w:val="4D46C853"/>
    <w:rsid w:val="5088C688"/>
    <w:rsid w:val="52EDDD2F"/>
    <w:rsid w:val="549910B3"/>
    <w:rsid w:val="54CB73DB"/>
    <w:rsid w:val="554832A8"/>
    <w:rsid w:val="557A0F50"/>
    <w:rsid w:val="55FA6EA4"/>
    <w:rsid w:val="58D456E2"/>
    <w:rsid w:val="5CCF50DE"/>
    <w:rsid w:val="64F46D25"/>
    <w:rsid w:val="6660B3D4"/>
    <w:rsid w:val="67B403B8"/>
    <w:rsid w:val="68730F45"/>
    <w:rsid w:val="6CCFA237"/>
    <w:rsid w:val="73E49420"/>
    <w:rsid w:val="75B45D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B45D90"/>
  <w15:chartTrackingRefBased/>
  <w15:docId w15:val="{C065FB01-A8C0-446F-B0CE-320DF79BC37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5A88FCC"/>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5A88FCC"/>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15A88FCC"/>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NoSpacing">
    <w:uiPriority w:val="1"/>
    <w:name w:val="No Spacing"/>
    <w:qFormat/>
    <w:rsid w:val="15A88FCC"/>
    <w:pPr>
      <w:spacing w:after="0"/>
    </w:pPr>
  </w:style>
  <w:style w:type="paragraph" w:styleId="Title">
    <w:uiPriority w:val="10"/>
    <w:name w:val="Title"/>
    <w:basedOn w:val="Normal"/>
    <w:next w:val="Normal"/>
    <w:qFormat/>
    <w:rsid w:val="15A88FCC"/>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Subtitle">
    <w:uiPriority w:val="11"/>
    <w:name w:val="Subtitle"/>
    <w:basedOn w:val="Normal"/>
    <w:next w:val="Normal"/>
    <w:qFormat/>
    <w:rsid w:val="15A88FCC"/>
    <w:rPr>
      <w:rFonts w:eastAsia="" w:cs="" w:eastAsiaTheme="majorEastAsia" w:cstheme="majorBidi"/>
      <w:color w:val="595959" w:themeColor="text1" w:themeTint="A6" w:themeShade="FF"/>
      <w:sz w:val="28"/>
      <w:szCs w:val="28"/>
    </w:rPr>
  </w:style>
  <w:style w:type="paragraph" w:styleId="Header">
    <w:uiPriority w:val="99"/>
    <w:name w:val="header"/>
    <w:basedOn w:val="Normal"/>
    <w:unhideWhenUsed/>
    <w:rsid w:val="15A88FCC"/>
    <w:pPr>
      <w:tabs>
        <w:tab w:val="center" w:leader="none" w:pos="4680"/>
        <w:tab w:val="right" w:leader="none" w:pos="9360"/>
      </w:tabs>
      <w:spacing w:after="0" w:line="240" w:lineRule="auto"/>
    </w:pPr>
  </w:style>
  <w:style w:type="paragraph" w:styleId="Footer">
    <w:uiPriority w:val="99"/>
    <w:name w:val="footer"/>
    <w:basedOn w:val="Normal"/>
    <w:unhideWhenUsed/>
    <w:rsid w:val="15A88FCC"/>
    <w:pPr>
      <w:tabs>
        <w:tab w:val="center" w:leader="none" w:pos="4680"/>
        <w:tab w:val="right" w:leader="none" w:pos="9360"/>
      </w:tabs>
      <w:spacing w:after="0" w:line="240" w:lineRule="auto"/>
    </w:pPr>
  </w:style>
  <w:style w:type="paragraph" w:styleId="ListParagraph">
    <w:uiPriority w:val="34"/>
    <w:name w:val="List Paragraph"/>
    <w:basedOn w:val="Normal"/>
    <w:qFormat/>
    <w:rsid w:val="15A88FCC"/>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footer" Target="/word/footer.xml" Id="R74d2c81931c144cc" /><Relationship Type="http://schemas.openxmlformats.org/officeDocument/2006/relationships/numbering" Target="/word/numbering.xml" Id="Refcd89a875704a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Lula Mebrahtu Baqa (2325989)</dc:creator>
  <keywords/>
  <dc:description/>
  <lastModifiedBy>Lula Mebrahtu Baqa (2325989)</lastModifiedBy>
  <revision>2</revision>
  <dcterms:created xsi:type="dcterms:W3CDTF">2026-04-21T10:22:15.3010825Z</dcterms:created>
  <dcterms:modified xsi:type="dcterms:W3CDTF">2026-04-23T11:19:23.3398289Z</dcterms:modified>
</coreProperties>
</file>