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E381" w14:textId="16B0ABFB" w:rsidR="00BB5E1D" w:rsidRDefault="00124BD8">
      <w:r>
        <w:rPr>
          <w:noProof/>
        </w:rPr>
        <mc:AlternateContent>
          <mc:Choice Requires="wpg">
            <w:drawing>
              <wp:anchor distT="0" distB="0" distL="114300" distR="114300" simplePos="0" relativeHeight="251662336" behindDoc="0" locked="0" layoutInCell="1" allowOverlap="1" wp14:anchorId="1DB12587" wp14:editId="45B18440">
                <wp:simplePos x="0" y="0"/>
                <wp:positionH relativeFrom="margin">
                  <wp:align>center</wp:align>
                </wp:positionH>
                <wp:positionV relativeFrom="page">
                  <wp:posOffset>304800</wp:posOffset>
                </wp:positionV>
                <wp:extent cx="6949440" cy="1287780"/>
                <wp:effectExtent l="0" t="0" r="3810" b="7620"/>
                <wp:wrapNone/>
                <wp:docPr id="149" name="Group 51"/>
                <wp:cNvGraphicFramePr/>
                <a:graphic xmlns:a="http://schemas.openxmlformats.org/drawingml/2006/main">
                  <a:graphicData uri="http://schemas.microsoft.com/office/word/2010/wordprocessingGroup">
                    <wpg:wgp>
                      <wpg:cNvGrpSpPr/>
                      <wpg:grpSpPr>
                        <a:xfrm>
                          <a:off x="0" y="0"/>
                          <a:ext cx="6949440" cy="12877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96CC00" id="Group 51" o:spid="_x0000_s1026" style="position:absolute;margin-left:0;margin-top:24pt;width:547.2pt;height:101.4pt;z-index:251662336;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sdt>
      <w:sdtPr>
        <w:id w:val="-1297829163"/>
        <w:docPartObj>
          <w:docPartGallery w:val="Cover Pages"/>
          <w:docPartUnique/>
        </w:docPartObj>
      </w:sdtPr>
      <w:sdtEndPr>
        <w:rPr>
          <w:rStyle w:val="TitleChar"/>
          <w:rFonts w:asciiTheme="majorHAnsi" w:eastAsiaTheme="majorEastAsia" w:hAnsiTheme="majorHAnsi" w:cstheme="majorBidi"/>
          <w:color w:val="000000" w:themeColor="text1"/>
          <w:sz w:val="56"/>
          <w:szCs w:val="56"/>
        </w:rPr>
      </w:sdtEndPr>
      <w:sdtContent>
        <w:p w14:paraId="57B03369" w14:textId="4F76ABFB" w:rsidR="00BB5E1D" w:rsidRDefault="00BB5E1D">
          <w:r>
            <w:rPr>
              <w:noProof/>
            </w:rPr>
            <mc:AlternateContent>
              <mc:Choice Requires="wps">
                <w:drawing>
                  <wp:anchor distT="45720" distB="45720" distL="114300" distR="114300" simplePos="0" relativeHeight="251664384" behindDoc="0" locked="0" layoutInCell="1" allowOverlap="1" wp14:anchorId="293CC776" wp14:editId="70646658">
                    <wp:simplePos x="0" y="0"/>
                    <wp:positionH relativeFrom="margin">
                      <wp:posOffset>-601980</wp:posOffset>
                    </wp:positionH>
                    <wp:positionV relativeFrom="paragraph">
                      <wp:posOffset>361950</wp:posOffset>
                    </wp:positionV>
                    <wp:extent cx="6926580" cy="5135245"/>
                    <wp:effectExtent l="0" t="0" r="2667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6580" cy="5135245"/>
                            </a:xfrm>
                            <a:prstGeom prst="rect">
                              <a:avLst/>
                            </a:prstGeom>
                            <a:solidFill>
                              <a:srgbClr val="FFFFFF"/>
                            </a:solidFill>
                            <a:ln w="9525">
                              <a:solidFill>
                                <a:srgbClr val="000000"/>
                              </a:solidFill>
                              <a:miter lim="800000"/>
                              <a:headEnd/>
                              <a:tailEnd/>
                            </a:ln>
                          </wps:spPr>
                          <wps:txbx>
                            <w:txbxContent>
                              <w:p w14:paraId="1C472702" w14:textId="1B9679CA" w:rsidR="00BB5E1D" w:rsidRPr="00467D62" w:rsidRDefault="00BB5E1D" w:rsidP="00BB5E1D">
                                <w:pPr>
                                  <w:jc w:val="center"/>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3CC776" id="_x0000_t202" coordsize="21600,21600" o:spt="202" path="m,l,21600r21600,l21600,xe">
                    <v:stroke joinstyle="miter"/>
                    <v:path gradientshapeok="t" o:connecttype="rect"/>
                  </v:shapetype>
                  <v:shape id="Text Box 2" o:spid="_x0000_s1026" type="#_x0000_t202" style="position:absolute;margin-left:-47.4pt;margin-top:28.5pt;width:545.4pt;height:404.3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">
                    <v:textbox>
                      <w:txbxContent>
                        <w:p w14:paraId="1C472702" w14:textId="1B9679CA" w:rsidR="00BB5E1D" w:rsidRPr="00467D62" w:rsidRDefault="00BB5E1D" w:rsidP="00BB5E1D">
                          <w:pPr>
                            <w:jc w:val="center"/>
                          </w:pPr>
                          <w:r w:rsidRPr="00467D62">
                            <w:rPr>
                              <w:noProof/>
                            </w:rPr>
                            <w:drawing>
                              <wp:inline distT="0" distB="0" distL="0" distR="0" wp14:anchorId="2FFFF96E" wp14:editId="0A10B91F">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0B03610" w14:textId="77777777" w:rsidR="00BB5E1D" w:rsidRPr="00467D62" w:rsidRDefault="00BB5E1D" w:rsidP="00BB5E1D"/>
                        <w:p w14:paraId="331708D0" w14:textId="77777777" w:rsidR="00BB5E1D" w:rsidRPr="00467D62" w:rsidRDefault="00BB5E1D" w:rsidP="00BB5E1D">
                          <w:pPr>
                            <w:jc w:val="right"/>
                            <w:rPr>
                              <w:rFonts w:cs="Times New Roman"/>
                              <w:szCs w:val="24"/>
                            </w:rPr>
                          </w:pPr>
                        </w:p>
                        <w:p w14:paraId="15B9D6ED" w14:textId="77777777" w:rsidR="00BB5E1D" w:rsidRPr="00467D62" w:rsidRDefault="00BB5E1D" w:rsidP="00BB5E1D">
                          <w:pPr>
                            <w:jc w:val="center"/>
                            <w:rPr>
                              <w:rFonts w:cs="Times New Roman"/>
                              <w:szCs w:val="24"/>
                            </w:rPr>
                          </w:pPr>
                          <w:r w:rsidRPr="005B792E">
                            <w:rPr>
                              <w:rFonts w:cs="Times New Roman"/>
                              <w:sz w:val="40"/>
                              <w:szCs w:val="40"/>
                            </w:rPr>
                            <w:t>Strategic Management (LCMB7003)</w:t>
                          </w:r>
                        </w:p>
                        <w:p w14:paraId="157700E4" w14:textId="77777777" w:rsidR="00BB5E1D" w:rsidRPr="00467D62" w:rsidRDefault="00BB5E1D" w:rsidP="00BB5E1D">
                          <w:pPr>
                            <w:jc w:val="right"/>
                            <w:rPr>
                              <w:rFonts w:cs="Times New Roman"/>
                              <w:szCs w:val="24"/>
                            </w:rPr>
                          </w:pPr>
                        </w:p>
                        <w:p w14:paraId="1169E68D" w14:textId="6942CE13" w:rsidR="00BB5E1D" w:rsidRDefault="00BB5E1D" w:rsidP="00BB5E1D">
                          <w:pPr>
                            <w:jc w:val="center"/>
                            <w:rPr>
                              <w:rFonts w:ascii="Arial Black" w:hAnsi="Arial Black" w:cs="Times New Roman"/>
                              <w:sz w:val="40"/>
                              <w:szCs w:val="40"/>
                            </w:rPr>
                          </w:pPr>
                          <w:r>
                            <w:rPr>
                              <w:rFonts w:ascii="Arial Black" w:hAnsi="Arial Black" w:cs="Times New Roman"/>
                              <w:sz w:val="40"/>
                              <w:szCs w:val="40"/>
                            </w:rPr>
                            <w:t>Strategic Analysis of VOLVO</w:t>
                          </w:r>
                        </w:p>
                        <w:p w14:paraId="22D6E9DE" w14:textId="7036F725" w:rsidR="00BB5E1D" w:rsidRDefault="00BB5E1D" w:rsidP="00BB5E1D">
                          <w:pPr>
                            <w:jc w:val="center"/>
                          </w:pPr>
                          <w:r>
                            <w:rPr>
                              <w:noProof/>
                            </w:rPr>
                            <w:drawing>
                              <wp:inline distT="0" distB="0" distL="0" distR="0" wp14:anchorId="07B44AC5" wp14:editId="67829659">
                                <wp:extent cx="2143125" cy="2143125"/>
                                <wp:effectExtent l="0" t="0" r="9525" b="9525"/>
                                <wp:docPr id="668718248" name="Picture 3" descr="A circular logo with a mal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718248" name="Picture 3" descr="A circular logo with a male symbo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txbxContent>
                    </v:textbox>
                    <w10:wrap type="square" anchorx="margin"/>
                  </v:shape>
                </w:pict>
              </mc:Fallback>
            </mc:AlternateContent>
          </w:r>
        </w:p>
        <w:p w14:paraId="373F7F91" w14:textId="052CD604" w:rsidR="00BB5E1D" w:rsidRDefault="00BB5E1D">
          <w:pPr>
            <w:rPr>
              <w:rStyle w:val="TitleChar"/>
            </w:rPr>
          </w:pPr>
          <w:r w:rsidRPr="00BB5E1D">
            <w:rPr>
              <w:rStyle w:val="TitleChar"/>
              <w:noProof/>
            </w:rPr>
            <mc:AlternateContent>
              <mc:Choice Requires="wps">
                <w:drawing>
                  <wp:anchor distT="45720" distB="45720" distL="114300" distR="114300" simplePos="0" relativeHeight="251666432" behindDoc="0" locked="0" layoutInCell="1" allowOverlap="1" wp14:anchorId="3A624F78" wp14:editId="6C9CE750">
                    <wp:simplePos x="0" y="0"/>
                    <wp:positionH relativeFrom="column">
                      <wp:posOffset>-234950</wp:posOffset>
                    </wp:positionH>
                    <wp:positionV relativeFrom="paragraph">
                      <wp:posOffset>6337300</wp:posOffset>
                    </wp:positionV>
                    <wp:extent cx="2768600" cy="1920240"/>
                    <wp:effectExtent l="0" t="0" r="12700" b="22860"/>
                    <wp:wrapSquare wrapText="bothSides"/>
                    <wp:docPr id="1327481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8600" cy="1920240"/>
                            </a:xfrm>
                            <a:prstGeom prst="rect">
                              <a:avLst/>
                            </a:prstGeom>
                            <a:solidFill>
                              <a:srgbClr val="FFFFFF"/>
                            </a:solidFill>
                            <a:ln w="9525">
                              <a:solidFill>
                                <a:schemeClr val="bg1"/>
                              </a:solidFill>
                              <a:miter lim="800000"/>
                              <a:headEnd/>
                              <a:tailEnd/>
                            </a:ln>
                          </wps:spPr>
                          <wps:txbx>
                            <w:txbxContent>
                              <w:p w14:paraId="10055DE4" w14:textId="24CAA8CF" w:rsidR="00BB5E1D" w:rsidRPr="00467D62" w:rsidRDefault="00BB5E1D" w:rsidP="00BB5E1D">
                                <w:pPr>
                                  <w:rPr>
                                    <w:rFonts w:cs="Times New Roman"/>
                                    <w:sz w:val="28"/>
                                    <w:szCs w:val="28"/>
                                  </w:rPr>
                                </w:pPr>
                                <w:r w:rsidRPr="00467D62">
                                  <w:rPr>
                                    <w:rFonts w:cs="Times New Roman"/>
                                    <w:sz w:val="28"/>
                                    <w:szCs w:val="28"/>
                                  </w:rPr>
                                  <w:t xml:space="preserve">Student name: </w:t>
                                </w:r>
                                <w:r w:rsidR="00BF4054">
                                  <w:rPr>
                                    <w:rFonts w:cs="Times New Roman"/>
                                    <w:sz w:val="28"/>
                                    <w:szCs w:val="28"/>
                                  </w:rPr>
                                  <w:t>SUHAIB VELLIYATH</w:t>
                                </w:r>
                              </w:p>
                              <w:p w14:paraId="38EFBAC9" w14:textId="275F8325" w:rsidR="00BB5E1D" w:rsidRPr="00467D62" w:rsidRDefault="00BB5E1D" w:rsidP="00BB5E1D">
                                <w:pPr>
                                  <w:rPr>
                                    <w:rFonts w:cs="Times New Roman"/>
                                    <w:sz w:val="28"/>
                                    <w:szCs w:val="28"/>
                                  </w:rPr>
                                </w:pPr>
                                <w:r w:rsidRPr="00467D62">
                                  <w:rPr>
                                    <w:rFonts w:cs="Times New Roman"/>
                                    <w:sz w:val="28"/>
                                    <w:szCs w:val="28"/>
                                  </w:rPr>
                                  <w:t xml:space="preserve">Student Number: </w:t>
                                </w:r>
                                <w:r w:rsidR="00BF4054">
                                  <w:rPr>
                                    <w:rFonts w:cs="Times New Roman"/>
                                    <w:sz w:val="28"/>
                                    <w:szCs w:val="28"/>
                                  </w:rPr>
                                  <w:t>2215786</w:t>
                                </w:r>
                              </w:p>
                              <w:p w14:paraId="5FDD8B62" w14:textId="236D99B8" w:rsidR="00BB5E1D" w:rsidRDefault="00BB5E1D" w:rsidP="00BB5E1D">
                                <w:pPr>
                                  <w:rPr>
                                    <w:rFonts w:cs="Times New Roman"/>
                                    <w:sz w:val="28"/>
                                    <w:szCs w:val="28"/>
                                  </w:rPr>
                                </w:pPr>
                                <w:r w:rsidRPr="00467D62">
                                  <w:rPr>
                                    <w:rFonts w:cs="Times New Roman"/>
                                    <w:sz w:val="28"/>
                                    <w:szCs w:val="28"/>
                                  </w:rPr>
                                  <w:t xml:space="preserve">Lecturer: </w:t>
                                </w:r>
                                <w:r w:rsidR="00BF4054">
                                  <w:rPr>
                                    <w:rFonts w:cs="Times New Roman"/>
                                    <w:sz w:val="28"/>
                                    <w:szCs w:val="28"/>
                                  </w:rPr>
                                  <w:t>Dr Gladius kulothungal</w:t>
                                </w:r>
                              </w:p>
                              <w:p w14:paraId="2329EF70" w14:textId="7EF6C708" w:rsidR="00BB5E1D" w:rsidRPr="00BB5E1D" w:rsidRDefault="00BB5E1D">
                                <w:pPr>
                                  <w:rPr>
                                    <w:rFonts w:cs="Times New Roman"/>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624F78" id="_x0000_t202" coordsize="21600,21600" o:spt="202" path="m,l,21600r21600,l21600,xe">
                    <v:stroke joinstyle="miter"/>
                    <v:path gradientshapeok="t" o:connecttype="rect"/>
                  </v:shapetype>
                  <v:shape id="_x0000_s1027" type="#_x0000_t202" style="position:absolute;margin-left:-18.5pt;margin-top:499pt;width:218pt;height:151.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" strokecolor="white [3212]">
                    <v:textbox>
                      <w:txbxContent>
                        <w:p w14:paraId="10055DE4" w14:textId="24CAA8CF" w:rsidR="00BB5E1D" w:rsidRPr="00467D62" w:rsidRDefault="00BB5E1D" w:rsidP="00BB5E1D">
                          <w:pPr>
                            <w:rPr>
                              <w:rFonts w:cs="Times New Roman"/>
                              <w:sz w:val="28"/>
                              <w:szCs w:val="28"/>
                            </w:rPr>
                          </w:pPr>
                          <w:r w:rsidRPr="00467D62">
                            <w:rPr>
                              <w:rFonts w:cs="Times New Roman"/>
                              <w:sz w:val="28"/>
                              <w:szCs w:val="28"/>
                            </w:rPr>
                            <w:t xml:space="preserve">Student name: </w:t>
                          </w:r>
                          <w:r w:rsidR="00BF4054">
                            <w:rPr>
                              <w:rFonts w:cs="Times New Roman"/>
                              <w:sz w:val="28"/>
                              <w:szCs w:val="28"/>
                            </w:rPr>
                            <w:t>SUHAIB VELLIYATH</w:t>
                          </w:r>
                        </w:p>
                        <w:p w14:paraId="38EFBAC9" w14:textId="275F8325" w:rsidR="00BB5E1D" w:rsidRPr="00467D62" w:rsidRDefault="00BB5E1D" w:rsidP="00BB5E1D">
                          <w:pPr>
                            <w:rPr>
                              <w:rFonts w:cs="Times New Roman"/>
                              <w:sz w:val="28"/>
                              <w:szCs w:val="28"/>
                            </w:rPr>
                          </w:pPr>
                          <w:r w:rsidRPr="00467D62">
                            <w:rPr>
                              <w:rFonts w:cs="Times New Roman"/>
                              <w:sz w:val="28"/>
                              <w:szCs w:val="28"/>
                            </w:rPr>
                            <w:t xml:space="preserve">Student Number: </w:t>
                          </w:r>
                          <w:r w:rsidR="00BF4054">
                            <w:rPr>
                              <w:rFonts w:cs="Times New Roman"/>
                              <w:sz w:val="28"/>
                              <w:szCs w:val="28"/>
                            </w:rPr>
                            <w:t>2215786</w:t>
                          </w:r>
                        </w:p>
                        <w:p w14:paraId="5FDD8B62" w14:textId="236D99B8" w:rsidR="00BB5E1D" w:rsidRDefault="00BB5E1D" w:rsidP="00BB5E1D">
                          <w:pPr>
                            <w:rPr>
                              <w:rFonts w:cs="Times New Roman"/>
                              <w:sz w:val="28"/>
                              <w:szCs w:val="28"/>
                            </w:rPr>
                          </w:pPr>
                          <w:r w:rsidRPr="00467D62">
                            <w:rPr>
                              <w:rFonts w:cs="Times New Roman"/>
                              <w:sz w:val="28"/>
                              <w:szCs w:val="28"/>
                            </w:rPr>
                            <w:t xml:space="preserve">Lecturer: </w:t>
                          </w:r>
                          <w:r w:rsidR="00BF4054">
                            <w:rPr>
                              <w:rFonts w:cs="Times New Roman"/>
                              <w:sz w:val="28"/>
                              <w:szCs w:val="28"/>
                            </w:rPr>
                            <w:t>Dr Gladius kulothungal</w:t>
                          </w:r>
                        </w:p>
                        <w:p w14:paraId="2329EF70" w14:textId="7EF6C708" w:rsidR="00BB5E1D" w:rsidRPr="00BB5E1D" w:rsidRDefault="00BB5E1D">
                          <w:pPr>
                            <w:rPr>
                              <w:rFonts w:cs="Times New Roman"/>
                              <w:sz w:val="28"/>
                              <w:szCs w:val="28"/>
                            </w:rPr>
                          </w:pPr>
                        </w:p>
                      </w:txbxContent>
                    </v:textbox>
                    <w10:wrap type="square"/>
                  </v:shape>
                </w:pict>
              </mc:Fallback>
            </mc:AlternateContent>
          </w:r>
          <w:r>
            <w:rPr>
              <w:rStyle w:val="TitleChar"/>
            </w:rPr>
            <w:br w:type="page"/>
          </w:r>
        </w:p>
      </w:sdtContent>
    </w:sdt>
    <w:sdt>
      <w:sdtPr>
        <w:id w:val="1608465399"/>
        <w:docPartObj>
          <w:docPartGallery w:val="Table of Contents"/>
          <w:docPartUnique/>
        </w:docPartObj>
      </w:sdtPr>
      <w:sdtEndPr>
        <w:rPr>
          <w:rFonts w:ascii="Times New Roman" w:hAnsi="Times New Roman" w:cs="Times New Roman"/>
          <w:b/>
          <w:bCs/>
          <w:noProof/>
          <w:sz w:val="24"/>
          <w:szCs w:val="24"/>
        </w:rPr>
      </w:sdtEndPr>
      <w:sdtContent>
        <w:p w14:paraId="19A0C8B2" w14:textId="1E18C4B8" w:rsidR="00386C98" w:rsidRPr="00386C98" w:rsidRDefault="00386C98" w:rsidP="00386C98">
          <w:pPr>
            <w:rPr>
              <w:rStyle w:val="TitleChar"/>
            </w:rPr>
          </w:pPr>
          <w:r w:rsidRPr="00386C98">
            <w:rPr>
              <w:rStyle w:val="TitleChar"/>
            </w:rPr>
            <w:t>Table of Contents</w:t>
          </w:r>
        </w:p>
        <w:p w14:paraId="06B5FA68" w14:textId="020D2769" w:rsidR="00BB5E1D" w:rsidRPr="00BB5E1D" w:rsidRDefault="00386C98"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r w:rsidRPr="00BB5E1D">
            <w:rPr>
              <w:rFonts w:ascii="Times New Roman" w:hAnsi="Times New Roman" w:cs="Times New Roman"/>
              <w:sz w:val="24"/>
              <w:szCs w:val="24"/>
            </w:rPr>
            <w:fldChar w:fldCharType="begin"/>
          </w:r>
          <w:r w:rsidRPr="00BB5E1D">
            <w:rPr>
              <w:rFonts w:ascii="Times New Roman" w:hAnsi="Times New Roman" w:cs="Times New Roman"/>
              <w:sz w:val="24"/>
              <w:szCs w:val="24"/>
            </w:rPr>
            <w:instrText xml:space="preserve"> TOC \o "1-3" \h \z \u </w:instrText>
          </w:r>
          <w:r w:rsidRPr="00BB5E1D">
            <w:rPr>
              <w:rFonts w:ascii="Times New Roman" w:hAnsi="Times New Roman" w:cs="Times New Roman"/>
              <w:sz w:val="24"/>
              <w:szCs w:val="24"/>
            </w:rPr>
            <w:fldChar w:fldCharType="separate"/>
          </w:r>
          <w:hyperlink w:anchor="_Toc144232051" w:history="1">
            <w:r w:rsidR="00BB5E1D" w:rsidRPr="00BB5E1D">
              <w:rPr>
                <w:rStyle w:val="Hyperlink"/>
                <w:rFonts w:ascii="Times New Roman" w:hAnsi="Times New Roman" w:cs="Times New Roman"/>
                <w:noProof/>
                <w:sz w:val="24"/>
                <w:szCs w:val="24"/>
              </w:rPr>
              <w:t>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Introduction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0E542813" w14:textId="49A5A80B"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2" w:history="1">
            <w:r w:rsidR="00BB5E1D" w:rsidRPr="00BB5E1D">
              <w:rPr>
                <w:rStyle w:val="Hyperlink"/>
                <w:rFonts w:ascii="Times New Roman" w:hAnsi="Times New Roman" w:cs="Times New Roman"/>
                <w:noProof/>
                <w:sz w:val="24"/>
                <w:szCs w:val="24"/>
              </w:rPr>
              <w:t>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Company Background</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w:t>
            </w:r>
            <w:r w:rsidR="00BB5E1D" w:rsidRPr="00BB5E1D">
              <w:rPr>
                <w:rFonts w:ascii="Times New Roman" w:hAnsi="Times New Roman" w:cs="Times New Roman"/>
                <w:noProof/>
                <w:webHidden/>
                <w:sz w:val="24"/>
                <w:szCs w:val="24"/>
              </w:rPr>
              <w:fldChar w:fldCharType="end"/>
            </w:r>
          </w:hyperlink>
        </w:p>
        <w:p w14:paraId="4D920E88" w14:textId="2DF50777"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3" w:history="1">
            <w:r w:rsidR="00BB5E1D" w:rsidRPr="00BB5E1D">
              <w:rPr>
                <w:rStyle w:val="Hyperlink"/>
                <w:rFonts w:ascii="Times New Roman" w:hAnsi="Times New Roman" w:cs="Times New Roman"/>
                <w:noProof/>
                <w:sz w:val="24"/>
                <w:szCs w:val="24"/>
              </w:rPr>
              <w:t>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Missions and vison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3</w:t>
            </w:r>
            <w:r w:rsidR="00BB5E1D" w:rsidRPr="00BB5E1D">
              <w:rPr>
                <w:rFonts w:ascii="Times New Roman" w:hAnsi="Times New Roman" w:cs="Times New Roman"/>
                <w:noProof/>
                <w:webHidden/>
                <w:sz w:val="24"/>
                <w:szCs w:val="24"/>
              </w:rPr>
              <w:fldChar w:fldCharType="end"/>
            </w:r>
          </w:hyperlink>
        </w:p>
        <w:p w14:paraId="774468FF" w14:textId="23C1421E"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4" w:history="1">
            <w:r w:rsidR="00BB5E1D" w:rsidRPr="00BB5E1D">
              <w:rPr>
                <w:rStyle w:val="Hyperlink"/>
                <w:rFonts w:ascii="Times New Roman" w:hAnsi="Times New Roman" w:cs="Times New Roman"/>
                <w:noProof/>
                <w:sz w:val="24"/>
                <w:szCs w:val="24"/>
              </w:rPr>
              <w:t>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Macro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167CE691" w14:textId="6195DDA4"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5" w:history="1">
            <w:r w:rsidR="00BB5E1D" w:rsidRPr="00BB5E1D">
              <w:rPr>
                <w:rStyle w:val="Hyperlink"/>
                <w:rFonts w:ascii="Times New Roman" w:hAnsi="Times New Roman" w:cs="Times New Roman"/>
                <w:noProof/>
                <w:sz w:val="24"/>
                <w:szCs w:val="24"/>
              </w:rPr>
              <w:t>4.1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PESTLE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4</w:t>
            </w:r>
            <w:r w:rsidR="00BB5E1D" w:rsidRPr="00BB5E1D">
              <w:rPr>
                <w:rFonts w:ascii="Times New Roman" w:hAnsi="Times New Roman" w:cs="Times New Roman"/>
                <w:noProof/>
                <w:webHidden/>
                <w:sz w:val="24"/>
                <w:szCs w:val="24"/>
              </w:rPr>
              <w:fldChar w:fldCharType="end"/>
            </w:r>
          </w:hyperlink>
        </w:p>
        <w:p w14:paraId="50A5F9C1" w14:textId="3BE34F8B"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6" w:history="1">
            <w:r w:rsidR="00BB5E1D" w:rsidRPr="00BB5E1D">
              <w:rPr>
                <w:rStyle w:val="Hyperlink"/>
                <w:rFonts w:ascii="Times New Roman" w:hAnsi="Times New Roman" w:cs="Times New Roman"/>
                <w:noProof/>
                <w:sz w:val="24"/>
                <w:szCs w:val="24"/>
              </w:rPr>
              <w:t>5</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Micro- Environmental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0A6B39FB" w14:textId="72BB2759"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7" w:history="1">
            <w:r w:rsidR="00BB5E1D" w:rsidRPr="00BB5E1D">
              <w:rPr>
                <w:rStyle w:val="Hyperlink"/>
                <w:rFonts w:ascii="Times New Roman" w:hAnsi="Times New Roman" w:cs="Times New Roman"/>
                <w:noProof/>
                <w:sz w:val="24"/>
                <w:szCs w:val="24"/>
              </w:rPr>
              <w:t>5.1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Industry Life Cycle Framework Analysis for Volvo</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6</w:t>
            </w:r>
            <w:r w:rsidR="00BB5E1D" w:rsidRPr="00BB5E1D">
              <w:rPr>
                <w:rFonts w:ascii="Times New Roman" w:hAnsi="Times New Roman" w:cs="Times New Roman"/>
                <w:noProof/>
                <w:webHidden/>
                <w:sz w:val="24"/>
                <w:szCs w:val="24"/>
              </w:rPr>
              <w:fldChar w:fldCharType="end"/>
            </w:r>
          </w:hyperlink>
        </w:p>
        <w:p w14:paraId="4E9C15FE" w14:textId="29A4968A"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8" w:history="1">
            <w:r w:rsidR="00BB5E1D" w:rsidRPr="00BB5E1D">
              <w:rPr>
                <w:rStyle w:val="Hyperlink"/>
                <w:rFonts w:ascii="Times New Roman" w:hAnsi="Times New Roman" w:cs="Times New Roman"/>
                <w:noProof/>
                <w:sz w:val="24"/>
                <w:szCs w:val="24"/>
              </w:rPr>
              <w:t>5.2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Five force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9</w:t>
            </w:r>
            <w:r w:rsidR="00BB5E1D" w:rsidRPr="00BB5E1D">
              <w:rPr>
                <w:rFonts w:ascii="Times New Roman" w:hAnsi="Times New Roman" w:cs="Times New Roman"/>
                <w:noProof/>
                <w:webHidden/>
                <w:sz w:val="24"/>
                <w:szCs w:val="24"/>
              </w:rPr>
              <w:fldChar w:fldCharType="end"/>
            </w:r>
          </w:hyperlink>
        </w:p>
        <w:p w14:paraId="550499DF" w14:textId="232717B7"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59" w:history="1">
            <w:r w:rsidR="00BB5E1D" w:rsidRPr="00BB5E1D">
              <w:rPr>
                <w:rStyle w:val="Hyperlink"/>
                <w:rFonts w:ascii="Times New Roman" w:hAnsi="Times New Roman" w:cs="Times New Roman"/>
                <w:noProof/>
                <w:sz w:val="24"/>
                <w:szCs w:val="24"/>
              </w:rPr>
              <w:t>6</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Internal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_Toc144232059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C8FEFBB" w14:textId="4271B899"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0" w:history="1">
            <w:r w:rsidR="00BB5E1D" w:rsidRPr="00BB5E1D">
              <w:rPr>
                <w:rStyle w:val="Hyperlink"/>
                <w:rFonts w:ascii="Times New Roman" w:hAnsi="Times New Roman" w:cs="Times New Roman"/>
                <w:noProof/>
                <w:sz w:val="24"/>
                <w:szCs w:val="24"/>
              </w:rPr>
              <w:t>6.1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Strategic Resource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10</w:t>
            </w:r>
            <w:r w:rsidR="00BB5E1D" w:rsidRPr="00BB5E1D">
              <w:rPr>
                <w:rFonts w:ascii="Times New Roman" w:hAnsi="Times New Roman" w:cs="Times New Roman"/>
                <w:noProof/>
                <w:webHidden/>
                <w:sz w:val="24"/>
                <w:szCs w:val="24"/>
              </w:rPr>
              <w:fldChar w:fldCharType="end"/>
            </w:r>
          </w:hyperlink>
        </w:p>
        <w:p w14:paraId="28ECAC1B" w14:textId="73B4840B"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1" w:history="1">
            <w:r w:rsidR="00BB5E1D" w:rsidRPr="00BB5E1D">
              <w:rPr>
                <w:rStyle w:val="Hyperlink"/>
                <w:rFonts w:ascii="Times New Roman" w:hAnsi="Times New Roman" w:cs="Times New Roman"/>
                <w:noProof/>
                <w:sz w:val="24"/>
                <w:szCs w:val="24"/>
              </w:rPr>
              <w:t>6.2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Volvos value chain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1A93531D" w14:textId="16C8EBE8"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2" w:history="1">
            <w:r w:rsidR="00BB5E1D" w:rsidRPr="00BB5E1D">
              <w:rPr>
                <w:rStyle w:val="Hyperlink"/>
                <w:rFonts w:ascii="Times New Roman" w:hAnsi="Times New Roman" w:cs="Times New Roman"/>
                <w:noProof/>
                <w:sz w:val="24"/>
                <w:szCs w:val="24"/>
              </w:rPr>
              <w:t>6.2.1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Primary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13</w:t>
            </w:r>
            <w:r w:rsidR="00BB5E1D" w:rsidRPr="00BB5E1D">
              <w:rPr>
                <w:rFonts w:ascii="Times New Roman" w:hAnsi="Times New Roman" w:cs="Times New Roman"/>
                <w:noProof/>
                <w:webHidden/>
                <w:sz w:val="24"/>
                <w:szCs w:val="24"/>
              </w:rPr>
              <w:fldChar w:fldCharType="end"/>
            </w:r>
          </w:hyperlink>
        </w:p>
        <w:p w14:paraId="20E84811" w14:textId="33355692" w:rsidR="00BB5E1D" w:rsidRPr="00BB5E1D" w:rsidRDefault="00000000" w:rsidP="00BB5E1D">
          <w:pPr>
            <w:pStyle w:val="TOC3"/>
            <w:tabs>
              <w:tab w:val="left" w:pos="132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3" w:history="1">
            <w:r w:rsidR="00BB5E1D" w:rsidRPr="00BB5E1D">
              <w:rPr>
                <w:rStyle w:val="Hyperlink"/>
                <w:rFonts w:ascii="Times New Roman" w:hAnsi="Times New Roman" w:cs="Times New Roman"/>
                <w:noProof/>
                <w:sz w:val="24"/>
                <w:szCs w:val="24"/>
              </w:rPr>
              <w:t>6.2.2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Secondary Activities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_Toc144232063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14</w:t>
            </w:r>
            <w:r w:rsidR="00BB5E1D" w:rsidRPr="00BB5E1D">
              <w:rPr>
                <w:rFonts w:ascii="Times New Roman" w:hAnsi="Times New Roman" w:cs="Times New Roman"/>
                <w:noProof/>
                <w:webHidden/>
                <w:sz w:val="24"/>
                <w:szCs w:val="24"/>
              </w:rPr>
              <w:fldChar w:fldCharType="end"/>
            </w:r>
          </w:hyperlink>
        </w:p>
        <w:p w14:paraId="0A21876D" w14:textId="714AC60A"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4" w:history="1">
            <w:r w:rsidR="00BB5E1D" w:rsidRPr="00BB5E1D">
              <w:rPr>
                <w:rStyle w:val="Hyperlink"/>
                <w:rFonts w:ascii="Times New Roman" w:hAnsi="Times New Roman" w:cs="Times New Roman"/>
                <w:noProof/>
                <w:sz w:val="24"/>
                <w:szCs w:val="24"/>
              </w:rPr>
              <w:t>7</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VRIO Analysis of Distinctive Resources and Capabilities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_Toc144232064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15</w:t>
            </w:r>
            <w:r w:rsidR="00BB5E1D" w:rsidRPr="00BB5E1D">
              <w:rPr>
                <w:rFonts w:ascii="Times New Roman" w:hAnsi="Times New Roman" w:cs="Times New Roman"/>
                <w:noProof/>
                <w:webHidden/>
                <w:sz w:val="24"/>
                <w:szCs w:val="24"/>
              </w:rPr>
              <w:fldChar w:fldCharType="end"/>
            </w:r>
          </w:hyperlink>
        </w:p>
        <w:p w14:paraId="43550C81" w14:textId="467FFABF"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5" w:history="1">
            <w:r w:rsidR="00BB5E1D" w:rsidRPr="00BB5E1D">
              <w:rPr>
                <w:rStyle w:val="Hyperlink"/>
                <w:rFonts w:ascii="Times New Roman" w:hAnsi="Times New Roman" w:cs="Times New Roman"/>
                <w:noProof/>
                <w:sz w:val="24"/>
                <w:szCs w:val="24"/>
              </w:rPr>
              <w:t>8</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SWOT Analysis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_Toc144232065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18</w:t>
            </w:r>
            <w:r w:rsidR="00BB5E1D" w:rsidRPr="00BB5E1D">
              <w:rPr>
                <w:rFonts w:ascii="Times New Roman" w:hAnsi="Times New Roman" w:cs="Times New Roman"/>
                <w:noProof/>
                <w:webHidden/>
                <w:sz w:val="24"/>
                <w:szCs w:val="24"/>
              </w:rPr>
              <w:fldChar w:fldCharType="end"/>
            </w:r>
          </w:hyperlink>
        </w:p>
        <w:p w14:paraId="30CD9BA3" w14:textId="4AA73527" w:rsidR="00BB5E1D" w:rsidRPr="00BB5E1D" w:rsidRDefault="00000000" w:rsidP="00BB5E1D">
          <w:pPr>
            <w:pStyle w:val="TOC1"/>
            <w:tabs>
              <w:tab w:val="left" w:pos="44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6" w:history="1">
            <w:r w:rsidR="00BB5E1D" w:rsidRPr="00BB5E1D">
              <w:rPr>
                <w:rStyle w:val="Hyperlink"/>
                <w:rFonts w:ascii="Times New Roman" w:hAnsi="Times New Roman" w:cs="Times New Roman"/>
                <w:noProof/>
                <w:sz w:val="24"/>
                <w:szCs w:val="24"/>
              </w:rPr>
              <w:t>9</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Strategy to remain competitive advantage.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_Toc144232066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5AD88FD5" w14:textId="1099F9A1" w:rsidR="00BB5E1D" w:rsidRPr="00BB5E1D" w:rsidRDefault="00000000" w:rsidP="00BB5E1D">
          <w:pPr>
            <w:pStyle w:val="TOC2"/>
            <w:tabs>
              <w:tab w:val="left" w:pos="88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7" w:history="1">
            <w:r w:rsidR="00BB5E1D" w:rsidRPr="00BB5E1D">
              <w:rPr>
                <w:rStyle w:val="Hyperlink"/>
                <w:rFonts w:ascii="Times New Roman" w:hAnsi="Times New Roman" w:cs="Times New Roman"/>
                <w:noProof/>
                <w:sz w:val="24"/>
                <w:szCs w:val="24"/>
              </w:rPr>
              <w:t>9.1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Porter's Generic Strategies framework</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_Toc144232067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20</w:t>
            </w:r>
            <w:r w:rsidR="00BB5E1D" w:rsidRPr="00BB5E1D">
              <w:rPr>
                <w:rFonts w:ascii="Times New Roman" w:hAnsi="Times New Roman" w:cs="Times New Roman"/>
                <w:noProof/>
                <w:webHidden/>
                <w:sz w:val="24"/>
                <w:szCs w:val="24"/>
              </w:rPr>
              <w:fldChar w:fldCharType="end"/>
            </w:r>
          </w:hyperlink>
        </w:p>
        <w:p w14:paraId="4112D37E" w14:textId="27FC39E7"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8" w:history="1">
            <w:r w:rsidR="00BB5E1D" w:rsidRPr="00BB5E1D">
              <w:rPr>
                <w:rStyle w:val="Hyperlink"/>
                <w:rFonts w:ascii="Times New Roman" w:hAnsi="Times New Roman" w:cs="Times New Roman"/>
                <w:noProof/>
                <w:sz w:val="24"/>
                <w:szCs w:val="24"/>
              </w:rPr>
              <w:t>10</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Growth strategies</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_Toc144232068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22</w:t>
            </w:r>
            <w:r w:rsidR="00BB5E1D" w:rsidRPr="00BB5E1D">
              <w:rPr>
                <w:rFonts w:ascii="Times New Roman" w:hAnsi="Times New Roman" w:cs="Times New Roman"/>
                <w:noProof/>
                <w:webHidden/>
                <w:sz w:val="24"/>
                <w:szCs w:val="24"/>
              </w:rPr>
              <w:fldChar w:fldCharType="end"/>
            </w:r>
          </w:hyperlink>
        </w:p>
        <w:p w14:paraId="0A485EF2" w14:textId="7EB43C53"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69" w:history="1">
            <w:r w:rsidR="00BB5E1D" w:rsidRPr="00BB5E1D">
              <w:rPr>
                <w:rStyle w:val="Hyperlink"/>
                <w:rFonts w:ascii="Times New Roman" w:hAnsi="Times New Roman" w:cs="Times New Roman"/>
                <w:noProof/>
                <w:sz w:val="24"/>
                <w:szCs w:val="24"/>
              </w:rPr>
              <w:t>11</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Green Strategy and CSR</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_Toc144232069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24</w:t>
            </w:r>
            <w:r w:rsidR="00BB5E1D" w:rsidRPr="00BB5E1D">
              <w:rPr>
                <w:rFonts w:ascii="Times New Roman" w:hAnsi="Times New Roman" w:cs="Times New Roman"/>
                <w:noProof/>
                <w:webHidden/>
                <w:sz w:val="24"/>
                <w:szCs w:val="24"/>
              </w:rPr>
              <w:fldChar w:fldCharType="end"/>
            </w:r>
          </w:hyperlink>
        </w:p>
        <w:p w14:paraId="156F190C" w14:textId="4476A43C"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0" w:history="1">
            <w:r w:rsidR="00BB5E1D" w:rsidRPr="00BB5E1D">
              <w:rPr>
                <w:rStyle w:val="Hyperlink"/>
                <w:rFonts w:ascii="Times New Roman" w:hAnsi="Times New Roman" w:cs="Times New Roman"/>
                <w:noProof/>
                <w:sz w:val="24"/>
                <w:szCs w:val="24"/>
              </w:rPr>
              <w:t>12</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Conclusion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_Toc144232070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25</w:t>
            </w:r>
            <w:r w:rsidR="00BB5E1D" w:rsidRPr="00BB5E1D">
              <w:rPr>
                <w:rFonts w:ascii="Times New Roman" w:hAnsi="Times New Roman" w:cs="Times New Roman"/>
                <w:noProof/>
                <w:webHidden/>
                <w:sz w:val="24"/>
                <w:szCs w:val="24"/>
              </w:rPr>
              <w:fldChar w:fldCharType="end"/>
            </w:r>
          </w:hyperlink>
        </w:p>
        <w:p w14:paraId="62209E80" w14:textId="0FDE07B9"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1" w:history="1">
            <w:r w:rsidR="00BB5E1D" w:rsidRPr="00BB5E1D">
              <w:rPr>
                <w:rStyle w:val="Hyperlink"/>
                <w:rFonts w:ascii="Times New Roman" w:hAnsi="Times New Roman" w:cs="Times New Roman"/>
                <w:noProof/>
                <w:sz w:val="24"/>
                <w:szCs w:val="24"/>
              </w:rPr>
              <w:t>13</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Recommendation</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_Toc144232071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26</w:t>
            </w:r>
            <w:r w:rsidR="00BB5E1D" w:rsidRPr="00BB5E1D">
              <w:rPr>
                <w:rFonts w:ascii="Times New Roman" w:hAnsi="Times New Roman" w:cs="Times New Roman"/>
                <w:noProof/>
                <w:webHidden/>
                <w:sz w:val="24"/>
                <w:szCs w:val="24"/>
              </w:rPr>
              <w:fldChar w:fldCharType="end"/>
            </w:r>
          </w:hyperlink>
        </w:p>
        <w:p w14:paraId="186D76BC" w14:textId="47C36802" w:rsidR="00BB5E1D" w:rsidRPr="00BB5E1D" w:rsidRDefault="00000000" w:rsidP="00BB5E1D">
          <w:pPr>
            <w:pStyle w:val="TOC1"/>
            <w:tabs>
              <w:tab w:val="left" w:pos="660"/>
              <w:tab w:val="right" w:leader="dot" w:pos="9016"/>
            </w:tabs>
            <w:spacing w:line="360" w:lineRule="auto"/>
            <w:rPr>
              <w:rFonts w:ascii="Times New Roman" w:hAnsi="Times New Roman" w:cs="Times New Roman"/>
              <w:noProof/>
              <w:kern w:val="2"/>
              <w:sz w:val="24"/>
              <w:szCs w:val="24"/>
              <w:lang w:eastAsia="en-IN"/>
              <w14:ligatures w14:val="standardContextual"/>
            </w:rPr>
          </w:pPr>
          <w:hyperlink w:anchor="_Toc144232072" w:history="1">
            <w:r w:rsidR="00BB5E1D" w:rsidRPr="00BB5E1D">
              <w:rPr>
                <w:rStyle w:val="Hyperlink"/>
                <w:rFonts w:ascii="Times New Roman" w:hAnsi="Times New Roman" w:cs="Times New Roman"/>
                <w:noProof/>
                <w:sz w:val="24"/>
                <w:szCs w:val="24"/>
              </w:rPr>
              <w:t>14</w:t>
            </w:r>
            <w:r w:rsidR="00BB5E1D" w:rsidRPr="00BB5E1D">
              <w:rPr>
                <w:rFonts w:ascii="Times New Roman" w:hAnsi="Times New Roman" w:cs="Times New Roman"/>
                <w:noProof/>
                <w:kern w:val="2"/>
                <w:sz w:val="24"/>
                <w:szCs w:val="24"/>
                <w:lang w:eastAsia="en-IN"/>
                <w14:ligatures w14:val="standardContextual"/>
              </w:rPr>
              <w:tab/>
            </w:r>
            <w:r w:rsidR="00BB5E1D" w:rsidRPr="00BB5E1D">
              <w:rPr>
                <w:rStyle w:val="Hyperlink"/>
                <w:rFonts w:ascii="Times New Roman" w:hAnsi="Times New Roman" w:cs="Times New Roman"/>
                <w:noProof/>
                <w:sz w:val="24"/>
                <w:szCs w:val="24"/>
              </w:rPr>
              <w:t>Reference</w:t>
            </w:r>
            <w:r w:rsidR="00BB5E1D" w:rsidRPr="00BB5E1D">
              <w:rPr>
                <w:rFonts w:ascii="Times New Roman" w:hAnsi="Times New Roman" w:cs="Times New Roman"/>
                <w:noProof/>
                <w:webHidden/>
                <w:sz w:val="24"/>
                <w:szCs w:val="24"/>
              </w:rPr>
              <w:tab/>
            </w:r>
            <w:r w:rsidR="00BB5E1D" w:rsidRPr="00BB5E1D">
              <w:rPr>
                <w:rFonts w:ascii="Times New Roman" w:hAnsi="Times New Roman" w:cs="Times New Roman"/>
                <w:noProof/>
                <w:webHidden/>
                <w:sz w:val="24"/>
                <w:szCs w:val="24"/>
              </w:rPr>
              <w:fldChar w:fldCharType="begin"/>
            </w:r>
            <w:r w:rsidR="00BB5E1D" w:rsidRPr="00BB5E1D">
              <w:rPr>
                <w:rFonts w:ascii="Times New Roman" w:hAnsi="Times New Roman" w:cs="Times New Roman"/>
                <w:noProof/>
                <w:webHidden/>
                <w:sz w:val="24"/>
                <w:szCs w:val="24"/>
              </w:rPr>
              <w:instrText xml:space="preserve"> PAGEREF _Toc144232072 \h </w:instrText>
            </w:r>
            <w:r w:rsidR="00BB5E1D" w:rsidRPr="00BB5E1D">
              <w:rPr>
                <w:rFonts w:ascii="Times New Roman" w:hAnsi="Times New Roman" w:cs="Times New Roman"/>
                <w:noProof/>
                <w:webHidden/>
                <w:sz w:val="24"/>
                <w:szCs w:val="24"/>
              </w:rPr>
            </w:r>
            <w:r w:rsidR="00BB5E1D" w:rsidRPr="00BB5E1D">
              <w:rPr>
                <w:rFonts w:ascii="Times New Roman" w:hAnsi="Times New Roman" w:cs="Times New Roman"/>
                <w:noProof/>
                <w:webHidden/>
                <w:sz w:val="24"/>
                <w:szCs w:val="24"/>
              </w:rPr>
              <w:fldChar w:fldCharType="separate"/>
            </w:r>
            <w:r w:rsidR="00A17FFA">
              <w:rPr>
                <w:rFonts w:ascii="Times New Roman" w:hAnsi="Times New Roman" w:cs="Times New Roman"/>
                <w:noProof/>
                <w:webHidden/>
                <w:sz w:val="24"/>
                <w:szCs w:val="24"/>
              </w:rPr>
              <w:t>29</w:t>
            </w:r>
            <w:r w:rsidR="00BB5E1D" w:rsidRPr="00BB5E1D">
              <w:rPr>
                <w:rFonts w:ascii="Times New Roman" w:hAnsi="Times New Roman" w:cs="Times New Roman"/>
                <w:noProof/>
                <w:webHidden/>
                <w:sz w:val="24"/>
                <w:szCs w:val="24"/>
              </w:rPr>
              <w:fldChar w:fldCharType="end"/>
            </w:r>
          </w:hyperlink>
        </w:p>
        <w:p w14:paraId="48400C1C" w14:textId="3A70C2CB" w:rsidR="00386C98" w:rsidRPr="00BB5E1D" w:rsidRDefault="00386C98" w:rsidP="00BB5E1D">
          <w:pPr>
            <w:spacing w:line="360" w:lineRule="auto"/>
            <w:rPr>
              <w:rFonts w:ascii="Times New Roman" w:hAnsi="Times New Roman" w:cs="Times New Roman"/>
              <w:sz w:val="24"/>
              <w:szCs w:val="24"/>
            </w:rPr>
          </w:pPr>
          <w:r w:rsidRPr="00BB5E1D">
            <w:rPr>
              <w:rFonts w:ascii="Times New Roman" w:hAnsi="Times New Roman" w:cs="Times New Roman"/>
              <w:b/>
              <w:bCs/>
              <w:noProof/>
              <w:sz w:val="24"/>
              <w:szCs w:val="24"/>
            </w:rPr>
            <w:fldChar w:fldCharType="end"/>
          </w:r>
        </w:p>
      </w:sdtContent>
    </w:sdt>
    <w:p w14:paraId="436280AF" w14:textId="77777777" w:rsidR="00386C98" w:rsidRDefault="00386C98" w:rsidP="0041621F"/>
    <w:p w14:paraId="74748122" w14:textId="77777777" w:rsidR="00386C98" w:rsidRDefault="00386C98" w:rsidP="0041621F"/>
    <w:p w14:paraId="5A60115C" w14:textId="77777777" w:rsidR="00386C98" w:rsidRDefault="00386C98" w:rsidP="0041621F"/>
    <w:p w14:paraId="41B330A9" w14:textId="3259CFDD" w:rsidR="00E423AA" w:rsidRPr="00EE52CD" w:rsidRDefault="00E423AA" w:rsidP="0041621F">
      <w:pPr>
        <w:pStyle w:val="Heading1"/>
      </w:pPr>
      <w:bookmarkStart w:id="0" w:name="_Toc144232051"/>
      <w:r w:rsidRPr="00EE52CD">
        <w:lastRenderedPageBreak/>
        <w:t>Introduction</w:t>
      </w:r>
      <w:bookmarkEnd w:id="0"/>
    </w:p>
    <w:p w14:paraId="126FF8E2" w14:textId="7BDB9763"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the rapidly evolving landscape of today's business world, effective strategic management is integral to a company's success and survival. This report presents a comprehensive analysis of Volvo, a prominent player in the automotive industry. Through a thorough examination of Volvo's internal and external environment, this study aims to uncover the key factors that have contributed to its strategic decisions and competitive positioning. Volvo, with its rich history and global presence, serves as an intriguing subject for strategic analysis. By delving into aspects such as its mission, resources, capabilities, and market dynamics, we aim to gain a deeper understanding of Volvo's strategies. This report employs established strategic frameworks such as PESTEL analysis, Porter's Five Forces, and SWOT analysis to assess Volvo's current strategic position. Furthermore, the report explores growth strategies and initiatives related to sustainability and corporate social responsibility (CSR) that contribute to Volvo's long-term viability. Through this analysis, we intend to shed light on Volvo's strategic journey, offering insights into how the company leverages its strengths to navigate challenges and seize opportunities. By doing so, we hope to provide valuable insights not only for academic understanding but also for practitioners seeking to glean lessons from Volvo's strategic approach.</w:t>
      </w:r>
    </w:p>
    <w:p w14:paraId="485EF9C0" w14:textId="58FECAB4" w:rsidR="00054A52" w:rsidRPr="00EE52CD" w:rsidRDefault="002F62B2" w:rsidP="0041621F">
      <w:pPr>
        <w:pStyle w:val="Heading1"/>
      </w:pPr>
      <w:bookmarkStart w:id="1" w:name="_Toc144232052"/>
      <w:r w:rsidRPr="00EE52CD">
        <w:t>Company Background</w:t>
      </w:r>
      <w:bookmarkEnd w:id="1"/>
    </w:p>
    <w:p w14:paraId="5CC4EDBD" w14:textId="7434A0BD"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 stands as a global leader in the realm of transport and infrastructure solutions, spanning an extensive array of domains including trucks, buses, construction equipment, power solutions, financing, and services. Its storied legacy, dating back to its inception in 1927, positions it as a pioneer in shaping sustainable transport and infrastructure solutions. With its headquarters rooted in Gothenburg, Sweden, the Volvo Group's influence traverses the globe, catering to a diverse clientele spread across nearly 190 markets. At the heart of its accomplishments are 102,000 dedicated individuals who fuelled the company's achievements in the latest financial year. In 2022, the Volvo Group's substantial net sales of SEK 473 billion (approximately EUR 44.5 billion) underscore its financial prowess, with its shares finding a home on the public listing of the Nasdaq Stockholm</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Through its comprehensive product and service spectrum, the Volvo Group occupies a vital role in various societal sectors, facilitating the movement of goods and people, powering construction endeavours, and driving global power generation. Renowned brands like Volvo, Renault Trucks, and Mack come together under the Group's umbrella to create trucks and buses that set </w:t>
      </w:r>
      <w:r w:rsidRPr="00EE52CD">
        <w:rPr>
          <w:rFonts w:ascii="Times New Roman" w:hAnsi="Times New Roman" w:cs="Times New Roman"/>
          <w:sz w:val="24"/>
          <w:szCs w:val="24"/>
        </w:rPr>
        <w:lastRenderedPageBreak/>
        <w:t>standards for reliability and efficiency. The company's construction equipment contributes significantly to infrastructure development and construction initiatives, fostering economic growth and urbanization</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{"citationItems":[{"id":"ITEM-1","itemData":{"DOI":"10.2139/ssrn.3935518","abstract":"Modern Evolutionary Economics Evolutionary economics sees the economy as always in motion with change being driven largely by continuing innovation. This approach to economics, heavily infl uenced by the work of Joseph Schumpeter, saw a revival as an alternative way of thinking about economic advancement as a result of Richard Nelson and Sidney Winter’s seminal book, An Evolutionary Theory of Economic Change , fi rst published in 1982. In this long- awaited follow- up, Nelson is joined by leading fi gures in the fi eld of evolutionary economics, reviewing in detail how this perspective has been manifest in various areas of economic inquiry where evolutionary economists have been active. Providing the perfect overview for interested economists and social scientists, readers will learn how in each of the diverse fi elds featured, evolutionary economics has enabled an improved understanding of how and why economic progress occurs. Richard","author":[{"dropping-particle":"","family":"Grossman","given":"Gene M.","non-dropping-particle":"","parse-names":false,"suffix":""},{"dropping-particle":"","family":"Helpman","given":"Elhanan","non-dropping-particle":"","parse-names":false,"suffix":""},{"dropping-particle":"","family":"Lhuillier","given":"Hugo","non-dropping-particle":"","parse-names":false,"suffix":""}],"container-title":"SSRN Electronic Journal","id":"ITEM-1","issued":{"date-parts":[["2021"]]},"title":"Supply Chain Resilience: Should Policy Promote Diversification or Reshoring?","type":"article-journal"},"uris":["http://www.mendeley.com/documents/?uuid=0e342034-457e-4bbc-8c0d-d1647a3889c9"]}],"mendeley":{"formattedCitation":"(Grossman, Helpman and Lhuillier, 2021)","plainTextFormattedCitation":"(Grossman, Helpman and Lhuillier, 2021)","previouslyFormattedCitation":"(Grossman, Helpman and Lhuillier, 2021)"},"properties":{"noteIndex":0},"schema":"https://github.com/citation-style-language/schema/raw/master/csl-citation.json"}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(Grossman, Helpman and Lhuillier, 2021)</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Moreover, the Group's power solutions resonate across marine and industrial applications, bolstering operational efficiency and sustainability endeavours. The provision of financial services further enhances the Group's offerings, furnishing customers with the means to procure essential equipment for their business endeavours. Ensuring operational continuity and efficiency, the Volvo Group's service suite encompasses maintenance, spare parts, repairs, and assistance services, further underscoring its commitment to customer satisfaction and operational excellence</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10.17364/IIB.20162114639","author":[{"dropping-particle":"","family":"Germir","given":"Hatice","non-dropping-particle":"","parse-names":false,"suffix":""},{"dropping-particle":"","family":"Serdar","given":"Ali","non-dropping-particle":"","parse-names":false,"suffix":""},{"dropping-particle":"","family":"Aytac","given":"Ayhan","non-dropping-particle":"","parse-names":false,"suffix":""},{"dropping-particle":"","family":"ŞEN","given":"Erdal","non-dropping-particle":"","parse-names":false,"suffix":""},{"dropping-particle":"","family":"YORULMAZ","given":"Murat","non-dropping-particle":"","parse-names":false,"suffix":""},{"dropping-particle":"","family":"ŞAHBUDAK","given":"Ercan","non-dropping-particle":"","parse-names":false,"suffix":""},{"dropping-particle":"","family":"KORKMAZ","given":"Murat","non-dropping-particle":"","parse-names":false,"suffix":""}],"container-title":"INTERNATIONAL REFEREED ACADEMIC SOCIAL SCIENCES JOURNAL","id":"ITEM-1","issued":{"date-parts":[["2016","3","30"]]},"page":"77","title":"ANALYSIS OF THE FACTORS AFFECTING THE SALES IN THE AUTOMOTIVE INDUSTRY","type":"article-journal"},"uris":["http://www.mendeley.com/documents/?uuid=a3fcf030-d674-4659-abd8-70248c765437"]}],"mendeley":{"formattedCitation":"(Germir &lt;i&gt;et al.&lt;/i&gt;, 2016)","plainTextFormattedCitation":"(Germir et al., 2016)","previouslyFormattedCitation":"(Germir &lt;i&gt;et al.&lt;/i&gt;, 2016)"},"properties":{"noteIndex":0},"schema":"https://github.com/citation-style-language/schema/raw/master/csl-citation.json"}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 xml:space="preserve">(Germir </w:t>
      </w:r>
      <w:r w:rsidR="003C3FD6" w:rsidRPr="003C3FD6">
        <w:rPr>
          <w:rFonts w:ascii="Times New Roman" w:hAnsi="Times New Roman" w:cs="Times New Roman"/>
          <w:i/>
          <w:noProof/>
          <w:sz w:val="24"/>
          <w:szCs w:val="24"/>
        </w:rPr>
        <w:t>et al.</w:t>
      </w:r>
      <w:r w:rsidR="003C3FD6" w:rsidRPr="003C3FD6">
        <w:rPr>
          <w:rFonts w:ascii="Times New Roman" w:hAnsi="Times New Roman" w:cs="Times New Roman"/>
          <w:noProof/>
          <w:sz w:val="24"/>
          <w:szCs w:val="24"/>
        </w:rPr>
        <w:t>, 2016)</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C09067" w14:textId="6C727846" w:rsidR="002F62B2" w:rsidRPr="00EE52CD" w:rsidRDefault="002F62B2" w:rsidP="0041621F">
      <w:pPr>
        <w:pStyle w:val="Heading1"/>
      </w:pPr>
      <w:bookmarkStart w:id="2" w:name="_Toc144232053"/>
      <w:r w:rsidRPr="00EE52CD">
        <w:t>Volvos Missions and vison</w:t>
      </w:r>
      <w:bookmarkEnd w:id="2"/>
    </w:p>
    <w:p w14:paraId="688DF753" w14:textId="0E89BE0C"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Mission</w:t>
      </w:r>
    </w:p>
    <w:p w14:paraId="65074A90" w14:textId="69F38C60"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mission of the Volvo Group is to drive prosperity through innovative and sustainable transport and infrastructure solutions. With a steadfast commitment to quality, safety, and environmental responsibility, the company aims to empower businesses and societies with reliable, efficient, and forward-looking solutions. By leveraging its expertise, global reach, and collaborative partnerships, the Volvo Group seeks to enhance the well-being of people, communities, and the planet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3C464AE" w14:textId="72B1A02E" w:rsidR="002F62B2" w:rsidRPr="0041621F" w:rsidRDefault="002F62B2"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Vision</w:t>
      </w:r>
    </w:p>
    <w:p w14:paraId="00575669" w14:textId="7AE971C1"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Volvo Group's vision is to shape the future of transport and infrastructure solutions, leading the way toward a world that is 100% fossil-free, 100% safe, and 100% more productive. As a global pioneer, the company envisions a landscape where sustainable mobility and infrastructure are not only essential for economic growth but also contribute to a healthier planet and improved quality of life. The Volvo Group's vision encompasses a holistic approach, integrating innovation, responsible business practices, and stakeholder collaboration to achieve a profound positive impact on societies and the environment</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8DF2B6" w14:textId="31316ECB" w:rsidR="002F62B2" w:rsidRPr="00EE52CD" w:rsidRDefault="002F62B2"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The mission and vision of the Volvo Group are closely aligned with the evolving needs of a changing world. The company recognizes the urgent challenges posed by climate change, urbanization, and resource limitations. Through its mission, the Volvo Group emphasizes its role in driving prosperity, underlining the profound impact its solutions have on the daily lives of people worldwide. By providing reliable, efficient, and sustainable transport and </w:t>
      </w:r>
      <w:r w:rsidRPr="00EE52CD">
        <w:rPr>
          <w:rFonts w:ascii="Times New Roman" w:hAnsi="Times New Roman" w:cs="Times New Roman"/>
          <w:sz w:val="24"/>
          <w:szCs w:val="24"/>
        </w:rPr>
        <w:lastRenderedPageBreak/>
        <w:t>infrastructure solutions, the company directly contributes to the movement of goods, the mobility of individuals, and the development of critical infrastructure. The visionary stance of the Volvo Group echoes its commitment to sustainable progress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{"citationItems":[{"id":"ITEM-1","itemData":{"author":[{"dropping-particle":"","family":"Gupta","given":"Nitin","non-dropping-particle":"","parse-names":false,"suffix":""}],"container-title":"The Management Case Study Journal","id":"ITEM-1","issued":{"date-parts":[["2007","1","1"]]},"page":"18-40","title":"Volvo in India: Analyzing a MNC's Strategies in a Developing Market","type":"article-journal","volume":"7"},"uris":["http://www.mendeley.com/documents/?uuid=26caf726-fa0a-41fa-87c9-e1f06e7ababc"]}],"mendeley":{"formattedCitation":"(Gupta, 2007)","plainTextFormattedCitation":"(Gupta, 2007)","previouslyFormattedCitation":"(Gupta,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(Gupta,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 The 100% fossil-free, safe, and more productive vision demonstrates the company's dedication to setting new industry standards and pushing the boundaries of what is possible. This vision not only guides the company's strategic decisions but also inspires innovation and collaboration at every level of its operations. The Volvo Group recognizes that achieving such an ambitious goal requires a combination of cutting-edge technology, responsible practices, and a collective effort from diverse stakeholders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1991)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933BBD" w14:textId="6C65C01A" w:rsidR="0040277F" w:rsidRPr="00EE52CD" w:rsidRDefault="0040277F" w:rsidP="0041621F">
      <w:pPr>
        <w:pStyle w:val="Heading1"/>
      </w:pPr>
      <w:bookmarkStart w:id="3" w:name="_Toc144232054"/>
      <w:r w:rsidRPr="00EE52CD">
        <w:t>Macro environmental Analysis</w:t>
      </w:r>
      <w:bookmarkEnd w:id="3"/>
    </w:p>
    <w:p w14:paraId="6921EEB5" w14:textId="58E4B84D" w:rsidR="0040277F" w:rsidRPr="00EE52CD" w:rsidRDefault="0040277F" w:rsidP="0041621F">
      <w:pPr>
        <w:pStyle w:val="Heading2"/>
      </w:pPr>
      <w:bookmarkStart w:id="4" w:name="_Toc144232055"/>
      <w:r w:rsidRPr="00EE52CD">
        <w:t>PESTLE analysis</w:t>
      </w:r>
      <w:bookmarkEnd w:id="4"/>
    </w:p>
    <w:p w14:paraId="2BEC7C6B" w14:textId="5246DD82" w:rsidR="007A4009" w:rsidRDefault="007A4009" w:rsidP="007A4009">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3ACB61F" wp14:editId="7865C6EA">
            <wp:extent cx="4213860" cy="3160628"/>
            <wp:effectExtent l="0" t="0" r="0" b="1905"/>
            <wp:docPr id="132070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0242" name="Picture 1320702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6349" cy="3162495"/>
                    </a:xfrm>
                    <a:prstGeom prst="rect">
                      <a:avLst/>
                    </a:prstGeom>
                  </pic:spPr>
                </pic:pic>
              </a:graphicData>
            </a:graphic>
          </wp:inline>
        </w:drawing>
      </w:r>
    </w:p>
    <w:p w14:paraId="6918363A" w14:textId="107E1ECF" w:rsidR="007A4009" w:rsidRPr="007A4009" w:rsidRDefault="007A4009" w:rsidP="007A4009">
      <w:pPr>
        <w:spacing w:line="360" w:lineRule="auto"/>
        <w:jc w:val="center"/>
        <w:rPr>
          <w:rFonts w:ascii="Times New Roman" w:hAnsi="Times New Roman" w:cs="Times New Roman"/>
          <w:b/>
          <w:bCs/>
          <w:i/>
          <w:iCs/>
          <w:sz w:val="24"/>
          <w:szCs w:val="24"/>
        </w:rPr>
      </w:pPr>
      <w:r w:rsidRPr="007A4009">
        <w:rPr>
          <w:rFonts w:ascii="Times New Roman" w:hAnsi="Times New Roman" w:cs="Times New Roman"/>
          <w:b/>
          <w:bCs/>
          <w:i/>
          <w:iCs/>
          <w:sz w:val="24"/>
          <w:szCs w:val="24"/>
        </w:rPr>
        <w:t xml:space="preserve">Source </w:t>
      </w:r>
      <w:r w:rsidRPr="007A4009">
        <w:rPr>
          <w:rFonts w:ascii="Times New Roman" w:hAnsi="Times New Roman" w:cs="Times New Roman"/>
          <w:b/>
          <w:bCs/>
          <w:i/>
          <w:iCs/>
          <w:sz w:val="24"/>
          <w:szCs w:val="24"/>
        </w:rPr>
        <w:fldChar w:fldCharType="begin" w:fldLock="1"/>
      </w:r>
      <w:r w:rsidR="003C3FD6">
        <w:rPr>
          <w:rFonts w:ascii="Times New Roman" w:hAnsi="Times New Roman" w:cs="Times New Roman"/>
          <w:b/>
          <w:bCs/>
          <w:i/>
          <w:iCs/>
          <w:sz w:val="24"/>
          <w:szCs w:val="24"/>
        </w:rPr>
        <w:instrText>ADDIN CSL_CITATION {"citationItems":[{"id":"ITEM-1","itemData":{"author":[{"dropping-particle":"","family":"Cathcart","given":"Robert","non-dropping-particle":"","parse-names":false,"suffix":""}],"container-title":"International Research Journal of Engineering and Technology (IRJET)","id":"ITEM-1","issued":{"date-parts":[["2019"]]},"page":"384-388","title":"Pestle Analysis of Construction Industry","type":"article-journal"},"uris":["http://www.mendeley.com/documents/?uuid=99a704b2-dda4-42b2-9ea5-5850ab635dd3"]}],"mendeley":{"formattedCitation":"(Cathcart, 2019)","plainTextFormattedCitation":"(Cathcart, 2019)","previouslyFormattedCitation":"(Cathcart, 2019)"},"properties":{"noteIndex":0},"schema":"https://github.com/citation-style-language/schema/raw/master/csl-citation.json"}</w:instrText>
      </w:r>
      <w:r w:rsidRPr="007A4009">
        <w:rPr>
          <w:rFonts w:ascii="Times New Roman" w:hAnsi="Times New Roman" w:cs="Times New Roman"/>
          <w:b/>
          <w:bCs/>
          <w:i/>
          <w:iCs/>
          <w:sz w:val="24"/>
          <w:szCs w:val="24"/>
        </w:rPr>
        <w:fldChar w:fldCharType="separate"/>
      </w:r>
      <w:r w:rsidRPr="007A4009">
        <w:rPr>
          <w:rFonts w:ascii="Times New Roman" w:hAnsi="Times New Roman" w:cs="Times New Roman"/>
          <w:b/>
          <w:bCs/>
          <w:i/>
          <w:iCs/>
          <w:noProof/>
          <w:sz w:val="24"/>
          <w:szCs w:val="24"/>
        </w:rPr>
        <w:t>(Cathcart, 2019)</w:t>
      </w:r>
      <w:r w:rsidRPr="007A4009">
        <w:rPr>
          <w:rFonts w:ascii="Times New Roman" w:hAnsi="Times New Roman" w:cs="Times New Roman"/>
          <w:b/>
          <w:bCs/>
          <w:i/>
          <w:iCs/>
          <w:sz w:val="24"/>
          <w:szCs w:val="24"/>
        </w:rPr>
        <w:fldChar w:fldCharType="end"/>
      </w:r>
    </w:p>
    <w:p w14:paraId="31C81AD7" w14:textId="5EDBA8ED"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Political Factors</w:t>
      </w:r>
    </w:p>
    <w:p w14:paraId="64BA75B5" w14:textId="4F6686F6"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Regulations and Emissions Standards: Volvo, as an automotive manufacturer, is heavily impacted by government regulations regarding emissions standards and safety requirements. Stricter regulations might require Volvo to invest in research and development to produce more fuel-efficient and environmentally friendly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(Samama and Vega, 2010)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0428528" w14:textId="5690BE24"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Trade Agreements: Volvo's global operations expose it to various trade agreements and tariffs. Changes in international trade policies can affect the cost of imports and exports, potentially impacting the company's profitability</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2FB38A7" w14:textId="484881EA"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Economic Factors</w:t>
      </w:r>
    </w:p>
    <w:p w14:paraId="23908D50"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Economic Conditions: Economic fluctuations and recessions can impact consumer spending on luxury items like cars, affecting Volvo's sales and revenue.</w:t>
      </w:r>
    </w:p>
    <w:p w14:paraId="7B89EB8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Interest Rates: Changes in interest rates can influence consumers' decisions to buy cars on credit, impacting demand for Volvo vehicles.</w:t>
      </w:r>
    </w:p>
    <w:p w14:paraId="751EC14F"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Currency Exchange Rates: As a multinational company, Volvo is exposed to exchange rate fluctuations, which can affect production costs, pricing, and profitability.</w:t>
      </w:r>
    </w:p>
    <w:p w14:paraId="6A39AEFB" w14:textId="127DCFB4"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{"citationItems":[{"id":"ITEM-1","itemData":{"abstract":"AbstractThere is a great diversity in marketing strategies that brands can use to develop their name, image and products. The selection of the appropriate strategy is the basis of the image a brand wants to present and how it will be perceived by the market it attempts to approach.However when a brand aims at different segments of a market it has to adapt its marketing strategy to suit better the new segment compared to the first one. Hence in this thesis our interest has brought us to compare Volvo‟s marketing strategy in Sweden and in France as we study in the first country and we come from the second one. We tried to identify the similarities, the differences, and understand how Volvo manages to evaluate and adapt to the needs and expectations of the different consumers in those two countriesOne of the first things we noticed when arriving in Umeå was the number of Volvo cars in the street in contrast to what we are used to seeing in Paris. We understood that the brand was famous and even natural for the Swedes leaving here, whereas it seemed that the French were not truly aware about the brand‟s products. Thus to comprehend this difference we decided to carry our researches on what defines the brand in the consumer‟s mind: marketing.The method we used to conduct this study was based on the objectivist ontological position and on the positivist epistemological assumption combined to a deductive approach – implying a quantitative study in our case. We used secondary data to create our theoretical framework and then we distributed 100 questionnaires in both countries – 50 each.The observation and the analysis of the results have been divided into two parts in order to elucidate the similarities and differences between the two countries studied. These separated parts then lead to a cross-case observation and analysis.Our conclusion mostly corroborates our assumptions as we observed that the majority of our Swedish respondents had a good idea of what represents Volvo, whereas it is still seen as an outdated car manufacturer for our French sample which does not spot enough advertisement about the new models of the brand and which is more demanding on design. This is why, among other recommendations, we suggest Volvo to advertise more on certain values like ecology which is not well recognized and to focus more on some channels of communication, depending on the location.AbstractThere is a great diversity in marketing strategies that brands can use to deve…","author":[{"dropping-particle":"","family":"Samama","given":"Deborah","non-dropping-particle":"","parse-names":false,"suffix":""},{"dropping-particle":"","family":"Vega","given":"Jessica","non-dropping-particle":"","parse-names":false,"suffix":""}],"id":"ITEM-1","issued":{"date-parts":[["2010"]]},"title":"Does Volvo Cars’ marketing strategy differ according to consumer behavior in Sweden and in France","type":"article-journal"},"uris":["http://www.mendeley.com/documents/?uuid=05c86fbf-0cba-466c-86f4-076ef87274d0"]}],"mendeley":{"formattedCitation":"(Samama and Vega, 2010)","plainTextFormattedCitation":"(Samama and Vega, 2010)","previouslyFormattedCitation":"(Samama and Vega, 2010)"},"properties":{"noteIndex":0},"schema":"https://github.com/citation-style-language/schema/raw/master/csl-citation.json"}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(Samama and Vega, 2010)</w:t>
      </w:r>
      <w:r>
        <w:rPr>
          <w:rFonts w:ascii="Times New Roman" w:hAnsi="Times New Roman" w:cs="Times New Roman"/>
          <w:sz w:val="24"/>
          <w:szCs w:val="24"/>
        </w:rPr>
        <w:fldChar w:fldCharType="end"/>
      </w:r>
    </w:p>
    <w:p w14:paraId="4C1FF0B7" w14:textId="182E6E41"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Social Factors</w:t>
      </w:r>
    </w:p>
    <w:p w14:paraId="00627F17" w14:textId="34F9B16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Environmental Awareness: Growing consumer concern for the environment has increased demand for eco-friendly vehicles. Volvo's emphasis on safety and sustainability aligns with this trend, potentially giving the company a competitive edge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(Gu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DB24A54" w14:textId="77777777"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Changing Consumer Preferences: Shifts in consumer preferences toward electric vehicles, autonomous driving features, and connectivity impact Volvo's product development and marketing strategies.</w:t>
      </w:r>
    </w:p>
    <w:p w14:paraId="49D77064" w14:textId="2EF66A6C" w:rsidR="00407A13" w:rsidRPr="00EE52CD" w:rsidRDefault="00407A13" w:rsidP="00EE52CD">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Pr>
          <w:rFonts w:ascii="Times New Roman" w:hAnsi="Times New Roman" w:cs="Times New Roman"/>
          <w:sz w:val="24"/>
          <w:szCs w:val="24"/>
        </w:rPr>
        <w:fldChar w:fldCharType="separate"/>
      </w:r>
      <w:r w:rsidRPr="00407A13">
        <w:rPr>
          <w:rFonts w:ascii="Times New Roman" w:hAnsi="Times New Roman" w:cs="Times New Roman"/>
          <w:noProof/>
          <w:sz w:val="24"/>
          <w:szCs w:val="24"/>
        </w:rPr>
        <w:t xml:space="preserve">(Stylidis </w:t>
      </w:r>
      <w:r w:rsidRPr="00407A13">
        <w:rPr>
          <w:rFonts w:ascii="Times New Roman" w:hAnsi="Times New Roman" w:cs="Times New Roman"/>
          <w:i/>
          <w:noProof/>
          <w:sz w:val="24"/>
          <w:szCs w:val="24"/>
        </w:rPr>
        <w:t>et al.</w:t>
      </w:r>
      <w:r w:rsidRPr="00407A13">
        <w:rPr>
          <w:rFonts w:ascii="Times New Roman" w:hAnsi="Times New Roman" w:cs="Times New Roman"/>
          <w:noProof/>
          <w:sz w:val="24"/>
          <w:szCs w:val="24"/>
        </w:rPr>
        <w:t>, 2020)</w:t>
      </w:r>
      <w:r>
        <w:rPr>
          <w:rFonts w:ascii="Times New Roman" w:hAnsi="Times New Roman" w:cs="Times New Roman"/>
          <w:sz w:val="24"/>
          <w:szCs w:val="24"/>
        </w:rPr>
        <w:fldChar w:fldCharType="end"/>
      </w:r>
    </w:p>
    <w:p w14:paraId="24005150" w14:textId="5F0D317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Technological Factors</w:t>
      </w:r>
    </w:p>
    <w:p w14:paraId="3B3C3AFC" w14:textId="3D3F0102"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Electric and Autonomous Vehicles: Technological advancements in electric and autonomous vehicles are shaping the automotive industry. Volvo's commitment to producing electric vehicles and investing in autonomous driving technologies positions it well for these changes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(Kohn and Sandberg, 2006)</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0AFB5FC" w14:textId="1BF9EC33"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Connectivity and Digitalization: Consumers expect advanced infotainment systems and connectivity features. Volvo's integration of digital technology in its vehicles enhances the driving experience and creates new opportunities for data-driven services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652BEFB" w14:textId="1B7E8050"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Legal Factors</w:t>
      </w:r>
    </w:p>
    <w:p w14:paraId="3F759261" w14:textId="2D7DFDB8"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Safety Regulations: Volvo's reputation for safety aligns with stringent safety regulations in various markets. Compliance with these regulations is essential and can drive the company's strategic decisions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{"citationItems":[{"id":"ITEM-1","itemData":{"author":[{"dropping-particle":"","family":"Crossmari","given":"O","non-dropping-particle":"","parse-names":false,"suffix":""}],"id":"ITEM-1","issue":"May","issued":{"date-parts":[["2013"]]},"page":"75024","title":"The Way To Market","type":"article-journal"},"uris":["http://www.mendeley.com/documents/?uuid=231d9788-f771-48fd-8a83-86b9a07da6e7"]}],"mendeley":{"formattedCitation":"(Crossmari, 2013)","plainTextFormattedCitation":"(Crossmari, 2013)","previouslyFormattedCitation":"(Crossmari, 2013)"},"properties":{"noteIndex":0},"schema":"https://github.com/citation-style-language/schema/raw/master/csl-citation.json"}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(Crossmari, 2013)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C7D5BFF" w14:textId="77777777"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Intellectual Property Protection: Volvo's innovations and technological developments need robust intellectual property protection to prevent competitors from imitating its designs and technologies.</w:t>
      </w:r>
    </w:p>
    <w:p w14:paraId="5D0CA681" w14:textId="1E6A8DCB" w:rsidR="0040277F" w:rsidRPr="00EE52CD" w:rsidRDefault="0040277F"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Environmental Factors</w:t>
      </w:r>
    </w:p>
    <w:p w14:paraId="495C8EC3" w14:textId="1C928E01" w:rsidR="0040277F" w:rsidRPr="00EE52CD"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Climate Change and Sustainability: Environmental concerns are pushing automotive companies to adopt sustainable practices. Volvo's commitment to becoming a carbon-neutral company by 2040 demonstrates its response to these concerns and could influence its strategic initiatives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{"citationItems":[{"id":"ITEM-1","itemData":{"author":[{"dropping-particle":"","family":"Volvo Group","given":"","non-dropping-particle":"","parse-names":false,"suffix":""}],"id":"ITEM-1","issued":{"date-parts":[["2021"]]},"title":"prosperity transport and solutions","type":"article-journal"},"uris":["http://www.mendeley.com/documents/?uuid=7f565a26-0410-4c72-b00f-8e4be02fe9c5"]}],"mendeley":{"formattedCitation":"(Volvo Group, 2021)","plainTextFormattedCitation":"(Volvo Group, 2021)","previouslyFormattedCitation":"(Volvo Group,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(Volvo Group,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0F3F190D" w14:textId="7EDD97E4" w:rsidR="0040277F" w:rsidRDefault="0040277F"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Supply Chain Sustainability: Volvo's supply chain operations must address sustainability issues, including responsible sourcing of materials and reducing carbon emissions in the production process.</w:t>
      </w:r>
    </w:p>
    <w:p w14:paraId="6A35408E" w14:textId="4E693118" w:rsidR="0041621F" w:rsidRPr="00EE52CD" w:rsidRDefault="0041621F" w:rsidP="0041621F">
      <w:pPr>
        <w:pStyle w:val="Heading1"/>
      </w:pPr>
      <w:bookmarkStart w:id="5" w:name="_Toc144232056"/>
      <w:r>
        <w:t>Micro- Environmental Analysis</w:t>
      </w:r>
      <w:bookmarkEnd w:id="5"/>
    </w:p>
    <w:p w14:paraId="46A01DD1" w14:textId="4EF853D2" w:rsidR="00D74294" w:rsidRDefault="00D74294" w:rsidP="0041621F">
      <w:pPr>
        <w:pStyle w:val="Heading2"/>
      </w:pPr>
      <w:bookmarkStart w:id="6" w:name="_Toc144232057"/>
      <w:r w:rsidRPr="00EE52CD">
        <w:t>Industry Life Cycle Framework Analysis for Volvo</w:t>
      </w:r>
      <w:bookmarkEnd w:id="6"/>
    </w:p>
    <w:p w14:paraId="0BA9D381" w14:textId="4C2EB6AE" w:rsidR="00386C98" w:rsidRDefault="00386C98" w:rsidP="00386C98">
      <w:r>
        <w:rPr>
          <w:noProof/>
        </w:rPr>
        <w:drawing>
          <wp:inline distT="0" distB="0" distL="0" distR="0" wp14:anchorId="37231EC2" wp14:editId="5100AC1E">
            <wp:extent cx="5731510" cy="2809240"/>
            <wp:effectExtent l="0" t="0" r="2540" b="0"/>
            <wp:docPr id="3" name="Picture 2" descr="A diagram of a growth curve&#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growth curve&#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15"/>
                    <a:stretch>
                      <a:fillRect/>
                    </a:stretch>
                  </pic:blipFill>
                  <pic:spPr>
                    <a:xfrm>
                      <a:off x="0" y="0"/>
                      <a:ext cx="5731510" cy="2809240"/>
                    </a:xfrm>
                    <a:prstGeom prst="rect">
                      <a:avLst/>
                    </a:prstGeom>
                  </pic:spPr>
                </pic:pic>
              </a:graphicData>
            </a:graphic>
          </wp:inline>
        </w:drawing>
      </w:r>
    </w:p>
    <w:p w14:paraId="38238486" w14:textId="7B73769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522DF21A" w14:textId="27B48C3D"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Introduction Phase: Pioneering Safety and Early Growth (1927 - 1950s)</w:t>
      </w:r>
    </w:p>
    <w:p w14:paraId="1C882DAE" w14:textId="7B773619"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During the inception of the automotive industry, Volvo emerged as a pioneering brand with a distinct focus on safety. Founded in 1927 in Sweden, the company's entry marked the introduction phase of the industry. The automotive market was still in its infancy, characterized by limited competition and exploratory consumer demand</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{"citationItems":[{"id":"ITEM-1","itemData":{"DOI":"10.1051/shsconf/20207404031","abstract":"The world of logistics has also changed considerably thanks to globalization. The most important term of logistics is the supply chain (SC). With the advent of globalization, managing SC activities has become more complex. Supply chain management (SCM) is an integral part of most businesses and is essential to company success and customer satisfaction. Supply chains (SCs) represents the paths between suppliers and buyers (customers or consumers). The role of (SCs) is to ensure a product from inception all the way into a consumer´s hands. Marketing plays an increasingly important role in the process; it balances procurement by providing essential demand information and building the relationships that help improve the efficiency of SC operations. In order to reach as many markets as possible, these products must cross international borders. Without SCs, the products that suppliers produce would not efficiently get out into the world markets therefore are vital for markets all over the world. The aims of the paper are following: to define the concept of SC and SCM, to list what advantages arising from participation in global supply chain and finally, to refer the mistakes made by companies operating in international markets in SCM.","author":[{"dropping-particle":"","family":"Vidrova","given":"Zdenka","non-dropping-particle":"","parse-names":false,"suffix":""}],"container-title":"SHS Web of Conferences","id":"ITEM-1","issued":{"date-parts":[["2020"]]},"page":"04031","title":"Supply chain management in the aspect of globalization","type":"article-journal","volume":"74"},"uris":["http://www.mendeley.com/documents/?uuid=a6059e0f-ebe1-45b7-b837-b635d2149426"]}],"mendeley":{"formattedCitation":"(Vidrova, 2020)","plainTextFormattedCitation":"(Vidrova, 2020)","previouslyFormattedCitation":"(Vidrova, 2020)"},"properties":{"noteIndex":0},"schema":"https://github.com/citation-style-language/schema/raw/master/csl-citation.json"}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(Vidrova, 2020)</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strategically positioned itself as an advocate for safety by introducing innovative features such as the three-point seatbelt, a technology that would go on to save countless lives. This differentiation strategy was pivotal in capturing the attention of safety-conscious consumers and establishing Volvo as a trustworthy brand</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{"citationItems":[{"id":"ITEM-1","itemData":{"DOI":"https://doi.org/10.1016/0281-7527(87)90003-X","ISSN":"0281-7527","abstract":"Recent management theories introduce a distinction between strategy as intended and strategy as realized. This point is discussed here with reference to the development of the production system of the Swedish automobile manufacturer Volvo. The observed difference between intended and realized strategy is explained in terms of networks. Firms are linked together in networks, and the interactions between them provide opportunities while also limiting the available scope. The “official story” of the Volvo company is compared with a description of the way in which the realized strategy evolved. Particular attention is paid to the description of the competitiveness of the company as it accords with the network approach, which is the present focus of interest.","author":[{"dropping-particle":"","family":"Kinch","given":"Nils","non-dropping-particle":"","parse-names":false,"suffix":""}],"container-title":"Scandinavian Journal of Management Studies","id":"ITEM-1","issue":"3","issued":{"date-parts":[["1987"]]},"page":"167-184","title":"Emerging strategies in a network context: The Volvo case","type":"article-journal","volume":"3"},"uris":["http://www.mendeley.com/documents/?uuid=67c84591-394d-4f7d-bf7f-4150f813beef"]}],"mendeley":{"formattedCitation":"(Kinch, 1987)","plainTextFormattedCitation":"(Kinch, 1987)","previouslyFormattedCitation":"(Kinch, 1987)"},"properties":{"noteIndex":0},"schema":"https://github.com/citation-style-language/schema/raw/master/csl-citation.json"}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(Kinch, 1987)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4D2C5A"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Growth Phase: Expanding Horizons and Global Recognition (1960s - 1980s)</w:t>
      </w:r>
    </w:p>
    <w:p w14:paraId="5029B621" w14:textId="7CEC02BE"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As the automotive industry transitioned into the growth phase, Volvo capitalized on its safety-focused identity and expanded its product range. The 1960s to 1980s witnessed a surge in consumer demand as cars became more affordable and accessible. Volvo's strategic management involved capitalizing on its reputation for safety while also embracing design improvements and performance advancements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During this phase, Volvo gained global recognition, particularly in North America, where its safety innovations resonated with consumers. The company's growth was further propelled by entering international markets and establishing production facilities outside Sweden. This strategic expansion positioned Volvo as a significant player in the 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{"citationItems":[{"id":"ITEM-1","itemData":{"DOI":"10.1002/gsj.1424","ISSN":"20425805","abstract":"Research Summary: While much of the literature on complex global environments builds on studies of multinationals from mature markets, little is known about how firms from emerging markets understand and cope with complexity. This paper builds on a longitudinal case study of Zhejiang Geely Holding Group (ZGH) in the post-acquisition process of Volvo Car Group (VCG) and its efforts to learn how to learn in order to catch up with the internationalization process as means for developing capabilities and compete in the global automotive industry. Building on the Uppsala model, we contribute with insights how an emerging market multinational understands complexity and organize the post-acquisition process to explicitly emphasize the importance of mutual learning to develop and exploit opportunities to improve the business. Managerial Summary: A key finding is that ZGH does not understand complexity only as a risk that should be coped with, managed and controlled—following the western idea of risk management—but also as an opportunity for learning. While the importance of knowledge management and organizational learning is often emphasized as a means to achieve competitive advantage, it is seldom as easily managed in practice. Building on insights from ZGH we illustrate that to enable knowledge development and mutual learning, top-management from the acquiring firm needs to emphasize learning and trust the acquired firm rather than controlling it. It is equally important that the acquired firm trust the intentions of the new owner and reflect on the interest in learning—not least to improve and remain valuable.","author":[{"dropping-particle":"","family":"Jonsson","given":"Anna","non-dropping-particle":"","parse-names":false,"suffix":""},{"dropping-particle":"","family":"Vahlne","given":"Jan Erik","non-dropping-particle":"","parse-names":false,"suffix":""}],"container-title":"Global Strategy Journal","id":"ITEM-1","issue":"September","issued":{"date-parts":[["2021"]]},"page":"1-32","title":"Complexity offering opportunity: Mutual learning between Zhejiang Geely Holding Group and Volvo Cars in the post-acquisition process","type":"article-journal"},"uris":["http://www.mendeley.com/documents/?uuid=1b82eaa4-7c92-41ca-96fa-34b1fa2540d8"]}],"mendeley":{"formattedCitation":"(Jonsson and Vahlne, 2021)","plainTextFormattedCitation":"(Jonsson and Vahlne, 2021)","previouslyFormattedCitation":"(Jonsson and Vahlne, 2021)"},"properties":{"noteIndex":0},"schema":"https://github.com/citation-style-language/schema/raw/master/csl-citation.json"}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(Jonsson and Vahlne, 2021)</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B3CFA9C"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Maturity Phase: Diversification and Facing Intensified Competition (1990s - Early 2000s)</w:t>
      </w:r>
    </w:p>
    <w:p w14:paraId="02A349B9" w14:textId="22E2942E"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maturity phase marked a period of intense competition and diversification in the automotive industry. Volvo faced the challenge of standing out in a crowded market while meeting evolving consumer expectations. The company continued to emphasize safety, but it also ventured into luxury and performance segments to cater to changing preferences</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{"citationItems":[{"id":"ITEM-1","itemData":{"author":[{"dropping-particle":"","family":"Autozone","given":"","non-dropping-particle":"","parse-names":false,"suffix":""}],"id":"ITEM-1","issued":{"date-parts":[["2022"]]},"title":"Autozone 2022","type":"webpage"},"uris":["http://www.mendeley.com/documents/?uuid=469807b2-048a-4575-ae17-9fcb43210c53"]}],"mendeley":{"formattedCitation":"(Autozone, 2022)","plainTextFormattedCitation":"(Autozone, 2022)","previouslyFormattedCitation":"(Autozone, 2022)"},"properties":{"noteIndex":0},"schema":"https://github.com/citation-style-language/schema/raw/master/csl-citation.json"}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(Autozone, 2022)</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focused on product differentiation, design aesthetics, and technological enhancements. The introduction of features like crumple zones and anti-lock braking systems exemplified the brand's commitment to innovation. Additionally, Volvo invested in marketing campaigns that highlighted its Scandinavian heritage and commitment to sustainable practices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D4FEF4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Shakeout Phase: Industry Consolidation and Striving for Sustainability (Mid-2000s - Early 2010s)</w:t>
      </w:r>
    </w:p>
    <w:p w14:paraId="41892043" w14:textId="57189DCF" w:rsidR="00D74294"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The automotive industry entered a shakeout phase characterized by industry consolidation and the emergence of challenges such as economic uncertainty and shifting consumer attitudes towards sustainability</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{"citationItems":[{"id":"ITEM-1","itemData":{"ISBN":"978-85-352-1298-3","abstract":"Over the last three decades, global supply chains (GSCs) have increasingly gained importance in linking developing countries to international markets. Today a substantial share of the production processes of GSCs is taking place in developing countries. For developing countries and their enterprises, GSCs offer opportunities as well as challenges. While greatly facilitating access to developed countries’ markets, GSCs also demand greater efficiency and competence from suppliers. For developing countries, it is thus important to implement economic policies that while increasing the competitiveness of their enterprises, also improve their reliability and efficiency. In the past, the competitiveness of developing countries’ enterprises was mainly based on trade policies, often in the form of preferential market access. Trade policies, although still important, are no longer sufficient. The reason is not only because of the preference erosion and decline of tariffs, but also because of the GSCs business model itself. In GSCs, competitiveness (and thus delocalization choices) is determined by a wide range of factors, especially by the quality of policies influencing the overall business environment. In this regard, LDCs and other low- income countries are often confronted with substantial disadvantages as implementing these policies require substantial resources that are lacking. In the absence of business supporting national policies, LDCs and low-income countries would continue to participate in GSCs only as providers of low value added components that have only a limited contribution to their development","author":[{"dropping-particle":"","family":"Nicita","given":"Alessandro","non-dropping-particle":"","parse-names":false,"suffix":""},{"dropping-particle":"","family":"Oganivtsev","given":"Victor","non-dropping-particle":"","parse-names":false,"suffix":""},{"dropping-particle":"","family":"Shirotori","given":"Miho","non-dropping-particle":"","parse-names":false,"suffix":""}],"container-title":"United Nations Conference on Trade and Development","id":"ITEM-1","issue":"55","issued":{"date-parts":[["2013"]]},"page":"9-34","title":"Global Supply Chains: Trade and Economic Policies for Developing Countries","type":"article-journal"},"uris":["http://www.mendeley.com/documents/?uuid=6a0fea3b-f57d-4a3d-8de4-b8717b870012"]}],"mendeley":{"formattedCitation":"(Nicita, Oganivtsev and Shirotori, 2013)","plainTextFormattedCitation":"(Nicita, Oganivtsev and Shirotori, 2013)","previouslyFormattedCitation":"(Nicita, Oganivtsev and Shirotori, 2013)"},"properties":{"noteIndex":0},"schema":"https://github.com/citation-style-language/schema/raw/master/csl-citation.json"}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(Nicita, Oganivtsev and Shirotori, 2013)</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Volvo, along with other automakers, faced the pressure of adapting to changing market dynamics or facing potential decline.</w:t>
      </w:r>
      <w:r w:rsidR="00E75028" w:rsidRPr="00EE52CD">
        <w:rPr>
          <w:rFonts w:ascii="Times New Roman" w:hAnsi="Times New Roman" w:cs="Times New Roman"/>
          <w:sz w:val="24"/>
          <w:szCs w:val="24"/>
        </w:rPr>
        <w:t xml:space="preserve"> </w:t>
      </w:r>
      <w:r w:rsidRPr="00EE52CD">
        <w:rPr>
          <w:rFonts w:ascii="Times New Roman" w:hAnsi="Times New Roman" w:cs="Times New Roman"/>
          <w:sz w:val="24"/>
          <w:szCs w:val="24"/>
        </w:rPr>
        <w:t>Strategically, Volvo's management navigated these challenges by streamlining operations, optimizing costs, and focusing on its core strengths. The brand's reputation for safety and its commitment to environmental sustainability aligned with evolving consumer values. This strategic alignment allowed Volvo to maintain its market presence amid economic fluctuations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{"citationItems":[{"id":"ITEM-1","itemData":{"DOI":"10.1504/IJATM.2017.082282","ISSN":"17415012","abstract":"Previous studies have focused on differences between western and Japanese approaches to supply chain network management techniques as regards NPD and relationship-specific ties. Based on in-depth interviews with senior managers at Volvo Trucks Brazil and two Spanish first tier suppliers, the aim of this research is to learn about the types of NPD collaboration ties used between Volvo and suppliers and to examine the supply chain network management techniques and routines used to intensify inter-firm collaboration and promote value-chain optimisation. One main finding of this research is that there is not one best buyer-supplier relationship style for NPD, but that relationships differ significantly depending on the degree to which the buyer relies on the capacity and technology possessed by each provider. Lower NPD frequency than in the car industry and the introduction of the Volvo production system in 2007 also make buyer-supplier relationships focused on NPD stronger in Volvo Trucks than in previously researched big car firms.","author":[{"dropping-particle":"","family":"Ponte","given":"Jackson Dal","non-dropping-particle":"","parse-names":false,"suffix":""},{"dropping-particle":"","family":"Charterina","given":"Jon","non-dropping-particle":"","parse-names":false,"suffix":""},{"dropping-particle":"","family":"Basterretxea","given":"Imanol","non-dropping-particle":"","parse-names":false,"suffix":""}],"container-title":"International Journal of Automotive Technology and Management","id":"ITEM-1","issue":"1","issued":{"date-parts":[["2017"]]},"page":"96-116","title":"Automaker-supplier relationships and new product development in the truck industry: The case of Volvo do Brasil","type":"article-journal","volume":"17"},"uris":["http://www.mendeley.com/documents/?uuid=2fe3e243-4326-4902-b83a-e59eb12eb5f5"]}],"mendeley":{"formattedCitation":"(Ponte, Charterina and Basterretxea, 2017)","plainTextFormattedCitation":"(Ponte, Charterina and Basterretxea, 2017)","previouslyFormattedCitation":"(Ponte, Charterina and Basterretxea, 2017)"},"properties":{"noteIndex":0},"schema":"https://github.com/citation-style-language/schema/raw/master/csl-citation.json"}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(Ponte, Charterina and Basterretxea, 2017)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A78BF9" w14:textId="77777777" w:rsidR="00D74294" w:rsidRPr="0041621F" w:rsidRDefault="00D74294"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Renewal Phase: Embracing Electric and Autonomous Future (Mid-2010s - Present)</w:t>
      </w:r>
    </w:p>
    <w:p w14:paraId="02E28838" w14:textId="212D34B6" w:rsidR="0040277F" w:rsidRPr="00EE52CD" w:rsidRDefault="00D74294"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recent years, the automotive industry has undergone a renewal phase driven by the rise of electric vehicles (EVs), autonomous driving technology, and a heightened focus on sustainability. Volvo's strategic management during this phase has been marked by bold decisions and forward-looking initiatives.</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commitment to becoming a fully electric car brand by 2030 showcases its dedication to shaping the future of mobility. The company's strategic partnerships with technology firms for autonomous driving capabilities position it at the forefront of innovation</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{"citationItems":[{"id":"ITEM-1","itemData":{"DOI":"10.1111/1467-8551.12614","ISSN":"14678551","abstract":"Extending the notion that reshoring can have a significant impact on a firm's supply network owing to the associated location decisions, we explore how reshoring influences the resilience and sustainability of a focal firm's supply network. While reshoring is triggered by aspects related to both the home (domestic) and the host (foreign) country, frequently more favourable aspects in the home country lead to the reshoring decision. To investigate these dynamics, we construct two large-scale networks consisting of 2066 and 1283 firms, respectively, capturing the supply networks of Apple and Jaguar Land Rover. Both networks have been experiencing the reshoring of previously foreign suppliers to domestic locations. Our investigation captures the network dynamics created by this relocation of tier 1 suppliers for the overall supply chain network, that is, also for higher-tier/sub-tier suppliers. The results reveal, contrary to our expectations, that indirect (sub-tier) foreign suppliers positively influence the network's resilience, with this impact, however, being negatively moderated by their degree centrality, that is, the number of ties a node possesses. In addition, existing indirect (sub-tier) domestic suppliers do not have a significant influence on the resilience of the network. No evidence was found for the impact of reshoring on sustainability. Overall, our study contributes to the reshoring literature by delineating its influence on both the resilience and the sustainability of a focal firm's supply chain network.","author":[{"dropping-particle":"","family":"Choudhary","given":"Nishat Alam","non-dropping-particle":"","parse-names":false,"suffix":""},{"dropping-particle":"","family":"Ramkumar","given":"M.","non-dropping-particle":"","parse-names":false,"suffix":""},{"dropping-particle":"","family":"Schoenherr","given":"Tobias","non-dropping-particle":"","parse-names":false,"suffix":""},{"dropping-particle":"","family":"Rana","given":"Nripendra P.","non-dropping-particle":"","parse-names":false,"suffix":""},{"dropping-particle":"","family":"Dwivedi","given":"Yogesh K.","non-dropping-particle":"","parse-names":false,"suffix":""}],"container-title":"British Journal of Management","id":"ITEM-1","issued":{"date-parts":[["2022"]]},"page":"1138-1156","title":"Does Reshoring Affect the Resilience and Sustainability of Supply Chain Networks? The Cases of Apple and Jaguar Land Rover","type":"article-journal","volume":"34"},"uris":["http://www.mendeley.com/documents/?uuid=1e29a4e2-075a-44aa-be97-f2f76cc69d58"]}],"mendeley":{"formattedCitation":"(Choudhary &lt;i&gt;et al.&lt;/i&gt;, 2022)","plainTextFormattedCitation":"(Choudhary et al., 2022)","previouslyFormattedCitation":"(Choudhary &lt;i&gt;et al.&lt;/i&gt;, 2022)"},"properties":{"noteIndex":0},"schema":"https://github.com/citation-style-language/schema/raw/master/csl-citation.json"}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 xml:space="preserve">(Choudhary </w:t>
      </w:r>
      <w:r w:rsidR="003C3FD6" w:rsidRPr="003C3FD6">
        <w:rPr>
          <w:rFonts w:ascii="Times New Roman" w:hAnsi="Times New Roman" w:cs="Times New Roman"/>
          <w:i/>
          <w:noProof/>
          <w:sz w:val="24"/>
          <w:szCs w:val="24"/>
        </w:rPr>
        <w:t>et al.</w:t>
      </w:r>
      <w:r w:rsidR="003C3FD6" w:rsidRPr="003C3FD6">
        <w:rPr>
          <w:rFonts w:ascii="Times New Roman" w:hAnsi="Times New Roman" w:cs="Times New Roman"/>
          <w:noProof/>
          <w:sz w:val="24"/>
          <w:szCs w:val="24"/>
        </w:rPr>
        <w:t>, 2022)</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By adapting to these transformative trends, Volvo is not only securing its relevance but also shaping the industry's future trajectory.</w:t>
      </w:r>
      <w:r w:rsidR="0041621F">
        <w:rPr>
          <w:rFonts w:ascii="Times New Roman" w:hAnsi="Times New Roman" w:cs="Times New Roman"/>
          <w:sz w:val="24"/>
          <w:szCs w:val="24"/>
        </w:rPr>
        <w:t xml:space="preserve"> </w:t>
      </w:r>
      <w:r w:rsidRPr="00EE52CD">
        <w:rPr>
          <w:rFonts w:ascii="Times New Roman" w:hAnsi="Times New Roman" w:cs="Times New Roman"/>
          <w:sz w:val="24"/>
          <w:szCs w:val="24"/>
        </w:rPr>
        <w:t>Volvo's journey through the industry life cycle reflects its resilience, adaptability, and commitment to innovation. From its early emphasis on safety to its bold steps into the electric and autonomous realms, the company's strategic management has been the driving force behind its enduring success. Volvo's ability to understand and align with consumer values while embracing emerging technologies ensures that it remains a key player in the ever-evolving automotive landscape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(Alipourfallahpasand, 2023)</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FE4863C" w14:textId="69106EC7" w:rsidR="00E75028" w:rsidRDefault="00E75028" w:rsidP="0041621F">
      <w:pPr>
        <w:pStyle w:val="Heading2"/>
      </w:pPr>
      <w:bookmarkStart w:id="7" w:name="_Toc144232058"/>
      <w:r w:rsidRPr="00EE52CD">
        <w:lastRenderedPageBreak/>
        <w:t>Porters Five force</w:t>
      </w:r>
      <w:bookmarkEnd w:id="7"/>
    </w:p>
    <w:p w14:paraId="1A8EEA62" w14:textId="5B441AED" w:rsidR="00386C98" w:rsidRDefault="00386C98" w:rsidP="00386C98">
      <w:pPr>
        <w:jc w:val="center"/>
      </w:pPr>
      <w:r>
        <w:rPr>
          <w:noProof/>
        </w:rPr>
        <w:drawing>
          <wp:inline distT="0" distB="0" distL="0" distR="0" wp14:anchorId="5EC9D7BA" wp14:editId="16E20851">
            <wp:extent cx="3558540" cy="3150449"/>
            <wp:effectExtent l="0" t="0" r="3810" b="0"/>
            <wp:docPr id="214907882" name="Picture 214907882" descr="Diagram&#10;&#10;Description automatically generated">
              <a:extLst xmlns:a="http://schemas.openxmlformats.org/drawingml/2006/main">
                <a:ext uri="{FF2B5EF4-FFF2-40B4-BE49-F238E27FC236}">
                  <a16:creationId xmlns:a16="http://schemas.microsoft.com/office/drawing/2014/main" id="{7C37B083-13B0-6DEF-F30D-15C6ADE4E5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7C37B083-13B0-6DEF-F30D-15C6ADE4E53B}"/>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t="7779"/>
                    <a:stretch/>
                  </pic:blipFill>
                  <pic:spPr>
                    <a:xfrm>
                      <a:off x="0" y="0"/>
                      <a:ext cx="3563685" cy="3155004"/>
                    </a:xfrm>
                    <a:prstGeom prst="rect">
                      <a:avLst/>
                    </a:prstGeom>
                  </pic:spPr>
                </pic:pic>
              </a:graphicData>
            </a:graphic>
          </wp:inline>
        </w:drawing>
      </w:r>
    </w:p>
    <w:p w14:paraId="4F6E36DF" w14:textId="7777777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Source (study material- week 3)</w:t>
      </w:r>
    </w:p>
    <w:p w14:paraId="048DCFEC" w14:textId="77777777" w:rsidR="00B76DED" w:rsidRPr="00386C98" w:rsidRDefault="00B76DED" w:rsidP="00B76DED"/>
    <w:p w14:paraId="2D7E1070" w14:textId="16D5C910"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New Entrants:</w:t>
      </w:r>
    </w:p>
    <w:p w14:paraId="5849583A" w14:textId="3511B87F"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operates in the automotive industry, which has a relatively high barrier to entry due to factors such as substantial capital requirements, economies of scale, and strong brand recognition. Additionally, the industry is characterized by significant research and development investments, regulatory compliance, and complex supply chains</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{"citationItems":[{"id":"ITEM-1","itemData":{"DOI":"10.1080/00343404.2022.2126449","ISSN":"13600591","abstract":"The Covid-19 pandemic and Brexit have focused attention on the resilience of key sectors and firms. This paper explores the financial resilience of the 50 largest automotive firms in the West Midlands region of the UK in their response to disruption and economic shocks. The findings demonstrate that 22 firms are at high risk due to poor current liquidity ratios, with Coventry and Birmingham emerging as locations most susceptible to firm closures. High-risk firms include key flagship original equipment manufacturers operating at the downstream end of supply chains. If these firms were to fail, there would be a significant destructive impact on both the industry and the local economy. We assert an effective subnational industrial policy is required in order to support economic resilience in regions such as the West Midlands where a few firms account for a disproportionate share of employment and value-added.","author":[{"dropping-particle":"","family":"Qamar","given":"Amir","non-dropping-particle":"","parse-names":false,"suffix":""},{"dropping-particle":"","family":"Collinson","given":"Simon","non-dropping-particle":"","parse-names":false,"suffix":""},{"dropping-particle":"","family":"Green","given":"Anne","non-dropping-particle":"","parse-names":false,"suffix":""}],"container-title":"Regional Studies","id":"ITEM-1","issue":"6","issued":{"date-parts":[["2023"]]},"page":"1156-1170","title":"Covid-19 disruption, resilience and industrial policy: the automotive sector in the West Midlands","type":"article-journal","volume":"57"},"uris":["http://www.mendeley.com/documents/?uuid=0cb90029-e8c4-4554-b3fc-bc8cf9ee50f1"]}],"mendeley":{"formattedCitation":"(Qamar, Collinson and Green, 2023)","plainTextFormattedCitation":"(Qamar, Collinson and Green, 2023)","previouslyFormattedCitation":"(Qamar, Collinson and Green, 2023)"},"properties":{"noteIndex":0},"schema":"https://github.com/citation-style-language/schema/raw/master/csl-citation.json"}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(Qamar, Collinson and Green, 2023)</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Volvo has a long history and established distribution channels, making it difficult for new entrants to quickly gain market share. However, the emergence of electric and autonomous vehicle technologies could lower some entry barriers, leading to potential disruption</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(Kherchi, Mohamed and Ahlem, 2019)</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43AF43F" w14:textId="1A75088D"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Bargaining Power of Suppliers:</w:t>
      </w:r>
    </w:p>
    <w:p w14:paraId="24B8F911" w14:textId="38EA9557"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suppliers include those providing raw materials, components, and technology for their vehicles. The company's bargaining power may vary based on the availability of alternative suppliers, the uniqueness of their products, and the cost of switching. As Volvo focuses on innovation and sustainability, its suppliers must meet stringent quality and environmental standards. A diversified supplier base and strong relationships can help mitigate supplier power. However, in cases where suppliers hold unique technology or components critical to Volvo's vehicles, their bargaining power could increase</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ISBN":"5156163416","ISSN":"02767783","author":[{"dropping-particle":"","family":"In","given":"Nnovation","non-dropping-particle":"","parse-names":false,"suffix":""}],"container-title":"Engineering","id":"ITEM-1","issue":"December","issued":{"date-parts":[["2007"]]},"page":"839-844","title":"E Nergizing I Nnovation in I Ntegrated P Roject D Elivery","type":"article-journal","volume":"84"},"uris":["http://www.mendeley.com/documents/?uuid=d7bf1cd6-6b72-4b79-9827-e2b9596b3097"]}],"mendeley":{"formattedCitation":"(In, 2007)","plainTextFormattedCitation":"(In, 2007)","previouslyFormattedCitation":"(In, 2007)"},"properties":{"noteIndex":0},"schema":"https://github.com/citation-style-language/schema/raw/master/csl-citation.json"}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(In, 2007)</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40263D3" w14:textId="3DFFD401"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lastRenderedPageBreak/>
        <w:t>Bargaining Power of Buyers:</w:t>
      </w:r>
    </w:p>
    <w:p w14:paraId="4ABC7137" w14:textId="37E13C4E"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Buyer power in the automotive industry is influenced by factors such as the availability of alternative brands, switching costs, and the overall economic conditions. Volvo's ability to differentiate its vehicles through safety, design, and sustainability can reduce buyer power</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{"citationItems":[{"id":"ITEM-1","itemData":{"DOI":"https://doi.org/10.1016/j.tra.2022.08.001","ISSN":"0965-8564","abstract":"There is a general consensus that private car ownership is a significant barrier to transport system change, specifically in regard to injuries, space, air pollutants, or greenhouse gas emissions. Observed changes in automobile characteristics also suggest that the system is becoming less sustainable, given trends towards larger cars with greater mass and horsepower. It is thus relevant to understand how the automobile system progresses. National statistics provide data on the technical side of car ownership, such as changes in vehicle specifics or national fleet size. This paper complements this view with a socio-psychological perspective on aspirational car ownership, i.e. the type of car people preferred to drive if given a free choice. Data is derived from an online panel (n = 1,211) representative of the German population, and also contains information on current car ownership, use, driving style, traffic behavior, attitudes towards traffic risks and safety measures, as well as political orientation. This allows for a discussion of driver segments in relation to the characteristics of cars, and hence to better understand the socio-psychological drivers of the development of the automobile system.","author":[{"dropping-particle":"","family":"Humpe","given":"Andreas","non-dropping-particle":"","parse-names":false,"suffix":""},{"dropping-particle":"","family":"Gössling","given":"Stefan","non-dropping-particle":"","parse-names":false,"suffix":""},{"dropping-particle":"","family":"Haustein","given":"Sonja","non-dropping-particle":"","parse-names":false,"suffix":""}],"container-title":"Transportation Research Part A: Policy and Practice","id":"ITEM-1","issued":{"date-parts":[["2022"]]},"page":"156-166","title":"Car careers: A socio-psychological evaluation of aspirational automobile ownership","type":"article-journal","volume":"164"},"uris":["http://www.mendeley.com/documents/?uuid=0751d7df-c993-4c3f-888d-1c7eb0410c6f"]}],"mendeley":{"formattedCitation":"(Humpe, Gössling and Haustein, 2022)","plainTextFormattedCitation":"(Humpe, Gössling and Haustein, 2022)","previouslyFormattedCitation":"(Humpe, Gössling and Haustein, 2022)"},"properties":{"noteIndex":0},"schema":"https://github.com/citation-style-language/schema/raw/master/csl-citation.json"}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(Humpe, Gössling and Haustein, 2022)</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However, intense competition and the ease of accessing information through digital channels provide buyers with greater negotiating leverage. Volvo's focus on customer experience and innovation can help maintain a balance in buyer power</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(Gustafsson, 2002)</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2F6DA04A" w14:textId="21C5D818"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Threat of Substitutes:</w:t>
      </w:r>
    </w:p>
    <w:p w14:paraId="1BAB0DBA" w14:textId="5E9AD170" w:rsidR="00E75028" w:rsidRPr="00EE52CD"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Substitutes for Volvo's vehicles include public transportation, ride-sharing services, cycling, and walking. The degree to which these substitutes pose a threat depends on factors like convenience, cost, and urbanization trends. Volvo's focus on safety, sustainability, and cutting-edge technology can create a differentiating factor that makes their vehicles less susceptible to substitution. However, the emergence of new mobility solutions and changing consumer preferences could impact the demand for traditional personal vehicles</w:t>
      </w:r>
      <w:r w:rsidR="00407A13">
        <w:rPr>
          <w:rFonts w:ascii="Times New Roman" w:hAnsi="Times New Roman" w:cs="Times New Roman"/>
          <w:sz w:val="24"/>
          <w:szCs w:val="24"/>
        </w:rPr>
        <w:fldChar w:fldCharType="begin" w:fldLock="1"/>
      </w:r>
      <w:r w:rsidR="00407A13">
        <w:rPr>
          <w:rFonts w:ascii="Times New Roman" w:hAnsi="Times New Roman" w:cs="Times New Roman"/>
          <w:sz w:val="24"/>
          <w:szCs w:val="24"/>
        </w:rPr>
        <w:instrText>ADDIN CSL_CITATION {"citationItems":[{"id":"ITEM-1","itemData":{"author":[{"dropping-particle":"","family":"Kerekes","given":"Edit Lundman","non-dropping-particle":"","parse-names":false,"suffix":""},{"dropping-particle":"","family":"Tonvall","given":"Linda","non-dropping-particle":"","parse-names":false,"suffix":""}],"id":"ITEM-1","issued":{"date-parts":[["2020"]]},"title":"MASTER ’ S THESIS Two Countries - One Image ? A Case Study of Volvo Cars in Sweden and in Hungary MASTER ’ S THESIS","type":"article-journal"},"uris":["http://www.mendeley.com/documents/?uuid=c2d5e6ab-468c-4d4b-852b-f57c7e8b12b7"]}],"mendeley":{"formattedCitation":"(Kerekes and Tonvall, 2020)","plainTextFormattedCitation":"(Kerekes and Tonvall, 2020)","previouslyFormattedCitation":"(Kerekes and Tonvall,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(Kerekes and Tonvall,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F7E748D" w14:textId="77777777" w:rsidR="00E75028" w:rsidRPr="00EE52CD" w:rsidRDefault="00E75028"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Industry Rivalry:</w:t>
      </w:r>
    </w:p>
    <w:p w14:paraId="479FACA0" w14:textId="1B629F83" w:rsidR="00E75028" w:rsidRDefault="00E75028"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Competition within the automotive industry is intense, with numerous global players vying for market share. Volvo competes with brands that offer a wide range of vehicles across various segments. Differentiation through innovation, safety, and sustainability is essential to stand out</w:t>
      </w:r>
      <w:r w:rsidR="003C3FD6">
        <w:rPr>
          <w:rFonts w:ascii="Times New Roman" w:hAnsi="Times New Roman" w:cs="Times New Roman"/>
          <w:sz w:val="24"/>
          <w:szCs w:val="24"/>
        </w:rPr>
        <w:fldChar w:fldCharType="begin" w:fldLock="1"/>
      </w:r>
      <w:r w:rsidR="003C3FD6">
        <w:rPr>
          <w:rFonts w:ascii="Times New Roman" w:hAnsi="Times New Roman" w:cs="Times New Roman"/>
          <w:sz w:val="24"/>
          <w:szCs w:val="24"/>
        </w:rPr>
        <w:instrText>ADDIN CSL_CITATION {"citationItems":[{"id":"ITEM-1","itemData":{"DOI":"10.3390/su11185030","ISSN":"20711050","abstract":"The government plays a critical role in the promotion of recycling strategy among supply chain members. The purpose of this study is to investigate the optimal government policies on closed-loop supply chains and how these policies impact the market demand and the returning strategies of manufacturers and retailers. This paper presents a design of closed-loop supply chains under government regulation by considering a novel three-stage game theoretic model. Firstly, Stackelberg models are adopted to describe the one-shot game between the manufacturer and the retailer in a local market. Secondly, based on the Stackelberg equilibriums, a repeated and dynamic population game is developed. Thirdly, the government analyzes the population game to find the optimal tax and subsidy policies in the whole market. To solve the proposed model, the idea of backward induction is adopted. The results suggest that, by collecting tax and allocating subsidy, the government can influence the market demands and return rates. The centralized supply chain structure is always preferred for the government and the market. The government prefers to allocate subsidy to low-pollution, low-profit remanufactured products. The environmental attention of the government affects the subsidy policy.","author":[{"dropping-particle":"","family":"Liu","given":"Ziangv","non-dropping-particle":"","parse-names":false,"suffix":""},{"dropping-particle":"","family":"Nishi","given":"Tatsushi","non-dropping-particle":"","parse-names":false,"suffix":""}],"container-title":"Sustainability (Switzerland)","id":"ITEM-1","issue":"18","issued":{"date-parts":[["2019"]]},"title":"Government regulations on closed-loop supply chain with evolutionarily stable strategy","type":"article-journal","volume":"11"},"uris":["http://www.mendeley.com/documents/?uuid=ae41f9d7-341b-4f54-86bb-8169c2b97347"]}],"mendeley":{"formattedCitation":"(Liu and Nishi, 2019)","plainTextFormattedCitation":"(Liu and Nishi, 2019)","previouslyFormattedCitation":"(Liu and Nishi, 2019)"},"properties":{"noteIndex":0},"schema":"https://github.com/citation-style-language/schema/raw/master/csl-citation.json"}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(Liu and Nishi, 2019)</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Volvo's strategic alliances and partnerships, along with its commitment to electric and autonomous technologies, reflect its efforts to remain competitive. The industry's growth potential, especially in emerging markets, contributes to rivalry as companies seek to capture new customers</w:t>
      </w:r>
      <w:r w:rsidR="00407A13">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study","type":"article-journal","volume":"24"},"uris":["http://www.mendeley.com/documents/?uuid=5723c5ea-157c-4a3e-ad46-68642aa06f42"]}],"mendeley":{"formattedCitation":"(Stylidis &lt;i&gt;et al.&lt;/i&gt;, 2020)","plainTextFormattedCitation":"(Stylidis et al., 2020)","previouslyFormattedCitation":"(Stylidis &lt;i&gt;et al.&lt;/i&gt;, 2020)"},"properties":{"noteIndex":0},"schema":"https://github.com/citation-style-language/schema/raw/master/csl-citation.json"}</w:instrText>
      </w:r>
      <w:r w:rsidR="00407A13">
        <w:rPr>
          <w:rFonts w:ascii="Times New Roman" w:hAnsi="Times New Roman" w:cs="Times New Roman"/>
          <w:sz w:val="24"/>
          <w:szCs w:val="24"/>
        </w:rPr>
        <w:fldChar w:fldCharType="separate"/>
      </w:r>
      <w:r w:rsidR="00407A13" w:rsidRPr="00407A13">
        <w:rPr>
          <w:rFonts w:ascii="Times New Roman" w:hAnsi="Times New Roman" w:cs="Times New Roman"/>
          <w:noProof/>
          <w:sz w:val="24"/>
          <w:szCs w:val="24"/>
        </w:rPr>
        <w:t xml:space="preserve">(Stylidis </w:t>
      </w:r>
      <w:r w:rsidR="00407A13" w:rsidRPr="00407A13">
        <w:rPr>
          <w:rFonts w:ascii="Times New Roman" w:hAnsi="Times New Roman" w:cs="Times New Roman"/>
          <w:i/>
          <w:noProof/>
          <w:sz w:val="24"/>
          <w:szCs w:val="24"/>
        </w:rPr>
        <w:t>et al.</w:t>
      </w:r>
      <w:r w:rsidR="00407A13" w:rsidRPr="00407A13">
        <w:rPr>
          <w:rFonts w:ascii="Times New Roman" w:hAnsi="Times New Roman" w:cs="Times New Roman"/>
          <w:noProof/>
          <w:sz w:val="24"/>
          <w:szCs w:val="24"/>
        </w:rPr>
        <w:t>, 2020)</w:t>
      </w:r>
      <w:r w:rsidR="00407A13">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DB552BB" w14:textId="1F0215F0" w:rsidR="0041621F" w:rsidRPr="00EE52CD" w:rsidRDefault="0041621F" w:rsidP="0041621F">
      <w:pPr>
        <w:pStyle w:val="Heading1"/>
      </w:pPr>
      <w:bookmarkStart w:id="8" w:name="_Toc144232059"/>
      <w:r>
        <w:t>Internal analysis</w:t>
      </w:r>
      <w:bookmarkEnd w:id="8"/>
    </w:p>
    <w:p w14:paraId="041C3727" w14:textId="64945898" w:rsidR="00E75028" w:rsidRPr="00EE52CD" w:rsidRDefault="00D74C65" w:rsidP="0041621F">
      <w:pPr>
        <w:pStyle w:val="Heading2"/>
      </w:pPr>
      <w:bookmarkStart w:id="9" w:name="_Toc144232060"/>
      <w:r w:rsidRPr="00EE52CD">
        <w:t>Volvos Strategic Resource and capabilities</w:t>
      </w:r>
      <w:bookmarkEnd w:id="9"/>
    </w:p>
    <w:p w14:paraId="46F1B7B3" w14:textId="087687DE" w:rsidR="00D74C65" w:rsidRDefault="00D74C65"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Analysing Volvo's strategic resources and capabilities provides valuable insights into the company's competitive advantage and its ability to achieve its strategic objectives. Volvo, as a renowned Swedish automobile manufacturer, has established itself as a prominent player in the </w:t>
      </w:r>
      <w:r w:rsidRPr="00EE52CD">
        <w:rPr>
          <w:rFonts w:ascii="Times New Roman" w:hAnsi="Times New Roman" w:cs="Times New Roman"/>
          <w:sz w:val="24"/>
          <w:szCs w:val="24"/>
        </w:rPr>
        <w:lastRenderedPageBreak/>
        <w:t>global automotive industry. Here is a detailed analysis of Volvo's strategic resources and capabilities:</w:t>
      </w:r>
    </w:p>
    <w:p w14:paraId="34AA2990" w14:textId="2368F51C"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8FFB2E" wp14:editId="4C871174">
            <wp:extent cx="5448300" cy="3124200"/>
            <wp:effectExtent l="0" t="0" r="0" b="0"/>
            <wp:docPr id="1524214502"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14502" name="Picture 1" descr="A close-up of a diagram&#10;&#10;Description automatically generated"/>
                    <pic:cNvPicPr/>
                  </pic:nvPicPr>
                  <pic:blipFill rotWithShape="1">
                    <a:blip r:embed="rId17">
                      <a:extLst>
                        <a:ext uri="{28A0092B-C50C-407E-A947-70E740481C1C}">
                          <a14:useLocalDpi xmlns:a14="http://schemas.microsoft.com/office/drawing/2010/main" val="0"/>
                        </a:ext>
                      </a:extLst>
                    </a:blip>
                    <a:srcRect l="2659" t="19144" r="2283" b="8183"/>
                    <a:stretch/>
                  </pic:blipFill>
                  <pic:spPr bwMode="auto">
                    <a:xfrm>
                      <a:off x="0" y="0"/>
                      <a:ext cx="5448300" cy="3124200"/>
                    </a:xfrm>
                    <a:prstGeom prst="rect">
                      <a:avLst/>
                    </a:prstGeom>
                    <a:ln>
                      <a:noFill/>
                    </a:ln>
                    <a:extLst>
                      <a:ext uri="{53640926-AAD7-44D8-BBD7-CCE9431645EC}">
                        <a14:shadowObscured xmlns:a14="http://schemas.microsoft.com/office/drawing/2010/main"/>
                      </a:ext>
                    </a:extLst>
                  </pic:spPr>
                </pic:pic>
              </a:graphicData>
            </a:graphic>
          </wp:inline>
        </w:drawing>
      </w:r>
    </w:p>
    <w:p w14:paraId="05D7BDEA" w14:textId="77777777" w:rsidR="00563D2E" w:rsidRDefault="00B76DED" w:rsidP="00B76DED">
      <w:pPr>
        <w:spacing w:line="360" w:lineRule="auto"/>
        <w:jc w:val="center"/>
        <w:rPr>
          <w:rFonts w:ascii="Times New Roman" w:hAnsi="Times New Roman" w:cs="Times New Roman"/>
          <w:b/>
          <w:bCs/>
          <w:noProof/>
          <w:sz w:val="24"/>
          <w:szCs w:val="24"/>
        </w:rPr>
      </w:pPr>
      <w:r w:rsidRPr="00B76DED">
        <w:rPr>
          <w:rFonts w:ascii="Times New Roman" w:hAnsi="Times New Roman" w:cs="Times New Roman"/>
          <w:b/>
          <w:bCs/>
          <w:i/>
          <w:iCs/>
          <w:sz w:val="24"/>
          <w:szCs w:val="24"/>
        </w:rPr>
        <w:t xml:space="preserve">Source </w:t>
      </w:r>
      <w:r w:rsidRPr="00B76DED">
        <w:rPr>
          <w:rFonts w:ascii="Times New Roman" w:hAnsi="Times New Roman" w:cs="Times New Roman"/>
          <w:b/>
          <w:bCs/>
          <w:i/>
          <w:iCs/>
          <w:sz w:val="24"/>
          <w:szCs w:val="24"/>
        </w:rPr>
        <w:fldChar w:fldCharType="begin" w:fldLock="1"/>
      </w:r>
      <w:r w:rsidR="00BB5E1D">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B76DED">
        <w:rPr>
          <w:rFonts w:ascii="Times New Roman" w:hAnsi="Times New Roman" w:cs="Times New Roman"/>
          <w:b/>
          <w:bCs/>
          <w:i/>
          <w:iCs/>
          <w:sz w:val="24"/>
          <w:szCs w:val="24"/>
        </w:rPr>
        <w:fldChar w:fldCharType="separate"/>
      </w:r>
      <w:r w:rsidRPr="00B76DED">
        <w:rPr>
          <w:rFonts w:ascii="Times New Roman" w:hAnsi="Times New Roman" w:cs="Times New Roman"/>
          <w:b/>
          <w:bCs/>
          <w:i/>
          <w:iCs/>
          <w:noProof/>
          <w:sz w:val="24"/>
          <w:szCs w:val="24"/>
        </w:rPr>
        <w:t>(Statista, 2022)</w:t>
      </w:r>
      <w:r w:rsidRPr="00B76DED">
        <w:rPr>
          <w:rFonts w:ascii="Times New Roman" w:hAnsi="Times New Roman" w:cs="Times New Roman"/>
          <w:b/>
          <w:bCs/>
          <w:i/>
          <w:iCs/>
          <w:sz w:val="24"/>
          <w:szCs w:val="24"/>
        </w:rPr>
        <w:fldChar w:fldCharType="end"/>
      </w:r>
      <w:r w:rsidR="00563D2E" w:rsidRPr="00563D2E">
        <w:rPr>
          <w:rFonts w:ascii="Times New Roman" w:hAnsi="Times New Roman" w:cs="Times New Roman"/>
          <w:b/>
          <w:bCs/>
          <w:noProof/>
          <w:sz w:val="24"/>
          <w:szCs w:val="24"/>
        </w:rPr>
        <w:t xml:space="preserve"> </w:t>
      </w:r>
    </w:p>
    <w:p w14:paraId="7324B837" w14:textId="77777777" w:rsidR="00563D2E" w:rsidRDefault="00563D2E" w:rsidP="00B76DED">
      <w:pPr>
        <w:spacing w:line="360" w:lineRule="auto"/>
        <w:jc w:val="center"/>
        <w:rPr>
          <w:rFonts w:ascii="Times New Roman" w:hAnsi="Times New Roman" w:cs="Times New Roman"/>
          <w:b/>
          <w:bCs/>
          <w:noProof/>
          <w:sz w:val="24"/>
          <w:szCs w:val="24"/>
        </w:rPr>
      </w:pPr>
    </w:p>
    <w:p w14:paraId="6D0AE80E" w14:textId="409D71D4" w:rsidR="00B76DED" w:rsidRPr="00B76DED" w:rsidRDefault="00563D2E" w:rsidP="00B76DED">
      <w:pPr>
        <w:spacing w:line="360" w:lineRule="auto"/>
        <w:jc w:val="center"/>
        <w:rPr>
          <w:rFonts w:ascii="Times New Roman" w:hAnsi="Times New Roman" w:cs="Times New Roman"/>
          <w:b/>
          <w:bCs/>
          <w:i/>
          <w:iCs/>
          <w:sz w:val="24"/>
          <w:szCs w:val="24"/>
        </w:rPr>
      </w:pPr>
      <w:r>
        <w:rPr>
          <w:rFonts w:ascii="Times New Roman" w:hAnsi="Times New Roman" w:cs="Times New Roman"/>
          <w:b/>
          <w:bCs/>
          <w:noProof/>
          <w:sz w:val="24"/>
          <w:szCs w:val="24"/>
        </w:rPr>
        <w:drawing>
          <wp:inline distT="0" distB="0" distL="0" distR="0" wp14:anchorId="6E3E844E" wp14:editId="4F119F2B">
            <wp:extent cx="6121615" cy="2758440"/>
            <wp:effectExtent l="0" t="0" r="0" b="3810"/>
            <wp:docPr id="41045893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930" name="Picture 2"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11699" t="8277" r="11589" b="67266"/>
                    <a:stretch/>
                  </pic:blipFill>
                  <pic:spPr bwMode="auto">
                    <a:xfrm>
                      <a:off x="0" y="0"/>
                      <a:ext cx="6128211" cy="2761412"/>
                    </a:xfrm>
                    <a:prstGeom prst="rect">
                      <a:avLst/>
                    </a:prstGeom>
                    <a:ln>
                      <a:noFill/>
                    </a:ln>
                    <a:extLst>
                      <a:ext uri="{53640926-AAD7-44D8-BBD7-CCE9431645EC}">
                        <a14:shadowObscured xmlns:a14="http://schemas.microsoft.com/office/drawing/2010/main"/>
                      </a:ext>
                    </a:extLst>
                  </pic:spPr>
                </pic:pic>
              </a:graphicData>
            </a:graphic>
          </wp:inline>
        </w:drawing>
      </w:r>
    </w:p>
    <w:p w14:paraId="2323633D" w14:textId="26779242" w:rsidR="00563D2E" w:rsidRDefault="00563D2E" w:rsidP="00EE52CD">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2C96EC09" wp14:editId="01514959">
            <wp:extent cx="6027420" cy="9172161"/>
            <wp:effectExtent l="0" t="0" r="0" b="0"/>
            <wp:docPr id="54032610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26107" name="Picture 1" descr="A close-up of a document&#10;&#10;Description automatically generated"/>
                    <pic:cNvPicPr/>
                  </pic:nvPicPr>
                  <pic:blipFill rotWithShape="1">
                    <a:blip r:embed="rId19">
                      <a:extLst>
                        <a:ext uri="{28A0092B-C50C-407E-A947-70E740481C1C}">
                          <a14:useLocalDpi xmlns:a14="http://schemas.microsoft.com/office/drawing/2010/main" val="0"/>
                        </a:ext>
                      </a:extLst>
                    </a:blip>
                    <a:srcRect l="11832" t="8184" r="11722" b="9508"/>
                    <a:stretch/>
                  </pic:blipFill>
                  <pic:spPr bwMode="auto">
                    <a:xfrm>
                      <a:off x="0" y="0"/>
                      <a:ext cx="6033270" cy="9181063"/>
                    </a:xfrm>
                    <a:prstGeom prst="rect">
                      <a:avLst/>
                    </a:prstGeom>
                    <a:ln>
                      <a:noFill/>
                    </a:ln>
                    <a:extLst>
                      <a:ext uri="{53640926-AAD7-44D8-BBD7-CCE9431645EC}">
                        <a14:shadowObscured xmlns:a14="http://schemas.microsoft.com/office/drawing/2010/main"/>
                      </a:ext>
                    </a:extLst>
                  </pic:spPr>
                </pic:pic>
              </a:graphicData>
            </a:graphic>
          </wp:inline>
        </w:drawing>
      </w:r>
    </w:p>
    <w:p w14:paraId="4AEEFD33" w14:textId="0B2CB248" w:rsidR="00D74C65" w:rsidRPr="00EE52CD" w:rsidRDefault="00D657EA" w:rsidP="0041621F">
      <w:pPr>
        <w:pStyle w:val="Heading2"/>
      </w:pPr>
      <w:bookmarkStart w:id="10" w:name="_Toc144232061"/>
      <w:r w:rsidRPr="00EE52CD">
        <w:lastRenderedPageBreak/>
        <w:t>Volvos value chain analysis</w:t>
      </w:r>
      <w:bookmarkEnd w:id="10"/>
    </w:p>
    <w:p w14:paraId="4FFBEDA0" w14:textId="5264F14F" w:rsidR="00D657EA" w:rsidRDefault="00D657E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value chain analysis is a framework introduced by Michael Porter, which breaks down a company's operations into primary and support activities, helping to identify areas of competitive advantage and opportunities for optimization</w:t>
      </w:r>
      <w:r w:rsidR="003C3FD6">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{"citationItems":[{"id":"ITEM-1","itemData":{"DOI":"10.1186/s40008-021-00244-6","ISSN":"2193-2409","abstract":"In the article, we propose a comprehensive methodology of value chain analysis in the international input–output framework that introduces a new measure of value chain participation and an extended typology of value chains, with the novel inclusion of domestic value chain to address the extent of fragmentation of purely domestic production. This allows for the simultaneous analysis of both global and domestic production fragmentation, the complex patterns of their evolution and their impact on economic development. The main contribution of the proposed methodology is conceptual: it permits the measurement of all value chain paths that pass through each country-sector from production to final consumption, whether the path includes downstream linkages, upstream linkages or their combination. Empirical application of this methodology shows the importance of including domestic fragmentation in value chain analysis: The fragmentation of both global and domestic levels of production has a significant positive correlation with economic growth. This implies that the effects of global production fragmentation must be analysed together with the changing structure of the fragmentation of domestic production to obtain the whole picture, one that might provide important information for policymaking and industrial policy.","author":[{"dropping-particle":"","family":"Knez","given":"Klemen","non-dropping-particle":"","parse-names":false,"suffix":""},{"dropping-particle":"","family":"Jaklič","given":"Andreja","non-dropping-particle":"","parse-names":false,"suffix":""},{"dropping-particle":"","family":"Stare","given":"Metka","non-dropping-particle":"","parse-names":false,"suffix":""}],"container-title":"Journal of Economic Structures","id":"ITEM-1","issue":"1","issued":{"date-parts":[["2021"]]},"page":"13","title":"An extended approach to value chain analysis","type":"article-journal","volume":"10"},"uris":["http://www.mendeley.com/documents/?uuid=453f0b32-19d6-4cbf-a5d8-85a4bb483b27"]}],"mendeley":{"formattedCitation":"(Knez, Jaklič and Stare, 2021)","plainTextFormattedCitation":"(Knez, Jaklič and Stare, 2021)","previouslyFormattedCitation":"(Knez, Jaklič and Stare, 2021)"},"properties":{"noteIndex":0},"schema":"https://github.com/citation-style-language/schema/raw/master/csl-citation.json"}</w:instrText>
      </w:r>
      <w:r w:rsidR="003C3FD6">
        <w:rPr>
          <w:rFonts w:ascii="Times New Roman" w:hAnsi="Times New Roman" w:cs="Times New Roman"/>
          <w:sz w:val="24"/>
          <w:szCs w:val="24"/>
        </w:rPr>
        <w:fldChar w:fldCharType="separate"/>
      </w:r>
      <w:r w:rsidR="003C3FD6" w:rsidRPr="003C3FD6">
        <w:rPr>
          <w:rFonts w:ascii="Times New Roman" w:hAnsi="Times New Roman" w:cs="Times New Roman"/>
          <w:noProof/>
          <w:sz w:val="24"/>
          <w:szCs w:val="24"/>
        </w:rPr>
        <w:t>(Knez, Jaklič and Stare, 2021)</w:t>
      </w:r>
      <w:r w:rsidR="003C3FD6">
        <w:rPr>
          <w:rFonts w:ascii="Times New Roman" w:hAnsi="Times New Roman" w:cs="Times New Roman"/>
          <w:sz w:val="24"/>
          <w:szCs w:val="24"/>
        </w:rPr>
        <w:fldChar w:fldCharType="end"/>
      </w:r>
      <w:r w:rsidRPr="00EE52CD">
        <w:rPr>
          <w:rFonts w:ascii="Times New Roman" w:hAnsi="Times New Roman" w:cs="Times New Roman"/>
          <w:sz w:val="24"/>
          <w:szCs w:val="24"/>
        </w:rPr>
        <w:t>. In this case, we'll apply the value chain analysis to Volvo:</w:t>
      </w:r>
    </w:p>
    <w:p w14:paraId="2FFD2590" w14:textId="0D3D8649" w:rsidR="00386C98" w:rsidRDefault="00386C98" w:rsidP="00EE52CD">
      <w:pPr>
        <w:spacing w:line="360" w:lineRule="auto"/>
        <w:jc w:val="both"/>
        <w:rPr>
          <w:rFonts w:ascii="Times New Roman" w:hAnsi="Times New Roman" w:cs="Times New Roman"/>
          <w:sz w:val="24"/>
          <w:szCs w:val="24"/>
        </w:rPr>
      </w:pPr>
      <w:r w:rsidRPr="00386C98">
        <w:rPr>
          <w:rFonts w:ascii="Times New Roman" w:hAnsi="Times New Roman" w:cs="Times New Roman"/>
          <w:noProof/>
          <w:sz w:val="24"/>
          <w:szCs w:val="24"/>
        </w:rPr>
        <w:drawing>
          <wp:inline distT="0" distB="0" distL="0" distR="0" wp14:anchorId="0C5554EC" wp14:editId="01B3503E">
            <wp:extent cx="5731510" cy="3354705"/>
            <wp:effectExtent l="0" t="0" r="2540" b="0"/>
            <wp:docPr id="4" name="Picture 3" descr="A diagram of a company's company's company's company's company's company's company's company's company's company's company's company'&#10;&#10;Description automatically generated">
              <a:extLst xmlns:a="http://schemas.openxmlformats.org/drawingml/2006/main">
                <a:ext uri="{FF2B5EF4-FFF2-40B4-BE49-F238E27FC236}">
                  <a16:creationId xmlns:a16="http://schemas.microsoft.com/office/drawing/2014/main" id="{DC07421F-2E53-9AA8-1E15-3F4047C605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company's company's company's company's company's company's company's company's company's company's company's company'&#10;&#10;Description automatically generated">
                      <a:extLst>
                        <a:ext uri="{FF2B5EF4-FFF2-40B4-BE49-F238E27FC236}">
                          <a16:creationId xmlns:a16="http://schemas.microsoft.com/office/drawing/2014/main" id="{DC07421F-2E53-9AA8-1E15-3F4047C60572}"/>
                        </a:ext>
                      </a:extLst>
                    </pic:cNvPr>
                    <pic:cNvPicPr>
                      <a:picLocks noChangeAspect="1"/>
                    </pic:cNvPicPr>
                  </pic:nvPicPr>
                  <pic:blipFill>
                    <a:blip r:embed="rId20"/>
                    <a:stretch>
                      <a:fillRect/>
                    </a:stretch>
                  </pic:blipFill>
                  <pic:spPr>
                    <a:xfrm>
                      <a:off x="0" y="0"/>
                      <a:ext cx="5731510" cy="3354705"/>
                    </a:xfrm>
                    <a:prstGeom prst="rect">
                      <a:avLst/>
                    </a:prstGeom>
                  </pic:spPr>
                </pic:pic>
              </a:graphicData>
            </a:graphic>
          </wp:inline>
        </w:drawing>
      </w:r>
    </w:p>
    <w:p w14:paraId="73519F20" w14:textId="7590C899"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3D86B16E" w14:textId="77777777" w:rsidR="00B76DED" w:rsidRPr="00EE52CD" w:rsidRDefault="00B76DED" w:rsidP="00EE52CD">
      <w:pPr>
        <w:spacing w:line="360" w:lineRule="auto"/>
        <w:jc w:val="both"/>
        <w:rPr>
          <w:rFonts w:ascii="Times New Roman" w:hAnsi="Times New Roman" w:cs="Times New Roman"/>
          <w:sz w:val="24"/>
          <w:szCs w:val="24"/>
        </w:rPr>
      </w:pPr>
    </w:p>
    <w:p w14:paraId="0ED7E94C" w14:textId="2864C444" w:rsidR="00D657EA" w:rsidRPr="00EE52CD" w:rsidRDefault="00D657EA" w:rsidP="0041621F">
      <w:pPr>
        <w:pStyle w:val="Heading3"/>
      </w:pPr>
      <w:bookmarkStart w:id="11" w:name="_Toc144232062"/>
      <w:r w:rsidRPr="00EE52CD">
        <w:t>Primary Activities</w:t>
      </w:r>
      <w:bookmarkEnd w:id="11"/>
    </w:p>
    <w:p w14:paraId="0C1DB7BE" w14:textId="77777777" w:rsidR="00D657EA" w:rsidRPr="00EE52CD" w:rsidRDefault="00D657EA" w:rsidP="00EE52CD">
      <w:pPr>
        <w:spacing w:line="360" w:lineRule="auto"/>
        <w:jc w:val="both"/>
        <w:rPr>
          <w:rFonts w:ascii="Times New Roman" w:hAnsi="Times New Roman" w:cs="Times New Roman"/>
          <w:sz w:val="24"/>
          <w:szCs w:val="24"/>
        </w:rPr>
      </w:pPr>
    </w:p>
    <w:p w14:paraId="6B1EB12A" w14:textId="0B283634"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Inbound Logistics</w:t>
      </w:r>
    </w:p>
    <w:p w14:paraId="1C8AEC59" w14:textId="77777777" w:rsidR="00D657EA" w:rsidRPr="0041621F" w:rsidRDefault="00D657EA" w:rsidP="0041621F">
      <w:pPr>
        <w:pStyle w:val="ListParagraph"/>
        <w:numPr>
          <w:ilvl w:val="0"/>
          <w:numId w:val="31"/>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sources raw materials, components, and parts from suppliers worldwide.</w:t>
      </w:r>
    </w:p>
    <w:p w14:paraId="3BAB8B78" w14:textId="69073FD2" w:rsidR="00976508" w:rsidRPr="00976508" w:rsidRDefault="00D657EA" w:rsidP="00976508">
      <w:pPr>
        <w:pStyle w:val="ListParagraph"/>
        <w:numPr>
          <w:ilvl w:val="0"/>
          <w:numId w:val="31"/>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supply chain management ensures timely availability of materials for production</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{"citationItems":[{"id":"ITEM-1","itemData":{"DOI":"10.2139/ssrn.3935518","abstract":"Modern Evolutionary Economics Evolutionary economics sees the economy as always in motion with change being driven largely by continuing innovation. This approach to economics, heavily infl uenced by the work of Joseph Schumpeter, saw a revival as an alternative way of thinking about economic advancement as a result of Richard Nelson and Sidney Winter’s seminal book, An Evolutionary Theory of Economic Change , fi rst published in 1982. In this long- awaited follow- up, Nelson is joined by leading fi gures in the fi eld of evolutionary economics, reviewing in detail how this perspective has been manifest in various areas of economic inquiry where evolutionary economists have been active. Providing the perfect overview for interested economists and social scientists, readers will learn how in each of the diverse fi elds featured, evolutionary economics has enabled an improved understanding of how and why economic progress occurs. Richard","author":[{"dropping-particle":"","family":"Grossman","given":"Gene M.","non-dropping-particle":"","parse-names":false,"suffix":""},{"dropping-particle":"","family":"Helpman","given":"Elhanan","non-dropping-particle":"","parse-names":false,"suffix":""},{"dropping-particle":"","family":"Lhuillier","given":"Hugo","non-dropping-particle":"","parse-names":false,"suffix":""}],"container-title":"SSRN Electronic Journal","id":"ITEM-1","issued":{"date-parts":[["2021"]]},"title":"Supply Chain Resilience: Should Policy Promote Diversification or Reshoring?","type":"article-journal"},"uris":["http://www.mendeley.com/documents/?uuid=0e342034-457e-4bbc-8c0d-d1647a3889c9"]}],"mendeley":{"formattedCitation":"(Grossman, Helpman and Lhuillier, 2021)","plainTextFormattedCitation":"(Grossman, Helpman and Lhuillier, 2021)","previouslyFormattedCitation":"(Grossman, Helpman and Lhuillier, 2021)"},"properties":{"noteIndex":0},"schema":"https://github.com/citation-style-language/schema/raw/master/csl-citation.json"}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(Grossman, Helpman and Lhuillier, 2021)</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5F127EB0" w14:textId="20B41A3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Operations</w:t>
      </w:r>
    </w:p>
    <w:p w14:paraId="1B7F0F0B" w14:textId="77777777" w:rsidR="00D657EA" w:rsidRPr="0041621F" w:rsidRDefault="00D657EA" w:rsidP="0041621F">
      <w:pPr>
        <w:pStyle w:val="ListParagraph"/>
        <w:numPr>
          <w:ilvl w:val="0"/>
          <w:numId w:val="3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focuses on advanced manufacturing techniques to ensure quality and efficiency in production.</w:t>
      </w:r>
    </w:p>
    <w:p w14:paraId="7470D0E4" w14:textId="6676D3A5" w:rsidR="00D657EA" w:rsidRPr="0041621F" w:rsidRDefault="00D657EA" w:rsidP="0041621F">
      <w:pPr>
        <w:pStyle w:val="ListParagraph"/>
        <w:numPr>
          <w:ilvl w:val="0"/>
          <w:numId w:val="32"/>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Robotic automation and lean manufacturing contribute to higher productivity and lower costs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{"citationItems":[{"id":"ITEM-1","itemData":{"abstract":"Value chain analysis has been applied in various fields, from the time the concept of \" value chain \" was introduced by Porter in 1985. Several frameworks have emerged and have been used to study individual firms, entire industries, industry clusters, as well as global production networks. The purpose of this paper is to provide a brief review of these frameworks, identify factors that influence the performance of value chains, and suggest areas for future research. Since there is a wide range of value chain literature, this paper focuses on a selective set of earlier works within the value chain model as conceptualized by Porter. The study takes note of the many dimensions and applications of value chain analysis, and shows that value chain analysis is an effective way to examine the interaction among different players in a given industry. The study further points out the shortcomings of the traditional or Porter view of value chain analysis.","author":[{"dropping-particle":"","family":"Zamora","given":"Elvira A.","non-dropping-particle":"","parse-names":false,"suffix":""}],"container-title":"Asian Journal of Innovation and Policy","id":"ITEM-1","issue":"2","issued":{"date-parts":[["2016"]]},"page":"116-128","title":"Value Chain Analysis: A Brief Review","type":"article-journal","volume":"5"},"uris":["http://www.mendeley.com/documents/?uuid=30090acc-5e7b-4f84-a72d-4b72733c30c2"]}],"mendeley":{"formattedCitation":"(Zamora, 2016)","plainTextFormattedCitation":"(Zamora, 2016)","previouslyFormattedCitation":"(Zamora, 2016)"},"properties":{"noteIndex":0},"schema":"https://github.com/citation-style-language/schema/raw/master/csl-citation.json"}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(Zamora, 2016)</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270AA800" w14:textId="385DB792"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lastRenderedPageBreak/>
        <w:t>Outbound Logistics</w:t>
      </w:r>
    </w:p>
    <w:p w14:paraId="32741DCC" w14:textId="77777777" w:rsidR="00D657EA" w:rsidRPr="0041621F" w:rsidRDefault="00D657EA" w:rsidP="0041621F">
      <w:pPr>
        <w:pStyle w:val="ListParagraph"/>
        <w:numPr>
          <w:ilvl w:val="0"/>
          <w:numId w:val="3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 xml:space="preserve">Finished vehicles are transported to dealerships and distribution </w:t>
      </w:r>
      <w:proofErr w:type="spellStart"/>
      <w:r w:rsidRPr="0041621F">
        <w:rPr>
          <w:rFonts w:ascii="Times New Roman" w:hAnsi="Times New Roman" w:cs="Times New Roman"/>
          <w:sz w:val="24"/>
          <w:szCs w:val="24"/>
        </w:rPr>
        <w:t>centers</w:t>
      </w:r>
      <w:proofErr w:type="spellEnd"/>
      <w:r w:rsidRPr="0041621F">
        <w:rPr>
          <w:rFonts w:ascii="Times New Roman" w:hAnsi="Times New Roman" w:cs="Times New Roman"/>
          <w:sz w:val="24"/>
          <w:szCs w:val="24"/>
        </w:rPr>
        <w:t>.</w:t>
      </w:r>
    </w:p>
    <w:p w14:paraId="2BA7F925" w14:textId="77777777" w:rsidR="00D657EA" w:rsidRPr="0041621F" w:rsidRDefault="00D657EA" w:rsidP="0041621F">
      <w:pPr>
        <w:pStyle w:val="ListParagraph"/>
        <w:numPr>
          <w:ilvl w:val="0"/>
          <w:numId w:val="33"/>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Efficient logistics minimize lead times and reduce distribution costs.</w:t>
      </w:r>
    </w:p>
    <w:p w14:paraId="3C3F708B" w14:textId="7E5839D9"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Marketing and Sales</w:t>
      </w:r>
    </w:p>
    <w:p w14:paraId="68CD67B3" w14:textId="77777777" w:rsidR="00D657EA" w:rsidRPr="0041621F" w:rsidRDefault="00D657EA" w:rsidP="0041621F">
      <w:pPr>
        <w:pStyle w:val="ListParagraph"/>
        <w:numPr>
          <w:ilvl w:val="0"/>
          <w:numId w:val="3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emphasizes safety, innovation, and sustainability in its marketing campaigns.</w:t>
      </w:r>
    </w:p>
    <w:p w14:paraId="2B102AC0" w14:textId="5382AF5B" w:rsidR="00D657EA" w:rsidRPr="0041621F" w:rsidRDefault="00D657EA" w:rsidP="0041621F">
      <w:pPr>
        <w:pStyle w:val="ListParagraph"/>
        <w:numPr>
          <w:ilvl w:val="0"/>
          <w:numId w:val="34"/>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Direct sales and collaborations with dealerships help in reaching the target audience effectively</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{"citationItems":[{"id":"ITEM-1","itemData":{"DOI":"10.1108/RAUSP-07-2018-0051","ISSN":"25310488","abstract":"Purpose: There is a great reliance on fiscal incentives to sustain the automotive industry competitiveness due to several structural problems, among them the inefficiency of the supply chain. This paper aims to compare the supply chain structure of traditional automotive industry with the supply chains from South Korea and China. Based on strategic decision and transaction cost theory, this comparison seeks to exploit the factors that led to the inefficiency of automotive supply chains. Design/methodology/approach: The authors used a qualitative approach and applied a multi-method research. They conducted semi-structured interviews with six executives from automakers representing the selected countries, carried individual meetings during one workshop and used secondary data from several sources. Findings: Concepts identified in the research such as reliability, supply chain governance and automaker competencies led the authors to propose that the traditional automakers have higher transaction costs when compared to the new automakers due to the horizontal structure of their supply chain. While new competitors have vertical upstream supply chains, which indicates better profitability, traditional automotive industry is horizontal, depends on fewer Tier 1 suppliers and is disconnected from Tier 2, impacting negatively in the transaction costs and supply chain management. Practical implications: This study suggests that automotive executives rethink the current upstream supply chain model by identifying the competencies required for their current and future competitiveness and implementing a vertical integration of these competencies. Originality/value: This research exploited the inefficiency of supply chain as one of the explanations for the low competitiveness of the national automotive industry.","author":[{"dropping-particle":"","family":"Sakuramoto","given":"Carlos","non-dropping-particle":"","parse-names":false,"suffix":""},{"dropping-particle":"","family":"Serio","given":"Luiz Carlos","non-dropping-particle":"Di","parse-names":false,"suffix":""},{"dropping-particle":"","family":"Bittar","given":"Alexandre de Vicente","non-dropping-particle":"","parse-names":false,"suffix":""}],"container-title":"RAUSP Management Journal","id":"ITEM-1","issue":"2","issued":{"date-parts":[["2019"]]},"page":"205-225","title":"Impact of supply chain on the competitiveness of the automotive industry","type":"article-journal","volume":"54"},"uris":["http://www.mendeley.com/documents/?uuid=7b932a17-ec9d-405d-a3d5-29d811909a69"]}],"mendeley":{"formattedCitation":"(Sakuramoto, Di Serio and Bittar, 2019)","plainTextFormattedCitation":"(Sakuramoto, Di Serio and Bittar, 2019)","previouslyFormattedCitation":"(Sakuramoto, Di Serio and Bittar, 2019)"},"properties":{"noteIndex":0},"schema":"https://github.com/citation-style-language/schema/raw/master/csl-citation.json"}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(Sakuramoto, Di Serio and Bittar, 2019)</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2644D0BB" w14:textId="19B0238F"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Service</w:t>
      </w:r>
    </w:p>
    <w:p w14:paraId="133C1609" w14:textId="77777777" w:rsidR="00D657EA" w:rsidRPr="0041621F" w:rsidRDefault="00D657EA" w:rsidP="0041621F">
      <w:pPr>
        <w:pStyle w:val="ListParagraph"/>
        <w:numPr>
          <w:ilvl w:val="0"/>
          <w:numId w:val="3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after-sales service focuses on customer satisfaction and loyalty.</w:t>
      </w:r>
    </w:p>
    <w:p w14:paraId="03261DEE" w14:textId="3BC92D24" w:rsidR="00D657EA" w:rsidRPr="0041621F" w:rsidRDefault="00D657EA" w:rsidP="0041621F">
      <w:pPr>
        <w:pStyle w:val="ListParagraph"/>
        <w:numPr>
          <w:ilvl w:val="0"/>
          <w:numId w:val="35"/>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Maintenance, repairs, and parts distribution contribute to long-term customer relationships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{"citationItems":[{"id":"ITEM-1","itemData":{"abstract":"Purpose: Supply chain (SC) configuration has gained increased acceptance as an important issue when evaluating new customization possibilities and this evidence has contributed to the strengthening of the debate between global vs local production locations. This work contributes in enrichment of this topic by studying how local or global SC location decisions influence performances by considering a SC point of view, in terms of cost and time, in traditional and customized productions. Design/methodology/approach: A discrete event simulation approach, based on experimentation through executable configurations, was used to evaluate different SC scenarios for customized as well as traditional products within the footwear industry. Findings: The results indicated that to identify proper SC locations, existing trade-offs between the time and cost performances should be studied, avoiding the evaluation of a single performance independently and, instead, adopting a complete SC point of view while considering these performances. Research limitations/implications: This evidence has contributed to the reinforcement of the discussion between far-shore destinations vs near-shore production locations. Further studies are encouraged to adopt the present model, in which addition of other variables such as specific manufacturing competences to differentiate suppliers, both local and global suppliers, or the possibility of realizing special types of product customization required by final consumers can be done. Practical implications: The paper contributes to the academic and practitioners' debate by proposing a systemic approach to assess SCs’ performances in customized contexts and to compare them to traditional collections. Results indicate that cost and time performance must find a balance that does not necessarily correspond to an exclusively local or global production. Originality/value: This work contributes to the SC configuration issue by considering the trade-off between efficiency and effectiveness (i.e. SC costs and SC times) for customized productions by reviving and enriching it with an SC perspective in customization contexts.","author":[{"dropping-particle":"","family":"Macchion","given":"Laura","non-dropping-particle":"","parse-names":false,"suffix":""},{"dropping-particle":"","family":"Fornasiero","given":"Rosanna","non-dropping-particle":"","parse-names":false,"suffix":""}],"container-title":"Journal of Fashion Marketing and Management","id":"ITEM-1","issue":"2","issued":{"date-parts":[["2021"]]},"page":"290-309","title":"Global–local supply chain configurations for different production strategies: a comparison between traditional and customized productions","type":"article-journal","volume":"25"},"uris":["http://www.mendeley.com/documents/?uuid=2b0784de-ead9-41c7-a658-d59e756849ac"]}],"mendeley":{"formattedCitation":"(Macchion and Fornasiero, 2021)","plainTextFormattedCitation":"(Macchion and Fornasiero, 2021)","previouslyFormattedCitation":"(Macchion and Fornasiero, 2021)"},"properties":{"noteIndex":0},"schema":"https://github.com/citation-style-language/schema/raw/master/csl-citation.json"}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(Macchion and Fornasiero, 2021)</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6856F1F3" w14:textId="1829347C" w:rsidR="00D657EA" w:rsidRPr="00EE52CD" w:rsidRDefault="0041621F" w:rsidP="0041621F">
      <w:pPr>
        <w:pStyle w:val="Heading3"/>
      </w:pPr>
      <w:bookmarkStart w:id="12" w:name="_Toc144232063"/>
      <w:r>
        <w:t>Secondary</w:t>
      </w:r>
      <w:r w:rsidR="00D657EA" w:rsidRPr="00EE52CD">
        <w:t xml:space="preserve"> Activities</w:t>
      </w:r>
      <w:bookmarkEnd w:id="12"/>
    </w:p>
    <w:p w14:paraId="6A8CE3D9" w14:textId="77777777" w:rsidR="00D657EA" w:rsidRPr="00EE52CD" w:rsidRDefault="00D657EA" w:rsidP="00EE52CD">
      <w:pPr>
        <w:spacing w:line="360" w:lineRule="auto"/>
        <w:jc w:val="both"/>
        <w:rPr>
          <w:rFonts w:ascii="Times New Roman" w:hAnsi="Times New Roman" w:cs="Times New Roman"/>
          <w:sz w:val="24"/>
          <w:szCs w:val="24"/>
        </w:rPr>
      </w:pPr>
    </w:p>
    <w:p w14:paraId="3A0DF43E" w14:textId="1550E3D1"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Firm Infrastructure</w:t>
      </w:r>
    </w:p>
    <w:p w14:paraId="28FE1050" w14:textId="77777777" w:rsidR="00D657EA" w:rsidRPr="0041621F" w:rsidRDefault="00D657EA" w:rsidP="0041621F">
      <w:pPr>
        <w:pStyle w:val="ListParagraph"/>
        <w:numPr>
          <w:ilvl w:val="0"/>
          <w:numId w:val="3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Effective leadership, organizational structure, and corporate culture drive strategic decision-making.</w:t>
      </w:r>
    </w:p>
    <w:p w14:paraId="35C49AB0" w14:textId="64FBEB55" w:rsidR="00D657EA" w:rsidRPr="0041621F" w:rsidRDefault="00D657EA" w:rsidP="0041621F">
      <w:pPr>
        <w:pStyle w:val="ListParagraph"/>
        <w:numPr>
          <w:ilvl w:val="0"/>
          <w:numId w:val="36"/>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Volvo's commitment to sustainability and innovation shapes its strategic direction</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{"citationItems":[{"id":"ITEM-1","itemData":{"DOI":"10.21272/sec.4(3).5-19.2020","ISBN":"0000000169363","ISSN":"2520-6621","abstract":"As the world economy has become increasingly integrated the spectre of transnational supply chains has become a central feature of globalisation. The smooth and unfettered working of transnational supply chains has facilitated efficiency increasing changes to business operations (such as just in time inventory management). The automotive sector worldwide has been at the forefront of internationally integrated supply systems. The European Union (EU) has, in part, been structured to reduce friction in Europe-wide supply chains through the single market. Transnational supply chains are at the heart of United Kingdom (UK) – EU trade, and the UK’s departure from the EU’s single market (Brexit) will increase friction in international trade. This case study of the UK’s automotive sector uses a social network approach to analyse supply chain linkages between the UK, EU and other trading partners, and how these could be impacted as a result of Brexit. We use data from Trade in Value Added (TiVA) and World Input-Output Database (WIOD) to map supply chains, estimate total value-added in exports and examine how Brexit is likely to impact the competitiveness of UK exports. Results confirm that the UK’s automotive sector is closely integrated with the EU. To offset the loss of UK’s export competitiveness after Brexit, trade facilitation measures complemented with a duty drawback scheme could be an option in the short run. Policy measures are, however, unlikely to replace the benefits of duty-free and frictionless access enjoyed under single market trading arrangements. This suggests that the UK automotive sector, which is primarily comprised of globally active firms, may have to reconfigure supply chain arrangements and in the long run alter how decisions pertaining to locations are made. Keywords: Brexit, global value chains, input-output linkages, WIOD.","author":[{"dropping-particle":"","family":"Escaith","given":"Hubert","non-dropping-particle":"","parse-names":false,"suffix":""},{"dropping-particle":"","family":"Khorana","given":"Sangeeta","non-dropping-particle":"","parse-names":false,"suffix":""},{"dropping-particle":"","family":"Kerr","given":"William A.","non-dropping-particle":"","parse-names":false,"suffix":""}],"container-title":"SocioEconomic Challenges","id":"ITEM-1","issue":"3","issued":{"date-parts":[["2020"]]},"page":"5-19","title":"The Hidden Cost of Supply Chain Disruptions: Case Study of the UK’s Automotive Sector","type":"article-journal","volume":"4"},"uris":["http://www.mendeley.com/documents/?uuid=1b86ac9f-0bc7-42cc-a4a3-878ec01d445a"]}],"mendeley":{"formattedCitation":"(Escaith, Khorana and Kerr, 2020)","plainTextFormattedCitation":"(Escaith, Khorana and Kerr, 2020)","previouslyFormattedCitation":"(Escaith, Khorana and Kerr, 2020)"},"properties":{"noteIndex":0},"schema":"https://github.com/citation-style-language/schema/raw/master/csl-citation.json"}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(Escaith, Khorana and Kerr, 2020)</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526F32AB" w14:textId="5FE1DF7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Human Resource Management</w:t>
      </w:r>
    </w:p>
    <w:p w14:paraId="5036E50F" w14:textId="77777777" w:rsidR="00D657EA" w:rsidRPr="0041621F" w:rsidRDefault="00D657EA" w:rsidP="0041621F">
      <w:pPr>
        <w:pStyle w:val="ListParagraph"/>
        <w:numPr>
          <w:ilvl w:val="0"/>
          <w:numId w:val="3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Skilled workforce is essential for product innovation and quality.</w:t>
      </w:r>
    </w:p>
    <w:p w14:paraId="64FE6124" w14:textId="77777777" w:rsidR="00D657EA" w:rsidRPr="0041621F" w:rsidRDefault="00D657EA" w:rsidP="0041621F">
      <w:pPr>
        <w:pStyle w:val="ListParagraph"/>
        <w:numPr>
          <w:ilvl w:val="0"/>
          <w:numId w:val="37"/>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Training, development, and talent retention initiatives ensure a competent workforce.</w:t>
      </w:r>
    </w:p>
    <w:p w14:paraId="0DE1831D" w14:textId="520D1D6E"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Technology Development</w:t>
      </w:r>
    </w:p>
    <w:p w14:paraId="1A180CE4" w14:textId="77777777" w:rsidR="00D657EA" w:rsidRPr="0041621F" w:rsidRDefault="00D657EA" w:rsidP="0041621F">
      <w:pPr>
        <w:pStyle w:val="ListParagraph"/>
        <w:numPr>
          <w:ilvl w:val="0"/>
          <w:numId w:val="3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Volvo invests heavily in research and development to innovate in safety, connectivity, and sustainability.</w:t>
      </w:r>
    </w:p>
    <w:p w14:paraId="27B352A8" w14:textId="7F6D7443" w:rsidR="00D657EA" w:rsidRPr="0041621F" w:rsidRDefault="00D657EA" w:rsidP="0041621F">
      <w:pPr>
        <w:pStyle w:val="ListParagraph"/>
        <w:numPr>
          <w:ilvl w:val="0"/>
          <w:numId w:val="38"/>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Collaborations with tech companies and research institutions drive technological advancements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{"citationItems":[{"id":"ITEM-1","itemData":{"abstract":"Business organisations all over the world are striving hard to evolve strategies to survive in the new era of competition ushered in by globalisation. Global Supply Chain Management (GSCM) is one such strategy. In this paper, various countries across the world have been separated on the basis of various regions and development in their respective economies. To compare the degree of implementation of an ideal supply chain in these countries, a Supply Chain Management Index (SCMI) has been formulated with the help of questionnaire survey- and analysis. Various strategies have been suggested for different economies in the world for optimising their supply chain network and improving its respective SCMI. Opportunities and challenges offered by the global supply chain, as suggested by various experts, have been pointed out and discussed thoroughly. The effect of bullwhip on global supply chain has also been analysed. Further, the factors affecting the GSCM have been identified and discussed. Copyright © 2006 Inderscience Enterprises Ltd.","author":[{"dropping-particle":"","family":"Balan","given":"S.","non-dropping-particle":"","parse-names":false,"suffix":""},{"dropping-particle":"","family":"Vrat","given":"Prem","non-dropping-particle":"","parse-names":false,"suffix":""},{"dropping-particle":"","family":"Kumar","given":"Pradeed","non-dropping-particle":"","parse-names":false,"suffix":""}],"container-title":"International Journal of Value Chain Management","id":"ITEM-1","issue":"2","issued":{"date-parts":[["2006"]]},"page":"105-116","title":"Assessing the challenges and opportunities of global supply chain management","type":"article-journal","volume":"1"},"uris":["http://www.mendeley.com/documents/?uuid=ea4dbe8f-2559-497b-a138-f2b187772996"]}],"mendeley":{"formattedCitation":"(Balan, Vrat and Kumar, 2006)","plainTextFormattedCitation":"(Balan, Vrat and Kumar, 2006)","previouslyFormattedCitation":"(Balan, Vrat and Kumar, 2006)"},"properties":{"noteIndex":0},"schema":"https://github.com/citation-style-language/schema/raw/master/csl-citation.json"}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(Balan, Vrat and Kumar, 2006)</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2576C9FB" w14:textId="0F098C2D" w:rsidR="00D657EA" w:rsidRPr="0041621F" w:rsidRDefault="00D657EA"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Procurement</w:t>
      </w:r>
    </w:p>
    <w:p w14:paraId="08662107" w14:textId="77777777" w:rsidR="00D657EA" w:rsidRPr="0041621F" w:rsidRDefault="00D657EA" w:rsidP="0041621F">
      <w:pPr>
        <w:pStyle w:val="ListParagraph"/>
        <w:numPr>
          <w:ilvl w:val="0"/>
          <w:numId w:val="3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Strategic supplier relationships help secure high-quality materials and components.</w:t>
      </w:r>
    </w:p>
    <w:p w14:paraId="510DB54D" w14:textId="27A3F1DB" w:rsidR="00D657EA" w:rsidRPr="0041621F" w:rsidRDefault="00D657EA" w:rsidP="0041621F">
      <w:pPr>
        <w:pStyle w:val="ListParagraph"/>
        <w:numPr>
          <w:ilvl w:val="0"/>
          <w:numId w:val="39"/>
        </w:num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lastRenderedPageBreak/>
        <w:t>Sustainability and ethical considerations influence supplier selection and partnerships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{"citationItems":[{"id":"ITEM-1","itemData":{"DOI":"10.1016/s2212-5671(13)00230-x","ISSN":"22125671","abstract":"Rapid growth of the economy and high purchasing power of its population have made Malaysia the largest passenger car market in ASEAN. With a ratio of 200 cars for every one thousand people, Malaysia ranks among the top countries with high car ownership ratio in the region. Toyota, Honda, KIA, BMW, Mercedes Benz, Volvo are some of the global automotive companies which have set up operations in Malaysia to take advantage of the buoyant consumer demand. Thus, the automotive companies in Malaysia have spent huge amount of money for promotional strategies in order to maintain their sales. To date, the companies have introduced various strategies such as 'promotional mixed' which are advertising, internet marketing, personal selling and public relation/publicity in accordance to changes in the consumers' socio-economy, technology, and competition aspects. Nevertheless, the success of these strategies is vague. Therefore, this study aims to identify which promotional strategies have reached the consumer most and to determine to what extent these promotional strategies influence the consumers. Our model of study is based on AIDA concept and this model proposed that consumers respond to marketing messages in a cognitive (thinking), affective (feeling), and conative (doing) sequence. In addition, the population of the study is the consumers who purchase car in Malaysia. We strongly believe that the study will help the automotive companies in Malaysia to understand the so called \" new \" market and prepare them to be more competitive via promotional strategies.","author":[{"dropping-particle":"","family":"Ali","given":"Nor Amira Mohd","non-dropping-particle":"","parse-names":false,"suffix":""},{"dropping-particle":"","family":"Gafar","given":"Muhammad Hanif Abdul","non-dropping-particle":"","parse-names":false,"suffix":""},{"dropping-particle":"","family":"Akbar","given":"Jamaludin","non-dropping-particle":"","parse-names":false,"suffix":""}],"container-title":"Procedia Economics and Finance","id":"ITEM-1","issue":"Icebr","issued":{"date-parts":[["2013"]]},"page":"158-163","publisher":"Elsevier B.V.","title":"Enhancing Promotional Strategies within Automotive Companies in Malaysia","type":"article-journal","volume":"7"},"uris":["http://www.mendeley.com/documents/?uuid=5dac44bd-b870-4247-9386-bebd09c4bc16"]}],"mendeley":{"formattedCitation":"(Ali, Gafar and Akbar, 2013)","plainTextFormattedCitation":"(Ali, Gafar and Akbar, 2013)","previouslyFormattedCitation":"(Ali, Gafar and Akbar, 2013)"},"properties":{"noteIndex":0},"schema":"https://github.com/citation-style-language/schema/raw/master/csl-citation.json"}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(Ali, Gafar and Akbar, 2013)</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w:t>
      </w:r>
    </w:p>
    <w:p w14:paraId="5F910C0F" w14:textId="6F5D34DE"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Value Chain Analysis Insights</w:t>
      </w:r>
    </w:p>
    <w:p w14:paraId="4401FBC6" w14:textId="65C22900"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Competitive Advantage</w:t>
      </w:r>
    </w:p>
    <w:p w14:paraId="1B24B346" w14:textId="77777777" w:rsidR="00D657EA" w:rsidRPr="001B5D1F" w:rsidRDefault="00D657EA" w:rsidP="001B5D1F">
      <w:pPr>
        <w:pStyle w:val="ListParagraph"/>
        <w:numPr>
          <w:ilvl w:val="0"/>
          <w:numId w:val="5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focus on safety, sustainability, and innovation differentiates it in the automotive industry.</w:t>
      </w:r>
    </w:p>
    <w:p w14:paraId="69FE3DD3" w14:textId="1DFD5B42" w:rsidR="00D657EA" w:rsidRPr="001B5D1F" w:rsidRDefault="00D657EA" w:rsidP="001B5D1F">
      <w:pPr>
        <w:pStyle w:val="ListParagraph"/>
        <w:numPr>
          <w:ilvl w:val="0"/>
          <w:numId w:val="52"/>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Strong brand reputation and commitment to quality contribute to a competitive edge</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{"citationItems":[{"id":"ITEM-1","itemData":{"author":[{"dropping-particle":"","family":"Alipourfallahpasand","given":"Ali","non-dropping-particle":"","parse-names":false,"suffix":""}],"id":"ITEM-1","issued":{"date-parts":[["2023"]]},"title":"Supply Chain Transparency in the Scandinavian Automotive Industry","type":"article-journal"},"uris":["http://www.mendeley.com/documents/?uuid=90c6752c-c36e-44db-9b45-51c71eef810b"]}],"mendeley":{"formattedCitation":"(Alipourfallahpasand, 2023)","plainTextFormattedCitation":"(Alipourfallahpasand, 2023)","previouslyFormattedCitation":"(Alipourfallahpasand, 2023)"},"properties":{"noteIndex":0},"schema":"https://github.com/citation-style-language/schema/raw/master/csl-citation.json"}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(Alipourfallahpasand, 2023)</w:t>
      </w:r>
      <w:r w:rsidR="00976508">
        <w:rPr>
          <w:rFonts w:ascii="Times New Roman" w:hAnsi="Times New Roman" w:cs="Times New Roman"/>
          <w:sz w:val="24"/>
          <w:szCs w:val="24"/>
        </w:rPr>
        <w:fldChar w:fldCharType="end"/>
      </w:r>
      <w:r w:rsidRPr="001B5D1F">
        <w:rPr>
          <w:rFonts w:ascii="Times New Roman" w:hAnsi="Times New Roman" w:cs="Times New Roman"/>
          <w:sz w:val="24"/>
          <w:szCs w:val="24"/>
        </w:rPr>
        <w:t>.</w:t>
      </w:r>
    </w:p>
    <w:p w14:paraId="03876765" w14:textId="5C8DFCC1" w:rsidR="00D657EA" w:rsidRPr="00563D2E"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Opportunities for Improvement</w:t>
      </w:r>
    </w:p>
    <w:p w14:paraId="7C965326" w14:textId="77777777" w:rsidR="00D657EA" w:rsidRPr="001B5D1F" w:rsidRDefault="00D657EA" w:rsidP="001B5D1F">
      <w:pPr>
        <w:pStyle w:val="ListParagraph"/>
        <w:numPr>
          <w:ilvl w:val="0"/>
          <w:numId w:val="5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Continuous improvement in supply chain management could further reduce production costs and lead times.</w:t>
      </w:r>
    </w:p>
    <w:p w14:paraId="2E00C142" w14:textId="77777777" w:rsidR="00D657EA" w:rsidRPr="001B5D1F" w:rsidRDefault="00D657EA" w:rsidP="001B5D1F">
      <w:pPr>
        <w:pStyle w:val="ListParagraph"/>
        <w:numPr>
          <w:ilvl w:val="0"/>
          <w:numId w:val="51"/>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Enhancing the customer experience through personalized services and advanced technologies.</w:t>
      </w:r>
    </w:p>
    <w:p w14:paraId="7A0809D8" w14:textId="5B6F6227"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Sustainability Impact</w:t>
      </w:r>
    </w:p>
    <w:p w14:paraId="216E8C4C" w14:textId="77777777" w:rsidR="00D657EA" w:rsidRPr="001B5D1F" w:rsidRDefault="00D657EA" w:rsidP="001B5D1F">
      <w:pPr>
        <w:pStyle w:val="ListParagraph"/>
        <w:numPr>
          <w:ilvl w:val="0"/>
          <w:numId w:val="5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Volvo's emphasis on sustainability impacts its value chain, from responsible sourcing to eco-friendly manufacturing processes.</w:t>
      </w:r>
    </w:p>
    <w:p w14:paraId="2908F795" w14:textId="2907F331" w:rsidR="00D657EA" w:rsidRPr="001B5D1F" w:rsidRDefault="00D657EA" w:rsidP="001B5D1F">
      <w:pPr>
        <w:pStyle w:val="ListParagraph"/>
        <w:numPr>
          <w:ilvl w:val="0"/>
          <w:numId w:val="50"/>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Electric vehicle (EV) adoption and development contribute to a greener value chain</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{"citationItems":[{"id":"ITEM-1","itemData":{"abstract":"The automobile industry is the pillar industry of the national economy. The good operation of the automobile supply chain is conducive to the sustainable development of the economy and social economy. In recent years, the popular research of automotive supply chain disruption risk management has been widely of concern by both business and academic practitioners. It is observed that most of the literature has focused only on a particular journal or field; there is a distinct lack of comprehensive bibliometric review of two decades, of research on automotive supply chain disruption risk management. This paper delivers a comprehensive bibliometric analysis that provides a better understanding not previously fully evaluated by earlier studies in the field of automotive supply chain disruption risk management. We used the 866 journal article during the period between 2000 and 2022 from the WOS database as sample data. Highlights research topics and trends, key features, developments, and potential research areas for future research. The research problems we solved are as follows: (1) Over time, how does the research in the field of automotive supply chain disruption risk management progress? (2) Which research areas and trends are getting the most attention in the field of automotive supply chain disruption risk management? (i) to recognize the scholarly production; (ii) the most productive authors; (iii) the most productive organization; (iv) the most cited articles; and (v) the most productive countries. (3) What is the research direction of automotive supply chain disruption risk management in the future? Also discusses the shortcomings of literature and bibliometric analysis. These findings provide a potential road map for researchers who intend to engage in research in this field.","author":[{"dropping-particle":"","family":"Huang","given":"Kai","non-dropping-particle":"","parse-names":false,"suffix":""},{"dropping-particle":"","family":"Wang","given":"Jian","non-dropping-particle":"","parse-names":false,"suffix":""},{"dropping-particle":"","family":"Zhang","given":"Jinxin","non-dropping-particle":"","parse-names":false,"suffix":""}],"container-title":"Processes","id":"ITEM-1","issue":"3","issued":{"date-parts":[["2023"]]},"page":"710","title":"Automotive Supply Chain Disruption Risk Management: A Visualization Analysis Based on Bibliometric","type":"article-journal","volume":"11"},"uris":["http://www.mendeley.com/documents/?uuid=6fbefaa1-324f-4f31-aded-ec8e05eef7bf"]}],"mendeley":{"formattedCitation":"(Huang, Wang and Zhang, 2023)","plainTextFormattedCitation":"(Huang, Wang and Zhang, 2023)","previouslyFormattedCitation":"(Huang, Wang and Zhang, 2023)"},"properties":{"noteIndex":0},"schema":"https://github.com/citation-style-language/schema/raw/master/csl-citation.json"}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(Huang, Wang and Zhang, 2023)</w:t>
      </w:r>
      <w:r w:rsidR="00976508">
        <w:rPr>
          <w:rFonts w:ascii="Times New Roman" w:hAnsi="Times New Roman" w:cs="Times New Roman"/>
          <w:sz w:val="24"/>
          <w:szCs w:val="24"/>
        </w:rPr>
        <w:fldChar w:fldCharType="end"/>
      </w:r>
      <w:r w:rsidRPr="001B5D1F">
        <w:rPr>
          <w:rFonts w:ascii="Times New Roman" w:hAnsi="Times New Roman" w:cs="Times New Roman"/>
          <w:sz w:val="24"/>
          <w:szCs w:val="24"/>
        </w:rPr>
        <w:t>.</w:t>
      </w:r>
    </w:p>
    <w:p w14:paraId="4D3D7896" w14:textId="5DB53C01" w:rsidR="00D657EA" w:rsidRPr="001B5D1F" w:rsidRDefault="00D657EA" w:rsidP="00EE52CD">
      <w:pPr>
        <w:spacing w:line="360" w:lineRule="auto"/>
        <w:jc w:val="both"/>
        <w:rPr>
          <w:rFonts w:ascii="Times New Roman" w:hAnsi="Times New Roman" w:cs="Times New Roman"/>
          <w:b/>
          <w:bCs/>
          <w:sz w:val="24"/>
          <w:szCs w:val="24"/>
        </w:rPr>
      </w:pPr>
      <w:r w:rsidRPr="001B5D1F">
        <w:rPr>
          <w:rFonts w:ascii="Times New Roman" w:hAnsi="Times New Roman" w:cs="Times New Roman"/>
          <w:b/>
          <w:bCs/>
          <w:sz w:val="24"/>
          <w:szCs w:val="24"/>
        </w:rPr>
        <w:t>Collaboration and Alliances</w:t>
      </w:r>
    </w:p>
    <w:p w14:paraId="4A47F732" w14:textId="77777777" w:rsidR="00D657EA" w:rsidRPr="001B5D1F" w:rsidRDefault="00D657EA" w:rsidP="001B5D1F">
      <w:pPr>
        <w:pStyle w:val="ListParagraph"/>
        <w:numPr>
          <w:ilvl w:val="0"/>
          <w:numId w:val="49"/>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Collaborations with technology partners and research institutions strengthen Volvo's technology development.</w:t>
      </w:r>
    </w:p>
    <w:p w14:paraId="7EB90668" w14:textId="45E317CC" w:rsidR="00D657EA" w:rsidRPr="001B5D1F" w:rsidRDefault="00D657EA" w:rsidP="001B5D1F">
      <w:pPr>
        <w:pStyle w:val="ListParagraph"/>
        <w:numPr>
          <w:ilvl w:val="0"/>
          <w:numId w:val="49"/>
        </w:numPr>
        <w:spacing w:line="360" w:lineRule="auto"/>
        <w:jc w:val="both"/>
        <w:rPr>
          <w:rFonts w:ascii="Times New Roman" w:hAnsi="Times New Roman" w:cs="Times New Roman"/>
          <w:sz w:val="24"/>
          <w:szCs w:val="24"/>
        </w:rPr>
      </w:pPr>
      <w:r w:rsidRPr="001B5D1F">
        <w:rPr>
          <w:rFonts w:ascii="Times New Roman" w:hAnsi="Times New Roman" w:cs="Times New Roman"/>
          <w:sz w:val="24"/>
          <w:szCs w:val="24"/>
        </w:rPr>
        <w:t>Strategic partnerships could help leverage external expertise for innovation.</w:t>
      </w:r>
    </w:p>
    <w:p w14:paraId="211FDD5F" w14:textId="29155017" w:rsidR="0041621F" w:rsidRPr="0041621F" w:rsidRDefault="0041621F" w:rsidP="0041621F">
      <w:pPr>
        <w:pStyle w:val="Heading1"/>
      </w:pPr>
      <w:bookmarkStart w:id="13" w:name="_Toc144232064"/>
      <w:r w:rsidRPr="0041621F">
        <w:t>VRIO Analysis of Distinctive Resources and Capabilities</w:t>
      </w:r>
      <w:bookmarkEnd w:id="13"/>
    </w:p>
    <w:p w14:paraId="14362063" w14:textId="13F252AE" w:rsidR="00DD4A9E" w:rsidRPr="0041621F" w:rsidRDefault="00DD4A9E" w:rsidP="00EE52CD">
      <w:pPr>
        <w:spacing w:line="360" w:lineRule="auto"/>
        <w:jc w:val="both"/>
        <w:rPr>
          <w:rFonts w:ascii="Times New Roman" w:hAnsi="Times New Roman" w:cs="Times New Roman"/>
          <w:sz w:val="24"/>
          <w:szCs w:val="24"/>
        </w:rPr>
      </w:pPr>
      <w:r w:rsidRPr="0041621F">
        <w:rPr>
          <w:rFonts w:ascii="Times New Roman" w:hAnsi="Times New Roman" w:cs="Times New Roman"/>
          <w:sz w:val="24"/>
          <w:szCs w:val="24"/>
        </w:rPr>
        <w:t>VRIO analysis is a framework used to evaluate the competitive advantage of a company's resources and capabilities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{"citationItems":[{"id":"ITEM-1","itemData":{"author":[{"dropping-particle":"","family":"Waleed","given":"Eng","non-dropping-particle":"","parse-names":false,"suffix":""},{"dropping-particle":"","family":"Sultan","given":"Akhtar M","non-dropping-particle":"","parse-names":false,"suffix":""},{"dropping-particle":"","family":"Researcher","given":"Ph D","non-dropping-particle":"","parse-names":false,"suffix":""},{"dropping-particle":"","family":"Candidate","given":"D B A","non-dropping-particle":"","parse-names":false,"suffix":""}],"id":"ITEM-1","issue":"2","issued":{"date-parts":[["2023"]]},"page":"57-72","title":"VRIO Analysis Framework in Project Management ( PM ) Comprehensive Approach","type":"article-journal","volume":"12"},"uris":["http://www.mendeley.com/documents/?uuid=86902c55-0593-415f-bb7d-b0fa39a40d48"]}],"mendeley":{"formattedCitation":"(Waleed &lt;i&gt;et al.&lt;/i&gt;, 2023)","plainTextFormattedCitation":"(Waleed et al., 2023)","previouslyFormattedCitation":"(Waleed &lt;i&gt;et al.&lt;/i&gt;, 2023)"},"properties":{"noteIndex":0},"schema":"https://github.com/citation-style-language/schema/raw/master/csl-citation.json"}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 xml:space="preserve">(Waleed </w:t>
      </w:r>
      <w:r w:rsidR="00976508" w:rsidRPr="00976508">
        <w:rPr>
          <w:rFonts w:ascii="Times New Roman" w:hAnsi="Times New Roman" w:cs="Times New Roman"/>
          <w:i/>
          <w:noProof/>
          <w:sz w:val="24"/>
          <w:szCs w:val="24"/>
        </w:rPr>
        <w:t>et al.</w:t>
      </w:r>
      <w:r w:rsidR="00976508" w:rsidRPr="00976508">
        <w:rPr>
          <w:rFonts w:ascii="Times New Roman" w:hAnsi="Times New Roman" w:cs="Times New Roman"/>
          <w:noProof/>
          <w:sz w:val="24"/>
          <w:szCs w:val="24"/>
        </w:rPr>
        <w:t>, 2023)</w:t>
      </w:r>
      <w:r w:rsidR="00976508">
        <w:rPr>
          <w:rFonts w:ascii="Times New Roman" w:hAnsi="Times New Roman" w:cs="Times New Roman"/>
          <w:sz w:val="24"/>
          <w:szCs w:val="24"/>
        </w:rPr>
        <w:fldChar w:fldCharType="end"/>
      </w:r>
      <w:r w:rsidRPr="0041621F">
        <w:rPr>
          <w:rFonts w:ascii="Times New Roman" w:hAnsi="Times New Roman" w:cs="Times New Roman"/>
          <w:sz w:val="24"/>
          <w:szCs w:val="24"/>
        </w:rPr>
        <w:t>. VRIO stands for Value, Rarity, Imitability, and Organization.</w:t>
      </w:r>
    </w:p>
    <w:p w14:paraId="67C08D26" w14:textId="09DEAE3E" w:rsidR="00DD4A9E" w:rsidRPr="0041621F"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Distinctive Resources and Capabilities of Volvo:</w:t>
      </w:r>
    </w:p>
    <w:tbl>
      <w:tblPr>
        <w:tblStyle w:val="TableGrid"/>
        <w:tblW w:w="0" w:type="auto"/>
        <w:tblLook w:val="04A0" w:firstRow="1" w:lastRow="0" w:firstColumn="1" w:lastColumn="0" w:noHBand="0" w:noVBand="1"/>
      </w:tblPr>
      <w:tblGrid>
        <w:gridCol w:w="1536"/>
        <w:gridCol w:w="1589"/>
        <w:gridCol w:w="1408"/>
        <w:gridCol w:w="1409"/>
        <w:gridCol w:w="1603"/>
        <w:gridCol w:w="1471"/>
      </w:tblGrid>
      <w:tr w:rsidR="00DD4A9E" w:rsidRPr="00EE52CD" w14:paraId="67E5F353" w14:textId="77777777" w:rsidTr="0041621F">
        <w:tc>
          <w:tcPr>
            <w:tcW w:w="1502" w:type="dxa"/>
            <w:shd w:val="clear" w:color="auto" w:fill="E7E6E6" w:themeFill="background2"/>
          </w:tcPr>
          <w:p w14:paraId="76E3CE38"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lastRenderedPageBreak/>
              <w:t>Resource</w:t>
            </w:r>
          </w:p>
        </w:tc>
        <w:tc>
          <w:tcPr>
            <w:tcW w:w="1502" w:type="dxa"/>
            <w:shd w:val="clear" w:color="auto" w:fill="E7E6E6" w:themeFill="background2"/>
          </w:tcPr>
          <w:p w14:paraId="1C6B2E43"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Value</w:t>
            </w:r>
          </w:p>
        </w:tc>
        <w:tc>
          <w:tcPr>
            <w:tcW w:w="1503" w:type="dxa"/>
            <w:shd w:val="clear" w:color="auto" w:fill="E7E6E6" w:themeFill="background2"/>
          </w:tcPr>
          <w:p w14:paraId="56DA73D1"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Rarity</w:t>
            </w:r>
          </w:p>
        </w:tc>
        <w:tc>
          <w:tcPr>
            <w:tcW w:w="1503" w:type="dxa"/>
            <w:shd w:val="clear" w:color="auto" w:fill="E7E6E6" w:themeFill="background2"/>
          </w:tcPr>
          <w:p w14:paraId="1599EA9A"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Imitation</w:t>
            </w:r>
          </w:p>
        </w:tc>
        <w:tc>
          <w:tcPr>
            <w:tcW w:w="1503" w:type="dxa"/>
            <w:shd w:val="clear" w:color="auto" w:fill="E7E6E6" w:themeFill="background2"/>
          </w:tcPr>
          <w:p w14:paraId="4CC9C8F9"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Organization</w:t>
            </w:r>
          </w:p>
        </w:tc>
        <w:tc>
          <w:tcPr>
            <w:tcW w:w="1503" w:type="dxa"/>
            <w:shd w:val="clear" w:color="auto" w:fill="E7E6E6" w:themeFill="background2"/>
          </w:tcPr>
          <w:p w14:paraId="742FC6AE" w14:textId="77777777" w:rsidR="00DD4A9E" w:rsidRPr="00EE52CD" w:rsidRDefault="00DD4A9E"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Competitive Advantage</w:t>
            </w:r>
          </w:p>
        </w:tc>
      </w:tr>
      <w:tr w:rsidR="00DD4A9E" w:rsidRPr="00EE52CD" w14:paraId="72145251" w14:textId="77777777" w:rsidTr="00DD4A9E">
        <w:tc>
          <w:tcPr>
            <w:tcW w:w="1502" w:type="dxa"/>
          </w:tcPr>
          <w:p w14:paraId="7BB4A9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Access to Cheap Capital for Volvo</w:t>
            </w:r>
          </w:p>
        </w:tc>
        <w:tc>
          <w:tcPr>
            <w:tcW w:w="1502" w:type="dxa"/>
          </w:tcPr>
          <w:p w14:paraId="5CDA078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due to industry prominence and economic conditions</w:t>
            </w:r>
          </w:p>
        </w:tc>
        <w:tc>
          <w:tcPr>
            <w:tcW w:w="1503" w:type="dxa"/>
          </w:tcPr>
          <w:p w14:paraId="335F96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752102C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Can be replicated by competitors</w:t>
            </w:r>
          </w:p>
        </w:tc>
        <w:tc>
          <w:tcPr>
            <w:tcW w:w="1503" w:type="dxa"/>
          </w:tcPr>
          <w:p w14:paraId="0E75A4E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fully exploited</w:t>
            </w:r>
          </w:p>
        </w:tc>
        <w:tc>
          <w:tcPr>
            <w:tcW w:w="1503" w:type="dxa"/>
          </w:tcPr>
          <w:p w14:paraId="524311F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significant for competitive advantage</w:t>
            </w:r>
          </w:p>
        </w:tc>
      </w:tr>
      <w:tr w:rsidR="00DD4A9E" w:rsidRPr="00EE52CD" w14:paraId="2E59FAC9" w14:textId="77777777" w:rsidTr="00DD4A9E">
        <w:tc>
          <w:tcPr>
            <w:tcW w:w="1502" w:type="dxa"/>
          </w:tcPr>
          <w:p w14:paraId="10A6F2B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Customer Community of Volvo</w:t>
            </w:r>
          </w:p>
        </w:tc>
        <w:tc>
          <w:tcPr>
            <w:tcW w:w="1502" w:type="dxa"/>
          </w:tcPr>
          <w:p w14:paraId="6FBA827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customers co-create products</w:t>
            </w:r>
          </w:p>
        </w:tc>
        <w:tc>
          <w:tcPr>
            <w:tcW w:w="1503" w:type="dxa"/>
          </w:tcPr>
          <w:p w14:paraId="612AFDB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unique customer relationship</w:t>
            </w:r>
          </w:p>
        </w:tc>
        <w:tc>
          <w:tcPr>
            <w:tcW w:w="1503" w:type="dxa"/>
          </w:tcPr>
          <w:p w14:paraId="49545F9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Difficult for competitors to imitate</w:t>
            </w:r>
          </w:p>
        </w:tc>
        <w:tc>
          <w:tcPr>
            <w:tcW w:w="1503" w:type="dxa"/>
          </w:tcPr>
          <w:p w14:paraId="44E35B2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Untapped potential for growth</w:t>
            </w:r>
          </w:p>
        </w:tc>
        <w:tc>
          <w:tcPr>
            <w:tcW w:w="1503" w:type="dxa"/>
          </w:tcPr>
          <w:p w14:paraId="612D9FD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F4514C" w14:textId="77777777" w:rsidTr="00DD4A9E">
        <w:tc>
          <w:tcPr>
            <w:tcW w:w="1502" w:type="dxa"/>
          </w:tcPr>
          <w:p w14:paraId="4CF6B84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Attraction in Local &amp; Global Markets for Volvo</w:t>
            </w:r>
          </w:p>
        </w:tc>
        <w:tc>
          <w:tcPr>
            <w:tcW w:w="1502" w:type="dxa"/>
          </w:tcPr>
          <w:p w14:paraId="30084BA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integral to innovation and localization</w:t>
            </w:r>
          </w:p>
        </w:tc>
        <w:tc>
          <w:tcPr>
            <w:tcW w:w="1503" w:type="dxa"/>
          </w:tcPr>
          <w:p w14:paraId="494BAAB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critical for growth</w:t>
            </w:r>
          </w:p>
        </w:tc>
        <w:tc>
          <w:tcPr>
            <w:tcW w:w="1503" w:type="dxa"/>
          </w:tcPr>
          <w:p w14:paraId="76E15F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Hard for competitors to replicate</w:t>
            </w:r>
          </w:p>
        </w:tc>
        <w:tc>
          <w:tcPr>
            <w:tcW w:w="1503" w:type="dxa"/>
          </w:tcPr>
          <w:p w14:paraId="3F1DCC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To a large extent</w:t>
            </w:r>
          </w:p>
        </w:tc>
        <w:tc>
          <w:tcPr>
            <w:tcW w:w="1503" w:type="dxa"/>
          </w:tcPr>
          <w:p w14:paraId="754681F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3BB7FCBB" w14:textId="77777777" w:rsidTr="00DD4A9E">
        <w:tc>
          <w:tcPr>
            <w:tcW w:w="1502" w:type="dxa"/>
          </w:tcPr>
          <w:p w14:paraId="33DF9A9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Sales Force and Channel Management of Volvo</w:t>
            </w:r>
          </w:p>
        </w:tc>
        <w:tc>
          <w:tcPr>
            <w:tcW w:w="1502" w:type="dxa"/>
          </w:tcPr>
          <w:p w14:paraId="24396AD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9C5975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C4BFCD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Can be imitated by competitors</w:t>
            </w:r>
          </w:p>
        </w:tc>
        <w:tc>
          <w:tcPr>
            <w:tcW w:w="1503" w:type="dxa"/>
          </w:tcPr>
          <w:p w14:paraId="4A3061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 for improvement</w:t>
            </w:r>
          </w:p>
        </w:tc>
        <w:tc>
          <w:tcPr>
            <w:tcW w:w="1503" w:type="dxa"/>
          </w:tcPr>
          <w:p w14:paraId="3D13CD4E"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r w:rsidR="00DD4A9E" w:rsidRPr="00EE52CD" w14:paraId="1D3F3BB6" w14:textId="77777777" w:rsidTr="00DD4A9E">
        <w:tc>
          <w:tcPr>
            <w:tcW w:w="1502" w:type="dxa"/>
          </w:tcPr>
          <w:p w14:paraId="1C67722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Global and Local Presence of Volvo</w:t>
            </w:r>
          </w:p>
        </w:tc>
        <w:tc>
          <w:tcPr>
            <w:tcW w:w="1502" w:type="dxa"/>
          </w:tcPr>
          <w:p w14:paraId="4792B19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diversifies revenue streams, stabilizes cycles</w:t>
            </w:r>
          </w:p>
        </w:tc>
        <w:tc>
          <w:tcPr>
            <w:tcW w:w="1503" w:type="dxa"/>
          </w:tcPr>
          <w:p w14:paraId="61B4820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4EDA7B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at high cost</w:t>
            </w:r>
          </w:p>
        </w:tc>
        <w:tc>
          <w:tcPr>
            <w:tcW w:w="1503" w:type="dxa"/>
          </w:tcPr>
          <w:p w14:paraId="0C4777B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Industry-leading diversification</w:t>
            </w:r>
          </w:p>
        </w:tc>
        <w:tc>
          <w:tcPr>
            <w:tcW w:w="1503" w:type="dxa"/>
          </w:tcPr>
          <w:p w14:paraId="2CC85A5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2C108220" w14:textId="77777777" w:rsidTr="00DD4A9E">
        <w:tc>
          <w:tcPr>
            <w:tcW w:w="1502" w:type="dxa"/>
          </w:tcPr>
          <w:p w14:paraId="1DE28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Extension Opportunities for Volvo products</w:t>
            </w:r>
          </w:p>
        </w:tc>
        <w:tc>
          <w:tcPr>
            <w:tcW w:w="1502" w:type="dxa"/>
          </w:tcPr>
          <w:p w14:paraId="16B2E8C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emerging niches</w:t>
            </w:r>
          </w:p>
        </w:tc>
        <w:tc>
          <w:tcPr>
            <w:tcW w:w="1503" w:type="dxa"/>
          </w:tcPr>
          <w:p w14:paraId="689868C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9F7FE9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79EDF8E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Requires higher marketing budget</w:t>
            </w:r>
          </w:p>
        </w:tc>
        <w:tc>
          <w:tcPr>
            <w:tcW w:w="1503" w:type="dxa"/>
          </w:tcPr>
          <w:p w14:paraId="3973D71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7A42B024" w14:textId="77777777" w:rsidTr="00DD4A9E">
        <w:tc>
          <w:tcPr>
            <w:tcW w:w="1502" w:type="dxa"/>
          </w:tcPr>
          <w:p w14:paraId="105CD28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Vision of Leadership for Next Challenges</w:t>
            </w:r>
          </w:p>
        </w:tc>
        <w:tc>
          <w:tcPr>
            <w:tcW w:w="1502" w:type="dxa"/>
          </w:tcPr>
          <w:p w14:paraId="5404604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6EE4D3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3F155DD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imitable by competitors</w:t>
            </w:r>
          </w:p>
        </w:tc>
        <w:tc>
          <w:tcPr>
            <w:tcW w:w="1503" w:type="dxa"/>
          </w:tcPr>
          <w:p w14:paraId="31BE150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Information unavailable</w:t>
            </w:r>
          </w:p>
        </w:tc>
        <w:tc>
          <w:tcPr>
            <w:tcW w:w="1503" w:type="dxa"/>
          </w:tcPr>
          <w:p w14:paraId="6439035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Strong competitive advantage</w:t>
            </w:r>
          </w:p>
        </w:tc>
      </w:tr>
      <w:tr w:rsidR="00DD4A9E" w:rsidRPr="00EE52CD" w14:paraId="0F29EB82" w14:textId="77777777" w:rsidTr="00DD4A9E">
        <w:tc>
          <w:tcPr>
            <w:tcW w:w="1502" w:type="dxa"/>
          </w:tcPr>
          <w:p w14:paraId="6B6C5F7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Marketing Expertise within Volvo</w:t>
            </w:r>
          </w:p>
        </w:tc>
        <w:tc>
          <w:tcPr>
            <w:tcW w:w="1502" w:type="dxa"/>
          </w:tcPr>
          <w:p w14:paraId="37976B5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industry differentiation</w:t>
            </w:r>
          </w:p>
        </w:tc>
        <w:tc>
          <w:tcPr>
            <w:tcW w:w="1503" w:type="dxa"/>
          </w:tcPr>
          <w:p w14:paraId="46FCCB7B"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B170B5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have good marketing expertise</w:t>
            </w:r>
          </w:p>
        </w:tc>
        <w:tc>
          <w:tcPr>
            <w:tcW w:w="1503" w:type="dxa"/>
          </w:tcPr>
          <w:p w14:paraId="6E1B0AC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Leveraging both in-house and external expertise</w:t>
            </w:r>
          </w:p>
        </w:tc>
        <w:tc>
          <w:tcPr>
            <w:tcW w:w="1503" w:type="dxa"/>
          </w:tcPr>
          <w:p w14:paraId="1E787B9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2009813D" w14:textId="77777777" w:rsidTr="00DD4A9E">
        <w:tc>
          <w:tcPr>
            <w:tcW w:w="1502" w:type="dxa"/>
          </w:tcPr>
          <w:p w14:paraId="563C8EA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Portfolio Synergy among Various Lines of Volvo</w:t>
            </w:r>
          </w:p>
        </w:tc>
        <w:tc>
          <w:tcPr>
            <w:tcW w:w="1502" w:type="dxa"/>
          </w:tcPr>
          <w:p w14:paraId="6C3A626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 caters to diverse preferences</w:t>
            </w:r>
          </w:p>
        </w:tc>
        <w:tc>
          <w:tcPr>
            <w:tcW w:w="1503" w:type="dxa"/>
          </w:tcPr>
          <w:p w14:paraId="16DD13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Competitors seeking entry into lucrative areas</w:t>
            </w:r>
          </w:p>
        </w:tc>
        <w:tc>
          <w:tcPr>
            <w:tcW w:w="1503" w:type="dxa"/>
          </w:tcPr>
          <w:p w14:paraId="3A4CB2E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B781A31"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Effective utilization, constant innovation</w:t>
            </w:r>
          </w:p>
        </w:tc>
        <w:tc>
          <w:tcPr>
            <w:tcW w:w="1503" w:type="dxa"/>
          </w:tcPr>
          <w:p w14:paraId="39918E3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Short-term competitive advantage</w:t>
            </w:r>
          </w:p>
        </w:tc>
      </w:tr>
      <w:tr w:rsidR="00DD4A9E" w:rsidRPr="00EE52CD" w14:paraId="0CF05464" w14:textId="77777777" w:rsidTr="00DD4A9E">
        <w:tc>
          <w:tcPr>
            <w:tcW w:w="1502" w:type="dxa"/>
          </w:tcPr>
          <w:p w14:paraId="27AFCFE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Brand Positioning vs Competitors</w:t>
            </w:r>
          </w:p>
        </w:tc>
        <w:tc>
          <w:tcPr>
            <w:tcW w:w="1502" w:type="dxa"/>
          </w:tcPr>
          <w:p w14:paraId="1EC7F3D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77E1480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1896249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with significant marketing budget</w:t>
            </w:r>
          </w:p>
        </w:tc>
        <w:tc>
          <w:tcPr>
            <w:tcW w:w="1503" w:type="dxa"/>
          </w:tcPr>
          <w:p w14:paraId="53069716" w14:textId="4776164B"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Based on consumer behaviour</w:t>
            </w:r>
          </w:p>
        </w:tc>
        <w:tc>
          <w:tcPr>
            <w:tcW w:w="1503" w:type="dxa"/>
          </w:tcPr>
          <w:p w14:paraId="3EDF05D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Temporary competitive advantage</w:t>
            </w:r>
          </w:p>
        </w:tc>
      </w:tr>
      <w:tr w:rsidR="00DD4A9E" w:rsidRPr="00EE52CD" w14:paraId="1CFEDE14" w14:textId="77777777" w:rsidTr="00DD4A9E">
        <w:tc>
          <w:tcPr>
            <w:tcW w:w="1502" w:type="dxa"/>
          </w:tcPr>
          <w:p w14:paraId="7AE22BC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Opportunities in Adjacent Industries for Volvo</w:t>
            </w:r>
          </w:p>
        </w:tc>
        <w:tc>
          <w:tcPr>
            <w:tcW w:w="1502" w:type="dxa"/>
          </w:tcPr>
          <w:p w14:paraId="51B6A55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Valuable for new revenue streams</w:t>
            </w:r>
          </w:p>
        </w:tc>
        <w:tc>
          <w:tcPr>
            <w:tcW w:w="1503" w:type="dxa"/>
          </w:tcPr>
          <w:p w14:paraId="66F20D63"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6EF888C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4FA4E149"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Underutilized capabilities</w:t>
            </w:r>
          </w:p>
        </w:tc>
        <w:tc>
          <w:tcPr>
            <w:tcW w:w="1503" w:type="dxa"/>
          </w:tcPr>
          <w:p w14:paraId="03638C0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Potential</w:t>
            </w:r>
          </w:p>
        </w:tc>
      </w:tr>
      <w:tr w:rsidR="00DD4A9E" w:rsidRPr="00EE52CD" w14:paraId="3098BB5C" w14:textId="77777777" w:rsidTr="00DD4A9E">
        <w:tc>
          <w:tcPr>
            <w:tcW w:w="1502" w:type="dxa"/>
          </w:tcPr>
          <w:p w14:paraId="789A6554"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Talent for Regulatory and Legal Obligations for Volvo</w:t>
            </w:r>
          </w:p>
        </w:tc>
        <w:tc>
          <w:tcPr>
            <w:tcW w:w="1502" w:type="dxa"/>
          </w:tcPr>
          <w:p w14:paraId="562E2CF8"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447FFDD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7D39C91D"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2CE55D97"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Essential competence</w:t>
            </w:r>
          </w:p>
        </w:tc>
        <w:tc>
          <w:tcPr>
            <w:tcW w:w="1503" w:type="dxa"/>
          </w:tcPr>
          <w:p w14:paraId="76442DA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Not critical factor</w:t>
            </w:r>
          </w:p>
        </w:tc>
      </w:tr>
      <w:tr w:rsidR="00DD4A9E" w:rsidRPr="00EE52CD" w14:paraId="118B4D8D" w14:textId="77777777" w:rsidTr="00DD4A9E">
        <w:tc>
          <w:tcPr>
            <w:tcW w:w="1502" w:type="dxa"/>
          </w:tcPr>
          <w:p w14:paraId="6E5881C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Financial Resources of Volvo</w:t>
            </w:r>
          </w:p>
        </w:tc>
        <w:tc>
          <w:tcPr>
            <w:tcW w:w="1502" w:type="dxa"/>
          </w:tcPr>
          <w:p w14:paraId="54778276"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07D4DAB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No</w:t>
            </w:r>
          </w:p>
        </w:tc>
        <w:tc>
          <w:tcPr>
            <w:tcW w:w="1503" w:type="dxa"/>
          </w:tcPr>
          <w:p w14:paraId="0BD6420C"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Accessible to nearest competitors</w:t>
            </w:r>
          </w:p>
        </w:tc>
        <w:tc>
          <w:tcPr>
            <w:tcW w:w="1503" w:type="dxa"/>
          </w:tcPr>
          <w:p w14:paraId="35B06B00"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sound financial position</w:t>
            </w:r>
          </w:p>
        </w:tc>
        <w:tc>
          <w:tcPr>
            <w:tcW w:w="1503" w:type="dxa"/>
          </w:tcPr>
          <w:p w14:paraId="4C05B20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Relatively sustainable competitive advantage</w:t>
            </w:r>
          </w:p>
        </w:tc>
      </w:tr>
      <w:tr w:rsidR="00DD4A9E" w:rsidRPr="00EE52CD" w14:paraId="34587BC7" w14:textId="77777777" w:rsidTr="00DD4A9E">
        <w:tc>
          <w:tcPr>
            <w:tcW w:w="1502" w:type="dxa"/>
          </w:tcPr>
          <w:p w14:paraId="282AC4A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lastRenderedPageBreak/>
              <w:t>Access to Critical Raw Material for Successful Execution</w:t>
            </w:r>
          </w:p>
        </w:tc>
        <w:tc>
          <w:tcPr>
            <w:tcW w:w="1502" w:type="dxa"/>
          </w:tcPr>
          <w:p w14:paraId="0BC64D5A"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519228A5"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Yes</w:t>
            </w:r>
          </w:p>
        </w:tc>
        <w:tc>
          <w:tcPr>
            <w:tcW w:w="1503" w:type="dxa"/>
          </w:tcPr>
          <w:p w14:paraId="6F2E2F8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Imitable by competitors</w:t>
            </w:r>
          </w:p>
        </w:tc>
        <w:tc>
          <w:tcPr>
            <w:tcW w:w="1503" w:type="dxa"/>
          </w:tcPr>
          <w:p w14:paraId="59E3772F"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Leveraged dominance</w:t>
            </w:r>
          </w:p>
        </w:tc>
        <w:tc>
          <w:tcPr>
            <w:tcW w:w="1503" w:type="dxa"/>
          </w:tcPr>
          <w:p w14:paraId="06603832" w14:textId="77777777" w:rsidR="00DD4A9E" w:rsidRPr="00EE52CD" w:rsidRDefault="00DD4A9E"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Sustainable competitive advantage</w:t>
            </w:r>
          </w:p>
        </w:tc>
      </w:tr>
    </w:tbl>
    <w:p w14:paraId="331E65F2" w14:textId="77CFB871" w:rsidR="00DD4A9E" w:rsidRPr="00EE52CD" w:rsidRDefault="00DD4A9E" w:rsidP="00EE52CD">
      <w:pPr>
        <w:spacing w:line="360" w:lineRule="auto"/>
        <w:jc w:val="both"/>
        <w:rPr>
          <w:rFonts w:ascii="Times New Roman" w:hAnsi="Times New Roman" w:cs="Times New Roman"/>
          <w:sz w:val="24"/>
          <w:szCs w:val="24"/>
        </w:rPr>
      </w:pPr>
    </w:p>
    <w:p w14:paraId="1BE764CA" w14:textId="62BAC5F2" w:rsidR="00BD66C6" w:rsidRPr="00EE52CD" w:rsidRDefault="00BD66C6" w:rsidP="0041621F">
      <w:pPr>
        <w:pStyle w:val="Heading1"/>
      </w:pPr>
      <w:bookmarkStart w:id="14" w:name="_Toc144232065"/>
      <w:r w:rsidRPr="00EE52CD">
        <w:t>SWOT</w:t>
      </w:r>
      <w:r w:rsidR="0041621F">
        <w:t xml:space="preserve"> Analysis</w:t>
      </w:r>
      <w:bookmarkEnd w:id="14"/>
    </w:p>
    <w:p w14:paraId="6556F517" w14:textId="52CDC96F" w:rsidR="00B76DED" w:rsidRDefault="00B76DED" w:rsidP="00EE52CD">
      <w:pPr>
        <w:spacing w:line="360" w:lineRule="auto"/>
        <w:jc w:val="both"/>
        <w:rPr>
          <w:rFonts w:ascii="Times New Roman" w:hAnsi="Times New Roman" w:cs="Times New Roman"/>
          <w:b/>
          <w:bCs/>
          <w:sz w:val="24"/>
          <w:szCs w:val="24"/>
        </w:rPr>
      </w:pPr>
      <w:r w:rsidRPr="00B76DED">
        <w:rPr>
          <w:rFonts w:ascii="Times New Roman" w:hAnsi="Times New Roman" w:cs="Times New Roman"/>
          <w:b/>
          <w:bCs/>
          <w:noProof/>
          <w:sz w:val="24"/>
          <w:szCs w:val="24"/>
        </w:rPr>
        <w:drawing>
          <wp:inline distT="0" distB="0" distL="0" distR="0" wp14:anchorId="3BB59984" wp14:editId="67E1F0C5">
            <wp:extent cx="5731510" cy="3353435"/>
            <wp:effectExtent l="0" t="0" r="0" b="0"/>
            <wp:docPr id="5" name="Picture 2" descr="A screenshot of a computer screen&#10;&#10;Description automatically generated">
              <a:extLst xmlns:a="http://schemas.openxmlformats.org/drawingml/2006/main">
                <a:ext uri="{FF2B5EF4-FFF2-40B4-BE49-F238E27FC236}">
                  <a16:creationId xmlns:a16="http://schemas.microsoft.com/office/drawing/2014/main" id="{8A037D7F-6DF8-4D46-AAC5-A2CBF38162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screenshot of a computer screen&#10;&#10;Description automatically generated">
                      <a:extLst>
                        <a:ext uri="{FF2B5EF4-FFF2-40B4-BE49-F238E27FC236}">
                          <a16:creationId xmlns:a16="http://schemas.microsoft.com/office/drawing/2014/main" id="{8A037D7F-6DF8-4D46-AAC5-A2CBF3816261}"/>
                        </a:ext>
                      </a:extLst>
                    </pic:cNvPr>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p w14:paraId="2B90979D" w14:textId="1ABB54D7"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4</w:t>
      </w:r>
      <w:r w:rsidRPr="00B76DED">
        <w:rPr>
          <w:rFonts w:ascii="Times New Roman" w:hAnsi="Times New Roman" w:cs="Times New Roman"/>
          <w:b/>
          <w:bCs/>
          <w:i/>
          <w:iCs/>
          <w:sz w:val="24"/>
          <w:szCs w:val="24"/>
        </w:rPr>
        <w:t>)</w:t>
      </w:r>
    </w:p>
    <w:p w14:paraId="0A033DBA" w14:textId="4554E80C" w:rsidR="00BD66C6" w:rsidRPr="00EE52CD" w:rsidRDefault="00BD66C6"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Strengths</w:t>
      </w:r>
    </w:p>
    <w:p w14:paraId="426E4751" w14:textId="62CCD638"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Safety Reputation:</w:t>
      </w:r>
      <w:r w:rsidRPr="00EE52CD">
        <w:rPr>
          <w:rFonts w:ascii="Times New Roman" w:hAnsi="Times New Roman" w:cs="Times New Roman"/>
          <w:sz w:val="24"/>
          <w:szCs w:val="24"/>
        </w:rPr>
        <w:t xml:space="preserve"> Volvo is renowned for its commitment to safety, and this reputation is a significant strength. The company has consistently introduced innovative safety technologies that have set industry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Trucks","given":"Volvo","non-dropping-particle":"","parse-names":false,"suffix":""},{"dropping-particle":"","family":"Accounting","given":"International","non-dropping-particle":"","parse-names":false,"suffix":""},{"dropping-particle":"","family":"Vol","given":"I","non-dropping-particle":"","parse-names":false,"suffix":""},{"dropping-particle":"","family":"Issue","given":"I","non-dropping-particle":"","parse-names":false,"suffix":""},{"dropping-particle":"","family":"Ssbb","given":"Cert","non-dropping-particle":"","parse-names":false,"suffix":""},{"dropping-particle":"","family":"Sc","given":"M","non-dropping-particle":"","parse-names":false,"suffix":""},{"dropping-particle":"","family":"Accounting","given":"Ph D","non-dropping-particle":"","parse-names":false,"suffix":""}],"id":"ITEM-1","issue":"I","issued":{"date-parts":[["2014"]]},"title":"Ferdinand Enoayuk Abangma Management","type":"article-journal","volume":"I"},"uris":["http://www.mendeley.com/documents/?uuid=92a72f7c-a645-4fc0-b7d5-89fa8386aea7"]}],"mendeley":{"formattedCitation":"(Trucks &lt;i&gt;et al.&lt;/i&gt;, 2014)","plainTextFormattedCitation":"(Trucks et al., 2014)","previouslyFormattedCitation":"(Trucks &lt;i&gt;et al.&lt;/i&gt;,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(Trucks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32FDC18" w14:textId="2D450930"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Strong Brand Identity:</w:t>
      </w:r>
      <w:r w:rsidRPr="00EE52CD">
        <w:rPr>
          <w:rFonts w:ascii="Times New Roman" w:hAnsi="Times New Roman" w:cs="Times New Roman"/>
          <w:sz w:val="24"/>
          <w:szCs w:val="24"/>
        </w:rPr>
        <w:t xml:space="preserve"> Volvo has a strong brand identity associated with quality, durability, and safety. This identity helps attract loyal customers who prioritize these attributes.</w:t>
      </w:r>
    </w:p>
    <w:p w14:paraId="09555927" w14:textId="38A9A252"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Innovation and Technology:</w:t>
      </w:r>
      <w:r w:rsidRPr="00EE52CD">
        <w:rPr>
          <w:rFonts w:ascii="Times New Roman" w:hAnsi="Times New Roman" w:cs="Times New Roman"/>
          <w:sz w:val="24"/>
          <w:szCs w:val="24"/>
        </w:rPr>
        <w:t xml:space="preserve"> Volvo has been a pioneer in introducing innovative technologies in its vehicles, including electric and autonomous driving capabilities. This helps the company stay ahead in a rapidly evolving automotive landscape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study","type":"article-journal","volume":"24"},"uris":["http://www.mendeley.com/documents/?uuid=15967c88-c153-4b04-9c0e-de36b5628060"]}],"mendeley":{"formattedCitation":"(Stylidis &lt;i&gt;et al.&lt;/i&gt;, 2020)","plainTextFormattedCitation":"(Stylidis et al., 2020)","previouslyFormattedCitation":"(Stylidis &lt;i&gt;et al.&lt;/i&gt;,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(Stylidis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06F7DC6" w14:textId="6A8EA82C"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lastRenderedPageBreak/>
        <w:t>Diverse Product Range:</w:t>
      </w:r>
      <w:r w:rsidRPr="00EE52CD">
        <w:rPr>
          <w:rFonts w:ascii="Times New Roman" w:hAnsi="Times New Roman" w:cs="Times New Roman"/>
          <w:sz w:val="24"/>
          <w:szCs w:val="24"/>
        </w:rPr>
        <w:t xml:space="preserve"> The company offers a wide range of vehicles, including sedans, SUVs, and trucks, catering to different segments of the market and diversifying its revenue streams.</w:t>
      </w:r>
    </w:p>
    <w:p w14:paraId="003901BB" w14:textId="77777777"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Global Presence:</w:t>
      </w:r>
      <w:r w:rsidRPr="00EE52CD">
        <w:rPr>
          <w:rFonts w:ascii="Times New Roman" w:hAnsi="Times New Roman" w:cs="Times New Roman"/>
          <w:sz w:val="24"/>
          <w:szCs w:val="24"/>
        </w:rPr>
        <w:t xml:space="preserve"> Volvo has a global presence, with manufacturing facilities, sales, and service networks across various regions, which enables it to tap into diverse markets.</w:t>
      </w:r>
    </w:p>
    <w:p w14:paraId="1C9E1F23" w14:textId="6619102E" w:rsidR="00BD66C6" w:rsidRPr="00976508" w:rsidRDefault="00BD66C6" w:rsidP="00EE52CD">
      <w:pPr>
        <w:spacing w:line="360" w:lineRule="auto"/>
        <w:jc w:val="both"/>
        <w:rPr>
          <w:rFonts w:ascii="Times New Roman" w:hAnsi="Times New Roman" w:cs="Times New Roman"/>
          <w:b/>
          <w:bCs/>
          <w:sz w:val="26"/>
          <w:szCs w:val="26"/>
        </w:rPr>
      </w:pPr>
      <w:r w:rsidRPr="00976508">
        <w:rPr>
          <w:rFonts w:ascii="Times New Roman" w:hAnsi="Times New Roman" w:cs="Times New Roman"/>
          <w:b/>
          <w:bCs/>
          <w:sz w:val="26"/>
          <w:szCs w:val="26"/>
        </w:rPr>
        <w:t>Weaknesses</w:t>
      </w:r>
    </w:p>
    <w:p w14:paraId="722F37B8" w14:textId="2A9F9A6A"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High Costs:</w:t>
      </w:r>
      <w:r w:rsidRPr="00EE52CD">
        <w:rPr>
          <w:rFonts w:ascii="Times New Roman" w:hAnsi="Times New Roman" w:cs="Times New Roman"/>
          <w:sz w:val="24"/>
          <w:szCs w:val="24"/>
        </w:rPr>
        <w:t xml:space="preserve"> Volvo's commitment to safety and innovation can lead to higher production and research costs, which could affect its price competitiveness in some market segments.</w:t>
      </w:r>
    </w:p>
    <w:p w14:paraId="06ECDAE8" w14:textId="2F2E9F3C"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Dependence on Specific Markets:</w:t>
      </w:r>
      <w:r w:rsidRPr="00EE52CD">
        <w:rPr>
          <w:rFonts w:ascii="Times New Roman" w:hAnsi="Times New Roman" w:cs="Times New Roman"/>
          <w:sz w:val="24"/>
          <w:szCs w:val="24"/>
        </w:rPr>
        <w:t xml:space="preserve"> Volvo's sales are heavily dependent on certain markets, which can expose the company to economic fluctuations and regulatory changes in those regions.</w:t>
      </w:r>
    </w:p>
    <w:p w14:paraId="7C42CEE4" w14:textId="5BEE0E48"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Limited Marketing:</w:t>
      </w:r>
      <w:r w:rsidRPr="00EE52CD">
        <w:rPr>
          <w:rFonts w:ascii="Times New Roman" w:hAnsi="Times New Roman" w:cs="Times New Roman"/>
          <w:sz w:val="24"/>
          <w:szCs w:val="24"/>
        </w:rPr>
        <w:t xml:space="preserve"> Compared to some competitors, Volvo's marketing efforts might be perceived as less aggressive, potentially limiting its brand visibility, especially in highly competitive markets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{"citationItems":[{"id":"ITEM-1","itemData":{"DOI":"10.1016/S0304-405X(98)00046-4","ISSN":"0304405X","abstract":"Volvo's attempt to merge with Renault in 1993 temporarily destroyed SEK 8.6 billion (US$ 1.1 billion) in Volvo shareholder wealth. This study traces the destruction to hubris, managerialism, and the escalation of commitment - elements suggested in previous research. In addition, the case suggests path dependence as a source of wealth destruction in mergers. An elaborate structure of cross-shareholdings, joint committees, and a poison pill made it difficult for the strategic allies (Volvo and Renault) to follow any strategic path other than merger if they wanted to exploit economies more fully. Activism by institutional investors was instrumental in halting the destruction of shareholder wealth and redirecting the firm. This study reveals significant positive abnormal returns associated with the institutional activism. Consistent with , institutional 'jawboning' is valuable. An analysis of the voting premium between Volvo's 'A' and 'B' shares suggests that the value created by institutional voice derived from the strategic change in the firm's direction rather than the power of the coalition of institutional investors to expropriate wealth.","author":[{"dropping-particle":"","family":"Bruner","given":"Robert F.","non-dropping-particle":"","parse-names":false,"suffix":""}],"container-title":"Journal of Financial Economics","id":"ITEM-1","issue":"1","issued":{"date-parts":[["1999"]]},"page":"125-166","title":"An analysis of value destruction and recovery in the alliance and proposed merger of Volvo and Renault","type":"article-journal","volume":"51"},"uris":["http://www.mendeley.com/documents/?uuid=ce46a303-40e0-4b2e-b8d6-2a8d97cf538e"]}],"mendeley":{"formattedCitation":"(Bruner, 1999)","plainTextFormattedCitation":"(Bruner, 1999)","previouslyFormattedCitation":"(Bruner, 1999)"},"properties":{"noteIndex":0},"schema":"https://github.com/citation-style-language/schema/raw/master/csl-citation.json"}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(Bruner, 1999)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127B58E" w14:textId="20F37BB0"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Dependency on Suppliers:</w:t>
      </w:r>
      <w:r w:rsidRPr="00EE52CD">
        <w:rPr>
          <w:rFonts w:ascii="Times New Roman" w:hAnsi="Times New Roman" w:cs="Times New Roman"/>
          <w:sz w:val="24"/>
          <w:szCs w:val="24"/>
        </w:rPr>
        <w:t xml:space="preserve"> Like other automotive manufacturers, Volvo relies on a complex network of suppliers. Any disruption in the supply chain could impact production and sales.</w:t>
      </w:r>
    </w:p>
    <w:p w14:paraId="5574A39D" w14:textId="5B9C9456" w:rsidR="00BD66C6" w:rsidRPr="00976508" w:rsidRDefault="00BD66C6" w:rsidP="00EE52CD">
      <w:pPr>
        <w:spacing w:line="360" w:lineRule="auto"/>
        <w:jc w:val="both"/>
        <w:rPr>
          <w:rFonts w:ascii="Times New Roman" w:hAnsi="Times New Roman" w:cs="Times New Roman"/>
          <w:b/>
          <w:bCs/>
          <w:sz w:val="26"/>
          <w:szCs w:val="26"/>
        </w:rPr>
      </w:pPr>
      <w:r w:rsidRPr="00976508">
        <w:rPr>
          <w:rFonts w:ascii="Times New Roman" w:hAnsi="Times New Roman" w:cs="Times New Roman"/>
          <w:b/>
          <w:bCs/>
          <w:sz w:val="26"/>
          <w:szCs w:val="26"/>
        </w:rPr>
        <w:t>Opportunities</w:t>
      </w:r>
    </w:p>
    <w:p w14:paraId="301D17B6" w14:textId="37631812"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Growing Electric Vehicle Market:</w:t>
      </w:r>
      <w:r w:rsidRPr="00EE52CD">
        <w:rPr>
          <w:rFonts w:ascii="Times New Roman" w:hAnsi="Times New Roman" w:cs="Times New Roman"/>
          <w:sz w:val="24"/>
          <w:szCs w:val="24"/>
        </w:rPr>
        <w:t xml:space="preserve"> Volvo has the opportunity to capitalize on the growing demand for electric vehicles by expanding its EV lineup and leveraging its technological expertise in this area</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Pazirandeh","given":"Ala","non-dropping-particle":"","parse-names":false,"suffix":""},{"dropping-particle":"","family":"Mattsson","given":"Sandra","non-dropping-particle":"","parse-names":false,"suffix":""}],"id":"ITEM-1","issue":"2","issued":{"date-parts":[["2009"]]},"title":"Supply Chain Development within Volvo Penta Chain Development through Supplier Relationship Improvement","type":"article-journal"},"uris":["http://www.mendeley.com/documents/?uuid=7a181ae1-007d-41be-a9e1-bce04ca62a74"]}],"mendeley":{"formattedCitation":"(Pazirandeh and Mattsson, 2009)","plainTextFormattedCitation":"(Pazirandeh and Mattsson, 2009)","previouslyFormattedCitation":"(Pazirandeh and Mattsson, 2009)"},"properties":{"noteIndex":0},"schema":"https://github.com/citation-style-language/schema/raw/master/csl-citation.json"}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(Pazirandeh and Mattsson, 2009)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59E6CC8" w14:textId="06AF2C1C"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Autonomous Driving:</w:t>
      </w:r>
      <w:r w:rsidRPr="00EE52CD">
        <w:rPr>
          <w:rFonts w:ascii="Times New Roman" w:hAnsi="Times New Roman" w:cs="Times New Roman"/>
          <w:sz w:val="24"/>
          <w:szCs w:val="24"/>
        </w:rPr>
        <w:t xml:space="preserve"> With its focus on safety and technology, Volvo can take advantage of the development of autonomous driving systems and position itself as a leader in this emerging field.</w:t>
      </w:r>
    </w:p>
    <w:p w14:paraId="18212E00" w14:textId="0F80229F"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Sustainability Trend:</w:t>
      </w:r>
      <w:r w:rsidRPr="00EE52CD">
        <w:rPr>
          <w:rFonts w:ascii="Times New Roman" w:hAnsi="Times New Roman" w:cs="Times New Roman"/>
          <w:sz w:val="24"/>
          <w:szCs w:val="24"/>
        </w:rPr>
        <w:t xml:space="preserve"> Volvo can align with the increasing consumer preference for sustainable products by continuing to develop environmentally friendly vehicles and production processes.</w:t>
      </w:r>
    </w:p>
    <w:p w14:paraId="171A1EEC" w14:textId="191466A4"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Expansion in Emerging Markets:</w:t>
      </w:r>
      <w:r w:rsidRPr="00EE52CD">
        <w:rPr>
          <w:rFonts w:ascii="Times New Roman" w:hAnsi="Times New Roman" w:cs="Times New Roman"/>
          <w:sz w:val="24"/>
          <w:szCs w:val="24"/>
        </w:rPr>
        <w:t xml:space="preserve"> The company can explore expansion into emerging markets, where there might be growing demand for premium vehicles and less competition</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-3-319-54133-4_5","ISBN":"978-3-319-54132-7","author":[{"dropping-particle":"","family":"Gu","given":"William","non-dropping-particle":"","parse-names":false,"suffix":""},{"dropping-particle":"","family":"Thome","given":"Albert","non-dropping-particle":"","parse-names":false,"suffix":""},{"dropping-particle":"","family":"Alicke","given":"Knut","non-dropping-particle":"","parse-names":false,"suffix":""},{"dropping-particle":"","family":"Haller","given":"Ines","non-dropping-particle":"","parse-names":false,"suffix":""},{"dropping-particle":"","family":"Protopappa-Sieke","given":"Margarita","non-dropping-particle":"","parse-names":false,"suffix":""}],"container-title":"Supply Chain Segmentation: Best-in-Class Cases, Practical Insights and Foundations","id":"ITEM-1","issued":{"date-parts":[["2017","3","10"]]},"page":"37-46","title":"The Supply Chain Segmentation Journey of Volvo CE","type":"chapter"},"uris":["http://www.mendeley.com/documents/?uuid=b16d7243-ab4e-44ee-ae3b-5588182eddb3"]}],"mendeley":{"formattedCitation":"(Gu &lt;i&gt;et al.&lt;/i&gt;, 2017)","plainTextFormattedCitation":"(Gu et al., 2017)","previouslyFormattedCitation":"(Gu &lt;i&gt;et al.&lt;/i&gt;, 2017)"},"properties":{"noteIndex":0},"schema":"https://github.com/citation-style-language/schema/raw/master/csl-citation.json"}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 xml:space="preserve">(Gu </w:t>
      </w:r>
      <w:r w:rsidR="001B5D1F" w:rsidRPr="001B5D1F">
        <w:rPr>
          <w:rFonts w:ascii="Times New Roman" w:hAnsi="Times New Roman" w:cs="Times New Roman"/>
          <w:i/>
          <w:noProof/>
          <w:sz w:val="24"/>
          <w:szCs w:val="24"/>
        </w:rPr>
        <w:t>et al.</w:t>
      </w:r>
      <w:r w:rsidR="001B5D1F" w:rsidRPr="001B5D1F">
        <w:rPr>
          <w:rFonts w:ascii="Times New Roman" w:hAnsi="Times New Roman" w:cs="Times New Roman"/>
          <w:noProof/>
          <w:sz w:val="24"/>
          <w:szCs w:val="24"/>
        </w:rPr>
        <w:t>, 2017)</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DB84D44" w14:textId="3EB13D0B" w:rsidR="00BD66C6" w:rsidRPr="00976508" w:rsidRDefault="00BD66C6" w:rsidP="00EE52CD">
      <w:pPr>
        <w:spacing w:line="360" w:lineRule="auto"/>
        <w:jc w:val="both"/>
        <w:rPr>
          <w:rFonts w:ascii="Times New Roman" w:hAnsi="Times New Roman" w:cs="Times New Roman"/>
          <w:b/>
          <w:bCs/>
          <w:sz w:val="26"/>
          <w:szCs w:val="26"/>
        </w:rPr>
      </w:pPr>
      <w:r w:rsidRPr="00976508">
        <w:rPr>
          <w:rFonts w:ascii="Times New Roman" w:hAnsi="Times New Roman" w:cs="Times New Roman"/>
          <w:b/>
          <w:bCs/>
          <w:sz w:val="26"/>
          <w:szCs w:val="26"/>
        </w:rPr>
        <w:lastRenderedPageBreak/>
        <w:t>Threats</w:t>
      </w:r>
    </w:p>
    <w:p w14:paraId="0C8603D3" w14:textId="778CC3F2"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Intense Competition:</w:t>
      </w:r>
      <w:r w:rsidRPr="00EE52CD">
        <w:rPr>
          <w:rFonts w:ascii="Times New Roman" w:hAnsi="Times New Roman" w:cs="Times New Roman"/>
          <w:sz w:val="24"/>
          <w:szCs w:val="24"/>
        </w:rPr>
        <w:t xml:space="preserve"> Volvo faces intense competition from other premium automakers, each striving to offer innovative features and technologies, which can impact market share.</w:t>
      </w:r>
    </w:p>
    <w:p w14:paraId="1381693D" w14:textId="5497EA64"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Regulatory Changes:</w:t>
      </w:r>
      <w:r w:rsidRPr="00EE52CD">
        <w:rPr>
          <w:rFonts w:ascii="Times New Roman" w:hAnsi="Times New Roman" w:cs="Times New Roman"/>
          <w:sz w:val="24"/>
          <w:szCs w:val="24"/>
        </w:rPr>
        <w:t xml:space="preserve"> Changes in emission standards, safety regulations, and trade policies can impact Volvo's operations and profitability</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Kohn","given":"Christofer","non-dropping-particle":"","parse-names":false,"suffix":""},{"dropping-particle":"","family":"Sandberg","given":"Erik","non-dropping-particle":"","parse-names":false,"suffix":""}],"container-title":"Supply Chain Practice","id":"ITEM-1","issued":{"date-parts":[["2006","8","1"]]},"page":"18-30","title":"Exploring Supply Chain Captaincy: Why power matters in supply chain collaboration - The case of Volvo Parts","type":"article-journal","volume":"8"},"uris":["http://www.mendeley.com/documents/?uuid=975cea86-094e-496a-bb02-70c65ea06fdb"]}],"mendeley":{"formattedCitation":"(Kohn and Sandberg, 2006)","plainTextFormattedCitation":"(Kohn and Sandberg, 2006)","previouslyFormattedCitation":"(Kohn and Sandberg, 2006)"},"properties":{"noteIndex":0},"schema":"https://github.com/citation-style-language/schema/raw/master/csl-citation.json"}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(Kohn and Sandberg, 2006)</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1753284" w14:textId="15E6580A"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Economic Volatility:</w:t>
      </w:r>
      <w:r w:rsidRPr="00EE52CD">
        <w:rPr>
          <w:rFonts w:ascii="Times New Roman" w:hAnsi="Times New Roman" w:cs="Times New Roman"/>
          <w:sz w:val="24"/>
          <w:szCs w:val="24"/>
        </w:rPr>
        <w:t xml:space="preserve"> Economic downturns can lead to decreased consumer spending on big-ticket items like cars, affecting Volvo's sales and revenue.</w:t>
      </w:r>
    </w:p>
    <w:p w14:paraId="4EA2E81C" w14:textId="681FD84E" w:rsidR="00BD66C6" w:rsidRPr="00EE52CD" w:rsidRDefault="00BD66C6" w:rsidP="00EE52CD">
      <w:pPr>
        <w:spacing w:line="360" w:lineRule="auto"/>
        <w:jc w:val="both"/>
        <w:rPr>
          <w:rFonts w:ascii="Times New Roman" w:hAnsi="Times New Roman" w:cs="Times New Roman"/>
          <w:sz w:val="24"/>
          <w:szCs w:val="24"/>
        </w:rPr>
      </w:pPr>
      <w:r w:rsidRPr="00976508">
        <w:rPr>
          <w:rFonts w:ascii="Times New Roman" w:hAnsi="Times New Roman" w:cs="Times New Roman"/>
          <w:b/>
          <w:bCs/>
          <w:sz w:val="24"/>
          <w:szCs w:val="24"/>
        </w:rPr>
        <w:t>Rapid Technological Changes:</w:t>
      </w:r>
      <w:r w:rsidRPr="00EE52CD">
        <w:rPr>
          <w:rFonts w:ascii="Times New Roman" w:hAnsi="Times New Roman" w:cs="Times New Roman"/>
          <w:sz w:val="24"/>
          <w:szCs w:val="24"/>
        </w:rPr>
        <w:t xml:space="preserve"> The automotive industry is undergoing rapid technological transformations. Failure to keep up with these changes could render Volvo's products outdated.</w:t>
      </w:r>
    </w:p>
    <w:p w14:paraId="3A82788E" w14:textId="32D327FF" w:rsidR="00BD66C6" w:rsidRPr="00EE52CD" w:rsidRDefault="00BD66C6" w:rsidP="0041621F">
      <w:pPr>
        <w:pStyle w:val="Heading1"/>
      </w:pPr>
      <w:bookmarkStart w:id="15" w:name="_Toc144232066"/>
      <w:r w:rsidRPr="00EE52CD">
        <w:t xml:space="preserve">Strategy to remain competitive </w:t>
      </w:r>
      <w:r w:rsidR="0041621F" w:rsidRPr="00EE52CD">
        <w:t>advantage.</w:t>
      </w:r>
      <w:bookmarkEnd w:id="15"/>
    </w:p>
    <w:p w14:paraId="69539E19" w14:textId="47E523EF" w:rsidR="0041621F" w:rsidRDefault="0041621F" w:rsidP="0041621F">
      <w:pPr>
        <w:pStyle w:val="Heading2"/>
      </w:pPr>
      <w:bookmarkStart w:id="16" w:name="_Toc144232067"/>
      <w:r w:rsidRPr="00EE52CD">
        <w:t>Porter's Generic Strategies framework</w:t>
      </w:r>
      <w:bookmarkEnd w:id="16"/>
    </w:p>
    <w:p w14:paraId="2EA89776" w14:textId="25C4E439" w:rsidR="00BD66C6"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 xml:space="preserve">Porter's Generic Strategies framework, developed by Michael Porter, is a strategic management tool that aims to help businesses achieve competitive advantage in their industry. The framework consists of three generic strategies: cost leadership, differentiation, and focus. Let's </w:t>
      </w:r>
      <w:r w:rsidR="00EE52C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these strategies might apply to Volvo in a detailed manner</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5 forces of competitive advantage, as outlined by Porter, attempt to explain how firms can achieve Competitive Advantage in the industry they belong too. While this theory is certainly applicable to a fair degree, it is not free from its limitations. This paper critically analyses the Porter's 5 forces model while also comparing it with various other frameworks that attempt to explain Sustainable Competitive Advantage. It goes on to show the progress of tools used by management theorists to understand the importance of (sustainable) competitive advantage. This is done with the help of models that comprise of both the industry-based view, such as Porter's 5 forces, and the resource-based view, such as Barney's VRIN framework. The progress this paper looks at also includes relatively more revolutionary views and perspectives from thinkers like Grundy and Recklies.","author":[{"dropping-particle":"","family":"Goyal","given":"Anchit","non-dropping-particle":"","parse-names":false,"suffix":""}],"container-title":"Journal of Emerging Technologies and Innovative Research (JETIR)","id":"ITEM-1","issue":"7","issued":{"date-parts":[["2020"]]},"page":"149-152","title":"A Critical Analysis of Porter's 5 Forces Model of Competitive Advantage","type":"article-journal","volume":"7"},"uris":["http://www.mendeley.com/documents/?uuid=a10f57cb-ed19-4904-ac6a-9ac761d0c40b"]}],"mendeley":{"formattedCitation":"(Goyal, 2020)","plainTextFormattedCitation":"(Goyal, 2020)","previouslyFormattedCitation":"(Goyal,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(Goyal,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94A30C" w14:textId="4E9AFE4F" w:rsidR="00B76DED" w:rsidRDefault="00B76DED" w:rsidP="00EE52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1B0646" wp14:editId="20B9C6DA">
            <wp:extent cx="5731510" cy="3221355"/>
            <wp:effectExtent l="0" t="0" r="2540" b="0"/>
            <wp:docPr id="1709528874" name="Picture 2"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28874" name="Picture 2" descr="A diagram of different colored squar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E7CDC28" w14:textId="3567F153" w:rsidR="00B76DED" w:rsidRPr="00BB5E1D" w:rsidRDefault="00B76DED" w:rsidP="00BB5E1D">
      <w:pPr>
        <w:spacing w:line="360" w:lineRule="auto"/>
        <w:jc w:val="center"/>
        <w:rPr>
          <w:rFonts w:ascii="Times New Roman" w:hAnsi="Times New Roman" w:cs="Times New Roman"/>
          <w:b/>
          <w:bCs/>
          <w:i/>
          <w:iCs/>
          <w:sz w:val="24"/>
          <w:szCs w:val="24"/>
        </w:rPr>
      </w:pPr>
      <w:r w:rsidRPr="00BB5E1D">
        <w:rPr>
          <w:rFonts w:ascii="Times New Roman" w:hAnsi="Times New Roman" w:cs="Times New Roman"/>
          <w:b/>
          <w:bCs/>
          <w:i/>
          <w:iCs/>
          <w:sz w:val="24"/>
          <w:szCs w:val="24"/>
        </w:rPr>
        <w:t xml:space="preserve">Source </w:t>
      </w:r>
      <w:r w:rsidR="00BB5E1D" w:rsidRPr="00BB5E1D">
        <w:rPr>
          <w:rFonts w:ascii="Times New Roman" w:hAnsi="Times New Roman" w:cs="Times New Roman"/>
          <w:b/>
          <w:bCs/>
          <w:i/>
          <w:iCs/>
          <w:sz w:val="24"/>
          <w:szCs w:val="24"/>
        </w:rPr>
        <w:fldChar w:fldCharType="begin" w:fldLock="1"/>
      </w:r>
      <w:r w:rsidR="007A4009">
        <w:rPr>
          <w:rFonts w:ascii="Times New Roman" w:hAnsi="Times New Roman" w:cs="Times New Roman"/>
          <w:b/>
          <w:bCs/>
          <w:i/>
          <w:iCs/>
          <w:sz w:val="24"/>
          <w:szCs w:val="24"/>
        </w:rPr>
        <w:instrText>ADDIN CSL_CITATION {"citationItems":[{"id":"ITEM-1","itemData":{"author":[{"dropping-particle":"","family":"Allen","given":"Richard S.","non-dropping-particle":"","parse-names":false,"suffix":""},{"dropping-particle":"","family":"Helms","given":"Marilyn M.","non-dropping-particle":"","parse-names":false,"suffix":""},{"dropping-particle":"","family":"Takeda","given":"Margaret B.","non-dropping-particle":"","parse-names":false,"suffix":""},{"dropping-particle":"","family":"White","given":"Charles S.","non-dropping-particle":"","parse-names":false,"suffix":""}],"id":"ITEM-1","issued":{"date-parts":[["2007"]]},"title":"PORTER ' S GENERIC STRATEGIES : AN EXPLORATORY STUDY OF THEIR USE IN JAPAN Richard S . Allen The University of Tennessee at Chattanooga Marilyn M . Helms Dalton State College Margaret B . Takeda California State University San Bernardino , CA Charles S .","type":"article-journal"},"uris":["http://www.mendeley.com/documents/?uuid=be58db56-5bd1-4e88-805b-365aea13701b"]}],"mendeley":{"formattedCitation":"(Allen &lt;i&gt;et al.&lt;/i&gt;, 2007)","plainTextFormattedCitation":"(Allen et al., 2007)","previouslyFormattedCitation":"(Allen &lt;i&gt;et al.&lt;/i&gt;, 2007)"},"properties":{"noteIndex":0},"schema":"https://github.com/citation-style-language/schema/raw/master/csl-citation.json"}</w:instrText>
      </w:r>
      <w:r w:rsidR="00BB5E1D" w:rsidRPr="00BB5E1D">
        <w:rPr>
          <w:rFonts w:ascii="Times New Roman" w:hAnsi="Times New Roman" w:cs="Times New Roman"/>
          <w:b/>
          <w:bCs/>
          <w:i/>
          <w:iCs/>
          <w:sz w:val="24"/>
          <w:szCs w:val="24"/>
        </w:rPr>
        <w:fldChar w:fldCharType="separate"/>
      </w:r>
      <w:r w:rsidR="00BB5E1D" w:rsidRPr="00BB5E1D">
        <w:rPr>
          <w:rFonts w:ascii="Times New Roman" w:hAnsi="Times New Roman" w:cs="Times New Roman"/>
          <w:b/>
          <w:bCs/>
          <w:i/>
          <w:iCs/>
          <w:noProof/>
          <w:sz w:val="24"/>
          <w:szCs w:val="24"/>
        </w:rPr>
        <w:t>(Allen et al., 2007)</w:t>
      </w:r>
      <w:r w:rsidR="00BB5E1D" w:rsidRPr="00BB5E1D">
        <w:rPr>
          <w:rFonts w:ascii="Times New Roman" w:hAnsi="Times New Roman" w:cs="Times New Roman"/>
          <w:b/>
          <w:bCs/>
          <w:i/>
          <w:iCs/>
          <w:sz w:val="24"/>
          <w:szCs w:val="24"/>
        </w:rPr>
        <w:fldChar w:fldCharType="end"/>
      </w:r>
    </w:p>
    <w:p w14:paraId="3D468B16" w14:textId="2975CE58"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lastRenderedPageBreak/>
        <w:t>1. Cost Leadership</w:t>
      </w:r>
    </w:p>
    <w:p w14:paraId="639EAB86" w14:textId="2212EA42"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Cost leadership strategy involves becoming the low-cost producer in an industry while maintaining acceptable levels of quality. This strategy aims to attract a broad market segment by offering products or services at a lower price compared to competitors.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historically positioned itself as a manufacturer of safe and reliable vehicles, often catering to a more premium market segment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 of sense-making and the symbolic aspects of leadership may as well apply to the way story-… The early development of Volvo was very much derived from Gabrielsson’s entrepeneurial …","author":[{"dropping-particle":"","family":"Kinch","given":"N","non-dropping-particle":"","parse-names":false,"suffix":""}],"id":"ITEM-1","issued":{"date-parts":[["1991"]]},"title":"Managing strategic illusions: the Volvo strategy in retrospect","type":"article-journal"},"uris":["http://www.mendeley.com/documents/?uuid=8916beda-c5b5-403f-a38c-a8d0bbc43132"]}],"mendeley":{"formattedCitation":"(Kinch, 1991)","plainTextFormattedCitation":"(Kinch, 1991)","previouslyFormattedCitation":"(Kinch, 1991)"},"properties":{"noteIndex":0},"schema":"https://github.com/citation-style-language/schema/raw/master/csl-citation.json"}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(Kinch, 1991)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Adopting a strict cost leadership strategy might be challenging for Volvo because it could compromise the brand's reputation for quality and safety. However, elements of cost management could still be integrated, such as optimizing manufacturing processes and supply chain efficiency to reduce costs without compromising safety standards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9272EEF" w14:textId="2779D159"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2. Differentiation</w:t>
      </w:r>
    </w:p>
    <w:p w14:paraId="2C057526" w14:textId="58D53AC5"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Differentiation strategy involves offering unique and high-quality products or services that stand out in the market. This allows a company to command premium prices and build strong customer loyalty.</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has been known for its emphasis on safety features and innovative technologies. This aligns with a differentiation strategy, as it offers unique value to customers concerned about safety</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{"citationItems":[{"id":"ITEM-1","itemData":{"DOI":"10.3390/admsci10030063","ISSN":"20763387","abstract":"Sustainability has evolved into one of the key topics for organizations and organizational researchers alike. To meet changing societal demands, organizations have to adapt their long-term strategies and incorporate environmental and social aspects into their product offerings and decision-making. However, at the same time companies must satisfy short-term profitability interests and demands from shareholders. An organization’s sustainability commitment, strategy, or view is impacted by several influential factors, e.g., by the top management commitment or stakeholder integration. These factors have largely been studied individually without linking them. As such, the following study aims at creating a holistic view and framework for organizational influences and on sustainability. The framework is validated by a comparison to industrial practice in interviews with sustainability managers from the chemical and automobile industry, which are both highly relevant in the context of sustainability. Interview results suggest that the identified influential factors attributed to the four framework layers organization, top management, project team and project are relevant for industrial representatives. The view on and impact of specific influential factors can vary between companies and industries. The study further gives insights into the actual status and future direction of the management of corporate sustainability (CS) in practice.","author":[{"dropping-particle":"","family":"Haessler","given":"Philipp","non-dropping-particle":"","parse-names":false,"suffix":""}],"container-title":"Administrative Sciences","id":"ITEM-1","issue":"3","issued":{"date-parts":[["2020"]]},"title":"Strategic decisions between short-term profit and sustainability","type":"article-journal","volume":"10"},"uris":["http://www.mendeley.com/documents/?uuid=b6212a55-2d45-4240-8e44-f1a01b143ff4"]}],"mendeley":{"formattedCitation":"(Haessler, 2020)","plainTextFormattedCitation":"(Haessler, 2020)","previouslyFormattedCitation":"(Haessler, 2020)"},"properties":{"noteIndex":0},"schema":"https://github.com/citation-style-language/schema/raw/master/csl-citation.json"}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(Haessler, 2020)</w:t>
      </w:r>
      <w:r w:rsidR="00976508">
        <w:rPr>
          <w:rFonts w:ascii="Times New Roman" w:hAnsi="Times New Roman" w:cs="Times New Roman"/>
          <w:sz w:val="24"/>
          <w:szCs w:val="24"/>
        </w:rPr>
        <w:fldChar w:fldCharType="end"/>
      </w:r>
      <w:r w:rsidRPr="00EE52CD">
        <w:rPr>
          <w:rFonts w:ascii="Times New Roman" w:hAnsi="Times New Roman" w:cs="Times New Roman"/>
          <w:sz w:val="24"/>
          <w:szCs w:val="24"/>
        </w:rPr>
        <w:t>. Volvo can continue investing in research and development to pioneer cutting-edge safety technologies, along with other comfort and convenience features, that set its vehicles apart from competitors. Differentiation would enable Volvo to maintain premium pricing and potentially attract a dedicated customer base</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{"citationItems":[{"id":"ITEM-1","itemData":{"DOI":"10.2478/eoik-2019-0016","ISSN":"23035013","abstract":"Purpose: This paper aims to provide corporate social strategies as an entrance to create shared value, in addition to that we aims to provide a theoretical and practical contributions that ground understanding the concept of creating shared value. Design/methodology/approach: The authors analyze a single case study of Volvo corporation. The objective is to evaluate whether the corporate social strategies can yields to a shared value creation. Findings: We found that corporate social strategies followed by Volvo Corporation yields to a shared value creation. Research limitations/implications: This single case study provides an entrance to create shared value; however, more research is needed to find other entrances. Practical implications: The paper has practical implications that relate to the design of shared value model. We provide practical well known strategies that could be apply by corporations to reach shared value creation. Originality/value: A unique view of corporate social strategy and creating shared value concept.","author":[{"dropping-particle":"","family":"Kherchi","given":"Ishak","non-dropping-particle":"","parse-names":false,"suffix":""},{"dropping-particle":"","family":"Mohamed","given":"Fellague","non-dropping-particle":"","parse-names":false,"suffix":""},{"dropping-particle":"","family":"Ahlem","given":"Haddou Samira","non-dropping-particle":"","parse-names":false,"suffix":""}],"container-title":"Economics","id":"ITEM-1","issue":"2","issued":{"date-parts":[["2019"]]},"page":"109-124","title":"Can corporate social strategy create shared value toward creative business? “Volvo social strategy model”","type":"article-journal","volume":"7"},"uris":["http://www.mendeley.com/documents/?uuid=3e58a458-fafd-4ba5-98ee-c9db20e7b7ae"]}],"mendeley":{"formattedCitation":"(Kherchi, Mohamed and Ahlem, 2019)","plainTextFormattedCitation":"(Kherchi, Mohamed and Ahlem, 2019)","previouslyFormattedCitation":"(Kherchi, Mohamed and Ahlem,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(Kherchi, Mohamed and Ahlem,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86C02E7" w14:textId="076112D6" w:rsidR="00BD66C6" w:rsidRPr="0041621F" w:rsidRDefault="00BD66C6" w:rsidP="00EE52CD">
      <w:pPr>
        <w:spacing w:line="360" w:lineRule="auto"/>
        <w:jc w:val="both"/>
        <w:rPr>
          <w:rFonts w:ascii="Times New Roman" w:hAnsi="Times New Roman" w:cs="Times New Roman"/>
          <w:b/>
          <w:bCs/>
          <w:sz w:val="24"/>
          <w:szCs w:val="24"/>
        </w:rPr>
      </w:pPr>
      <w:r w:rsidRPr="0041621F">
        <w:rPr>
          <w:rFonts w:ascii="Times New Roman" w:hAnsi="Times New Roman" w:cs="Times New Roman"/>
          <w:b/>
          <w:bCs/>
          <w:sz w:val="24"/>
          <w:szCs w:val="24"/>
        </w:rPr>
        <w:t>3. Focus</w:t>
      </w:r>
    </w:p>
    <w:p w14:paraId="5B13A66F" w14:textId="10B5A3FC" w:rsidR="00BD66C6" w:rsidRPr="00EE52CD" w:rsidRDefault="00BD66C6"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Focus strategy involves targeting a specific segment of the market and tailoring products or services to meet their unique needs. This strategy can be pursued through either cost focus or differentiation focus.</w:t>
      </w:r>
      <w:r w:rsidR="00E423AA" w:rsidRPr="00EE52CD">
        <w:rPr>
          <w:rFonts w:ascii="Times New Roman" w:hAnsi="Times New Roman" w:cs="Times New Roman"/>
          <w:sz w:val="24"/>
          <w:szCs w:val="24"/>
        </w:rPr>
        <w:t xml:space="preserve"> </w:t>
      </w:r>
      <w:r w:rsidRPr="00EE52CD">
        <w:rPr>
          <w:rFonts w:ascii="Times New Roman" w:hAnsi="Times New Roman" w:cs="Times New Roman"/>
          <w:sz w:val="24"/>
          <w:szCs w:val="24"/>
        </w:rPr>
        <w:t>Volvo could potentially adopt a focus strategy by targeting a specific niche within the automotive market, such as electric vehicles (EVs) or luxury hybrids. By concentrating efforts on a particular segment, Volvo could create tailored offerings that address the specific preferences and requirements of these customers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{"citationItems":[{"id":"ITEM-1","itemData":{"abstract":"To prepare for the age of the intelligent, highly connected, and autonomous vehicle, a new approach to concepts of granting consent, managing privacy, and dealing with the need to interact quickly and meaningfully is needed. Additionally, in an environment where personal data is rapidly shared with a multitude of independent parties, there exists a need to reduce the information asymmetry that currently exists between the user and data collecting entities. This Article rethinks the traditional notice and consent model in the context of real-time communication between vehicles or vehicles and infrastructure or vehicles and other surroundings and proposes a re-engineering of current privacy concepts to prepare for a rapidly approaching digital future. In this future, multiple independent actors such as vehicles or other machines may seek personal information at a rate that makes the traditional informed consent model untenable. This Article proposes a two-step approach: As an attempt to meet and balance user needs for a seamless experience while preserving their rights to privacy, the first step is a less static consent paradigm able to better support personal data in systems which use machine based real-time communication and automation. In addition, the article proposes a radical re-thinking of the current privacy protection system by sharing the vision of \" Privacy as a Service \" as a second step, which is an independently managed method of granular technical privacy control that can better protect individual privacy while at the same time","author":[{"dropping-particle":"","family":"Sucharski","given":"Ivan","non-dropping-particle":"","parse-names":false,"suffix":""},{"dropping-particle":"","family":"Fabinger","given":"Philip","non-dropping-particle":"","parse-names":false,"suffix":""}],"container-title":"Washington and Lee Law Review Online","id":"ITEM-1","issue":"2","issued":{"date-parts":[["2017"]]},"number-of-pages":"724","title":"Privacy in the Age of Autonomous Vehicles","type":"book","volume":"73"},"uris":["http://www.mendeley.com/documents/?uuid=922cf429-d6db-4e54-80d0-f7af12f647e1"]}],"mendeley":{"formattedCitation":"(Sucharski and Fabinger, 2017)","plainTextFormattedCitation":"(Sucharski and Fabinger, 2017)","previouslyFormattedCitation":"(Sucharski and Fabinger, 2017)"},"properties":{"noteIndex":0},"schema":"https://github.com/citation-style-language/schema/raw/master/csl-citation.json"}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(Sucharski and Fabinger, 2017)</w:t>
      </w:r>
      <w:r w:rsidR="00976508">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This strategy could involve producing high-end electric vehicles with advanced technology and features, catering to </w:t>
      </w:r>
      <w:r w:rsidR="001B5D1F"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 who are willing to pay a premium for such vehicles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{"citationItems":[{"id":"ITEM-1","itemData":{"abstract":"The general framework is presented in Figure 1. 6 The framework incorporates four general constructs: internal quality, external or customer perceptions of quality and satisfaction, customer loyalty and firm performance measures. The first area encompasses internal quality and its varied production and maintenance processes. In the case of a manufactured product, this includes everything from manufacturing processes to the physical characteristics and attributes that describe the product. In a service and retailing context, this includes the service offer, the physical surroundings, the satisfaction of employees and the resulting service quality they provide. Swedish company to a more customer-oriented global player. 4-5 Yet much of this evolution has been based on a faith that doing right by the customer will ultimately pay off. The goal of this paper is to describe Volvo's challenges in moving to the next stage of evolution. This requires more precise estimates of 'exactly what' Volvo gains by increasing quality and customer satisfaction. It also requires a framework for managing the satisfaction and loyalty process. The study contributes to the quality and satisfaction literature in two ways. First, a general framework is developed for measuring the links from quality through to business performance. The framework recognises both the direct and indirect effect of performance drivers. The framework is thus more comprehensive than those previously developed in the quality and satisfaction literature. A particular performance model is developed for Volvo as a special case of the more general framework to illustrate the approach. Secondly, by viewing performance as a bundle of desired customer behaviours, the specific effects of satisfaction and loyalty on multiple performance activities are 250","author":[{"dropping-particle":"","family":"Gustafsson","given":"Johnson","non-dropping-particle":"","parse-names":false,"suffix":""}],"container-title":"Journal of Targeting, Measurement and Analysis for Marketing","id":"ITEM-1","issued":{"date-parts":[["2002"]]},"page":"967-3237","title":"a Framework for Linking Quality, Satisfaction, Loyalty and Performance","type":"article-journal","volume":"10"},"uris":["http://www.mendeley.com/documents/?uuid=3135d1ef-9301-4e30-b12f-51771063afd2"]}],"mendeley":{"formattedCitation":"(Gustafsson, 2002)","plainTextFormattedCitation":"(Gustafsson, 2002)","previouslyFormattedCitation":"(Gustafsson, 2002)"},"properties":{"noteIndex":0},"schema":"https://github.com/citation-style-language/schema/raw/master/csl-citation.json"}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(Gustafsson, 2002)</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99197B" w14:textId="1657396E" w:rsidR="00330C89" w:rsidRPr="00EE52CD" w:rsidRDefault="00330C89" w:rsidP="00F845FD">
      <w:pPr>
        <w:pStyle w:val="Heading1"/>
      </w:pPr>
      <w:bookmarkStart w:id="17" w:name="_Toc144232068"/>
      <w:r w:rsidRPr="00EE52CD">
        <w:lastRenderedPageBreak/>
        <w:t>Growth strategies</w:t>
      </w:r>
      <w:bookmarkEnd w:id="17"/>
    </w:p>
    <w:p w14:paraId="608A4937" w14:textId="080B1DF9" w:rsidR="00330C89"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The Ansoff Matrix, developed by Igor Ansoff in 1957, is a strategic tool that helps businesses explore growth opportunities by considering both market and product dimensions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{"citationItems":[{"id":"ITEM-1","itemData":{"abstract":"The Ansoff Matrix has been widely taught as part of business education for over 50 years. It portrays growth options as a 2 x 2 matrix of options, with one axis representing products (existing / new) and the representing markets (existing / new). Two logical problems arise from the matrix. Both problems relate to assumptions or interpretations pertaining to newness. If we assume a new product really is new to the firm, in many cases a new product will simultaneously take the firm into a new, unfamiliar market. In that case, one of the Ansoff quadrants, namely diversification, is redundant. Alternatively, if a new product does not necessarily take the firm into a new market, then the combination of new products into new markets does not always equate to diversification, in the sense of venturing into a completely unknown business - which the model, and many subsequent interpretations of the model in textbooks, assumes.","author":[{"dropping-particle":"","family":"Dawes","given":"John","non-dropping-particle":"","parse-names":false,"suffix":""}],"container-title":"SSRN Electronic Journal","id":"ITEM-1","issued":{"date-parts":[["2018"]]},"title":"The Ansoff Matrix: A Legendary Tool, But with Two Logical Problems","type":"article-journal"},"uris":["http://www.mendeley.com/documents/?uuid=0d25a302-151f-4ca3-8919-30a5532b2ae6"]}],"mendeley":{"formattedCitation":"(Dawes, 2018)","plainTextFormattedCitation":"(Dawes, 2018)","previouslyFormattedCitation":"(Dawes, 2018)"},"properties":{"noteIndex":0},"schema":"https://github.com/citation-style-language/schema/raw/master/csl-citation.json"}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(Dawes, 2018)</w:t>
      </w:r>
      <w:r w:rsidR="00976508">
        <w:rPr>
          <w:rFonts w:ascii="Times New Roman" w:hAnsi="Times New Roman" w:cs="Times New Roman"/>
          <w:sz w:val="24"/>
          <w:szCs w:val="24"/>
        </w:rPr>
        <w:fldChar w:fldCharType="end"/>
      </w:r>
      <w:r w:rsidRPr="00EE52CD">
        <w:rPr>
          <w:rFonts w:ascii="Times New Roman" w:hAnsi="Times New Roman" w:cs="Times New Roman"/>
          <w:sz w:val="24"/>
          <w:szCs w:val="24"/>
        </w:rPr>
        <w:t xml:space="preserve">. Let's </w:t>
      </w:r>
      <w:r w:rsidR="00F845FD" w:rsidRPr="00EE52CD">
        <w:rPr>
          <w:rFonts w:ascii="Times New Roman" w:hAnsi="Times New Roman" w:cs="Times New Roman"/>
          <w:sz w:val="24"/>
          <w:szCs w:val="24"/>
        </w:rPr>
        <w:t>analyse</w:t>
      </w:r>
      <w:r w:rsidRPr="00EE52CD">
        <w:rPr>
          <w:rFonts w:ascii="Times New Roman" w:hAnsi="Times New Roman" w:cs="Times New Roman"/>
          <w:sz w:val="24"/>
          <w:szCs w:val="24"/>
        </w:rPr>
        <w:t xml:space="preserve"> how Volvo, a renowned Swedish automobile manufacturer, has utilized the Ansoff Matrix to formulate its growth strategies.</w:t>
      </w:r>
    </w:p>
    <w:p w14:paraId="1AF6BE3C" w14:textId="41F7F59F" w:rsidR="00B76DED" w:rsidRDefault="00B76DED" w:rsidP="00EE52CD">
      <w:pPr>
        <w:spacing w:line="360" w:lineRule="auto"/>
        <w:jc w:val="both"/>
        <w:rPr>
          <w:rFonts w:ascii="Times New Roman" w:hAnsi="Times New Roman" w:cs="Times New Roman"/>
          <w:sz w:val="24"/>
          <w:szCs w:val="24"/>
        </w:rPr>
      </w:pPr>
      <w:r>
        <w:rPr>
          <w:noProof/>
        </w:rPr>
        <w:drawing>
          <wp:inline distT="0" distB="0" distL="0" distR="0" wp14:anchorId="6096BC76" wp14:editId="4A8D73F6">
            <wp:extent cx="5731510" cy="3387725"/>
            <wp:effectExtent l="0" t="0" r="2540" b="3175"/>
            <wp:docPr id="1732579366" name="Picture 1732579366" descr="A diagram of a product service&#10;&#10;Description automatically generated">
              <a:extLst xmlns:a="http://schemas.openxmlformats.org/drawingml/2006/main">
                <a:ext uri="{FF2B5EF4-FFF2-40B4-BE49-F238E27FC236}">
                  <a16:creationId xmlns:a16="http://schemas.microsoft.com/office/drawing/2014/main" id="{DD313589-F900-CC2E-1DDB-5B2FA15AF1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79366" name="Picture 1732579366" descr="A diagram of a product service&#10;&#10;Description automatically generated">
                      <a:extLst>
                        <a:ext uri="{FF2B5EF4-FFF2-40B4-BE49-F238E27FC236}">
                          <a16:creationId xmlns:a16="http://schemas.microsoft.com/office/drawing/2014/main" id="{DD313589-F900-CC2E-1DDB-5B2FA15AF12D}"/>
                        </a:ext>
                      </a:extLst>
                    </pic:cNvPr>
                    <pic:cNvPicPr>
                      <a:picLocks noChangeAspect="1"/>
                    </pic:cNvPicPr>
                  </pic:nvPicPr>
                  <pic:blipFill>
                    <a:blip r:embed="rId23"/>
                    <a:stretch>
                      <a:fillRect/>
                    </a:stretch>
                  </pic:blipFill>
                  <pic:spPr>
                    <a:xfrm>
                      <a:off x="0" y="0"/>
                      <a:ext cx="5731510" cy="3387725"/>
                    </a:xfrm>
                    <a:prstGeom prst="rect">
                      <a:avLst/>
                    </a:prstGeom>
                  </pic:spPr>
                </pic:pic>
              </a:graphicData>
            </a:graphic>
          </wp:inline>
        </w:drawing>
      </w:r>
    </w:p>
    <w:p w14:paraId="2477C412" w14:textId="794A61C0" w:rsidR="00B76DED" w:rsidRPr="00B76DED" w:rsidRDefault="00B76DED" w:rsidP="00B76DED">
      <w:pPr>
        <w:jc w:val="center"/>
        <w:rPr>
          <w:rFonts w:ascii="Times New Roman" w:hAnsi="Times New Roman" w:cs="Times New Roman"/>
          <w:b/>
          <w:bCs/>
          <w:i/>
          <w:iCs/>
          <w:sz w:val="24"/>
          <w:szCs w:val="24"/>
        </w:rPr>
      </w:pPr>
      <w:r w:rsidRPr="00B76DED">
        <w:rPr>
          <w:rFonts w:ascii="Times New Roman" w:hAnsi="Times New Roman" w:cs="Times New Roman"/>
          <w:b/>
          <w:bCs/>
          <w:i/>
          <w:iCs/>
          <w:sz w:val="24"/>
          <w:szCs w:val="24"/>
        </w:rPr>
        <w:t xml:space="preserve">Source (study material- week </w:t>
      </w:r>
      <w:r>
        <w:rPr>
          <w:rFonts w:ascii="Times New Roman" w:hAnsi="Times New Roman" w:cs="Times New Roman"/>
          <w:b/>
          <w:bCs/>
          <w:i/>
          <w:iCs/>
          <w:sz w:val="24"/>
          <w:szCs w:val="24"/>
        </w:rPr>
        <w:t>5</w:t>
      </w:r>
      <w:r w:rsidRPr="00B76DED">
        <w:rPr>
          <w:rFonts w:ascii="Times New Roman" w:hAnsi="Times New Roman" w:cs="Times New Roman"/>
          <w:b/>
          <w:bCs/>
          <w:i/>
          <w:iCs/>
          <w:sz w:val="24"/>
          <w:szCs w:val="24"/>
        </w:rPr>
        <w:t>)</w:t>
      </w:r>
    </w:p>
    <w:p w14:paraId="71195A8B" w14:textId="5856C1AE"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1. Market Penetration</w:t>
      </w:r>
    </w:p>
    <w:p w14:paraId="08E70D59" w14:textId="5F0BF3D1"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penetration involves increasing market share within existing markets with existing products. Volvo has pursued this strategy by continuously refining and expanding its product offerings to appeal to a wider range of customers. The company focuses on safety and innovation, leveraging its reputation as a pioneer in automotive safety technologies. This has enabled Volvo to maintain a loyal customer base while attracting new buyers who prioritize safety features</w:t>
      </w:r>
      <w:r w:rsidR="00976508">
        <w:rPr>
          <w:rFonts w:ascii="Times New Roman" w:hAnsi="Times New Roman" w:cs="Times New Roman"/>
          <w:sz w:val="24"/>
          <w:szCs w:val="24"/>
        </w:rPr>
        <w:fldChar w:fldCharType="begin" w:fldLock="1"/>
      </w:r>
      <w:r w:rsidR="00976508">
        <w:rPr>
          <w:rFonts w:ascii="Times New Roman" w:hAnsi="Times New Roman" w:cs="Times New Roman"/>
          <w:sz w:val="24"/>
          <w:szCs w:val="24"/>
        </w:rPr>
        <w:instrText>ADDIN CSL_CITATION {"citationItems":[{"id":"ITEM-1","itemData":{"DOI":"10.17722/jorm.v3i2.86","author":[{"dropping-particle":"","family":"Uchil","given":"Samarth","non-dropping-particle":"","parse-names":false,"suffix":""},{"dropping-particle":"","family":"Yazdanifard","given":"Assoc. Prof. Dr. Rashad","non-dropping-particle":"","parse-names":false,"suffix":""}],"container-title":"Journal of Research in Marketing","id":"ITEM-1","issued":{"date-parts":[["2014","10","25"]]},"page":"265-268","title":"The Growth of the Automobile Industry : Toyota's Dominance in United States","type":"article-journal","volume":"Vol 3"},"uris":["http://www.mendeley.com/documents/?uuid=31fff812-324c-4597-8fb8-2b435a2f0b56"]}],"mendeley":{"formattedCitation":"(Uchil and Yazdanifard, 2014)","plainTextFormattedCitation":"(Uchil and Yazdanifard, 2014)","previouslyFormattedCitation":"(Uchil and Yazdanifard, 2014)"},"properties":{"noteIndex":0},"schema":"https://github.com/citation-style-language/schema/raw/master/csl-citation.json"}</w:instrText>
      </w:r>
      <w:r w:rsidR="0097650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(Uchil and Yazdanifard, 2014)</w:t>
      </w:r>
      <w:r w:rsidR="00976508">
        <w:rPr>
          <w:rFonts w:ascii="Times New Roman" w:hAnsi="Times New Roman" w:cs="Times New Roman"/>
          <w:sz w:val="24"/>
          <w:szCs w:val="24"/>
        </w:rPr>
        <w:fldChar w:fldCharType="end"/>
      </w:r>
      <w:r w:rsidRPr="00EE52CD">
        <w:rPr>
          <w:rFonts w:ascii="Times New Roman" w:hAnsi="Times New Roman" w:cs="Times New Roman"/>
          <w:sz w:val="24"/>
          <w:szCs w:val="24"/>
        </w:rPr>
        <w:t>.</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Through extensive marketing efforts, Volvo has promoted its existing products, emphasizing their quality, safety, and advanced features. Frequent product updates, model refreshes, and efficient distribution have also been part of their market penetration strategy. By targeting various customer segments and demographics, Volvo has managed to solidify its position in the premium car market</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{"citationItems":[{"id":"ITEM-1","itemData":{"DOI":"10.17722/jorm.v3i2.86","author":[{"dropping-particle":"","family":"Uchil","given":"Samarth","non-dropping-particle":"","parse-names":false,"suffix":""},{"dropping-particle":"","family":"Yazdanifard","given":"Assoc. Prof. Dr. Rashad","non-dropping-particle":"","parse-names":false,"suffix":""}],"container-title":"Journal of Research in Marketing","id":"ITEM-1","issued":{"date-parts":[["2014","10","25"]]},"page":"265-268","title":"The Growth of the Automobile Industry : Toyota's Dominance in United States","type":"article-journal","volume":"Vol 3"},"uris":["http://www.mendeley.com/documents/?uuid=31fff812-324c-4597-8fb8-2b435a2f0b56"]}],"mendeley":{"formattedCitation":"(Uchil and Yazdanifard, 2014)","plainTextFormattedCitation":"(Uchil and Yazdanifard, 2014)","previouslyFormattedCitation":"(Uchil and Yazdanifard, 2014)"},"properties":{"noteIndex":0},"schema":"https://github.com/citation-style-language/schema/raw/master/csl-citation.json"}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(Uchil and Yazdanifard, 2014)</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87D33E8" w14:textId="13510EEC"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lastRenderedPageBreak/>
        <w:t>2. Product Development</w:t>
      </w:r>
    </w:p>
    <w:p w14:paraId="00F7DDB0" w14:textId="10C664C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Product development involves creating new products or modifying existing ones to cater to existing markets. Volvo has effectively employed this strategy by incorporating hybrid and electric technologies into its vehicle lineup. As the automotive industry moves towards sustainability, Volvo's commitment to electrification has enabled them to tap into the growing demand for eco-friendly vehicles</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The introduction of the "Recharge" sub-brand, focusing exclusively on electric and hybrid models, showcases Volvo's dedication to product development aligned with market trends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By investing in research and development, Volvo has successfully expanded its product portfolio to include innovative offerings that appeal to </w:t>
      </w:r>
      <w:r w:rsidR="00EE52CD" w:rsidRPr="00EE52CD">
        <w:rPr>
          <w:rFonts w:ascii="Times New Roman" w:hAnsi="Times New Roman" w:cs="Times New Roman"/>
          <w:sz w:val="24"/>
          <w:szCs w:val="24"/>
        </w:rPr>
        <w:t>environmentally conscious</w:t>
      </w:r>
      <w:r w:rsidRPr="00EE52CD">
        <w:rPr>
          <w:rFonts w:ascii="Times New Roman" w:hAnsi="Times New Roman" w:cs="Times New Roman"/>
          <w:sz w:val="24"/>
          <w:szCs w:val="24"/>
        </w:rPr>
        <w:t xml:space="preserve"> consumers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{"citationItems":[{"id":"ITEM-1","itemData":{"ISBN":"9789811381010","abstract":"This open access book analyses intellectual property codification and innovation governance in the development of six key industries in India and China. These industries are reflective of the innovation and economic development of the two economies, or of vital importance to them: the IT Industry; the film industry; the pharmaceutical industry; plant varieties and food security; the automobile industry; and peer production and the sharing economy. The analysis extends beyond the domain of IP law, and includes economics and policy analysis. The overarching concern that cuts through all chapters is an inquiry into why certain industries have developed in one country and not in the other, including: the role that state innovation policy and/or IP policy played in such development; the nature of the state innovation policy/IP policy; and whether such policy has been causal, facilitating, crippling, co-relational, or simply irrelevant. The book asks what India and China can learn from each other, and whether there is any possibility of synergy. The book provides a real-life understanding of how IP laws interact with innovation and economic development in the six selected economic sectors in China and India. The reader can also draw lessons from the success or failure of these sectors.","author":[{"dropping-particle":"","family":"Liu","given":"Kung-chung","non-dropping-particle":"","parse-names":false,"suffix":""},{"dropping-particle":"","family":"Racherla","given":"Uday S.","non-dropping-particle":"","parse-names":false,"suffix":""}],"container-title":"ARCIALA Series on Intellectual Assets and Law in Asia","id":"ITEM-1","issued":{"date-parts":[["2019"]]},"number-of-pages":"7-9","title":"Innovation, Economic Development, and Intellectual Property in India and China","type":"book"},"uris":["http://www.mendeley.com/documents/?uuid=8a1d1a11-44d1-4dda-ac7a-2ad5d14a0dc6"]}],"mendeley":{"formattedCitation":"(Liu and Racherla, 2019)","plainTextFormattedCitation":"(Liu and Racherla, 2019)","previouslyFormattedCitation":"(Liu and Racherla, 2019)"},"properties":{"noteIndex":0},"schema":"https://github.com/citation-style-language/schema/raw/master/csl-citation.json"}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(Liu and Racherla, 2019)</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000610F" w14:textId="27B63DFD"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3. Market Development</w:t>
      </w:r>
    </w:p>
    <w:p w14:paraId="1CFB7E5D" w14:textId="283B8B7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Market development involves entering new markets with existing products. Volvo has taken this approach by expanding its global presence and entering emerging markets. By adapting their vehicles to suit diverse cultural preferences and regulatory requirements, Volvo has effectively entered markets where it previously had limited presence.</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Entering markets in Asia, particularly China, has been a significant move for Volvo</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Group","given":"","non-dropping-particle":"","parse-names":false,"suffix":""}],"id":"ITEM-1","issued":{"date-parts":[["2020"]]},"page":"210","title":"Our Customers Make Societies","type":"article-journal"},"uris":["http://www.mendeley.com/documents/?uuid=a521ed1f-4cbd-4d5b-97de-bbf447529d35"]}],"mendeley":{"formattedCitation":"(Volvo Group, 2020)","plainTextFormattedCitation":"(Volvo Group, 2020)","previouslyFormattedCitation":"(Volvo Group, 2020)"},"properties":{"noteIndex":0},"schema":"https://github.com/citation-style-language/schema/raw/master/csl-citation.json"}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2020)</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The company's efforts to understand and cater to the preferences of Chinese consumers have enabled it to gain a substantial market share in the region. This expansion strategy aligns with Volvo's commitment to growing its international footprint and diversifying its revenue streams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{"citationItems":[{"id":"ITEM-1","itemData":{"DOI":"10.17051/ilkonline.2021.05.306","author":[{"dropping-particle":"","family":"Bhuvaneswari","given":"S","non-dropping-particle":"","parse-names":false,"suffix":""},{"dropping-particle":"","family":"Scholar","given":"Ph D","non-dropping-particle":"","parse-names":false,"suffix":""}],"id":"ITEM-1","issue":"5","issued":{"date-parts":[["2021"]]},"page":"2814-2817","title":"Performance of Automobile Industry in India – a Case Study of Tamilnadu","type":"article-journal","volume":"20"},"uris":["http://www.mendeley.com/documents/?uuid=b81ce381-fea6-457c-8e79-7036c5f68dce"]}],"mendeley":{"formattedCitation":"(Bhuvaneswari and Scholar, 2021)","plainTextFormattedCitation":"(Bhuvaneswari and Scholar, 2021)","previouslyFormattedCitation":"(Bhuvaneswari and Scholar,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(Bhuvaneswari and Scholar,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58665605" w14:textId="1574ECFA" w:rsidR="00330C89" w:rsidRPr="00F845FD" w:rsidRDefault="00330C89"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4. Diversification</w:t>
      </w:r>
    </w:p>
    <w:p w14:paraId="4344CBB3" w14:textId="04204BF5"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Diversification involves entering new markets with new products, often representing the highest level of risk and potential reward. Volvo has cautiously pursued diversification by venturing into new vehicle segments, such as the compact SUV category, while maintaining its core values of safety and innovation.</w:t>
      </w:r>
      <w:r w:rsidR="00EE52CD">
        <w:rPr>
          <w:rFonts w:ascii="Times New Roman" w:hAnsi="Times New Roman" w:cs="Times New Roman"/>
          <w:sz w:val="24"/>
          <w:szCs w:val="24"/>
        </w:rPr>
        <w:t xml:space="preserve"> </w:t>
      </w:r>
      <w:r w:rsidRPr="00EE52CD">
        <w:rPr>
          <w:rFonts w:ascii="Times New Roman" w:hAnsi="Times New Roman" w:cs="Times New Roman"/>
          <w:sz w:val="24"/>
          <w:szCs w:val="24"/>
        </w:rPr>
        <w:t>An example of this strategy is the introduction of the Volvo XC40, a compact luxury SUV</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{"citationItems":[{"id":"ITEM-1","itemData":{"author":[{"dropping-particle":"","family":"Volvo Group","given":"","non-dropping-particle":"","parse-names":false,"suffix":""}],"id":"ITEM-1","issued":{"date-parts":[["2023"]]},"title":"Geared for Growth Content","type":"article-journal"},"uris":["http://www.mendeley.com/documents/?uuid=a37cfcd7-d7b5-4e03-bc9a-9edfffe78cff"]}],"mendeley":{"formattedCitation":"(Volvo Group, 2023)","plainTextFormattedCitation":"(Volvo Group, 2023)","previouslyFormattedCitation":"(Volvo Group, 2023)"},"properties":{"noteIndex":0},"schema":"https://github.com/citation-style-language/schema/raw/master/csl-citation.json"}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(Volvo Group, 2023)</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This model targets a younger demographic and aims to capture a share of the growing market for smaller, premium SUVs. By combining their traditional strengths with innovative designs, Volvo has managed to create a diversified product lineup that appeals to a broader range of customers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C516EC7" w14:textId="77777777" w:rsidR="00F845FD" w:rsidRDefault="00F845FD" w:rsidP="00F845FD">
      <w:pPr>
        <w:pStyle w:val="Heading1"/>
      </w:pPr>
      <w:bookmarkStart w:id="18" w:name="_Toc144232069"/>
      <w:r w:rsidRPr="00F845FD">
        <w:lastRenderedPageBreak/>
        <w:t>Green</w:t>
      </w:r>
      <w:r>
        <w:t xml:space="preserve"> </w:t>
      </w:r>
      <w:r w:rsidRPr="00F845FD">
        <w:t>Strategy and CSR</w:t>
      </w:r>
      <w:bookmarkEnd w:id="18"/>
    </w:p>
    <w:p w14:paraId="07B2298B" w14:textId="0D4ACF94"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 a renowned Swedish automotive company, has garnered attention not only for its innovative vehicles but also for its robust Green Strategy and commitment to Corporate Social Responsibility (CSR). Volvo's Green Strategy is a clear reflection of the company's dedication to environmental stewardship and sustainable practices</w:t>
      </w:r>
      <w:r w:rsidR="001B5D1F">
        <w:rPr>
          <w:rFonts w:ascii="Times New Roman" w:hAnsi="Times New Roman" w:cs="Times New Roman"/>
          <w:sz w:val="24"/>
          <w:szCs w:val="24"/>
        </w:rPr>
        <w:fldChar w:fldCharType="begin" w:fldLock="1"/>
      </w:r>
      <w:r w:rsidR="001B5D1F">
        <w:rPr>
          <w:rFonts w:ascii="Times New Roman" w:hAnsi="Times New Roman" w:cs="Times New Roman"/>
          <w:sz w:val="24"/>
          <w:szCs w:val="24"/>
        </w:rPr>
        <w:instrText>ADDIN CSL_CITATION {"citationItems":[{"id":"ITEM-1","itemData":{"DOI":"10.1007/978-94-007-0818-1_19","abstract":"Over recent years, there has been a focus in corporate activity upon the concept of corporate social responsibility (CSR) and one of its central platforms, the notion of sustainability, and particularly sustainable development. We argue in this article that the use of such a term has the effect of obfuscating the real situation regarding the effect of corporate activity upon the external environment and the consequent implications for the future. One of the effects of persuading that corporate activity is sustainable is that the cost of capital for the firm is reduced as investors are misled into thinking that the level of risk involved in their investment is lower than it actually is. We analyse the effects of this misrepresentation and argue for a fuller debate about sustainability.","author":[{"dropping-particle":"","family":"Aras","given":"Güler Aras","non-dropping-particle":"","parse-names":false,"suffix":""},{"dropping-particle":"","family":"Crowther","given":"David","non-dropping-particle":"","parse-names":false,"suffix":""}],"container-title":"Globalization and the Good Corporation","id":"ITEM-1","issued":{"date-parts":[["2008"]]},"number-of-pages":"279-288","title":"Corporate Sustainability Reporting: A Study in Disingenuity?","type":"book"},"uris":["http://www.mendeley.com/documents/?uuid=8f87d1a8-469f-4f48-a326-652dee4ceb1c"]}],"mendeley":{"formattedCitation":"(Aras and Crowther, 2008)","plainTextFormattedCitation":"(Aras and Crowther, 2008)","previouslyFormattedCitation":"(Aras and Crowther, 2008)"},"properties":{"noteIndex":0},"schema":"https://github.com/citation-style-language/schema/raw/master/csl-citation.json"}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(Aras and Crowther, 2008)</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 xml:space="preserve">. The strategy is </w:t>
      </w:r>
      <w:r w:rsidR="0041621F" w:rsidRPr="00EE52CD">
        <w:rPr>
          <w:rFonts w:ascii="Times New Roman" w:hAnsi="Times New Roman" w:cs="Times New Roman"/>
          <w:sz w:val="24"/>
          <w:szCs w:val="24"/>
        </w:rPr>
        <w:t>centred</w:t>
      </w:r>
      <w:r w:rsidRPr="00EE52CD">
        <w:rPr>
          <w:rFonts w:ascii="Times New Roman" w:hAnsi="Times New Roman" w:cs="Times New Roman"/>
          <w:sz w:val="24"/>
          <w:szCs w:val="24"/>
        </w:rPr>
        <w:t xml:space="preserve"> around several key pillars:</w:t>
      </w:r>
    </w:p>
    <w:p w14:paraId="1D37BF9C" w14:textId="27B30C1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Electrification:</w:t>
      </w:r>
      <w:r w:rsidRPr="00EE52CD">
        <w:rPr>
          <w:rFonts w:ascii="Times New Roman" w:hAnsi="Times New Roman" w:cs="Times New Roman"/>
          <w:sz w:val="24"/>
          <w:szCs w:val="24"/>
        </w:rPr>
        <w:t xml:space="preserve"> Volvo has boldly embraced electrification by announcing its ambitious goal to become a fully electric car company by 2030. This commitment goes beyond reducing carbon emissions; it also aligns with the global push for cleaner transportation alternatives</w:t>
      </w:r>
      <w:r w:rsidR="001B5D1F">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{"citationItems":[{"id":"ITEM-1","itemData":{"DOI":"10.1007/s42943-021-00029-5","ISBN":"4294302100","ISSN":"0973-4619","abstract":"The competitive landscape of automobile original equipment manufacturers around the globe is continuously changing, with new business models impacting the performance of automobile firms. The study uses benchmarking technique to benchmark Tata Motors passenger vehicle segment performance with a relevant foreign passenger vehicle manufacturer to explore the differences in core capabilities and platform strategies. The gaps reveal that there is tough competition among the firms in the automobile industry in India. The study also uses the problem structuring method to structure the key problem of Tata Motors' inadequate leverage of product platforms and identify the high potential root causes. The findings reveal that strategic options such as proper management of employees at top leadership positions, technologies, and strategic cooperation with partner firms may help Tata Motors better leverage new modular platforms. The new strategic options may also provide possibilities to scale internationally in niche vehicle product segments to achieve sustained competitive advantage. Among several potential capabilities and resources analyzed, only a few seem to be transferable to leverage advanced modular platforms and related digital technologies for Tata Motors.","author":[{"dropping-particle":"","family":"Malagihal","given":"Shivakumar S.","non-dropping-particle":"","parse-names":false,"suffix":""}],"container-title":"International Journal of Global Business and Competitiveness","id":"ITEM-1","issue":"2","issued":{"date-parts":[["2021"]]},"page":"139-152","publisher":"Springer Singapore","title":"Strategic Options for Automobile OEMs of Indian Origin to have Sustained Competitive Advantage: A Case of Tata Motors","type":"article-journal","volume":"16"},"uris":["http://www.mendeley.com/documents/?uuid=c2779bbb-c300-43ae-a54a-b222cf7ff2d6"]}],"mendeley":{"formattedCitation":"(Malagihal, 2021)","plainTextFormattedCitation":"(Malagihal, 2021)","previouslyFormattedCitation":"(Malagihal, 2021)"},"properties":{"noteIndex":0},"schema":"https://github.com/citation-style-language/schema/raw/master/csl-citation.json"}</w:instrText>
      </w:r>
      <w:r w:rsidR="001B5D1F">
        <w:rPr>
          <w:rFonts w:ascii="Times New Roman" w:hAnsi="Times New Roman" w:cs="Times New Roman"/>
          <w:sz w:val="24"/>
          <w:szCs w:val="24"/>
        </w:rPr>
        <w:fldChar w:fldCharType="separate"/>
      </w:r>
      <w:r w:rsidR="001B5D1F" w:rsidRPr="001B5D1F">
        <w:rPr>
          <w:rFonts w:ascii="Times New Roman" w:hAnsi="Times New Roman" w:cs="Times New Roman"/>
          <w:noProof/>
          <w:sz w:val="24"/>
          <w:szCs w:val="24"/>
        </w:rPr>
        <w:t>(Malagihal, 2021)</w:t>
      </w:r>
      <w:r w:rsidR="001B5D1F">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6F96D450" w14:textId="5E773222"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Emission Reduction:</w:t>
      </w:r>
      <w:r w:rsidRPr="00EE52CD">
        <w:rPr>
          <w:rFonts w:ascii="Times New Roman" w:hAnsi="Times New Roman" w:cs="Times New Roman"/>
          <w:sz w:val="24"/>
          <w:szCs w:val="24"/>
        </w:rPr>
        <w:t xml:space="preserve"> In the short term, Volvo has concentrated on reducing the carbon footprint of its internal combustion engine vehicles. The company has invested heavily in research and development to enhance fuel efficiency and lower emissions across its fleet</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10.1080/00343400050005871","author":[{"dropping-particle":"","family":"Bélis-Bergouignan","given":"Marie-Claude","non-dropping-particle":"","parse-names":false,"suffix":""},{"dropping-particle":"","family":"Lung","given":"Yannick","non-dropping-particle":"","parse-names":false,"suffix":""},{"dropping-particle":"","family":"Bordenave","given":"Gerard","non-dropping-particle":"","parse-names":false,"suffix":""}],"container-title":"Regional Studies","id":"ITEM-1","issued":{"date-parts":[["2000","2","1"]]},"page":"41-53","title":"Global Strategies in the Automobile Industry","type":"article-journal","volume":"34"},"uris":["http://www.mendeley.com/documents/?uuid=8ff693c4-3a46-47d2-a566-e70144ab2c22"]}],"mendeley":{"formattedCitation":"(Bélis-Bergouignan, Lung and Bordenave, 2000)","plainTextFormattedCitation":"(Bélis-Bergouignan, Lung and Bordenave, 2000)","previouslyFormattedCitation":"(Bélis-Bergouignan, Lung and Bordenave, 2000)"},"properties":{"noteIndex":0},"schema":"https://github.com/citation-style-language/schema/raw/master/csl-citation.json"}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(Bélis-Bergouignan, Lung and Bordenave, 2000)</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4C7B6185" w14:textId="3F594AA0"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Circular Economy:</w:t>
      </w:r>
      <w:r w:rsidRPr="00EE52CD">
        <w:rPr>
          <w:rFonts w:ascii="Times New Roman" w:hAnsi="Times New Roman" w:cs="Times New Roman"/>
          <w:sz w:val="24"/>
          <w:szCs w:val="24"/>
        </w:rPr>
        <w:t xml:space="preserve"> Volvo is striving to establish a circular economy approach in its manufacturing and production processes. This involves maximizing the lifespan of components, reusing materials, and minimizing waste. Such an approach not only reduces environmental impact but can also lead to cost savings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{"citationItems":[{"id":"ITEM-1","itemData":{"DOI":"10.1177/00194662211063574","ISSN":"0019-4662","abstract":"This study tends to examine the firm-level profitability determinants of Indian automobile and ancillary industry which is recognised for its global competitiveness. The study uses recent dataset to investigate the firm-level profitability determinants in the Indian automobile and ancillary industry and records the effect of shifts in profitability due to change in economic environment. This study intends at using real financial balanced panel data for a period 1999–2019 and applies the two-step system generalised method of moments regression model with robust standard errors. The study has found that lagged profitability, marketing and advertising intensity, firm’s market power and operational efficiency have exercised positive impact on firm-level profitability. Negative and statistically significant impact of raw material import intensity and export intensity highlights the need of planning and implementation of appropriate investment strategies. The findings of this study suggest that firms should pay more attention to optimise their operating expenditures, marketing and advertisement expenditures and expand their market power as a part of their survival and growth strategy.JEL Code: L25","author":[{"dropping-particle":"","family":"Tyagi","given":"Shilpi","non-dropping-particle":"","parse-names":false,"suffix":""},{"dropping-particle":"","family":"Mahajan","given":"Varun","non-dropping-particle":"","parse-names":false,"suffix":""}],"container-title":"The Indian Economic Journal","id":"ITEM-1","issue":"1","issued":{"date-parts":[["2022"]]},"page":"71-87","title":"What Determines Profitability in the Indian Automobile Industry?","type":"article-journal","volume":"70"},"uris":["http://www.mendeley.com/documents/?uuid=657d670a-c9b0-4655-a748-ab33b01cde13"]}],"mendeley":{"formattedCitation":"(Tyagi and Mahajan, 2022)","plainTextFormattedCitation":"(Tyagi and Mahajan, 2022)","previouslyFormattedCitation":"(Tyagi and Mahajan,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(Tyagi and Mahajan,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3BB28D83" w14:textId="5216928F" w:rsidR="00330C89" w:rsidRPr="00EE52CD" w:rsidRDefault="00330C89" w:rsidP="00EE52CD">
      <w:pPr>
        <w:spacing w:line="360" w:lineRule="auto"/>
        <w:jc w:val="both"/>
        <w:rPr>
          <w:rFonts w:ascii="Times New Roman" w:hAnsi="Times New Roman" w:cs="Times New Roman"/>
          <w:sz w:val="24"/>
          <w:szCs w:val="24"/>
        </w:rPr>
      </w:pPr>
      <w:r w:rsidRPr="001B5D1F">
        <w:rPr>
          <w:rFonts w:ascii="Times New Roman" w:hAnsi="Times New Roman" w:cs="Times New Roman"/>
          <w:b/>
          <w:bCs/>
          <w:sz w:val="24"/>
          <w:szCs w:val="24"/>
        </w:rPr>
        <w:t>Supply Chain Sustainability:</w:t>
      </w:r>
      <w:r w:rsidRPr="00EE52CD">
        <w:rPr>
          <w:rFonts w:ascii="Times New Roman" w:hAnsi="Times New Roman" w:cs="Times New Roman"/>
          <w:sz w:val="24"/>
          <w:szCs w:val="24"/>
        </w:rPr>
        <w:t xml:space="preserve"> Recognizing the impact of its supply chain on the environment, Volvo has initiated efforts to collaborate with suppliers who share its commitment to sustainability. This includes responsible sourcing of materials and ensuring ethical </w:t>
      </w:r>
      <w:proofErr w:type="spellStart"/>
      <w:r w:rsidRPr="00EE52CD">
        <w:rPr>
          <w:rFonts w:ascii="Times New Roman" w:hAnsi="Times New Roman" w:cs="Times New Roman"/>
          <w:sz w:val="24"/>
          <w:szCs w:val="24"/>
        </w:rPr>
        <w:t>labor</w:t>
      </w:r>
      <w:proofErr w:type="spellEnd"/>
      <w:r w:rsidRPr="00EE52CD">
        <w:rPr>
          <w:rFonts w:ascii="Times New Roman" w:hAnsi="Times New Roman" w:cs="Times New Roman"/>
          <w:sz w:val="24"/>
          <w:szCs w:val="24"/>
        </w:rPr>
        <w:t xml:space="preserve"> practices.</w:t>
      </w:r>
    </w:p>
    <w:p w14:paraId="2D44A853" w14:textId="47016B6A" w:rsidR="00330C89" w:rsidRPr="00976508" w:rsidRDefault="00330C89" w:rsidP="00EE52CD">
      <w:pPr>
        <w:spacing w:line="360" w:lineRule="auto"/>
        <w:jc w:val="both"/>
        <w:rPr>
          <w:rFonts w:ascii="Times New Roman" w:hAnsi="Times New Roman" w:cs="Times New Roman"/>
          <w:b/>
          <w:bCs/>
          <w:sz w:val="26"/>
          <w:szCs w:val="26"/>
        </w:rPr>
      </w:pPr>
      <w:r w:rsidRPr="00976508">
        <w:rPr>
          <w:rFonts w:ascii="Times New Roman" w:hAnsi="Times New Roman" w:cs="Times New Roman"/>
          <w:b/>
          <w:bCs/>
          <w:sz w:val="26"/>
          <w:szCs w:val="26"/>
        </w:rPr>
        <w:t>Corporate Social Responsibility (CSR): Beyond Profit, Towards Purpose</w:t>
      </w:r>
    </w:p>
    <w:p w14:paraId="3DFA355F" w14:textId="77777777" w:rsidR="00330C89" w:rsidRPr="00EE52CD" w:rsidRDefault="00330C89"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Volvo's CSR initiatives demonstrate its recognition of its role in society beyond mere profit generation. Several noteworthy aspects stand out:</w:t>
      </w:r>
    </w:p>
    <w:p w14:paraId="63577112" w14:textId="6F7C695D"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Safety Advocacy:</w:t>
      </w:r>
      <w:r w:rsidRPr="00EE52CD">
        <w:rPr>
          <w:rFonts w:ascii="Times New Roman" w:hAnsi="Times New Roman" w:cs="Times New Roman"/>
          <w:sz w:val="24"/>
          <w:szCs w:val="24"/>
        </w:rPr>
        <w:t xml:space="preserve"> Volvo has a long-standing reputation for prioritizing vehicle safety. This commitment extends beyond its products to advocating for road safety globally. By sharing its research and expertise, Volvo contributes to reducing accidents and saving lives</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B6D121C" w14:textId="7CE81399"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lastRenderedPageBreak/>
        <w:t>Diversity and Inclusion:</w:t>
      </w:r>
      <w:r w:rsidRPr="00EE52CD">
        <w:rPr>
          <w:rFonts w:ascii="Times New Roman" w:hAnsi="Times New Roman" w:cs="Times New Roman"/>
          <w:sz w:val="24"/>
          <w:szCs w:val="24"/>
        </w:rPr>
        <w:t xml:space="preserve"> Volvo's CSR efforts extend to fostering diversity and inclusion within its workforce. The company understands that a diverse talent pool enhances innovation and overall business performance. Its initiatives focus on gender equality and creating an inclusive workplace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{"citationItems":[{"id":"ITEM-1","itemData":{"DOI":"10.1016/s2212-5671(13)00230-x","ISSN":"22125671","abstract":"Rapid growth of the economy and high purchasing power of its population have made Malaysia the largest passenger car market in ASEAN. With a ratio of 200 cars for every one thousand people, Malaysia ranks among the top countries with high car ownership ratio in the region. Toyota, Honda, KIA, BMW, Mercedes Benz, Volvo are some of the global automotive companies which have set up operations in Malaysia to take advantage of the buoyant consumer demand. Thus, the automotive companies in Malaysia have spent huge amount of money for promotional strategies in order to maintain their sales. To date, the companies have introduced various strategies such as 'promotional mixed' which are advertising, internet marketing, personal selling and public relation/publicity in accordance to changes in the consumers' socio-economy, technology, and competition aspects. Nevertheless, the success of these strategies is vague. Therefore, this study aims to identify which promotional strategies have reached the consumer most and to determine to what extent these promotional strategies influence the consumers. Our model of study is based on AIDA concept and this model proposed that consumers respond to marketing messages in a cognitive (thinking), affective (feeling), and conative (doing) sequence. In addition, the population of the study is the consumers who purchase car in Malaysia. We strongly believe that the study will help the automotive companies in Malaysia to understand the so called \" new \" market and prepare them to be more competitive via promotional strategies.","author":[{"dropping-particle":"","family":"Ali","given":"Nor Amira Mohd","non-dropping-particle":"","parse-names":false,"suffix":""},{"dropping-particle":"","family":"Gafar","given":"Muhammad Hanif Abdul","non-dropping-particle":"","parse-names":false,"suffix":""},{"dropping-particle":"","family":"Akbar","given":"Jamaludin","non-dropping-particle":"","parse-names":false,"suffix":""}],"container-title":"Procedia Economics and Finance","id":"ITEM-1","issue":"Icebr","issued":{"date-parts":[["2013"]]},"page":"158-163","publisher":"Elsevier B.V.","title":"Enhancing Promotional Strategies within Automotive Companies in Malaysia","type":"article-journal","volume":"7"},"uris":["http://www.mendeley.com/documents/?uuid=5dac44bd-b870-4247-9386-bebd09c4bc16"]}],"mendeley":{"formattedCitation":"(Ali, Gafar and Akbar, 2013)","plainTextFormattedCitation":"(Ali, Gafar and Akbar, 2013)","previouslyFormattedCitation":"(Ali, Gafar and Akbar, 2013)"},"properties":{"noteIndex":0},"schema":"https://github.com/citation-style-language/schema/raw/master/csl-citation.json"}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(Ali, Gafar and Akbar, 2013)</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73E2AF0B" w14:textId="77777777"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Community Engagement:</w:t>
      </w:r>
      <w:r w:rsidRPr="00EE52CD">
        <w:rPr>
          <w:rFonts w:ascii="Times New Roman" w:hAnsi="Times New Roman" w:cs="Times New Roman"/>
          <w:sz w:val="24"/>
          <w:szCs w:val="24"/>
        </w:rPr>
        <w:t xml:space="preserve"> Volvo engages with the communities in which it operates through various initiatives. These include educational programs, environmental conservation projects, and charitable contributions, all of which reinforce the company's commitment to social well-being.</w:t>
      </w:r>
    </w:p>
    <w:p w14:paraId="227BCFD6" w14:textId="47ABD931" w:rsidR="00330C89" w:rsidRPr="00EE52CD" w:rsidRDefault="00330C89" w:rsidP="00EE52CD">
      <w:pPr>
        <w:spacing w:line="360" w:lineRule="auto"/>
        <w:jc w:val="both"/>
        <w:rPr>
          <w:rFonts w:ascii="Times New Roman" w:hAnsi="Times New Roman" w:cs="Times New Roman"/>
          <w:sz w:val="24"/>
          <w:szCs w:val="24"/>
        </w:rPr>
      </w:pPr>
      <w:r w:rsidRPr="00386C98">
        <w:rPr>
          <w:rFonts w:ascii="Times New Roman" w:hAnsi="Times New Roman" w:cs="Times New Roman"/>
          <w:b/>
          <w:bCs/>
          <w:sz w:val="24"/>
          <w:szCs w:val="24"/>
        </w:rPr>
        <w:t>Transparency and Accountability:</w:t>
      </w:r>
      <w:r w:rsidRPr="00EE52CD">
        <w:rPr>
          <w:rFonts w:ascii="Times New Roman" w:hAnsi="Times New Roman" w:cs="Times New Roman"/>
          <w:sz w:val="24"/>
          <w:szCs w:val="24"/>
        </w:rPr>
        <w:t xml:space="preserve"> A hallmark of effective CSR is transparency. Volvo regularly communicates its sustainability goals, progress, and challenges. This openness fosters trust among stakeholders and invites them to be part of the company's journey towards a more sustainable future</w:t>
      </w:r>
      <w:r w:rsidR="00386C98">
        <w:rPr>
          <w:rFonts w:ascii="Times New Roman" w:hAnsi="Times New Roman" w:cs="Times New Roman"/>
          <w:sz w:val="24"/>
          <w:szCs w:val="24"/>
        </w:rPr>
        <w:fldChar w:fldCharType="begin" w:fldLock="1"/>
      </w:r>
      <w:r w:rsidR="00386C98">
        <w:rPr>
          <w:rFonts w:ascii="Times New Roman" w:hAnsi="Times New Roman" w:cs="Times New Roman"/>
          <w:sz w:val="24"/>
          <w:szCs w:val="24"/>
        </w:rPr>
        <w:instrText>ADDIN CSL_CITATION {"citationItems":[{"id":"ITEM-1","itemData":{"abstract":"The automotive industry is reported as being one of the main contributors to the global environmental crisis, thus requiring a radical shift in the way they perform business-as-usual (UNFCCC, 2018). The UN and a growing number of studies hail Circular Economy as a holistic economic model that is expected to minimise human's impact on the environment and the resources (UN, 2021; Desing et al., 2021). This study aims to develop a model and to provide a set of recommendations for the automotive supply-chain and policy-makers to enable their transition, acceleration and to boost the adoption of CE. Interviews were conducted with stakeholders and content analysis used to group factors and form a model. The analysis revealed a range of internal and external roadblocks for the adoption of CE. These include differences in the generational mindset, measuring circularity, complex logistics and the lack of innovative solutions. Furthermore, interestingly, the results pointed to a need for redefinition of concepts such as value, design and luxury in order to boost and accelerate the adoption of CE in the automotive sector. This research addresses SDG 8, 9 and 12.","author":[{"dropping-particle":"Del","family":"Angel Hernandez","given":"Monica","non-dropping-particle":"","parse-names":false,"suffix":""},{"dropping-particle":"","family":"Bakthavatchaalam","given":"Venkat","non-dropping-particle":"","parse-names":false,"suffix":""}],"id":"ITEM-1","issue":"December","issued":{"date-parts":[["2022"]]},"page":"1-5","title":"Circular economy as a strategy in European automotive industries to achieve Sustainable Development: A qualitative study","type":"article-journal"},"uris":["http://www.mendeley.com/documents/?uuid=efaad302-1296-4fec-99b9-34fa2b11a849"]}],"mendeley":{"formattedCitation":"(Angel Hernandez and Bakthavatchaalam, 2022)","plainTextFormattedCitation":"(Angel Hernandez and Bakthavatchaalam, 2022)","previouslyFormattedCitation":"(Angel Hernandez and Bakthavatchaalam, 2022)"},"properties":{"noteIndex":0},"schema":"https://github.com/citation-style-language/schema/raw/master/csl-citation.json"}</w:instrText>
      </w:r>
      <w:r w:rsidR="00386C98">
        <w:rPr>
          <w:rFonts w:ascii="Times New Roman" w:hAnsi="Times New Roman" w:cs="Times New Roman"/>
          <w:sz w:val="24"/>
          <w:szCs w:val="24"/>
        </w:rPr>
        <w:fldChar w:fldCharType="separate"/>
      </w:r>
      <w:r w:rsidR="00386C98" w:rsidRPr="00386C98">
        <w:rPr>
          <w:rFonts w:ascii="Times New Roman" w:hAnsi="Times New Roman" w:cs="Times New Roman"/>
          <w:noProof/>
          <w:sz w:val="24"/>
          <w:szCs w:val="24"/>
        </w:rPr>
        <w:t>(Angel Hernandez and Bakthavatchaalam, 2022)</w:t>
      </w:r>
      <w:r w:rsidR="00386C98">
        <w:rPr>
          <w:rFonts w:ascii="Times New Roman" w:hAnsi="Times New Roman" w:cs="Times New Roman"/>
          <w:sz w:val="24"/>
          <w:szCs w:val="24"/>
        </w:rPr>
        <w:fldChar w:fldCharType="end"/>
      </w:r>
      <w:r w:rsidRPr="00EE52CD">
        <w:rPr>
          <w:rFonts w:ascii="Times New Roman" w:hAnsi="Times New Roman" w:cs="Times New Roman"/>
          <w:sz w:val="24"/>
          <w:szCs w:val="24"/>
        </w:rPr>
        <w:t>.</w:t>
      </w:r>
    </w:p>
    <w:p w14:paraId="1A68CC82" w14:textId="0FFB73BC" w:rsidR="00E423AA" w:rsidRPr="00EE52CD" w:rsidRDefault="00E423AA" w:rsidP="00F845FD">
      <w:pPr>
        <w:pStyle w:val="Heading1"/>
      </w:pPr>
      <w:bookmarkStart w:id="19" w:name="_Toc144232070"/>
      <w:r w:rsidRPr="00EE52CD">
        <w:t>Conclusion</w:t>
      </w:r>
      <w:bookmarkEnd w:id="19"/>
    </w:p>
    <w:p w14:paraId="079729ED" w14:textId="3F2F077D" w:rsidR="00E423AA" w:rsidRPr="00EE52CD" w:rsidRDefault="00E423AA" w:rsidP="00EE52CD">
      <w:pPr>
        <w:spacing w:line="360" w:lineRule="auto"/>
        <w:jc w:val="both"/>
        <w:rPr>
          <w:rFonts w:ascii="Times New Roman" w:hAnsi="Times New Roman" w:cs="Times New Roman"/>
          <w:sz w:val="24"/>
          <w:szCs w:val="24"/>
        </w:rPr>
      </w:pPr>
      <w:r w:rsidRPr="00EE52CD">
        <w:rPr>
          <w:rFonts w:ascii="Times New Roman" w:hAnsi="Times New Roman" w:cs="Times New Roman"/>
          <w:sz w:val="24"/>
          <w:szCs w:val="24"/>
        </w:rPr>
        <w:t>In conclusion, the analysis of Volvo's strategic management provides a comprehensive overview of the company's competitive landscape, internal strengths, and external opportunities and challenges. The examination of its mission, objectives, and strategic resources has revealed how Volvo positions itself in the automotive market. The strategic analysis, including PESTEL, Porter's Five Forces, and SWOT, underscores the importance of a holistic understanding of the business environment. Volvo's commitment to sustainability and CSR initiatives is noteworthy, aligning with the growing global emphasis on ethical and responsible business practices. Moreover, the exploration of growth strategies emphasizes the need for a dynamic approach to remain adaptable in an ever-changing market. As we conclude this analysis, it is evident that Volvo's strategic decisions are underpinned by a deep understanding of its internal capabilities and external environment. The company's ability to innovate, adapt, and invest in sustainable practices positions it favourably in the competitive landscape. However, like any organization, Volvo must remain vigilant and agile to navigate the uncertainties that lie ahead. This analysis not only sheds light on Volvo's strategic trajectory but also underscores the significance of strategic management in shaping a company's future. As Volvo continues to evolve and redefine its role in the automotive industry, the lessons derived from this analysis offer insights applicable to businesses across various sectors.</w:t>
      </w:r>
    </w:p>
    <w:p w14:paraId="341DF967" w14:textId="161FD3F4" w:rsidR="00E423AA" w:rsidRPr="00EE52CD" w:rsidRDefault="00E423AA" w:rsidP="00F845FD">
      <w:pPr>
        <w:pStyle w:val="Heading1"/>
      </w:pPr>
      <w:bookmarkStart w:id="20" w:name="_Toc144232071"/>
      <w:r w:rsidRPr="00EE52CD">
        <w:lastRenderedPageBreak/>
        <w:t>Recommendation</w:t>
      </w:r>
      <w:bookmarkEnd w:id="20"/>
      <w:r w:rsidRPr="00EE52CD">
        <w:t xml:space="preserve"> </w:t>
      </w:r>
    </w:p>
    <w:p w14:paraId="15015923" w14:textId="2CBF9934" w:rsidR="00E423AA" w:rsidRPr="00386C98" w:rsidRDefault="00E423AA" w:rsidP="00EE52CD">
      <w:pPr>
        <w:spacing w:line="360" w:lineRule="auto"/>
        <w:jc w:val="both"/>
        <w:rPr>
          <w:rFonts w:ascii="Times New Roman" w:hAnsi="Times New Roman" w:cs="Times New Roman"/>
          <w:b/>
          <w:bCs/>
          <w:sz w:val="24"/>
          <w:szCs w:val="24"/>
        </w:rPr>
      </w:pPr>
      <w:r w:rsidRPr="00386C98">
        <w:rPr>
          <w:rFonts w:ascii="Times New Roman" w:hAnsi="Times New Roman" w:cs="Times New Roman"/>
          <w:b/>
          <w:bCs/>
          <w:sz w:val="24"/>
          <w:szCs w:val="24"/>
        </w:rPr>
        <w:t>Electric Vehicle (EV) Innovation</w:t>
      </w:r>
    </w:p>
    <w:p w14:paraId="7EB90F6D" w14:textId="77777777" w:rsidR="00E423AA" w:rsidRPr="00F845FD" w:rsidRDefault="00E423AA" w:rsidP="00F845FD">
      <w:pPr>
        <w:pStyle w:val="ListParagraph"/>
        <w:numPr>
          <w:ilvl w:val="0"/>
          <w:numId w:val="40"/>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investing in research and development of electric vehicle technology.</w:t>
      </w:r>
    </w:p>
    <w:p w14:paraId="1C91C129" w14:textId="77777777" w:rsidR="00E423AA" w:rsidRPr="00F845FD" w:rsidRDefault="00E423AA" w:rsidP="00F845FD">
      <w:pPr>
        <w:pStyle w:val="ListParagraph"/>
        <w:numPr>
          <w:ilvl w:val="0"/>
          <w:numId w:val="40"/>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Expand the range of electric models to cater to a wider market segment.</w:t>
      </w:r>
    </w:p>
    <w:p w14:paraId="1EABFF6A" w14:textId="77777777" w:rsidR="00E423AA" w:rsidRPr="00F845FD" w:rsidRDefault="00E423AA" w:rsidP="00F845FD">
      <w:pPr>
        <w:pStyle w:val="ListParagraph"/>
        <w:numPr>
          <w:ilvl w:val="0"/>
          <w:numId w:val="40"/>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Focus on improving battery technology to enhance range, charging speed, and overall performance.</w:t>
      </w:r>
    </w:p>
    <w:p w14:paraId="47723DDB" w14:textId="77777777" w:rsidR="00E423AA" w:rsidRDefault="00E423AA" w:rsidP="00F845FD">
      <w:pPr>
        <w:pStyle w:val="ListParagraph"/>
        <w:numPr>
          <w:ilvl w:val="0"/>
          <w:numId w:val="40"/>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Establish a robust charging infrastructure partnership to alleviate "range anxiety" for customers.</w:t>
      </w:r>
    </w:p>
    <w:p w14:paraId="4CA66321" w14:textId="5EF3C527" w:rsidR="00976508" w:rsidRPr="00976508" w:rsidRDefault="00976508" w:rsidP="00976508">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{"citationItems":[{"id":"ITEM-1","itemData":{"author":[{"dropping-particle":"","family":"Anderson, Brown","given":"S. G","non-dropping-particle":"","parse-names":false,"suffix":""}],"container-title":"journal of Strategic Management","id":"ITEM-1","issued":{"date-parts":[["2019"]]},"page":"45-62","title":"Electric Vehicles and Competitive Advantage: The Case of Tesla Motors Inc.","type":"article-journal","volume":"16(3)"},"uris":["http://www.mendeley.com/documents/?uuid=2dc671e6-84cd-4598-bd01-a239855952e0"]}],"mendeley":{"formattedCitation":"(Anderson, Brown, 2019)","plainTextFormattedCitation":"(Anderson, Brown, 2019)","previouslyFormattedCitation":"(Anderson, Brown, 2019)"},"properties":{"noteIndex":0},"schema":"https://github.com/citation-style-language/schema/raw/master/csl-citation.json"}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(Anderson, Brown, 2019)</w:t>
      </w:r>
      <w:r>
        <w:rPr>
          <w:rFonts w:ascii="Times New Roman" w:hAnsi="Times New Roman" w:cs="Times New Roman"/>
          <w:sz w:val="24"/>
          <w:szCs w:val="24"/>
        </w:rPr>
        <w:fldChar w:fldCharType="end"/>
      </w:r>
    </w:p>
    <w:p w14:paraId="04BBC4D1" w14:textId="6739DC9C"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Autonomous Driving Advancements</w:t>
      </w:r>
    </w:p>
    <w:p w14:paraId="160195B4" w14:textId="77777777" w:rsidR="00E423AA" w:rsidRPr="00F845FD" w:rsidRDefault="00E423AA" w:rsidP="00F845FD">
      <w:pPr>
        <w:pStyle w:val="ListParagraph"/>
        <w:numPr>
          <w:ilvl w:val="0"/>
          <w:numId w:val="4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Accelerate efforts in developing autonomous driving capabilities.</w:t>
      </w:r>
    </w:p>
    <w:p w14:paraId="55D8E76A" w14:textId="77777777" w:rsidR="00E423AA" w:rsidRPr="00F845FD" w:rsidRDefault="00E423AA" w:rsidP="00F845FD">
      <w:pPr>
        <w:pStyle w:val="ListParagraph"/>
        <w:numPr>
          <w:ilvl w:val="0"/>
          <w:numId w:val="4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companies and experts to ensure safety and efficiency.</w:t>
      </w:r>
    </w:p>
    <w:p w14:paraId="7D32C337" w14:textId="77777777" w:rsidR="00E423AA" w:rsidRPr="00F845FD" w:rsidRDefault="00E423AA" w:rsidP="00F845FD">
      <w:pPr>
        <w:pStyle w:val="ListParagraph"/>
        <w:numPr>
          <w:ilvl w:val="0"/>
          <w:numId w:val="4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Prioritize testing and refining autonomous systems under diverse real-world conditions.</w:t>
      </w:r>
    </w:p>
    <w:p w14:paraId="1F7822E6" w14:textId="77777777" w:rsidR="00E423AA" w:rsidRDefault="00E423AA" w:rsidP="00F845FD">
      <w:pPr>
        <w:pStyle w:val="ListParagraph"/>
        <w:numPr>
          <w:ilvl w:val="0"/>
          <w:numId w:val="41"/>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Communicate effectively about the gradual introduction of autonomous features to build customer trust.</w:t>
      </w:r>
    </w:p>
    <w:p w14:paraId="00BA96F7" w14:textId="4292C57F"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{"citationItems":[{"id":"ITEM-1","itemData":{"author":[{"dropping-particle":"","family":"Green","given":"E. T","non-dropping-particle":"","parse-names":false,"suffix":""}],"container-title":"Journal of Sustainable Business","id":"ITEM-1","issued":{"date-parts":[["2022"]]},"page":"57-73","title":"Environmental Responsibility and Corporate Transition to Electric Vehicles.","type":"article-journal","volume":"24(4)"},"uris":["http://www.mendeley.com/documents/?uuid=6218a094-ba1a-46b3-9c6d-009dea3312e8"]}],"mendeley":{"formattedCitation":"(Green, 2022)","plainTextFormattedCitation":"(Green, 2022)","previouslyFormattedCitation":"(Green, 2022)"},"properties":{"noteIndex":0},"schema":"https://github.com/citation-style-language/schema/raw/master/csl-citation.json"}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(Green, 2022)</w:t>
      </w:r>
      <w:r>
        <w:rPr>
          <w:rFonts w:ascii="Times New Roman" w:hAnsi="Times New Roman" w:cs="Times New Roman"/>
          <w:sz w:val="24"/>
          <w:szCs w:val="24"/>
        </w:rPr>
        <w:fldChar w:fldCharType="end"/>
      </w:r>
    </w:p>
    <w:p w14:paraId="5EDF863A" w14:textId="4DD6FE9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Sustainable Manufacturing and Materials</w:t>
      </w:r>
    </w:p>
    <w:p w14:paraId="25E98668" w14:textId="77777777" w:rsidR="00E423AA" w:rsidRPr="00F845FD" w:rsidRDefault="00E423AA" w:rsidP="00F845FD">
      <w:pPr>
        <w:pStyle w:val="ListParagraph"/>
        <w:numPr>
          <w:ilvl w:val="0"/>
          <w:numId w:val="4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Strengthen commitment to eco-friendly manufacturing processes.</w:t>
      </w:r>
    </w:p>
    <w:p w14:paraId="0AD61801" w14:textId="77777777" w:rsidR="00E423AA" w:rsidRPr="00F845FD" w:rsidRDefault="00E423AA" w:rsidP="00F845FD">
      <w:pPr>
        <w:pStyle w:val="ListParagraph"/>
        <w:numPr>
          <w:ilvl w:val="0"/>
          <w:numId w:val="4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Increase the use of recycled and sustainable materials in vehicle production.</w:t>
      </w:r>
    </w:p>
    <w:p w14:paraId="52639822" w14:textId="77777777" w:rsidR="00E423AA" w:rsidRPr="00F845FD" w:rsidRDefault="00E423AA" w:rsidP="00F845FD">
      <w:pPr>
        <w:pStyle w:val="ListParagraph"/>
        <w:numPr>
          <w:ilvl w:val="0"/>
          <w:numId w:val="4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energy-efficient practices in manufacturing facilities.</w:t>
      </w:r>
    </w:p>
    <w:p w14:paraId="51D02BEA" w14:textId="77777777" w:rsidR="00E423AA" w:rsidRDefault="00E423AA" w:rsidP="00F845FD">
      <w:pPr>
        <w:pStyle w:val="ListParagraph"/>
        <w:numPr>
          <w:ilvl w:val="0"/>
          <w:numId w:val="42"/>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Educate consumers about the brand's dedication to sustainability, aligning with evolving consumer preferences.</w:t>
      </w:r>
    </w:p>
    <w:p w14:paraId="5C0CBD5A" w14:textId="0FFDE408"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{"citationItems":[{"id":"ITEM-1","itemData":{"abstract":"Recent advances in machine learning have enabled its wide application in different domains, and one of the most exciting applications is autonomous vehicles (AVs), which have encouraged the development of a number of ML algorithms from perception to prediction to planning. However, training AVs usually requires a large amount of training data collected from different driving environments (e.g., cities) as well as different types of personal information (e.g., working hours and routes). Such collected large data, treated as the new oil for ML in the data-centric AI era, usually contains a large amount of privacy-sensitive information which is hard to remove or even audit. Although existing privacy protection approaches have achieved certain theoretical and empirical success, there is still a gap when applying them to real-world applications such as autonomous vehicles. For instance, when training AVs, not only can individually identifiable information reveal privacy-sensitive information, but also population-level information such as road construction within a city, and proprietary-level commercial secrets of AVs. Thus, it is critical to revisit the frontier of privacy risks and corresponding protection approaches in AVs to bridge this gap. Following this goal, in this work, we provide a new taxonomy for privacy risks and protection methods in AVs, and we categorize privacy in AVs into three levels: individual, population, and proprietary. We explicitly list out recent challenges to protect each of these levels of privacy, summarize existing solutions to these challenges, discuss the lessons and conclusions, and provide potential future directions and opportunities for both researchers and practitioners. We believe this work will help to shape the privacy research in AV and guide the privacy protection technology design.","author":[{"dropping-particle":"","family":"Xie","given":"Chulin","non-dropping-particle":"","parse-names":false,"suffix":""},{"dropping-particle":"","family":"Cao","given":"Zhong","non-dropping-particle":"","parse-names":false,"suffix":""},{"dropping-particle":"","family":"Long","given":"Yunhui","non-dropping-particle":"","parse-names":false,"suffix":""},{"dropping-particle":"","family":"Yang","given":"Diange","non-dropping-particle":"","parse-names":false,"suffix":""},{"dropping-particle":"","family":"Zhao","given":"Ding","non-dropping-particle":"","parse-names":false,"suffix":""},{"dropping-particle":"","family":"Li","given":"Bo","non-dropping-particle":"","parse-names":false,"suffix":""}],"id":"ITEM-1","issued":{"date-parts":[["2022"]]},"page":"1-17","title":"Privacy of Autonomous Vehicles: Risks, Protection Methods, and Future Directions","type":"article-journal"},"uris":["http://www.mendeley.com/documents/?uuid=682fb664-4a00-41e2-ad1c-7ccb76d13753"]}],"mendeley":{"formattedCitation":"(Xie &lt;i&gt;et al.&lt;/i&gt;, 2022)","plainTextFormattedCitation":"(Xie et al., 2022)","previouslyFormattedCitation":"(Xie &lt;i&gt;et al.&lt;/i&gt;, 2022)"},"properties":{"noteIndex":0},"schema":"https://github.com/citation-style-language/schema/raw/master/csl-citation.json"}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 xml:space="preserve">(Xie </w:t>
      </w:r>
      <w:r w:rsidRPr="00976508">
        <w:rPr>
          <w:rFonts w:ascii="Times New Roman" w:hAnsi="Times New Roman" w:cs="Times New Roman"/>
          <w:i/>
          <w:noProof/>
          <w:sz w:val="24"/>
          <w:szCs w:val="24"/>
        </w:rPr>
        <w:t>et al.</w:t>
      </w:r>
      <w:r w:rsidRPr="00976508">
        <w:rPr>
          <w:rFonts w:ascii="Times New Roman" w:hAnsi="Times New Roman" w:cs="Times New Roman"/>
          <w:noProof/>
          <w:sz w:val="24"/>
          <w:szCs w:val="24"/>
        </w:rPr>
        <w:t>, 2022)</w:t>
      </w:r>
      <w:r>
        <w:rPr>
          <w:rFonts w:ascii="Times New Roman" w:hAnsi="Times New Roman" w:cs="Times New Roman"/>
          <w:sz w:val="24"/>
          <w:szCs w:val="24"/>
        </w:rPr>
        <w:fldChar w:fldCharType="end"/>
      </w:r>
    </w:p>
    <w:p w14:paraId="3A318880" w14:textId="7C72122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Digital Integration and Connectivity</w:t>
      </w:r>
    </w:p>
    <w:p w14:paraId="6E728B38" w14:textId="77777777" w:rsidR="00E423AA" w:rsidRPr="00F845FD" w:rsidRDefault="00E423AA" w:rsidP="00F845FD">
      <w:pPr>
        <w:pStyle w:val="ListParagraph"/>
        <w:numPr>
          <w:ilvl w:val="0"/>
          <w:numId w:val="4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Enhance the in-car infotainment system to provide seamless connectivity.</w:t>
      </w:r>
    </w:p>
    <w:p w14:paraId="3B53D130" w14:textId="77777777" w:rsidR="00E423AA" w:rsidRPr="00F845FD" w:rsidRDefault="00E423AA" w:rsidP="00F845FD">
      <w:pPr>
        <w:pStyle w:val="ListParagraph"/>
        <w:numPr>
          <w:ilvl w:val="0"/>
          <w:numId w:val="4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Develop a user-friendly mobile app for remote vehicle monitoring and control.</w:t>
      </w:r>
    </w:p>
    <w:p w14:paraId="198D035E" w14:textId="77777777" w:rsidR="00E423AA" w:rsidRPr="00F845FD" w:rsidRDefault="00E423AA" w:rsidP="00F845FD">
      <w:pPr>
        <w:pStyle w:val="ListParagraph"/>
        <w:numPr>
          <w:ilvl w:val="0"/>
          <w:numId w:val="4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Invest in over-the-air (OTA) software updates to improve vehicle performance and add new features.</w:t>
      </w:r>
    </w:p>
    <w:p w14:paraId="51C6FA53" w14:textId="77777777" w:rsidR="00E423AA" w:rsidRDefault="00E423AA" w:rsidP="00F845FD">
      <w:pPr>
        <w:pStyle w:val="ListParagraph"/>
        <w:numPr>
          <w:ilvl w:val="0"/>
          <w:numId w:val="43"/>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Ensure data security and privacy measures are in place to build customer confidence.</w:t>
      </w:r>
    </w:p>
    <w:p w14:paraId="40D3FBAD" w14:textId="1904B9A5"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fldChar w:fldCharType="begin" w:fldLock="1"/>
      </w:r>
      <w:r>
        <w:rPr>
          <w:rFonts w:ascii="Times New Roman" w:hAnsi="Times New Roman" w:cs="Times New Roman"/>
          <w:sz w:val="24"/>
          <w:szCs w:val="24"/>
        </w:rPr>
        <w:instrText>ADDIN CSL_CITATION {"citationItems":[{"id":"ITEM-1","itemData":{"author":[{"dropping-particle":"","family":"Anderson, Brown","given":"S. G","non-dropping-particle":"","parse-names":false,"suffix":""}],"container-title":"journal of Strategic Management","id":"ITEM-1","issued":{"date-parts":[["2019"]]},"page":"45-62","title":"Electric Vehicles and Competitive Advantage: The Case of Tesla Motors Inc.","type":"article-journal","volume":"16(3)"},"uris":["http://www.mendeley.com/documents/?uuid=2dc671e6-84cd-4598-bd01-a239855952e0"]}],"mendeley":{"formattedCitation":"(Anderson, Brown, 2019)","plainTextFormattedCitation":"(Anderson, Brown, 2019)","previouslyFormattedCitation":"(Anderson, Brown, 2019)"},"properties":{"noteIndex":0},"schema":"https://github.com/citation-style-language/schema/raw/master/csl-citation.json"}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(Anderson, Brown, 2019)</w:t>
      </w:r>
      <w:r>
        <w:rPr>
          <w:rFonts w:ascii="Times New Roman" w:hAnsi="Times New Roman" w:cs="Times New Roman"/>
          <w:sz w:val="24"/>
          <w:szCs w:val="24"/>
        </w:rPr>
        <w:fldChar w:fldCharType="end"/>
      </w:r>
    </w:p>
    <w:p w14:paraId="597E1F70" w14:textId="3F071C8D"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Global Market Expansion</w:t>
      </w:r>
    </w:p>
    <w:p w14:paraId="5DAC1446" w14:textId="77777777" w:rsidR="00E423AA" w:rsidRPr="00F845FD" w:rsidRDefault="00E423AA" w:rsidP="00F845FD">
      <w:pPr>
        <w:pStyle w:val="ListParagraph"/>
        <w:numPr>
          <w:ilvl w:val="0"/>
          <w:numId w:val="4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Continue focusing on key markets while exploring growth opportunities in emerging economies.</w:t>
      </w:r>
    </w:p>
    <w:p w14:paraId="2D92A0E4" w14:textId="77777777" w:rsidR="00E423AA" w:rsidRPr="00F845FD" w:rsidRDefault="00E423AA" w:rsidP="00F845FD">
      <w:pPr>
        <w:pStyle w:val="ListParagraph"/>
        <w:numPr>
          <w:ilvl w:val="0"/>
          <w:numId w:val="4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Tailor marketing strategies to address specific cultural and regional preferences.</w:t>
      </w:r>
    </w:p>
    <w:p w14:paraId="6D330E09" w14:textId="77777777" w:rsidR="00E423AA" w:rsidRDefault="00E423AA" w:rsidP="00F845FD">
      <w:pPr>
        <w:pStyle w:val="ListParagraph"/>
        <w:numPr>
          <w:ilvl w:val="0"/>
          <w:numId w:val="44"/>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Consider partnerships with local companies for better market penetration and understanding.</w:t>
      </w:r>
    </w:p>
    <w:p w14:paraId="6C0B171C" w14:textId="514342C9"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{"citationItems":[{"id":"ITEM-1","itemData":{"abstract":"Aim: Paper reviews the trends in private equity\\n\\nCriteria applied in the paper that can be transferred for differentiation of investors:\\n\\nResults:\\n-&gt; (p. 7) It is becoming more difficult to generate financial returns realized through financial engineering alone. Private equity fund need the expertise to deliver changes in strategy and product development, rather than just financial structuring, indicating a shift to buyouts involving businesses where managers have identified entrepreneurial opportunities that cannot be delivered\\nwithin the pre-buy-out bureaucratic corporate structure. 69.6{%} of private equity backed buyouts increased their product range, 62.5{%} expanded into new markets, 53.7{%} invested in new sites or locations and 52{%} developed existing sites. -&gt;Comment: These developments have an impact on investor behavior and increase the heterogeneity of investors because operational involvement requires more specialised know-how / strategic focus","author":[{"dropping-particle":"","family":"Wright","given":"Mike","non-dropping-particle":"","parse-names":false,"suffix":""},{"dropping-particle":"","family":"Burrows","given":"Andrew","non-dropping-particle":"","parse-names":false,"suffix":""},{"dropping-particle":"","family":"Ball","given":"Rod","non-dropping-particle":"","parse-names":false,"suffix":""},{"dropping-particle":"","family":"Scholes","given":"Louise","non-dropping-particle":"","parse-names":false,"suffix":""},{"dropping-particle":"","family":"Meuleman","given":"Miguel","non-dropping-particle":"","parse-names":false,"suffix":""},{"dropping-particle":"","family":"Amess","given":"Kevin","non-dropping-particle":"","parse-names":false,"suffix":""}],"id":"ITEM-1","issued":{"date-parts":[["2007"]]},"page":"1-69","title":"The implications of alternative investment vehicles for corporate governance: A survey of empirical research","type":"article-journal"},"uris":["http://www.mendeley.com/documents/?uuid=c7fe35b1-56f6-47ec-ba3e-fcb184cef5e4"]}],"mendeley":{"formattedCitation":"(Wright &lt;i&gt;et al.&lt;/i&gt;, 2007)","plainTextFormattedCitation":"(Wright et al., 2007)","previouslyFormattedCitation":"(Wright &lt;i&gt;et al.&lt;/i&gt;, 2007)"},"properties":{"noteIndex":0},"schema":"https://github.com/citation-style-language/schema/raw/master/csl-citation.json"}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 xml:space="preserve">(Wright </w:t>
      </w:r>
      <w:r w:rsidRPr="00976508">
        <w:rPr>
          <w:rFonts w:ascii="Times New Roman" w:hAnsi="Times New Roman" w:cs="Times New Roman"/>
          <w:i/>
          <w:noProof/>
          <w:sz w:val="24"/>
          <w:szCs w:val="24"/>
        </w:rPr>
        <w:t>et al.</w:t>
      </w:r>
      <w:r w:rsidRPr="00976508">
        <w:rPr>
          <w:rFonts w:ascii="Times New Roman" w:hAnsi="Times New Roman" w:cs="Times New Roman"/>
          <w:noProof/>
          <w:sz w:val="24"/>
          <w:szCs w:val="24"/>
        </w:rPr>
        <w:t>, 2007)</w:t>
      </w:r>
      <w:r>
        <w:rPr>
          <w:rFonts w:ascii="Times New Roman" w:hAnsi="Times New Roman" w:cs="Times New Roman"/>
          <w:sz w:val="24"/>
          <w:szCs w:val="24"/>
        </w:rPr>
        <w:fldChar w:fldCharType="end"/>
      </w:r>
    </w:p>
    <w:p w14:paraId="5AAE6CD9" w14:textId="554DCF67"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Customer Experience and Brand Loyalty</w:t>
      </w:r>
    </w:p>
    <w:p w14:paraId="45BCEDB4" w14:textId="77777777" w:rsidR="00E423AA" w:rsidRPr="00F845FD" w:rsidRDefault="00E423AA" w:rsidP="00F845FD">
      <w:pPr>
        <w:pStyle w:val="ListParagraph"/>
        <w:numPr>
          <w:ilvl w:val="0"/>
          <w:numId w:val="4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Provide exceptional customer service to enhance brand loyalty.</w:t>
      </w:r>
    </w:p>
    <w:p w14:paraId="7BF7FA03" w14:textId="77777777" w:rsidR="00E423AA" w:rsidRPr="00F845FD" w:rsidRDefault="00E423AA" w:rsidP="00F845FD">
      <w:pPr>
        <w:pStyle w:val="ListParagraph"/>
        <w:numPr>
          <w:ilvl w:val="0"/>
          <w:numId w:val="4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Offer personalized buying experiences, such as online configurators and virtual showrooms.</w:t>
      </w:r>
    </w:p>
    <w:p w14:paraId="733F4D4F" w14:textId="77777777" w:rsidR="00E423AA" w:rsidRPr="00F845FD" w:rsidRDefault="00E423AA" w:rsidP="00F845FD">
      <w:pPr>
        <w:pStyle w:val="ListParagraph"/>
        <w:numPr>
          <w:ilvl w:val="0"/>
          <w:numId w:val="4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Implement proactive recall and maintenance programs to demonstrate commitment to customer safety.</w:t>
      </w:r>
    </w:p>
    <w:p w14:paraId="5E85B23A" w14:textId="77777777" w:rsidR="00E423AA" w:rsidRDefault="00E423AA" w:rsidP="00F845FD">
      <w:pPr>
        <w:pStyle w:val="ListParagraph"/>
        <w:numPr>
          <w:ilvl w:val="0"/>
          <w:numId w:val="45"/>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Foster an active online community to encourage brand advocacy and engagement.</w:t>
      </w:r>
    </w:p>
    <w:p w14:paraId="1BC23B10" w14:textId="6942592E"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{"citationItems":[{"id":"ITEM-1","itemData":{"author":[{"dropping-particle":"","family":"Tiselius","given":"Karl","non-dropping-particle":"","parse-names":false,"suffix":""}],"id":"ITEM-1","issued":{"date-parts":[["2020"]]},"title":"Developing strategic supplier relationships at Volvo Powertrain","type":"article-journal"},"uris":["http://www.mendeley.com/documents/?uuid=c48d7aab-6fb3-49f2-a7ba-4871060b515b"]}],"mendeley":{"formattedCitation":"(Tiselius, 2020)","plainTextFormattedCitation":"(Tiselius, 2020)","previouslyFormattedCitation":"(Tiselius, 2020)"},"properties":{"noteIndex":0},"schema":"https://github.com/citation-style-language/schema/raw/master/csl-citation.json"}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(Tiselius, 2020)</w:t>
      </w:r>
      <w:r>
        <w:rPr>
          <w:rFonts w:ascii="Times New Roman" w:hAnsi="Times New Roman" w:cs="Times New Roman"/>
          <w:sz w:val="24"/>
          <w:szCs w:val="24"/>
        </w:rPr>
        <w:fldChar w:fldCharType="end"/>
      </w:r>
    </w:p>
    <w:p w14:paraId="4A1355E1" w14:textId="07DA213F"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Collaboration for Technological Advancement</w:t>
      </w:r>
    </w:p>
    <w:p w14:paraId="3CD61CB5" w14:textId="77777777" w:rsidR="00E423AA" w:rsidRPr="00F845FD" w:rsidRDefault="00E423AA" w:rsidP="00F845FD">
      <w:pPr>
        <w:pStyle w:val="ListParagraph"/>
        <w:numPr>
          <w:ilvl w:val="0"/>
          <w:numId w:val="4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Collaborate with tech giants, startups, and research institutions for cutting-edge innovations.</w:t>
      </w:r>
    </w:p>
    <w:p w14:paraId="7D18255D" w14:textId="77777777" w:rsidR="00E423AA" w:rsidRPr="00F845FD" w:rsidRDefault="00E423AA" w:rsidP="00F845FD">
      <w:pPr>
        <w:pStyle w:val="ListParagraph"/>
        <w:numPr>
          <w:ilvl w:val="0"/>
          <w:numId w:val="4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Jointly work on advanced safety systems, AI applications, and sustainable solutions.</w:t>
      </w:r>
    </w:p>
    <w:p w14:paraId="225E6A48" w14:textId="77777777" w:rsidR="00E423AA" w:rsidRDefault="00E423AA" w:rsidP="00F845FD">
      <w:pPr>
        <w:pStyle w:val="ListParagraph"/>
        <w:numPr>
          <w:ilvl w:val="0"/>
          <w:numId w:val="46"/>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Participate in industry-wide initiatives to set higher safety and sustainability standards.</w:t>
      </w:r>
    </w:p>
    <w:p w14:paraId="047EF287" w14:textId="1265D7EC"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{"citationItems":[{"id":"ITEM-1","itemData":{"DOI":"10.17051/ilkonline.2021.05.306","author":[{"dropping-particle":"","family":"Bhuvaneswari","given":"S","non-dropping-particle":"","parse-names":false,"suffix":""},{"dropping-particle":"","family":"Scholar","given":"Ph D","non-dropping-particle":"","parse-names":false,"suffix":""}],"id":"ITEM-1","issue":"5","issued":{"date-parts":[["2021"]]},"page":"2814-2817","title":"Performance of Automobile Industry in India – a Case Study of Tamilnadu","type":"article-journal","volume":"20"},"uris":["http://www.mendeley.com/documents/?uuid=b81ce381-fea6-457c-8e79-7036c5f68dce"]}],"mendeley":{"formattedCitation":"(Bhuvaneswari and Scholar, 2021)","plainTextFormattedCitation":"(Bhuvaneswari and Scholar, 2021)","previouslyFormattedCitation":"(Bhuvaneswari and Scholar, 2021)"},"properties":{"noteIndex":0},"schema":"https://github.com/citation-style-language/schema/raw/master/csl-citation.json"}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(Bhuvaneswari and Scholar, 2021)</w:t>
      </w:r>
      <w:r>
        <w:rPr>
          <w:rFonts w:ascii="Times New Roman" w:hAnsi="Times New Roman" w:cs="Times New Roman"/>
          <w:sz w:val="24"/>
          <w:szCs w:val="24"/>
        </w:rPr>
        <w:fldChar w:fldCharType="end"/>
      </w:r>
    </w:p>
    <w:p w14:paraId="376AA6D5" w14:textId="4820BEE9" w:rsidR="00E423AA" w:rsidRPr="00F845FD" w:rsidRDefault="00E423AA" w:rsidP="00EE52CD">
      <w:pPr>
        <w:spacing w:line="360" w:lineRule="auto"/>
        <w:jc w:val="both"/>
        <w:rPr>
          <w:rFonts w:ascii="Times New Roman" w:hAnsi="Times New Roman" w:cs="Times New Roman"/>
          <w:b/>
          <w:bCs/>
          <w:sz w:val="24"/>
          <w:szCs w:val="24"/>
        </w:rPr>
      </w:pPr>
      <w:r w:rsidRPr="00F845FD">
        <w:rPr>
          <w:rFonts w:ascii="Times New Roman" w:hAnsi="Times New Roman" w:cs="Times New Roman"/>
          <w:b/>
          <w:bCs/>
          <w:sz w:val="24"/>
          <w:szCs w:val="24"/>
        </w:rPr>
        <w:t>Diversification of Mobility Services</w:t>
      </w:r>
    </w:p>
    <w:p w14:paraId="118F0B94" w14:textId="77777777" w:rsidR="00E423AA" w:rsidRPr="00F845FD" w:rsidRDefault="00E423AA" w:rsidP="00F845FD">
      <w:pPr>
        <w:pStyle w:val="ListParagraph"/>
        <w:numPr>
          <w:ilvl w:val="0"/>
          <w:numId w:val="4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Explore mobility-as-a-service (</w:t>
      </w:r>
      <w:proofErr w:type="spellStart"/>
      <w:r w:rsidRPr="00F845FD">
        <w:rPr>
          <w:rFonts w:ascii="Times New Roman" w:hAnsi="Times New Roman" w:cs="Times New Roman"/>
          <w:sz w:val="24"/>
          <w:szCs w:val="24"/>
        </w:rPr>
        <w:t>MaaS</w:t>
      </w:r>
      <w:proofErr w:type="spellEnd"/>
      <w:r w:rsidRPr="00F845FD">
        <w:rPr>
          <w:rFonts w:ascii="Times New Roman" w:hAnsi="Times New Roman" w:cs="Times New Roman"/>
          <w:sz w:val="24"/>
          <w:szCs w:val="24"/>
        </w:rPr>
        <w:t>) models to cater to evolving urban transportation needs.</w:t>
      </w:r>
    </w:p>
    <w:p w14:paraId="37BBEA35" w14:textId="74760D2B" w:rsidR="00E423AA" w:rsidRPr="00F845FD" w:rsidRDefault="00E423AA" w:rsidP="00F845FD">
      <w:pPr>
        <w:pStyle w:val="ListParagraph"/>
        <w:numPr>
          <w:ilvl w:val="0"/>
          <w:numId w:val="4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 xml:space="preserve">Develop </w:t>
      </w:r>
      <w:r w:rsidR="00976508" w:rsidRPr="00F845FD">
        <w:rPr>
          <w:rFonts w:ascii="Times New Roman" w:hAnsi="Times New Roman" w:cs="Times New Roman"/>
          <w:sz w:val="24"/>
          <w:szCs w:val="24"/>
        </w:rPr>
        <w:t>ridesharing,</w:t>
      </w:r>
      <w:r w:rsidR="00976508">
        <w:rPr>
          <w:rFonts w:ascii="Times New Roman" w:hAnsi="Times New Roman" w:cs="Times New Roman"/>
          <w:sz w:val="24"/>
          <w:szCs w:val="24"/>
        </w:rPr>
        <w:t xml:space="preserve"> </w:t>
      </w:r>
      <w:r w:rsidR="00976508" w:rsidRPr="00F845FD">
        <w:rPr>
          <w:rFonts w:ascii="Times New Roman" w:hAnsi="Times New Roman" w:cs="Times New Roman"/>
          <w:sz w:val="24"/>
          <w:szCs w:val="24"/>
        </w:rPr>
        <w:t>car</w:t>
      </w:r>
      <w:r w:rsidRPr="00F845FD">
        <w:rPr>
          <w:rFonts w:ascii="Times New Roman" w:hAnsi="Times New Roman" w:cs="Times New Roman"/>
          <w:sz w:val="24"/>
          <w:szCs w:val="24"/>
        </w:rPr>
        <w:t>-sharing, and subscription-based services.</w:t>
      </w:r>
    </w:p>
    <w:p w14:paraId="3F14CAFF" w14:textId="77777777" w:rsidR="00E423AA" w:rsidRDefault="00E423AA" w:rsidP="00F845FD">
      <w:pPr>
        <w:pStyle w:val="ListParagraph"/>
        <w:numPr>
          <w:ilvl w:val="0"/>
          <w:numId w:val="47"/>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Integrate these services with the brand's image of safety and reliability.</w:t>
      </w:r>
    </w:p>
    <w:p w14:paraId="646F9B93" w14:textId="09010A9B" w:rsidR="00976508" w:rsidRP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{"citationItems":[{"id":"ITEM-1","itemData":{"DOI":"10.1504/IJPD.2020.106448","ISSN":"17418178","abstract":"Core values are an important part of Volvo Car Group’s and Volvo Trucks’ strategic development plans. These two companies share the same core values, quality, safety, and environmental care, but they approach these values in different ways. This study seeks to understand how industry professionals and customers perceive these core values and the attributes that are associated with them, using semi-structured interviews with industry professionals from both companies and quantitative survey methods with customers. The purposes of this study are to investigate how designers convey core values to customers through product attributes and how customers perceive those core values through the same attributes. Such an understanding reveals the commonalities and discrepancies between the perspectives of producers and customers, and can contribute to more effective design processes that communicate company values in the early product development phases.","author":[{"dropping-particle":"","family":"Stylidis","given":"Kostas","non-dropping-particle":"","parse-names":false,"suffix":""},{"dropping-particle":"","family":"Hoffenson","given":"Steven","non-dropping-particle":"","parse-names":false,"suffix":""},{"dropping-particle":"","family":"Rossi","given":"Monica","non-dropping-particle":"","parse-names":false,"suffix":""},{"dropping-particle":"","family":"Wickman","given":"Casper","non-dropping-particle":"","parse-names":false,"suffix":""},{"dropping-particle":"","family":"Söderman","given":"Mikael","non-dropping-particle":"","parse-names":false,"suffix":""},{"dropping-particle":"","family":"Söderberg","given":"Rikard","non-dropping-particle":"","parse-names":false,"suffix":""}],"container-title":"International Journal of Product Development","id":"ITEM-1","issue":"1","issued":{"date-parts":[["2020"]]},"page":"43-67","title":"Transforming brand core values into perceived quality: A Volvo case study","type":"article-journal","volume":"24"},"uris":["http://www.mendeley.com/documents/?uuid=15967c88-c153-4b04-9c0e-de36b5628060"]}],"mendeley":{"formattedCitation":"(Stylidis &lt;i&gt;et al.&lt;/i&gt;, 2020)","plainTextFormattedCitation":"(Stylidis et al., 2020)","previouslyFormattedCitation":"(Stylidis &lt;i&gt;et al.&lt;/i&gt;, 2020)"},"properties":{"noteIndex":0},"schema":"https://github.com/citation-style-language/schema/raw/master/csl-citation.json"}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 xml:space="preserve">(Stylidis </w:t>
      </w:r>
      <w:r w:rsidRPr="00976508">
        <w:rPr>
          <w:rFonts w:ascii="Times New Roman" w:hAnsi="Times New Roman" w:cs="Times New Roman"/>
          <w:i/>
          <w:noProof/>
          <w:sz w:val="24"/>
          <w:szCs w:val="24"/>
        </w:rPr>
        <w:t>et al.</w:t>
      </w:r>
      <w:r w:rsidRPr="00976508">
        <w:rPr>
          <w:rFonts w:ascii="Times New Roman" w:hAnsi="Times New Roman" w:cs="Times New Roman"/>
          <w:noProof/>
          <w:sz w:val="24"/>
          <w:szCs w:val="24"/>
        </w:rPr>
        <w:t>, 2020)</w:t>
      </w:r>
      <w:r>
        <w:rPr>
          <w:rFonts w:ascii="Times New Roman" w:hAnsi="Times New Roman" w:cs="Times New Roman"/>
          <w:sz w:val="24"/>
          <w:szCs w:val="24"/>
        </w:rPr>
        <w:fldChar w:fldCharType="end"/>
      </w:r>
    </w:p>
    <w:p w14:paraId="25C8B7C8" w14:textId="2B48CEC2" w:rsidR="00E423AA" w:rsidRPr="00F845FD" w:rsidRDefault="00E423AA" w:rsidP="00EE52CD">
      <w:pPr>
        <w:spacing w:line="360" w:lineRule="auto"/>
        <w:jc w:val="both"/>
        <w:rPr>
          <w:rFonts w:ascii="Times New Roman" w:hAnsi="Times New Roman" w:cs="Times New Roman"/>
          <w:b/>
          <w:bCs/>
          <w:sz w:val="24"/>
          <w:szCs w:val="24"/>
        </w:rPr>
      </w:pPr>
      <w:r w:rsidRPr="00EE52CD">
        <w:rPr>
          <w:rFonts w:ascii="Times New Roman" w:hAnsi="Times New Roman" w:cs="Times New Roman"/>
          <w:b/>
          <w:bCs/>
          <w:sz w:val="24"/>
          <w:szCs w:val="24"/>
        </w:rPr>
        <w:t>Transparency and Corporate Social Responsibility:</w:t>
      </w:r>
    </w:p>
    <w:p w14:paraId="203F3765" w14:textId="77777777" w:rsidR="00E423AA" w:rsidRPr="00F845FD" w:rsidRDefault="00E423AA" w:rsidP="00F845FD">
      <w:pPr>
        <w:pStyle w:val="ListParagraph"/>
        <w:numPr>
          <w:ilvl w:val="0"/>
          <w:numId w:val="4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lastRenderedPageBreak/>
        <w:t>Maintain transparency regarding safety recalls, product information, and corporate practices.</w:t>
      </w:r>
    </w:p>
    <w:p w14:paraId="343CD8F6" w14:textId="77777777" w:rsidR="00E423AA" w:rsidRPr="00F845FD" w:rsidRDefault="00E423AA" w:rsidP="00F845FD">
      <w:pPr>
        <w:pStyle w:val="ListParagraph"/>
        <w:numPr>
          <w:ilvl w:val="0"/>
          <w:numId w:val="4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Uphold corporate social responsibility initiatives, including community engagement and philanthropy.</w:t>
      </w:r>
    </w:p>
    <w:p w14:paraId="1D5C22D8" w14:textId="77777777" w:rsidR="00E423AA" w:rsidRDefault="00E423AA" w:rsidP="00F845FD">
      <w:pPr>
        <w:pStyle w:val="ListParagraph"/>
        <w:numPr>
          <w:ilvl w:val="0"/>
          <w:numId w:val="48"/>
        </w:numPr>
        <w:spacing w:line="360" w:lineRule="auto"/>
        <w:jc w:val="both"/>
        <w:rPr>
          <w:rFonts w:ascii="Times New Roman" w:hAnsi="Times New Roman" w:cs="Times New Roman"/>
          <w:sz w:val="24"/>
          <w:szCs w:val="24"/>
        </w:rPr>
      </w:pPr>
      <w:r w:rsidRPr="00F845FD">
        <w:rPr>
          <w:rFonts w:ascii="Times New Roman" w:hAnsi="Times New Roman" w:cs="Times New Roman"/>
          <w:sz w:val="24"/>
          <w:szCs w:val="24"/>
        </w:rPr>
        <w:t>Clearly communicate efforts to reduce the brand's carbon footprint and environmental impact.</w:t>
      </w:r>
    </w:p>
    <w:p w14:paraId="1DCC11F1" w14:textId="22D0DE9B" w:rsidR="00976508" w:rsidRDefault="00976508" w:rsidP="00976508">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{"citationItems":[{"id":"ITEM-1","itemData":{"ISBN":"9789811381010","abstract":"This open access book analyses intellectual property codification and innovation governance in the development of six key industries in India and China. These industries are reflective of the innovation and economic development of the two economies, or of vital importance to them: the IT Industry; the film industry; the pharmaceutical industry; plant varieties and food security; the automobile industry; and peer production and the sharing economy. The analysis extends beyond the domain of IP law, and includes economics and policy analysis. The overarching concern that cuts through all chapters is an inquiry into why certain industries have developed in one country and not in the other, including: the role that state innovation policy and/or IP policy played in such development; the nature of the state innovation policy/IP policy; and whether such policy has been causal, facilitating, crippling, co-relational, or simply irrelevant. The book asks what India and China can learn from each other, and whether there is any possibility of synergy. The book provides a real-life understanding of how IP laws interact with innovation and economic development in the six selected economic sectors in China and India. The reader can also draw lessons from the success or failure of these sectors.","author":[{"dropping-particle":"","family":"Liu","given":"Kung-chung","non-dropping-particle":"","parse-names":false,"suffix":""},{"dropping-particle":"","family":"Racherla","given":"Uday S.","non-dropping-particle":"","parse-names":false,"suffix":""}],"container-title":"ARCIALA Series on Intellectual Assets and Law in Asia","id":"ITEM-1","issued":{"date-parts":[["2019"]]},"number-of-pages":"7-9","title":"Innovation, Economic Development, and Intellectual Property in India and China","type":"book"},"uris":["http://www.mendeley.com/documents/?uuid=8a1d1a11-44d1-4dda-ac7a-2ad5d14a0dc6"]}],"mendeley":{"formattedCitation":"(Liu and Racherla, 2019)","plainTextFormattedCitation":"(Liu and Racherla, 2019)"},"properties":{"noteIndex":0},"schema":"https://github.com/citation-style-language/schema/raw/master/csl-citation.json"}</w:instrText>
      </w:r>
      <w:r>
        <w:rPr>
          <w:rFonts w:ascii="Times New Roman" w:hAnsi="Times New Roman" w:cs="Times New Roman"/>
          <w:sz w:val="24"/>
          <w:szCs w:val="24"/>
        </w:rPr>
        <w:fldChar w:fldCharType="separate"/>
      </w:r>
      <w:r w:rsidRPr="00976508">
        <w:rPr>
          <w:rFonts w:ascii="Times New Roman" w:hAnsi="Times New Roman" w:cs="Times New Roman"/>
          <w:noProof/>
          <w:sz w:val="24"/>
          <w:szCs w:val="24"/>
        </w:rPr>
        <w:t>(Liu and Racherla, 2019)</w:t>
      </w:r>
      <w:r>
        <w:rPr>
          <w:rFonts w:ascii="Times New Roman" w:hAnsi="Times New Roman" w:cs="Times New Roman"/>
          <w:sz w:val="24"/>
          <w:szCs w:val="24"/>
        </w:rPr>
        <w:fldChar w:fldCharType="end"/>
      </w:r>
    </w:p>
    <w:p w14:paraId="6547C09B" w14:textId="77777777" w:rsidR="00BF4054" w:rsidRDefault="00BF4054" w:rsidP="00976508">
      <w:pPr>
        <w:spacing w:line="360" w:lineRule="auto"/>
        <w:jc w:val="both"/>
        <w:rPr>
          <w:rFonts w:ascii="Times New Roman" w:hAnsi="Times New Roman" w:cs="Times New Roman"/>
          <w:sz w:val="24"/>
          <w:szCs w:val="24"/>
        </w:rPr>
      </w:pPr>
    </w:p>
    <w:p w14:paraId="12BC8AA4" w14:textId="77777777" w:rsidR="00BF4054" w:rsidRDefault="00BF4054" w:rsidP="00976508">
      <w:pPr>
        <w:spacing w:line="360" w:lineRule="auto"/>
        <w:jc w:val="both"/>
        <w:rPr>
          <w:rFonts w:ascii="Times New Roman" w:hAnsi="Times New Roman" w:cs="Times New Roman"/>
          <w:sz w:val="24"/>
          <w:szCs w:val="24"/>
        </w:rPr>
      </w:pPr>
    </w:p>
    <w:p w14:paraId="55788C52" w14:textId="77777777" w:rsidR="00BF4054" w:rsidRDefault="00BF4054" w:rsidP="00976508">
      <w:pPr>
        <w:spacing w:line="360" w:lineRule="auto"/>
        <w:jc w:val="both"/>
        <w:rPr>
          <w:rFonts w:ascii="Times New Roman" w:hAnsi="Times New Roman" w:cs="Times New Roman"/>
          <w:sz w:val="24"/>
          <w:szCs w:val="24"/>
        </w:rPr>
      </w:pPr>
    </w:p>
    <w:p w14:paraId="2CF99940" w14:textId="77777777" w:rsidR="00BF4054" w:rsidRDefault="00BF4054" w:rsidP="00976508">
      <w:pPr>
        <w:spacing w:line="360" w:lineRule="auto"/>
        <w:jc w:val="both"/>
        <w:rPr>
          <w:rFonts w:ascii="Times New Roman" w:hAnsi="Times New Roman" w:cs="Times New Roman"/>
          <w:sz w:val="24"/>
          <w:szCs w:val="24"/>
        </w:rPr>
      </w:pPr>
    </w:p>
    <w:p w14:paraId="6AB5B2B6" w14:textId="77777777" w:rsidR="00BF4054" w:rsidRDefault="00BF4054" w:rsidP="00976508">
      <w:pPr>
        <w:spacing w:line="360" w:lineRule="auto"/>
        <w:jc w:val="both"/>
        <w:rPr>
          <w:rFonts w:ascii="Times New Roman" w:hAnsi="Times New Roman" w:cs="Times New Roman"/>
          <w:sz w:val="24"/>
          <w:szCs w:val="24"/>
        </w:rPr>
      </w:pPr>
    </w:p>
    <w:p w14:paraId="7754C3A2" w14:textId="77777777" w:rsidR="00BF4054" w:rsidRDefault="00BF4054" w:rsidP="00976508">
      <w:pPr>
        <w:spacing w:line="360" w:lineRule="auto"/>
        <w:jc w:val="both"/>
        <w:rPr>
          <w:rFonts w:ascii="Times New Roman" w:hAnsi="Times New Roman" w:cs="Times New Roman"/>
          <w:sz w:val="24"/>
          <w:szCs w:val="24"/>
        </w:rPr>
      </w:pPr>
    </w:p>
    <w:p w14:paraId="5A658CAD" w14:textId="77777777" w:rsidR="00BF4054" w:rsidRDefault="00BF4054" w:rsidP="00976508">
      <w:pPr>
        <w:spacing w:line="360" w:lineRule="auto"/>
        <w:jc w:val="both"/>
        <w:rPr>
          <w:rFonts w:ascii="Times New Roman" w:hAnsi="Times New Roman" w:cs="Times New Roman"/>
          <w:sz w:val="24"/>
          <w:szCs w:val="24"/>
        </w:rPr>
      </w:pPr>
    </w:p>
    <w:p w14:paraId="47B7A779" w14:textId="77777777" w:rsidR="00BF4054" w:rsidRDefault="00BF4054" w:rsidP="00976508">
      <w:pPr>
        <w:spacing w:line="360" w:lineRule="auto"/>
        <w:jc w:val="both"/>
        <w:rPr>
          <w:rFonts w:ascii="Times New Roman" w:hAnsi="Times New Roman" w:cs="Times New Roman"/>
          <w:sz w:val="24"/>
          <w:szCs w:val="24"/>
        </w:rPr>
      </w:pPr>
    </w:p>
    <w:p w14:paraId="6C74651A" w14:textId="77777777" w:rsidR="00BF4054" w:rsidRDefault="00BF4054" w:rsidP="00976508">
      <w:pPr>
        <w:spacing w:line="360" w:lineRule="auto"/>
        <w:jc w:val="both"/>
        <w:rPr>
          <w:rFonts w:ascii="Times New Roman" w:hAnsi="Times New Roman" w:cs="Times New Roman"/>
          <w:sz w:val="24"/>
          <w:szCs w:val="24"/>
        </w:rPr>
      </w:pPr>
    </w:p>
    <w:p w14:paraId="3114113E" w14:textId="77777777" w:rsidR="00BF4054" w:rsidRDefault="00BF4054" w:rsidP="00976508">
      <w:pPr>
        <w:spacing w:line="360" w:lineRule="auto"/>
        <w:jc w:val="both"/>
        <w:rPr>
          <w:rFonts w:ascii="Times New Roman" w:hAnsi="Times New Roman" w:cs="Times New Roman"/>
          <w:sz w:val="24"/>
          <w:szCs w:val="24"/>
        </w:rPr>
      </w:pPr>
    </w:p>
    <w:p w14:paraId="2033E955" w14:textId="77777777" w:rsidR="00BF4054" w:rsidRDefault="00BF4054" w:rsidP="00976508">
      <w:pPr>
        <w:spacing w:line="360" w:lineRule="auto"/>
        <w:jc w:val="both"/>
        <w:rPr>
          <w:rFonts w:ascii="Times New Roman" w:hAnsi="Times New Roman" w:cs="Times New Roman"/>
          <w:sz w:val="24"/>
          <w:szCs w:val="24"/>
        </w:rPr>
      </w:pPr>
    </w:p>
    <w:p w14:paraId="11C8CFBA" w14:textId="77777777" w:rsidR="00BF4054" w:rsidRDefault="00BF4054" w:rsidP="00976508">
      <w:pPr>
        <w:spacing w:line="360" w:lineRule="auto"/>
        <w:jc w:val="both"/>
        <w:rPr>
          <w:rFonts w:ascii="Times New Roman" w:hAnsi="Times New Roman" w:cs="Times New Roman"/>
          <w:sz w:val="24"/>
          <w:szCs w:val="24"/>
        </w:rPr>
      </w:pPr>
    </w:p>
    <w:p w14:paraId="2271BC3C" w14:textId="77777777" w:rsidR="00BF4054" w:rsidRDefault="00BF4054" w:rsidP="00976508">
      <w:pPr>
        <w:spacing w:line="360" w:lineRule="auto"/>
        <w:jc w:val="both"/>
        <w:rPr>
          <w:rFonts w:ascii="Times New Roman" w:hAnsi="Times New Roman" w:cs="Times New Roman"/>
          <w:sz w:val="24"/>
          <w:szCs w:val="24"/>
        </w:rPr>
      </w:pPr>
    </w:p>
    <w:p w14:paraId="10178C71" w14:textId="77777777" w:rsidR="00BF4054" w:rsidRDefault="00BF4054" w:rsidP="00976508">
      <w:pPr>
        <w:spacing w:line="360" w:lineRule="auto"/>
        <w:jc w:val="both"/>
        <w:rPr>
          <w:rFonts w:ascii="Times New Roman" w:hAnsi="Times New Roman" w:cs="Times New Roman"/>
          <w:sz w:val="24"/>
          <w:szCs w:val="24"/>
        </w:rPr>
      </w:pPr>
    </w:p>
    <w:p w14:paraId="767DFD3B" w14:textId="77777777" w:rsidR="00BF4054" w:rsidRDefault="00BF4054" w:rsidP="00976508">
      <w:pPr>
        <w:spacing w:line="360" w:lineRule="auto"/>
        <w:jc w:val="both"/>
        <w:rPr>
          <w:rFonts w:ascii="Times New Roman" w:hAnsi="Times New Roman" w:cs="Times New Roman"/>
          <w:sz w:val="24"/>
          <w:szCs w:val="24"/>
        </w:rPr>
      </w:pPr>
    </w:p>
    <w:p w14:paraId="7FB3A50F" w14:textId="77777777" w:rsidR="00BF4054" w:rsidRDefault="00BF4054" w:rsidP="00976508">
      <w:pPr>
        <w:spacing w:line="360" w:lineRule="auto"/>
        <w:jc w:val="both"/>
        <w:rPr>
          <w:rFonts w:ascii="Times New Roman" w:hAnsi="Times New Roman" w:cs="Times New Roman"/>
          <w:sz w:val="24"/>
          <w:szCs w:val="24"/>
        </w:rPr>
      </w:pPr>
    </w:p>
    <w:p w14:paraId="3D212AA2" w14:textId="77777777" w:rsidR="00BF4054" w:rsidRPr="00976508" w:rsidRDefault="00BF4054" w:rsidP="00976508">
      <w:pPr>
        <w:spacing w:line="360" w:lineRule="auto"/>
        <w:jc w:val="both"/>
        <w:rPr>
          <w:rFonts w:ascii="Times New Roman" w:hAnsi="Times New Roman" w:cs="Times New Roman"/>
          <w:sz w:val="24"/>
          <w:szCs w:val="24"/>
        </w:rPr>
      </w:pPr>
    </w:p>
    <w:p w14:paraId="18230071" w14:textId="679C48A6" w:rsidR="00E423AA" w:rsidRDefault="00F845FD" w:rsidP="00F845FD">
      <w:pPr>
        <w:pStyle w:val="Heading1"/>
      </w:pPr>
      <w:bookmarkStart w:id="21" w:name="_Toc144232072"/>
      <w:r>
        <w:lastRenderedPageBreak/>
        <w:t>Reference</w:t>
      </w:r>
      <w:bookmarkEnd w:id="21"/>
      <w:r>
        <w:t xml:space="preserve">  </w:t>
      </w:r>
    </w:p>
    <w:p w14:paraId="2B814BFF" w14:textId="2574F958" w:rsidR="00976508" w:rsidRPr="00976508" w:rsidRDefault="00386C98" w:rsidP="00976508">
      <w:pPr>
        <w:widowControl w:val="0"/>
        <w:autoSpaceDE w:val="0"/>
        <w:autoSpaceDN w:val="0"/>
        <w:adjustRightInd w:val="0"/>
        <w:spacing w:line="360" w:lineRule="auto"/>
        <w:rPr>
          <w:rFonts w:ascii="Times New Roman" w:hAnsi="Times New Roman" w:cs="Times New Roman"/>
          <w:noProof/>
          <w:sz w:val="24"/>
          <w:szCs w:val="24"/>
        </w:rPr>
      </w:pPr>
      <w:r w:rsidRPr="00386C98">
        <w:rPr>
          <w:rFonts w:ascii="Times New Roman" w:hAnsi="Times New Roman" w:cs="Times New Roman"/>
          <w:sz w:val="24"/>
          <w:szCs w:val="24"/>
        </w:rPr>
        <w:fldChar w:fldCharType="begin" w:fldLock="1"/>
      </w:r>
      <w:r w:rsidRPr="00386C98">
        <w:rPr>
          <w:rFonts w:ascii="Times New Roman" w:hAnsi="Times New Roman" w:cs="Times New Roman"/>
          <w:sz w:val="24"/>
          <w:szCs w:val="24"/>
        </w:rPr>
        <w:instrText xml:space="preserve">ADDIN Mendeley Bibliography CSL_BIBLIOGRAPHY </w:instrText>
      </w:r>
      <w:r w:rsidRPr="00386C98">
        <w:rPr>
          <w:rFonts w:ascii="Times New Roman" w:hAnsi="Times New Roman" w:cs="Times New Roman"/>
          <w:sz w:val="24"/>
          <w:szCs w:val="24"/>
        </w:rPr>
        <w:fldChar w:fldCharType="separate"/>
      </w:r>
      <w:r w:rsidR="00976508" w:rsidRPr="00976508">
        <w:rPr>
          <w:rFonts w:ascii="Times New Roman" w:hAnsi="Times New Roman" w:cs="Times New Roman"/>
          <w:noProof/>
          <w:sz w:val="24"/>
          <w:szCs w:val="24"/>
        </w:rPr>
        <w:t xml:space="preserve">Ali, N. A. M., Gafar, M. H. A. and Akbar, J. (2013) ‘Enhancing Promotional Strategies within Automotive Companies in Malaysia’, </w:t>
      </w:r>
      <w:r w:rsidR="00976508" w:rsidRPr="00976508">
        <w:rPr>
          <w:rFonts w:ascii="Times New Roman" w:hAnsi="Times New Roman" w:cs="Times New Roman"/>
          <w:i/>
          <w:iCs/>
          <w:noProof/>
          <w:sz w:val="24"/>
          <w:szCs w:val="24"/>
        </w:rPr>
        <w:t>Procedia Economics and Finance</w:t>
      </w:r>
      <w:r w:rsidR="00976508" w:rsidRPr="00976508">
        <w:rPr>
          <w:rFonts w:ascii="Times New Roman" w:hAnsi="Times New Roman" w:cs="Times New Roman"/>
          <w:noProof/>
          <w:sz w:val="24"/>
          <w:szCs w:val="24"/>
        </w:rPr>
        <w:t>, 7(Icebr), pp. 158–163. doi: 10.1016/s2212-5671(13)00230-x.</w:t>
      </w:r>
    </w:p>
    <w:p w14:paraId="1A4D328E"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Alipourfallahpasand, A. (2023) ‘Supply Chain Transparency in the Scandinavian Automotive Industry’.</w:t>
      </w:r>
    </w:p>
    <w:p w14:paraId="1E993EEA"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Allen, R. S.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(2007) ‘PORTER ’ S GENERIC STRATEGIES : AN EXPLORATORY STUDY OF THEIR USE IN JAPAN Richard S . Allen The University of Tennessee at Chattanooga Marilyn M . Helms Dalton State College Margaret B . Takeda California State University San Bernardino , CA Charles S .’</w:t>
      </w:r>
    </w:p>
    <w:p w14:paraId="780F5BD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Anderson, Brown, S. G. (2019) ‘Electric Vehicles and Competitive Advantage: The Case of Tesla Motors Inc.’, </w:t>
      </w:r>
      <w:r w:rsidRPr="00976508">
        <w:rPr>
          <w:rFonts w:ascii="Times New Roman" w:hAnsi="Times New Roman" w:cs="Times New Roman"/>
          <w:i/>
          <w:iCs/>
          <w:noProof/>
          <w:sz w:val="24"/>
          <w:szCs w:val="24"/>
        </w:rPr>
        <w:t>journal of Strategic Management</w:t>
      </w:r>
      <w:r w:rsidRPr="00976508">
        <w:rPr>
          <w:rFonts w:ascii="Times New Roman" w:hAnsi="Times New Roman" w:cs="Times New Roman"/>
          <w:noProof/>
          <w:sz w:val="24"/>
          <w:szCs w:val="24"/>
        </w:rPr>
        <w:t>, 16(3), pp. 45–62.</w:t>
      </w:r>
    </w:p>
    <w:p w14:paraId="00442AB8"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Angel Hernandez, M. Del and Bakthavatchaalam, V. (2022) ‘Circular economy as a strategy in European automotive industries to achieve Sustainable Development: A qualitative study’, (December), pp. 1–5.</w:t>
      </w:r>
    </w:p>
    <w:p w14:paraId="52278B04"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Aras, G. A. and Crowther, D. (2008) </w:t>
      </w:r>
      <w:r w:rsidRPr="00976508">
        <w:rPr>
          <w:rFonts w:ascii="Times New Roman" w:hAnsi="Times New Roman" w:cs="Times New Roman"/>
          <w:i/>
          <w:iCs/>
          <w:noProof/>
          <w:sz w:val="24"/>
          <w:szCs w:val="24"/>
        </w:rPr>
        <w:t>Corporate Sustainability Reporting: A Study in Disingenuity?</w:t>
      </w:r>
      <w:r w:rsidRPr="00976508">
        <w:rPr>
          <w:rFonts w:ascii="Times New Roman" w:hAnsi="Times New Roman" w:cs="Times New Roman"/>
          <w:noProof/>
          <w:sz w:val="24"/>
          <w:szCs w:val="24"/>
        </w:rPr>
        <w:t xml:space="preserve">, </w:t>
      </w:r>
      <w:r w:rsidRPr="00976508">
        <w:rPr>
          <w:rFonts w:ascii="Times New Roman" w:hAnsi="Times New Roman" w:cs="Times New Roman"/>
          <w:i/>
          <w:iCs/>
          <w:noProof/>
          <w:sz w:val="24"/>
          <w:szCs w:val="24"/>
        </w:rPr>
        <w:t>Globalization and the Good Corporation</w:t>
      </w:r>
      <w:r w:rsidRPr="00976508">
        <w:rPr>
          <w:rFonts w:ascii="Times New Roman" w:hAnsi="Times New Roman" w:cs="Times New Roman"/>
          <w:noProof/>
          <w:sz w:val="24"/>
          <w:szCs w:val="24"/>
        </w:rPr>
        <w:t>. doi: 10.1007/978-94-007-0818-1_19.</w:t>
      </w:r>
    </w:p>
    <w:p w14:paraId="520CFECE"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Autozone (2022) </w:t>
      </w:r>
      <w:r w:rsidRPr="00976508">
        <w:rPr>
          <w:rFonts w:ascii="Times New Roman" w:hAnsi="Times New Roman" w:cs="Times New Roman"/>
          <w:i/>
          <w:iCs/>
          <w:noProof/>
          <w:sz w:val="24"/>
          <w:szCs w:val="24"/>
        </w:rPr>
        <w:t>Autozone 2022</w:t>
      </w:r>
      <w:r w:rsidRPr="00976508">
        <w:rPr>
          <w:rFonts w:ascii="Times New Roman" w:hAnsi="Times New Roman" w:cs="Times New Roman"/>
          <w:noProof/>
          <w:sz w:val="24"/>
          <w:szCs w:val="24"/>
        </w:rPr>
        <w:t>.</w:t>
      </w:r>
    </w:p>
    <w:p w14:paraId="579811B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Balan, S., Vrat, P. and Kumar, P. (2006) ‘Assessing the challenges and opportunities of global supply chain management’, </w:t>
      </w:r>
      <w:r w:rsidRPr="00976508">
        <w:rPr>
          <w:rFonts w:ascii="Times New Roman" w:hAnsi="Times New Roman" w:cs="Times New Roman"/>
          <w:i/>
          <w:iCs/>
          <w:noProof/>
          <w:sz w:val="24"/>
          <w:szCs w:val="24"/>
        </w:rPr>
        <w:t>International Journal of Value Chain Management</w:t>
      </w:r>
      <w:r w:rsidRPr="00976508">
        <w:rPr>
          <w:rFonts w:ascii="Times New Roman" w:hAnsi="Times New Roman" w:cs="Times New Roman"/>
          <w:noProof/>
          <w:sz w:val="24"/>
          <w:szCs w:val="24"/>
        </w:rPr>
        <w:t>, 1(2), pp. 105–116.</w:t>
      </w:r>
    </w:p>
    <w:p w14:paraId="7FEC23AB"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Bélis-Bergouignan, M.-C., Lung, Y. and Bordenave, G. (2000) ‘Global Strategies in the Automobile Industry’, </w:t>
      </w:r>
      <w:r w:rsidRPr="00976508">
        <w:rPr>
          <w:rFonts w:ascii="Times New Roman" w:hAnsi="Times New Roman" w:cs="Times New Roman"/>
          <w:i/>
          <w:iCs/>
          <w:noProof/>
          <w:sz w:val="24"/>
          <w:szCs w:val="24"/>
        </w:rPr>
        <w:t>Regional Studies</w:t>
      </w:r>
      <w:r w:rsidRPr="00976508">
        <w:rPr>
          <w:rFonts w:ascii="Times New Roman" w:hAnsi="Times New Roman" w:cs="Times New Roman"/>
          <w:noProof/>
          <w:sz w:val="24"/>
          <w:szCs w:val="24"/>
        </w:rPr>
        <w:t>, 34, pp. 41–53. doi: 10.1080/00343400050005871.</w:t>
      </w:r>
    </w:p>
    <w:p w14:paraId="21214BF0"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Bhuvaneswari, S. and Scholar, P. D. (2021) ‘Performance of Automobile Industry in India – a Case Study of Tamilnadu’, 20(5), pp. 2814–2817. doi: 10.17051/ilkonline.2021.05.306.</w:t>
      </w:r>
    </w:p>
    <w:p w14:paraId="156AF08F"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Bruner, R. F. (1999) ‘An analysis of value destruction and recovery in the alliance and proposed merger of Volvo and Renault’, </w:t>
      </w:r>
      <w:r w:rsidRPr="00976508">
        <w:rPr>
          <w:rFonts w:ascii="Times New Roman" w:hAnsi="Times New Roman" w:cs="Times New Roman"/>
          <w:i/>
          <w:iCs/>
          <w:noProof/>
          <w:sz w:val="24"/>
          <w:szCs w:val="24"/>
        </w:rPr>
        <w:t>Journal of Financial Economics</w:t>
      </w:r>
      <w:r w:rsidRPr="00976508">
        <w:rPr>
          <w:rFonts w:ascii="Times New Roman" w:hAnsi="Times New Roman" w:cs="Times New Roman"/>
          <w:noProof/>
          <w:sz w:val="24"/>
          <w:szCs w:val="24"/>
        </w:rPr>
        <w:t>, 51(1), pp. 125–166. doi: 10.1016/S0304-405X(98)00046-4.</w:t>
      </w:r>
    </w:p>
    <w:p w14:paraId="429B6488"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lastRenderedPageBreak/>
        <w:t xml:space="preserve">Cathcart, R. (2019) ‘Pestle Analysis of Construction Industry’, </w:t>
      </w:r>
      <w:r w:rsidRPr="00976508">
        <w:rPr>
          <w:rFonts w:ascii="Times New Roman" w:hAnsi="Times New Roman" w:cs="Times New Roman"/>
          <w:i/>
          <w:iCs/>
          <w:noProof/>
          <w:sz w:val="24"/>
          <w:szCs w:val="24"/>
        </w:rPr>
        <w:t>International Research Journal of Engineering and Technology (IRJET)</w:t>
      </w:r>
      <w:r w:rsidRPr="00976508">
        <w:rPr>
          <w:rFonts w:ascii="Times New Roman" w:hAnsi="Times New Roman" w:cs="Times New Roman"/>
          <w:noProof/>
          <w:sz w:val="24"/>
          <w:szCs w:val="24"/>
        </w:rPr>
        <w:t>, pp. 384–388.</w:t>
      </w:r>
    </w:p>
    <w:p w14:paraId="5E6C934A"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Choudhary, N. A.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(2022) ‘Does Reshoring Affect the Resilience and Sustainability of Supply Chain Networks? The Cases of Apple and Jaguar Land Rover’, </w:t>
      </w:r>
      <w:r w:rsidRPr="00976508">
        <w:rPr>
          <w:rFonts w:ascii="Times New Roman" w:hAnsi="Times New Roman" w:cs="Times New Roman"/>
          <w:i/>
          <w:iCs/>
          <w:noProof/>
          <w:sz w:val="24"/>
          <w:szCs w:val="24"/>
        </w:rPr>
        <w:t>British Journal of Management</w:t>
      </w:r>
      <w:r w:rsidRPr="00976508">
        <w:rPr>
          <w:rFonts w:ascii="Times New Roman" w:hAnsi="Times New Roman" w:cs="Times New Roman"/>
          <w:noProof/>
          <w:sz w:val="24"/>
          <w:szCs w:val="24"/>
        </w:rPr>
        <w:t>, 34, pp. 1138–1156. doi: 10.1111/1467-8551.12614.</w:t>
      </w:r>
    </w:p>
    <w:p w14:paraId="065B6E94"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Crossmari, O. (2013) ‘The Way To Market’, (May), p. 75024.</w:t>
      </w:r>
    </w:p>
    <w:p w14:paraId="7CADDE6E"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Dawes, J. (2018) ‘The Ansoff Matrix: A Legendary Tool, But with Two Logical Problems’, </w:t>
      </w:r>
      <w:r w:rsidRPr="00976508">
        <w:rPr>
          <w:rFonts w:ascii="Times New Roman" w:hAnsi="Times New Roman" w:cs="Times New Roman"/>
          <w:i/>
          <w:iCs/>
          <w:noProof/>
          <w:sz w:val="24"/>
          <w:szCs w:val="24"/>
        </w:rPr>
        <w:t>SSRN Electronic Journal</w:t>
      </w:r>
      <w:r w:rsidRPr="00976508">
        <w:rPr>
          <w:rFonts w:ascii="Times New Roman" w:hAnsi="Times New Roman" w:cs="Times New Roman"/>
          <w:noProof/>
          <w:sz w:val="24"/>
          <w:szCs w:val="24"/>
        </w:rPr>
        <w:t>.</w:t>
      </w:r>
    </w:p>
    <w:p w14:paraId="353B2AC8"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Escaith, H., Khorana, S. and Kerr, W. A. (2020) ‘The Hidden Cost of Supply Chain Disruptions: Case Study of the UK’s Automotive Sector’, </w:t>
      </w:r>
      <w:r w:rsidRPr="00976508">
        <w:rPr>
          <w:rFonts w:ascii="Times New Roman" w:hAnsi="Times New Roman" w:cs="Times New Roman"/>
          <w:i/>
          <w:iCs/>
          <w:noProof/>
          <w:sz w:val="24"/>
          <w:szCs w:val="24"/>
        </w:rPr>
        <w:t>SocioEconomic Challenges</w:t>
      </w:r>
      <w:r w:rsidRPr="00976508">
        <w:rPr>
          <w:rFonts w:ascii="Times New Roman" w:hAnsi="Times New Roman" w:cs="Times New Roman"/>
          <w:noProof/>
          <w:sz w:val="24"/>
          <w:szCs w:val="24"/>
        </w:rPr>
        <w:t>, 4(3), pp. 5–19. doi: 10.21272/sec.4(3).5-19.2020.</w:t>
      </w:r>
    </w:p>
    <w:p w14:paraId="39E5083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Germir, H.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(2016) ‘ANALYSIS OF THE FACTORS AFFECTING THE SALES IN THE AUTOMOTIVE INDUSTRY’, </w:t>
      </w:r>
      <w:r w:rsidRPr="00976508">
        <w:rPr>
          <w:rFonts w:ascii="Times New Roman" w:hAnsi="Times New Roman" w:cs="Times New Roman"/>
          <w:i/>
          <w:iCs/>
          <w:noProof/>
          <w:sz w:val="24"/>
          <w:szCs w:val="24"/>
        </w:rPr>
        <w:t>INTERNATIONAL REFEREED ACADEMIC SOCIAL SCIENCES JOURNAL</w:t>
      </w:r>
      <w:r w:rsidRPr="00976508">
        <w:rPr>
          <w:rFonts w:ascii="Times New Roman" w:hAnsi="Times New Roman" w:cs="Times New Roman"/>
          <w:noProof/>
          <w:sz w:val="24"/>
          <w:szCs w:val="24"/>
        </w:rPr>
        <w:t>, p. 77. doi: 10.17364/IIB.20162114639.</w:t>
      </w:r>
    </w:p>
    <w:p w14:paraId="2278B30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Goyal, A. (2020) ‘A Critical Analysis of Porter’s 5 Forces Model of Competitive Advantage’, </w:t>
      </w:r>
      <w:r w:rsidRPr="00976508">
        <w:rPr>
          <w:rFonts w:ascii="Times New Roman" w:hAnsi="Times New Roman" w:cs="Times New Roman"/>
          <w:i/>
          <w:iCs/>
          <w:noProof/>
          <w:sz w:val="24"/>
          <w:szCs w:val="24"/>
        </w:rPr>
        <w:t>Journal of Emerging Technologies and Innovative Research (JETIR)</w:t>
      </w:r>
      <w:r w:rsidRPr="00976508">
        <w:rPr>
          <w:rFonts w:ascii="Times New Roman" w:hAnsi="Times New Roman" w:cs="Times New Roman"/>
          <w:noProof/>
          <w:sz w:val="24"/>
          <w:szCs w:val="24"/>
        </w:rPr>
        <w:t>, 7(7), pp. 149–152.</w:t>
      </w:r>
    </w:p>
    <w:p w14:paraId="0B789186"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Green, E. T. (2022) ‘Environmental Responsibility and Corporate Transition to Electric Vehicles.’, </w:t>
      </w:r>
      <w:r w:rsidRPr="00976508">
        <w:rPr>
          <w:rFonts w:ascii="Times New Roman" w:hAnsi="Times New Roman" w:cs="Times New Roman"/>
          <w:i/>
          <w:iCs/>
          <w:noProof/>
          <w:sz w:val="24"/>
          <w:szCs w:val="24"/>
        </w:rPr>
        <w:t>Journal of Sustainable Business</w:t>
      </w:r>
      <w:r w:rsidRPr="00976508">
        <w:rPr>
          <w:rFonts w:ascii="Times New Roman" w:hAnsi="Times New Roman" w:cs="Times New Roman"/>
          <w:noProof/>
          <w:sz w:val="24"/>
          <w:szCs w:val="24"/>
        </w:rPr>
        <w:t>, 24(4), pp. 57–73.</w:t>
      </w:r>
    </w:p>
    <w:p w14:paraId="2B7378D4"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Grossman, G. M., Helpman, E. and Lhuillier, H. (2021) ‘Supply Chain Resilience: Should Policy Promote Diversification or Reshoring?’, </w:t>
      </w:r>
      <w:r w:rsidRPr="00976508">
        <w:rPr>
          <w:rFonts w:ascii="Times New Roman" w:hAnsi="Times New Roman" w:cs="Times New Roman"/>
          <w:i/>
          <w:iCs/>
          <w:noProof/>
          <w:sz w:val="24"/>
          <w:szCs w:val="24"/>
        </w:rPr>
        <w:t>SSRN Electronic Journal</w:t>
      </w:r>
      <w:r w:rsidRPr="00976508">
        <w:rPr>
          <w:rFonts w:ascii="Times New Roman" w:hAnsi="Times New Roman" w:cs="Times New Roman"/>
          <w:noProof/>
          <w:sz w:val="24"/>
          <w:szCs w:val="24"/>
        </w:rPr>
        <w:t>. doi: 10.2139/ssrn.3935518.</w:t>
      </w:r>
    </w:p>
    <w:p w14:paraId="07EF2ADF"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Gu, W.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(2017) ‘The Supply Chain Segmentation Journey of Volvo CE’, in </w:t>
      </w:r>
      <w:r w:rsidRPr="00976508">
        <w:rPr>
          <w:rFonts w:ascii="Times New Roman" w:hAnsi="Times New Roman" w:cs="Times New Roman"/>
          <w:i/>
          <w:iCs/>
          <w:noProof/>
          <w:sz w:val="24"/>
          <w:szCs w:val="24"/>
        </w:rPr>
        <w:t>Supply Chain Segmentation: Best-in-Class Cases, Practical Insights and Foundations</w:t>
      </w:r>
      <w:r w:rsidRPr="00976508">
        <w:rPr>
          <w:rFonts w:ascii="Times New Roman" w:hAnsi="Times New Roman" w:cs="Times New Roman"/>
          <w:noProof/>
          <w:sz w:val="24"/>
          <w:szCs w:val="24"/>
        </w:rPr>
        <w:t>, pp. 37–46. doi: 10.1007/978-3-319-54133-4_5.</w:t>
      </w:r>
    </w:p>
    <w:p w14:paraId="7D4C55EB"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Gupta, N. (2007) ‘Volvo in India: Analyzing a MNC’s Strategies in a Developing Market’, </w:t>
      </w:r>
      <w:r w:rsidRPr="00976508">
        <w:rPr>
          <w:rFonts w:ascii="Times New Roman" w:hAnsi="Times New Roman" w:cs="Times New Roman"/>
          <w:i/>
          <w:iCs/>
          <w:noProof/>
          <w:sz w:val="24"/>
          <w:szCs w:val="24"/>
        </w:rPr>
        <w:t>The Management Case Study Journal</w:t>
      </w:r>
      <w:r w:rsidRPr="00976508">
        <w:rPr>
          <w:rFonts w:ascii="Times New Roman" w:hAnsi="Times New Roman" w:cs="Times New Roman"/>
          <w:noProof/>
          <w:sz w:val="24"/>
          <w:szCs w:val="24"/>
        </w:rPr>
        <w:t>, 7, pp. 18–40.</w:t>
      </w:r>
    </w:p>
    <w:p w14:paraId="74891F50"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Gustafsson, J. (2002) ‘a Framework for Linking Quality, Satisfaction, Loyalty and Performance’, </w:t>
      </w:r>
      <w:r w:rsidRPr="00976508">
        <w:rPr>
          <w:rFonts w:ascii="Times New Roman" w:hAnsi="Times New Roman" w:cs="Times New Roman"/>
          <w:i/>
          <w:iCs/>
          <w:noProof/>
          <w:sz w:val="24"/>
          <w:szCs w:val="24"/>
        </w:rPr>
        <w:t>Journal of Targeting, Measurement and Analysis for Marketing</w:t>
      </w:r>
      <w:r w:rsidRPr="00976508">
        <w:rPr>
          <w:rFonts w:ascii="Times New Roman" w:hAnsi="Times New Roman" w:cs="Times New Roman"/>
          <w:noProof/>
          <w:sz w:val="24"/>
          <w:szCs w:val="24"/>
        </w:rPr>
        <w:t>, 10, pp. 967–3237.</w:t>
      </w:r>
    </w:p>
    <w:p w14:paraId="4B834582"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lastRenderedPageBreak/>
        <w:t xml:space="preserve">Haessler, P. (2020) ‘Strategic decisions between short-term profit and sustainability’, </w:t>
      </w:r>
      <w:r w:rsidRPr="00976508">
        <w:rPr>
          <w:rFonts w:ascii="Times New Roman" w:hAnsi="Times New Roman" w:cs="Times New Roman"/>
          <w:i/>
          <w:iCs/>
          <w:noProof/>
          <w:sz w:val="24"/>
          <w:szCs w:val="24"/>
        </w:rPr>
        <w:t>Administrative Sciences</w:t>
      </w:r>
      <w:r w:rsidRPr="00976508">
        <w:rPr>
          <w:rFonts w:ascii="Times New Roman" w:hAnsi="Times New Roman" w:cs="Times New Roman"/>
          <w:noProof/>
          <w:sz w:val="24"/>
          <w:szCs w:val="24"/>
        </w:rPr>
        <w:t>, 10(3). doi: 10.3390/admsci10030063.</w:t>
      </w:r>
    </w:p>
    <w:p w14:paraId="060E7967"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Huang, K., Wang, J. and Zhang, J. (2023) ‘Automotive Supply Chain Disruption Risk Management: A Visualization Analysis Based on Bibliometric’, </w:t>
      </w:r>
      <w:r w:rsidRPr="00976508">
        <w:rPr>
          <w:rFonts w:ascii="Times New Roman" w:hAnsi="Times New Roman" w:cs="Times New Roman"/>
          <w:i/>
          <w:iCs/>
          <w:noProof/>
          <w:sz w:val="24"/>
          <w:szCs w:val="24"/>
        </w:rPr>
        <w:t>Processes</w:t>
      </w:r>
      <w:r w:rsidRPr="00976508">
        <w:rPr>
          <w:rFonts w:ascii="Times New Roman" w:hAnsi="Times New Roman" w:cs="Times New Roman"/>
          <w:noProof/>
          <w:sz w:val="24"/>
          <w:szCs w:val="24"/>
        </w:rPr>
        <w:t>, 11(3), p. 710.</w:t>
      </w:r>
    </w:p>
    <w:p w14:paraId="74540A7B"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Humpe, A., Gössling, S. and Haustein, S. (2022) ‘Car careers: A socio-psychological evaluation of aspirational automobile ownership’, </w:t>
      </w:r>
      <w:r w:rsidRPr="00976508">
        <w:rPr>
          <w:rFonts w:ascii="Times New Roman" w:hAnsi="Times New Roman" w:cs="Times New Roman"/>
          <w:i/>
          <w:iCs/>
          <w:noProof/>
          <w:sz w:val="24"/>
          <w:szCs w:val="24"/>
        </w:rPr>
        <w:t>Transportation Research Part A: Policy and Practice</w:t>
      </w:r>
      <w:r w:rsidRPr="00976508">
        <w:rPr>
          <w:rFonts w:ascii="Times New Roman" w:hAnsi="Times New Roman" w:cs="Times New Roman"/>
          <w:noProof/>
          <w:sz w:val="24"/>
          <w:szCs w:val="24"/>
        </w:rPr>
        <w:t>, 164, pp. 156–166. doi: https://doi.org/10.1016/j.tra.2022.08.001.</w:t>
      </w:r>
    </w:p>
    <w:p w14:paraId="5722F503"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In, N. (2007) ‘E Nergizing I Nnovation in I Ntegrated P Roject D Elivery’, </w:t>
      </w:r>
      <w:r w:rsidRPr="00976508">
        <w:rPr>
          <w:rFonts w:ascii="Times New Roman" w:hAnsi="Times New Roman" w:cs="Times New Roman"/>
          <w:i/>
          <w:iCs/>
          <w:noProof/>
          <w:sz w:val="24"/>
          <w:szCs w:val="24"/>
        </w:rPr>
        <w:t>Engineering</w:t>
      </w:r>
      <w:r w:rsidRPr="00976508">
        <w:rPr>
          <w:rFonts w:ascii="Times New Roman" w:hAnsi="Times New Roman" w:cs="Times New Roman"/>
          <w:noProof/>
          <w:sz w:val="24"/>
          <w:szCs w:val="24"/>
        </w:rPr>
        <w:t>, 84(December), pp. 839–844.</w:t>
      </w:r>
    </w:p>
    <w:p w14:paraId="731E5651"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Jonsson, A. and Vahlne, J. E. (2021) ‘Complexity offering opportunity: Mutual learning between Zhejiang Geely Holding Group and Volvo Cars in the post-acquisition process’, </w:t>
      </w:r>
      <w:r w:rsidRPr="00976508">
        <w:rPr>
          <w:rFonts w:ascii="Times New Roman" w:hAnsi="Times New Roman" w:cs="Times New Roman"/>
          <w:i/>
          <w:iCs/>
          <w:noProof/>
          <w:sz w:val="24"/>
          <w:szCs w:val="24"/>
        </w:rPr>
        <w:t>Global Strategy Journal</w:t>
      </w:r>
      <w:r w:rsidRPr="00976508">
        <w:rPr>
          <w:rFonts w:ascii="Times New Roman" w:hAnsi="Times New Roman" w:cs="Times New Roman"/>
          <w:noProof/>
          <w:sz w:val="24"/>
          <w:szCs w:val="24"/>
        </w:rPr>
        <w:t>, (September), pp. 1–32. doi: 10.1002/gsj.1424.</w:t>
      </w:r>
    </w:p>
    <w:p w14:paraId="6DE266A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Kerekes, E. L. and Tonvall, L. (2020) ‘MASTER ’ S THESIS Two Countries - One Image ? A Case Study of Volvo Cars in Sweden and in Hungary MASTER ’ S THESIS’.</w:t>
      </w:r>
    </w:p>
    <w:p w14:paraId="2188C6A6"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Kherchi, I., Mohamed, F. and Ahlem, H. S. (2019) ‘Can corporate social strategy create shared value toward creative business? “Volvo social strategy model”’, </w:t>
      </w:r>
      <w:r w:rsidRPr="00976508">
        <w:rPr>
          <w:rFonts w:ascii="Times New Roman" w:hAnsi="Times New Roman" w:cs="Times New Roman"/>
          <w:i/>
          <w:iCs/>
          <w:noProof/>
          <w:sz w:val="24"/>
          <w:szCs w:val="24"/>
        </w:rPr>
        <w:t>Economics</w:t>
      </w:r>
      <w:r w:rsidRPr="00976508">
        <w:rPr>
          <w:rFonts w:ascii="Times New Roman" w:hAnsi="Times New Roman" w:cs="Times New Roman"/>
          <w:noProof/>
          <w:sz w:val="24"/>
          <w:szCs w:val="24"/>
        </w:rPr>
        <w:t>, 7(2), pp. 109–124. doi: 10.2478/eoik-2019-0016.</w:t>
      </w:r>
    </w:p>
    <w:p w14:paraId="173987C7"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Kinch, N. (1987) ‘Emerging strategies in a network context: The Volvo case’, </w:t>
      </w:r>
      <w:r w:rsidRPr="00976508">
        <w:rPr>
          <w:rFonts w:ascii="Times New Roman" w:hAnsi="Times New Roman" w:cs="Times New Roman"/>
          <w:i/>
          <w:iCs/>
          <w:noProof/>
          <w:sz w:val="24"/>
          <w:szCs w:val="24"/>
        </w:rPr>
        <w:t>Scandinavian Journal of Management Studies</w:t>
      </w:r>
      <w:r w:rsidRPr="00976508">
        <w:rPr>
          <w:rFonts w:ascii="Times New Roman" w:hAnsi="Times New Roman" w:cs="Times New Roman"/>
          <w:noProof/>
          <w:sz w:val="24"/>
          <w:szCs w:val="24"/>
        </w:rPr>
        <w:t>, 3(3), pp. 167–184. doi: https://doi.org/10.1016/0281-7527(87)90003-X.</w:t>
      </w:r>
    </w:p>
    <w:p w14:paraId="151A9CFC"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Kinch, N. (1991) ‘Managing strategic illusions: the Volvo strategy in retrospect’. Available at: https://www.diva-portal.org/smash/record.jsf?pid=diva2:128556%0Ahttps://www.diva-portal.org/smash/get/diva2:128556/FULLTEXT01.pdf.</w:t>
      </w:r>
    </w:p>
    <w:p w14:paraId="39053229"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Knez, K., Jaklič, A. and Stare, M. (2021) ‘An extended approach to value chain analysis’, </w:t>
      </w:r>
      <w:r w:rsidRPr="00976508">
        <w:rPr>
          <w:rFonts w:ascii="Times New Roman" w:hAnsi="Times New Roman" w:cs="Times New Roman"/>
          <w:i/>
          <w:iCs/>
          <w:noProof/>
          <w:sz w:val="24"/>
          <w:szCs w:val="24"/>
        </w:rPr>
        <w:t>Journal of Economic Structures</w:t>
      </w:r>
      <w:r w:rsidRPr="00976508">
        <w:rPr>
          <w:rFonts w:ascii="Times New Roman" w:hAnsi="Times New Roman" w:cs="Times New Roman"/>
          <w:noProof/>
          <w:sz w:val="24"/>
          <w:szCs w:val="24"/>
        </w:rPr>
        <w:t>, 10(1), p. 13. doi: 10.1186/s40008-021-00244-6.</w:t>
      </w:r>
    </w:p>
    <w:p w14:paraId="176214BB"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Kohn, C. and Sandberg, E. (2006) ‘Exploring Supply Chain Captaincy: Why power matters in supply chain collaboration - The case of Volvo Parts’, </w:t>
      </w:r>
      <w:r w:rsidRPr="00976508">
        <w:rPr>
          <w:rFonts w:ascii="Times New Roman" w:hAnsi="Times New Roman" w:cs="Times New Roman"/>
          <w:i/>
          <w:iCs/>
          <w:noProof/>
          <w:sz w:val="24"/>
          <w:szCs w:val="24"/>
        </w:rPr>
        <w:t>Supply Chain Practice</w:t>
      </w:r>
      <w:r w:rsidRPr="00976508">
        <w:rPr>
          <w:rFonts w:ascii="Times New Roman" w:hAnsi="Times New Roman" w:cs="Times New Roman"/>
          <w:noProof/>
          <w:sz w:val="24"/>
          <w:szCs w:val="24"/>
        </w:rPr>
        <w:t>, 8, pp. 18–30.</w:t>
      </w:r>
    </w:p>
    <w:p w14:paraId="28C20880"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Liu, K. and Racherla, U. S. (2019) </w:t>
      </w:r>
      <w:r w:rsidRPr="00976508">
        <w:rPr>
          <w:rFonts w:ascii="Times New Roman" w:hAnsi="Times New Roman" w:cs="Times New Roman"/>
          <w:i/>
          <w:iCs/>
          <w:noProof/>
          <w:sz w:val="24"/>
          <w:szCs w:val="24"/>
        </w:rPr>
        <w:t xml:space="preserve">Innovation, Economic Development, and Intellectual </w:t>
      </w:r>
      <w:r w:rsidRPr="00976508">
        <w:rPr>
          <w:rFonts w:ascii="Times New Roman" w:hAnsi="Times New Roman" w:cs="Times New Roman"/>
          <w:i/>
          <w:iCs/>
          <w:noProof/>
          <w:sz w:val="24"/>
          <w:szCs w:val="24"/>
        </w:rPr>
        <w:lastRenderedPageBreak/>
        <w:t>Property in India and China</w:t>
      </w:r>
      <w:r w:rsidRPr="00976508">
        <w:rPr>
          <w:rFonts w:ascii="Times New Roman" w:hAnsi="Times New Roman" w:cs="Times New Roman"/>
          <w:noProof/>
          <w:sz w:val="24"/>
          <w:szCs w:val="24"/>
        </w:rPr>
        <w:t xml:space="preserve">, </w:t>
      </w:r>
      <w:r w:rsidRPr="00976508">
        <w:rPr>
          <w:rFonts w:ascii="Times New Roman" w:hAnsi="Times New Roman" w:cs="Times New Roman"/>
          <w:i/>
          <w:iCs/>
          <w:noProof/>
          <w:sz w:val="24"/>
          <w:szCs w:val="24"/>
        </w:rPr>
        <w:t>ARCIALA Series on Intellectual Assets and Law in Asia</w:t>
      </w:r>
      <w:r w:rsidRPr="00976508">
        <w:rPr>
          <w:rFonts w:ascii="Times New Roman" w:hAnsi="Times New Roman" w:cs="Times New Roman"/>
          <w:noProof/>
          <w:sz w:val="24"/>
          <w:szCs w:val="24"/>
        </w:rPr>
        <w:t>.</w:t>
      </w:r>
    </w:p>
    <w:p w14:paraId="36CCE3A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Liu, Z. and Nishi, T. (2019) ‘Government regulations on closed-loop supply chain with evolutionarily stable strategy’, </w:t>
      </w:r>
      <w:r w:rsidRPr="00976508">
        <w:rPr>
          <w:rFonts w:ascii="Times New Roman" w:hAnsi="Times New Roman" w:cs="Times New Roman"/>
          <w:i/>
          <w:iCs/>
          <w:noProof/>
          <w:sz w:val="24"/>
          <w:szCs w:val="24"/>
        </w:rPr>
        <w:t>Sustainability (Switzerland)</w:t>
      </w:r>
      <w:r w:rsidRPr="00976508">
        <w:rPr>
          <w:rFonts w:ascii="Times New Roman" w:hAnsi="Times New Roman" w:cs="Times New Roman"/>
          <w:noProof/>
          <w:sz w:val="24"/>
          <w:szCs w:val="24"/>
        </w:rPr>
        <w:t>, 11(18). doi: 10.3390/su11185030.</w:t>
      </w:r>
    </w:p>
    <w:p w14:paraId="6D474122"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Macchion, L. and Fornasiero, R. (2021) ‘Global–local supply chain configurations for different production strategies: a comparison between traditional and customized productions’, </w:t>
      </w:r>
      <w:r w:rsidRPr="00976508">
        <w:rPr>
          <w:rFonts w:ascii="Times New Roman" w:hAnsi="Times New Roman" w:cs="Times New Roman"/>
          <w:i/>
          <w:iCs/>
          <w:noProof/>
          <w:sz w:val="24"/>
          <w:szCs w:val="24"/>
        </w:rPr>
        <w:t>Journal of Fashion Marketing and Management</w:t>
      </w:r>
      <w:r w:rsidRPr="00976508">
        <w:rPr>
          <w:rFonts w:ascii="Times New Roman" w:hAnsi="Times New Roman" w:cs="Times New Roman"/>
          <w:noProof/>
          <w:sz w:val="24"/>
          <w:szCs w:val="24"/>
        </w:rPr>
        <w:t>, 25(2), pp. 290–309.</w:t>
      </w:r>
    </w:p>
    <w:p w14:paraId="619A94A9"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Malagihal, S. S. (2021) ‘Strategic Options for Automobile OEMs of Indian Origin to have Sustained Competitive Advantage: A Case of Tata Motors’, </w:t>
      </w:r>
      <w:r w:rsidRPr="00976508">
        <w:rPr>
          <w:rFonts w:ascii="Times New Roman" w:hAnsi="Times New Roman" w:cs="Times New Roman"/>
          <w:i/>
          <w:iCs/>
          <w:noProof/>
          <w:sz w:val="24"/>
          <w:szCs w:val="24"/>
        </w:rPr>
        <w:t>International Journal of Global Business and Competitiveness</w:t>
      </w:r>
      <w:r w:rsidRPr="00976508">
        <w:rPr>
          <w:rFonts w:ascii="Times New Roman" w:hAnsi="Times New Roman" w:cs="Times New Roman"/>
          <w:noProof/>
          <w:sz w:val="24"/>
          <w:szCs w:val="24"/>
        </w:rPr>
        <w:t>, 16(2), pp. 139–152. doi: 10.1007/s42943-021-00029-5.</w:t>
      </w:r>
    </w:p>
    <w:p w14:paraId="0245F309"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Nicita, A., Oganivtsev, V. and Shirotori, M. (2013) ‘Global Supply Chains: Trade and Economic Policies for Developing Countries’, </w:t>
      </w:r>
      <w:r w:rsidRPr="00976508">
        <w:rPr>
          <w:rFonts w:ascii="Times New Roman" w:hAnsi="Times New Roman" w:cs="Times New Roman"/>
          <w:i/>
          <w:iCs/>
          <w:noProof/>
          <w:sz w:val="24"/>
          <w:szCs w:val="24"/>
        </w:rPr>
        <w:t>United Nations Conference on Trade and Development</w:t>
      </w:r>
      <w:r w:rsidRPr="00976508">
        <w:rPr>
          <w:rFonts w:ascii="Times New Roman" w:hAnsi="Times New Roman" w:cs="Times New Roman"/>
          <w:noProof/>
          <w:sz w:val="24"/>
          <w:szCs w:val="24"/>
        </w:rPr>
        <w:t>, (55), pp. 9–34. Available at: http://unctad.org/en/PublicationsLibrary/itcdtab56_en.pdf.</w:t>
      </w:r>
    </w:p>
    <w:p w14:paraId="5089595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Pazirandeh, A. and Mattsson, S. (2009) ‘Supply Chain Development within Volvo Penta Chain Development through Supplier Relationship Improvement’, (2).</w:t>
      </w:r>
    </w:p>
    <w:p w14:paraId="40362E5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Ponte, J. D., Charterina, J. and Basterretxea, I. (2017) ‘Automaker-supplier relationships and new product development in the truck industry: The case of Volvo do Brasil’, </w:t>
      </w:r>
      <w:r w:rsidRPr="00976508">
        <w:rPr>
          <w:rFonts w:ascii="Times New Roman" w:hAnsi="Times New Roman" w:cs="Times New Roman"/>
          <w:i/>
          <w:iCs/>
          <w:noProof/>
          <w:sz w:val="24"/>
          <w:szCs w:val="24"/>
        </w:rPr>
        <w:t>International Journal of Automotive Technology and Management</w:t>
      </w:r>
      <w:r w:rsidRPr="00976508">
        <w:rPr>
          <w:rFonts w:ascii="Times New Roman" w:hAnsi="Times New Roman" w:cs="Times New Roman"/>
          <w:noProof/>
          <w:sz w:val="24"/>
          <w:szCs w:val="24"/>
        </w:rPr>
        <w:t>, 17(1), pp. 96–116. doi: 10.1504/IJATM.2017.082282.</w:t>
      </w:r>
    </w:p>
    <w:p w14:paraId="799D6DA3"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Qamar, A., Collinson, S. and Green, A. (2023) ‘Covid-19 disruption, resilience and industrial policy: the automotive sector in the West Midlands’, </w:t>
      </w:r>
      <w:r w:rsidRPr="00976508">
        <w:rPr>
          <w:rFonts w:ascii="Times New Roman" w:hAnsi="Times New Roman" w:cs="Times New Roman"/>
          <w:i/>
          <w:iCs/>
          <w:noProof/>
          <w:sz w:val="24"/>
          <w:szCs w:val="24"/>
        </w:rPr>
        <w:t>Regional Studies</w:t>
      </w:r>
      <w:r w:rsidRPr="00976508">
        <w:rPr>
          <w:rFonts w:ascii="Times New Roman" w:hAnsi="Times New Roman" w:cs="Times New Roman"/>
          <w:noProof/>
          <w:sz w:val="24"/>
          <w:szCs w:val="24"/>
        </w:rPr>
        <w:t>, 57(6), pp. 1156–1170. doi: 10.1080/00343404.2022.2126449.</w:t>
      </w:r>
    </w:p>
    <w:p w14:paraId="27840DD6"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Sakuramoto, C., Di Serio, L. C. and Bittar, A. de V. (2019) ‘Impact of supply chain on the competitiveness of the automotive industry’, </w:t>
      </w:r>
      <w:r w:rsidRPr="00976508">
        <w:rPr>
          <w:rFonts w:ascii="Times New Roman" w:hAnsi="Times New Roman" w:cs="Times New Roman"/>
          <w:i/>
          <w:iCs/>
          <w:noProof/>
          <w:sz w:val="24"/>
          <w:szCs w:val="24"/>
        </w:rPr>
        <w:t>RAUSP Management Journal</w:t>
      </w:r>
      <w:r w:rsidRPr="00976508">
        <w:rPr>
          <w:rFonts w:ascii="Times New Roman" w:hAnsi="Times New Roman" w:cs="Times New Roman"/>
          <w:noProof/>
          <w:sz w:val="24"/>
          <w:szCs w:val="24"/>
        </w:rPr>
        <w:t>, 54(2), pp. 205–225. doi: 10.1108/RAUSP-07-2018-0051.</w:t>
      </w:r>
    </w:p>
    <w:p w14:paraId="10139BE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Samama, D. and Vega, J. (2010) ‘Does Volvo Cars’ marketing strategy differ according to consumer behavior in Sweden and in France’. Available at: http://www.diva-portal.org/smash/get/diva2:328454/FULLTEXT01.pdf.</w:t>
      </w:r>
    </w:p>
    <w:p w14:paraId="5B5048C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Statista (2022) </w:t>
      </w:r>
      <w:r w:rsidRPr="00976508">
        <w:rPr>
          <w:rFonts w:ascii="Times New Roman" w:hAnsi="Times New Roman" w:cs="Times New Roman"/>
          <w:i/>
          <w:iCs/>
          <w:noProof/>
          <w:sz w:val="24"/>
          <w:szCs w:val="24"/>
        </w:rPr>
        <w:t>No Title</w:t>
      </w:r>
      <w:r w:rsidRPr="00976508">
        <w:rPr>
          <w:rFonts w:ascii="Times New Roman" w:hAnsi="Times New Roman" w:cs="Times New Roman"/>
          <w:noProof/>
          <w:sz w:val="24"/>
          <w:szCs w:val="24"/>
        </w:rPr>
        <w:t>.</w:t>
      </w:r>
    </w:p>
    <w:p w14:paraId="3205CB8C"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lastRenderedPageBreak/>
        <w:t xml:space="preserve">Stylidis, K.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(2020) ‘Transforming brand core values into perceived quality: A Volvo case study’, </w:t>
      </w:r>
      <w:r w:rsidRPr="00976508">
        <w:rPr>
          <w:rFonts w:ascii="Times New Roman" w:hAnsi="Times New Roman" w:cs="Times New Roman"/>
          <w:i/>
          <w:iCs/>
          <w:noProof/>
          <w:sz w:val="24"/>
          <w:szCs w:val="24"/>
        </w:rPr>
        <w:t>International Journal of Product Development</w:t>
      </w:r>
      <w:r w:rsidRPr="00976508">
        <w:rPr>
          <w:rFonts w:ascii="Times New Roman" w:hAnsi="Times New Roman" w:cs="Times New Roman"/>
          <w:noProof/>
          <w:sz w:val="24"/>
          <w:szCs w:val="24"/>
        </w:rPr>
        <w:t>, 24(1), pp. 43–67. doi: 10.1504/IJPD.2020.106448.</w:t>
      </w:r>
    </w:p>
    <w:p w14:paraId="235E82FE"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Sucharski, I. and Fabinger, P. (2017) </w:t>
      </w:r>
      <w:r w:rsidRPr="00976508">
        <w:rPr>
          <w:rFonts w:ascii="Times New Roman" w:hAnsi="Times New Roman" w:cs="Times New Roman"/>
          <w:i/>
          <w:iCs/>
          <w:noProof/>
          <w:sz w:val="24"/>
          <w:szCs w:val="24"/>
        </w:rPr>
        <w:t>Privacy in the Age of Autonomous Vehicles</w:t>
      </w:r>
      <w:r w:rsidRPr="00976508">
        <w:rPr>
          <w:rFonts w:ascii="Times New Roman" w:hAnsi="Times New Roman" w:cs="Times New Roman"/>
          <w:noProof/>
          <w:sz w:val="24"/>
          <w:szCs w:val="24"/>
        </w:rPr>
        <w:t xml:space="preserve">, </w:t>
      </w:r>
      <w:r w:rsidRPr="00976508">
        <w:rPr>
          <w:rFonts w:ascii="Times New Roman" w:hAnsi="Times New Roman" w:cs="Times New Roman"/>
          <w:i/>
          <w:iCs/>
          <w:noProof/>
          <w:sz w:val="24"/>
          <w:szCs w:val="24"/>
        </w:rPr>
        <w:t>Washington and Lee Law Review Online</w:t>
      </w:r>
      <w:r w:rsidRPr="00976508">
        <w:rPr>
          <w:rFonts w:ascii="Times New Roman" w:hAnsi="Times New Roman" w:cs="Times New Roman"/>
          <w:noProof/>
          <w:sz w:val="24"/>
          <w:szCs w:val="24"/>
        </w:rPr>
        <w:t>.</w:t>
      </w:r>
    </w:p>
    <w:p w14:paraId="7BD40889"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Tiselius, K. (2020) ‘Developing strategic supplier relationships at Volvo Powertrain’.</w:t>
      </w:r>
    </w:p>
    <w:p w14:paraId="10586DC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Trucks, V.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(2014) ‘Ferdinand Enoayuk Abangma Management’, I(I).</w:t>
      </w:r>
    </w:p>
    <w:p w14:paraId="2B791908"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Tyagi, S. and Mahajan, V. (2022) ‘What Determines Profitability in the Indian Automobile Industry?’, </w:t>
      </w:r>
      <w:r w:rsidRPr="00976508">
        <w:rPr>
          <w:rFonts w:ascii="Times New Roman" w:hAnsi="Times New Roman" w:cs="Times New Roman"/>
          <w:i/>
          <w:iCs/>
          <w:noProof/>
          <w:sz w:val="24"/>
          <w:szCs w:val="24"/>
        </w:rPr>
        <w:t>The Indian Economic Journal</w:t>
      </w:r>
      <w:r w:rsidRPr="00976508">
        <w:rPr>
          <w:rFonts w:ascii="Times New Roman" w:hAnsi="Times New Roman" w:cs="Times New Roman"/>
          <w:noProof/>
          <w:sz w:val="24"/>
          <w:szCs w:val="24"/>
        </w:rPr>
        <w:t>, 70(1), pp. 71–87. doi: 10.1177/00194662211063574.</w:t>
      </w:r>
    </w:p>
    <w:p w14:paraId="5FC20D4A"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Uchil, S. and Yazdanifard, A. P. D. R. (2014) ‘The Growth of the Automobile Industry : Toyota’s Dominance in United States’, </w:t>
      </w:r>
      <w:r w:rsidRPr="00976508">
        <w:rPr>
          <w:rFonts w:ascii="Times New Roman" w:hAnsi="Times New Roman" w:cs="Times New Roman"/>
          <w:i/>
          <w:iCs/>
          <w:noProof/>
          <w:sz w:val="24"/>
          <w:szCs w:val="24"/>
        </w:rPr>
        <w:t>Journal of Research in Marketing</w:t>
      </w:r>
      <w:r w:rsidRPr="00976508">
        <w:rPr>
          <w:rFonts w:ascii="Times New Roman" w:hAnsi="Times New Roman" w:cs="Times New Roman"/>
          <w:noProof/>
          <w:sz w:val="24"/>
          <w:szCs w:val="24"/>
        </w:rPr>
        <w:t>, Vol 3, pp. 265–268. doi: 10.17722/jorm.v3i2.86.</w:t>
      </w:r>
    </w:p>
    <w:p w14:paraId="3284B15E"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Vidrova, Z. (2020) ‘Supply chain management in the aspect of globalization’, </w:t>
      </w:r>
      <w:r w:rsidRPr="00976508">
        <w:rPr>
          <w:rFonts w:ascii="Times New Roman" w:hAnsi="Times New Roman" w:cs="Times New Roman"/>
          <w:i/>
          <w:iCs/>
          <w:noProof/>
          <w:sz w:val="24"/>
          <w:szCs w:val="24"/>
        </w:rPr>
        <w:t>SHS Web of Conferences</w:t>
      </w:r>
      <w:r w:rsidRPr="00976508">
        <w:rPr>
          <w:rFonts w:ascii="Times New Roman" w:hAnsi="Times New Roman" w:cs="Times New Roman"/>
          <w:noProof/>
          <w:sz w:val="24"/>
          <w:szCs w:val="24"/>
        </w:rPr>
        <w:t>, 74, p. 04031. doi: 10.1051/shsconf/20207404031.</w:t>
      </w:r>
    </w:p>
    <w:p w14:paraId="279522B0"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Volvo Group (2020) ‘Our Customers Make Societies’, p. 210.</w:t>
      </w:r>
    </w:p>
    <w:p w14:paraId="1F6094FA"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Volvo Group (2021) ‘prosperity transport and solutions’.</w:t>
      </w:r>
    </w:p>
    <w:p w14:paraId="574008E5"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Volvo Group (2023) ‘Geared for Growth Content’.</w:t>
      </w:r>
    </w:p>
    <w:p w14:paraId="4EA21D5F"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Waleed, E.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(2023) ‘VRIO Analysis Framework in Project Management ( PM ) Comprehensive Approach’, 12(2), pp. 57–72.</w:t>
      </w:r>
    </w:p>
    <w:p w14:paraId="3C4D99BB"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Wright, M.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(2007) ‘The implications of alternative investment vehicles for corporate governance: A survey of empirical research’, pp. 1–69. Available at: http://www.cgscenter.com/library/OECDStudiesonCorpGov/HedgefundsPrivateEquityEmprical.pdf.</w:t>
      </w:r>
    </w:p>
    <w:p w14:paraId="080F7B12"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szCs w:val="24"/>
        </w:rPr>
      </w:pPr>
      <w:r w:rsidRPr="00976508">
        <w:rPr>
          <w:rFonts w:ascii="Times New Roman" w:hAnsi="Times New Roman" w:cs="Times New Roman"/>
          <w:noProof/>
          <w:sz w:val="24"/>
          <w:szCs w:val="24"/>
        </w:rPr>
        <w:t xml:space="preserve">Xie, C. </w:t>
      </w:r>
      <w:r w:rsidRPr="00976508">
        <w:rPr>
          <w:rFonts w:ascii="Times New Roman" w:hAnsi="Times New Roman" w:cs="Times New Roman"/>
          <w:i/>
          <w:iCs/>
          <w:noProof/>
          <w:sz w:val="24"/>
          <w:szCs w:val="24"/>
        </w:rPr>
        <w:t>et al.</w:t>
      </w:r>
      <w:r w:rsidRPr="00976508">
        <w:rPr>
          <w:rFonts w:ascii="Times New Roman" w:hAnsi="Times New Roman" w:cs="Times New Roman"/>
          <w:noProof/>
          <w:sz w:val="24"/>
          <w:szCs w:val="24"/>
        </w:rPr>
        <w:t xml:space="preserve"> (2022) ‘Privacy of Autonomous Vehicles: Risks, Protection Methods, and Future Directions’, pp. 1–17.</w:t>
      </w:r>
    </w:p>
    <w:p w14:paraId="54F116BD" w14:textId="77777777" w:rsidR="00976508" w:rsidRPr="00976508" w:rsidRDefault="00976508" w:rsidP="00976508">
      <w:pPr>
        <w:widowControl w:val="0"/>
        <w:autoSpaceDE w:val="0"/>
        <w:autoSpaceDN w:val="0"/>
        <w:adjustRightInd w:val="0"/>
        <w:spacing w:line="360" w:lineRule="auto"/>
        <w:rPr>
          <w:rFonts w:ascii="Times New Roman" w:hAnsi="Times New Roman" w:cs="Times New Roman"/>
          <w:noProof/>
          <w:sz w:val="24"/>
        </w:rPr>
      </w:pPr>
      <w:r w:rsidRPr="00976508">
        <w:rPr>
          <w:rFonts w:ascii="Times New Roman" w:hAnsi="Times New Roman" w:cs="Times New Roman"/>
          <w:noProof/>
          <w:sz w:val="24"/>
          <w:szCs w:val="24"/>
        </w:rPr>
        <w:t xml:space="preserve">Zamora, E. A. (2016) ‘Value Chain Analysis: A Brief Review’, </w:t>
      </w:r>
      <w:r w:rsidRPr="00976508">
        <w:rPr>
          <w:rFonts w:ascii="Times New Roman" w:hAnsi="Times New Roman" w:cs="Times New Roman"/>
          <w:i/>
          <w:iCs/>
          <w:noProof/>
          <w:sz w:val="24"/>
          <w:szCs w:val="24"/>
        </w:rPr>
        <w:t>Asian Journal of Innovation and Policy</w:t>
      </w:r>
      <w:r w:rsidRPr="00976508">
        <w:rPr>
          <w:rFonts w:ascii="Times New Roman" w:hAnsi="Times New Roman" w:cs="Times New Roman"/>
          <w:noProof/>
          <w:sz w:val="24"/>
          <w:szCs w:val="24"/>
        </w:rPr>
        <w:t>, 5(2), pp. 116–128.</w:t>
      </w:r>
    </w:p>
    <w:p w14:paraId="3DE07E11" w14:textId="3800D193" w:rsidR="00386C98" w:rsidRPr="00386C98" w:rsidRDefault="00386C98" w:rsidP="00386C98">
      <w:pPr>
        <w:spacing w:line="360" w:lineRule="auto"/>
        <w:jc w:val="both"/>
      </w:pPr>
      <w:r w:rsidRPr="00386C98">
        <w:rPr>
          <w:rFonts w:ascii="Times New Roman" w:hAnsi="Times New Roman" w:cs="Times New Roman"/>
          <w:sz w:val="24"/>
          <w:szCs w:val="24"/>
        </w:rPr>
        <w:lastRenderedPageBreak/>
        <w:fldChar w:fldCharType="end"/>
      </w:r>
    </w:p>
    <w:sectPr w:rsidR="00386C98" w:rsidRPr="00386C98" w:rsidSect="00946242">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5971" w14:textId="77777777" w:rsidR="00036EDC" w:rsidRDefault="00036EDC" w:rsidP="00946242">
      <w:pPr>
        <w:spacing w:after="0" w:line="240" w:lineRule="auto"/>
      </w:pPr>
      <w:r>
        <w:separator/>
      </w:r>
    </w:p>
  </w:endnote>
  <w:endnote w:type="continuationSeparator" w:id="0">
    <w:p w14:paraId="0A1F483C" w14:textId="77777777" w:rsidR="00036EDC" w:rsidRDefault="00036EDC" w:rsidP="0094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528849"/>
      <w:docPartObj>
        <w:docPartGallery w:val="Page Numbers (Bottom of Page)"/>
        <w:docPartUnique/>
      </w:docPartObj>
    </w:sdtPr>
    <w:sdtEndPr>
      <w:rPr>
        <w:noProof/>
      </w:rPr>
    </w:sdtEndPr>
    <w:sdtContent>
      <w:p w14:paraId="0AE27FBD" w14:textId="41C4EAEE" w:rsidR="00946242" w:rsidRDefault="00946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C222F" w14:textId="77777777" w:rsidR="00946242" w:rsidRDefault="0094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D8761" w14:textId="77777777" w:rsidR="00036EDC" w:rsidRDefault="00036EDC" w:rsidP="00946242">
      <w:pPr>
        <w:spacing w:after="0" w:line="240" w:lineRule="auto"/>
      </w:pPr>
      <w:r>
        <w:separator/>
      </w:r>
    </w:p>
  </w:footnote>
  <w:footnote w:type="continuationSeparator" w:id="0">
    <w:p w14:paraId="09AFE0CE" w14:textId="77777777" w:rsidR="00036EDC" w:rsidRDefault="00036EDC" w:rsidP="0094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188A"/>
    <w:multiLevelType w:val="hybridMultilevel"/>
    <w:tmpl w:val="42ECA9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C807D3"/>
    <w:multiLevelType w:val="hybridMultilevel"/>
    <w:tmpl w:val="A8F677E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2B081D"/>
    <w:multiLevelType w:val="hybridMultilevel"/>
    <w:tmpl w:val="49D6F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9FF1A46"/>
    <w:multiLevelType w:val="hybridMultilevel"/>
    <w:tmpl w:val="5E288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C37B06"/>
    <w:multiLevelType w:val="hybridMultilevel"/>
    <w:tmpl w:val="F56237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ACF5B3A"/>
    <w:multiLevelType w:val="hybridMultilevel"/>
    <w:tmpl w:val="281E6F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04C76EB"/>
    <w:multiLevelType w:val="multilevel"/>
    <w:tmpl w:val="91946A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1482775B"/>
    <w:multiLevelType w:val="multilevel"/>
    <w:tmpl w:val="EFDA2B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16295AA8"/>
    <w:multiLevelType w:val="hybridMultilevel"/>
    <w:tmpl w:val="3EACC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7A674E2"/>
    <w:multiLevelType w:val="hybridMultilevel"/>
    <w:tmpl w:val="C5DE4A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CAF1562"/>
    <w:multiLevelType w:val="hybridMultilevel"/>
    <w:tmpl w:val="2472B1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E1F458C"/>
    <w:multiLevelType w:val="hybridMultilevel"/>
    <w:tmpl w:val="A9DE4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8661C12"/>
    <w:multiLevelType w:val="hybridMultilevel"/>
    <w:tmpl w:val="2F508A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E9A0A24"/>
    <w:multiLevelType w:val="hybridMultilevel"/>
    <w:tmpl w:val="57B2D8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440309A"/>
    <w:multiLevelType w:val="hybridMultilevel"/>
    <w:tmpl w:val="6E58BD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CC34250"/>
    <w:multiLevelType w:val="hybridMultilevel"/>
    <w:tmpl w:val="56D45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CD03956"/>
    <w:multiLevelType w:val="hybridMultilevel"/>
    <w:tmpl w:val="D0D4F8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4343808"/>
    <w:multiLevelType w:val="multilevel"/>
    <w:tmpl w:val="6EAC51A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4A2F4326"/>
    <w:multiLevelType w:val="hybridMultilevel"/>
    <w:tmpl w:val="8C5C50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3F23D4A"/>
    <w:multiLevelType w:val="hybridMultilevel"/>
    <w:tmpl w:val="16F86A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40C16A4"/>
    <w:multiLevelType w:val="multilevel"/>
    <w:tmpl w:val="BFAE0E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59F564BE"/>
    <w:multiLevelType w:val="hybridMultilevel"/>
    <w:tmpl w:val="30881C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A4A0094"/>
    <w:multiLevelType w:val="hybridMultilevel"/>
    <w:tmpl w:val="C5C006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B175C45"/>
    <w:multiLevelType w:val="hybridMultilevel"/>
    <w:tmpl w:val="3F6C9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CED4CBA"/>
    <w:multiLevelType w:val="hybridMultilevel"/>
    <w:tmpl w:val="9B62A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03D4C79"/>
    <w:multiLevelType w:val="multilevel"/>
    <w:tmpl w:val="3A74E2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671B3A7C"/>
    <w:multiLevelType w:val="hybridMultilevel"/>
    <w:tmpl w:val="E2429F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0D0325D"/>
    <w:multiLevelType w:val="hybridMultilevel"/>
    <w:tmpl w:val="95F2D7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3943692"/>
    <w:multiLevelType w:val="hybridMultilevel"/>
    <w:tmpl w:val="97B2EF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3EE546E"/>
    <w:multiLevelType w:val="multilevel"/>
    <w:tmpl w:val="9CEECF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15:restartNumberingAfterBreak="0">
    <w:nsid w:val="773759DB"/>
    <w:multiLevelType w:val="hybridMultilevel"/>
    <w:tmpl w:val="D6F059A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C7902AA"/>
    <w:multiLevelType w:val="hybridMultilevel"/>
    <w:tmpl w:val="BC2EEB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CBF767C"/>
    <w:multiLevelType w:val="hybridMultilevel"/>
    <w:tmpl w:val="9C948B3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71579137">
    <w:abstractNumId w:val="7"/>
  </w:num>
  <w:num w:numId="2" w16cid:durableId="1897232520">
    <w:abstractNumId w:val="25"/>
  </w:num>
  <w:num w:numId="3" w16cid:durableId="725488167">
    <w:abstractNumId w:val="7"/>
  </w:num>
  <w:num w:numId="4" w16cid:durableId="1041593570">
    <w:abstractNumId w:val="7"/>
  </w:num>
  <w:num w:numId="5" w16cid:durableId="391974985">
    <w:abstractNumId w:val="17"/>
  </w:num>
  <w:num w:numId="6" w16cid:durableId="905142258">
    <w:abstractNumId w:val="7"/>
  </w:num>
  <w:num w:numId="7" w16cid:durableId="1977416">
    <w:abstractNumId w:val="7"/>
  </w:num>
  <w:num w:numId="8" w16cid:durableId="70348402">
    <w:abstractNumId w:val="7"/>
  </w:num>
  <w:num w:numId="9" w16cid:durableId="974918956">
    <w:abstractNumId w:val="20"/>
  </w:num>
  <w:num w:numId="10" w16cid:durableId="1817189077">
    <w:abstractNumId w:val="7"/>
  </w:num>
  <w:num w:numId="11" w16cid:durableId="1579554417">
    <w:abstractNumId w:val="7"/>
  </w:num>
  <w:num w:numId="12" w16cid:durableId="1028797920">
    <w:abstractNumId w:val="29"/>
  </w:num>
  <w:num w:numId="13" w16cid:durableId="1434857331">
    <w:abstractNumId w:val="7"/>
  </w:num>
  <w:num w:numId="14" w16cid:durableId="560411658">
    <w:abstractNumId w:val="6"/>
  </w:num>
  <w:num w:numId="15" w16cid:durableId="1863322339">
    <w:abstractNumId w:val="6"/>
  </w:num>
  <w:num w:numId="16" w16cid:durableId="2065644063">
    <w:abstractNumId w:val="7"/>
  </w:num>
  <w:num w:numId="17" w16cid:durableId="2033915273">
    <w:abstractNumId w:val="7"/>
  </w:num>
  <w:num w:numId="18" w16cid:durableId="1427186488">
    <w:abstractNumId w:val="7"/>
  </w:num>
  <w:num w:numId="19" w16cid:durableId="1317416200">
    <w:abstractNumId w:val="7"/>
  </w:num>
  <w:num w:numId="20" w16cid:durableId="1053581384">
    <w:abstractNumId w:val="7"/>
  </w:num>
  <w:num w:numId="21" w16cid:durableId="1697383370">
    <w:abstractNumId w:val="7"/>
  </w:num>
  <w:num w:numId="22" w16cid:durableId="2077431231">
    <w:abstractNumId w:val="7"/>
  </w:num>
  <w:num w:numId="23" w16cid:durableId="73627148">
    <w:abstractNumId w:val="7"/>
  </w:num>
  <w:num w:numId="24" w16cid:durableId="1960917605">
    <w:abstractNumId w:val="7"/>
  </w:num>
  <w:num w:numId="25" w16cid:durableId="1998338494">
    <w:abstractNumId w:val="7"/>
  </w:num>
  <w:num w:numId="26" w16cid:durableId="1303853054">
    <w:abstractNumId w:val="21"/>
  </w:num>
  <w:num w:numId="27" w16cid:durableId="1035738465">
    <w:abstractNumId w:val="18"/>
  </w:num>
  <w:num w:numId="28" w16cid:durableId="561333086">
    <w:abstractNumId w:val="14"/>
  </w:num>
  <w:num w:numId="29" w16cid:durableId="63797142">
    <w:abstractNumId w:val="2"/>
  </w:num>
  <w:num w:numId="30" w16cid:durableId="1789465724">
    <w:abstractNumId w:val="11"/>
  </w:num>
  <w:num w:numId="31" w16cid:durableId="134880112">
    <w:abstractNumId w:val="23"/>
  </w:num>
  <w:num w:numId="32" w16cid:durableId="2089841425">
    <w:abstractNumId w:val="8"/>
  </w:num>
  <w:num w:numId="33" w16cid:durableId="1899709119">
    <w:abstractNumId w:val="22"/>
  </w:num>
  <w:num w:numId="34" w16cid:durableId="1192064344">
    <w:abstractNumId w:val="31"/>
  </w:num>
  <w:num w:numId="35" w16cid:durableId="766928694">
    <w:abstractNumId w:val="16"/>
  </w:num>
  <w:num w:numId="36" w16cid:durableId="1128889095">
    <w:abstractNumId w:val="3"/>
  </w:num>
  <w:num w:numId="37" w16cid:durableId="1393960868">
    <w:abstractNumId w:val="26"/>
  </w:num>
  <w:num w:numId="38" w16cid:durableId="685718701">
    <w:abstractNumId w:val="28"/>
  </w:num>
  <w:num w:numId="39" w16cid:durableId="825171317">
    <w:abstractNumId w:val="15"/>
  </w:num>
  <w:num w:numId="40" w16cid:durableId="462844381">
    <w:abstractNumId w:val="27"/>
  </w:num>
  <w:num w:numId="41" w16cid:durableId="1151867134">
    <w:abstractNumId w:val="32"/>
  </w:num>
  <w:num w:numId="42" w16cid:durableId="985013917">
    <w:abstractNumId w:val="10"/>
  </w:num>
  <w:num w:numId="43" w16cid:durableId="356197831">
    <w:abstractNumId w:val="5"/>
  </w:num>
  <w:num w:numId="44" w16cid:durableId="1463303315">
    <w:abstractNumId w:val="0"/>
  </w:num>
  <w:num w:numId="45" w16cid:durableId="471096909">
    <w:abstractNumId w:val="4"/>
  </w:num>
  <w:num w:numId="46" w16cid:durableId="799765401">
    <w:abstractNumId w:val="1"/>
  </w:num>
  <w:num w:numId="47" w16cid:durableId="139158320">
    <w:abstractNumId w:val="30"/>
  </w:num>
  <w:num w:numId="48" w16cid:durableId="1597784602">
    <w:abstractNumId w:val="12"/>
  </w:num>
  <w:num w:numId="49" w16cid:durableId="1508211743">
    <w:abstractNumId w:val="9"/>
  </w:num>
  <w:num w:numId="50" w16cid:durableId="1325157823">
    <w:abstractNumId w:val="19"/>
  </w:num>
  <w:num w:numId="51" w16cid:durableId="118424654">
    <w:abstractNumId w:val="24"/>
  </w:num>
  <w:num w:numId="52" w16cid:durableId="14218331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68"/>
    <w:rsid w:val="00036EDC"/>
    <w:rsid w:val="00054A52"/>
    <w:rsid w:val="00124BD8"/>
    <w:rsid w:val="001B5D1F"/>
    <w:rsid w:val="001F761E"/>
    <w:rsid w:val="002B0C32"/>
    <w:rsid w:val="002F62B2"/>
    <w:rsid w:val="00330C89"/>
    <w:rsid w:val="00386C98"/>
    <w:rsid w:val="003C3FD6"/>
    <w:rsid w:val="003E010E"/>
    <w:rsid w:val="0040277F"/>
    <w:rsid w:val="00407A13"/>
    <w:rsid w:val="0041621F"/>
    <w:rsid w:val="004E65FA"/>
    <w:rsid w:val="0050091F"/>
    <w:rsid w:val="00563D2E"/>
    <w:rsid w:val="005934D7"/>
    <w:rsid w:val="00661BFA"/>
    <w:rsid w:val="006A1FA2"/>
    <w:rsid w:val="007A4009"/>
    <w:rsid w:val="00933DBB"/>
    <w:rsid w:val="00946242"/>
    <w:rsid w:val="00972A74"/>
    <w:rsid w:val="00976508"/>
    <w:rsid w:val="00A17FFA"/>
    <w:rsid w:val="00B76DED"/>
    <w:rsid w:val="00BB5E1D"/>
    <w:rsid w:val="00BD66C6"/>
    <w:rsid w:val="00BF4054"/>
    <w:rsid w:val="00C17F68"/>
    <w:rsid w:val="00CD002C"/>
    <w:rsid w:val="00CE5E6F"/>
    <w:rsid w:val="00D156C3"/>
    <w:rsid w:val="00D61339"/>
    <w:rsid w:val="00D657EA"/>
    <w:rsid w:val="00D74294"/>
    <w:rsid w:val="00D74C65"/>
    <w:rsid w:val="00DD4A9E"/>
    <w:rsid w:val="00E15A16"/>
    <w:rsid w:val="00E423AA"/>
    <w:rsid w:val="00E75028"/>
    <w:rsid w:val="00EE52CD"/>
    <w:rsid w:val="00F020C9"/>
    <w:rsid w:val="00F845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8AEA50"/>
  <w15:chartTrackingRefBased/>
  <w15:docId w15:val="{134BB3C2-8F16-4DE4-8459-A647DB620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DED"/>
  </w:style>
  <w:style w:type="paragraph" w:styleId="Heading1">
    <w:name w:val="heading 1"/>
    <w:basedOn w:val="Normal"/>
    <w:next w:val="Normal"/>
    <w:link w:val="Heading1Char"/>
    <w:autoRedefine/>
    <w:uiPriority w:val="9"/>
    <w:qFormat/>
    <w:rsid w:val="00407A13"/>
    <w:pPr>
      <w:keepNext/>
      <w:keepLines/>
      <w:numPr>
        <w:numId w:val="25"/>
      </w:numPr>
      <w:pBdr>
        <w:bottom w:val="single" w:sz="4" w:space="1" w:color="595959" w:themeColor="text1" w:themeTint="A6"/>
      </w:pBdr>
      <w:spacing w:before="36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autoRedefine/>
    <w:uiPriority w:val="9"/>
    <w:unhideWhenUsed/>
    <w:qFormat/>
    <w:rsid w:val="00407A13"/>
    <w:pPr>
      <w:keepNext/>
      <w:keepLines/>
      <w:numPr>
        <w:ilvl w:val="1"/>
        <w:numId w:val="25"/>
      </w:numPr>
      <w:spacing w:before="360" w:after="0"/>
      <w:outlineLvl w:val="1"/>
    </w:pPr>
    <w:rPr>
      <w:rFonts w:ascii="Times New Roman" w:eastAsiaTheme="majorEastAsia" w:hAnsi="Times New Roman" w:cstheme="majorBidi"/>
      <w:b/>
      <w:bCs/>
      <w:smallCaps/>
      <w:color w:val="000000" w:themeColor="text1"/>
      <w:sz w:val="30"/>
      <w:szCs w:val="28"/>
    </w:rPr>
  </w:style>
  <w:style w:type="paragraph" w:styleId="Heading3">
    <w:name w:val="heading 3"/>
    <w:basedOn w:val="Normal"/>
    <w:next w:val="Normal"/>
    <w:link w:val="Heading3Char"/>
    <w:autoRedefine/>
    <w:uiPriority w:val="9"/>
    <w:unhideWhenUsed/>
    <w:qFormat/>
    <w:rsid w:val="00407A13"/>
    <w:pPr>
      <w:keepNext/>
      <w:keepLines/>
      <w:numPr>
        <w:ilvl w:val="2"/>
        <w:numId w:val="25"/>
      </w:numPr>
      <w:spacing w:before="200" w:after="0"/>
      <w:outlineLvl w:val="2"/>
    </w:pPr>
    <w:rPr>
      <w:rFonts w:ascii="Times New Roman" w:eastAsiaTheme="majorEastAsia" w:hAnsi="Times New Roman" w:cstheme="majorBidi"/>
      <w:b/>
      <w:bCs/>
      <w:color w:val="000000" w:themeColor="text1"/>
      <w:sz w:val="26"/>
    </w:rPr>
  </w:style>
  <w:style w:type="paragraph" w:styleId="Heading4">
    <w:name w:val="heading 4"/>
    <w:basedOn w:val="Normal"/>
    <w:next w:val="Normal"/>
    <w:link w:val="Heading4Char"/>
    <w:uiPriority w:val="9"/>
    <w:semiHidden/>
    <w:unhideWhenUsed/>
    <w:qFormat/>
    <w:rsid w:val="0041621F"/>
    <w:pPr>
      <w:keepNext/>
      <w:keepLines/>
      <w:numPr>
        <w:ilvl w:val="3"/>
        <w:numId w:val="2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1621F"/>
    <w:pPr>
      <w:keepNext/>
      <w:keepLines/>
      <w:numPr>
        <w:ilvl w:val="4"/>
        <w:numId w:val="2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1621F"/>
    <w:pPr>
      <w:keepNext/>
      <w:keepLines/>
      <w:numPr>
        <w:ilvl w:val="5"/>
        <w:numId w:val="2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1621F"/>
    <w:pPr>
      <w:keepNext/>
      <w:keepLines/>
      <w:numPr>
        <w:ilvl w:val="6"/>
        <w:numId w:val="2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1621F"/>
    <w:pPr>
      <w:keepNext/>
      <w:keepLines/>
      <w:numPr>
        <w:ilvl w:val="7"/>
        <w:numId w:val="2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1621F"/>
    <w:pPr>
      <w:keepNext/>
      <w:keepLines/>
      <w:numPr>
        <w:ilvl w:val="8"/>
        <w:numId w:val="2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A13"/>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07A13"/>
    <w:rPr>
      <w:rFonts w:ascii="Times New Roman" w:eastAsiaTheme="majorEastAsia" w:hAnsi="Times New Roman" w:cstheme="majorBidi"/>
      <w:b/>
      <w:bCs/>
      <w:smallCaps/>
      <w:color w:val="000000" w:themeColor="text1"/>
      <w:sz w:val="30"/>
      <w:szCs w:val="28"/>
    </w:rPr>
  </w:style>
  <w:style w:type="character" w:customStyle="1" w:styleId="Heading3Char">
    <w:name w:val="Heading 3 Char"/>
    <w:basedOn w:val="DefaultParagraphFont"/>
    <w:link w:val="Heading3"/>
    <w:uiPriority w:val="9"/>
    <w:rsid w:val="00407A13"/>
    <w:rPr>
      <w:rFonts w:ascii="Times New Roman" w:eastAsiaTheme="majorEastAsia" w:hAnsi="Times New Roman" w:cstheme="majorBidi"/>
      <w:b/>
      <w:bCs/>
      <w:color w:val="000000" w:themeColor="text1"/>
      <w:sz w:val="26"/>
    </w:rPr>
  </w:style>
  <w:style w:type="table" w:styleId="TableGrid">
    <w:name w:val="Table Grid"/>
    <w:basedOn w:val="TableNormal"/>
    <w:uiPriority w:val="39"/>
    <w:rsid w:val="00DD4A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1621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1621F"/>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1621F"/>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1621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1621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1621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1621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1621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1621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1621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1621F"/>
    <w:rPr>
      <w:color w:val="5A5A5A" w:themeColor="text1" w:themeTint="A5"/>
      <w:spacing w:val="10"/>
    </w:rPr>
  </w:style>
  <w:style w:type="character" w:styleId="Strong">
    <w:name w:val="Strong"/>
    <w:basedOn w:val="DefaultParagraphFont"/>
    <w:uiPriority w:val="22"/>
    <w:qFormat/>
    <w:rsid w:val="0041621F"/>
    <w:rPr>
      <w:b/>
      <w:bCs/>
      <w:color w:val="000000" w:themeColor="text1"/>
    </w:rPr>
  </w:style>
  <w:style w:type="character" w:styleId="Emphasis">
    <w:name w:val="Emphasis"/>
    <w:basedOn w:val="DefaultParagraphFont"/>
    <w:uiPriority w:val="20"/>
    <w:qFormat/>
    <w:rsid w:val="0041621F"/>
    <w:rPr>
      <w:i/>
      <w:iCs/>
      <w:color w:val="auto"/>
    </w:rPr>
  </w:style>
  <w:style w:type="paragraph" w:styleId="NoSpacing">
    <w:name w:val="No Spacing"/>
    <w:link w:val="NoSpacingChar"/>
    <w:uiPriority w:val="1"/>
    <w:qFormat/>
    <w:rsid w:val="0041621F"/>
    <w:pPr>
      <w:spacing w:after="0" w:line="240" w:lineRule="auto"/>
    </w:pPr>
  </w:style>
  <w:style w:type="paragraph" w:styleId="Quote">
    <w:name w:val="Quote"/>
    <w:basedOn w:val="Normal"/>
    <w:next w:val="Normal"/>
    <w:link w:val="QuoteChar"/>
    <w:uiPriority w:val="29"/>
    <w:qFormat/>
    <w:rsid w:val="0041621F"/>
    <w:pPr>
      <w:spacing w:before="160"/>
      <w:ind w:left="720" w:right="720"/>
    </w:pPr>
    <w:rPr>
      <w:i/>
      <w:iCs/>
      <w:color w:val="000000" w:themeColor="text1"/>
    </w:rPr>
  </w:style>
  <w:style w:type="character" w:customStyle="1" w:styleId="QuoteChar">
    <w:name w:val="Quote Char"/>
    <w:basedOn w:val="DefaultParagraphFont"/>
    <w:link w:val="Quote"/>
    <w:uiPriority w:val="29"/>
    <w:rsid w:val="0041621F"/>
    <w:rPr>
      <w:i/>
      <w:iCs/>
      <w:color w:val="000000" w:themeColor="text1"/>
    </w:rPr>
  </w:style>
  <w:style w:type="paragraph" w:styleId="IntenseQuote">
    <w:name w:val="Intense Quote"/>
    <w:basedOn w:val="Normal"/>
    <w:next w:val="Normal"/>
    <w:link w:val="IntenseQuoteChar"/>
    <w:uiPriority w:val="30"/>
    <w:qFormat/>
    <w:rsid w:val="0041621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1621F"/>
    <w:rPr>
      <w:color w:val="000000" w:themeColor="text1"/>
      <w:shd w:val="clear" w:color="auto" w:fill="F2F2F2" w:themeFill="background1" w:themeFillShade="F2"/>
    </w:rPr>
  </w:style>
  <w:style w:type="character" w:styleId="SubtleEmphasis">
    <w:name w:val="Subtle Emphasis"/>
    <w:basedOn w:val="DefaultParagraphFont"/>
    <w:uiPriority w:val="19"/>
    <w:qFormat/>
    <w:rsid w:val="0041621F"/>
    <w:rPr>
      <w:i/>
      <w:iCs/>
      <w:color w:val="404040" w:themeColor="text1" w:themeTint="BF"/>
    </w:rPr>
  </w:style>
  <w:style w:type="character" w:styleId="IntenseEmphasis">
    <w:name w:val="Intense Emphasis"/>
    <w:basedOn w:val="DefaultParagraphFont"/>
    <w:uiPriority w:val="21"/>
    <w:qFormat/>
    <w:rsid w:val="0041621F"/>
    <w:rPr>
      <w:b/>
      <w:bCs/>
      <w:i/>
      <w:iCs/>
      <w:caps/>
    </w:rPr>
  </w:style>
  <w:style w:type="character" w:styleId="SubtleReference">
    <w:name w:val="Subtle Reference"/>
    <w:basedOn w:val="DefaultParagraphFont"/>
    <w:uiPriority w:val="31"/>
    <w:qFormat/>
    <w:rsid w:val="0041621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621F"/>
    <w:rPr>
      <w:b/>
      <w:bCs/>
      <w:smallCaps/>
      <w:u w:val="single"/>
    </w:rPr>
  </w:style>
  <w:style w:type="character" w:styleId="BookTitle">
    <w:name w:val="Book Title"/>
    <w:basedOn w:val="DefaultParagraphFont"/>
    <w:uiPriority w:val="33"/>
    <w:qFormat/>
    <w:rsid w:val="0041621F"/>
    <w:rPr>
      <w:b w:val="0"/>
      <w:bCs w:val="0"/>
      <w:smallCaps/>
      <w:spacing w:val="5"/>
    </w:rPr>
  </w:style>
  <w:style w:type="paragraph" w:styleId="TOCHeading">
    <w:name w:val="TOC Heading"/>
    <w:basedOn w:val="Heading1"/>
    <w:next w:val="Normal"/>
    <w:uiPriority w:val="39"/>
    <w:unhideWhenUsed/>
    <w:qFormat/>
    <w:rsid w:val="0041621F"/>
    <w:pPr>
      <w:outlineLvl w:val="9"/>
    </w:pPr>
  </w:style>
  <w:style w:type="paragraph" w:styleId="ListParagraph">
    <w:name w:val="List Paragraph"/>
    <w:basedOn w:val="Normal"/>
    <w:uiPriority w:val="34"/>
    <w:qFormat/>
    <w:rsid w:val="0041621F"/>
    <w:pPr>
      <w:ind w:left="720"/>
      <w:contextualSpacing/>
    </w:pPr>
  </w:style>
  <w:style w:type="paragraph" w:styleId="TOC2">
    <w:name w:val="toc 2"/>
    <w:basedOn w:val="Normal"/>
    <w:next w:val="Normal"/>
    <w:autoRedefine/>
    <w:uiPriority w:val="39"/>
    <w:unhideWhenUsed/>
    <w:rsid w:val="0041621F"/>
    <w:pPr>
      <w:spacing w:after="100"/>
      <w:ind w:left="220"/>
    </w:pPr>
  </w:style>
  <w:style w:type="character" w:styleId="Hyperlink">
    <w:name w:val="Hyperlink"/>
    <w:basedOn w:val="DefaultParagraphFont"/>
    <w:uiPriority w:val="99"/>
    <w:unhideWhenUsed/>
    <w:rsid w:val="0041621F"/>
    <w:rPr>
      <w:color w:val="0563C1" w:themeColor="hyperlink"/>
      <w:u w:val="single"/>
    </w:rPr>
  </w:style>
  <w:style w:type="paragraph" w:styleId="TOC1">
    <w:name w:val="toc 1"/>
    <w:basedOn w:val="Normal"/>
    <w:next w:val="Normal"/>
    <w:autoRedefine/>
    <w:uiPriority w:val="39"/>
    <w:unhideWhenUsed/>
    <w:rsid w:val="00386C98"/>
    <w:pPr>
      <w:spacing w:after="100"/>
    </w:pPr>
  </w:style>
  <w:style w:type="paragraph" w:styleId="TOC3">
    <w:name w:val="toc 3"/>
    <w:basedOn w:val="Normal"/>
    <w:next w:val="Normal"/>
    <w:autoRedefine/>
    <w:uiPriority w:val="39"/>
    <w:unhideWhenUsed/>
    <w:rsid w:val="00386C98"/>
    <w:pPr>
      <w:spacing w:after="100"/>
      <w:ind w:left="440"/>
    </w:pPr>
  </w:style>
  <w:style w:type="character" w:customStyle="1" w:styleId="NoSpacingChar">
    <w:name w:val="No Spacing Char"/>
    <w:basedOn w:val="DefaultParagraphFont"/>
    <w:link w:val="NoSpacing"/>
    <w:uiPriority w:val="1"/>
    <w:rsid w:val="00BB5E1D"/>
  </w:style>
  <w:style w:type="paragraph" w:styleId="Header">
    <w:name w:val="header"/>
    <w:basedOn w:val="Normal"/>
    <w:link w:val="HeaderChar"/>
    <w:uiPriority w:val="99"/>
    <w:unhideWhenUsed/>
    <w:rsid w:val="0094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242"/>
  </w:style>
  <w:style w:type="paragraph" w:styleId="Footer">
    <w:name w:val="footer"/>
    <w:basedOn w:val="Normal"/>
    <w:link w:val="FooterChar"/>
    <w:uiPriority w:val="99"/>
    <w:unhideWhenUsed/>
    <w:rsid w:val="0094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image" Target="media/image8.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0.jpeg"/><Relationship Id="rId17" Type="http://schemas.openxmlformats.org/officeDocument/2006/relationships/image" Target="media/image7.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image" Target="media/image2.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8E52DA-DCB8-4593-85E6-0BF0E06C7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29991</Words>
  <Characters>170953</Characters>
  <Application>Microsoft Office Word</Application>
  <DocSecurity>0</DocSecurity>
  <Lines>1424</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suhaib.v</dc:creator>
  <cp:keywords/>
  <dc:description/>
  <cp:lastModifiedBy>Suhaib Suhaib.v</cp:lastModifiedBy>
  <cp:revision>2</cp:revision>
  <dcterms:created xsi:type="dcterms:W3CDTF">2023-09-01T07:01:00Z</dcterms:created>
  <dcterms:modified xsi:type="dcterms:W3CDTF">2023-09-01T07:01:00Z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http://www.zotero.org/styles/harvard-cite-them-right-10th-edition</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http://www.zotero.org/styles/apa</vt:lpwstr>
  </property>
  <property fmtid="{D5CDD505-2E9C-101B-9397-08002B2CF9AE}" pid="6" name="Mendeley Recent Style Name 1_1">
    <vt:lpwstr>American Psychological Association 7th edition</vt:lpwstr>
  </property>
  <property fmtid="{D5CDD505-2E9C-101B-9397-08002B2CF9AE}" pid="7" name="Mendeley Recent Style Id 2_1">
    <vt:lpwstr>http://www.zotero.org/styles/american-sociological-association</vt:lpwstr>
  </property>
  <property fmtid="{D5CDD505-2E9C-101B-9397-08002B2CF9AE}" pid="8" name="Mendeley Recent Style Name 2_1">
    <vt:lpwstr>American Sociological Association</vt:lpwstr>
  </property>
  <property fmtid="{D5CDD505-2E9C-101B-9397-08002B2CF9AE}" pid="9" name="Mendeley Recent Style Id 3_1">
    <vt:lpwstr>http://www.zotero.org/styles/harvard-anglia-ruskin-university</vt:lpwstr>
  </property>
  <property fmtid="{D5CDD505-2E9C-101B-9397-08002B2CF9AE}" pid="10" name="Mendeley Recent Style Name 3_1">
    <vt:lpwstr>Anglia Ruskin University - Harvard</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http://www.zotero.org/styles/harvard-cite-them-right-10th-edition</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http://www.zotero.org/styles/harvard-cite-them-right</vt:lpwstr>
  </property>
  <property fmtid="{D5CDD505-2E9C-101B-9397-08002B2CF9AE}" pid="16" name="Mendeley Recent Style Name 6_1">
    <vt:lpwstr>Cite Them Right 10th edition - Harvard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ba5eb15a-9f19-3c7c-88d6-fde04ec952be</vt:lpwstr>
  </property>
</Properties>
</file>