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9A1E0" w14:textId="77777777" w:rsidR="00EA43C4" w:rsidRDefault="00EA43C4" w:rsidP="008D17D1">
      <w:pPr>
        <w:jc w:val="center"/>
        <w:rPr>
          <w:b/>
          <w:sz w:val="36"/>
        </w:rPr>
      </w:pPr>
    </w:p>
    <w:p w14:paraId="613B8644" w14:textId="77777777" w:rsidR="00EA43C4" w:rsidRDefault="00EA43C4" w:rsidP="008D17D1">
      <w:pPr>
        <w:jc w:val="center"/>
        <w:rPr>
          <w:b/>
          <w:sz w:val="36"/>
        </w:rPr>
      </w:pPr>
    </w:p>
    <w:p w14:paraId="08EA88D9" w14:textId="3ED3DFBF" w:rsidR="00C85562" w:rsidRPr="008D17D1" w:rsidRDefault="008D17D1" w:rsidP="008D17D1">
      <w:pPr>
        <w:jc w:val="center"/>
        <w:rPr>
          <w:b/>
          <w:sz w:val="36"/>
        </w:rPr>
      </w:pPr>
      <w:r w:rsidRPr="008D17D1">
        <w:rPr>
          <w:b/>
          <w:sz w:val="36"/>
        </w:rPr>
        <w:t>BMPL4009</w:t>
      </w:r>
    </w:p>
    <w:p w14:paraId="2890A448" w14:textId="77777777" w:rsidR="008D17D1" w:rsidRPr="008D17D1" w:rsidRDefault="008D17D1" w:rsidP="008D17D1">
      <w:pPr>
        <w:pBdr>
          <w:bottom w:val="single" w:sz="4" w:space="1" w:color="auto"/>
        </w:pBdr>
        <w:jc w:val="center"/>
        <w:rPr>
          <w:b/>
          <w:sz w:val="36"/>
        </w:rPr>
      </w:pPr>
      <w:r w:rsidRPr="008D17D1">
        <w:rPr>
          <w:b/>
          <w:sz w:val="36"/>
        </w:rPr>
        <w:t>Criminal law</w:t>
      </w:r>
    </w:p>
    <w:p w14:paraId="4FFB2184" w14:textId="77777777" w:rsidR="0000280C" w:rsidRPr="008D17D1" w:rsidRDefault="0000280C" w:rsidP="008D17D1">
      <w:pPr>
        <w:jc w:val="center"/>
        <w:rPr>
          <w:b/>
          <w:sz w:val="36"/>
        </w:rPr>
      </w:pPr>
    </w:p>
    <w:p w14:paraId="7041AA1B" w14:textId="77777777" w:rsidR="0000280C" w:rsidRDefault="0000280C"/>
    <w:p w14:paraId="2227AFE4" w14:textId="77777777" w:rsidR="0000280C" w:rsidRDefault="0000280C"/>
    <w:p w14:paraId="67938ED3" w14:textId="77777777" w:rsidR="0000280C" w:rsidRDefault="0000280C">
      <w:pPr>
        <w:spacing w:before="0" w:line="259" w:lineRule="auto"/>
        <w:jc w:val="left"/>
      </w:pPr>
      <w:r>
        <w:br w:type="page"/>
      </w:r>
    </w:p>
    <w:sdt>
      <w:sdtPr>
        <w:rPr>
          <w:rFonts w:ascii="Times New Roman" w:eastAsiaTheme="minorHAnsi" w:hAnsi="Times New Roman" w:cstheme="minorBidi"/>
          <w:color w:val="auto"/>
          <w:sz w:val="24"/>
          <w:szCs w:val="22"/>
          <w:lang w:val="en-GB"/>
        </w:rPr>
        <w:id w:val="-69967405"/>
        <w:docPartObj>
          <w:docPartGallery w:val="Table of Contents"/>
          <w:docPartUnique/>
        </w:docPartObj>
      </w:sdtPr>
      <w:sdtEndPr>
        <w:rPr>
          <w:b/>
          <w:bCs/>
          <w:noProof/>
        </w:rPr>
      </w:sdtEndPr>
      <w:sdtContent>
        <w:p w14:paraId="22DB1C0E" w14:textId="77777777" w:rsidR="008D17D1" w:rsidRPr="008D17D1" w:rsidRDefault="008D17D1">
          <w:pPr>
            <w:pStyle w:val="TOCHeading"/>
            <w:rPr>
              <w:rFonts w:ascii="Times New Roman" w:hAnsi="Times New Roman" w:cs="Times New Roman"/>
              <w:sz w:val="24"/>
              <w:szCs w:val="24"/>
            </w:rPr>
          </w:pPr>
          <w:r w:rsidRPr="008D17D1">
            <w:rPr>
              <w:rFonts w:ascii="Times New Roman" w:hAnsi="Times New Roman" w:cs="Times New Roman"/>
              <w:b/>
              <w:color w:val="000000" w:themeColor="text1"/>
              <w:sz w:val="28"/>
              <w:szCs w:val="24"/>
            </w:rPr>
            <w:t>Contents</w:t>
          </w:r>
        </w:p>
        <w:p w14:paraId="4AD01209" w14:textId="77777777" w:rsidR="008D17D1" w:rsidRPr="008D17D1" w:rsidRDefault="008D17D1">
          <w:pPr>
            <w:pStyle w:val="TOC1"/>
            <w:tabs>
              <w:tab w:val="right" w:leader="dot" w:pos="9016"/>
            </w:tabs>
            <w:rPr>
              <w:rFonts w:cs="Times New Roman"/>
              <w:noProof/>
              <w:szCs w:val="24"/>
            </w:rPr>
          </w:pPr>
          <w:r w:rsidRPr="008D17D1">
            <w:rPr>
              <w:rFonts w:cs="Times New Roman"/>
              <w:szCs w:val="24"/>
            </w:rPr>
            <w:fldChar w:fldCharType="begin"/>
          </w:r>
          <w:r w:rsidRPr="008D17D1">
            <w:rPr>
              <w:rFonts w:cs="Times New Roman"/>
              <w:szCs w:val="24"/>
            </w:rPr>
            <w:instrText xml:space="preserve"> TOC \o "1-3" \h \z \u </w:instrText>
          </w:r>
          <w:r w:rsidRPr="008D17D1">
            <w:rPr>
              <w:rFonts w:cs="Times New Roman"/>
              <w:szCs w:val="24"/>
            </w:rPr>
            <w:fldChar w:fldCharType="separate"/>
          </w:r>
          <w:hyperlink w:anchor="_Toc150325954" w:history="1">
            <w:r w:rsidRPr="008D17D1">
              <w:rPr>
                <w:rStyle w:val="Hyperlink"/>
                <w:rFonts w:cs="Times New Roman"/>
                <w:noProof/>
                <w:szCs w:val="24"/>
              </w:rPr>
              <w:t>Evaluating the concept of consent in the UK and its role in cases involving battery</w:t>
            </w:r>
            <w:r w:rsidRPr="008D17D1">
              <w:rPr>
                <w:rFonts w:cs="Times New Roman"/>
                <w:noProof/>
                <w:webHidden/>
                <w:szCs w:val="24"/>
              </w:rPr>
              <w:tab/>
            </w:r>
            <w:r w:rsidRPr="008D17D1">
              <w:rPr>
                <w:rFonts w:cs="Times New Roman"/>
                <w:noProof/>
                <w:webHidden/>
                <w:szCs w:val="24"/>
              </w:rPr>
              <w:fldChar w:fldCharType="begin"/>
            </w:r>
            <w:r w:rsidRPr="008D17D1">
              <w:rPr>
                <w:rFonts w:cs="Times New Roman"/>
                <w:noProof/>
                <w:webHidden/>
                <w:szCs w:val="24"/>
              </w:rPr>
              <w:instrText xml:space="preserve"> PAGEREF _Toc150325954 \h </w:instrText>
            </w:r>
            <w:r w:rsidRPr="008D17D1">
              <w:rPr>
                <w:rFonts w:cs="Times New Roman"/>
                <w:noProof/>
                <w:webHidden/>
                <w:szCs w:val="24"/>
              </w:rPr>
            </w:r>
            <w:r w:rsidRPr="008D17D1">
              <w:rPr>
                <w:rFonts w:cs="Times New Roman"/>
                <w:noProof/>
                <w:webHidden/>
                <w:szCs w:val="24"/>
              </w:rPr>
              <w:fldChar w:fldCharType="separate"/>
            </w:r>
            <w:r w:rsidRPr="008D17D1">
              <w:rPr>
                <w:rFonts w:cs="Times New Roman"/>
                <w:noProof/>
                <w:webHidden/>
                <w:szCs w:val="24"/>
              </w:rPr>
              <w:t>3</w:t>
            </w:r>
            <w:r w:rsidRPr="008D17D1">
              <w:rPr>
                <w:rFonts w:cs="Times New Roman"/>
                <w:noProof/>
                <w:webHidden/>
                <w:szCs w:val="24"/>
              </w:rPr>
              <w:fldChar w:fldCharType="end"/>
            </w:r>
          </w:hyperlink>
        </w:p>
        <w:p w14:paraId="2B50D204" w14:textId="77777777" w:rsidR="008D17D1" w:rsidRPr="008D17D1" w:rsidRDefault="00000000">
          <w:pPr>
            <w:pStyle w:val="TOC1"/>
            <w:tabs>
              <w:tab w:val="right" w:leader="dot" w:pos="9016"/>
            </w:tabs>
            <w:rPr>
              <w:rFonts w:cs="Times New Roman"/>
              <w:noProof/>
              <w:szCs w:val="24"/>
            </w:rPr>
          </w:pPr>
          <w:hyperlink w:anchor="_Toc150325955" w:history="1">
            <w:r w:rsidR="008D17D1" w:rsidRPr="008D17D1">
              <w:rPr>
                <w:rStyle w:val="Hyperlink"/>
                <w:rFonts w:cs="Times New Roman"/>
                <w:noProof/>
                <w:szCs w:val="24"/>
              </w:rPr>
              <w:t>References</w:t>
            </w:r>
            <w:r w:rsidR="008D17D1" w:rsidRPr="008D17D1">
              <w:rPr>
                <w:rFonts w:cs="Times New Roman"/>
                <w:noProof/>
                <w:webHidden/>
                <w:szCs w:val="24"/>
              </w:rPr>
              <w:tab/>
            </w:r>
            <w:r w:rsidR="008D17D1" w:rsidRPr="008D17D1">
              <w:rPr>
                <w:rFonts w:cs="Times New Roman"/>
                <w:noProof/>
                <w:webHidden/>
                <w:szCs w:val="24"/>
              </w:rPr>
              <w:fldChar w:fldCharType="begin"/>
            </w:r>
            <w:r w:rsidR="008D17D1" w:rsidRPr="008D17D1">
              <w:rPr>
                <w:rFonts w:cs="Times New Roman"/>
                <w:noProof/>
                <w:webHidden/>
                <w:szCs w:val="24"/>
              </w:rPr>
              <w:instrText xml:space="preserve"> PAGEREF _Toc150325955 \h </w:instrText>
            </w:r>
            <w:r w:rsidR="008D17D1" w:rsidRPr="008D17D1">
              <w:rPr>
                <w:rFonts w:cs="Times New Roman"/>
                <w:noProof/>
                <w:webHidden/>
                <w:szCs w:val="24"/>
              </w:rPr>
            </w:r>
            <w:r w:rsidR="008D17D1" w:rsidRPr="008D17D1">
              <w:rPr>
                <w:rFonts w:cs="Times New Roman"/>
                <w:noProof/>
                <w:webHidden/>
                <w:szCs w:val="24"/>
              </w:rPr>
              <w:fldChar w:fldCharType="separate"/>
            </w:r>
            <w:r w:rsidR="008D17D1" w:rsidRPr="008D17D1">
              <w:rPr>
                <w:rFonts w:cs="Times New Roman"/>
                <w:noProof/>
                <w:webHidden/>
                <w:szCs w:val="24"/>
              </w:rPr>
              <w:t>7</w:t>
            </w:r>
            <w:r w:rsidR="008D17D1" w:rsidRPr="008D17D1">
              <w:rPr>
                <w:rFonts w:cs="Times New Roman"/>
                <w:noProof/>
                <w:webHidden/>
                <w:szCs w:val="24"/>
              </w:rPr>
              <w:fldChar w:fldCharType="end"/>
            </w:r>
          </w:hyperlink>
        </w:p>
        <w:p w14:paraId="5695A8C3" w14:textId="77777777" w:rsidR="008D17D1" w:rsidRDefault="008D17D1">
          <w:r w:rsidRPr="008D17D1">
            <w:rPr>
              <w:rFonts w:cs="Times New Roman"/>
              <w:b/>
              <w:bCs/>
              <w:noProof/>
              <w:szCs w:val="24"/>
            </w:rPr>
            <w:fldChar w:fldCharType="end"/>
          </w:r>
        </w:p>
      </w:sdtContent>
    </w:sdt>
    <w:p w14:paraId="46781B5A" w14:textId="77777777" w:rsidR="0000280C" w:rsidRDefault="0000280C"/>
    <w:p w14:paraId="08BE35B9" w14:textId="77777777" w:rsidR="0000280C" w:rsidRDefault="0000280C"/>
    <w:p w14:paraId="041FAE83" w14:textId="77777777" w:rsidR="0000280C" w:rsidRDefault="0000280C">
      <w:pPr>
        <w:spacing w:before="0" w:line="259" w:lineRule="auto"/>
        <w:jc w:val="left"/>
      </w:pPr>
      <w:r>
        <w:br w:type="page"/>
      </w:r>
    </w:p>
    <w:p w14:paraId="4E7682D3" w14:textId="77777777" w:rsidR="0000280C" w:rsidRPr="00E17A73" w:rsidRDefault="003269BC" w:rsidP="00E17A73">
      <w:pPr>
        <w:pStyle w:val="Heading1"/>
        <w:pBdr>
          <w:bottom w:val="single" w:sz="4" w:space="1" w:color="auto"/>
        </w:pBdr>
        <w:rPr>
          <w:sz w:val="32"/>
        </w:rPr>
      </w:pPr>
      <w:bookmarkStart w:id="0" w:name="_Toc150325954"/>
      <w:r w:rsidRPr="00E17A73">
        <w:rPr>
          <w:sz w:val="32"/>
        </w:rPr>
        <w:lastRenderedPageBreak/>
        <w:t>Evaluating the concept of consent in the UK and its role in cases involving battery</w:t>
      </w:r>
      <w:bookmarkEnd w:id="0"/>
    </w:p>
    <w:p w14:paraId="3385AB13" w14:textId="77777777" w:rsidR="0000280C" w:rsidRDefault="0000280C">
      <w:r w:rsidRPr="0000280C">
        <w:t xml:space="preserve">Both consent and battery are essential concepts in criminal law, with far-reaching effects on people's liberties and safety. To fully grasp the ethical, philosophical, and legal dimensions that regulate the application of consent and battery within the legal framework of the United Kingdom, it is necessary to have a firm grasp of the topic. </w:t>
      </w:r>
      <w:r w:rsidR="0079058B" w:rsidRPr="0079058B">
        <w:t>In the law, consent means an individual's free decision to take part in or allow some action to take place. Assault in the form of battery might have legal consequences if it can be proven that consent was not given prior to the assault.</w:t>
      </w:r>
      <w:r w:rsidR="0079058B">
        <w:t xml:space="preserve"> </w:t>
      </w:r>
      <w:r w:rsidRPr="0000280C">
        <w:t>The purpose of this essay is to examine the issues surrounding consent and battery, specifically as they relate to medical care, physical touch, and personal relationships. The essay will shed light on the critical role of consent in situations involving battery through an analysis of the relevant ethical and philosophi</w:t>
      </w:r>
      <w:r>
        <w:t>cal foundations, legal concepts</w:t>
      </w:r>
      <w:r w:rsidRPr="0000280C">
        <w:t xml:space="preserve"> and case law.</w:t>
      </w:r>
    </w:p>
    <w:p w14:paraId="2A00CA40" w14:textId="77777777" w:rsidR="008C5D22" w:rsidRDefault="008C5D22" w:rsidP="008C5D22">
      <w:r>
        <w:t>Cla</w:t>
      </w:r>
      <w:r w:rsidR="00F82206">
        <w:t xml:space="preserve">rification of what constitutes </w:t>
      </w:r>
      <w:r>
        <w:t>consent in the eyes of the law is essential for grasping the significance of this concept in establishing the legitimacy of conduct. In the United Kingdom, consent is defined as an individual's free and informed permission to take part in an activity or allow an action to take place</w:t>
      </w:r>
      <w:r w:rsidR="008F048B">
        <w:t xml:space="preserve"> (Craig and De, </w:t>
      </w:r>
      <w:r w:rsidR="008F048B" w:rsidRPr="008F048B">
        <w:t>2020</w:t>
      </w:r>
      <w:r w:rsidR="008F048B">
        <w:t>)</w:t>
      </w:r>
      <w:r>
        <w:t>. As a vital test for determining the legitimacy of different activities, informed and willing consent guarantees that all parties involved are acting within the bounds of the law. As the defining factor between authorised and unlawful actions, consent protects individuals from having their autonomy and physical integrity violated. Conversely, battery is the wrongful and physically harmful use of force against another person without their agreement. According to UK law, this conduct constitutes an act of assault. Consent's role in demonstrating the unlawfulness of the act is crucial in battery proceedings. The use of force against another person is illegal and an invasion of their human rights if consent is either not given or is invalid. This realisation emphasises the significance of permission in establishing the legitimacy of activities, especially in situations involving the infliction of physical pain or injury without the affected party's express assent</w:t>
      </w:r>
      <w:r w:rsidR="008F048B">
        <w:t xml:space="preserve"> (</w:t>
      </w:r>
      <w:r w:rsidR="008F048B" w:rsidRPr="008F048B">
        <w:t>Herring, 2014</w:t>
      </w:r>
      <w:r w:rsidR="008F048B">
        <w:t>)</w:t>
      </w:r>
      <w:r>
        <w:t>.</w:t>
      </w:r>
    </w:p>
    <w:p w14:paraId="7B5BC4A0" w14:textId="77777777" w:rsidR="00773395" w:rsidRDefault="00773395" w:rsidP="00773395">
      <w:r>
        <w:t xml:space="preserve">The ethical consequences of consent's emphasis on respecting individuals' autonomy and agency are substantial. A person's right to control his or her own body and behaviour is recognised under the ethical principle of autonomy. It stresses the value of respecting and valuing people's autonomy, especially when it comes to decisions about their own health and lifestyle. This ethical viewpoint, when applied to the idea of consent, stresses the value of </w:t>
      </w:r>
      <w:r>
        <w:lastRenderedPageBreak/>
        <w:t>protecting people's autonomy and their ability to make well-informed decisions without interference from others</w:t>
      </w:r>
      <w:r w:rsidR="008F048B">
        <w:t xml:space="preserve"> (</w:t>
      </w:r>
      <w:r w:rsidR="008F048B" w:rsidRPr="008F048B">
        <w:t>Anitha</w:t>
      </w:r>
      <w:r w:rsidR="008F048B">
        <w:t xml:space="preserve"> and Gill, </w:t>
      </w:r>
      <w:r w:rsidR="008F048B" w:rsidRPr="008F048B">
        <w:t>2017</w:t>
      </w:r>
      <w:r w:rsidR="008F048B">
        <w:t>)</w:t>
      </w:r>
      <w:r>
        <w:t>.</w:t>
      </w:r>
    </w:p>
    <w:p w14:paraId="0A9323FE" w14:textId="77777777" w:rsidR="00773395" w:rsidRDefault="00773395" w:rsidP="00773395">
      <w:r>
        <w:t>The ethical concept of beneficence, which stresses the significance of supporting the well-being and interests of persons, is consistent with the respect for individual agency. Making sure people have what they need to make decisions that are in their best interests is essential when discussing consent. Obtaining valid and informed permission in a variety of circumstances is important because it promotes mutual respect and protects people's rights and dignity, which is in line with the ethical need to defend individual autonomy and agency</w:t>
      </w:r>
      <w:r w:rsidR="008F048B">
        <w:t xml:space="preserve"> (</w:t>
      </w:r>
      <w:r w:rsidR="008F048B" w:rsidRPr="008F048B">
        <w:t>Katz</w:t>
      </w:r>
      <w:r w:rsidR="008F048B">
        <w:t xml:space="preserve"> et al., </w:t>
      </w:r>
      <w:r w:rsidR="008F048B" w:rsidRPr="008F048B">
        <w:t>2016</w:t>
      </w:r>
      <w:r w:rsidR="008F048B">
        <w:t>)</w:t>
      </w:r>
      <w:r>
        <w:t>.</w:t>
      </w:r>
    </w:p>
    <w:p w14:paraId="49D8701C" w14:textId="77777777" w:rsidR="00773395" w:rsidRDefault="00773395" w:rsidP="00773395">
      <w:r>
        <w:t>Consent is interpreted differently by different legal systems, and this is in large part due to philosophical views on the limits of individual rights. Philosophers have long argued about whether or not restrictions on individual freedom are necessary to sustain societal norms and ideals. Libertarian philosophical doctrines inform the notion of autonomy, which stresses the primacy of personal agency and independence. Legal views of consent are typically influenced by this view, which highlights the importance of protecting people's autonomy in making choices about their own bodies and behaviours</w:t>
      </w:r>
      <w:r w:rsidR="008F048B">
        <w:t xml:space="preserve"> (</w:t>
      </w:r>
      <w:r w:rsidR="008F048B" w:rsidRPr="008F048B">
        <w:t>Hyde, 2017</w:t>
      </w:r>
      <w:r w:rsidR="008F048B">
        <w:t>)</w:t>
      </w:r>
      <w:r>
        <w:t>. On the other hand, communitarian theories stress the need of balancing individual rights with the interests of the group as a whole. In the context of permission, this approach may emphasise the necessity to examine broader societal ramifications and communal values when judging the validity and breadth of consent in particular contexts.</w:t>
      </w:r>
    </w:p>
    <w:p w14:paraId="0F51BBCA" w14:textId="77777777" w:rsidR="00773395" w:rsidRDefault="00773395" w:rsidP="00773395">
      <w:r>
        <w:t>Informed consent is a crucial notion in the field of medical ethics. As a result, people are better able to make educated decisions about their healthcare as a result of knowing all the facts about the potential outcomes of a procedure</w:t>
      </w:r>
      <w:r w:rsidR="008F048B">
        <w:t xml:space="preserve"> (</w:t>
      </w:r>
      <w:r w:rsidR="008F048B" w:rsidRPr="008F048B">
        <w:t>Westen, 2017</w:t>
      </w:r>
      <w:r w:rsidR="008F048B">
        <w:t>)</w:t>
      </w:r>
      <w:r>
        <w:t>. When medical operations have unintended consequences, such as injury or harmful effects, the failure to get proper consent can lead to legal problems. Implied consent is a legal concept that frequently arises in contact sports. It is presumed that those who partake in such sports understand and accept the risks of physical contact and potential injury. Legal concerns may arise, however, if the level of force or harm goes beyond what is considered acceptable in the context of the game. Discussions about sexual assault and domestic abuse centre on the importance of consent in close relationships. Clear communication and mutual agreement are vital to ensuring that all persons involved engage in consensual activity. Consent violations in these situations can have major effects for everyone concerned, both legally and emotionally</w:t>
      </w:r>
      <w:r w:rsidR="008F048B">
        <w:t xml:space="preserve"> (</w:t>
      </w:r>
      <w:r w:rsidR="008F048B" w:rsidRPr="008F048B">
        <w:t>Kadish</w:t>
      </w:r>
      <w:r w:rsidR="008F048B">
        <w:t xml:space="preserve">, </w:t>
      </w:r>
      <w:proofErr w:type="spellStart"/>
      <w:r w:rsidR="008F048B">
        <w:t>Schulhofer</w:t>
      </w:r>
      <w:proofErr w:type="spellEnd"/>
      <w:r w:rsidR="008F048B">
        <w:t xml:space="preserve"> and Barkow, </w:t>
      </w:r>
      <w:r w:rsidR="008F048B" w:rsidRPr="008F048B">
        <w:t>2016</w:t>
      </w:r>
      <w:r w:rsidR="008F048B">
        <w:t>)</w:t>
      </w:r>
      <w:r>
        <w:t>.</w:t>
      </w:r>
    </w:p>
    <w:p w14:paraId="4D9DF126" w14:textId="77777777" w:rsidR="003269BC" w:rsidRDefault="00773395" w:rsidP="00773395">
      <w:r>
        <w:lastRenderedPageBreak/>
        <w:t>Consent is ethically understood via the lens of the concept of autonomy and individual agency. A person's human dignity and integrity are best preserved when their right to make autonomous judgements is upheld. In scenarios involving disadvantaged populations or situations where power differentials are clear, legal interpretations of consent are typically informed by philosophical discussions on the nature of autonomy and the bounds of individual rights. The criminal justice system in the United Kingdom bases its determinations of consent and battery on several basic legal foundations</w:t>
      </w:r>
      <w:r w:rsidR="008F048B">
        <w:t xml:space="preserve"> (</w:t>
      </w:r>
      <w:r w:rsidR="008F048B" w:rsidRPr="008F048B">
        <w:t>Bublitz</w:t>
      </w:r>
      <w:r w:rsidR="008F048B">
        <w:t xml:space="preserve"> and </w:t>
      </w:r>
      <w:r w:rsidR="008F048B" w:rsidRPr="008F048B">
        <w:t>Merkel, 2014</w:t>
      </w:r>
      <w:r w:rsidR="008F048B">
        <w:t>)</w:t>
      </w:r>
      <w:r>
        <w:t>. These guidelines are essential for establishing what constitutes unlawful conduct and who is at fault in battery cases. Individuals must have a thorough awareness of the risks and repercussions connected with their activities or the actions of others in order to give their fully informed consent, which is why the principle of informed consent is of the utmost importance. The principle of voluntariness also stresses the significance of obtaining agreement without undue influence or compulsion</w:t>
      </w:r>
      <w:r w:rsidR="008F048B">
        <w:t xml:space="preserve"> (Maxfield and Babbie, </w:t>
      </w:r>
      <w:r w:rsidR="008F048B" w:rsidRPr="008F048B">
        <w:t>2014</w:t>
      </w:r>
      <w:r w:rsidR="008F048B">
        <w:t>)</w:t>
      </w:r>
      <w:r>
        <w:t>.</w:t>
      </w:r>
      <w:r w:rsidR="003269BC">
        <w:t xml:space="preserve"> </w:t>
      </w:r>
    </w:p>
    <w:p w14:paraId="3F39248F" w14:textId="77777777" w:rsidR="003269BC" w:rsidRDefault="003269BC" w:rsidP="00773395">
      <w:r w:rsidRPr="003269BC">
        <w:t>Moreover, the concept of capacity plays a vital role in evaluating the legitimacy of consent, especially in situations when individuals who are susceptible may possess reduced cognitive abilities that affect their decision-making capacity. The legal system takes into account the cognitive capacity of persons to understand the essence and consequences of their conduct when assessing the legitimacy of consent. The framework for evaluating the existence or absence of valid permission in battery cases is shaped by a set of fundamental legal principles. These rules collectively play a significant role in deciding the legal consequences for the parties concerned</w:t>
      </w:r>
      <w:r w:rsidR="008F048B">
        <w:t xml:space="preserve"> (</w:t>
      </w:r>
      <w:proofErr w:type="spellStart"/>
      <w:r w:rsidR="008F048B" w:rsidRPr="008F048B">
        <w:t>Souryal</w:t>
      </w:r>
      <w:proofErr w:type="spellEnd"/>
      <w:r w:rsidR="008F048B">
        <w:t xml:space="preserve"> and</w:t>
      </w:r>
      <w:r w:rsidR="008F048B" w:rsidRPr="008F048B">
        <w:t xml:space="preserve"> Whitehead, 2019</w:t>
      </w:r>
      <w:r w:rsidR="008F048B">
        <w:t>)</w:t>
      </w:r>
      <w:r w:rsidRPr="003269BC">
        <w:t>.</w:t>
      </w:r>
    </w:p>
    <w:p w14:paraId="0E3C4F0E" w14:textId="77777777" w:rsidR="00773395" w:rsidRDefault="00773395" w:rsidP="00773395">
      <w:r>
        <w:t xml:space="preserve">Several important cases decided in the United Kingdom have had significant impact on how consent and battery are defined and used in other jurisdictions. Consent has been interpreted and applied differently in the contexts of both consensual bodily harm and the transmission of sexually transmitted illnesses after landmark instances like R v Brown [1994] 1 AC 212 and R v </w:t>
      </w:r>
      <w:proofErr w:type="spellStart"/>
      <w:r>
        <w:t>Dica</w:t>
      </w:r>
      <w:proofErr w:type="spellEnd"/>
      <w:r>
        <w:t xml:space="preserve"> [2004] 3 WLR 59. These judgements have established important precedents for the evaluation of permission and the limits of authorised behaviour in the UK criminal prosecution system</w:t>
      </w:r>
      <w:r w:rsidR="008F048B">
        <w:t xml:space="preserve"> (</w:t>
      </w:r>
      <w:r w:rsidR="008F048B" w:rsidRPr="008F048B">
        <w:t>Tebbit, 2017</w:t>
      </w:r>
      <w:r w:rsidR="008F048B">
        <w:t>)</w:t>
      </w:r>
      <w:r>
        <w:t>.</w:t>
      </w:r>
      <w:r w:rsidR="003269BC">
        <w:t xml:space="preserve"> </w:t>
      </w:r>
      <w:r>
        <w:t xml:space="preserve">The assessment of implicit consent and the reasonable expectations of physical contact in sporting activities have also been illuminated by instances like R v Barnes [2004] EWCA Crim 3246, furthering our understanding of consent in the context of sports-related injuries. Through the consideration of important case law, it becomes obvious how the legal principles underlying consent and battery are used in practical settings, shaping the </w:t>
      </w:r>
      <w:r>
        <w:lastRenderedPageBreak/>
        <w:t>interpretation and execution of the law within the UK criminal justice system</w:t>
      </w:r>
      <w:r w:rsidR="008F048B">
        <w:t xml:space="preserve"> (Bachman and </w:t>
      </w:r>
      <w:r w:rsidR="008F048B" w:rsidRPr="008F048B">
        <w:t>Schutt, 2013</w:t>
      </w:r>
      <w:r w:rsidR="008F048B">
        <w:t>)</w:t>
      </w:r>
      <w:r>
        <w:t>.</w:t>
      </w:r>
    </w:p>
    <w:p w14:paraId="3AB17C0A" w14:textId="77777777" w:rsidR="00773395" w:rsidRDefault="003269BC" w:rsidP="00773395">
      <w:r w:rsidRPr="003269BC">
        <w:t>The ethical, philosophical, and legal principles of consent and battery are fundamental to the structure of the criminal justice system in the United Kingdom. With far-reaching effects on individual freedom, physical safety, and social standards, it</w:t>
      </w:r>
      <w:r>
        <w:t xml:space="preserve"> i</w:t>
      </w:r>
      <w:r w:rsidRPr="003269BC">
        <w:t>s crucial to have a firm grasp of these ideas. Ethically, obtaining valid and informed permission is required because doing otherwise would violate the concepts of individual autonomy and beneficence, which emphasise the value of respecting people's freedom of choice and the importance of fostering positive outcomes. The multifaceted view of consent in UK law is influenced by philosophical arguments on the limitations of individual rights, particularly between libertarian and communitarian approaches. Legal interpretations of consent can achieve a balance between protecting individual autonomy and supporting social interests by taking into account the broader societal ramifications and communal ideals. Therefore, the importance of consent and battery as fundamental pillars in protecting individual rights, safeguarding personal autonomy, and preserving the legitimacy of the UK legal system is emphasised via a holistic study that incorporates ethical, philosophical, and legal elements. The legal framework's ability to promote a just and equitable society that appreciates and protects its citizens' fundamental rights depends on its ability to accommodate the complexities inherent in these ideas.</w:t>
      </w:r>
    </w:p>
    <w:p w14:paraId="45F06F10" w14:textId="77777777" w:rsidR="0000280C" w:rsidRDefault="0000280C"/>
    <w:p w14:paraId="33E19414" w14:textId="77777777" w:rsidR="0000280C" w:rsidRDefault="0000280C"/>
    <w:p w14:paraId="6FFA7FE1" w14:textId="77777777" w:rsidR="003269BC" w:rsidRDefault="003269BC"/>
    <w:p w14:paraId="7808D8EA" w14:textId="77777777" w:rsidR="003269BC" w:rsidRDefault="003269BC">
      <w:pPr>
        <w:spacing w:before="0" w:line="259" w:lineRule="auto"/>
        <w:jc w:val="left"/>
      </w:pPr>
      <w:r>
        <w:br w:type="page"/>
      </w:r>
    </w:p>
    <w:p w14:paraId="067684B8" w14:textId="77777777" w:rsidR="003269BC" w:rsidRDefault="003269BC" w:rsidP="003269BC">
      <w:pPr>
        <w:pStyle w:val="Heading1"/>
      </w:pPr>
      <w:bookmarkStart w:id="1" w:name="_Toc150325955"/>
      <w:r>
        <w:lastRenderedPageBreak/>
        <w:t>References</w:t>
      </w:r>
      <w:bookmarkEnd w:id="1"/>
      <w:r>
        <w:t xml:space="preserve"> </w:t>
      </w:r>
    </w:p>
    <w:p w14:paraId="0BCE3621" w14:textId="77777777" w:rsidR="007E7202" w:rsidRDefault="007E7202" w:rsidP="008F048B">
      <w:r w:rsidRPr="008F048B">
        <w:t>Anitha, S., &amp; Gill, A. (2017). Coercion, consent and the forced marriage debate in the UK. In </w:t>
      </w:r>
      <w:r w:rsidRPr="008F048B">
        <w:rPr>
          <w:i/>
          <w:iCs/>
        </w:rPr>
        <w:t>Marital rights</w:t>
      </w:r>
      <w:r w:rsidRPr="008F048B">
        <w:t> (pp. 133-152). Routledge.</w:t>
      </w:r>
    </w:p>
    <w:p w14:paraId="00FF34B5" w14:textId="77777777" w:rsidR="007E7202" w:rsidRDefault="007E7202" w:rsidP="008F048B">
      <w:r w:rsidRPr="008F048B">
        <w:t>Bachman, R., &amp; Schutt, R. K. (2013). </w:t>
      </w:r>
      <w:r w:rsidRPr="008F048B">
        <w:rPr>
          <w:i/>
          <w:iCs/>
        </w:rPr>
        <w:t>The practice of research in criminology and criminal justice</w:t>
      </w:r>
      <w:r w:rsidRPr="008F048B">
        <w:t>. Sage.</w:t>
      </w:r>
    </w:p>
    <w:p w14:paraId="5995B761" w14:textId="77777777" w:rsidR="007E7202" w:rsidRDefault="007E7202" w:rsidP="008F048B">
      <w:r w:rsidRPr="008F048B">
        <w:t>Bublitz, J. C., &amp; Merkel, R. (2014). Crimes against minds: On mental manipulations, harms and a human right to mental self-determination. </w:t>
      </w:r>
      <w:r w:rsidRPr="008F048B">
        <w:rPr>
          <w:i/>
          <w:iCs/>
        </w:rPr>
        <w:t>Criminal Law and Philosophy</w:t>
      </w:r>
      <w:r w:rsidRPr="008F048B">
        <w:t>, </w:t>
      </w:r>
      <w:r w:rsidRPr="008F048B">
        <w:rPr>
          <w:i/>
          <w:iCs/>
        </w:rPr>
        <w:t>8</w:t>
      </w:r>
      <w:r w:rsidRPr="008F048B">
        <w:t>(1), 51-77.</w:t>
      </w:r>
    </w:p>
    <w:p w14:paraId="5FA8E3D9" w14:textId="77777777" w:rsidR="007E7202" w:rsidRDefault="007E7202" w:rsidP="008F048B">
      <w:r w:rsidRPr="008F048B">
        <w:t xml:space="preserve">Craig, P., &amp; De </w:t>
      </w:r>
      <w:proofErr w:type="spellStart"/>
      <w:r w:rsidRPr="008F048B">
        <w:t>Búrca</w:t>
      </w:r>
      <w:proofErr w:type="spellEnd"/>
      <w:r w:rsidRPr="008F048B">
        <w:t>, G. (2020). </w:t>
      </w:r>
      <w:r w:rsidRPr="008F048B">
        <w:rPr>
          <w:i/>
          <w:iCs/>
        </w:rPr>
        <w:t>EU Law: Text, Cases, and Materials UK Version</w:t>
      </w:r>
      <w:r w:rsidRPr="008F048B">
        <w:t>. Oxford University Press, USA.</w:t>
      </w:r>
    </w:p>
    <w:p w14:paraId="6D39D871" w14:textId="77777777" w:rsidR="007E7202" w:rsidRDefault="007E7202" w:rsidP="008F048B">
      <w:r w:rsidRPr="008F048B">
        <w:t>Herring, J. (2014). </w:t>
      </w:r>
      <w:r w:rsidRPr="008F048B">
        <w:rPr>
          <w:i/>
          <w:iCs/>
        </w:rPr>
        <w:t>Criminal law: Text, cases, and materials</w:t>
      </w:r>
      <w:r w:rsidRPr="008F048B">
        <w:t>. Oxford University Press, USA.</w:t>
      </w:r>
    </w:p>
    <w:p w14:paraId="5F31545F" w14:textId="77777777" w:rsidR="007E7202" w:rsidRDefault="007E7202" w:rsidP="008F048B">
      <w:r w:rsidRPr="008F048B">
        <w:t>Hyde, A. (2017). The concept of legitimation in the sociology of law. In </w:t>
      </w:r>
      <w:r w:rsidRPr="008F048B">
        <w:rPr>
          <w:i/>
          <w:iCs/>
        </w:rPr>
        <w:t>The Sociology of Law</w:t>
      </w:r>
      <w:r w:rsidRPr="008F048B">
        <w:t> (pp. 209-219). Routledge.</w:t>
      </w:r>
    </w:p>
    <w:p w14:paraId="027E9AF4" w14:textId="77777777" w:rsidR="007E7202" w:rsidRDefault="007E7202" w:rsidP="008F048B">
      <w:r w:rsidRPr="008F048B">
        <w:t xml:space="preserve">Kadish, S. H., </w:t>
      </w:r>
      <w:proofErr w:type="spellStart"/>
      <w:r w:rsidRPr="008F048B">
        <w:t>Schulhofer</w:t>
      </w:r>
      <w:proofErr w:type="spellEnd"/>
      <w:r w:rsidRPr="008F048B">
        <w:t>, S. J., &amp; Barkow, R. E. (2016). </w:t>
      </w:r>
      <w:r w:rsidRPr="008F048B">
        <w:rPr>
          <w:i/>
          <w:iCs/>
        </w:rPr>
        <w:t>Criminal law and its processes: Cases and materials</w:t>
      </w:r>
      <w:r w:rsidRPr="008F048B">
        <w:t>. Aspen Publishing.</w:t>
      </w:r>
    </w:p>
    <w:p w14:paraId="4E0B3F55" w14:textId="77777777" w:rsidR="007E7202" w:rsidRDefault="007E7202" w:rsidP="008F048B">
      <w:r w:rsidRPr="008F048B">
        <w:t xml:space="preserve">Katz, A. L., Webb, S. A., Macauley, R. C., Mercurio, M. R., Moon, M. R., Okun, A. L., ... &amp; Committee on Bioethics. (2016). Informed consent in decision-making in </w:t>
      </w:r>
      <w:proofErr w:type="spellStart"/>
      <w:r w:rsidRPr="008F048B">
        <w:t>pediatric</w:t>
      </w:r>
      <w:proofErr w:type="spellEnd"/>
      <w:r w:rsidRPr="008F048B">
        <w:t xml:space="preserve"> practice. </w:t>
      </w:r>
      <w:proofErr w:type="spellStart"/>
      <w:r w:rsidRPr="008F048B">
        <w:rPr>
          <w:i/>
          <w:iCs/>
        </w:rPr>
        <w:t>Pediatrics</w:t>
      </w:r>
      <w:proofErr w:type="spellEnd"/>
      <w:r w:rsidRPr="008F048B">
        <w:t>, </w:t>
      </w:r>
      <w:r w:rsidRPr="008F048B">
        <w:rPr>
          <w:i/>
          <w:iCs/>
        </w:rPr>
        <w:t>138</w:t>
      </w:r>
      <w:r w:rsidRPr="008F048B">
        <w:t>(2).</w:t>
      </w:r>
    </w:p>
    <w:p w14:paraId="20897EAB" w14:textId="77777777" w:rsidR="007E7202" w:rsidRDefault="007E7202" w:rsidP="008F048B">
      <w:r w:rsidRPr="008F048B">
        <w:t>Maxfield, M. G., &amp; Babbie, E. R. (2014). </w:t>
      </w:r>
      <w:r w:rsidRPr="008F048B">
        <w:rPr>
          <w:i/>
          <w:iCs/>
        </w:rPr>
        <w:t>Research methods for criminal justice and criminology</w:t>
      </w:r>
      <w:r w:rsidRPr="008F048B">
        <w:t>. Cengage Learning.</w:t>
      </w:r>
    </w:p>
    <w:p w14:paraId="55CD27FB" w14:textId="77777777" w:rsidR="007E7202" w:rsidRDefault="007E7202" w:rsidP="008F048B">
      <w:proofErr w:type="spellStart"/>
      <w:r w:rsidRPr="008F048B">
        <w:t>Souryal</w:t>
      </w:r>
      <w:proofErr w:type="spellEnd"/>
      <w:r w:rsidRPr="008F048B">
        <w:t>, S. S., &amp; Whitehead, J. T. (2019). </w:t>
      </w:r>
      <w:r w:rsidRPr="008F048B">
        <w:rPr>
          <w:i/>
          <w:iCs/>
        </w:rPr>
        <w:t>Ethics in criminal justice: In search of the truth</w:t>
      </w:r>
      <w:r w:rsidRPr="008F048B">
        <w:t>. Routledge.</w:t>
      </w:r>
    </w:p>
    <w:p w14:paraId="3A83BB6D" w14:textId="77777777" w:rsidR="007E7202" w:rsidRDefault="007E7202" w:rsidP="008F048B">
      <w:r w:rsidRPr="008F048B">
        <w:t>Tebbit, M. (2017). </w:t>
      </w:r>
      <w:r w:rsidRPr="008F048B">
        <w:rPr>
          <w:i/>
          <w:iCs/>
        </w:rPr>
        <w:t>Philosophy of law: An introduction</w:t>
      </w:r>
      <w:r w:rsidRPr="008F048B">
        <w:t>. Taylor &amp; Francis.</w:t>
      </w:r>
    </w:p>
    <w:p w14:paraId="6ABA0602" w14:textId="77777777" w:rsidR="007E7202" w:rsidRDefault="007E7202" w:rsidP="008F048B">
      <w:r w:rsidRPr="008F048B">
        <w:t>Westen, P. (2017). </w:t>
      </w:r>
      <w:r w:rsidRPr="008F048B">
        <w:rPr>
          <w:i/>
          <w:iCs/>
        </w:rPr>
        <w:t xml:space="preserve">The logic of consent: The diversity and deceptiveness of consent as a </w:t>
      </w:r>
      <w:proofErr w:type="spellStart"/>
      <w:r w:rsidRPr="008F048B">
        <w:rPr>
          <w:i/>
          <w:iCs/>
        </w:rPr>
        <w:t>defense</w:t>
      </w:r>
      <w:proofErr w:type="spellEnd"/>
      <w:r w:rsidRPr="008F048B">
        <w:rPr>
          <w:i/>
          <w:iCs/>
        </w:rPr>
        <w:t xml:space="preserve"> to criminal conduct</w:t>
      </w:r>
      <w:r w:rsidRPr="008F048B">
        <w:t>. Routledge.</w:t>
      </w:r>
    </w:p>
    <w:p w14:paraId="7D856A84" w14:textId="77777777" w:rsidR="003269BC" w:rsidRDefault="003269BC"/>
    <w:p w14:paraId="02544A76" w14:textId="77777777" w:rsidR="0000280C" w:rsidRDefault="0000280C"/>
    <w:p w14:paraId="76B931C2" w14:textId="77777777" w:rsidR="0000280C" w:rsidRDefault="0000280C"/>
    <w:sectPr w:rsidR="0000280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5DBE72" w14:textId="77777777" w:rsidR="007308DD" w:rsidRDefault="007308DD" w:rsidP="008D17D1">
      <w:pPr>
        <w:spacing w:before="0" w:after="0" w:line="240" w:lineRule="auto"/>
      </w:pPr>
      <w:r>
        <w:separator/>
      </w:r>
    </w:p>
  </w:endnote>
  <w:endnote w:type="continuationSeparator" w:id="0">
    <w:p w14:paraId="6992564A" w14:textId="77777777" w:rsidR="007308DD" w:rsidRDefault="007308DD" w:rsidP="008D17D1">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4839581"/>
      <w:docPartObj>
        <w:docPartGallery w:val="Page Numbers (Bottom of Page)"/>
        <w:docPartUnique/>
      </w:docPartObj>
    </w:sdtPr>
    <w:sdtEndPr>
      <w:rPr>
        <w:noProof/>
      </w:rPr>
    </w:sdtEndPr>
    <w:sdtContent>
      <w:p w14:paraId="40126B57" w14:textId="77777777" w:rsidR="008D17D1" w:rsidRDefault="008D17D1">
        <w:pPr>
          <w:pStyle w:val="Footer"/>
          <w:jc w:val="right"/>
        </w:pPr>
        <w:r>
          <w:fldChar w:fldCharType="begin"/>
        </w:r>
        <w:r>
          <w:instrText xml:space="preserve"> PAGE   \* MERGEFORMAT </w:instrText>
        </w:r>
        <w:r>
          <w:fldChar w:fldCharType="separate"/>
        </w:r>
        <w:r w:rsidR="007E7202">
          <w:rPr>
            <w:noProof/>
          </w:rPr>
          <w:t>4</w:t>
        </w:r>
        <w:r>
          <w:rPr>
            <w:noProof/>
          </w:rPr>
          <w:fldChar w:fldCharType="end"/>
        </w:r>
      </w:p>
    </w:sdtContent>
  </w:sdt>
  <w:p w14:paraId="1DACCF56" w14:textId="77777777" w:rsidR="008D17D1" w:rsidRDefault="008D1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2A52C5" w14:textId="77777777" w:rsidR="007308DD" w:rsidRDefault="007308DD" w:rsidP="008D17D1">
      <w:pPr>
        <w:spacing w:before="0" w:after="0" w:line="240" w:lineRule="auto"/>
      </w:pPr>
      <w:r>
        <w:separator/>
      </w:r>
    </w:p>
  </w:footnote>
  <w:footnote w:type="continuationSeparator" w:id="0">
    <w:p w14:paraId="45CFBE6E" w14:textId="77777777" w:rsidR="007308DD" w:rsidRDefault="007308DD" w:rsidP="008D17D1">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061794"/>
    <w:multiLevelType w:val="hybridMultilevel"/>
    <w:tmpl w:val="843A3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06713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2A84"/>
    <w:rsid w:val="0000280C"/>
    <w:rsid w:val="00022D74"/>
    <w:rsid w:val="00056AE2"/>
    <w:rsid w:val="003269BC"/>
    <w:rsid w:val="00572F21"/>
    <w:rsid w:val="006B0D91"/>
    <w:rsid w:val="007308DD"/>
    <w:rsid w:val="00773395"/>
    <w:rsid w:val="0079058B"/>
    <w:rsid w:val="007E7202"/>
    <w:rsid w:val="008C5D22"/>
    <w:rsid w:val="008D17D1"/>
    <w:rsid w:val="008F048B"/>
    <w:rsid w:val="00914881"/>
    <w:rsid w:val="00B466A8"/>
    <w:rsid w:val="00C85562"/>
    <w:rsid w:val="00E12A84"/>
    <w:rsid w:val="00E17A73"/>
    <w:rsid w:val="00EA43C4"/>
    <w:rsid w:val="00F82206"/>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EB9F3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D74"/>
    <w:pPr>
      <w:spacing w:before="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466A8"/>
    <w:pPr>
      <w:keepNext/>
      <w:keepLines/>
      <w:spacing w:before="240" w:after="240"/>
      <w:outlineLvl w:val="0"/>
    </w:pPr>
    <w:rPr>
      <w:rFonts w:eastAsiaTheme="majorEastAsia" w:cstheme="majorBidi"/>
      <w:b/>
      <w:color w:val="0D0D0D" w:themeColor="text1" w:themeTint="F2"/>
      <w:sz w:val="28"/>
      <w:szCs w:val="32"/>
    </w:rPr>
  </w:style>
  <w:style w:type="paragraph" w:styleId="Heading2">
    <w:name w:val="heading 2"/>
    <w:basedOn w:val="Normal"/>
    <w:next w:val="Normal"/>
    <w:link w:val="Heading2Char"/>
    <w:uiPriority w:val="9"/>
    <w:semiHidden/>
    <w:unhideWhenUsed/>
    <w:qFormat/>
    <w:rsid w:val="00B466A8"/>
    <w:pPr>
      <w:keepNext/>
      <w:keepLines/>
      <w:spacing w:after="120"/>
      <w:outlineLvl w:val="1"/>
    </w:pPr>
    <w:rPr>
      <w:rFonts w:eastAsiaTheme="majorEastAsia" w:cstheme="majorBidi"/>
      <w:b/>
      <w:color w:val="0D0D0D" w:themeColor="text1" w:themeTint="F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66A8"/>
    <w:rPr>
      <w:rFonts w:ascii="Times New Roman" w:eastAsiaTheme="majorEastAsia" w:hAnsi="Times New Roman" w:cstheme="majorBidi"/>
      <w:b/>
      <w:color w:val="0D0D0D" w:themeColor="text1" w:themeTint="F2"/>
      <w:sz w:val="28"/>
      <w:szCs w:val="32"/>
    </w:rPr>
  </w:style>
  <w:style w:type="character" w:customStyle="1" w:styleId="Heading2Char">
    <w:name w:val="Heading 2 Char"/>
    <w:basedOn w:val="DefaultParagraphFont"/>
    <w:link w:val="Heading2"/>
    <w:uiPriority w:val="9"/>
    <w:semiHidden/>
    <w:rsid w:val="00B466A8"/>
    <w:rPr>
      <w:rFonts w:ascii="Times New Roman" w:eastAsiaTheme="majorEastAsia" w:hAnsi="Times New Roman" w:cstheme="majorBidi"/>
      <w:b/>
      <w:color w:val="0D0D0D" w:themeColor="text1" w:themeTint="F2"/>
      <w:sz w:val="24"/>
      <w:szCs w:val="26"/>
    </w:rPr>
  </w:style>
  <w:style w:type="paragraph" w:styleId="ListParagraph">
    <w:name w:val="List Paragraph"/>
    <w:basedOn w:val="Normal"/>
    <w:uiPriority w:val="34"/>
    <w:qFormat/>
    <w:rsid w:val="008F048B"/>
    <w:pPr>
      <w:ind w:left="720"/>
      <w:contextualSpacing/>
    </w:pPr>
  </w:style>
  <w:style w:type="paragraph" w:styleId="TOCHeading">
    <w:name w:val="TOC Heading"/>
    <w:basedOn w:val="Heading1"/>
    <w:next w:val="Normal"/>
    <w:uiPriority w:val="39"/>
    <w:unhideWhenUsed/>
    <w:qFormat/>
    <w:rsid w:val="008D17D1"/>
    <w:pPr>
      <w:spacing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D17D1"/>
    <w:pPr>
      <w:spacing w:after="100"/>
    </w:pPr>
  </w:style>
  <w:style w:type="character" w:styleId="Hyperlink">
    <w:name w:val="Hyperlink"/>
    <w:basedOn w:val="DefaultParagraphFont"/>
    <w:uiPriority w:val="99"/>
    <w:unhideWhenUsed/>
    <w:rsid w:val="008D17D1"/>
    <w:rPr>
      <w:color w:val="0563C1" w:themeColor="hyperlink"/>
      <w:u w:val="single"/>
    </w:rPr>
  </w:style>
  <w:style w:type="paragraph" w:styleId="Header">
    <w:name w:val="header"/>
    <w:basedOn w:val="Normal"/>
    <w:link w:val="HeaderChar"/>
    <w:uiPriority w:val="99"/>
    <w:unhideWhenUsed/>
    <w:rsid w:val="008D17D1"/>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D17D1"/>
    <w:rPr>
      <w:rFonts w:ascii="Times New Roman" w:hAnsi="Times New Roman"/>
      <w:sz w:val="24"/>
    </w:rPr>
  </w:style>
  <w:style w:type="paragraph" w:styleId="Footer">
    <w:name w:val="footer"/>
    <w:basedOn w:val="Normal"/>
    <w:link w:val="FooterChar"/>
    <w:uiPriority w:val="99"/>
    <w:unhideWhenUsed/>
    <w:rsid w:val="008D17D1"/>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D17D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0132100">
      <w:bodyDiv w:val="1"/>
      <w:marLeft w:val="0"/>
      <w:marRight w:val="0"/>
      <w:marTop w:val="0"/>
      <w:marBottom w:val="0"/>
      <w:divBdr>
        <w:top w:val="none" w:sz="0" w:space="0" w:color="auto"/>
        <w:left w:val="none" w:sz="0" w:space="0" w:color="auto"/>
        <w:bottom w:val="none" w:sz="0" w:space="0" w:color="auto"/>
        <w:right w:val="none" w:sz="0" w:space="0" w:color="auto"/>
      </w:divBdr>
    </w:div>
    <w:div w:id="1532690609">
      <w:bodyDiv w:val="1"/>
      <w:marLeft w:val="0"/>
      <w:marRight w:val="0"/>
      <w:marTop w:val="0"/>
      <w:marBottom w:val="0"/>
      <w:divBdr>
        <w:top w:val="none" w:sz="0" w:space="0" w:color="auto"/>
        <w:left w:val="none" w:sz="0" w:space="0" w:color="auto"/>
        <w:bottom w:val="none" w:sz="0" w:space="0" w:color="auto"/>
        <w:right w:val="none" w:sz="0" w:space="0" w:color="auto"/>
      </w:divBdr>
    </w:div>
    <w:div w:id="1670863517">
      <w:bodyDiv w:val="1"/>
      <w:marLeft w:val="0"/>
      <w:marRight w:val="0"/>
      <w:marTop w:val="0"/>
      <w:marBottom w:val="0"/>
      <w:divBdr>
        <w:top w:val="none" w:sz="0" w:space="0" w:color="auto"/>
        <w:left w:val="none" w:sz="0" w:space="0" w:color="auto"/>
        <w:bottom w:val="none" w:sz="0" w:space="0" w:color="auto"/>
        <w:right w:val="none" w:sz="0" w:space="0" w:color="auto"/>
      </w:divBdr>
    </w:div>
    <w:div w:id="18418893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1767</Words>
  <Characters>10076</Characters>
  <Application>Microsoft Office Word</Application>
  <DocSecurity>0</DocSecurity>
  <Lines>83</Lines>
  <Paragraphs>23</Paragraphs>
  <ScaleCrop>false</ScaleCrop>
  <Company/>
  <LinksUpToDate>false</LinksUpToDate>
  <CharactersWithSpaces>11820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2023-11-09T10:07:00Z</dcterms:created>
  <dcterms:modified xsi:type="dcterms:W3CDTF">2023-11-09T10:07:00Z</dcterms:modified>
</cp:coreProperties>
</file>