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3F1450" wp14:paraId="3F56D9AB" wp14:textId="6AF632B9">
      <w:pPr>
        <w:pStyle w:val="Heading2"/>
        <w:spacing w:before="299" w:beforeAutospacing="off" w:after="299" w:afterAutospacing="off"/>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pPr>
      <w:r w:rsidRPr="023F1450" w:rsidR="62C011C6">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Student-</w:t>
      </w:r>
      <w:r w:rsidRPr="023F1450" w:rsidR="62C011C6">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Angy Carolan</w:t>
      </w:r>
    </w:p>
    <w:p xmlns:wp14="http://schemas.microsoft.com/office/word/2010/wordml" w:rsidP="023F1450" wp14:paraId="6DF76727" wp14:textId="6B0707DF">
      <w:pPr>
        <w:pStyle w:val="Heading2"/>
        <w:spacing w:before="299" w:beforeAutospacing="off" w:after="299" w:afterAutospacing="off"/>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pPr>
      <w:r w:rsidRPr="023F1450" w:rsidR="62C011C6">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Student I.D-</w:t>
      </w:r>
      <w:r w:rsidRPr="023F1450" w:rsidR="62C011C6">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2509406</w:t>
      </w:r>
    </w:p>
    <w:p xmlns:wp14="http://schemas.microsoft.com/office/word/2010/wordml" w:rsidP="023F1450" wp14:paraId="396EE3AB" wp14:textId="7373F19E">
      <w:pPr>
        <w:pStyle w:val="Heading2"/>
        <w:spacing w:before="299" w:beforeAutospacing="off" w:after="299" w:afterAutospacing="off"/>
        <w:rPr>
          <w:rFonts w:ascii="Arial" w:hAnsi="Arial" w:eastAsia="Arial" w:cs="Arial"/>
          <w:b w:val="0"/>
          <w:bCs w:val="0"/>
          <w:noProof w:val="0"/>
          <w:color w:val="000000" w:themeColor="text1" w:themeTint="FF" w:themeShade="FF"/>
          <w:sz w:val="22"/>
          <w:szCs w:val="22"/>
          <w:lang w:val="en-GB"/>
        </w:rPr>
      </w:pPr>
      <w:r w:rsidRPr="023F1450" w:rsidR="62C011C6">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Tutor-</w:t>
      </w:r>
      <w:r w:rsidRPr="023F1450" w:rsidR="62C011C6">
        <w:rPr>
          <w:rFonts w:ascii="Arial" w:hAnsi="Arial" w:eastAsia="Arial" w:cs="Arial"/>
          <w:b w:val="0"/>
          <w:bCs w:val="0"/>
          <w:noProof w:val="0"/>
          <w:color w:val="000000" w:themeColor="text1" w:themeTint="FF" w:themeShade="FF"/>
          <w:sz w:val="22"/>
          <w:szCs w:val="22"/>
          <w:lang w:val="en-GB"/>
        </w:rPr>
        <w:t xml:space="preserve"> Hajra </w:t>
      </w:r>
      <w:r w:rsidRPr="023F1450" w:rsidR="62C011C6">
        <w:rPr>
          <w:rFonts w:ascii="Arial" w:hAnsi="Arial" w:eastAsia="Arial" w:cs="Arial"/>
          <w:b w:val="0"/>
          <w:bCs w:val="0"/>
          <w:noProof w:val="0"/>
          <w:color w:val="000000" w:themeColor="text1" w:themeTint="FF" w:themeShade="FF"/>
          <w:sz w:val="22"/>
          <w:szCs w:val="22"/>
          <w:lang w:val="en-GB"/>
        </w:rPr>
        <w:t>Mustasim</w:t>
      </w:r>
    </w:p>
    <w:p xmlns:wp14="http://schemas.microsoft.com/office/word/2010/wordml" w:rsidP="023F1450" wp14:paraId="7C1CA0E8" wp14:textId="70B51D49">
      <w:pPr>
        <w:pStyle w:val="Normal"/>
        <w:rPr>
          <w:rFonts w:ascii="Arial" w:hAnsi="Arial" w:eastAsia="Arial" w:cs="Arial"/>
          <w:b w:val="0"/>
          <w:bCs w:val="0"/>
          <w:noProof w:val="0"/>
          <w:color w:val="000000" w:themeColor="text1" w:themeTint="FF" w:themeShade="FF"/>
          <w:sz w:val="22"/>
          <w:szCs w:val="22"/>
          <w:lang w:val="en-GB"/>
        </w:rPr>
      </w:pPr>
      <w:r w:rsidRPr="023F1450" w:rsidR="71990FA5">
        <w:rPr>
          <w:rFonts w:ascii="Arial" w:hAnsi="Arial" w:eastAsia="Arial" w:cs="Arial"/>
          <w:b w:val="1"/>
          <w:bCs w:val="1"/>
          <w:noProof w:val="0"/>
          <w:color w:val="000000" w:themeColor="text1" w:themeTint="FF" w:themeShade="FF"/>
          <w:sz w:val="22"/>
          <w:szCs w:val="22"/>
          <w:lang w:val="en-GB"/>
        </w:rPr>
        <w:t>Module</w:t>
      </w:r>
      <w:r w:rsidRPr="023F1450" w:rsidR="71990FA5">
        <w:rPr>
          <w:rFonts w:ascii="Arial" w:hAnsi="Arial" w:eastAsia="Arial" w:cs="Arial"/>
          <w:b w:val="0"/>
          <w:bCs w:val="0"/>
          <w:noProof w:val="0"/>
          <w:color w:val="000000" w:themeColor="text1" w:themeTint="FF" w:themeShade="FF"/>
          <w:sz w:val="22"/>
          <w:szCs w:val="22"/>
          <w:lang w:val="en-GB"/>
        </w:rPr>
        <w:t>- Digital Skills &amp; Research Methods</w:t>
      </w:r>
    </w:p>
    <w:p xmlns:wp14="http://schemas.microsoft.com/office/word/2010/wordml" w:rsidP="023F1450" wp14:paraId="10CBBA22" wp14:textId="5090DFF8">
      <w:pPr>
        <w:pStyle w:val="Normal"/>
        <w:rPr>
          <w:rFonts w:ascii="Arial" w:hAnsi="Arial" w:eastAsia="Arial" w:cs="Arial"/>
          <w:b w:val="0"/>
          <w:bCs w:val="0"/>
          <w:noProof w:val="0"/>
          <w:color w:val="000000" w:themeColor="text1" w:themeTint="FF" w:themeShade="FF"/>
          <w:sz w:val="22"/>
          <w:szCs w:val="22"/>
          <w:lang w:val="en-GB"/>
        </w:rPr>
      </w:pPr>
      <w:r w:rsidRPr="023F1450" w:rsidR="71990FA5">
        <w:rPr>
          <w:rFonts w:ascii="Arial" w:hAnsi="Arial" w:eastAsia="Arial" w:cs="Arial"/>
          <w:b w:val="1"/>
          <w:bCs w:val="1"/>
          <w:noProof w:val="0"/>
          <w:color w:val="000000" w:themeColor="text1" w:themeTint="FF" w:themeShade="FF"/>
          <w:sz w:val="22"/>
          <w:szCs w:val="22"/>
          <w:lang w:val="en-GB"/>
        </w:rPr>
        <w:t>Module Code</w:t>
      </w:r>
      <w:r w:rsidRPr="023F1450" w:rsidR="71990FA5">
        <w:rPr>
          <w:rFonts w:ascii="Arial" w:hAnsi="Arial" w:eastAsia="Arial" w:cs="Arial"/>
          <w:b w:val="0"/>
          <w:bCs w:val="0"/>
          <w:noProof w:val="0"/>
          <w:color w:val="000000" w:themeColor="text1" w:themeTint="FF" w:themeShade="FF"/>
          <w:sz w:val="22"/>
          <w:szCs w:val="22"/>
          <w:lang w:val="en-GB"/>
        </w:rPr>
        <w:t>- LCSH4007</w:t>
      </w:r>
    </w:p>
    <w:p xmlns:wp14="http://schemas.microsoft.com/office/word/2010/wordml" w:rsidP="023F1450" wp14:paraId="58857D14" wp14:textId="1778CF73">
      <w:pPr>
        <w:pStyle w:val="Normal"/>
        <w:rPr>
          <w:rFonts w:ascii="Arial" w:hAnsi="Arial" w:eastAsia="Arial" w:cs="Arial"/>
          <w:b w:val="0"/>
          <w:bCs w:val="0"/>
          <w:noProof w:val="0"/>
          <w:sz w:val="22"/>
          <w:szCs w:val="22"/>
          <w:lang w:val="en-GB"/>
        </w:rPr>
      </w:pPr>
    </w:p>
    <w:p xmlns:wp14="http://schemas.microsoft.com/office/word/2010/wordml" w:rsidP="023F1450" wp14:paraId="23E35A9C" wp14:textId="7ADBFCB6">
      <w:pPr>
        <w:pStyle w:val="Normal"/>
        <w:rPr>
          <w:rFonts w:ascii="Arial" w:hAnsi="Arial" w:eastAsia="Arial" w:cs="Arial"/>
          <w:b w:val="0"/>
          <w:bCs w:val="0"/>
          <w:noProof w:val="0"/>
          <w:sz w:val="22"/>
          <w:szCs w:val="22"/>
          <w:lang w:val="en-GB"/>
        </w:rPr>
      </w:pPr>
    </w:p>
    <w:p xmlns:wp14="http://schemas.microsoft.com/office/word/2010/wordml" w:rsidP="023F1450" wp14:paraId="20EBB4C8" wp14:textId="5C882895">
      <w:pPr>
        <w:pStyle w:val="Normal"/>
        <w:rPr>
          <w:rFonts w:ascii="Arial" w:hAnsi="Arial" w:eastAsia="Arial" w:cs="Arial"/>
          <w:b w:val="0"/>
          <w:bCs w:val="0"/>
          <w:noProof w:val="0"/>
          <w:sz w:val="22"/>
          <w:szCs w:val="22"/>
          <w:lang w:val="en-GB"/>
        </w:rPr>
      </w:pPr>
    </w:p>
    <w:p xmlns:wp14="http://schemas.microsoft.com/office/word/2010/wordml" w:rsidP="023F1450" wp14:paraId="3FD81618" wp14:textId="2F9956DA">
      <w:pPr>
        <w:pStyle w:val="Normal"/>
        <w:rPr>
          <w:rFonts w:ascii="Arial" w:hAnsi="Arial" w:eastAsia="Arial" w:cs="Arial"/>
          <w:b w:val="0"/>
          <w:bCs w:val="0"/>
          <w:noProof w:val="0"/>
          <w:sz w:val="22"/>
          <w:szCs w:val="22"/>
          <w:lang w:val="en-GB"/>
        </w:rPr>
      </w:pPr>
    </w:p>
    <w:p xmlns:wp14="http://schemas.microsoft.com/office/word/2010/wordml" w:rsidP="023F1450" wp14:paraId="17F7267D" wp14:textId="27416D4B">
      <w:pPr>
        <w:pStyle w:val="Normal"/>
        <w:rPr>
          <w:rFonts w:ascii="Arial" w:hAnsi="Arial" w:eastAsia="Arial" w:cs="Arial"/>
          <w:b w:val="0"/>
          <w:bCs w:val="0"/>
          <w:noProof w:val="0"/>
          <w:sz w:val="22"/>
          <w:szCs w:val="22"/>
          <w:lang w:val="en-GB"/>
        </w:rPr>
      </w:pPr>
    </w:p>
    <w:p xmlns:wp14="http://schemas.microsoft.com/office/word/2010/wordml" w:rsidP="023F1450" wp14:paraId="01F91D8C" wp14:textId="69FE8842">
      <w:pPr>
        <w:pStyle w:val="Normal"/>
        <w:rPr>
          <w:rFonts w:ascii="Arial" w:hAnsi="Arial" w:eastAsia="Arial" w:cs="Arial"/>
          <w:b w:val="0"/>
          <w:bCs w:val="0"/>
          <w:noProof w:val="0"/>
          <w:sz w:val="22"/>
          <w:szCs w:val="22"/>
          <w:lang w:val="en-GB"/>
        </w:rPr>
      </w:pPr>
    </w:p>
    <w:p xmlns:wp14="http://schemas.microsoft.com/office/word/2010/wordml" w:rsidP="023F1450" wp14:paraId="520CE0BC" wp14:textId="0F833891">
      <w:pPr>
        <w:pStyle w:val="Normal"/>
        <w:rPr>
          <w:rFonts w:ascii="Arial" w:hAnsi="Arial" w:eastAsia="Arial" w:cs="Arial"/>
          <w:b w:val="0"/>
          <w:bCs w:val="0"/>
          <w:noProof w:val="0"/>
          <w:sz w:val="22"/>
          <w:szCs w:val="22"/>
          <w:lang w:val="en-GB"/>
        </w:rPr>
      </w:pPr>
    </w:p>
    <w:p xmlns:wp14="http://schemas.microsoft.com/office/word/2010/wordml" w:rsidP="023F1450" wp14:paraId="7AD288BF" wp14:textId="45192F63">
      <w:pPr>
        <w:pStyle w:val="Normal"/>
        <w:rPr>
          <w:rFonts w:ascii="Arial" w:hAnsi="Arial" w:eastAsia="Arial" w:cs="Arial"/>
          <w:b w:val="0"/>
          <w:bCs w:val="0"/>
          <w:noProof w:val="0"/>
          <w:sz w:val="22"/>
          <w:szCs w:val="22"/>
          <w:lang w:val="en-GB"/>
        </w:rPr>
      </w:pPr>
    </w:p>
    <w:p xmlns:wp14="http://schemas.microsoft.com/office/word/2010/wordml" w:rsidP="023F1450" wp14:paraId="17B2B8B4" wp14:textId="5FC59DD3">
      <w:pPr>
        <w:pStyle w:val="Normal"/>
        <w:rPr>
          <w:rFonts w:ascii="Arial" w:hAnsi="Arial" w:eastAsia="Arial" w:cs="Arial"/>
          <w:b w:val="0"/>
          <w:bCs w:val="0"/>
          <w:noProof w:val="0"/>
          <w:sz w:val="22"/>
          <w:szCs w:val="22"/>
          <w:lang w:val="en-GB"/>
        </w:rPr>
      </w:pPr>
    </w:p>
    <w:p xmlns:wp14="http://schemas.microsoft.com/office/word/2010/wordml" w:rsidP="023F1450" wp14:paraId="7BE2DE00" wp14:textId="076015D2">
      <w:pPr>
        <w:pStyle w:val="Normal"/>
        <w:rPr>
          <w:rFonts w:ascii="Arial" w:hAnsi="Arial" w:eastAsia="Arial" w:cs="Arial"/>
          <w:b w:val="0"/>
          <w:bCs w:val="0"/>
          <w:noProof w:val="0"/>
          <w:sz w:val="22"/>
          <w:szCs w:val="22"/>
          <w:lang w:val="en-GB"/>
        </w:rPr>
      </w:pPr>
    </w:p>
    <w:p xmlns:wp14="http://schemas.microsoft.com/office/word/2010/wordml" w:rsidP="023F1450" wp14:paraId="161395BA" wp14:textId="51225FCE">
      <w:pPr>
        <w:pStyle w:val="Normal"/>
        <w:rPr>
          <w:rFonts w:ascii="Arial" w:hAnsi="Arial" w:eastAsia="Arial" w:cs="Arial"/>
          <w:b w:val="0"/>
          <w:bCs w:val="0"/>
          <w:noProof w:val="0"/>
          <w:sz w:val="22"/>
          <w:szCs w:val="22"/>
          <w:lang w:val="en-GB"/>
        </w:rPr>
      </w:pPr>
    </w:p>
    <w:p xmlns:wp14="http://schemas.microsoft.com/office/word/2010/wordml" w:rsidP="023F1450" wp14:paraId="540C8AFD" wp14:textId="3F00DD49">
      <w:pPr>
        <w:pStyle w:val="Normal"/>
        <w:rPr>
          <w:rFonts w:ascii="Arial" w:hAnsi="Arial" w:eastAsia="Arial" w:cs="Arial"/>
          <w:b w:val="0"/>
          <w:bCs w:val="0"/>
          <w:noProof w:val="0"/>
          <w:sz w:val="22"/>
          <w:szCs w:val="22"/>
          <w:lang w:val="en-GB"/>
        </w:rPr>
      </w:pPr>
    </w:p>
    <w:p xmlns:wp14="http://schemas.microsoft.com/office/word/2010/wordml" w:rsidP="023F1450" wp14:paraId="5FC61084" wp14:textId="7D8F80DC">
      <w:pPr>
        <w:pStyle w:val="Normal"/>
        <w:rPr>
          <w:rFonts w:ascii="Arial" w:hAnsi="Arial" w:eastAsia="Arial" w:cs="Arial"/>
          <w:b w:val="0"/>
          <w:bCs w:val="0"/>
          <w:noProof w:val="0"/>
          <w:sz w:val="22"/>
          <w:szCs w:val="22"/>
          <w:lang w:val="en-GB"/>
        </w:rPr>
      </w:pPr>
    </w:p>
    <w:p xmlns:wp14="http://schemas.microsoft.com/office/word/2010/wordml" w:rsidP="023F1450" wp14:paraId="7AEE7A89" wp14:textId="6F9DEF00">
      <w:pPr>
        <w:pStyle w:val="Normal"/>
        <w:rPr>
          <w:rFonts w:ascii="Arial" w:hAnsi="Arial" w:eastAsia="Arial" w:cs="Arial"/>
          <w:b w:val="0"/>
          <w:bCs w:val="0"/>
          <w:noProof w:val="0"/>
          <w:sz w:val="22"/>
          <w:szCs w:val="22"/>
          <w:lang w:val="en-GB"/>
        </w:rPr>
      </w:pPr>
    </w:p>
    <w:p xmlns:wp14="http://schemas.microsoft.com/office/word/2010/wordml" w:rsidP="023F1450" wp14:paraId="3F8D0143" wp14:textId="6D10F662">
      <w:pPr>
        <w:pStyle w:val="Normal"/>
        <w:rPr>
          <w:rFonts w:ascii="Arial" w:hAnsi="Arial" w:eastAsia="Arial" w:cs="Arial"/>
          <w:b w:val="0"/>
          <w:bCs w:val="0"/>
          <w:noProof w:val="0"/>
          <w:sz w:val="22"/>
          <w:szCs w:val="22"/>
          <w:lang w:val="en-GB"/>
        </w:rPr>
      </w:pPr>
    </w:p>
    <w:p xmlns:wp14="http://schemas.microsoft.com/office/word/2010/wordml" w:rsidP="023F1450" wp14:paraId="00DC854E" wp14:textId="3175DFE8">
      <w:pPr>
        <w:pStyle w:val="Normal"/>
        <w:rPr>
          <w:rFonts w:ascii="Arial" w:hAnsi="Arial" w:eastAsia="Arial" w:cs="Arial"/>
          <w:b w:val="0"/>
          <w:bCs w:val="0"/>
          <w:noProof w:val="0"/>
          <w:sz w:val="22"/>
          <w:szCs w:val="22"/>
          <w:lang w:val="en-GB"/>
        </w:rPr>
      </w:pPr>
    </w:p>
    <w:p xmlns:wp14="http://schemas.microsoft.com/office/word/2010/wordml" w:rsidP="023F1450" wp14:paraId="736399BF" wp14:textId="42DF2A81">
      <w:pPr>
        <w:pStyle w:val="Normal"/>
        <w:rPr>
          <w:rFonts w:ascii="Arial" w:hAnsi="Arial" w:eastAsia="Arial" w:cs="Arial"/>
          <w:b w:val="0"/>
          <w:bCs w:val="0"/>
          <w:noProof w:val="0"/>
          <w:sz w:val="22"/>
          <w:szCs w:val="22"/>
          <w:lang w:val="en-GB"/>
        </w:rPr>
      </w:pPr>
    </w:p>
    <w:p xmlns:wp14="http://schemas.microsoft.com/office/word/2010/wordml" w:rsidP="023F1450" wp14:paraId="6351A817" wp14:textId="49954CB0">
      <w:pPr>
        <w:pStyle w:val="Normal"/>
        <w:rPr>
          <w:rFonts w:ascii="Arial" w:hAnsi="Arial" w:eastAsia="Arial" w:cs="Arial"/>
          <w:b w:val="0"/>
          <w:bCs w:val="0"/>
          <w:noProof w:val="0"/>
          <w:sz w:val="22"/>
          <w:szCs w:val="22"/>
          <w:lang w:val="en-GB"/>
        </w:rPr>
      </w:pPr>
    </w:p>
    <w:p xmlns:wp14="http://schemas.microsoft.com/office/word/2010/wordml" w:rsidP="023F1450" wp14:paraId="115AECC7" wp14:textId="0B8D45A0">
      <w:pPr>
        <w:pStyle w:val="Normal"/>
        <w:rPr>
          <w:rFonts w:ascii="Arial" w:hAnsi="Arial" w:eastAsia="Arial" w:cs="Arial"/>
          <w:b w:val="0"/>
          <w:bCs w:val="0"/>
          <w:noProof w:val="0"/>
          <w:sz w:val="22"/>
          <w:szCs w:val="22"/>
          <w:lang w:val="en-GB"/>
        </w:rPr>
      </w:pPr>
    </w:p>
    <w:p xmlns:wp14="http://schemas.microsoft.com/office/word/2010/wordml" w:rsidP="023F1450" wp14:paraId="2195D7AF" wp14:textId="74C00DE7">
      <w:pPr>
        <w:pStyle w:val="Normal"/>
        <w:rPr>
          <w:rFonts w:ascii="Arial" w:hAnsi="Arial" w:eastAsia="Arial" w:cs="Arial"/>
          <w:b w:val="0"/>
          <w:bCs w:val="0"/>
          <w:noProof w:val="0"/>
          <w:sz w:val="22"/>
          <w:szCs w:val="22"/>
          <w:lang w:val="en-GB"/>
        </w:rPr>
      </w:pPr>
    </w:p>
    <w:p xmlns:wp14="http://schemas.microsoft.com/office/word/2010/wordml" w:rsidP="023F1450" wp14:paraId="1C567CA7" wp14:textId="03DB2824">
      <w:pPr>
        <w:pStyle w:val="Normal"/>
        <w:rPr>
          <w:rFonts w:ascii="Arial" w:hAnsi="Arial" w:eastAsia="Arial" w:cs="Arial"/>
          <w:b w:val="0"/>
          <w:bCs w:val="0"/>
          <w:noProof w:val="0"/>
          <w:sz w:val="22"/>
          <w:szCs w:val="22"/>
          <w:lang w:val="en-GB"/>
        </w:rPr>
      </w:pPr>
    </w:p>
    <w:p xmlns:wp14="http://schemas.microsoft.com/office/word/2010/wordml" w:rsidP="023F1450" wp14:paraId="7DFB8199" wp14:textId="2D3F93E2">
      <w:pPr>
        <w:pStyle w:val="Normal"/>
        <w:rPr>
          <w:rFonts w:ascii="Arial" w:hAnsi="Arial" w:eastAsia="Arial" w:cs="Arial"/>
          <w:b w:val="0"/>
          <w:bCs w:val="0"/>
          <w:noProof w:val="0"/>
          <w:sz w:val="22"/>
          <w:szCs w:val="22"/>
          <w:lang w:val="en-GB"/>
        </w:rPr>
      </w:pPr>
    </w:p>
    <w:p xmlns:wp14="http://schemas.microsoft.com/office/word/2010/wordml" w:rsidP="023F1450" wp14:paraId="2DF1BFFA" wp14:textId="5BC9461A">
      <w:pPr>
        <w:pStyle w:val="Normal"/>
        <w:rPr>
          <w:rFonts w:ascii="Arial" w:hAnsi="Arial" w:eastAsia="Arial" w:cs="Arial"/>
          <w:b w:val="0"/>
          <w:bCs w:val="0"/>
          <w:noProof w:val="0"/>
          <w:sz w:val="22"/>
          <w:szCs w:val="22"/>
          <w:lang w:val="en-GB"/>
        </w:rPr>
      </w:pPr>
    </w:p>
    <w:p xmlns:wp14="http://schemas.microsoft.com/office/word/2010/wordml" w:rsidP="023F1450" wp14:paraId="41185430" wp14:textId="19BEDF65">
      <w:pPr>
        <w:pStyle w:val="Normal"/>
        <w:rPr>
          <w:rFonts w:ascii="Arial" w:hAnsi="Arial" w:eastAsia="Arial" w:cs="Arial"/>
          <w:b w:val="0"/>
          <w:bCs w:val="0"/>
          <w:noProof w:val="0"/>
          <w:sz w:val="22"/>
          <w:szCs w:val="22"/>
          <w:lang w:val="en-GB"/>
        </w:rPr>
      </w:pPr>
    </w:p>
    <w:p xmlns:wp14="http://schemas.microsoft.com/office/word/2010/wordml" w:rsidP="023F1450" wp14:paraId="69EFD650" wp14:textId="3AB196A0">
      <w:pPr>
        <w:pStyle w:val="Normal"/>
        <w:rPr>
          <w:rFonts w:ascii="Arial" w:hAnsi="Arial" w:eastAsia="Arial" w:cs="Arial"/>
          <w:b w:val="0"/>
          <w:bCs w:val="0"/>
          <w:noProof w:val="0"/>
          <w:sz w:val="22"/>
          <w:szCs w:val="22"/>
          <w:lang w:val="en-GB"/>
        </w:rPr>
      </w:pPr>
    </w:p>
    <w:p xmlns:wp14="http://schemas.microsoft.com/office/word/2010/wordml" w:rsidP="023F1450" wp14:paraId="56045F84" wp14:textId="3AD1CDD4">
      <w:pPr>
        <w:pStyle w:val="Heading2"/>
        <w:spacing w:before="299" w:beforeAutospacing="off" w:after="299" w:afterAutospacing="off"/>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r w:rsidRPr="023F1450" w:rsidR="148FB0E9">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 xml:space="preserve">Introduction </w:t>
      </w:r>
    </w:p>
    <w:p xmlns:wp14="http://schemas.microsoft.com/office/word/2010/wordml" w:rsidP="023F1450" wp14:paraId="2BA9AFE4" wp14:textId="2BF55693">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This report explores a significant and current issue within the UK health and social care sector: workforce shortages and staff burnout. The purpose of this research is to examine the nature, causes, and implications of this issue, and to justify the need for further investigation. The report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identifies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key academic and policy sources, outlines suitable research methodologies, and evaluates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appropriate data</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collection methods. By doing so, it provides a structured and critical understanding of how workforce pressures are affecting care quality, staff wellbeing, and the long</w:t>
      </w:r>
      <w:r w:rsidRPr="023F1450" w:rsidR="5A096296">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term sustainability of services, particularly within organisations such as the National Health Service.</w:t>
      </w:r>
    </w:p>
    <w:p xmlns:wp14="http://schemas.microsoft.com/office/word/2010/wordml" w:rsidP="023F1450" wp14:paraId="6F86EF55" wp14:textId="344831C2">
      <w:pPr>
        <w:rPr>
          <w:rFonts w:ascii="Arial Nova" w:hAnsi="Arial Nova" w:eastAsia="Arial Nova" w:cs="Arial Nova" w:asciiTheme="minorAscii" w:hAnsiTheme="minorAscii" w:eastAsiaTheme="minorAscii" w:cstheme="minorAscii"/>
          <w:b w:val="0"/>
          <w:bCs w:val="0"/>
          <w:sz w:val="22"/>
          <w:szCs w:val="22"/>
        </w:rPr>
      </w:pPr>
    </w:p>
    <w:p xmlns:wp14="http://schemas.microsoft.com/office/word/2010/wordml" w:rsidP="023F1450" wp14:paraId="7AEE3C84" wp14:textId="746E494C">
      <w:pPr>
        <w:pStyle w:val="Heading2"/>
        <w:spacing w:before="299" w:beforeAutospacing="off" w:after="299" w:afterAutospacing="off"/>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r w:rsidRPr="023F1450" w:rsidR="148FB0E9">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Research Topic Identification</w:t>
      </w:r>
    </w:p>
    <w:p xmlns:wp14="http://schemas.microsoft.com/office/word/2010/wordml" w:rsidP="023F1450" wp14:paraId="13BC46A9" wp14:textId="372A6C01">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A major issue currently facing the UK health and social care sector is workforce shortages and staff burnout. This challenge has become increasingly visible in recent years, particularly following the COVID-19 pandemic, which placed unprecedented pressure on healthcare systems (Buchan et al., 2022). Workforce shortages refer to gaps between staffing demand and supply, while burnout describes chronic workplace stress that has not been successfully managed (World Health Organization, 2019).</w:t>
      </w:r>
    </w:p>
    <w:p xmlns:wp14="http://schemas.microsoft.com/office/word/2010/wordml" w:rsidP="023F1450" wp14:paraId="062F77D4" wp14:textId="22A8A584">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This issue affects a wide range of stakeholders. Patients are often the most visibly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impacted</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experiencing longer waiting times, reduced access to services, and, in some cases, compromised quality of care (The King’s Fund, 2023). For instance, delays in treatment can worsen health outcomes and increase patient dissatisfaction. Healthcare professionals, including nurses, doctors, and social care workers, are also significantly affected. High workloads, emotional strain, and insufficient support contribute to stress, anxiety, and job dissatisfaction, leading many to leave the profession (Nuffield Trust, 2022). Furthermore, organisations such as the National Health Service face operational inefficiencies, increased costs, and reduced service capacity due to staff shortages (NHS England, 2023).</w:t>
      </w:r>
    </w:p>
    <w:p xmlns:wp14="http://schemas.microsoft.com/office/word/2010/wordml" w:rsidP="023F1450" wp14:paraId="639B74CC" wp14:textId="171E757C">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The need for research into this issue is critical for several reasons. Firstly, the scale of the problem continues to grow, with vacancy rates in the NHS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remaining</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persistently high (Office for National Statistics, 2023). Without robust research, policymakers may struggle to design effective workforce strategies. Secondly, understanding the root causes of burnou</w:t>
      </w:r>
      <w:r w:rsidRPr="023F1450" w:rsidR="2AEF1065">
        <w:rPr>
          <w:rFonts w:ascii="Arial Nova" w:hAnsi="Arial Nova" w:eastAsia="Arial Nova" w:cs="Arial Nova" w:asciiTheme="minorAscii" w:hAnsiTheme="minorAscii" w:eastAsiaTheme="minorAscii" w:cstheme="minorAscii"/>
          <w:b w:val="0"/>
          <w:bCs w:val="0"/>
          <w:noProof w:val="0"/>
          <w:sz w:val="22"/>
          <w:szCs w:val="22"/>
          <w:lang w:val="en-GB"/>
        </w:rPr>
        <w:t xml:space="preserve">t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such as excessive workload, lack of resources, and poor work</w:t>
      </w:r>
      <w:r w:rsidRPr="023F1450" w:rsidR="69906F78">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life balance</w:t>
      </w:r>
      <w:r w:rsidRPr="023F1450" w:rsidR="656F691A">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is essential for improving staff retention (West et al., 2020). Finally, research can contribute to evidence</w:t>
      </w:r>
      <w:r w:rsidRPr="023F1450" w:rsidR="2E3AE96B">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based policy development, ensuring that interventions are both effective and sustainable in the long term.</w:t>
      </w:r>
    </w:p>
    <w:p xmlns:wp14="http://schemas.microsoft.com/office/word/2010/wordml" w:rsidP="023F1450" wp14:paraId="7403D69A" wp14:textId="7C976F75">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Three key sources have been selected to support this research topic. The first is a report by the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The</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King's Fund, which provides a comprehensive overview of workforce challenges in the UK healthcare system. This source includes data on staffing shortages, vacancy rates, and workforce trends, as well as analysis of policy responses (The King’s Fund, 2023). Its relevance lies in its authoritative and evidence-based approach. It was selected because it offers a detailed and policy</w:t>
      </w:r>
      <w:r w:rsidRPr="023F1450" w:rsidR="4E918245">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focused perspective, making it highly valuable for understanding systemic issues.</w:t>
      </w:r>
    </w:p>
    <w:p xmlns:wp14="http://schemas.microsoft.com/office/word/2010/wordml" w:rsidP="023F1450" wp14:paraId="36EACB52" wp14:textId="2E0102C5">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The second source is research conducted by the Nuffield Trust. This organisation examines how workforce pressures impact healthcare delivery and patient outcomes (Nuffield Trust, 2022). The source includes both statistical data and qualitative insights from healthcare workers, highlighting the human impact of burnout. This source was chosen because it provides a balanced perspective, combining empirical evidence with real-life experiences, which is essential for a comprehensive understanding of the issue.</w:t>
      </w:r>
    </w:p>
    <w:p xmlns:wp14="http://schemas.microsoft.com/office/word/2010/wordml" w:rsidP="023F1450" wp14:paraId="5EE76ACD" wp14:textId="18A59962">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The third source is data from the Office for National Statistics, which provides reliable and up</w:t>
      </w:r>
      <w:r w:rsidRPr="023F1450" w:rsidR="6AF630E5">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to</w:t>
      </w:r>
      <w:r w:rsidRPr="023F1450" w:rsidR="6118D66F">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date statistics on employment and workforce trends in the UK (Office for National Statistics, 2023). This source is particularly valuable for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identifying</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patterns over time and supporting evidence-based analysis. It was selected due to its credibility as an official government body and its role in providing objective data.</w:t>
      </w:r>
    </w:p>
    <w:p xmlns:wp14="http://schemas.microsoft.com/office/word/2010/wordml" w:rsidP="023F1450" wp14:paraId="26AB24A2" wp14:textId="3FC6BB09">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Additional</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academic literature further supports the importance of this issue. For example, studies have shown that burnout is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closely linked</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to reduced patient safety and increased medical errors (Dyrbye et al., 2017). Similarly, research by Aiken et al. (2014)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demonstrates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that nurse staffing levels are directly associated with patient mortality rates. These findings reinforce the urgency of addressing workforce shortages and burnout.</w:t>
      </w:r>
    </w:p>
    <w:p xmlns:wp14="http://schemas.microsoft.com/office/word/2010/wordml" w:rsidP="023F1450" wp14:paraId="20308A1E" wp14:textId="7880BBBF">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In summary, workforce shortages and staff burnout represent a complex and pressing challenge within the UK health and social care sector. The issue affects multiple stakeholders and has significant implications for service delivery and patient outcomes. The selected sources provide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a strong evidence</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base for further research, highlighting the need for effective and sustainable solutions.</w:t>
      </w:r>
    </w:p>
    <w:p xmlns:wp14="http://schemas.microsoft.com/office/word/2010/wordml" w:rsidP="023F1450" wp14:paraId="6CABCD9C" wp14:textId="22543A9D">
      <w:pPr>
        <w:rPr>
          <w:rFonts w:ascii="Arial Nova" w:hAnsi="Arial Nova" w:eastAsia="Arial Nova" w:cs="Arial Nova" w:asciiTheme="minorAscii" w:hAnsiTheme="minorAscii" w:eastAsiaTheme="minorAscii" w:cstheme="minorAscii"/>
          <w:b w:val="0"/>
          <w:bCs w:val="0"/>
          <w:sz w:val="22"/>
          <w:szCs w:val="22"/>
        </w:rPr>
      </w:pPr>
    </w:p>
    <w:p xmlns:wp14="http://schemas.microsoft.com/office/word/2010/wordml" w:rsidP="023F1450" wp14:paraId="65C41278" wp14:textId="0B149575">
      <w:pPr>
        <w:pStyle w:val="Heading2"/>
        <w:spacing w:before="299" w:beforeAutospacing="off" w:after="299" w:afterAutospacing="off"/>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r w:rsidRPr="023F1450" w:rsidR="148FB0E9">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Research Methodologies</w:t>
      </w:r>
    </w:p>
    <w:p xmlns:wp14="http://schemas.microsoft.com/office/word/2010/wordml" w:rsidP="023F1450" wp14:paraId="292EF974" wp14:textId="6026EEED">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Research methodologies are broadly categorised into quantitative and qualitative approaches. Quantitative research focuses on numerical data and statistical analysis, aiming to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identify</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patterns, relationships, and trends (Bryman, 2016). It typically involves structured methods such as surveys and experiments, allowing for generalisable findings across large populations.</w:t>
      </w:r>
    </w:p>
    <w:p xmlns:wp14="http://schemas.microsoft.com/office/word/2010/wordml" w:rsidP="023F1450" wp14:paraId="26D768C1" wp14:textId="3A6EF080">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Qualitative research, in contrast, explores experiences,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perceptions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and social contexts. It involves non</w:t>
      </w:r>
      <w:r w:rsidRPr="023F1450" w:rsidR="00F966D6">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numerical data collected through methods such as interviews, focus groups, and observations (Creswell, 2018). This approach is more flexible and is particularly useful for understanding complex human behaviours and experiences.</w:t>
      </w:r>
    </w:p>
    <w:p xmlns:wp14="http://schemas.microsoft.com/office/word/2010/wordml" w:rsidP="023F1450" wp14:paraId="1D53AC55" wp14:textId="5A4040EF">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The key difference between these approaches lies in their purpose. Quantitative research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seeks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to measure and quantify variables, while qualitative research aims to interpret and understand meaning. Both approaches have strengths and limitations, making them suitable for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different types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of research questions.</w:t>
      </w:r>
    </w:p>
    <w:p xmlns:wp14="http://schemas.microsoft.com/office/word/2010/wordml" w:rsidP="023F1450" wp14:paraId="67EC193F" wp14:textId="7C3A30D1">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For this study, a mixed</w:t>
      </w:r>
      <w:r w:rsidRPr="023F1450" w:rsidR="0C77E452">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methods approach will be adopted. This involves combining both quantitative and qualitative methods to provide a more comprehensive understanding of workforce shortages and burnout. Quantitative data, such as vacancy rates and staff turnover, will help to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establish</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the scale of the issue (Office for National Statistics, 2023). Qualitative data, such as interviews with healthcare professionals, will provide insight into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personal experiences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and the causes of burnout (West et al., 2020).</w:t>
      </w:r>
    </w:p>
    <w:p xmlns:wp14="http://schemas.microsoft.com/office/word/2010/wordml" w:rsidP="023F1450" wp14:paraId="7A44BF0E" wp14:textId="595385D5">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The justification for using a mixed</w:t>
      </w:r>
      <w:r w:rsidRPr="023F1450" w:rsidR="54D53CDE">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methods approach is that it allows for both breadth and depth of analysis. Given the complexity of the issue, relying on a single method would be insufficient. Combining both approaches enhances the validity and reliability of the research findings.</w:t>
      </w:r>
    </w:p>
    <w:p xmlns:wp14="http://schemas.microsoft.com/office/word/2010/wordml" w:rsidP="023F1450" wp14:paraId="0F04004C" wp14:textId="66B9F82A">
      <w:pPr>
        <w:rPr>
          <w:rFonts w:ascii="Arial Nova" w:hAnsi="Arial Nova" w:eastAsia="Arial Nova" w:cs="Arial Nova" w:asciiTheme="minorAscii" w:hAnsiTheme="minorAscii" w:eastAsiaTheme="minorAscii" w:cstheme="minorAscii"/>
          <w:b w:val="0"/>
          <w:bCs w:val="0"/>
          <w:sz w:val="22"/>
          <w:szCs w:val="22"/>
        </w:rPr>
      </w:pPr>
    </w:p>
    <w:p xmlns:wp14="http://schemas.microsoft.com/office/word/2010/wordml" w:rsidP="023F1450" wp14:paraId="60131E26" wp14:textId="39A727C3">
      <w:pPr>
        <w:pStyle w:val="Heading2"/>
        <w:spacing w:before="299" w:beforeAutospacing="off" w:after="299"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 xml:space="preserve">Data Collection </w:t>
      </w:r>
    </w:p>
    <w:p xmlns:wp14="http://schemas.microsoft.com/office/word/2010/wordml" w:rsidP="023F1450" wp14:paraId="0B51EAAF" wp14:textId="62E63EDD">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Data collection methods are divided into primary and secondary data. Primary data is collected directly by the researcher for a specific purpose and includes methods such as interviews, surveys, and observations (Saunders et al., 2019). It provides first</w:t>
      </w:r>
      <w:r w:rsidRPr="023F1450" w:rsidR="2BD68403">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hand, relevant insights but can be time</w:t>
      </w:r>
      <w:r w:rsidRPr="023F1450" w:rsidR="316F83DD">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consuming and resource</w:t>
      </w:r>
      <w:r w:rsidRPr="023F1450" w:rsidR="705B4CC4">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intensive.</w:t>
      </w:r>
    </w:p>
    <w:p xmlns:wp14="http://schemas.microsoft.com/office/word/2010/wordml" w:rsidP="023F1450" wp14:paraId="5A6A1311" wp14:textId="431020CF">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Secondary data refers to information that has already been collected by other researchers or organisations. This includes academic journals, government reports, and statistical databases (Bryman, 2016). Secondary data is cost</w:t>
      </w:r>
      <w:r w:rsidRPr="023F1450" w:rsidR="23569273">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effective and easily accessible, but it may not fully align with the research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objectives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w:t>
      </w:r>
    </w:p>
    <w:p xmlns:wp14="http://schemas.microsoft.com/office/word/2010/wordml" w:rsidP="023F1450" wp14:paraId="7C34A00B" wp14:textId="7B587C94">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For this research, a combination of primary and secondary data will be used. Secondary data from organisations such as the Office for National Statistics, The King's Fund, and Nuffield Trust will provide </w:t>
      </w:r>
      <w:r w:rsidRPr="023F1450" w:rsidR="076E037A">
        <w:rPr>
          <w:rFonts w:ascii="Arial Nova" w:hAnsi="Arial Nova" w:eastAsia="Arial Nova" w:cs="Arial Nova" w:asciiTheme="minorAscii" w:hAnsiTheme="minorAscii" w:eastAsiaTheme="minorAscii" w:cstheme="minorAscii"/>
          <w:b w:val="0"/>
          <w:bCs w:val="0"/>
          <w:noProof w:val="0"/>
          <w:sz w:val="22"/>
          <w:szCs w:val="22"/>
          <w:lang w:val="en-GB"/>
        </w:rPr>
        <w:t>strong evidence</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base on workforce trends and policy issues. This ensures that the research is grounded in reliable and up</w:t>
      </w:r>
      <w:r w:rsidRPr="023F1450" w:rsidR="2F4E7161">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to</w:t>
      </w:r>
      <w:r w:rsidRPr="023F1450" w:rsidR="423C19BC">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date information.</w:t>
      </w:r>
    </w:p>
    <w:p xmlns:wp14="http://schemas.microsoft.com/office/word/2010/wordml" w:rsidP="023F1450" wp14:paraId="6F9AADEE" wp14:textId="6B731E1C">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In addition, primary data will be collected through semi-structured interviews with healthcare professionals. This method allows participants to share their experiences in detail,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providing</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valuable insights into the causes and effects of burnout (Creswell, 2018).</w:t>
      </w:r>
    </w:p>
    <w:p xmlns:wp14="http://schemas.microsoft.com/office/word/2010/wordml" w:rsidP="023F1450" wp14:paraId="2C640250" wp14:textId="3B49EDEF">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The use of both primary and secondary data is justified as it strengthens the research. Secondary data provides a broad overview, while primary data adds depth and context. Together, they enable a more comprehensive and meaningful analysis of the issue.</w:t>
      </w:r>
    </w:p>
    <w:p xmlns:wp14="http://schemas.microsoft.com/office/word/2010/wordml" w:rsidP="023F1450" wp14:paraId="2C36542D" wp14:textId="35B51BB6">
      <w:pPr>
        <w:rPr>
          <w:rFonts w:ascii="Arial Nova" w:hAnsi="Arial Nova" w:eastAsia="Arial Nova" w:cs="Arial Nova" w:asciiTheme="minorAscii" w:hAnsiTheme="minorAscii" w:eastAsiaTheme="minorAscii" w:cstheme="minorAscii"/>
          <w:b w:val="0"/>
          <w:bCs w:val="0"/>
          <w:sz w:val="22"/>
          <w:szCs w:val="22"/>
        </w:rPr>
      </w:pPr>
    </w:p>
    <w:p xmlns:wp14="http://schemas.microsoft.com/office/word/2010/wordml" w:rsidP="023F1450" wp14:paraId="6A9C06F6" wp14:textId="427B220F">
      <w:pPr>
        <w:pStyle w:val="Heading2"/>
        <w:spacing w:before="299" w:beforeAutospacing="off" w:after="299" w:afterAutospacing="off"/>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r w:rsidRPr="023F1450" w:rsidR="148FB0E9">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 xml:space="preserve">Conclusion </w:t>
      </w:r>
    </w:p>
    <w:p xmlns:wp14="http://schemas.microsoft.com/office/word/2010/wordml" w:rsidP="023F1450" wp14:paraId="1258E2F9" wp14:textId="33952D54">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In conclusion, workforce shortages and staff burnout are critical challenges within the UK health and social care sector. These issues significantly affect patients, healthcare professionals, and organisations such as the National Health Service. The report has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demonstrated</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the importance of researching this topic, supported by credible sources including the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The</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King's Fund, Nuffield Trust, and the Office for National Statistics. A mixed-methods approach has been identified as the most appropriate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methodology</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allowing for both statistical analysis and exploration of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personal experiences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Furthermore, the combination of primary and secondary data enhances the reliability and depth of the research. Addressing workforce challenges is essential to improving care quality, supporting staff wellbeing, and ensuring the long-term sustainability of health and social care services in the UK.</w:t>
      </w:r>
    </w:p>
    <w:p xmlns:wp14="http://schemas.microsoft.com/office/word/2010/wordml" w:rsidP="023F1450" wp14:paraId="358251C5" wp14:textId="0174AD94">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4ABB8EFF" wp14:textId="2FF5200A">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05803707" wp14:textId="25868310">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08FBE9F1" wp14:textId="17BC700F">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36530632" wp14:textId="6DC4947E">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737CF2BA" wp14:textId="16A6E3B1">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4105CBD1" wp14:textId="32F7E920">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1E37139F" wp14:textId="1F12C901">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7F3B963F" wp14:textId="51620B83">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53F45720" wp14:textId="59AE43F5">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7572C36A" wp14:textId="48647450">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185F6920" wp14:textId="50F87A37">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58155440" wp14:textId="7F9DC950">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0E1E2005" wp14:textId="13984C0E">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42AB8667" wp14:textId="49FEFDDA">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53694684" wp14:textId="12EB3C13">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p>
    <w:p xmlns:wp14="http://schemas.microsoft.com/office/word/2010/wordml" w:rsidP="023F1450" wp14:paraId="0C8FDD8F" wp14:textId="61863911">
      <w:pPr>
        <w:rPr>
          <w:rFonts w:ascii="Arial Nova" w:hAnsi="Arial Nova" w:eastAsia="Arial Nova" w:cs="Arial Nova" w:asciiTheme="minorAscii" w:hAnsiTheme="minorAscii" w:eastAsiaTheme="minorAscii" w:cstheme="minorAscii"/>
          <w:b w:val="0"/>
          <w:bCs w:val="0"/>
          <w:color w:val="000000" w:themeColor="text1" w:themeTint="FF" w:themeShade="FF"/>
          <w:sz w:val="22"/>
          <w:szCs w:val="22"/>
        </w:rPr>
      </w:pPr>
    </w:p>
    <w:p xmlns:wp14="http://schemas.microsoft.com/office/word/2010/wordml" w:rsidP="023F1450" wp14:paraId="6DFD56E6" wp14:textId="5E372B38">
      <w:pPr>
        <w:pStyle w:val="Heading2"/>
        <w:spacing w:before="299" w:beforeAutospacing="off" w:after="299" w:afterAutospacing="off"/>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r w:rsidRPr="023F1450" w:rsidR="148FB0E9">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t>Harvard References</w:t>
      </w:r>
    </w:p>
    <w:p xmlns:wp14="http://schemas.microsoft.com/office/word/2010/wordml" w:rsidP="023F1450" wp14:paraId="6D0E7E19" wp14:textId="37591467">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Aiken, L.H. et al. (2014) ‘Nurse staffing and education and hospital mortality’,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The Lancet</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383(9931), pp. 1824–1830.</w:t>
      </w:r>
    </w:p>
    <w:p xmlns:wp14="http://schemas.microsoft.com/office/word/2010/wordml" w:rsidP="023F1450" wp14:paraId="42206176" wp14:textId="4BD4F93B">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Bryman, A. (2016)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Social Research Methods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5th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edn</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Oxford: Oxford University Press.</w:t>
      </w:r>
    </w:p>
    <w:p xmlns:wp14="http://schemas.microsoft.com/office/word/2010/wordml" w:rsidP="023F1450" wp14:paraId="77D9D584" wp14:textId="05C08F32">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Buchan, J. et al. (2022)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NHS workforce projections and trends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London: Health Foundation.</w:t>
      </w:r>
    </w:p>
    <w:p xmlns:wp14="http://schemas.microsoft.com/office/word/2010/wordml" w:rsidP="023F1450" wp14:paraId="145ADA2F" wp14:textId="21F2A522">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Creswell, J.W. (2018)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Research Design: Qualitative, Quantitative, and Mixed Methods Approaches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5th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edn</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London: Sage.</w:t>
      </w:r>
    </w:p>
    <w:p xmlns:wp14="http://schemas.microsoft.com/office/word/2010/wordml" w:rsidP="023F1450" wp14:paraId="0C63C996" wp14:textId="0E0C2EC4">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Dyrbye, L.N. et al. (2017) ‘Burnout among healthcare professionals’,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Journal of Internal Medicine</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283(6), pp. 516–529.</w:t>
      </w:r>
    </w:p>
    <w:p xmlns:wp14="http://schemas.microsoft.com/office/word/2010/wordml" w:rsidP="023F1450" wp14:paraId="3AF8A972" wp14:textId="1167F351">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NHS England (2023)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NHS workforce statistics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London: NHS England.</w:t>
      </w:r>
    </w:p>
    <w:p xmlns:wp14="http://schemas.microsoft.com/office/word/2010/wordml" w:rsidP="023F1450" wp14:paraId="63A4A198" wp14:textId="203EEF8C">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Nuffield Trust (2022)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The NHS workforce challenge</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London: Nuffield Trust.</w:t>
      </w:r>
    </w:p>
    <w:p xmlns:wp14="http://schemas.microsoft.com/office/word/2010/wordml" w:rsidP="023F1450" wp14:paraId="035E121A" wp14:textId="5814A8F5">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Office for National Statistics (2023)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Employment in the UK</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London: ONS.</w:t>
      </w:r>
    </w:p>
    <w:p xmlns:wp14="http://schemas.microsoft.com/office/word/2010/wordml" w:rsidP="023F1450" wp14:paraId="19B9ED64" wp14:textId="052F5933">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Saunders, M., Lewis,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P.</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and Thornhill, A. (2019)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Research Methods for Business Students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 8th </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edn</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Harlow: Pearson.</w:t>
      </w:r>
    </w:p>
    <w:p xmlns:wp14="http://schemas.microsoft.com/office/word/2010/wordml" w:rsidP="023F1450" wp14:paraId="678C83D7" wp14:textId="0CEC5F45">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The King’s Fund (2023)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NHS workforce: our position</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London: The King’s Fund.</w:t>
      </w:r>
    </w:p>
    <w:p xmlns:wp14="http://schemas.microsoft.com/office/word/2010/wordml" w:rsidP="023F1450" wp14:paraId="7E4A39E4" wp14:textId="0042E3E1">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West, M. et al. (2020)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Caring for doctors, caring for patients</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London: General Medical Council.</w:t>
      </w:r>
    </w:p>
    <w:p xmlns:wp14="http://schemas.microsoft.com/office/word/2010/wordml" w:rsidP="023F1450" wp14:paraId="7C1ED70A" wp14:textId="1B1DEFC0">
      <w:pPr>
        <w:spacing w:before="240" w:beforeAutospacing="off" w:after="240" w:afterAutospacing="off"/>
        <w:rPr>
          <w:rFonts w:ascii="Arial Nova" w:hAnsi="Arial Nova" w:eastAsia="Arial Nova" w:cs="Arial Nova" w:asciiTheme="minorAscii" w:hAnsiTheme="minorAscii" w:eastAsiaTheme="minorAscii" w:cstheme="minorAscii"/>
          <w:b w:val="0"/>
          <w:bCs w:val="0"/>
          <w:noProof w:val="0"/>
          <w:sz w:val="22"/>
          <w:szCs w:val="22"/>
          <w:lang w:val="en-GB"/>
        </w:rPr>
      </w:pP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xml:space="preserve">World Health Organization (2019) </w:t>
      </w:r>
      <w:r w:rsidRPr="023F1450" w:rsidR="148FB0E9">
        <w:rPr>
          <w:rFonts w:ascii="Arial Nova" w:hAnsi="Arial Nova" w:eastAsia="Arial Nova" w:cs="Arial Nova" w:asciiTheme="minorAscii" w:hAnsiTheme="minorAscii" w:eastAsiaTheme="minorAscii" w:cstheme="minorAscii"/>
          <w:b w:val="0"/>
          <w:bCs w:val="0"/>
          <w:i w:val="1"/>
          <w:iCs w:val="1"/>
          <w:noProof w:val="0"/>
          <w:sz w:val="22"/>
          <w:szCs w:val="22"/>
          <w:lang w:val="en-GB"/>
        </w:rPr>
        <w:t>Burn-out an occupational phenomenon</w:t>
      </w:r>
      <w:r w:rsidRPr="023F1450" w:rsidR="148FB0E9">
        <w:rPr>
          <w:rFonts w:ascii="Arial Nova" w:hAnsi="Arial Nova" w:eastAsia="Arial Nova" w:cs="Arial Nova" w:asciiTheme="minorAscii" w:hAnsiTheme="minorAscii" w:eastAsiaTheme="minorAscii" w:cstheme="minorAscii"/>
          <w:b w:val="0"/>
          <w:bCs w:val="0"/>
          <w:noProof w:val="0"/>
          <w:sz w:val="22"/>
          <w:szCs w:val="22"/>
          <w:lang w:val="en-GB"/>
        </w:rPr>
        <w:t>. Geneva: WHO.</w:t>
      </w:r>
    </w:p>
    <w:p xmlns:wp14="http://schemas.microsoft.com/office/word/2010/wordml" w:rsidP="023F1450" wp14:paraId="5E5787A5" wp14:textId="75C81034">
      <w:pPr>
        <w:rPr>
          <w:rFonts w:ascii="Arial Nova" w:hAnsi="Arial Nova" w:eastAsia="Arial Nova" w:cs="Arial Nova" w:asciiTheme="minorAscii" w:hAnsiTheme="minorAscii" w:eastAsiaTheme="minorAscii" w:cstheme="minorAscii"/>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9489DF"/>
    <w:rsid w:val="00F966D6"/>
    <w:rsid w:val="023F1450"/>
    <w:rsid w:val="04749D69"/>
    <w:rsid w:val="076E037A"/>
    <w:rsid w:val="0C77E452"/>
    <w:rsid w:val="0F294480"/>
    <w:rsid w:val="148FB0E9"/>
    <w:rsid w:val="23569273"/>
    <w:rsid w:val="2AEF1065"/>
    <w:rsid w:val="2BD68403"/>
    <w:rsid w:val="2E3AE96B"/>
    <w:rsid w:val="2E5EA14E"/>
    <w:rsid w:val="2F4E7161"/>
    <w:rsid w:val="316F83DD"/>
    <w:rsid w:val="419489DF"/>
    <w:rsid w:val="423C19BC"/>
    <w:rsid w:val="4E1A82AC"/>
    <w:rsid w:val="4E918245"/>
    <w:rsid w:val="50013153"/>
    <w:rsid w:val="51908A26"/>
    <w:rsid w:val="52B63478"/>
    <w:rsid w:val="54D53CDE"/>
    <w:rsid w:val="5735035B"/>
    <w:rsid w:val="5A096296"/>
    <w:rsid w:val="5FC35554"/>
    <w:rsid w:val="600BE597"/>
    <w:rsid w:val="6118D66F"/>
    <w:rsid w:val="62C011C6"/>
    <w:rsid w:val="656F691A"/>
    <w:rsid w:val="65A8E4BA"/>
    <w:rsid w:val="69906F78"/>
    <w:rsid w:val="6AF630E5"/>
    <w:rsid w:val="6FF78005"/>
    <w:rsid w:val="705B4CC4"/>
    <w:rsid w:val="70F88D7B"/>
    <w:rsid w:val="71990FA5"/>
    <w:rsid w:val="73C7C604"/>
    <w:rsid w:val="765AF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489DF"/>
  <w15:chartTrackingRefBased/>
  <w15:docId w15:val="{0B971DEF-5E6B-45A7-8C60-7D391BA6C5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23F145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Angy Carolan (2509406)</dc:creator>
  <keywords/>
  <dc:description/>
  <lastModifiedBy>Angy Carolan (2509406)</lastModifiedBy>
  <revision>2</revision>
  <dcterms:created xsi:type="dcterms:W3CDTF">2026-04-01T21:25:59.9580865Z</dcterms:created>
  <dcterms:modified xsi:type="dcterms:W3CDTF">2026-04-01T21:36:40.2869433Z</dcterms:modified>
</coreProperties>
</file>