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C61FD6" w14:textId="77777777" w:rsidR="00884EF7" w:rsidRDefault="00884EF7" w:rsidP="00884EF7">
      <w:pPr>
        <w:jc w:val="center"/>
        <w:rPr>
          <w:b/>
          <w:bCs/>
          <w:sz w:val="48"/>
          <w:szCs w:val="48"/>
        </w:rPr>
      </w:pPr>
    </w:p>
    <w:p w14:paraId="79C00C30" w14:textId="77777777" w:rsidR="00884EF7" w:rsidRDefault="00884EF7" w:rsidP="00884EF7">
      <w:pPr>
        <w:jc w:val="center"/>
        <w:rPr>
          <w:b/>
          <w:bCs/>
          <w:sz w:val="36"/>
          <w:szCs w:val="36"/>
        </w:rPr>
      </w:pPr>
      <w:r>
        <w:rPr>
          <w:b/>
          <w:bCs/>
          <w:sz w:val="36"/>
          <w:szCs w:val="36"/>
        </w:rPr>
        <w:t>Module: International Financial Management</w:t>
      </w:r>
    </w:p>
    <w:p w14:paraId="57A07729" w14:textId="77777777" w:rsidR="00884EF7" w:rsidRDefault="00884EF7" w:rsidP="00884EF7">
      <w:pPr>
        <w:jc w:val="center"/>
        <w:rPr>
          <w:b/>
          <w:bCs/>
          <w:sz w:val="36"/>
          <w:szCs w:val="36"/>
        </w:rPr>
      </w:pPr>
      <w:r>
        <w:rPr>
          <w:b/>
          <w:bCs/>
          <w:sz w:val="36"/>
          <w:szCs w:val="36"/>
        </w:rPr>
        <w:t>Module code: LCBB6002</w:t>
      </w:r>
    </w:p>
    <w:p w14:paraId="4208451F" w14:textId="77777777" w:rsidR="00884EF7" w:rsidRDefault="00884EF7" w:rsidP="00884EF7">
      <w:pPr>
        <w:jc w:val="center"/>
        <w:rPr>
          <w:b/>
          <w:bCs/>
          <w:sz w:val="36"/>
          <w:szCs w:val="36"/>
        </w:rPr>
      </w:pPr>
      <w:r>
        <w:rPr>
          <w:b/>
          <w:bCs/>
          <w:sz w:val="36"/>
          <w:szCs w:val="36"/>
        </w:rPr>
        <w:t>Assessment 1</w:t>
      </w:r>
    </w:p>
    <w:p w14:paraId="17F5ADDA" w14:textId="77777777" w:rsidR="000039AC" w:rsidRDefault="000039AC" w:rsidP="00884EF7"/>
    <w:p w14:paraId="7D80AD22" w14:textId="77777777" w:rsidR="000039AC" w:rsidRDefault="000039AC" w:rsidP="00884EF7"/>
    <w:p w14:paraId="399BCDA6" w14:textId="77777777" w:rsidR="000039AC" w:rsidRDefault="000039AC" w:rsidP="00884EF7"/>
    <w:p w14:paraId="45100FA0" w14:textId="77777777" w:rsidR="000039AC" w:rsidRDefault="000039AC" w:rsidP="00884EF7"/>
    <w:p w14:paraId="31FB4147" w14:textId="77777777" w:rsidR="000039AC" w:rsidRDefault="000039AC" w:rsidP="00884EF7"/>
    <w:p w14:paraId="2A5C3796" w14:textId="77777777" w:rsidR="000039AC" w:rsidRDefault="000039AC" w:rsidP="00884EF7"/>
    <w:p w14:paraId="147AAC4A" w14:textId="77777777" w:rsidR="000039AC" w:rsidRDefault="000039AC" w:rsidP="00884EF7"/>
    <w:p w14:paraId="737B2F6E" w14:textId="77777777" w:rsidR="000039AC" w:rsidRDefault="000039AC" w:rsidP="00884EF7"/>
    <w:p w14:paraId="7F4F2175" w14:textId="77777777" w:rsidR="000039AC" w:rsidRDefault="000039AC" w:rsidP="00884EF7"/>
    <w:p w14:paraId="7DADD9E8" w14:textId="77777777" w:rsidR="000039AC" w:rsidRDefault="000039AC" w:rsidP="00884EF7"/>
    <w:p w14:paraId="012911A8" w14:textId="77777777" w:rsidR="000039AC" w:rsidRDefault="000039AC" w:rsidP="00884EF7"/>
    <w:p w14:paraId="7E6ECE7B" w14:textId="77777777" w:rsidR="000039AC" w:rsidRPr="000039AC" w:rsidRDefault="000039AC" w:rsidP="000039AC">
      <w:pPr>
        <w:rPr>
          <w:rFonts w:eastAsia="Calibri"/>
          <w:sz w:val="28"/>
          <w:szCs w:val="28"/>
        </w:rPr>
      </w:pPr>
      <w:r w:rsidRPr="000039AC">
        <w:rPr>
          <w:rFonts w:eastAsia="Calibri"/>
          <w:sz w:val="28"/>
          <w:szCs w:val="28"/>
        </w:rPr>
        <w:t xml:space="preserve">Student Name: Radostina Ilieva </w:t>
      </w:r>
    </w:p>
    <w:p w14:paraId="7BF43A65" w14:textId="77777777" w:rsidR="000039AC" w:rsidRPr="000039AC" w:rsidRDefault="000039AC" w:rsidP="000039AC">
      <w:pPr>
        <w:rPr>
          <w:rFonts w:eastAsia="Calibri"/>
          <w:sz w:val="28"/>
          <w:szCs w:val="28"/>
        </w:rPr>
      </w:pPr>
      <w:r w:rsidRPr="000039AC">
        <w:rPr>
          <w:rFonts w:eastAsia="Calibri"/>
          <w:sz w:val="28"/>
          <w:szCs w:val="28"/>
        </w:rPr>
        <w:t>Student ID: 1921577</w:t>
      </w:r>
    </w:p>
    <w:p w14:paraId="52509F4F" w14:textId="1F970857" w:rsidR="00884EF7" w:rsidRDefault="00884EF7" w:rsidP="00884EF7">
      <w:r>
        <w:br w:type="page"/>
      </w:r>
    </w:p>
    <w:p w14:paraId="1E781E95" w14:textId="77777777" w:rsidR="000039AC" w:rsidRDefault="000039AC" w:rsidP="00884EF7"/>
    <w:p w14:paraId="79FC8CDC" w14:textId="6591163B" w:rsidR="00884EF7" w:rsidRDefault="00884EF7" w:rsidP="00884EF7">
      <w:r>
        <w:t xml:space="preserve">In this age of </w:t>
      </w:r>
      <w:r w:rsidR="00797EE9">
        <w:t>globalisation</w:t>
      </w:r>
      <w:r>
        <w:t xml:space="preserve">, international business has become prominent. So, international financial management has come along with the international. In this essay, a different perspective of international financial management will be started from the perspective of Unilever plc a London-based British multinational consumer products corporation. Food, condiments, ice cream, cleaning agents, cosmetic goods, and personal care are among the items manufactured by Unilever. Unilever is the biggest soap manufacturer in the world, and its products are sold in around 190 countries (Our company, 2022). </w:t>
      </w:r>
    </w:p>
    <w:p w14:paraId="68B4DB17" w14:textId="2AA01F40" w:rsidR="00884EF7" w:rsidRDefault="00884EF7" w:rsidP="00884EF7">
      <w:r>
        <w:t xml:space="preserve">International financial management, commonly referred to as international finance, is the administration of finances in an international corporate context; more specifically, it refers to the act of trading and earning money via the exchange of different national currencies. The </w:t>
      </w:r>
      <w:r w:rsidR="00FF0A91">
        <w:t>o</w:t>
      </w:r>
      <w:r w:rsidR="00797EE9">
        <w:t>rganisations</w:t>
      </w:r>
      <w:r>
        <w:t xml:space="preserve"> are better able to engage with foreign business partners, whether they be clients, suppliers, or financiers, thanks to the </w:t>
      </w:r>
      <w:r w:rsidR="00FF0A91">
        <w:t>o</w:t>
      </w:r>
      <w:r w:rsidR="00797EE9">
        <w:t>rganisations</w:t>
      </w:r>
      <w:r>
        <w:t xml:space="preserve">' participation in international financial operations. Additionally, it is used by governmental </w:t>
      </w:r>
      <w:r w:rsidR="00FF0A91">
        <w:t>o</w:t>
      </w:r>
      <w:r w:rsidR="00797EE9">
        <w:t>rganisations</w:t>
      </w:r>
      <w:r>
        <w:t xml:space="preserve"> as well as non-profit </w:t>
      </w:r>
      <w:r w:rsidR="00797EE9">
        <w:t>Organisations</w:t>
      </w:r>
      <w:r>
        <w:t xml:space="preserve">. Financial management is very much important for any kind of </w:t>
      </w:r>
      <w:r w:rsidR="00FF0A91">
        <w:t>o</w:t>
      </w:r>
      <w:r w:rsidR="00797EE9">
        <w:t>rganisation</w:t>
      </w:r>
      <w:r>
        <w:t xml:space="preserve">. in the case of international </w:t>
      </w:r>
      <w:r w:rsidR="00FF0A91">
        <w:t>o</w:t>
      </w:r>
      <w:r w:rsidR="00797EE9">
        <w:t>rganisations</w:t>
      </w:r>
      <w:r>
        <w:t xml:space="preserve">, it is more important because international </w:t>
      </w:r>
      <w:r w:rsidR="00543B68">
        <w:t>o</w:t>
      </w:r>
      <w:r w:rsidR="00797EE9">
        <w:t>rganisations</w:t>
      </w:r>
      <w:r>
        <w:t xml:space="preserve"> are bigger. A wrong decision in financial management can have a very devastating effect on the </w:t>
      </w:r>
      <w:r w:rsidR="00797EE9">
        <w:t>Organisation</w:t>
      </w:r>
      <w:r>
        <w:t xml:space="preserve">. so, </w:t>
      </w:r>
      <w:r w:rsidR="00797EE9">
        <w:t>Organisations</w:t>
      </w:r>
      <w:r>
        <w:t xml:space="preserve"> must be </w:t>
      </w:r>
      <w:r>
        <w:t>careful</w:t>
      </w:r>
      <w:r>
        <w:rPr>
          <w:rFonts w:ascii="Arial" w:hAnsi="Arial" w:cs="Arial"/>
          <w:color w:val="000000"/>
          <w:sz w:val="20"/>
          <w:szCs w:val="20"/>
          <w:shd w:val="clear" w:color="auto" w:fill="FFFFFF"/>
        </w:rPr>
        <w:t xml:space="preserve"> </w:t>
      </w:r>
      <w:r>
        <w:t xml:space="preserve">(Our company, 2022). </w:t>
      </w:r>
    </w:p>
    <w:p w14:paraId="7D45F544" w14:textId="353AAA7C" w:rsidR="00884EF7" w:rsidRDefault="00884EF7" w:rsidP="00884EF7">
      <w:r>
        <w:t xml:space="preserve">International financial management </w:t>
      </w:r>
      <w:r>
        <w:t>deals</w:t>
      </w:r>
      <w:r>
        <w:t xml:space="preserve"> with three decisions: financing decisions, investment decisions, and dividend decisions. Different kinds of challenges are faced by the </w:t>
      </w:r>
      <w:r w:rsidR="00797EE9">
        <w:t>Organisations</w:t>
      </w:r>
      <w:r>
        <w:t xml:space="preserve"> from these decisions making processes. Moreover, international financial management faces some unique challenges which vary from country to country, </w:t>
      </w:r>
      <w:r w:rsidR="00797EE9">
        <w:t>Organisation</w:t>
      </w:r>
      <w:r>
        <w:t xml:space="preserve"> to </w:t>
      </w:r>
      <w:r w:rsidR="00797EE9">
        <w:t>Organisation</w:t>
      </w:r>
      <w:r>
        <w:t xml:space="preserve">. in the case of international financial management first problem comes from the listing in the local share market. every country has some rules and regulations for the listing of an </w:t>
      </w:r>
      <w:r w:rsidR="00543B68">
        <w:t>o</w:t>
      </w:r>
      <w:r w:rsidR="00797EE9">
        <w:t>rganisation</w:t>
      </w:r>
      <w:r>
        <w:rPr>
          <w:rFonts w:ascii="Arial" w:hAnsi="Arial" w:cs="Arial"/>
          <w:color w:val="000000"/>
          <w:sz w:val="20"/>
          <w:szCs w:val="20"/>
          <w:shd w:val="clear" w:color="auto" w:fill="FFFFFF"/>
        </w:rPr>
        <w:t xml:space="preserve"> </w:t>
      </w:r>
      <w:r>
        <w:t xml:space="preserve">(Kaufman, 2017). sometimes, fulfilling the legal requirement become challenging for the </w:t>
      </w:r>
      <w:r w:rsidR="00797EE9">
        <w:t>Organisation</w:t>
      </w:r>
      <w:r>
        <w:t xml:space="preserve">. for example: when Unilever applied for listing in the Bangladeshi share market called the Dhaka Stock </w:t>
      </w:r>
      <w:r>
        <w:t>Exchange (</w:t>
      </w:r>
      <w:r>
        <w:t xml:space="preserve">DSE), Unilever had to obey the rules imposed by </w:t>
      </w:r>
      <w:r>
        <w:t>the DSE</w:t>
      </w:r>
      <w:r>
        <w:t>. DSE asked for many disclosures as part of a regulatory requirement that Unilever did not want to share Unilever did not want to disclose because of strategic reasons. So, the DSE authority did not accept their application. This is not the case only for Bangladesh</w:t>
      </w:r>
      <w:r>
        <w:rPr>
          <w:rFonts w:ascii="Arial" w:hAnsi="Arial" w:cs="Arial"/>
          <w:color w:val="000000"/>
          <w:sz w:val="20"/>
          <w:szCs w:val="20"/>
          <w:shd w:val="clear" w:color="auto" w:fill="FFFFFF"/>
        </w:rPr>
        <w:t xml:space="preserve"> </w:t>
      </w:r>
      <w:r>
        <w:t xml:space="preserve">(Zayed and Nahar, 2016). Unilever may face the same problem in other countries too. Many Asian especially </w:t>
      </w:r>
      <w:r>
        <w:lastRenderedPageBreak/>
        <w:t xml:space="preserve">Asian countries have strict rules regarding MNCs. They have many specific regulations about the share market. they have some conditions regarding the use of the funds raised from their country raised through the share market. In the case of IFM, sometimes </w:t>
      </w:r>
      <w:r w:rsidR="00543B68">
        <w:t>o</w:t>
      </w:r>
      <w:r w:rsidR="00797EE9">
        <w:t>rganisations</w:t>
      </w:r>
      <w:r>
        <w:t xml:space="preserve"> face problems regarding funding and investment decision. The </w:t>
      </w:r>
      <w:r w:rsidR="00543B68">
        <w:t>o</w:t>
      </w:r>
      <w:r w:rsidR="00797EE9">
        <w:t>rganisation</w:t>
      </w:r>
      <w:r>
        <w:t xml:space="preserve"> sometimes does not get enough funding. </w:t>
      </w:r>
    </w:p>
    <w:p w14:paraId="7FDF31D4" w14:textId="3935285E" w:rsidR="00884EF7" w:rsidRDefault="00884EF7" w:rsidP="00884EF7">
      <w:r>
        <w:t xml:space="preserve">The dividend policy of an </w:t>
      </w:r>
      <w:r w:rsidR="00543B68">
        <w:t>o</w:t>
      </w:r>
      <w:r w:rsidR="00797EE9">
        <w:t>rganisation</w:t>
      </w:r>
      <w:r>
        <w:t xml:space="preserve"> is very much important in the case of international financial management. all the </w:t>
      </w:r>
      <w:r w:rsidR="00543B68">
        <w:t>o</w:t>
      </w:r>
      <w:r w:rsidR="00797EE9">
        <w:t>rganisation</w:t>
      </w:r>
      <w:r>
        <w:t xml:space="preserve"> has to spend a lot of energy in case of formulating the dividend policy formulation. So, a lot of theories have evolved regarding dividend policy, and Modigliani- Miller's Theory on Dividend Irrelevance is one of them. It asserts that the dividend distribution of a company is irrelevant to its value. Even if dividends are paid or retained by a corporation for an unlimited number of years, the firm's worth will stay unchanged. Miller and Modigliani proposed that the dividend policy is unimportant in a perfect share market. They argued that a company's dividend policy had no impact on its stock price or value. They explained this theory through a concept called the </w:t>
      </w:r>
      <w:r>
        <w:rPr>
          <w:i/>
          <w:iCs/>
        </w:rPr>
        <w:t>homemade dividend</w:t>
      </w:r>
      <w:r>
        <w:rPr>
          <w:rFonts w:ascii="Arial" w:hAnsi="Arial" w:cs="Arial"/>
          <w:color w:val="000000"/>
          <w:sz w:val="20"/>
          <w:szCs w:val="20"/>
          <w:shd w:val="clear" w:color="auto" w:fill="FFFFFF"/>
        </w:rPr>
        <w:t xml:space="preserve"> </w:t>
      </w:r>
      <w:r>
        <w:rPr>
          <w:i/>
          <w:iCs/>
        </w:rPr>
        <w:t>(Mendes, 2019)</w:t>
      </w:r>
      <w:r>
        <w:t>. It implies that a shareholder may earn the same amount of money as dividends by selling shares on the market. Therefore, investors are indifferent to a company's dividend distribution policy. But in reality, is different they pay a dividend at a very steady rate. They pay dividends regularly</w:t>
      </w:r>
      <w:r>
        <w:t xml:space="preserve">. </w:t>
      </w:r>
      <w:r>
        <w:t xml:space="preserve">According to the most current information available as of July 2022, Unilever paid dividends per share totalling $1.73 during the last 12 months. This is a dividend yield of 3.70 percent based on the current stock price of 46.63 USD. </w:t>
      </w:r>
    </w:p>
    <w:p w14:paraId="3087833C" w14:textId="167ADAF5" w:rsidR="00884EF7" w:rsidRDefault="00884EF7" w:rsidP="00884EF7">
      <w:r>
        <w:t xml:space="preserve">Unilever distributes dividends four times a year. The months of payment are March, June, September, and December. Last year, Unilever did not enhance its dividend. In the last decade, Unilever has raised its revenue by 6.87 percent every year. Over five years, the dividend climbed by 3.88 percent. The </w:t>
      </w:r>
      <w:r>
        <w:t>pay-out</w:t>
      </w:r>
      <w:r>
        <w:t xml:space="preserve"> ratio is 65.6% based on free cash flow. 72.9 percent of Unilever's profits are distributed to shareholders. Our measure measuring the dividend's dependability is 0.98 out of a maximum of 1.0 (Dividend history | Investors | Unilever global company website, 2022)</w:t>
      </w:r>
      <w:r>
        <w:t xml:space="preserve">. </w:t>
      </w:r>
      <w:r>
        <w:t xml:space="preserve">So, MM theory does not hold good for Unilever. </w:t>
      </w:r>
      <w:r>
        <w:t>Signalling</w:t>
      </w:r>
      <w:r>
        <w:rPr>
          <w:i/>
          <w:iCs/>
        </w:rPr>
        <w:t xml:space="preserve"> Theory</w:t>
      </w:r>
      <w:r>
        <w:t xml:space="preserve"> is more relevant in the case of Unilever. According to this theory, the dividend </w:t>
      </w:r>
      <w:r>
        <w:t>pay-out</w:t>
      </w:r>
      <w:r>
        <w:t xml:space="preserve"> ratio is a significant indicator with "informational content" A favourable </w:t>
      </w:r>
      <w:r>
        <w:t>pay-out</w:t>
      </w:r>
      <w:r>
        <w:t xml:space="preserve"> ratio might send a positive message to the market. hence, the average dividend payment of Unilever is increasing.</w:t>
      </w:r>
    </w:p>
    <w:p w14:paraId="59C259F4" w14:textId="77777777" w:rsidR="00884EF7" w:rsidRDefault="00884EF7" w:rsidP="00884EF7">
      <w:r>
        <w:t xml:space="preserve"> </w:t>
      </w:r>
    </w:p>
    <w:p w14:paraId="1001D895" w14:textId="37EC2A7E" w:rsidR="00884EF7" w:rsidRDefault="00884EF7" w:rsidP="00884EF7">
      <w:r>
        <w:lastRenderedPageBreak/>
        <w:t xml:space="preserve">The policy of providing a percentage of free cash flow as a dividend has both merits and demerits for Unilever. As Unilever is a matured </w:t>
      </w:r>
      <w:r w:rsidR="00797EE9">
        <w:t>Organisation</w:t>
      </w:r>
      <w:r>
        <w:t xml:space="preserve">. so, it can provide a high dividend. there is nothing problem with this. But investors grow an expectation of getting highly divided and if this is not fulfilled, the investors react negatively. The price of the share may fall. This same thing happens in the case of Unilever in many countries including the UK. Last year the dividend of Unilever was reduced. so, it negatively affected the share price of Unilever. </w:t>
      </w:r>
    </w:p>
    <w:p w14:paraId="31DE9808" w14:textId="0CE4E953" w:rsidR="00884EF7" w:rsidRDefault="00884EF7" w:rsidP="00884EF7">
      <w:r>
        <w:t xml:space="preserve">The efficient market hypothesis (EMH), often known as the efficient market theory, asserts that share prices represent all available </w:t>
      </w:r>
      <w:r>
        <w:t>information,</w:t>
      </w:r>
      <w:r>
        <w:t xml:space="preserve"> and that persistent alpha production is impossible.</w:t>
      </w:r>
      <w:r w:rsidR="00797EE9">
        <w:t xml:space="preserve"> (“According to the efficient market hypothesis: a. High-beta stocks are ...”)</w:t>
      </w:r>
      <w:r>
        <w:t xml:space="preserve"> According to the EMH, stocks always trade at their fair value on exchanges, preventing investors from purchasing cheap stocks or selling overpriced equities. Therefore, it should be impossible to beat the market by skilled stock selection or market timing, and the only option for an investor to get better returns is by investing in riskier assets. Despite being a cornerstone of contemporary financial theory, the EMH is very contentious and often contested. According to believers, it is fruitless to hunt for inexpensive stocks or to attempt to forecast market movements using fundamental or technical research. Theoretically, neither technical nor fundamental analysis can consistently provide risk-adjusted excess returns (alpha), and only inside knowledge can create such returns</w:t>
      </w:r>
      <w:r>
        <w:rPr>
          <w:rFonts w:ascii="Arial" w:hAnsi="Arial" w:cs="Arial"/>
          <w:color w:val="000000"/>
          <w:sz w:val="20"/>
          <w:szCs w:val="20"/>
          <w:shd w:val="clear" w:color="auto" w:fill="FFFFFF"/>
        </w:rPr>
        <w:t xml:space="preserve"> </w:t>
      </w:r>
      <w:r>
        <w:t>(Smart, 2018). While scholars point to a huge body of research supporting EMH, there is also much disagreement. For instance, investors like Warren Buffett have repeatedly outperformed the market over extended periods, which is impossible according to the EMH. Detractors of the EMH also cite the 1987 stock market crisis, in which the Dow Jones Industrial Average (DJIA) dropped by more than 20 percent in a single day, and asset bubbles as proof that stock prices may depart significantly from their fair values</w:t>
      </w:r>
      <w:r>
        <w:rPr>
          <w:rFonts w:ascii="Arial" w:hAnsi="Arial" w:cs="Arial"/>
          <w:color w:val="000000"/>
          <w:sz w:val="20"/>
          <w:szCs w:val="20"/>
          <w:shd w:val="clear" w:color="auto" w:fill="FFFFFF"/>
        </w:rPr>
        <w:t xml:space="preserve"> </w:t>
      </w:r>
      <w:r>
        <w:t xml:space="preserve">(Rozeff, 2017). </w:t>
      </w:r>
    </w:p>
    <w:p w14:paraId="437B44D2" w14:textId="77777777" w:rsidR="00884EF7" w:rsidRDefault="00884EF7" w:rsidP="00884EF7">
      <w:r>
        <w:t xml:space="preserve">There are anomalies that the idea of the efficient market cannot explain, and which may even directly contradict it. For example, the price-to-earnings (P/E) ratio reveals that corporations trading at lower P/E multiples are often responsible for producing larger returns. The neglected company effect argues that firms that are not frequently covered by market analysts are often valued erroneously relative to their real worth, providing investors with the chance to purchase equities with untapped potential. The January effect provides historical evidence that stock values, particularly for firms with a lower market capitalization, tend to increase in January. </w:t>
      </w:r>
    </w:p>
    <w:p w14:paraId="6B0C04ED" w14:textId="7AE60049" w:rsidR="00884EF7" w:rsidRDefault="00884EF7" w:rsidP="00884EF7">
      <w:r>
        <w:lastRenderedPageBreak/>
        <w:t>The efficient market hypothesis did not work in the case of the shares of Unilever. There was high volatility in the price of the share of Unilever, especially in the markets of South Asia. Many people could make an unusual profit from the shares of Unilever, especially in the age of Covid-19</w:t>
      </w:r>
      <w:r>
        <w:t xml:space="preserve">. </w:t>
      </w:r>
    </w:p>
    <w:p w14:paraId="4725F3BB" w14:textId="47F63BD3" w:rsidR="00884EF7" w:rsidRDefault="00884EF7" w:rsidP="00884EF7">
      <w:r>
        <w:t xml:space="preserve">In an international financial management project, the approval process is a very much complicated issue. a lot of dimensions are connected with the project approval. It does not depend only on the economic or financial analysis </w:t>
      </w:r>
      <w:r>
        <w:t>the</w:t>
      </w:r>
      <w:r>
        <w:t xml:space="preserve"> socio-cultural, technical, market, management, and other issues are also related to the project approval process. The purpose of project appraisal is to determine the viability of a proposed project by </w:t>
      </w:r>
      <w:r>
        <w:t>analysing</w:t>
      </w:r>
      <w:r>
        <w:t xml:space="preserve"> its costs and benefits. It entails determining the project's viability before allocating resources. Therefore, it aids in selecting the ideal project</w:t>
      </w:r>
      <w:r>
        <w:rPr>
          <w:rFonts w:ascii="Arial" w:hAnsi="Arial" w:cs="Arial"/>
          <w:color w:val="000000"/>
          <w:sz w:val="20"/>
          <w:szCs w:val="20"/>
          <w:shd w:val="clear" w:color="auto" w:fill="FFFFFF"/>
        </w:rPr>
        <w:t xml:space="preserve"> </w:t>
      </w:r>
      <w:r>
        <w:t>(Bierman and Smidt, 2019). The economic, financial, technical, commercial, managerial, and social components of a project are studied to evaluate it. Unilever considers all these factors. For the economic and financial analysis, they use both the discounted methods (NPV, IRR) and undiscounted methods (payback period). They also consider the socio-cultural variables while appraising projects. For example, in Muslim countries like Bangladesh and Pakistan, they introduce only halal products consider. They take decisions aptly based on the situations</w:t>
      </w:r>
      <w:r>
        <w:rPr>
          <w:rFonts w:ascii="Arial" w:hAnsi="Arial" w:cs="Arial"/>
          <w:color w:val="000000"/>
          <w:sz w:val="20"/>
          <w:szCs w:val="20"/>
          <w:shd w:val="clear" w:color="auto" w:fill="FFFFFF"/>
        </w:rPr>
        <w:t xml:space="preserve"> </w:t>
      </w:r>
      <w:r>
        <w:t xml:space="preserve">(ASIA MARKETING JOURNAL, 2019). </w:t>
      </w:r>
    </w:p>
    <w:p w14:paraId="16041BB0" w14:textId="70419472" w:rsidR="00884EF7" w:rsidRDefault="00884EF7" w:rsidP="00884EF7">
      <w:r>
        <w:t xml:space="preserve">To conclude, International financial management has become </w:t>
      </w:r>
      <w:r w:rsidR="00FF0A91">
        <w:t>really</w:t>
      </w:r>
      <w:r>
        <w:t xml:space="preserve"> important in this age of </w:t>
      </w:r>
      <w:r w:rsidR="00797EE9">
        <w:t>globalisation</w:t>
      </w:r>
      <w:r>
        <w:t xml:space="preserve">. </w:t>
      </w:r>
      <w:r w:rsidR="00797EE9">
        <w:t>Organisations</w:t>
      </w:r>
      <w:r>
        <w:t xml:space="preserve"> are facing different kinds of challenges. In reality, many finance theories are not working because reality is more complicated than theory. Unilever follows a stable dividend </w:t>
      </w:r>
      <w:r>
        <w:t>pay-out</w:t>
      </w:r>
      <w:r>
        <w:t xml:space="preserve"> policy. Unilever considers the socio-cultural variables while appraising projects. </w:t>
      </w:r>
    </w:p>
    <w:p w14:paraId="36A6DEBE" w14:textId="77777777" w:rsidR="00884EF7" w:rsidRDefault="00884EF7" w:rsidP="00884EF7">
      <w:pPr>
        <w:spacing w:after="0"/>
        <w:rPr>
          <w:rFonts w:eastAsia="等线 Light" w:cs="Vrinda"/>
          <w:b/>
          <w:sz w:val="32"/>
          <w:szCs w:val="32"/>
        </w:rPr>
      </w:pPr>
      <w:r>
        <w:br w:type="page"/>
      </w:r>
    </w:p>
    <w:p w14:paraId="3ABBF484" w14:textId="77777777" w:rsidR="00884EF7" w:rsidRDefault="00884EF7" w:rsidP="00884EF7">
      <w:pPr>
        <w:pStyle w:val="Heading1"/>
        <w:rPr>
          <w:kern w:val="36"/>
        </w:rPr>
      </w:pPr>
      <w:r>
        <w:rPr>
          <w:kern w:val="36"/>
        </w:rPr>
        <w:lastRenderedPageBreak/>
        <w:t>References</w:t>
      </w:r>
    </w:p>
    <w:p w14:paraId="57A04F75" w14:textId="77777777" w:rsidR="00884EF7" w:rsidRDefault="00884EF7" w:rsidP="00884EF7">
      <w:r>
        <w:rPr>
          <w:i/>
          <w:iCs/>
        </w:rPr>
        <w:t>Asia Marketing Journal</w:t>
      </w:r>
      <w:r>
        <w:t>, 2019. ASIA MARKETING JOURNAL. 16(4).</w:t>
      </w:r>
    </w:p>
    <w:p w14:paraId="3C151DBC" w14:textId="77777777" w:rsidR="00884EF7" w:rsidRDefault="00884EF7" w:rsidP="00884EF7">
      <w:r>
        <w:t xml:space="preserve">Bergendahl, G. and Adler, M., 2016. </w:t>
      </w:r>
      <w:r>
        <w:rPr>
          <w:i/>
          <w:iCs/>
        </w:rPr>
        <w:t>International financial management</w:t>
      </w:r>
      <w:r>
        <w:t>. 11th ed. Deventer: Kluwer.</w:t>
      </w:r>
    </w:p>
    <w:p w14:paraId="11229429" w14:textId="77777777" w:rsidR="00884EF7" w:rsidRDefault="00884EF7" w:rsidP="00884EF7">
      <w:r>
        <w:t xml:space="preserve">Bierman, H. and Smidt, S., 2019. </w:t>
      </w:r>
      <w:r>
        <w:rPr>
          <w:i/>
          <w:iCs/>
        </w:rPr>
        <w:t>The capital budgeting decision</w:t>
      </w:r>
      <w:r>
        <w:t>. 12th ed. Upper Saddle River, N.J.: Prentice-Hall Inc.</w:t>
      </w:r>
    </w:p>
    <w:p w14:paraId="769A9AB8" w14:textId="77777777" w:rsidR="00884EF7" w:rsidRDefault="00884EF7" w:rsidP="00884EF7">
      <w:r>
        <w:t xml:space="preserve">Kaufman, H., 2017. Economic and Financial Challenges. </w:t>
      </w:r>
      <w:r>
        <w:rPr>
          <w:i/>
          <w:iCs/>
        </w:rPr>
        <w:t>Journal of International Financial Management and Accounting</w:t>
      </w:r>
      <w:r>
        <w:t>, 15(2), pp.174-183.</w:t>
      </w:r>
    </w:p>
    <w:p w14:paraId="242E7D08" w14:textId="77777777" w:rsidR="00884EF7" w:rsidRDefault="00884EF7" w:rsidP="00884EF7">
      <w:r>
        <w:t xml:space="preserve">Mendes, A., 2019. Proof that MM Proposition I is Illogical. </w:t>
      </w:r>
      <w:r>
        <w:rPr>
          <w:i/>
          <w:iCs/>
        </w:rPr>
        <w:t>SSRN Electronic Journal</w:t>
      </w:r>
      <w:r>
        <w:t>.</w:t>
      </w:r>
    </w:p>
    <w:p w14:paraId="267F5CDF" w14:textId="77777777" w:rsidR="00884EF7" w:rsidRDefault="00884EF7" w:rsidP="00884EF7">
      <w:r>
        <w:t xml:space="preserve">Rozeff, M., 2017. Market Pricing Beyond the Efficient Market Hypothesis. </w:t>
      </w:r>
      <w:r>
        <w:rPr>
          <w:i/>
          <w:iCs/>
        </w:rPr>
        <w:t>SSRN Electronic Journal</w:t>
      </w:r>
      <w:r>
        <w:t>.</w:t>
      </w:r>
    </w:p>
    <w:p w14:paraId="7F1A9CFE" w14:textId="77777777" w:rsidR="00884EF7" w:rsidRDefault="00884EF7" w:rsidP="00884EF7">
      <w:r>
        <w:t xml:space="preserve">Smart, S., 2018. </w:t>
      </w:r>
      <w:r>
        <w:rPr>
          <w:i/>
          <w:iCs/>
        </w:rPr>
        <w:t>Corporate finance</w:t>
      </w:r>
      <w:r>
        <w:t>. 9th ed. [Place of publication not identified]: Cengage Learning.</w:t>
      </w:r>
    </w:p>
    <w:p w14:paraId="3B05AF24" w14:textId="77777777" w:rsidR="00884EF7" w:rsidRDefault="00884EF7" w:rsidP="00884EF7">
      <w:r>
        <w:t xml:space="preserve">Unilever. 2022. </w:t>
      </w:r>
      <w:r>
        <w:rPr>
          <w:i/>
          <w:iCs/>
        </w:rPr>
        <w:t>Dividend history | Investors | Unilever global company website</w:t>
      </w:r>
      <w:r>
        <w:t>. [online] Available at: &lt;https://www.unilever.com/investors/shareholder-centre/dividend-history/&gt; [Accessed 24 July 2022].</w:t>
      </w:r>
    </w:p>
    <w:p w14:paraId="641CBD16" w14:textId="77777777" w:rsidR="00884EF7" w:rsidRDefault="00884EF7" w:rsidP="00884EF7">
      <w:r>
        <w:t xml:space="preserve">Unilever. 2022. </w:t>
      </w:r>
      <w:r>
        <w:rPr>
          <w:i/>
          <w:iCs/>
        </w:rPr>
        <w:t>Our company</w:t>
      </w:r>
      <w:r>
        <w:t>. [online] Available at: &lt;https://www.unilever.com/our-company/&gt; [Accessed 15 July 2022].</w:t>
      </w:r>
    </w:p>
    <w:p w14:paraId="3D8ED9FF" w14:textId="77777777" w:rsidR="00884EF7" w:rsidRDefault="00884EF7" w:rsidP="00884EF7">
      <w:r>
        <w:t xml:space="preserve">Zayed, N. and Nahar, S., 2016. A Case Study on Unilever, Bangladesh. </w:t>
      </w:r>
      <w:r>
        <w:rPr>
          <w:i/>
          <w:iCs/>
        </w:rPr>
        <w:t>International Journal of Family Business and Management</w:t>
      </w:r>
      <w:r>
        <w:t>, 3(2), pp.1-5.</w:t>
      </w:r>
    </w:p>
    <w:p w14:paraId="3C69E581" w14:textId="2F02C2CE" w:rsidR="00732EFC" w:rsidRDefault="00732EFC" w:rsidP="00884EF7"/>
    <w:sectPr w:rsidR="00732EFC">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F668FA" w14:textId="77777777" w:rsidR="00572F10" w:rsidRDefault="00572F10" w:rsidP="00572F10">
      <w:pPr>
        <w:spacing w:before="0" w:after="0" w:line="240" w:lineRule="auto"/>
      </w:pPr>
      <w:r>
        <w:separator/>
      </w:r>
    </w:p>
  </w:endnote>
  <w:endnote w:type="continuationSeparator" w:id="0">
    <w:p w14:paraId="5C2F03C9" w14:textId="77777777" w:rsidR="00572F10" w:rsidRDefault="00572F10" w:rsidP="00572F1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等线 Light">
    <w:charset w:val="00"/>
    <w:family w:val="auto"/>
    <w:pitch w:val="default"/>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3268840"/>
      <w:docPartObj>
        <w:docPartGallery w:val="Page Numbers (Bottom of Page)"/>
        <w:docPartUnique/>
      </w:docPartObj>
    </w:sdtPr>
    <w:sdtEndPr>
      <w:rPr>
        <w:noProof/>
      </w:rPr>
    </w:sdtEndPr>
    <w:sdtContent>
      <w:p w14:paraId="27164630" w14:textId="447A8981" w:rsidR="00572F10" w:rsidRDefault="00572F1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EEDD674" w14:textId="77777777" w:rsidR="00572F10" w:rsidRDefault="00572F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0E7B22" w14:textId="77777777" w:rsidR="00572F10" w:rsidRDefault="00572F10" w:rsidP="00572F10">
      <w:pPr>
        <w:spacing w:before="0" w:after="0" w:line="240" w:lineRule="auto"/>
      </w:pPr>
      <w:r>
        <w:separator/>
      </w:r>
    </w:p>
  </w:footnote>
  <w:footnote w:type="continuationSeparator" w:id="0">
    <w:p w14:paraId="73946B53" w14:textId="77777777" w:rsidR="00572F10" w:rsidRDefault="00572F10" w:rsidP="00572F10">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4EF7"/>
    <w:rsid w:val="000039AC"/>
    <w:rsid w:val="00543B68"/>
    <w:rsid w:val="00572F10"/>
    <w:rsid w:val="00732EFC"/>
    <w:rsid w:val="00797EE9"/>
    <w:rsid w:val="00884EF7"/>
    <w:rsid w:val="00FF0A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58D6CD"/>
  <w15:chartTrackingRefBased/>
  <w15:docId w15:val="{C1A776E5-EE70-465D-B038-78117F234C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4EF7"/>
    <w:pPr>
      <w:spacing w:before="100" w:beforeAutospacing="1" w:after="120" w:line="360" w:lineRule="auto"/>
      <w:jc w:val="both"/>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9"/>
    <w:qFormat/>
    <w:rsid w:val="00884EF7"/>
    <w:pPr>
      <w:keepNext/>
      <w:keepLines/>
      <w:widowControl w:val="0"/>
      <w:spacing w:before="240" w:beforeAutospacing="0"/>
      <w:outlineLvl w:val="0"/>
    </w:pPr>
    <w:rPr>
      <w:rFonts w:eastAsia="等线 Light" w:cs="Vrinda"/>
      <w:b/>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884EF7"/>
    <w:rPr>
      <w:rFonts w:ascii="Times New Roman" w:eastAsia="等线 Light" w:hAnsi="Times New Roman" w:cs="Vrinda"/>
      <w:b/>
      <w:sz w:val="32"/>
      <w:szCs w:val="32"/>
      <w:lang w:eastAsia="en-GB"/>
    </w:rPr>
  </w:style>
  <w:style w:type="paragraph" w:styleId="Header">
    <w:name w:val="header"/>
    <w:basedOn w:val="Normal"/>
    <w:link w:val="HeaderChar"/>
    <w:uiPriority w:val="99"/>
    <w:unhideWhenUsed/>
    <w:rsid w:val="00572F10"/>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572F10"/>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572F10"/>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572F10"/>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8830567">
      <w:bodyDiv w:val="1"/>
      <w:marLeft w:val="0"/>
      <w:marRight w:val="0"/>
      <w:marTop w:val="0"/>
      <w:marBottom w:val="0"/>
      <w:divBdr>
        <w:top w:val="none" w:sz="0" w:space="0" w:color="auto"/>
        <w:left w:val="none" w:sz="0" w:space="0" w:color="auto"/>
        <w:bottom w:val="none" w:sz="0" w:space="0" w:color="auto"/>
        <w:right w:val="none" w:sz="0" w:space="0" w:color="auto"/>
      </w:divBdr>
    </w:div>
    <w:div w:id="21335931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6</Pages>
  <Words>1703</Words>
  <Characters>9713</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Radostina Ilieva</dc:creator>
  <cp:keywords/>
  <dc:description/>
  <cp:lastModifiedBy>Radostina Ilieva</cp:lastModifiedBy>
  <cp:revision>4</cp:revision>
  <dcterms:created xsi:type="dcterms:W3CDTF">2022-07-29T12:33:00Z</dcterms:created>
  <dcterms:modified xsi:type="dcterms:W3CDTF">2022-07-29T12:54:00Z</dcterms:modified>
</cp:coreProperties>
</file>