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5105C46">
      <w:pPr>
        <w:spacing w:line="360" w:lineRule="auto"/>
        <w:jc w:val="center"/>
      </w:pPr>
      <w:r>
        <w:drawing>
          <wp:anchor distT="0" distB="0" distL="114300" distR="114300" simplePos="0" relativeHeight="251660288" behindDoc="0" locked="0" layoutInCell="1" allowOverlap="1">
            <wp:simplePos x="0" y="0"/>
            <wp:positionH relativeFrom="column">
              <wp:posOffset>984250</wp:posOffset>
            </wp:positionH>
            <wp:positionV relativeFrom="paragraph">
              <wp:posOffset>-508635</wp:posOffset>
            </wp:positionV>
            <wp:extent cx="2946400" cy="1543050"/>
            <wp:effectExtent l="124460" t="109220" r="114300" b="13081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946400" cy="1543050"/>
                    </a:xfrm>
                    <a:prstGeom prst="rect">
                      <a:avLst/>
                    </a:prstGeom>
                    <a:noFill/>
                    <a:effectLst>
                      <a:glow rad="139700">
                        <a:schemeClr val="accent1">
                          <a:satMod val="175000"/>
                          <a:alpha val="40000"/>
                        </a:schemeClr>
                      </a:glow>
                    </a:effectLst>
                  </pic:spPr>
                </pic:pic>
              </a:graphicData>
            </a:graphic>
          </wp:anchor>
        </w:drawing>
      </w:r>
    </w:p>
    <w:p w14:paraId="760CFD94">
      <w:pPr>
        <w:spacing w:line="360" w:lineRule="auto"/>
        <w:jc w:val="center"/>
      </w:pPr>
    </w:p>
    <w:p w14:paraId="61B1B76C">
      <w:pPr>
        <w:spacing w:line="360" w:lineRule="auto"/>
        <w:jc w:val="center"/>
      </w:pPr>
    </w:p>
    <w:p w14:paraId="6CA6CFEF">
      <w:pPr>
        <w:spacing w:line="360" w:lineRule="auto"/>
        <w:jc w:val="center"/>
      </w:pPr>
    </w:p>
    <w:p w14:paraId="2796D425">
      <w:pPr>
        <w:spacing w:line="360" w:lineRule="auto"/>
        <w:jc w:val="center"/>
      </w:pPr>
    </w:p>
    <w:p w14:paraId="3E26787A">
      <w:pPr>
        <w:spacing w:line="360" w:lineRule="auto"/>
        <w:jc w:val="both"/>
        <w:rPr>
          <w:rFonts w:hint="default"/>
          <w:lang w:val="en-US"/>
        </w:rPr>
      </w:pP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62"/>
        <w:gridCol w:w="6360"/>
      </w:tblGrid>
      <w:tr w14:paraId="6D26EF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62" w:type="dxa"/>
          </w:tcPr>
          <w:p w14:paraId="36C0D57E">
            <w:pPr>
              <w:widowControl w:val="0"/>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NAME</w:t>
            </w:r>
          </w:p>
        </w:tc>
        <w:tc>
          <w:tcPr>
            <w:tcW w:w="6360" w:type="dxa"/>
          </w:tcPr>
          <w:p w14:paraId="3275EBAA">
            <w:pPr>
              <w:widowControl w:val="0"/>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POOJA A/P GUNASEGARAN</w:t>
            </w:r>
          </w:p>
        </w:tc>
      </w:tr>
      <w:tr w14:paraId="13C689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62" w:type="dxa"/>
          </w:tcPr>
          <w:p w14:paraId="3C557E17">
            <w:pPr>
              <w:widowControl w:val="0"/>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STUDENT ID</w:t>
            </w:r>
          </w:p>
        </w:tc>
        <w:tc>
          <w:tcPr>
            <w:tcW w:w="6360" w:type="dxa"/>
          </w:tcPr>
          <w:p w14:paraId="792A9A9E">
            <w:pPr>
              <w:widowControl w:val="0"/>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2226203</w:t>
            </w:r>
          </w:p>
        </w:tc>
      </w:tr>
      <w:tr w14:paraId="3DAD28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62" w:type="dxa"/>
          </w:tcPr>
          <w:p w14:paraId="7CD86EBF">
            <w:pPr>
              <w:widowControl w:val="0"/>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PROGRAMME</w:t>
            </w:r>
          </w:p>
        </w:tc>
        <w:tc>
          <w:tcPr>
            <w:tcW w:w="6360" w:type="dxa"/>
          </w:tcPr>
          <w:p w14:paraId="37181D6A">
            <w:pPr>
              <w:widowControl w:val="0"/>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 xml:space="preserve">Bachelor In Accounting (Hons) </w:t>
            </w:r>
          </w:p>
        </w:tc>
      </w:tr>
      <w:tr w14:paraId="060D68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62" w:type="dxa"/>
          </w:tcPr>
          <w:p w14:paraId="545B4954">
            <w:pPr>
              <w:widowControl w:val="0"/>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MODULE</w:t>
            </w:r>
          </w:p>
        </w:tc>
        <w:tc>
          <w:tcPr>
            <w:tcW w:w="6360" w:type="dxa"/>
          </w:tcPr>
          <w:p w14:paraId="60A960F3">
            <w:pPr>
              <w:widowControl w:val="0"/>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Changemakers: Creativity and Value Creation, IUBA 5002</w:t>
            </w:r>
          </w:p>
        </w:tc>
      </w:tr>
      <w:tr w14:paraId="24EE55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62" w:type="dxa"/>
          </w:tcPr>
          <w:p w14:paraId="2F81B0D4">
            <w:pPr>
              <w:widowControl w:val="0"/>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TITLE</w:t>
            </w:r>
          </w:p>
        </w:tc>
        <w:tc>
          <w:tcPr>
            <w:tcW w:w="6360" w:type="dxa"/>
          </w:tcPr>
          <w:p w14:paraId="60584AE5">
            <w:pPr>
              <w:widowControl w:val="0"/>
              <w:spacing w:line="360" w:lineRule="auto"/>
              <w:jc w:val="both"/>
              <w:rPr>
                <w:rFonts w:hint="default" w:ascii="Times New Roman" w:hAnsi="Times New Roman" w:cs="Times New Roman"/>
                <w:i w:val="0"/>
                <w:iCs w:val="0"/>
                <w:color w:val="auto"/>
                <w:sz w:val="28"/>
                <w:szCs w:val="28"/>
                <w:vertAlign w:val="baseline"/>
                <w:lang w:val="en-US"/>
              </w:rPr>
            </w:pPr>
            <w:r>
              <w:rPr>
                <w:rFonts w:hint="default" w:ascii="Times New Roman" w:hAnsi="Times New Roman" w:cs="Times New Roman"/>
                <w:i w:val="0"/>
                <w:iCs w:val="0"/>
                <w:color w:val="auto"/>
                <w:sz w:val="28"/>
                <w:szCs w:val="28"/>
                <w:vertAlign w:val="baseline"/>
                <w:lang w:val="en-US"/>
              </w:rPr>
              <w:t>Reflection on Research Process</w:t>
            </w:r>
          </w:p>
        </w:tc>
      </w:tr>
      <w:tr w14:paraId="2D033C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62" w:type="dxa"/>
          </w:tcPr>
          <w:p w14:paraId="2E2C5D73">
            <w:pPr>
              <w:widowControl w:val="0"/>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LECTURER</w:t>
            </w:r>
          </w:p>
        </w:tc>
        <w:tc>
          <w:tcPr>
            <w:tcW w:w="6360" w:type="dxa"/>
          </w:tcPr>
          <w:p w14:paraId="66ABE7B8">
            <w:pPr>
              <w:widowControl w:val="0"/>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lang w:val="en-MY"/>
              </w:rPr>
              <w:t>DR. EMMA ROBERTS</w:t>
            </w:r>
          </w:p>
        </w:tc>
      </w:tr>
      <w:tr w14:paraId="3F682E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62" w:type="dxa"/>
          </w:tcPr>
          <w:p w14:paraId="1855B657">
            <w:pPr>
              <w:widowControl w:val="0"/>
              <w:spacing w:line="360" w:lineRule="auto"/>
              <w:jc w:val="both"/>
              <w:rPr>
                <w:rFonts w:hint="default" w:ascii="Times New Roman" w:hAnsi="Times New Roman" w:cs="Times New Roman"/>
                <w:i w:val="0"/>
                <w:iCs w:val="0"/>
                <w:color w:val="auto"/>
                <w:sz w:val="28"/>
                <w:szCs w:val="28"/>
                <w:vertAlign w:val="baseline"/>
                <w:lang w:val="en-MY"/>
              </w:rPr>
            </w:pPr>
            <w:r>
              <w:rPr>
                <w:rFonts w:hint="default" w:ascii="Times New Roman" w:hAnsi="Times New Roman" w:cs="Times New Roman"/>
                <w:i w:val="0"/>
                <w:iCs w:val="0"/>
                <w:color w:val="auto"/>
                <w:sz w:val="28"/>
                <w:szCs w:val="28"/>
                <w:vertAlign w:val="baseline"/>
                <w:lang w:val="en-MY"/>
              </w:rPr>
              <w:t>WORD COUNT</w:t>
            </w:r>
          </w:p>
        </w:tc>
        <w:tc>
          <w:tcPr>
            <w:tcW w:w="6360" w:type="dxa"/>
          </w:tcPr>
          <w:p w14:paraId="06BD53EB">
            <w:pPr>
              <w:widowControl w:val="0"/>
              <w:spacing w:line="360" w:lineRule="auto"/>
              <w:jc w:val="both"/>
              <w:rPr>
                <w:rFonts w:hint="default" w:ascii="Times New Roman" w:hAnsi="Times New Roman" w:cs="Times New Roman"/>
                <w:i w:val="0"/>
                <w:iCs w:val="0"/>
                <w:color w:val="auto"/>
                <w:sz w:val="28"/>
                <w:szCs w:val="28"/>
                <w:vertAlign w:val="baseline"/>
                <w:lang w:val="en-US"/>
              </w:rPr>
            </w:pPr>
            <w:r>
              <w:rPr>
                <w:rFonts w:hint="default" w:ascii="Times New Roman" w:hAnsi="Times New Roman" w:cs="Times New Roman"/>
                <w:i w:val="0"/>
                <w:iCs w:val="0"/>
                <w:color w:val="auto"/>
                <w:sz w:val="28"/>
                <w:szCs w:val="28"/>
                <w:vertAlign w:val="baseline"/>
                <w:lang w:val="en-MY"/>
              </w:rPr>
              <w:t>1</w:t>
            </w:r>
            <w:r>
              <w:rPr>
                <w:rFonts w:hint="default" w:ascii="Times New Roman" w:hAnsi="Times New Roman" w:cs="Times New Roman"/>
                <w:i w:val="0"/>
                <w:iCs w:val="0"/>
                <w:color w:val="auto"/>
                <w:sz w:val="28"/>
                <w:szCs w:val="28"/>
                <w:vertAlign w:val="baseline"/>
                <w:lang w:val="en-US"/>
              </w:rPr>
              <w:t>740</w:t>
            </w:r>
          </w:p>
        </w:tc>
      </w:tr>
    </w:tbl>
    <w:p w14:paraId="6B7BF142">
      <w:pPr>
        <w:spacing w:line="360" w:lineRule="auto"/>
        <w:jc w:val="both"/>
        <w:rPr>
          <w:rFonts w:hint="default"/>
          <w:lang w:val="en-US"/>
        </w:rPr>
      </w:pPr>
    </w:p>
    <w:p w14:paraId="73B99FA8">
      <w:pPr>
        <w:spacing w:line="360" w:lineRule="auto"/>
        <w:jc w:val="both"/>
        <w:rPr>
          <w:rFonts w:hint="default" w:ascii="Times New Roman" w:hAnsi="Times New Roman" w:cs="Times New Roman"/>
          <w:i/>
          <w:iCs/>
          <w:color w:val="2E75B6" w:themeColor="accent1" w:themeShade="BF"/>
          <w:sz w:val="24"/>
          <w:szCs w:val="24"/>
          <w:lang w:val="en-US"/>
        </w:rPr>
      </w:pPr>
    </w:p>
    <w:p w14:paraId="3AF4AA29">
      <w:pPr>
        <w:spacing w:line="360" w:lineRule="auto"/>
        <w:jc w:val="both"/>
        <w:rPr>
          <w:rFonts w:hint="default" w:ascii="Times New Roman" w:hAnsi="Times New Roman" w:cs="Times New Roman"/>
          <w:i/>
          <w:iCs/>
          <w:color w:val="2E75B6" w:themeColor="accent1" w:themeShade="BF"/>
          <w:sz w:val="24"/>
          <w:szCs w:val="24"/>
          <w:lang w:val="en-US"/>
        </w:rPr>
      </w:pPr>
    </w:p>
    <w:p w14:paraId="2C03F78C">
      <w:pPr>
        <w:spacing w:line="360" w:lineRule="auto"/>
        <w:jc w:val="both"/>
        <w:rPr>
          <w:rFonts w:hint="default" w:ascii="Times New Roman" w:hAnsi="Times New Roman" w:cs="Times New Roman"/>
          <w:i/>
          <w:iCs/>
          <w:color w:val="2E75B6" w:themeColor="accent1" w:themeShade="BF"/>
          <w:sz w:val="24"/>
          <w:szCs w:val="24"/>
          <w:lang w:val="en-US"/>
        </w:rPr>
      </w:pPr>
    </w:p>
    <w:p w14:paraId="39F74229">
      <w:pPr>
        <w:spacing w:line="360" w:lineRule="auto"/>
        <w:jc w:val="both"/>
        <w:rPr>
          <w:rFonts w:hint="default" w:ascii="Times New Roman" w:hAnsi="Times New Roman" w:cs="Times New Roman"/>
          <w:i/>
          <w:iCs/>
          <w:color w:val="2E75B6" w:themeColor="accent1" w:themeShade="BF"/>
          <w:sz w:val="24"/>
          <w:szCs w:val="24"/>
          <w:lang w:val="en-US"/>
        </w:rPr>
      </w:pPr>
    </w:p>
    <w:p w14:paraId="66628F61">
      <w:pPr>
        <w:spacing w:line="360" w:lineRule="auto"/>
        <w:jc w:val="both"/>
        <w:rPr>
          <w:rFonts w:hint="default" w:ascii="Times New Roman" w:hAnsi="Times New Roman" w:cs="Times New Roman"/>
          <w:i/>
          <w:iCs/>
          <w:color w:val="2E75B6" w:themeColor="accent1" w:themeShade="BF"/>
          <w:sz w:val="24"/>
          <w:szCs w:val="24"/>
          <w:lang w:val="en-US"/>
        </w:rPr>
      </w:pPr>
    </w:p>
    <w:p w14:paraId="3BB6DAA6">
      <w:pPr>
        <w:spacing w:line="360" w:lineRule="auto"/>
        <w:jc w:val="both"/>
        <w:rPr>
          <w:rFonts w:hint="default" w:ascii="Times New Roman" w:hAnsi="Times New Roman" w:cs="Times New Roman"/>
          <w:i/>
          <w:iCs/>
          <w:color w:val="2E75B6" w:themeColor="accent1" w:themeShade="BF"/>
          <w:sz w:val="24"/>
          <w:szCs w:val="24"/>
          <w:lang w:val="en-US"/>
        </w:rPr>
      </w:pPr>
    </w:p>
    <w:p w14:paraId="4754E607">
      <w:pPr>
        <w:spacing w:line="360" w:lineRule="auto"/>
        <w:jc w:val="both"/>
        <w:rPr>
          <w:rFonts w:hint="default" w:ascii="Times New Roman" w:hAnsi="Times New Roman" w:cs="Times New Roman"/>
          <w:i/>
          <w:iCs/>
          <w:color w:val="2E75B6" w:themeColor="accent1" w:themeShade="BF"/>
          <w:sz w:val="24"/>
          <w:szCs w:val="24"/>
          <w:lang w:val="en-US"/>
        </w:rPr>
      </w:pPr>
    </w:p>
    <w:p w14:paraId="1E496C70">
      <w:pPr>
        <w:spacing w:line="360" w:lineRule="auto"/>
        <w:jc w:val="both"/>
        <w:rPr>
          <w:rFonts w:hint="default" w:ascii="Times New Roman" w:hAnsi="Times New Roman" w:cs="Times New Roman"/>
          <w:i/>
          <w:iCs/>
          <w:color w:val="2E75B6" w:themeColor="accent1" w:themeShade="BF"/>
          <w:sz w:val="24"/>
          <w:szCs w:val="24"/>
          <w:lang w:val="en-US"/>
        </w:rPr>
      </w:pPr>
    </w:p>
    <w:p w14:paraId="11AC8DE8">
      <w:pPr>
        <w:spacing w:line="360" w:lineRule="auto"/>
        <w:jc w:val="both"/>
        <w:rPr>
          <w:rFonts w:hint="default" w:ascii="Times New Roman" w:hAnsi="Times New Roman" w:cs="Times New Roman"/>
          <w:i/>
          <w:iCs/>
          <w:color w:val="2E75B6" w:themeColor="accent1" w:themeShade="BF"/>
          <w:sz w:val="24"/>
          <w:szCs w:val="24"/>
          <w:lang w:val="en-US"/>
        </w:rPr>
      </w:pPr>
    </w:p>
    <w:p w14:paraId="4BFD82D1">
      <w:pPr>
        <w:spacing w:line="360" w:lineRule="auto"/>
        <w:jc w:val="both"/>
        <w:rPr>
          <w:rFonts w:hint="default" w:ascii="Times New Roman" w:hAnsi="Times New Roman" w:cs="Times New Roman"/>
          <w:i/>
          <w:iCs/>
          <w:color w:val="2E75B6" w:themeColor="accent1" w:themeShade="BF"/>
          <w:sz w:val="24"/>
          <w:szCs w:val="24"/>
          <w:lang w:val="en-US"/>
        </w:rPr>
      </w:pPr>
    </w:p>
    <w:p w14:paraId="6585B4D0">
      <w:pPr>
        <w:spacing w:line="360" w:lineRule="auto"/>
        <w:jc w:val="both"/>
        <w:rPr>
          <w:rFonts w:hint="default" w:ascii="Times New Roman" w:hAnsi="Times New Roman" w:cs="Times New Roman"/>
          <w:i/>
          <w:iCs/>
          <w:color w:val="2E75B6" w:themeColor="accent1" w:themeShade="BF"/>
          <w:sz w:val="24"/>
          <w:szCs w:val="24"/>
          <w:lang w:val="en-US"/>
        </w:rPr>
      </w:pPr>
    </w:p>
    <w:p w14:paraId="68550B80">
      <w:pPr>
        <w:spacing w:line="360" w:lineRule="auto"/>
        <w:jc w:val="both"/>
        <w:rPr>
          <w:rFonts w:hint="default" w:ascii="Times New Roman" w:hAnsi="Times New Roman" w:cs="Times New Roman"/>
          <w:i/>
          <w:iCs/>
          <w:color w:val="2E75B6" w:themeColor="accent1" w:themeShade="BF"/>
          <w:sz w:val="24"/>
          <w:szCs w:val="24"/>
          <w:lang w:val="en-US"/>
        </w:rPr>
      </w:pPr>
    </w:p>
    <w:p w14:paraId="1B66A320">
      <w:pPr>
        <w:spacing w:line="360" w:lineRule="auto"/>
        <w:jc w:val="both"/>
        <w:rPr>
          <w:rFonts w:hint="default" w:ascii="Times New Roman" w:hAnsi="Times New Roman" w:cs="Times New Roman"/>
          <w:i/>
          <w:iCs/>
          <w:color w:val="2E75B6" w:themeColor="accent1" w:themeShade="BF"/>
          <w:sz w:val="24"/>
          <w:szCs w:val="24"/>
          <w:lang w:val="en-US"/>
        </w:rPr>
      </w:pPr>
    </w:p>
    <w:p w14:paraId="6508C985">
      <w:pPr>
        <w:spacing w:line="360" w:lineRule="auto"/>
        <w:jc w:val="both"/>
        <w:rPr>
          <w:rFonts w:hint="default" w:ascii="Times New Roman" w:hAnsi="Times New Roman" w:cs="Times New Roman"/>
          <w:i/>
          <w:iCs/>
          <w:color w:val="2E75B6" w:themeColor="accent1" w:themeShade="BF"/>
          <w:sz w:val="24"/>
          <w:szCs w:val="24"/>
          <w:lang w:val="en-US"/>
        </w:rPr>
      </w:pPr>
    </w:p>
    <w:p w14:paraId="2F50899A">
      <w:pPr>
        <w:spacing w:line="360" w:lineRule="auto"/>
        <w:jc w:val="both"/>
        <w:rPr>
          <w:rFonts w:hint="default" w:ascii="Times New Roman" w:hAnsi="Times New Roman" w:cs="Times New Roman"/>
          <w:i/>
          <w:iCs/>
          <w:color w:val="2E75B6" w:themeColor="accent1" w:themeShade="BF"/>
          <w:sz w:val="24"/>
          <w:szCs w:val="24"/>
          <w:lang w:val="en-US"/>
        </w:rPr>
      </w:pPr>
    </w:p>
    <w:p w14:paraId="65E00CC4">
      <w:pPr>
        <w:spacing w:line="360" w:lineRule="auto"/>
        <w:jc w:val="both"/>
        <w:rPr>
          <w:rFonts w:hint="default" w:ascii="Times New Roman" w:hAnsi="Times New Roman" w:cs="Times New Roman"/>
          <w:i/>
          <w:iCs/>
          <w:color w:val="2E75B6" w:themeColor="accent1" w:themeShade="BF"/>
          <w:sz w:val="24"/>
          <w:szCs w:val="24"/>
          <w:lang w:val="en-US"/>
        </w:rPr>
      </w:pPr>
    </w:p>
    <w:p w14:paraId="04625BA0">
      <w:pPr>
        <w:spacing w:line="360" w:lineRule="auto"/>
        <w:jc w:val="both"/>
        <w:rPr>
          <w:rFonts w:hint="default" w:ascii="Times New Roman" w:hAnsi="Times New Roman" w:cs="Times New Roman"/>
          <w:i/>
          <w:iCs/>
          <w:color w:val="2E75B6" w:themeColor="accent1" w:themeShade="BF"/>
          <w:sz w:val="24"/>
          <w:szCs w:val="24"/>
          <w:lang w:val="en-US"/>
        </w:rPr>
      </w:pPr>
    </w:p>
    <w:p w14:paraId="48CCC09E">
      <w:pPr>
        <w:spacing w:line="360" w:lineRule="auto"/>
        <w:jc w:val="both"/>
        <w:rPr>
          <w:rFonts w:hint="default" w:ascii="Times New Roman" w:hAnsi="Times New Roman" w:cs="Times New Roman"/>
          <w:i/>
          <w:iCs/>
          <w:color w:val="2E75B6" w:themeColor="accent1" w:themeShade="BF"/>
          <w:sz w:val="24"/>
          <w:szCs w:val="24"/>
          <w:lang w:val="en-US"/>
        </w:rPr>
      </w:pPr>
    </w:p>
    <w:p w14:paraId="35E6B168">
      <w:pPr>
        <w:spacing w:line="360" w:lineRule="auto"/>
        <w:jc w:val="both"/>
        <w:rPr>
          <w:rFonts w:hint="default" w:ascii="Times New Roman" w:hAnsi="Times New Roman" w:cs="Times New Roman"/>
          <w:i/>
          <w:iCs/>
          <w:color w:val="2E75B6" w:themeColor="accent1" w:themeShade="BF"/>
          <w:sz w:val="24"/>
          <w:szCs w:val="24"/>
          <w:lang w:val="en-US"/>
        </w:rPr>
      </w:pPr>
      <w:r>
        <w:rPr>
          <w:rFonts w:hint="default" w:ascii="Times New Roman" w:hAnsi="Times New Roman" w:cs="Times New Roman"/>
          <w:i/>
          <w:iCs/>
          <w:color w:val="2E75B6" w:themeColor="accent1" w:themeShade="BF"/>
          <w:sz w:val="24"/>
          <w:szCs w:val="24"/>
          <w:lang w:val="en-US"/>
        </w:rPr>
        <w:t>Stage 1: Description</w:t>
      </w:r>
    </w:p>
    <w:p w14:paraId="6375F41E">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examination meant to assess the mindfulness and viability of the Anti-Bribery Management System (ABMS) among development organizations in Malaysia, the area exceptionally vulnerable to corruption because of it’s huge scope speculations and complex ventures. The review used a quantitative methodology, focusing on overviews to assembles information from a delegate test of representatives across different development firms.</w:t>
      </w:r>
    </w:p>
    <w:p w14:paraId="15CAF5E0">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b/>
      </w:r>
      <w:r>
        <w:rPr>
          <w:rFonts w:hint="default" w:ascii="Times New Roman" w:hAnsi="Times New Roman" w:cs="Times New Roman"/>
          <w:sz w:val="24"/>
          <w:szCs w:val="24"/>
          <w:lang w:val="en-US"/>
        </w:rPr>
        <w:t>The reviews uncovered fluctuating degrees of mindfulness about the ABMS rules among development organization representatives. While numerous respondents showed a central comprehension of hostile to anti-bribery strategies, detailed information and steady utilization of these practices were less pervasive. This error proposes that while the structure is set up, its entrance and down to earth execution inside associations might require further improvement.</w:t>
      </w:r>
    </w:p>
    <w:p w14:paraId="1B18020E">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b/>
      </w:r>
      <w:r>
        <w:rPr>
          <w:rFonts w:hint="default" w:ascii="Times New Roman" w:hAnsi="Times New Roman" w:cs="Times New Roman"/>
          <w:sz w:val="24"/>
          <w:szCs w:val="24"/>
          <w:lang w:val="en-US"/>
        </w:rPr>
        <w:t xml:space="preserve">The viability of the ABMS was evaluated through workers’ impression of how well the arrangements address bribery and debasement inside their associations. Results showed that while certain representatives saw enhancements in enemy of bribery rehearses and a decrease in degenerate exercises, others detailed constant difficulties. These difficulties frequently originated from deficient preparation, hazy correspondence of approaches, and inadequate authorization systems. </w:t>
      </w:r>
    </w:p>
    <w:p w14:paraId="5C92C55D">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b/>
      </w:r>
      <w:r>
        <w:rPr>
          <w:rFonts w:hint="default" w:ascii="Times New Roman" w:hAnsi="Times New Roman" w:cs="Times New Roman"/>
          <w:sz w:val="24"/>
          <w:szCs w:val="24"/>
          <w:lang w:val="en-US"/>
        </w:rPr>
        <w:t>Information investigation utilizing SPSS featured a critical hole among mindfulness and viable viability. The engaging insights showed that while mindfulness was moderately high, the apparent effectiveness was uneven. Inferential measurements uncovered that associations with robust preparation projects and clear strategy correspondence saw improved brings about moderating bribery.</w:t>
      </w:r>
    </w:p>
    <w:p w14:paraId="21166895">
      <w:pPr>
        <w:spacing w:line="360" w:lineRule="auto"/>
        <w:jc w:val="both"/>
        <w:rPr>
          <w:rFonts w:hint="default" w:ascii="Times New Roman" w:hAnsi="Times New Roman" w:cs="Times New Roman"/>
          <w:sz w:val="24"/>
          <w:szCs w:val="24"/>
          <w:lang w:val="en-US"/>
        </w:rPr>
      </w:pPr>
    </w:p>
    <w:p w14:paraId="1E40AF78">
      <w:pPr>
        <w:spacing w:line="360" w:lineRule="auto"/>
        <w:jc w:val="both"/>
        <w:rPr>
          <w:rFonts w:hint="default" w:ascii="Times New Roman" w:hAnsi="Times New Roman" w:cs="Times New Roman"/>
          <w:i/>
          <w:iCs/>
          <w:color w:val="2E75B6" w:themeColor="accent1" w:themeShade="BF"/>
          <w:sz w:val="24"/>
          <w:szCs w:val="24"/>
          <w:lang w:val="en-US"/>
        </w:rPr>
      </w:pPr>
      <w:r>
        <w:rPr>
          <w:rFonts w:hint="default" w:ascii="Times New Roman" w:hAnsi="Times New Roman" w:cs="Times New Roman"/>
          <w:i/>
          <w:iCs/>
          <w:color w:val="2E75B6" w:themeColor="accent1" w:themeShade="BF"/>
          <w:sz w:val="24"/>
          <w:szCs w:val="24"/>
          <w:lang w:val="en-US"/>
        </w:rPr>
        <w:t>Stage 2: Feelings</w:t>
      </w:r>
    </w:p>
    <w:p w14:paraId="582E4D36">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Thinking about the investigation into ABMS inside Malaysia development organizations, a few sentiments and contemplation arise. </w:t>
      </w:r>
    </w:p>
    <w:p w14:paraId="3D59211A">
      <w:pPr>
        <w:spacing w:line="360" w:lineRule="auto"/>
        <w:jc w:val="both"/>
        <w:rPr>
          <w:rFonts w:hint="default" w:ascii="Times New Roman" w:hAnsi="Times New Roman" w:cs="Times New Roman"/>
          <w:sz w:val="24"/>
          <w:szCs w:val="24"/>
          <w:lang w:val="en-US"/>
        </w:rPr>
      </w:pPr>
    </w:p>
    <w:p w14:paraId="351A8107">
      <w:pPr>
        <w:numPr>
          <w:ilvl w:val="0"/>
          <w:numId w:val="1"/>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Sentiments and Responses:</w:t>
      </w:r>
    </w:p>
    <w:p w14:paraId="7EDECAB2">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Firstly, concern and frustration. The examination featured an outstanding hole between the familiarity with hostile to anti-bribery strategies and their commonsense viability. It’s dispiriting to see that in spite of the presentation of extensive structures like ABMS, numerous workers actually face difficulties in making an interpretation of strategy into training. This error highlights a more extensive issue inside hierarchical societies where strategies might exist on paper yet neglect to drive significant change. </w:t>
      </w:r>
    </w:p>
    <w:p w14:paraId="220E0383">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b/>
      </w:r>
      <w:r>
        <w:rPr>
          <w:rFonts w:hint="default" w:ascii="Times New Roman" w:hAnsi="Times New Roman" w:cs="Times New Roman"/>
          <w:sz w:val="24"/>
          <w:szCs w:val="24"/>
          <w:lang w:val="en-US"/>
        </w:rPr>
        <w:t>Secondly, good faith for development. Optimistically, the review uncovered that associations with hearty preparation projects and clear correspondence saw improved results. This finding recommends that designated mediation can have a huge effect. There is good faith that with zeroed in endeavors on further developing preparation and implementation, the viability of against anti-bribery measures can be significantly upgraded.</w:t>
      </w:r>
    </w:p>
    <w:p w14:paraId="15F14285">
      <w:pPr>
        <w:spacing w:line="360" w:lineRule="auto"/>
        <w:jc w:val="both"/>
        <w:rPr>
          <w:rFonts w:hint="default" w:ascii="Times New Roman" w:hAnsi="Times New Roman" w:cs="Times New Roman"/>
          <w:sz w:val="24"/>
          <w:szCs w:val="24"/>
          <w:lang w:val="en-US"/>
        </w:rPr>
      </w:pPr>
    </w:p>
    <w:p w14:paraId="669C2047">
      <w:pPr>
        <w:numPr>
          <w:ilvl w:val="0"/>
          <w:numId w:val="1"/>
        </w:numPr>
        <w:spacing w:line="360" w:lineRule="auto"/>
        <w:ind w:left="0" w:leftChars="0" w:firstLine="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Individual Considerations and Bits of knowledge:</w:t>
      </w:r>
    </w:p>
    <w:p w14:paraId="79E72573">
      <w:pPr>
        <w:numPr>
          <w:ilvl w:val="0"/>
          <w:numId w:val="0"/>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Firstly, significance of viable execution. I found it striking how fundamental it is for against anti-bribery arrangements to be all around planned as well as successfully carried out. Only mindfulness is lacking on the off chance that it’s not combined with reasonable measures that address certifiable difficulties. This acknowledgment underlines the requirement for nonstop assessment and transformation of strategies to guarantee they meet their expected objectives. </w:t>
      </w:r>
    </w:p>
    <w:p w14:paraId="3E3B9752">
      <w:pPr>
        <w:numPr>
          <w:ilvl w:val="0"/>
          <w:numId w:val="0"/>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b/>
      </w:r>
      <w:r>
        <w:rPr>
          <w:rFonts w:hint="default" w:ascii="Times New Roman" w:hAnsi="Times New Roman" w:cs="Times New Roman"/>
          <w:sz w:val="24"/>
          <w:szCs w:val="24"/>
          <w:lang w:val="en-US"/>
        </w:rPr>
        <w:t xml:space="preserve">Secondly, worth of worker input. The criticism from representatives demonstrated priceless. It gave a reasonable picture of the on-the-ground reality, uncovering that while strategies might be set up, their effects is many times weakened by inadequate training and inconsistent requirement. Understanding these subtleties is vital for growing more compelling enemy of anti-bribery techniques. </w:t>
      </w:r>
    </w:p>
    <w:p w14:paraId="00B72829">
      <w:pPr>
        <w:numPr>
          <w:ilvl w:val="0"/>
          <w:numId w:val="0"/>
        </w:numPr>
        <w:spacing w:line="360" w:lineRule="auto"/>
        <w:ind w:leftChars="0"/>
        <w:jc w:val="both"/>
        <w:rPr>
          <w:rFonts w:hint="default" w:ascii="Times New Roman" w:hAnsi="Times New Roman" w:cs="Times New Roman"/>
          <w:sz w:val="24"/>
          <w:szCs w:val="24"/>
          <w:lang w:val="en-US"/>
        </w:rPr>
      </w:pPr>
    </w:p>
    <w:p w14:paraId="7FCCD750">
      <w:pPr>
        <w:numPr>
          <w:ilvl w:val="0"/>
          <w:numId w:val="1"/>
        </w:numPr>
        <w:spacing w:line="360" w:lineRule="auto"/>
        <w:ind w:left="0" w:leftChars="0" w:firstLine="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Helpful and not useful discoveries: </w:t>
      </w:r>
    </w:p>
    <w:p w14:paraId="6A0F16ED">
      <w:pPr>
        <w:numPr>
          <w:ilvl w:val="0"/>
          <w:numId w:val="0"/>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(Helpful discoveries)</w:t>
      </w:r>
    </w:p>
    <w:p w14:paraId="3A07FDA7">
      <w:pPr>
        <w:numPr>
          <w:ilvl w:val="0"/>
          <w:numId w:val="0"/>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I personally felt useful is worker preparing and correspondence. The connection between far reaching preparing and improved results was a critical knowledge. It features the requirements for progressing training and clear correspondence about enemy of anti-bribery approaches. And, holes in execution. Recognizing explicit regions where strategies miss the mark permits associations to successfully concentrate their improvement endeavors. </w:t>
      </w:r>
    </w:p>
    <w:p w14:paraId="3ACE831E">
      <w:pPr>
        <w:numPr>
          <w:ilvl w:val="0"/>
          <w:numId w:val="0"/>
        </w:numPr>
        <w:spacing w:line="360" w:lineRule="auto"/>
        <w:ind w:leftChars="0"/>
        <w:jc w:val="both"/>
        <w:rPr>
          <w:rFonts w:hint="default" w:ascii="Times New Roman" w:hAnsi="Times New Roman" w:cs="Times New Roman"/>
          <w:sz w:val="24"/>
          <w:szCs w:val="24"/>
          <w:lang w:val="en-US"/>
        </w:rPr>
      </w:pPr>
    </w:p>
    <w:p w14:paraId="0A5B11BB">
      <w:pPr>
        <w:numPr>
          <w:ilvl w:val="0"/>
          <w:numId w:val="0"/>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(Not helpful discoveries)</w:t>
      </w:r>
    </w:p>
    <w:p w14:paraId="4280AF81">
      <w:pPr>
        <w:numPr>
          <w:ilvl w:val="0"/>
          <w:numId w:val="0"/>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Is the general mindfulness levels. While mindfulness levels were significant, they didn’t give as much noteworthy knowledge as the functional difficulties looked by workers. High mindfulness without comparing viability is less useful in directing specific enhancements. </w:t>
      </w:r>
    </w:p>
    <w:p w14:paraId="7BC4030C">
      <w:pPr>
        <w:numPr>
          <w:ilvl w:val="0"/>
          <w:numId w:val="0"/>
        </w:numPr>
        <w:spacing w:line="360" w:lineRule="auto"/>
        <w:ind w:leftChars="0"/>
        <w:jc w:val="both"/>
        <w:rPr>
          <w:rFonts w:hint="default" w:ascii="Times New Roman" w:hAnsi="Times New Roman" w:cs="Times New Roman"/>
          <w:sz w:val="24"/>
          <w:szCs w:val="24"/>
          <w:lang w:val="en-US"/>
        </w:rPr>
      </w:pPr>
    </w:p>
    <w:p w14:paraId="2523E74B">
      <w:pPr>
        <w:numPr>
          <w:ilvl w:val="0"/>
          <w:numId w:val="0"/>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As an understudy dealing with task, a scope of sentiments and difficulties connected with using time productively arise:</w:t>
      </w:r>
    </w:p>
    <w:p w14:paraId="1D2C4991">
      <w:pPr>
        <w:numPr>
          <w:ilvl w:val="0"/>
          <w:numId w:val="2"/>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Dissatisfaction and stress.</w:t>
      </w:r>
    </w:p>
    <w:p w14:paraId="6671FE23">
      <w:pPr>
        <w:numPr>
          <w:ilvl w:val="0"/>
          <w:numId w:val="0"/>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Firstly, strain. The intricacy of the topic and the need to completely examine information be overpowering. A portion of the time, the research uncovers that the research question are not so compelling as trusted, this makes deterring. Also, managing strategic difficulties, like planning review conveyance and overseeing reactions, add the pressure. Secondly, worry about. There is likewise issues with information assortment and the outcomes don’t line up with assumptions, it prompt sensations of concern or dissatisfaction. Guaranteeing that the research satisfies scholastic guidelines while resolving useful issues, feels really testing. Thirdly, apprehension. Offsetting that task with other scholastic obligations and individual responsibilities make pressure, since I am a full time certification understudy while part-time worker as deals young lady (sales girl). The need to fulfill time constraints, combined with the significance of the examination, lead to nervousness about performing great.</w:t>
      </w:r>
    </w:p>
    <w:p w14:paraId="3F813A7C">
      <w:pPr>
        <w:numPr>
          <w:ilvl w:val="0"/>
          <w:numId w:val="0"/>
        </w:numPr>
        <w:spacing w:line="360" w:lineRule="auto"/>
        <w:jc w:val="both"/>
        <w:rPr>
          <w:rFonts w:hint="default" w:ascii="Times New Roman" w:hAnsi="Times New Roman" w:cs="Times New Roman"/>
          <w:sz w:val="24"/>
          <w:szCs w:val="24"/>
          <w:lang w:val="en-US"/>
        </w:rPr>
      </w:pPr>
    </w:p>
    <w:p w14:paraId="339999E2">
      <w:pPr>
        <w:numPr>
          <w:ilvl w:val="0"/>
          <w:numId w:val="2"/>
        </w:numPr>
        <w:spacing w:line="360" w:lineRule="auto"/>
        <w:ind w:left="0" w:leftChars="0" w:firstLine="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Adjusting needs.</w:t>
      </w:r>
    </w:p>
    <w:p w14:paraId="6A3364AC">
      <w:pPr>
        <w:numPr>
          <w:ilvl w:val="0"/>
          <w:numId w:val="0"/>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I did keep away from tarrying. Which begin right on time to stay away from last-minute surges. This permits additional opportunity for top to bottom examination and updates. Also task management, which using schedules and daily agendas to monitor cutoff times and achievements. Focus on errands in view of their significance and urgency. I personally did time allotment as well, information assortment and examination. Assign explicit times for conveying studies, gathering reactions, and investigating information. Put away continuous periods for these basic assignments to guarantee precision. </w:t>
      </w:r>
    </w:p>
    <w:p w14:paraId="66EA1D91">
      <w:pPr>
        <w:numPr>
          <w:ilvl w:val="0"/>
          <w:numId w:val="0"/>
        </w:numPr>
        <w:spacing w:line="360" w:lineRule="auto"/>
        <w:ind w:leftChars="0"/>
        <w:jc w:val="both"/>
        <w:rPr>
          <w:rFonts w:hint="default" w:ascii="Times New Roman" w:hAnsi="Times New Roman" w:cs="Times New Roman"/>
          <w:i/>
          <w:iCs/>
          <w:color w:val="2E75B6" w:themeColor="accent1" w:themeShade="BF"/>
          <w:sz w:val="24"/>
          <w:szCs w:val="24"/>
          <w:lang w:val="en-US"/>
        </w:rPr>
      </w:pPr>
    </w:p>
    <w:p w14:paraId="7405E772">
      <w:pPr>
        <w:numPr>
          <w:ilvl w:val="0"/>
          <w:numId w:val="0"/>
        </w:numPr>
        <w:spacing w:line="360" w:lineRule="auto"/>
        <w:ind w:leftChars="0"/>
        <w:jc w:val="both"/>
        <w:rPr>
          <w:rFonts w:hint="default" w:ascii="Times New Roman" w:hAnsi="Times New Roman" w:cs="Times New Roman"/>
          <w:i/>
          <w:iCs/>
          <w:color w:val="2E75B6" w:themeColor="accent1" w:themeShade="BF"/>
          <w:sz w:val="24"/>
          <w:szCs w:val="24"/>
          <w:lang w:val="en-US"/>
        </w:rPr>
      </w:pPr>
      <w:r>
        <w:rPr>
          <w:rFonts w:hint="default" w:ascii="Times New Roman" w:hAnsi="Times New Roman" w:cs="Times New Roman"/>
          <w:i/>
          <w:iCs/>
          <w:color w:val="2E75B6" w:themeColor="accent1" w:themeShade="BF"/>
          <w:sz w:val="24"/>
          <w:szCs w:val="24"/>
          <w:lang w:val="en-US"/>
        </w:rPr>
        <w:t xml:space="preserve">Stage 3: Evaluation </w:t>
      </w:r>
    </w:p>
    <w:p w14:paraId="731A7678">
      <w:pPr>
        <w:numPr>
          <w:ilvl w:val="0"/>
          <w:numId w:val="3"/>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Why was the exploration great</w:t>
      </w:r>
    </w:p>
    <w:p w14:paraId="5C584FFF">
      <w:pPr>
        <w:numPr>
          <w:ilvl w:val="0"/>
          <w:numId w:val="0"/>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Firstly will be, practical relevance. The examination gave important experiences into the mindfulness and adequacy of the ABMS inside Malaysian development organizations. This understanding can assist associations with further developing their enemy of anti-bribery techniques. Next, information driven choices. The utilization of quantitative information took into consideration objective examination of mindfulness levels and strategy viability, giving an unmistakable premise to proposals. </w:t>
      </w:r>
    </w:p>
    <w:p w14:paraId="6EAD7EA4">
      <w:pPr>
        <w:numPr>
          <w:ilvl w:val="0"/>
          <w:numId w:val="0"/>
        </w:numPr>
        <w:spacing w:line="360" w:lineRule="auto"/>
        <w:jc w:val="both"/>
        <w:rPr>
          <w:rFonts w:hint="default" w:ascii="Times New Roman" w:hAnsi="Times New Roman" w:cs="Times New Roman"/>
          <w:sz w:val="24"/>
          <w:szCs w:val="24"/>
          <w:lang w:val="en-US"/>
        </w:rPr>
      </w:pPr>
    </w:p>
    <w:p w14:paraId="3402C6CA">
      <w:pPr>
        <w:numPr>
          <w:ilvl w:val="0"/>
          <w:numId w:val="3"/>
        </w:numPr>
        <w:spacing w:line="360" w:lineRule="auto"/>
        <w:ind w:left="0" w:leftChars="0" w:firstLine="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Why was the exploration terrible </w:t>
      </w:r>
    </w:p>
    <w:p w14:paraId="4095B161">
      <w:pPr>
        <w:numPr>
          <w:ilvl w:val="0"/>
          <w:numId w:val="0"/>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Mainly because of restricted extension; the test sizes. With a moderately little example size (10 employee), the discoveries could not completely address the more extensive development industry. This limit could influence the generalization of the outcomes. And, the reaction rate. Assuming the overview reaction rate was low, it could prompt one-sided results or deficient information, influencing the general dependability of the discoveries. </w:t>
      </w:r>
    </w:p>
    <w:p w14:paraId="12BC73A6">
      <w:pPr>
        <w:numPr>
          <w:ilvl w:val="0"/>
          <w:numId w:val="0"/>
        </w:numPr>
        <w:spacing w:line="360" w:lineRule="auto"/>
        <w:jc w:val="both"/>
        <w:rPr>
          <w:rFonts w:hint="default" w:ascii="Times New Roman" w:hAnsi="Times New Roman" w:cs="Times New Roman"/>
          <w:sz w:val="24"/>
          <w:szCs w:val="24"/>
          <w:lang w:val="en-US"/>
        </w:rPr>
      </w:pPr>
    </w:p>
    <w:p w14:paraId="71440B0C">
      <w:pPr>
        <w:numPr>
          <w:ilvl w:val="0"/>
          <w:numId w:val="3"/>
        </w:numPr>
        <w:spacing w:line="360" w:lineRule="auto"/>
        <w:ind w:left="0" w:leftChars="0" w:firstLine="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Angles to zero in more on</w:t>
      </w:r>
    </w:p>
    <w:p w14:paraId="2547F384">
      <w:pPr>
        <w:numPr>
          <w:ilvl w:val="0"/>
          <w:numId w:val="0"/>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I felt to improved more extensive testing bu increment test size. Extending the sample size and including a more different scope of organizations, for example, little, medium, and enormous undertakings would give a more far reaching perspective on ABMS mindfulness and viability. And also, different point of view. Consolidating input from different levels inside associations, for instance the executives, functional staff would offer a more nuanced comprehension of strategy influence. </w:t>
      </w:r>
    </w:p>
    <w:p w14:paraId="0FE3476F">
      <w:pPr>
        <w:numPr>
          <w:ilvl w:val="0"/>
          <w:numId w:val="0"/>
        </w:numPr>
        <w:spacing w:line="360" w:lineRule="auto"/>
        <w:jc w:val="both"/>
        <w:rPr>
          <w:rFonts w:hint="default" w:ascii="Times New Roman" w:hAnsi="Times New Roman" w:cs="Times New Roman"/>
          <w:sz w:val="24"/>
          <w:szCs w:val="24"/>
          <w:lang w:val="en-US"/>
        </w:rPr>
      </w:pPr>
    </w:p>
    <w:p w14:paraId="159E6EC1">
      <w:pPr>
        <w:numPr>
          <w:ilvl w:val="0"/>
          <w:numId w:val="3"/>
        </w:numPr>
        <w:spacing w:line="360" w:lineRule="auto"/>
        <w:ind w:left="0" w:leftChars="0" w:firstLine="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Useful parts of the module</w:t>
      </w:r>
    </w:p>
    <w:p w14:paraId="7803519D">
      <w:pPr>
        <w:numPr>
          <w:ilvl w:val="0"/>
          <w:numId w:val="0"/>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research strategy (quantitative strategies) mainly. Finding out about quantitative examination techniques and information investigation was profoundly advantageous. It gave a deliberate way to deal with gathering and deciphering information, fundamental for assessing the viability of strategies. Next, utilization of measurable instruments. Knowledge of statistical tools like SPSS was important for performing definite information investigation and reaching precise determinations from the research. And also, real-world relevance. The emphasis on a genuine issue, for example, anti-bribery measures in the development business, made the research relevant and functional. It featured how hypothetical information can be applied to tackle genuine issues. </w:t>
      </w:r>
    </w:p>
    <w:p w14:paraId="5ED898ED">
      <w:pPr>
        <w:numPr>
          <w:ilvl w:val="0"/>
          <w:numId w:val="0"/>
        </w:numPr>
        <w:spacing w:line="360" w:lineRule="auto"/>
        <w:ind w:leftChars="0"/>
        <w:jc w:val="both"/>
        <w:rPr>
          <w:rFonts w:hint="default" w:ascii="Times New Roman" w:hAnsi="Times New Roman" w:cs="Times New Roman"/>
          <w:sz w:val="24"/>
          <w:szCs w:val="24"/>
          <w:lang w:val="en-US"/>
        </w:rPr>
      </w:pPr>
    </w:p>
    <w:p w14:paraId="3801B434">
      <w:pPr>
        <w:numPr>
          <w:numId w:val="0"/>
        </w:numPr>
        <w:spacing w:line="360" w:lineRule="auto"/>
        <w:ind w:leftChars="0"/>
        <w:jc w:val="both"/>
        <w:rPr>
          <w:rFonts w:hint="default" w:ascii="Times New Roman" w:hAnsi="Times New Roman" w:cs="Times New Roman"/>
          <w:sz w:val="24"/>
          <w:szCs w:val="24"/>
          <w:lang w:val="en-US"/>
        </w:rPr>
      </w:pPr>
    </w:p>
    <w:p w14:paraId="3C255E6A">
      <w:pPr>
        <w:numPr>
          <w:ilvl w:val="0"/>
          <w:numId w:val="3"/>
        </w:numPr>
        <w:spacing w:line="360" w:lineRule="auto"/>
        <w:ind w:left="0" w:leftChars="0" w:firstLine="0" w:firstLineChars="0"/>
        <w:jc w:val="both"/>
        <w:rPr>
          <w:rFonts w:hint="default" w:ascii="Times New Roman" w:hAnsi="Times New Roman" w:cs="Times New Roman"/>
          <w:sz w:val="24"/>
          <w:szCs w:val="24"/>
          <w:lang w:val="en-US"/>
        </w:rPr>
      </w:pPr>
      <w:bookmarkStart w:id="0" w:name="_GoBack"/>
      <w:bookmarkEnd w:id="0"/>
      <w:r>
        <w:rPr>
          <w:rFonts w:hint="default" w:ascii="Times New Roman" w:hAnsi="Times New Roman" w:cs="Times New Roman"/>
          <w:sz w:val="24"/>
          <w:szCs w:val="24"/>
          <w:lang w:val="en-US"/>
        </w:rPr>
        <w:t xml:space="preserve">Challenges experienced </w:t>
      </w:r>
    </w:p>
    <w:p w14:paraId="1CF2C728">
      <w:pPr>
        <w:numPr>
          <w:ilvl w:val="0"/>
          <w:numId w:val="0"/>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Firstly, survey distribution. Planning the conveyance of reviews and guaranteeing a high reaction rate is challenge. Specialized issues or absence of commitment from members can influence information quality. Second, the reaction fluctuation. Changeability in reactions or incomplete information might present difficulties in accomplishing an unmistakable comprehension of the viability of hostile to anti-bribery strategies. Thirdly, adjusting time requirements. Dealing with the time expected for various phases of the examination, from planning the study to dissecting information, can be testing, particularly while offsetting scholastic obligations with different responsibilities. </w:t>
      </w:r>
    </w:p>
    <w:p w14:paraId="421FE0D7">
      <w:pPr>
        <w:numPr>
          <w:ilvl w:val="0"/>
          <w:numId w:val="0"/>
        </w:numPr>
        <w:spacing w:line="360" w:lineRule="auto"/>
        <w:ind w:leftChars="0"/>
        <w:jc w:val="both"/>
        <w:rPr>
          <w:rFonts w:hint="default" w:ascii="Times New Roman" w:hAnsi="Times New Roman" w:cs="Times New Roman"/>
          <w:sz w:val="24"/>
          <w:szCs w:val="24"/>
          <w:lang w:val="en-US"/>
        </w:rPr>
      </w:pPr>
    </w:p>
    <w:p w14:paraId="6B74CD05">
      <w:pPr>
        <w:numPr>
          <w:ilvl w:val="0"/>
          <w:numId w:val="0"/>
        </w:numPr>
        <w:spacing w:line="360" w:lineRule="auto"/>
        <w:ind w:leftChars="0"/>
        <w:jc w:val="both"/>
        <w:rPr>
          <w:rFonts w:hint="default" w:ascii="Times New Roman" w:hAnsi="Times New Roman" w:cs="Times New Roman"/>
          <w:i/>
          <w:iCs/>
          <w:color w:val="2E75B6" w:themeColor="accent1" w:themeShade="BF"/>
          <w:sz w:val="24"/>
          <w:szCs w:val="24"/>
          <w:lang w:val="en-US"/>
        </w:rPr>
      </w:pPr>
      <w:r>
        <w:rPr>
          <w:rFonts w:hint="default" w:ascii="Times New Roman" w:hAnsi="Times New Roman" w:cs="Times New Roman"/>
          <w:i/>
          <w:iCs/>
          <w:color w:val="2E75B6" w:themeColor="accent1" w:themeShade="BF"/>
          <w:sz w:val="24"/>
          <w:szCs w:val="24"/>
          <w:lang w:val="en-US"/>
        </w:rPr>
        <w:t>Stage 4: Analysis</w:t>
      </w:r>
    </w:p>
    <w:p w14:paraId="3C7D1C16">
      <w:pPr>
        <w:numPr>
          <w:ilvl w:val="0"/>
          <w:numId w:val="0"/>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In the wake of evaluating and dissecting the examination on the mindfulness and adequacy of ABMS in Malaysian development organizations, obviously the discoveries have huge genuine ramifications and mirror the complexities of tending to debasement in this area. This is the way the report lines up with and reflects reality.</w:t>
      </w:r>
    </w:p>
    <w:p w14:paraId="178F020B">
      <w:pPr>
        <w:numPr>
          <w:ilvl w:val="0"/>
          <w:numId w:val="0"/>
        </w:numPr>
        <w:spacing w:line="360" w:lineRule="auto"/>
        <w:ind w:leftChars="0"/>
        <w:jc w:val="both"/>
        <w:rPr>
          <w:rFonts w:hint="default" w:ascii="Times New Roman" w:hAnsi="Times New Roman" w:cs="Times New Roman"/>
          <w:sz w:val="24"/>
          <w:szCs w:val="24"/>
          <w:lang w:val="en-US"/>
        </w:rPr>
      </w:pPr>
    </w:p>
    <w:p w14:paraId="23A85F8B">
      <w:pPr>
        <w:numPr>
          <w:ilvl w:val="0"/>
          <w:numId w:val="4"/>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Real-world arrangement</w:t>
      </w:r>
    </w:p>
    <w:p w14:paraId="669C97C3">
      <w:pPr>
        <w:numPr>
          <w:numId w:val="0"/>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mindfulness versus down to earth execution. The exploration features a typical certifiable issue where elevated degrees of mindfulness about enemy of anti-bribery strategies don’t necessarily in every case convert into powerful execution. This disparity between hypothetical information and commonsense application is a legitimate test in numerous enterprises, especially in areas inclined to elevated degrees of debasement, similar to development. The suggestion is the discoveries highlight the requirement for development organizations to move past essentially imparting against anti-bribery strategies to effectively inserting these practices into their everyday activities through strong implementation instruments. </w:t>
      </w:r>
    </w:p>
    <w:p w14:paraId="2858A6B7">
      <w:pPr>
        <w:numPr>
          <w:numId w:val="0"/>
        </w:numPr>
        <w:spacing w:line="360" w:lineRule="auto"/>
        <w:jc w:val="both"/>
        <w:rPr>
          <w:rFonts w:hint="default" w:ascii="Times New Roman" w:hAnsi="Times New Roman" w:cs="Times New Roman"/>
          <w:sz w:val="24"/>
          <w:szCs w:val="24"/>
          <w:lang w:val="en-US"/>
        </w:rPr>
      </w:pPr>
    </w:p>
    <w:p w14:paraId="0B054BEC">
      <w:pPr>
        <w:numPr>
          <w:ilvl w:val="0"/>
          <w:numId w:val="4"/>
        </w:numPr>
        <w:spacing w:line="360" w:lineRule="auto"/>
        <w:ind w:left="0" w:leftChars="0" w:firstLine="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Challenges in the development area</w:t>
      </w:r>
    </w:p>
    <w:p w14:paraId="56D0EE9C">
      <w:pPr>
        <w:numPr>
          <w:numId w:val="0"/>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First, area explicit issues. The development business weakness to anti-bribery and defilement is all around perceived universally. The examination’s emphasis on this area mirrors the truth of how enormous scope ventures and complex task elements set out open doors for degenerate practices. Next, sensible experiences. The review’s ID of determined difficulties in carrying out enemy of anti-bribery measures reflects the challenges looked by numerous associations in comparable high-risk areas. These difficulties incorporate conflicting authorization and the requirement for better preparation programs. </w:t>
      </w:r>
    </w:p>
    <w:p w14:paraId="30817911">
      <w:pPr>
        <w:numPr>
          <w:numId w:val="0"/>
        </w:numPr>
        <w:spacing w:line="360" w:lineRule="auto"/>
        <w:ind w:leftChars="0"/>
        <w:jc w:val="both"/>
        <w:rPr>
          <w:rFonts w:hint="default" w:ascii="Times New Roman" w:hAnsi="Times New Roman" w:cs="Times New Roman"/>
          <w:sz w:val="24"/>
          <w:szCs w:val="24"/>
          <w:lang w:val="en-US"/>
        </w:rPr>
      </w:pPr>
    </w:p>
    <w:p w14:paraId="05E60D61">
      <w:pPr>
        <w:numPr>
          <w:ilvl w:val="0"/>
          <w:numId w:val="4"/>
        </w:numPr>
        <w:spacing w:line="360" w:lineRule="auto"/>
        <w:ind w:left="0" w:leftChars="0" w:firstLine="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Effectiveness ABMS</w:t>
      </w:r>
    </w:p>
    <w:p w14:paraId="085D54F2">
      <w:pPr>
        <w:numPr>
          <w:numId w:val="0"/>
        </w:numPr>
        <w:spacing w:line="360" w:lineRule="auto"/>
        <w:ind w:left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assessment of ABMS adequacy lines up with genuine encounters where even all around planned approaches might battle to accomplish their expected results without appropriate help and variation. This reality underlines that enemy of bribery frameworks should be consistently refined and adjusted in light of criticism and evolving conditions.</w:t>
      </w:r>
    </w:p>
    <w:p w14:paraId="4C9D50D0">
      <w:pPr>
        <w:numPr>
          <w:numId w:val="0"/>
        </w:numPr>
        <w:spacing w:line="360" w:lineRule="auto"/>
        <w:ind w:leftChars="0"/>
        <w:jc w:val="both"/>
        <w:rPr>
          <w:rFonts w:hint="default" w:ascii="Times New Roman" w:hAnsi="Times New Roman" w:cs="Times New Roman"/>
          <w:i/>
          <w:iCs/>
          <w:color w:val="2E75B6" w:themeColor="accent1" w:themeShade="BF"/>
          <w:sz w:val="24"/>
          <w:szCs w:val="24"/>
          <w:lang w:val="en-US"/>
        </w:rPr>
      </w:pPr>
    </w:p>
    <w:p w14:paraId="4728487A">
      <w:pPr>
        <w:numPr>
          <w:numId w:val="0"/>
        </w:numPr>
        <w:spacing w:line="360" w:lineRule="auto"/>
        <w:ind w:leftChars="0"/>
        <w:jc w:val="both"/>
        <w:rPr>
          <w:rFonts w:hint="default" w:ascii="Times New Roman" w:hAnsi="Times New Roman" w:cs="Times New Roman"/>
          <w:i/>
          <w:iCs/>
          <w:color w:val="2E75B6" w:themeColor="accent1" w:themeShade="BF"/>
          <w:sz w:val="24"/>
          <w:szCs w:val="24"/>
          <w:lang w:val="en-US"/>
        </w:rPr>
      </w:pPr>
      <w:r>
        <w:rPr>
          <w:rFonts w:hint="default" w:ascii="Times New Roman" w:hAnsi="Times New Roman" w:cs="Times New Roman"/>
          <w:i/>
          <w:iCs/>
          <w:color w:val="2E75B6" w:themeColor="accent1" w:themeShade="BF"/>
          <w:sz w:val="24"/>
          <w:szCs w:val="24"/>
          <w:lang w:val="en-US"/>
        </w:rPr>
        <w:t>Stage 5: Conclusion</w:t>
      </w:r>
    </w:p>
    <w:p w14:paraId="10C27081">
      <w:pPr>
        <w:numPr>
          <w:numId w:val="0"/>
        </w:numPr>
        <w:spacing w:line="360" w:lineRule="auto"/>
        <w:ind w:leftChars="0"/>
        <w:jc w:val="both"/>
        <w:rPr>
          <w:rFonts w:hint="default" w:ascii="Times New Roman" w:hAnsi="Times New Roman"/>
          <w:i w:val="0"/>
          <w:iCs w:val="0"/>
          <w:color w:val="auto"/>
          <w:sz w:val="24"/>
          <w:szCs w:val="24"/>
          <w:lang w:val="en-US"/>
        </w:rPr>
      </w:pPr>
      <w:r>
        <w:rPr>
          <w:rFonts w:hint="default" w:ascii="Times New Roman" w:hAnsi="Times New Roman"/>
          <w:i w:val="0"/>
          <w:iCs w:val="0"/>
          <w:color w:val="auto"/>
          <w:sz w:val="24"/>
          <w:szCs w:val="24"/>
          <w:lang w:val="en-US"/>
        </w:rPr>
        <w:t xml:space="preserve">Potential for Certainty from comprehension of exploration techniques. In the event that I personally student has a strong handle of quantitative examination strategies and factual examination, might feel sure about the capacity to direct and decipher the review. And, significance of the point. On the off chance that I very keen on enemy of debasement measures or the business knowledge, this present reality importance of the subject could support my certainty as well. </w:t>
      </w:r>
    </w:p>
    <w:p w14:paraId="2169AB9C">
      <w:pPr>
        <w:numPr>
          <w:numId w:val="0"/>
        </w:numPr>
        <w:spacing w:line="360" w:lineRule="auto"/>
        <w:ind w:leftChars="0"/>
        <w:jc w:val="both"/>
        <w:rPr>
          <w:rFonts w:hint="default" w:ascii="Times New Roman" w:hAnsi="Times New Roman"/>
          <w:i w:val="0"/>
          <w:iCs w:val="0"/>
          <w:color w:val="auto"/>
          <w:sz w:val="24"/>
          <w:szCs w:val="24"/>
          <w:lang w:val="en-US"/>
        </w:rPr>
      </w:pPr>
      <w:r>
        <w:rPr>
          <w:rFonts w:hint="default" w:ascii="Times New Roman" w:hAnsi="Times New Roman"/>
          <w:i w:val="0"/>
          <w:iCs w:val="0"/>
          <w:color w:val="auto"/>
          <w:sz w:val="24"/>
          <w:szCs w:val="24"/>
          <w:lang w:val="en-US"/>
        </w:rPr>
        <w:tab/>
        <w:t>Moving to, qualities of the report are viable importance. The report resolves a basic issue — anti-bribery and debasement in a high-risk area which making the examination both opportune and critical. Then, quantitative examination by utilizing quantitative strategies and instruments like SPSS gives an organized way to deal with information investigation, which can loan validity and accuracy to the discoveries. Additionally, true application: The bits of knowledge acquired from the exploration can straightforwardly influence and further develop anti-bribery rehearses in the development business, giving a feeling of achievement.</w:t>
      </w:r>
    </w:p>
    <w:p w14:paraId="71CE3E80">
      <w:pPr>
        <w:numPr>
          <w:ilvl w:val="0"/>
          <w:numId w:val="0"/>
        </w:numPr>
        <w:rPr>
          <w:rFonts w:hint="default"/>
          <w:sz w:val="24"/>
          <w:szCs w:val="24"/>
          <w:lang w:val="en-US"/>
        </w:rPr>
      </w:pPr>
    </w:p>
    <w:p w14:paraId="35E707F5">
      <w:pPr>
        <w:numPr>
          <w:ilvl w:val="0"/>
          <w:numId w:val="0"/>
        </w:numPr>
        <w:rPr>
          <w:rFonts w:hint="default"/>
          <w:sz w:val="24"/>
          <w:szCs w:val="24"/>
          <w:lang w:val="en-US"/>
        </w:rPr>
      </w:pPr>
      <w:r>
        <w:rPr>
          <w:rFonts w:hint="default"/>
          <w:sz w:val="24"/>
          <w:szCs w:val="24"/>
          <w:lang w:val="en-US"/>
        </w:rPr>
        <w:t xml:space="preserve">    </w:t>
      </w:r>
    </w:p>
    <w:sectPr>
      <w:footerReference r:id="rId3" w:type="default"/>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425C162">
    <w:pPr>
      <w:pStyle w:val="4"/>
      <w:rPr>
        <w:rFonts w:hint="default" w:ascii="Times New Roman" w:hAnsi="Times New Roman" w:cs="Times New Roman"/>
        <w:lang w:val="en-US"/>
      </w:rP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02CF4D48">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14:paraId="02CF4D48">
                    <w:pPr>
                      <w:pStyle w:val="4"/>
                    </w:pPr>
                    <w:r>
                      <w:fldChar w:fldCharType="begin"/>
                    </w:r>
                    <w:r>
                      <w:instrText xml:space="preserve"> PAGE  \* MERGEFORMAT </w:instrText>
                    </w:r>
                    <w:r>
                      <w:fldChar w:fldCharType="separate"/>
                    </w:r>
                    <w:r>
                      <w:t>1</w:t>
                    </w:r>
                    <w:r>
                      <w:fldChar w:fldCharType="end"/>
                    </w:r>
                  </w:p>
                </w:txbxContent>
              </v:textbox>
            </v:shape>
          </w:pict>
        </mc:Fallback>
      </mc:AlternateContent>
    </w:r>
    <w:r>
      <w:rPr>
        <w:rFonts w:hint="default" w:ascii="Times New Roman" w:hAnsi="Times New Roman" w:cs="Times New Roman"/>
        <w:lang w:val="en-US"/>
      </w:rPr>
      <w:t>POOJA GUNASEGARAN, 2226203</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A69834C"/>
    <w:multiLevelType w:val="singleLevel"/>
    <w:tmpl w:val="AA69834C"/>
    <w:lvl w:ilvl="0" w:tentative="0">
      <w:start w:val="1"/>
      <w:numFmt w:val="decimal"/>
      <w:suff w:val="space"/>
      <w:lvlText w:val="%1."/>
      <w:lvlJc w:val="left"/>
    </w:lvl>
  </w:abstractNum>
  <w:abstractNum w:abstractNumId="1">
    <w:nsid w:val="F7515DC0"/>
    <w:multiLevelType w:val="singleLevel"/>
    <w:tmpl w:val="F7515DC0"/>
    <w:lvl w:ilvl="0" w:tentative="0">
      <w:start w:val="1"/>
      <w:numFmt w:val="decimal"/>
      <w:suff w:val="space"/>
      <w:lvlText w:val="%1."/>
      <w:lvlJc w:val="left"/>
    </w:lvl>
  </w:abstractNum>
  <w:abstractNum w:abstractNumId="2">
    <w:nsid w:val="3E7AFAF5"/>
    <w:multiLevelType w:val="singleLevel"/>
    <w:tmpl w:val="3E7AFAF5"/>
    <w:lvl w:ilvl="0" w:tentative="0">
      <w:start w:val="1"/>
      <w:numFmt w:val="decimal"/>
      <w:suff w:val="space"/>
      <w:lvlText w:val="%1."/>
      <w:lvlJc w:val="left"/>
    </w:lvl>
  </w:abstractNum>
  <w:abstractNum w:abstractNumId="3">
    <w:nsid w:val="4C7AFB5F"/>
    <w:multiLevelType w:val="singleLevel"/>
    <w:tmpl w:val="4C7AFB5F"/>
    <w:lvl w:ilvl="0" w:tentative="0">
      <w:start w:val="1"/>
      <w:numFmt w:val="decimal"/>
      <w:suff w:val="space"/>
      <w:lvlText w:val="%1."/>
      <w:lvlJc w:val="left"/>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0DC503E"/>
    <w:rsid w:val="0EF920F8"/>
    <w:rsid w:val="40DC50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szCs w:val="18"/>
    </w:rPr>
  </w:style>
  <w:style w:type="paragraph" w:styleId="5">
    <w:name w:val="header"/>
    <w:basedOn w:val="1"/>
    <w:uiPriority w:val="0"/>
    <w:pPr>
      <w:tabs>
        <w:tab w:val="center" w:pos="4153"/>
        <w:tab w:val="right" w:pos="8306"/>
      </w:tabs>
      <w:snapToGrid w:val="0"/>
    </w:pPr>
    <w:rPr>
      <w:sz w:val="18"/>
      <w:szCs w:val="18"/>
    </w:rPr>
  </w:style>
  <w:style w:type="table" w:styleId="6">
    <w:name w:val="Table Grid"/>
    <w:basedOn w:val="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7</Pages>
  <Words>0</Words>
  <Characters>0</Characters>
  <Lines>0</Lines>
  <Paragraphs>0</Paragraphs>
  <TotalTime>3</TotalTime>
  <ScaleCrop>false</ScaleCrop>
  <LinksUpToDate>false</LinksUpToDate>
  <CharactersWithSpaces>0</CharactersWithSpaces>
  <Application>WPS Office_12.2.0.17562_F1E327BC-269C-435d-A152-05C5408002CA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2024-09-09T11:58:00Z</dcterms:created>
  <dc:creator>user</dc:creator>
  <cp:lastModifiedBy>Pooja Gunasegaran</cp:lastModifiedBy>
  <dcterms:modified xsi:type="dcterms:W3CDTF">2024-09-09T15:45:34Z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1033-12.2.0.17562</vt:lpwstr>
  </property>
  <property fmtid="{D5CDD505-2E9C-101B-9397-08002B2CF9AE}" pid="3" name="ICV">
    <vt:lpwstr>1CB0130336A64BEB88AC2FDFDDA2D4CE_11</vt:lpwstr>
  </property>
</Properties>
</file>