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colors3.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ata3.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drawing3.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layout3.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iagrams/quickStyle3.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napToGrid/>
        <w:spacing w:before="625" w:beforeLines="200"/>
        <w:textAlignment w:val="auto"/>
        <w:rPr>
          <w:rFonts w:hint="default" w:ascii="Arial" w:hAnsi="Arial" w:eastAsia="宋体" w:cs="Arial"/>
          <w:b/>
          <w:bCs/>
          <w:sz w:val="30"/>
          <w:szCs w:val="30"/>
          <w:lang w:val="en-US" w:eastAsia="zh-CN"/>
        </w:rPr>
      </w:pPr>
    </w:p>
    <w:p>
      <w:pPr>
        <w:keepNext w:val="0"/>
        <w:keepLines w:val="0"/>
        <w:pageBreakBefore w:val="0"/>
        <w:widowControl/>
        <w:kinsoku/>
        <w:wordWrap/>
        <w:overflowPunct/>
        <w:topLinePunct w:val="0"/>
        <w:autoSpaceDE/>
        <w:autoSpaceDN/>
        <w:bidi w:val="0"/>
        <w:adjustRightInd/>
        <w:snapToGrid/>
        <w:spacing w:before="625" w:beforeLines="200"/>
        <w:textAlignment w:val="auto"/>
        <w:rPr>
          <w:rFonts w:hint="default" w:ascii="Arial" w:hAnsi="Arial" w:eastAsia="宋体" w:cs="Arial"/>
          <w:b/>
          <w:bCs/>
          <w:sz w:val="30"/>
          <w:szCs w:val="30"/>
          <w:lang w:val="en-US" w:eastAsia="zh-CN"/>
        </w:rPr>
      </w:pPr>
    </w:p>
    <w:p>
      <w:pPr>
        <w:keepNext w:val="0"/>
        <w:keepLines w:val="0"/>
        <w:pageBreakBefore w:val="0"/>
        <w:widowControl/>
        <w:kinsoku/>
        <w:wordWrap/>
        <w:overflowPunct/>
        <w:topLinePunct w:val="0"/>
        <w:autoSpaceDE/>
        <w:autoSpaceDN/>
        <w:bidi w:val="0"/>
        <w:adjustRightInd/>
        <w:snapToGrid/>
        <w:spacing w:before="625" w:beforeLines="200"/>
        <w:textAlignment w:val="auto"/>
        <w:rPr>
          <w:rFonts w:hint="default" w:ascii="Arial" w:hAnsi="Arial" w:eastAsia="宋体" w:cs="Arial"/>
          <w:b/>
          <w:bCs/>
          <w:sz w:val="30"/>
          <w:szCs w:val="30"/>
          <w:lang w:val="en-US" w:eastAsia="zh-CN"/>
        </w:rPr>
      </w:pPr>
    </w:p>
    <w:p>
      <w:pPr>
        <w:keepNext w:val="0"/>
        <w:keepLines w:val="0"/>
        <w:pageBreakBefore w:val="0"/>
        <w:widowControl/>
        <w:kinsoku/>
        <w:wordWrap/>
        <w:overflowPunct/>
        <w:topLinePunct w:val="0"/>
        <w:autoSpaceDE/>
        <w:autoSpaceDN/>
        <w:bidi w:val="0"/>
        <w:adjustRightInd/>
        <w:snapToGrid/>
        <w:spacing w:before="625" w:beforeLines="200"/>
        <w:textAlignment w:val="auto"/>
        <w:rPr>
          <w:rFonts w:hint="eastAsia" w:ascii="Arial" w:hAnsi="Arial" w:eastAsia="宋体" w:cs="Arial"/>
          <w:b/>
          <w:bCs/>
          <w:sz w:val="44"/>
          <w:szCs w:val="44"/>
          <w:lang w:val="en-US" w:eastAsia="zh-CN"/>
        </w:rPr>
      </w:pPr>
      <w:r>
        <w:rPr>
          <w:rFonts w:hint="default" w:ascii="Arial" w:hAnsi="Arial" w:eastAsia="宋体" w:cs="Arial"/>
          <w:b/>
          <w:bCs/>
          <w:sz w:val="44"/>
          <w:szCs w:val="44"/>
          <w:lang w:val="en-US" w:eastAsia="zh-CN"/>
        </w:rPr>
        <w:t>Assessment Title:</w:t>
      </w:r>
      <w:r>
        <w:rPr>
          <w:rFonts w:hint="eastAsia" w:ascii="Arial" w:hAnsi="Arial" w:eastAsia="宋体" w:cs="Arial"/>
          <w:b/>
          <w:bCs/>
          <w:sz w:val="44"/>
          <w:szCs w:val="44"/>
          <w:lang w:val="en-US" w:eastAsia="zh-CN"/>
        </w:rPr>
        <w:t xml:space="preserve"> </w:t>
      </w:r>
      <w:bookmarkStart w:id="22" w:name="_GoBack"/>
      <w:r>
        <w:rPr>
          <w:rFonts w:hint="eastAsia" w:ascii="Arial" w:hAnsi="Arial" w:eastAsia="宋体" w:cs="Arial"/>
          <w:b/>
          <w:bCs/>
          <w:sz w:val="44"/>
          <w:szCs w:val="44"/>
          <w:lang w:val="en-US" w:eastAsia="zh-CN"/>
        </w:rPr>
        <w:t xml:space="preserve">Strategic Marketing </w:t>
      </w:r>
      <w:bookmarkEnd w:id="22"/>
    </w:p>
    <w:p>
      <w:pPr>
        <w:keepNext w:val="0"/>
        <w:keepLines w:val="0"/>
        <w:pageBreakBefore w:val="0"/>
        <w:widowControl/>
        <w:kinsoku/>
        <w:wordWrap/>
        <w:overflowPunct/>
        <w:topLinePunct w:val="0"/>
        <w:autoSpaceDE/>
        <w:autoSpaceDN/>
        <w:bidi w:val="0"/>
        <w:adjustRightInd/>
        <w:snapToGrid/>
        <w:spacing w:before="625" w:beforeLines="200"/>
        <w:textAlignment w:val="auto"/>
        <w:rPr>
          <w:rFonts w:hint="default" w:ascii="Arial" w:hAnsi="Arial" w:eastAsia="宋体" w:cs="Arial"/>
          <w:b/>
          <w:bCs/>
          <w:sz w:val="44"/>
          <w:szCs w:val="44"/>
          <w:lang w:val="en-US" w:eastAsia="zh-CN"/>
        </w:rPr>
      </w:pPr>
      <w:r>
        <w:rPr>
          <w:rFonts w:hint="default" w:ascii="Arial" w:hAnsi="Arial" w:eastAsia="宋体" w:cs="Arial"/>
          <w:b/>
          <w:bCs/>
          <w:sz w:val="44"/>
          <w:szCs w:val="44"/>
          <w:lang w:val="en-US" w:eastAsia="zh-CN"/>
        </w:rPr>
        <w:t>Module Code:</w:t>
      </w:r>
      <w:r>
        <w:rPr>
          <w:rFonts w:hint="eastAsia" w:ascii="Arial" w:hAnsi="Arial" w:eastAsia="宋体" w:cs="Arial"/>
          <w:b/>
          <w:bCs/>
          <w:sz w:val="44"/>
          <w:szCs w:val="44"/>
          <w:lang w:val="en-US" w:eastAsia="zh-CN"/>
        </w:rPr>
        <w:t xml:space="preserve"> </w:t>
      </w:r>
      <w:r>
        <w:rPr>
          <w:rFonts w:hint="eastAsia" w:ascii="Arial" w:hAnsi="Arial" w:eastAsia="宋体" w:cs="Arial"/>
          <w:b/>
          <w:bCs/>
          <w:sz w:val="44"/>
          <w:szCs w:val="44"/>
          <w:lang w:val="en-US" w:eastAsia="zh-CN"/>
        </w:rPr>
        <w:t>(BMBM6016)</w:t>
      </w:r>
    </w:p>
    <w:p>
      <w:pPr>
        <w:keepNext w:val="0"/>
        <w:keepLines w:val="0"/>
        <w:pageBreakBefore w:val="0"/>
        <w:widowControl/>
        <w:kinsoku/>
        <w:wordWrap/>
        <w:overflowPunct/>
        <w:topLinePunct w:val="0"/>
        <w:autoSpaceDE/>
        <w:autoSpaceDN/>
        <w:bidi w:val="0"/>
        <w:adjustRightInd/>
        <w:snapToGrid/>
        <w:spacing w:before="625" w:beforeLines="200"/>
        <w:textAlignment w:val="auto"/>
        <w:rPr>
          <w:rFonts w:hint="default" w:ascii="Arial" w:hAnsi="Arial" w:eastAsia="宋体" w:cs="Arial"/>
          <w:b/>
          <w:bCs/>
          <w:sz w:val="44"/>
          <w:szCs w:val="44"/>
          <w:lang w:val="en-US" w:eastAsia="zh-CN"/>
        </w:rPr>
      </w:pPr>
      <w:r>
        <w:rPr>
          <w:rFonts w:hint="default" w:ascii="Arial" w:hAnsi="Arial" w:eastAsia="宋体" w:cs="Arial"/>
          <w:b/>
          <w:bCs/>
          <w:sz w:val="44"/>
          <w:szCs w:val="44"/>
          <w:lang w:val="en-US" w:eastAsia="zh-CN"/>
        </w:rPr>
        <w:t>Name:</w:t>
      </w:r>
      <w:r>
        <w:rPr>
          <w:rFonts w:hint="eastAsia" w:ascii="Arial" w:hAnsi="Arial" w:eastAsia="宋体" w:cs="Arial"/>
          <w:b/>
          <w:bCs/>
          <w:sz w:val="44"/>
          <w:szCs w:val="44"/>
          <w:lang w:val="en-US" w:eastAsia="zh-CN"/>
        </w:rPr>
        <w:t xml:space="preserve"> WenHao Zhu</w:t>
      </w:r>
    </w:p>
    <w:p>
      <w:pPr>
        <w:keepNext w:val="0"/>
        <w:keepLines w:val="0"/>
        <w:pageBreakBefore w:val="0"/>
        <w:widowControl/>
        <w:kinsoku/>
        <w:wordWrap/>
        <w:overflowPunct/>
        <w:topLinePunct w:val="0"/>
        <w:autoSpaceDE/>
        <w:autoSpaceDN/>
        <w:bidi w:val="0"/>
        <w:adjustRightInd/>
        <w:snapToGrid/>
        <w:spacing w:before="625" w:beforeLines="200"/>
        <w:textAlignment w:val="auto"/>
        <w:rPr>
          <w:rFonts w:hint="default"/>
          <w:sz w:val="44"/>
          <w:szCs w:val="44"/>
          <w:lang w:val="en-GB"/>
        </w:rPr>
      </w:pPr>
      <w:r>
        <w:rPr>
          <w:rFonts w:hint="default" w:ascii="Arial" w:hAnsi="Arial" w:eastAsia="宋体" w:cs="Arial"/>
          <w:b/>
          <w:bCs/>
          <w:sz w:val="44"/>
          <w:szCs w:val="44"/>
          <w:lang w:val="en-US" w:eastAsia="zh-CN"/>
        </w:rPr>
        <w:t>ID:</w:t>
      </w:r>
      <w:r>
        <w:rPr>
          <w:rFonts w:hint="eastAsia" w:ascii="Arial" w:hAnsi="Arial" w:eastAsia="宋体" w:cs="Arial"/>
          <w:b/>
          <w:bCs/>
          <w:sz w:val="44"/>
          <w:szCs w:val="44"/>
          <w:lang w:val="en-US" w:eastAsia="zh-CN"/>
        </w:rPr>
        <w:t xml:space="preserve"> 2106011</w:t>
      </w:r>
      <w:r>
        <w:rPr>
          <w:rFonts w:hint="default"/>
          <w:sz w:val="44"/>
          <w:szCs w:val="44"/>
          <w:lang w:val="en-GB"/>
        </w:rPr>
        <w:br w:type="page"/>
      </w:r>
    </w:p>
    <w:p>
      <w:pPr>
        <w:pStyle w:val="14"/>
        <w:spacing w:line="360" w:lineRule="auto"/>
        <w:jc w:val="center"/>
        <w:rPr>
          <w:sz w:val="32"/>
          <w:szCs w:val="32"/>
        </w:rPr>
      </w:pPr>
      <w:r>
        <w:rPr>
          <w:rFonts w:ascii="Times New Roman" w:hAnsi="Times New Roman" w:cs="Times New Roman"/>
          <w:b/>
          <w:sz w:val="32"/>
          <w:szCs w:val="32"/>
          <w:lang w:val="en-GB"/>
        </w:rPr>
        <w:t>TABLE OF CONTENTS</w:t>
      </w:r>
    </w:p>
    <w:p>
      <w:pPr>
        <w:pStyle w:val="8"/>
        <w:tabs>
          <w:tab w:val="right" w:leader="dot" w:pos="8306"/>
        </w:tabs>
      </w:pPr>
      <w:r>
        <w:fldChar w:fldCharType="begin"/>
      </w:r>
      <w:r>
        <w:instrText xml:space="preserve">TOC \o "1-3" \h \u </w:instrText>
      </w:r>
      <w:r>
        <w:fldChar w:fldCharType="separate"/>
      </w:r>
      <w:r>
        <w:fldChar w:fldCharType="begin"/>
      </w:r>
      <w:r>
        <w:instrText xml:space="preserve"> HYPERLINK \l _Toc19432 </w:instrText>
      </w:r>
      <w:r>
        <w:fldChar w:fldCharType="separate"/>
      </w:r>
      <w:r>
        <w:rPr>
          <w:rFonts w:hint="default"/>
          <w:szCs w:val="28"/>
          <w:lang w:val="en-GB"/>
        </w:rPr>
        <w:t>EXECUTIVE SUMMARY</w:t>
      </w:r>
      <w:r>
        <w:tab/>
      </w:r>
      <w:r>
        <w:fldChar w:fldCharType="begin"/>
      </w:r>
      <w:r>
        <w:instrText xml:space="preserve"> PAGEREF _Toc19432 \h </w:instrText>
      </w:r>
      <w:r>
        <w:fldChar w:fldCharType="separate"/>
      </w:r>
      <w:r>
        <w:t>1</w:t>
      </w:r>
      <w:r>
        <w:fldChar w:fldCharType="end"/>
      </w:r>
      <w:r>
        <w:fldChar w:fldCharType="end"/>
      </w:r>
    </w:p>
    <w:p>
      <w:pPr>
        <w:pStyle w:val="8"/>
        <w:tabs>
          <w:tab w:val="right" w:leader="dot" w:pos="8306"/>
        </w:tabs>
      </w:pPr>
      <w:r>
        <w:fldChar w:fldCharType="begin"/>
      </w:r>
      <w:r>
        <w:instrText xml:space="preserve"> HYPERLINK \l _Toc10079 </w:instrText>
      </w:r>
      <w:r>
        <w:fldChar w:fldCharType="separate"/>
      </w:r>
      <w:r>
        <w:rPr>
          <w:rFonts w:hint="default" w:ascii="Arial" w:hAnsi="Arial" w:cs="Arial"/>
          <w:szCs w:val="28"/>
          <w:lang w:val="en-GB"/>
        </w:rPr>
        <w:t>1</w:t>
      </w:r>
      <w:r>
        <w:rPr>
          <w:rFonts w:hint="eastAsia" w:ascii="Arial" w:hAnsi="Arial" w:cs="Arial"/>
          <w:szCs w:val="28"/>
          <w:lang w:val="en-US" w:eastAsia="zh-CN"/>
        </w:rPr>
        <w:t>.0</w:t>
      </w:r>
      <w:r>
        <w:rPr>
          <w:rFonts w:hint="default" w:ascii="Arial" w:hAnsi="Arial" w:cs="Arial"/>
          <w:szCs w:val="28"/>
          <w:lang w:val="en-GB"/>
        </w:rPr>
        <w:t xml:space="preserve"> Introduction</w:t>
      </w:r>
      <w:r>
        <w:tab/>
      </w:r>
      <w:r>
        <w:fldChar w:fldCharType="begin"/>
      </w:r>
      <w:r>
        <w:instrText xml:space="preserve"> PAGEREF _Toc10079 \h </w:instrText>
      </w:r>
      <w:r>
        <w:fldChar w:fldCharType="separate"/>
      </w:r>
      <w:r>
        <w:t>2</w:t>
      </w:r>
      <w:r>
        <w:fldChar w:fldCharType="end"/>
      </w:r>
      <w:r>
        <w:fldChar w:fldCharType="end"/>
      </w:r>
    </w:p>
    <w:p>
      <w:pPr>
        <w:pStyle w:val="8"/>
        <w:tabs>
          <w:tab w:val="right" w:leader="dot" w:pos="8306"/>
        </w:tabs>
      </w:pPr>
      <w:r>
        <w:fldChar w:fldCharType="begin"/>
      </w:r>
      <w:r>
        <w:instrText xml:space="preserve"> HYPERLINK \l _Toc23089 </w:instrText>
      </w:r>
      <w:r>
        <w:fldChar w:fldCharType="separate"/>
      </w:r>
      <w:r>
        <w:rPr>
          <w:rFonts w:hint="default" w:ascii="Arial" w:hAnsi="Arial" w:cs="Arial"/>
          <w:szCs w:val="28"/>
          <w:lang w:val="en-GB"/>
        </w:rPr>
        <w:t>2</w:t>
      </w:r>
      <w:r>
        <w:rPr>
          <w:rFonts w:hint="eastAsia" w:ascii="Arial" w:hAnsi="Arial" w:cs="Arial"/>
          <w:szCs w:val="28"/>
          <w:lang w:val="en-US" w:eastAsia="zh-CN"/>
        </w:rPr>
        <w:t>.0</w:t>
      </w:r>
      <w:r>
        <w:rPr>
          <w:rFonts w:hint="default" w:ascii="Arial" w:hAnsi="Arial" w:cs="Arial"/>
          <w:szCs w:val="28"/>
          <w:lang w:val="en-GB"/>
        </w:rPr>
        <w:t xml:space="preserve"> The marketing planning process</w:t>
      </w:r>
      <w:r>
        <w:tab/>
      </w:r>
      <w:r>
        <w:fldChar w:fldCharType="begin"/>
      </w:r>
      <w:r>
        <w:instrText xml:space="preserve"> PAGEREF _Toc23089 \h </w:instrText>
      </w:r>
      <w:r>
        <w:fldChar w:fldCharType="separate"/>
      </w:r>
      <w:r>
        <w:t>3</w:t>
      </w:r>
      <w:r>
        <w:fldChar w:fldCharType="end"/>
      </w:r>
      <w:r>
        <w:fldChar w:fldCharType="end"/>
      </w:r>
    </w:p>
    <w:p>
      <w:pPr>
        <w:pStyle w:val="9"/>
        <w:tabs>
          <w:tab w:val="right" w:leader="dot" w:pos="8306"/>
        </w:tabs>
      </w:pPr>
      <w:r>
        <w:fldChar w:fldCharType="begin"/>
      </w:r>
      <w:r>
        <w:instrText xml:space="preserve"> HYPERLINK \l _Toc20997 </w:instrText>
      </w:r>
      <w:r>
        <w:fldChar w:fldCharType="separate"/>
      </w:r>
      <w:r>
        <w:rPr>
          <w:rFonts w:hint="default" w:ascii="Arial" w:hAnsi="Arial" w:cs="Arial"/>
          <w:szCs w:val="24"/>
          <w:lang w:val="en-GB"/>
        </w:rPr>
        <w:t>2.1 SOSTAC Model</w:t>
      </w:r>
      <w:r>
        <w:tab/>
      </w:r>
      <w:r>
        <w:fldChar w:fldCharType="begin"/>
      </w:r>
      <w:r>
        <w:instrText xml:space="preserve"> PAGEREF _Toc20997 \h </w:instrText>
      </w:r>
      <w:r>
        <w:fldChar w:fldCharType="separate"/>
      </w:r>
      <w:r>
        <w:t>3</w:t>
      </w:r>
      <w:r>
        <w:fldChar w:fldCharType="end"/>
      </w:r>
      <w:r>
        <w:fldChar w:fldCharType="end"/>
      </w:r>
    </w:p>
    <w:p>
      <w:pPr>
        <w:pStyle w:val="9"/>
        <w:tabs>
          <w:tab w:val="right" w:leader="dot" w:pos="8306"/>
        </w:tabs>
      </w:pPr>
      <w:r>
        <w:fldChar w:fldCharType="begin"/>
      </w:r>
      <w:r>
        <w:instrText xml:space="preserve"> HYPERLINK \l _Toc23002 </w:instrText>
      </w:r>
      <w:r>
        <w:fldChar w:fldCharType="separate"/>
      </w:r>
      <w:r>
        <w:rPr>
          <w:rFonts w:hint="default" w:ascii="Arial" w:hAnsi="Arial" w:cs="Arial"/>
          <w:szCs w:val="24"/>
          <w:lang w:val="en-GB"/>
        </w:rPr>
        <w:t>2.2 APIC model</w:t>
      </w:r>
      <w:r>
        <w:tab/>
      </w:r>
      <w:r>
        <w:fldChar w:fldCharType="begin"/>
      </w:r>
      <w:r>
        <w:instrText xml:space="preserve"> PAGEREF _Toc23002 \h </w:instrText>
      </w:r>
      <w:r>
        <w:fldChar w:fldCharType="separate"/>
      </w:r>
      <w:r>
        <w:t>5</w:t>
      </w:r>
      <w:r>
        <w:fldChar w:fldCharType="end"/>
      </w:r>
      <w:r>
        <w:fldChar w:fldCharType="end"/>
      </w:r>
    </w:p>
    <w:p>
      <w:pPr>
        <w:pStyle w:val="8"/>
        <w:tabs>
          <w:tab w:val="right" w:leader="dot" w:pos="8306"/>
        </w:tabs>
      </w:pPr>
      <w:r>
        <w:fldChar w:fldCharType="begin"/>
      </w:r>
      <w:r>
        <w:instrText xml:space="preserve"> HYPERLINK \l _Toc21464 </w:instrText>
      </w:r>
      <w:r>
        <w:fldChar w:fldCharType="separate"/>
      </w:r>
      <w:r>
        <w:rPr>
          <w:rFonts w:hint="default" w:ascii="Arial" w:hAnsi="Arial" w:cs="Arial"/>
          <w:szCs w:val="28"/>
          <w:lang w:val="en-GB"/>
        </w:rPr>
        <w:t>3</w:t>
      </w:r>
      <w:r>
        <w:rPr>
          <w:rFonts w:hint="eastAsia" w:ascii="Arial" w:hAnsi="Arial" w:cs="Arial"/>
          <w:szCs w:val="28"/>
          <w:lang w:val="en-US" w:eastAsia="zh-CN"/>
        </w:rPr>
        <w:t>.0</w:t>
      </w:r>
      <w:r>
        <w:rPr>
          <w:rFonts w:hint="default" w:ascii="Arial" w:hAnsi="Arial" w:cs="Arial"/>
          <w:szCs w:val="28"/>
          <w:lang w:val="en-GB"/>
        </w:rPr>
        <w:t xml:space="preserve"> Macro / Micro analysis</w:t>
      </w:r>
      <w:r>
        <w:tab/>
      </w:r>
      <w:r>
        <w:fldChar w:fldCharType="begin"/>
      </w:r>
      <w:r>
        <w:instrText xml:space="preserve"> PAGEREF _Toc21464 \h </w:instrText>
      </w:r>
      <w:r>
        <w:fldChar w:fldCharType="separate"/>
      </w:r>
      <w:r>
        <w:t>5</w:t>
      </w:r>
      <w:r>
        <w:fldChar w:fldCharType="end"/>
      </w:r>
      <w:r>
        <w:fldChar w:fldCharType="end"/>
      </w:r>
    </w:p>
    <w:p>
      <w:pPr>
        <w:pStyle w:val="9"/>
        <w:tabs>
          <w:tab w:val="right" w:leader="dot" w:pos="8306"/>
        </w:tabs>
      </w:pPr>
      <w:r>
        <w:fldChar w:fldCharType="begin"/>
      </w:r>
      <w:r>
        <w:instrText xml:space="preserve"> HYPERLINK \l _Toc21273 </w:instrText>
      </w:r>
      <w:r>
        <w:fldChar w:fldCharType="separate"/>
      </w:r>
      <w:r>
        <w:rPr>
          <w:rFonts w:hint="default" w:ascii="Arial" w:hAnsi="Arial" w:cs="Arial"/>
          <w:szCs w:val="24"/>
          <w:lang w:val="en-GB"/>
        </w:rPr>
        <w:t>3.1 Macro/external environment analysis:</w:t>
      </w:r>
      <w:r>
        <w:tab/>
      </w:r>
      <w:r>
        <w:fldChar w:fldCharType="begin"/>
      </w:r>
      <w:r>
        <w:instrText xml:space="preserve"> PAGEREF _Toc21273 \h </w:instrText>
      </w:r>
      <w:r>
        <w:fldChar w:fldCharType="separate"/>
      </w:r>
      <w:r>
        <w:t>6</w:t>
      </w:r>
      <w:r>
        <w:fldChar w:fldCharType="end"/>
      </w:r>
      <w:r>
        <w:fldChar w:fldCharType="end"/>
      </w:r>
    </w:p>
    <w:p>
      <w:pPr>
        <w:pStyle w:val="5"/>
        <w:tabs>
          <w:tab w:val="right" w:leader="dot" w:pos="8306"/>
        </w:tabs>
      </w:pPr>
      <w:r>
        <w:fldChar w:fldCharType="begin"/>
      </w:r>
      <w:r>
        <w:instrText xml:space="preserve"> HYPERLINK \l _Toc26776 </w:instrText>
      </w:r>
      <w:r>
        <w:fldChar w:fldCharType="separate"/>
      </w:r>
      <w:r>
        <w:rPr>
          <w:rFonts w:hint="default" w:ascii="Arial" w:hAnsi="Arial" w:cs="Arial"/>
          <w:lang w:val="en-GB"/>
        </w:rPr>
        <w:t>3.1.1 PESTEL analysis:</w:t>
      </w:r>
      <w:r>
        <w:tab/>
      </w:r>
      <w:r>
        <w:fldChar w:fldCharType="begin"/>
      </w:r>
      <w:r>
        <w:instrText xml:space="preserve"> PAGEREF _Toc26776 \h </w:instrText>
      </w:r>
      <w:r>
        <w:fldChar w:fldCharType="separate"/>
      </w:r>
      <w:r>
        <w:t>7</w:t>
      </w:r>
      <w:r>
        <w:fldChar w:fldCharType="end"/>
      </w:r>
      <w:r>
        <w:fldChar w:fldCharType="end"/>
      </w:r>
    </w:p>
    <w:p>
      <w:pPr>
        <w:pStyle w:val="5"/>
        <w:tabs>
          <w:tab w:val="right" w:leader="dot" w:pos="8306"/>
        </w:tabs>
      </w:pPr>
      <w:r>
        <w:fldChar w:fldCharType="begin"/>
      </w:r>
      <w:r>
        <w:instrText xml:space="preserve"> HYPERLINK \l _Toc7556 </w:instrText>
      </w:r>
      <w:r>
        <w:fldChar w:fldCharType="separate"/>
      </w:r>
      <w:r>
        <w:rPr>
          <w:rFonts w:hint="default" w:ascii="Arial" w:hAnsi="Arial" w:cs="Arial"/>
          <w:lang w:val="en-GB"/>
        </w:rPr>
        <w:t>3.1.2 Porter’s five force analysis</w:t>
      </w:r>
      <w:r>
        <w:tab/>
      </w:r>
      <w:r>
        <w:fldChar w:fldCharType="begin"/>
      </w:r>
      <w:r>
        <w:instrText xml:space="preserve"> PAGEREF _Toc7556 \h </w:instrText>
      </w:r>
      <w:r>
        <w:fldChar w:fldCharType="separate"/>
      </w:r>
      <w:r>
        <w:t>8</w:t>
      </w:r>
      <w:r>
        <w:fldChar w:fldCharType="end"/>
      </w:r>
      <w:r>
        <w:fldChar w:fldCharType="end"/>
      </w:r>
    </w:p>
    <w:p>
      <w:pPr>
        <w:pStyle w:val="9"/>
        <w:tabs>
          <w:tab w:val="right" w:leader="dot" w:pos="8306"/>
        </w:tabs>
      </w:pPr>
      <w:r>
        <w:fldChar w:fldCharType="begin"/>
      </w:r>
      <w:r>
        <w:instrText xml:space="preserve"> HYPERLINK \l _Toc20722 </w:instrText>
      </w:r>
      <w:r>
        <w:fldChar w:fldCharType="separate"/>
      </w:r>
      <w:r>
        <w:rPr>
          <w:rFonts w:hint="default" w:ascii="Arial" w:hAnsi="Arial" w:cs="Arial"/>
          <w:szCs w:val="24"/>
          <w:lang w:val="en-GB"/>
        </w:rPr>
        <w:t>3.2 SWOT analysis</w:t>
      </w:r>
      <w:r>
        <w:tab/>
      </w:r>
      <w:r>
        <w:fldChar w:fldCharType="begin"/>
      </w:r>
      <w:r>
        <w:instrText xml:space="preserve"> PAGEREF _Toc20722 \h </w:instrText>
      </w:r>
      <w:r>
        <w:fldChar w:fldCharType="separate"/>
      </w:r>
      <w:r>
        <w:t>9</w:t>
      </w:r>
      <w:r>
        <w:fldChar w:fldCharType="end"/>
      </w:r>
      <w:r>
        <w:fldChar w:fldCharType="end"/>
      </w:r>
    </w:p>
    <w:p>
      <w:pPr>
        <w:pStyle w:val="9"/>
        <w:tabs>
          <w:tab w:val="right" w:leader="dot" w:pos="8306"/>
        </w:tabs>
      </w:pPr>
      <w:r>
        <w:fldChar w:fldCharType="begin"/>
      </w:r>
      <w:r>
        <w:instrText xml:space="preserve"> HYPERLINK \l _Toc26818 </w:instrText>
      </w:r>
      <w:r>
        <w:fldChar w:fldCharType="separate"/>
      </w:r>
      <w:r>
        <w:rPr>
          <w:rFonts w:hint="default" w:ascii="Arial" w:hAnsi="Arial" w:cs="Arial"/>
          <w:lang w:val="en-GB"/>
        </w:rPr>
        <w:t>3.3 TOWS analysis</w:t>
      </w:r>
      <w:r>
        <w:tab/>
      </w:r>
      <w:r>
        <w:fldChar w:fldCharType="begin"/>
      </w:r>
      <w:r>
        <w:instrText xml:space="preserve"> PAGEREF _Toc26818 \h </w:instrText>
      </w:r>
      <w:r>
        <w:fldChar w:fldCharType="separate"/>
      </w:r>
      <w:r>
        <w:t>11</w:t>
      </w:r>
      <w:r>
        <w:fldChar w:fldCharType="end"/>
      </w:r>
      <w:r>
        <w:fldChar w:fldCharType="end"/>
      </w:r>
    </w:p>
    <w:p>
      <w:pPr>
        <w:pStyle w:val="8"/>
        <w:tabs>
          <w:tab w:val="right" w:leader="dot" w:pos="8306"/>
        </w:tabs>
      </w:pPr>
      <w:r>
        <w:fldChar w:fldCharType="begin"/>
      </w:r>
      <w:r>
        <w:instrText xml:space="preserve"> HYPERLINK \l _Toc20730 </w:instrText>
      </w:r>
      <w:r>
        <w:fldChar w:fldCharType="separate"/>
      </w:r>
      <w:r>
        <w:rPr>
          <w:rFonts w:hint="default" w:ascii="Arial" w:hAnsi="Arial" w:cs="Arial"/>
          <w:szCs w:val="28"/>
          <w:lang w:val="en-GB"/>
        </w:rPr>
        <w:t>4</w:t>
      </w:r>
      <w:r>
        <w:rPr>
          <w:rFonts w:hint="eastAsia" w:ascii="Arial" w:hAnsi="Arial" w:cs="Arial"/>
          <w:szCs w:val="28"/>
          <w:lang w:val="en-US" w:eastAsia="zh-CN"/>
        </w:rPr>
        <w:t>.0</w:t>
      </w:r>
      <w:r>
        <w:rPr>
          <w:rFonts w:hint="default" w:ascii="Arial" w:hAnsi="Arial" w:cs="Arial"/>
          <w:szCs w:val="28"/>
          <w:lang w:val="en-GB"/>
        </w:rPr>
        <w:t xml:space="preserve"> Reactive vs proactive</w:t>
      </w:r>
      <w:r>
        <w:tab/>
      </w:r>
      <w:r>
        <w:fldChar w:fldCharType="begin"/>
      </w:r>
      <w:r>
        <w:instrText xml:space="preserve"> PAGEREF _Toc20730 \h </w:instrText>
      </w:r>
      <w:r>
        <w:fldChar w:fldCharType="separate"/>
      </w:r>
      <w:r>
        <w:t>13</w:t>
      </w:r>
      <w:r>
        <w:fldChar w:fldCharType="end"/>
      </w:r>
      <w:r>
        <w:fldChar w:fldCharType="end"/>
      </w:r>
    </w:p>
    <w:p>
      <w:pPr>
        <w:pStyle w:val="9"/>
        <w:tabs>
          <w:tab w:val="right" w:leader="dot" w:pos="8306"/>
        </w:tabs>
      </w:pPr>
      <w:r>
        <w:fldChar w:fldCharType="begin"/>
      </w:r>
      <w:r>
        <w:instrText xml:space="preserve"> HYPERLINK \l _Toc30608 </w:instrText>
      </w:r>
      <w:r>
        <w:fldChar w:fldCharType="separate"/>
      </w:r>
      <w:r>
        <w:rPr>
          <w:rFonts w:hint="default" w:ascii="Arial" w:hAnsi="Arial" w:cs="Arial"/>
          <w:szCs w:val="24"/>
          <w:lang w:val="en-GB"/>
        </w:rPr>
        <w:t>4.1 Blue Ocean strategies</w:t>
      </w:r>
      <w:r>
        <w:tab/>
      </w:r>
      <w:r>
        <w:fldChar w:fldCharType="begin"/>
      </w:r>
      <w:r>
        <w:instrText xml:space="preserve"> PAGEREF _Toc30608 \h </w:instrText>
      </w:r>
      <w:r>
        <w:fldChar w:fldCharType="separate"/>
      </w:r>
      <w:r>
        <w:t>13</w:t>
      </w:r>
      <w:r>
        <w:fldChar w:fldCharType="end"/>
      </w:r>
      <w:r>
        <w:fldChar w:fldCharType="end"/>
      </w:r>
    </w:p>
    <w:p>
      <w:pPr>
        <w:pStyle w:val="9"/>
        <w:tabs>
          <w:tab w:val="right" w:leader="dot" w:pos="8306"/>
        </w:tabs>
      </w:pPr>
      <w:r>
        <w:fldChar w:fldCharType="begin"/>
      </w:r>
      <w:r>
        <w:instrText xml:space="preserve"> HYPERLINK \l _Toc23426 </w:instrText>
      </w:r>
      <w:r>
        <w:fldChar w:fldCharType="separate"/>
      </w:r>
      <w:r>
        <w:rPr>
          <w:rFonts w:hint="default" w:ascii="Arial" w:hAnsi="Arial" w:cs="Arial"/>
          <w:szCs w:val="24"/>
          <w:lang w:val="en-GB"/>
        </w:rPr>
        <w:t>4.2 Red Ocean strategies</w:t>
      </w:r>
      <w:r>
        <w:tab/>
      </w:r>
      <w:r>
        <w:fldChar w:fldCharType="begin"/>
      </w:r>
      <w:r>
        <w:instrText xml:space="preserve"> PAGEREF _Toc23426 \h </w:instrText>
      </w:r>
      <w:r>
        <w:fldChar w:fldCharType="separate"/>
      </w:r>
      <w:r>
        <w:t>13</w:t>
      </w:r>
      <w:r>
        <w:fldChar w:fldCharType="end"/>
      </w:r>
      <w:r>
        <w:fldChar w:fldCharType="end"/>
      </w:r>
    </w:p>
    <w:p>
      <w:pPr>
        <w:pStyle w:val="8"/>
        <w:tabs>
          <w:tab w:val="right" w:leader="dot" w:pos="8306"/>
        </w:tabs>
      </w:pPr>
      <w:r>
        <w:fldChar w:fldCharType="begin"/>
      </w:r>
      <w:r>
        <w:instrText xml:space="preserve"> HYPERLINK \l _Toc2112 </w:instrText>
      </w:r>
      <w:r>
        <w:fldChar w:fldCharType="separate"/>
      </w:r>
      <w:r>
        <w:rPr>
          <w:rFonts w:hint="default" w:ascii="Arial" w:hAnsi="Arial" w:cs="Arial"/>
          <w:szCs w:val="28"/>
          <w:lang w:val="en-GB"/>
        </w:rPr>
        <w:t>5</w:t>
      </w:r>
      <w:r>
        <w:rPr>
          <w:rFonts w:hint="eastAsia" w:ascii="Arial" w:hAnsi="Arial" w:cs="Arial"/>
          <w:szCs w:val="28"/>
          <w:lang w:val="en-US" w:eastAsia="zh-CN"/>
        </w:rPr>
        <w:t>.0</w:t>
      </w:r>
      <w:r>
        <w:rPr>
          <w:rFonts w:hint="default" w:ascii="Arial" w:hAnsi="Arial" w:cs="Arial"/>
          <w:szCs w:val="28"/>
          <w:lang w:val="en-GB"/>
        </w:rPr>
        <w:t xml:space="preserve"> Resources and Capabilities</w:t>
      </w:r>
      <w:r>
        <w:tab/>
      </w:r>
      <w:r>
        <w:fldChar w:fldCharType="begin"/>
      </w:r>
      <w:r>
        <w:instrText xml:space="preserve"> PAGEREF _Toc2112 \h </w:instrText>
      </w:r>
      <w:r>
        <w:fldChar w:fldCharType="separate"/>
      </w:r>
      <w:r>
        <w:t>14</w:t>
      </w:r>
      <w:r>
        <w:fldChar w:fldCharType="end"/>
      </w:r>
      <w:r>
        <w:fldChar w:fldCharType="end"/>
      </w:r>
    </w:p>
    <w:p>
      <w:pPr>
        <w:pStyle w:val="9"/>
        <w:tabs>
          <w:tab w:val="right" w:leader="dot" w:pos="8306"/>
        </w:tabs>
      </w:pPr>
      <w:r>
        <w:fldChar w:fldCharType="begin"/>
      </w:r>
      <w:r>
        <w:instrText xml:space="preserve"> HYPERLINK \l _Toc6458 </w:instrText>
      </w:r>
      <w:r>
        <w:fldChar w:fldCharType="separate"/>
      </w:r>
      <w:r>
        <w:rPr>
          <w:rFonts w:hint="default" w:ascii="Arial" w:hAnsi="Arial" w:cs="Arial"/>
          <w:szCs w:val="24"/>
          <w:lang w:val="en-GB"/>
        </w:rPr>
        <w:t>5.1 VRIN analysis</w:t>
      </w:r>
      <w:r>
        <w:tab/>
      </w:r>
      <w:r>
        <w:fldChar w:fldCharType="begin"/>
      </w:r>
      <w:r>
        <w:instrText xml:space="preserve"> PAGEREF _Toc6458 \h </w:instrText>
      </w:r>
      <w:r>
        <w:fldChar w:fldCharType="separate"/>
      </w:r>
      <w:r>
        <w:t>14</w:t>
      </w:r>
      <w:r>
        <w:fldChar w:fldCharType="end"/>
      </w:r>
      <w:r>
        <w:fldChar w:fldCharType="end"/>
      </w:r>
    </w:p>
    <w:p>
      <w:pPr>
        <w:pStyle w:val="9"/>
        <w:tabs>
          <w:tab w:val="right" w:leader="dot" w:pos="8306"/>
        </w:tabs>
      </w:pPr>
      <w:r>
        <w:fldChar w:fldCharType="begin"/>
      </w:r>
      <w:r>
        <w:instrText xml:space="preserve"> HYPERLINK \l _Toc32218 </w:instrText>
      </w:r>
      <w:r>
        <w:fldChar w:fldCharType="separate"/>
      </w:r>
      <w:r>
        <w:rPr>
          <w:rFonts w:hint="default" w:ascii="Arial" w:hAnsi="Arial" w:cs="Arial"/>
          <w:szCs w:val="24"/>
          <w:lang w:val="en-GB"/>
        </w:rPr>
        <w:t xml:space="preserve">5.2 </w:t>
      </w:r>
      <w:r>
        <w:rPr>
          <w:rFonts w:hint="default" w:ascii="Arial" w:hAnsi="Arial" w:eastAsia="Times New Roman" w:cs="Arial"/>
          <w:szCs w:val="24"/>
          <w:lang w:eastAsia="en-IN"/>
        </w:rPr>
        <w:t>McKinsey’s 7S framework</w:t>
      </w:r>
      <w:r>
        <w:tab/>
      </w:r>
      <w:r>
        <w:fldChar w:fldCharType="begin"/>
      </w:r>
      <w:r>
        <w:instrText xml:space="preserve"> PAGEREF _Toc32218 \h </w:instrText>
      </w:r>
      <w:r>
        <w:fldChar w:fldCharType="separate"/>
      </w:r>
      <w:r>
        <w:t>16</w:t>
      </w:r>
      <w:r>
        <w:fldChar w:fldCharType="end"/>
      </w:r>
      <w:r>
        <w:fldChar w:fldCharType="end"/>
      </w:r>
    </w:p>
    <w:p>
      <w:pPr>
        <w:pStyle w:val="8"/>
        <w:tabs>
          <w:tab w:val="right" w:leader="dot" w:pos="8306"/>
        </w:tabs>
      </w:pPr>
      <w:r>
        <w:fldChar w:fldCharType="begin"/>
      </w:r>
      <w:r>
        <w:instrText xml:space="preserve"> HYPERLINK \l _Toc12733 </w:instrText>
      </w:r>
      <w:r>
        <w:fldChar w:fldCharType="separate"/>
      </w:r>
      <w:r>
        <w:rPr>
          <w:rFonts w:hint="default" w:ascii="Arial" w:hAnsi="Arial" w:eastAsia="Times New Roman" w:cs="Arial"/>
          <w:szCs w:val="28"/>
          <w:lang w:eastAsia="en-IN"/>
        </w:rPr>
        <w:t>6</w:t>
      </w:r>
      <w:r>
        <w:rPr>
          <w:rFonts w:hint="eastAsia" w:ascii="Arial" w:hAnsi="Arial" w:eastAsia="宋体" w:cs="Arial"/>
          <w:szCs w:val="28"/>
          <w:lang w:val="en-US" w:eastAsia="zh-CN"/>
        </w:rPr>
        <w:t>.0</w:t>
      </w:r>
      <w:r>
        <w:rPr>
          <w:rFonts w:hint="default" w:ascii="Arial" w:hAnsi="Arial" w:eastAsia="Times New Roman" w:cs="Arial"/>
          <w:szCs w:val="28"/>
          <w:lang w:eastAsia="en-IN"/>
        </w:rPr>
        <w:t xml:space="preserve"> Financial Analysis</w:t>
      </w:r>
      <w:r>
        <w:tab/>
      </w:r>
      <w:r>
        <w:fldChar w:fldCharType="begin"/>
      </w:r>
      <w:r>
        <w:instrText xml:space="preserve"> PAGEREF _Toc12733 \h </w:instrText>
      </w:r>
      <w:r>
        <w:fldChar w:fldCharType="separate"/>
      </w:r>
      <w:r>
        <w:t>17</w:t>
      </w:r>
      <w:r>
        <w:fldChar w:fldCharType="end"/>
      </w:r>
      <w:r>
        <w:fldChar w:fldCharType="end"/>
      </w:r>
    </w:p>
    <w:p>
      <w:pPr>
        <w:pStyle w:val="8"/>
        <w:tabs>
          <w:tab w:val="right" w:leader="dot" w:pos="8306"/>
        </w:tabs>
      </w:pPr>
      <w:r>
        <w:fldChar w:fldCharType="begin"/>
      </w:r>
      <w:r>
        <w:instrText xml:space="preserve"> HYPERLINK \l _Toc14207 </w:instrText>
      </w:r>
      <w:r>
        <w:fldChar w:fldCharType="separate"/>
      </w:r>
      <w:r>
        <w:rPr>
          <w:rFonts w:hint="default" w:ascii="Arial" w:hAnsi="Arial" w:cs="Arial"/>
          <w:szCs w:val="28"/>
          <w:lang w:val="en-GB"/>
        </w:rPr>
        <w:t>7</w:t>
      </w:r>
      <w:r>
        <w:rPr>
          <w:rFonts w:hint="eastAsia" w:ascii="Arial" w:hAnsi="Arial" w:cs="Arial"/>
          <w:szCs w:val="28"/>
          <w:lang w:val="en-US" w:eastAsia="zh-CN"/>
        </w:rPr>
        <w:t xml:space="preserve">.0 </w:t>
      </w:r>
      <w:r>
        <w:rPr>
          <w:rFonts w:hint="default" w:ascii="Arial" w:hAnsi="Arial" w:cs="Arial"/>
          <w:szCs w:val="28"/>
          <w:lang w:val="en-GB"/>
        </w:rPr>
        <w:t>Objectives</w:t>
      </w:r>
      <w:r>
        <w:tab/>
      </w:r>
      <w:r>
        <w:fldChar w:fldCharType="begin"/>
      </w:r>
      <w:r>
        <w:instrText xml:space="preserve"> PAGEREF _Toc14207 \h </w:instrText>
      </w:r>
      <w:r>
        <w:fldChar w:fldCharType="separate"/>
      </w:r>
      <w:r>
        <w:t>18</w:t>
      </w:r>
      <w:r>
        <w:fldChar w:fldCharType="end"/>
      </w:r>
      <w:r>
        <w:fldChar w:fldCharType="end"/>
      </w:r>
    </w:p>
    <w:p>
      <w:pPr>
        <w:pStyle w:val="8"/>
        <w:tabs>
          <w:tab w:val="right" w:leader="dot" w:pos="8306"/>
        </w:tabs>
      </w:pPr>
      <w:r>
        <w:fldChar w:fldCharType="begin"/>
      </w:r>
      <w:r>
        <w:instrText xml:space="preserve"> HYPERLINK \l _Toc11752 </w:instrText>
      </w:r>
      <w:r>
        <w:fldChar w:fldCharType="separate"/>
      </w:r>
      <w:r>
        <w:rPr>
          <w:rFonts w:hint="default" w:ascii="Arial" w:hAnsi="Arial" w:cs="Arial"/>
          <w:szCs w:val="28"/>
          <w:lang w:val="en-GB"/>
        </w:rPr>
        <w:t>8</w:t>
      </w:r>
      <w:r>
        <w:rPr>
          <w:rFonts w:hint="eastAsia" w:ascii="Arial" w:hAnsi="Arial" w:cs="Arial"/>
          <w:szCs w:val="28"/>
          <w:lang w:val="en-US" w:eastAsia="zh-CN"/>
        </w:rPr>
        <w:t>.0</w:t>
      </w:r>
      <w:r>
        <w:rPr>
          <w:rFonts w:hint="default" w:ascii="Arial" w:hAnsi="Arial" w:cs="Arial"/>
          <w:szCs w:val="28"/>
          <w:lang w:val="en-GB"/>
        </w:rPr>
        <w:t xml:space="preserve"> Evaluation of strategic options</w:t>
      </w:r>
      <w:r>
        <w:tab/>
      </w:r>
      <w:r>
        <w:fldChar w:fldCharType="begin"/>
      </w:r>
      <w:r>
        <w:instrText xml:space="preserve"> PAGEREF _Toc11752 \h </w:instrText>
      </w:r>
      <w:r>
        <w:fldChar w:fldCharType="separate"/>
      </w:r>
      <w:r>
        <w:t>19</w:t>
      </w:r>
      <w:r>
        <w:fldChar w:fldCharType="end"/>
      </w:r>
      <w:r>
        <w:fldChar w:fldCharType="end"/>
      </w:r>
    </w:p>
    <w:p>
      <w:pPr>
        <w:pStyle w:val="8"/>
        <w:tabs>
          <w:tab w:val="right" w:leader="dot" w:pos="8306"/>
        </w:tabs>
      </w:pPr>
      <w:r>
        <w:fldChar w:fldCharType="begin"/>
      </w:r>
      <w:r>
        <w:instrText xml:space="preserve"> HYPERLINK \l _Toc12234 </w:instrText>
      </w:r>
      <w:r>
        <w:fldChar w:fldCharType="separate"/>
      </w:r>
      <w:r>
        <w:rPr>
          <w:rFonts w:hint="default" w:ascii="Arial" w:hAnsi="Arial" w:cs="Arial"/>
          <w:szCs w:val="28"/>
          <w:lang w:val="en-GB"/>
        </w:rPr>
        <w:t>9</w:t>
      </w:r>
      <w:r>
        <w:rPr>
          <w:rFonts w:hint="eastAsia" w:ascii="Arial" w:hAnsi="Arial" w:cs="Arial"/>
          <w:szCs w:val="28"/>
          <w:lang w:val="en-US" w:eastAsia="zh-CN"/>
        </w:rPr>
        <w:t>.0</w:t>
      </w:r>
      <w:r>
        <w:rPr>
          <w:rFonts w:hint="default" w:ascii="Arial" w:hAnsi="Arial" w:cs="Arial"/>
          <w:szCs w:val="28"/>
          <w:lang w:val="en-GB"/>
        </w:rPr>
        <w:t xml:space="preserve"> Recommendations</w:t>
      </w:r>
      <w:r>
        <w:tab/>
      </w:r>
      <w:r>
        <w:fldChar w:fldCharType="begin"/>
      </w:r>
      <w:r>
        <w:instrText xml:space="preserve"> PAGEREF _Toc12234 \h </w:instrText>
      </w:r>
      <w:r>
        <w:fldChar w:fldCharType="separate"/>
      </w:r>
      <w:r>
        <w:t>21</w:t>
      </w:r>
      <w:r>
        <w:fldChar w:fldCharType="end"/>
      </w:r>
      <w:r>
        <w:fldChar w:fldCharType="end"/>
      </w:r>
    </w:p>
    <w:p>
      <w:pPr>
        <w:pStyle w:val="8"/>
        <w:tabs>
          <w:tab w:val="right" w:leader="dot" w:pos="8306"/>
        </w:tabs>
      </w:pPr>
      <w:r>
        <w:fldChar w:fldCharType="begin"/>
      </w:r>
      <w:r>
        <w:instrText xml:space="preserve"> HYPERLINK \l _Toc17986 </w:instrText>
      </w:r>
      <w:r>
        <w:fldChar w:fldCharType="separate"/>
      </w:r>
      <w:r>
        <w:rPr>
          <w:rFonts w:hint="default" w:ascii="Arial" w:hAnsi="Arial" w:cs="Arial"/>
          <w:szCs w:val="28"/>
          <w:lang w:val="en-GB"/>
        </w:rPr>
        <w:t>References</w:t>
      </w:r>
      <w:r>
        <w:tab/>
      </w:r>
      <w:r>
        <w:fldChar w:fldCharType="begin"/>
      </w:r>
      <w:r>
        <w:instrText xml:space="preserve"> PAGEREF _Toc17986 \h </w:instrText>
      </w:r>
      <w:r>
        <w:fldChar w:fldCharType="separate"/>
      </w:r>
      <w:r>
        <w:t>22</w:t>
      </w:r>
      <w:r>
        <w:fldChar w:fldCharType="end"/>
      </w:r>
      <w:r>
        <w:fldChar w:fldCharType="end"/>
      </w:r>
    </w:p>
    <w:p>
      <w:r>
        <w:fldChar w:fldCharType="end"/>
      </w:r>
    </w:p>
    <w:p>
      <w:pPr>
        <w:rPr>
          <w:rFonts w:hint="default"/>
          <w:sz w:val="28"/>
          <w:szCs w:val="28"/>
          <w:lang w:val="en-GB"/>
        </w:rPr>
      </w:pPr>
      <w:r>
        <w:rPr>
          <w:rFonts w:hint="default"/>
          <w:sz w:val="28"/>
          <w:szCs w:val="28"/>
          <w:lang w:val="en-GB"/>
        </w:rPr>
        <w:br w:type="page"/>
      </w:r>
    </w:p>
    <w:p>
      <w:pPr>
        <w:rPr>
          <w:rFonts w:hint="default"/>
          <w:lang w:val="en-GB"/>
        </w:rPr>
        <w:sectPr>
          <w:pgSz w:w="11906" w:h="16838"/>
          <w:pgMar w:top="1440" w:right="1800" w:bottom="1440" w:left="1800" w:header="851" w:footer="992" w:gutter="0"/>
          <w:cols w:space="425" w:num="1"/>
          <w:docGrid w:type="lines" w:linePitch="312" w:charSpace="0"/>
        </w:sectPr>
      </w:pPr>
    </w:p>
    <w:p>
      <w:pPr>
        <w:pStyle w:val="2"/>
        <w:bidi w:val="0"/>
        <w:rPr>
          <w:rFonts w:hint="default"/>
          <w:sz w:val="28"/>
          <w:szCs w:val="28"/>
          <w:lang w:val="en-GB"/>
        </w:rPr>
      </w:pPr>
      <w:bookmarkStart w:id="0" w:name="_Toc19432"/>
      <w:r>
        <w:rPr>
          <w:rFonts w:hint="default"/>
          <w:sz w:val="28"/>
          <w:szCs w:val="28"/>
          <w:lang w:val="en-GB"/>
        </w:rPr>
        <w:t>EXECUTIVE SUMMARY</w:t>
      </w:r>
      <w:bookmarkEnd w:id="0"/>
    </w:p>
    <w:p>
      <w:pPr>
        <w:rPr>
          <w:rFonts w:hint="default" w:ascii="Arial" w:hAnsi="Arial" w:cs="Arial"/>
          <w:szCs w:val="24"/>
          <w:lang w:val="en-GB"/>
        </w:rPr>
      </w:pPr>
      <w:r>
        <w:rPr>
          <w:rFonts w:hint="default" w:ascii="Arial" w:hAnsi="Arial" w:cs="Arial"/>
          <w:szCs w:val="24"/>
          <w:lang w:val="en-GB"/>
        </w:rPr>
        <w:t>Greggs is a fast-food company which majorly serves bakery items. Along with the fast-food industry of the UK, this company has also suffered certain fluctuations. Issues related to economic resources, technological equipment, human resources, and consumer loyalty are certain factors causing these fluctuations. However, Greggs is trying to overcome its competitors like McDonalds and Warburtons by putting efforts in establishing ‘Next Generation Greggs’. There are certain shortcomings related to its strategies which can be overcome by using specific models and frameworks. The objectives include expansion in Southern part of the UK, inclusion of more regional flavours and advanced technological aspects. The staff can also be trained by using technology whereas the connection with the stakeholders can also be strengthened.</w:t>
      </w:r>
    </w:p>
    <w:p>
      <w:pPr>
        <w:rPr>
          <w:rFonts w:hint="default" w:ascii="Arial" w:hAnsi="Arial" w:cs="Arial"/>
          <w:szCs w:val="24"/>
          <w:lang w:val="en-GB"/>
        </w:rPr>
      </w:pPr>
    </w:p>
    <w:p>
      <w:pPr>
        <w:rPr>
          <w:rFonts w:hint="default" w:ascii="Arial" w:hAnsi="Arial" w:cs="Arial"/>
          <w:szCs w:val="24"/>
          <w:lang w:val="en-GB"/>
        </w:rPr>
      </w:pPr>
    </w:p>
    <w:p>
      <w:pPr>
        <w:rPr>
          <w:rFonts w:hint="default" w:ascii="Arial" w:hAnsi="Arial" w:cs="Arial"/>
          <w:szCs w:val="24"/>
          <w:lang w:val="en-GB"/>
        </w:rPr>
      </w:pPr>
    </w:p>
    <w:p>
      <w:pPr>
        <w:rPr>
          <w:rFonts w:hint="default" w:ascii="Arial" w:hAnsi="Arial" w:cs="Arial"/>
          <w:szCs w:val="24"/>
          <w:lang w:val="en-GB"/>
        </w:rPr>
      </w:pPr>
    </w:p>
    <w:p>
      <w:pPr>
        <w:rPr>
          <w:rFonts w:hint="default" w:ascii="Arial" w:hAnsi="Arial" w:cs="Arial"/>
          <w:szCs w:val="24"/>
          <w:lang w:val="en-GB"/>
        </w:rPr>
      </w:pPr>
    </w:p>
    <w:p>
      <w:pPr>
        <w:rPr>
          <w:rFonts w:hint="default" w:ascii="Arial" w:hAnsi="Arial" w:cs="Arial"/>
          <w:szCs w:val="24"/>
          <w:lang w:val="en-GB"/>
        </w:rPr>
      </w:pPr>
    </w:p>
    <w:p>
      <w:pPr>
        <w:rPr>
          <w:rFonts w:hint="default" w:ascii="Arial" w:hAnsi="Arial" w:cs="Arial"/>
          <w:szCs w:val="24"/>
          <w:lang w:val="en-GB"/>
        </w:rPr>
      </w:pPr>
    </w:p>
    <w:p>
      <w:pPr>
        <w:rPr>
          <w:rFonts w:hint="default" w:ascii="Arial" w:hAnsi="Arial" w:cs="Arial"/>
          <w:szCs w:val="24"/>
          <w:lang w:val="en-GB"/>
        </w:rPr>
      </w:pPr>
    </w:p>
    <w:p>
      <w:pPr>
        <w:rPr>
          <w:rFonts w:hint="default" w:ascii="Arial" w:hAnsi="Arial" w:cs="Arial"/>
          <w:szCs w:val="24"/>
          <w:lang w:val="en-GB"/>
        </w:rPr>
      </w:pPr>
    </w:p>
    <w:p>
      <w:pPr>
        <w:rPr>
          <w:rFonts w:hint="default" w:ascii="Arial" w:hAnsi="Arial" w:cs="Arial"/>
          <w:szCs w:val="24"/>
          <w:lang w:val="en-GB"/>
        </w:rPr>
      </w:pPr>
    </w:p>
    <w:p>
      <w:pPr>
        <w:rPr>
          <w:rFonts w:hint="default" w:ascii="Arial" w:hAnsi="Arial" w:cs="Arial"/>
          <w:szCs w:val="24"/>
          <w:lang w:val="en-GB"/>
        </w:rPr>
      </w:pPr>
    </w:p>
    <w:p>
      <w:pPr>
        <w:rPr>
          <w:rFonts w:hint="default" w:ascii="Arial" w:hAnsi="Arial" w:cs="Arial"/>
          <w:szCs w:val="24"/>
          <w:lang w:val="en-GB"/>
        </w:rPr>
      </w:pPr>
    </w:p>
    <w:p>
      <w:pPr>
        <w:rPr>
          <w:rFonts w:hint="default" w:ascii="Arial" w:hAnsi="Arial" w:cs="Arial"/>
          <w:szCs w:val="24"/>
          <w:lang w:val="en-GB"/>
        </w:rPr>
      </w:pPr>
    </w:p>
    <w:p>
      <w:pPr>
        <w:pStyle w:val="2"/>
        <w:rPr>
          <w:rFonts w:hint="default" w:ascii="Arial" w:hAnsi="Arial" w:cs="Arial"/>
          <w:sz w:val="28"/>
          <w:szCs w:val="28"/>
          <w:lang w:val="en-GB"/>
        </w:rPr>
      </w:pPr>
      <w:bookmarkStart w:id="1" w:name="_Toc10079"/>
      <w:r>
        <w:rPr>
          <w:rFonts w:hint="default" w:ascii="Arial" w:hAnsi="Arial" w:cs="Arial"/>
          <w:sz w:val="28"/>
          <w:szCs w:val="28"/>
          <w:lang w:val="en-GB"/>
        </w:rPr>
        <w:t>1</w:t>
      </w:r>
      <w:r>
        <w:rPr>
          <w:rFonts w:hint="eastAsia" w:ascii="Arial" w:hAnsi="Arial" w:cs="Arial"/>
          <w:sz w:val="28"/>
          <w:szCs w:val="28"/>
          <w:lang w:val="en-US" w:eastAsia="zh-CN"/>
        </w:rPr>
        <w:t>.0</w:t>
      </w:r>
      <w:r>
        <w:rPr>
          <w:rFonts w:hint="default" w:ascii="Arial" w:hAnsi="Arial" w:cs="Arial"/>
          <w:sz w:val="28"/>
          <w:szCs w:val="28"/>
          <w:lang w:val="en-GB"/>
        </w:rPr>
        <w:t xml:space="preserve"> Introduction</w:t>
      </w:r>
      <w:bookmarkEnd w:id="1"/>
    </w:p>
    <w:p>
      <w:pPr>
        <w:pStyle w:val="10"/>
        <w:spacing w:before="240" w:beforeAutospacing="0" w:after="240" w:afterAutospacing="0" w:line="360" w:lineRule="auto"/>
        <w:rPr>
          <w:rFonts w:hint="default" w:ascii="Arial" w:hAnsi="Arial" w:cs="Arial"/>
        </w:rPr>
      </w:pPr>
      <w:r>
        <w:rPr>
          <w:rFonts w:hint="default" w:ascii="Arial" w:hAnsi="Arial" w:cs="Arial"/>
          <w:color w:val="000000"/>
        </w:rPr>
        <w:t>The fast-food industry has been struggling since the past few years. The pandemic has greatly affected the global economic situation which has led to many changes in the fast-food industry (Alae-Carew et al., 2021). Moreover, the Russian invasion has also brought many changes in the economy. Issues like shortage of resources, training and staff turnover and price rise in raw materials. In the UK, about 10% of the restaurants have closed down due to these challenges (Alae-Carew et al., 2021).</w:t>
      </w:r>
    </w:p>
    <w:p>
      <w:pPr>
        <w:pStyle w:val="10"/>
        <w:spacing w:before="240" w:beforeAutospacing="0" w:after="240" w:afterAutospacing="0" w:line="360" w:lineRule="auto"/>
        <w:rPr>
          <w:rFonts w:hint="default" w:ascii="Arial" w:hAnsi="Arial" w:cs="Arial"/>
          <w:color w:val="000000"/>
        </w:rPr>
      </w:pPr>
      <w:r>
        <w:rPr>
          <w:rFonts w:hint="default" w:ascii="Arial" w:hAnsi="Arial" w:cs="Arial"/>
          <w:color w:val="000000"/>
        </w:rPr>
        <w:t>Greggs is a bakery which serves savoury dishes also. It has also been affected by the global economic challenges. Its marketing strategy is to focus on the four cire pillars: food, consumer experience, supply chain and staff improvement. They are putting efforts to establish ‘Next generation Greggs’ (Greggs, 2022). Its major competitors across the UK are Caffeine (McDonalds) and Warburtons (Hirth, Boons and Doherty, 2021).</w:t>
      </w:r>
    </w:p>
    <w:p>
      <w:pPr>
        <w:pStyle w:val="10"/>
        <w:spacing w:before="240" w:beforeAutospacing="0" w:after="240" w:afterAutospacing="0" w:line="360" w:lineRule="auto"/>
        <w:rPr>
          <w:rFonts w:hint="default" w:ascii="Arial" w:hAnsi="Arial" w:cs="Arial"/>
          <w:color w:val="000000"/>
        </w:rPr>
      </w:pPr>
      <w:r>
        <w:rPr>
          <w:rFonts w:hint="default" w:ascii="Arial" w:hAnsi="Arial" w:cs="Arial"/>
          <w:color w:val="000000"/>
        </w:rPr>
        <w:t>The audit discusses about the key five issues related to the fast-food industry which also affects Greggs food company:</w:t>
      </w:r>
    </w:p>
    <w:p>
      <w:pPr>
        <w:pStyle w:val="10"/>
        <w:spacing w:before="240" w:beforeAutospacing="0" w:after="240" w:afterAutospacing="0" w:line="360" w:lineRule="auto"/>
        <w:rPr>
          <w:rFonts w:hint="default" w:ascii="Arial" w:hAnsi="Arial" w:cs="Arial"/>
          <w:color w:val="000000"/>
        </w:rPr>
      </w:pPr>
      <w:r>
        <w:rPr>
          <w:rFonts w:hint="default" w:ascii="Arial" w:hAnsi="Arial" w:cs="Arial"/>
          <w:color w:val="000000"/>
        </w:rPr>
        <w:drawing>
          <wp:inline distT="0" distB="0" distL="0" distR="0">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pPr>
        <w:pStyle w:val="2"/>
        <w:rPr>
          <w:rFonts w:hint="default" w:ascii="Arial" w:hAnsi="Arial" w:cs="Arial"/>
          <w:sz w:val="28"/>
          <w:szCs w:val="28"/>
          <w:lang w:val="en-GB"/>
        </w:rPr>
      </w:pPr>
      <w:bookmarkStart w:id="2" w:name="_Toc23089"/>
      <w:r>
        <w:rPr>
          <w:rFonts w:hint="default" w:ascii="Arial" w:hAnsi="Arial" w:cs="Arial"/>
          <w:sz w:val="28"/>
          <w:szCs w:val="28"/>
          <w:lang w:val="en-GB"/>
        </w:rPr>
        <w:t>2</w:t>
      </w:r>
      <w:r>
        <w:rPr>
          <w:rFonts w:hint="eastAsia" w:ascii="Arial" w:hAnsi="Arial" w:cs="Arial"/>
          <w:sz w:val="28"/>
          <w:szCs w:val="28"/>
          <w:lang w:val="en-US" w:eastAsia="zh-CN"/>
        </w:rPr>
        <w:t>.0</w:t>
      </w:r>
      <w:r>
        <w:rPr>
          <w:rFonts w:hint="default" w:ascii="Arial" w:hAnsi="Arial" w:cs="Arial"/>
          <w:sz w:val="28"/>
          <w:szCs w:val="28"/>
          <w:lang w:val="en-GB"/>
        </w:rPr>
        <w:t xml:space="preserve"> The marketing planning process</w:t>
      </w:r>
      <w:bookmarkEnd w:id="2"/>
    </w:p>
    <w:p>
      <w:pPr>
        <w:rPr>
          <w:rFonts w:hint="default" w:ascii="Arial" w:hAnsi="Arial" w:cs="Arial"/>
          <w:szCs w:val="24"/>
          <w:lang w:val="en-GB"/>
        </w:rPr>
      </w:pPr>
      <w:r>
        <w:rPr>
          <w:rFonts w:hint="default" w:ascii="Arial" w:hAnsi="Arial" w:cs="Arial"/>
          <w:szCs w:val="24"/>
          <w:lang w:val="en-GB"/>
        </w:rPr>
        <w:t xml:space="preserve">The planning process requires analysis of the current situation of the company, setting short term objectives related to the long-term goal and planning of the strategies corresponding to it. Here are a few models which will provide analysis and plan the strategies for Greggs food company. </w:t>
      </w:r>
    </w:p>
    <w:p>
      <w:pPr>
        <w:pStyle w:val="3"/>
        <w:rPr>
          <w:rFonts w:hint="default" w:ascii="Arial" w:hAnsi="Arial" w:cs="Arial"/>
          <w:szCs w:val="24"/>
          <w:lang w:val="en-GB"/>
        </w:rPr>
      </w:pPr>
      <w:bookmarkStart w:id="3" w:name="_Toc20997"/>
      <w:r>
        <w:rPr>
          <w:rFonts w:hint="default" w:ascii="Arial" w:hAnsi="Arial" w:cs="Arial"/>
          <w:szCs w:val="24"/>
          <w:lang w:val="en-GB"/>
        </w:rPr>
        <w:t>2.1 SOSTAC Model</w:t>
      </w:r>
      <w:bookmarkEnd w:id="3"/>
    </w:p>
    <w:p>
      <w:pPr>
        <w:spacing w:before="240" w:after="240"/>
        <w:rPr>
          <w:rFonts w:hint="default" w:ascii="Arial" w:hAnsi="Arial" w:eastAsia="Times New Roman" w:cs="Arial"/>
          <w:color w:val="000000"/>
          <w:szCs w:val="24"/>
          <w:lang w:eastAsia="en-IN"/>
        </w:rPr>
      </w:pPr>
      <w:r>
        <w:rPr>
          <w:rFonts w:hint="default" w:ascii="Arial" w:hAnsi="Arial" w:eastAsia="Times New Roman" w:cs="Arial"/>
          <w:color w:val="000000"/>
          <w:szCs w:val="24"/>
          <w:lang w:eastAsia="en-IN"/>
        </w:rPr>
        <w:t>The SOSTAC model is used for planning a business and developing strategies. Marketing strategies are also included in this model (Kebede, 2022). </w:t>
      </w:r>
    </w:p>
    <w:p>
      <w:pPr>
        <w:pStyle w:val="15"/>
        <w:numPr>
          <w:ilvl w:val="0"/>
          <w:numId w:val="1"/>
        </w:numPr>
        <w:spacing w:before="240" w:after="240"/>
        <w:rPr>
          <w:rFonts w:hint="default" w:ascii="Arial" w:hAnsi="Arial" w:eastAsia="Times New Roman" w:cs="Arial"/>
          <w:color w:val="000000"/>
          <w:szCs w:val="24"/>
          <w:lang w:eastAsia="en-IN"/>
        </w:rPr>
      </w:pPr>
      <w:r>
        <w:rPr>
          <w:rFonts w:hint="default" w:ascii="Arial" w:hAnsi="Arial" w:eastAsia="Times New Roman" w:cs="Arial"/>
          <w:color w:val="000000"/>
          <w:szCs w:val="24"/>
          <w:lang w:eastAsia="en-IN"/>
        </w:rPr>
        <w:t>Situation: Currently, the company is focusing on the use of sustainable resources to fulfil the environmental factors. The political and legal factors of Brexit are also fulfilled by the company. It is struggling with the technological aspects and lacks chain of stores in certain areas like Cornwall and other South UK areas. There are around 2000 stores in the UK. Moreover, the company is suffering from expensive training sessions of the staff (Greggs, 2022).</w:t>
      </w:r>
    </w:p>
    <w:p>
      <w:pPr>
        <w:pStyle w:val="15"/>
        <w:numPr>
          <w:ilvl w:val="0"/>
          <w:numId w:val="1"/>
        </w:numPr>
        <w:spacing w:before="240" w:after="240"/>
        <w:rPr>
          <w:rFonts w:hint="default" w:ascii="Arial" w:hAnsi="Arial" w:eastAsia="Times New Roman" w:cs="Arial"/>
          <w:color w:val="000000"/>
          <w:szCs w:val="24"/>
          <w:lang w:eastAsia="en-IN"/>
        </w:rPr>
      </w:pPr>
      <w:r>
        <w:rPr>
          <w:rFonts w:hint="default" w:ascii="Arial" w:hAnsi="Arial" w:eastAsia="Times New Roman" w:cs="Arial"/>
          <w:color w:val="000000"/>
          <w:szCs w:val="24"/>
          <w:lang w:eastAsia="en-IN"/>
        </w:rPr>
        <w:t>Objectives: To launch stores in the Southern part of the UK, majorly Cornwall. To introduce more vegan options in the menu along with regional flavours. Inclusion of advanced technology like automated machines and smart factories. Enhance the efficiency of supply chain and resources.</w:t>
      </w:r>
    </w:p>
    <w:p>
      <w:pPr>
        <w:pStyle w:val="15"/>
        <w:numPr>
          <w:ilvl w:val="0"/>
          <w:numId w:val="1"/>
        </w:numPr>
        <w:spacing w:before="240" w:after="240"/>
        <w:rPr>
          <w:rFonts w:hint="default" w:ascii="Arial" w:hAnsi="Arial" w:eastAsia="Times New Roman" w:cs="Arial"/>
          <w:color w:val="000000"/>
          <w:szCs w:val="24"/>
          <w:lang w:eastAsia="en-IN"/>
        </w:rPr>
      </w:pPr>
      <w:r>
        <w:rPr>
          <w:rFonts w:hint="default" w:ascii="Arial" w:hAnsi="Arial" w:eastAsia="Times New Roman" w:cs="Arial"/>
          <w:color w:val="000000"/>
          <w:szCs w:val="24"/>
          <w:lang w:eastAsia="en-IN"/>
        </w:rPr>
        <w:t>Strategies: To explore the vegan market by using the consumer loyalty factor. Use advanced technological aspects to enhance CSR activities, resource usage and supply chain. Introduce cloud collaboration with the stakeholders for better correlation. To use app to train the staff to reduce training expenses.</w:t>
      </w:r>
    </w:p>
    <w:p>
      <w:pPr>
        <w:pStyle w:val="15"/>
        <w:numPr>
          <w:ilvl w:val="0"/>
          <w:numId w:val="1"/>
        </w:numPr>
        <w:spacing w:before="240" w:after="240"/>
        <w:rPr>
          <w:rFonts w:hint="default" w:ascii="Arial" w:hAnsi="Arial" w:eastAsia="Times New Roman" w:cs="Arial"/>
          <w:color w:val="000000"/>
          <w:szCs w:val="24"/>
          <w:lang w:eastAsia="en-IN"/>
        </w:rPr>
      </w:pPr>
      <w:r>
        <w:rPr>
          <w:rFonts w:hint="default" w:ascii="Arial" w:hAnsi="Arial" w:eastAsia="Times New Roman" w:cs="Arial"/>
          <w:color w:val="000000"/>
          <w:szCs w:val="24"/>
          <w:lang w:eastAsia="en-IN"/>
        </w:rPr>
        <w:t xml:space="preserve">Tactics: The tangible resources like placement of stores and high quality of products can be used to achieve the objectives of expansion. Moreover, the supplier relationships can also be used to enhance the supply chain. </w:t>
      </w:r>
    </w:p>
    <w:p>
      <w:pPr>
        <w:pStyle w:val="15"/>
        <w:numPr>
          <w:ilvl w:val="0"/>
          <w:numId w:val="1"/>
        </w:numPr>
        <w:spacing w:before="240" w:after="240"/>
        <w:rPr>
          <w:rFonts w:hint="default" w:ascii="Arial" w:hAnsi="Arial" w:eastAsia="Times New Roman" w:cs="Arial"/>
          <w:color w:val="000000"/>
          <w:szCs w:val="24"/>
          <w:lang w:eastAsia="en-IN"/>
        </w:rPr>
      </w:pPr>
      <w:r>
        <w:rPr>
          <w:rFonts w:hint="default" w:ascii="Arial" w:hAnsi="Arial" w:eastAsia="Times New Roman" w:cs="Arial"/>
          <w:color w:val="000000"/>
          <w:szCs w:val="24"/>
          <w:lang w:eastAsia="en-IN"/>
        </w:rPr>
        <w:t xml:space="preserve">Action: The company should launch at least products in the Southern region of the UK in next 24 months. The variety of vegan and regionally flavoured products can be added in the next 5 to 6 months. The production will be increased by 15 to 20 percent by using advanced technological options. </w:t>
      </w:r>
    </w:p>
    <w:p>
      <w:pPr>
        <w:pStyle w:val="15"/>
        <w:numPr>
          <w:ilvl w:val="0"/>
          <w:numId w:val="1"/>
        </w:numPr>
        <w:spacing w:before="240" w:after="240"/>
        <w:rPr>
          <w:rFonts w:hint="default" w:ascii="Arial" w:hAnsi="Arial" w:eastAsia="Times New Roman" w:cs="Arial"/>
          <w:color w:val="000000"/>
          <w:szCs w:val="24"/>
          <w:lang w:eastAsia="en-IN"/>
        </w:rPr>
      </w:pPr>
      <w:r>
        <w:rPr>
          <w:rFonts w:hint="default" w:ascii="Arial" w:hAnsi="Arial" w:eastAsia="Times New Roman" w:cs="Arial"/>
          <w:color w:val="000000"/>
          <w:szCs w:val="24"/>
          <w:lang w:eastAsia="en-IN"/>
        </w:rPr>
        <w:t xml:space="preserve">Control: Measure the progress by a standard scoring method. The contribution of Greggs in national GDP can be calculated to evaluate the impact of applied strategies. </w:t>
      </w:r>
    </w:p>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Hence, the business can be planned as per the SOSTAC model to overcome the shortcomings and challenges caused by the global economic situation. Social media marketing is one of the most cost efficient and popular modes of marketing which can gain the company numerous new computers. Training the staff and planning the resources will aid the company to survive in challenging situations.</w:t>
      </w:r>
    </w:p>
    <w:p>
      <w:pPr>
        <w:pStyle w:val="3"/>
        <w:rPr>
          <w:rFonts w:hint="default" w:ascii="Arial" w:hAnsi="Arial" w:cs="Arial"/>
          <w:szCs w:val="24"/>
          <w:lang w:val="en-GB"/>
        </w:rPr>
      </w:pPr>
      <w:r>
        <w:rPr>
          <w:rFonts w:hint="default" w:ascii="Arial" w:hAnsi="Arial" w:cs="Arial"/>
          <w:szCs w:val="24"/>
          <w:lang w:val="en-GB"/>
        </w:rPr>
        <w:t xml:space="preserve"> </w:t>
      </w:r>
      <w:bookmarkStart w:id="4" w:name="_Toc23002"/>
      <w:r>
        <w:rPr>
          <w:rFonts w:hint="default" w:ascii="Arial" w:hAnsi="Arial" w:cs="Arial"/>
          <w:szCs w:val="24"/>
          <w:lang w:val="en-GB"/>
        </w:rPr>
        <w:t>2.2 APIC model</w:t>
      </w:r>
      <w:bookmarkEnd w:id="4"/>
    </w:p>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Furthermore, the APIC model is used to plan the strategies after the market environment is analysed. This model can be applied only if the market environment is developing enough. For the fast-food industry, the internal as well as external environment is at a moderate level. Health consciousness and environment conservation are the two components that are affecting it (Marx, Callery and Boukidjian, 2019).</w:t>
      </w:r>
    </w:p>
    <w:tbl>
      <w:tblPr>
        <w:tblStyle w:val="16"/>
        <w:tblW w:w="0" w:type="auto"/>
        <w:tblInd w:w="0" w:type="dxa"/>
        <w:tblBorders>
          <w:top w:val="single" w:color="B4C6E7" w:themeColor="accent5" w:themeTint="66" w:sz="4" w:space="0"/>
          <w:left w:val="single" w:color="B4C6E7" w:themeColor="accent5" w:themeTint="66" w:sz="4" w:space="0"/>
          <w:bottom w:val="single" w:color="B4C6E7" w:themeColor="accent5" w:themeTint="66" w:sz="4" w:space="0"/>
          <w:right w:val="single" w:color="B4C6E7" w:themeColor="accent5" w:themeTint="66" w:sz="4" w:space="0"/>
          <w:insideH w:val="single" w:color="B4C6E7" w:themeColor="accent5" w:themeTint="66" w:sz="4" w:space="0"/>
          <w:insideV w:val="single" w:color="B4C6E7" w:themeColor="accent5" w:themeTint="66" w:sz="4" w:space="0"/>
        </w:tblBorders>
        <w:tblLayout w:type="autofit"/>
        <w:tblCellMar>
          <w:top w:w="0" w:type="dxa"/>
          <w:left w:w="108" w:type="dxa"/>
          <w:bottom w:w="0" w:type="dxa"/>
          <w:right w:w="108" w:type="dxa"/>
        </w:tblCellMar>
      </w:tblPr>
      <w:tblGrid>
        <w:gridCol w:w="4637"/>
        <w:gridCol w:w="3885"/>
      </w:tblGrid>
      <w:tr>
        <w:tblPrEx>
          <w:tblBorders>
            <w:top w:val="single" w:color="B4C6E7" w:themeColor="accent5" w:themeTint="66" w:sz="4" w:space="0"/>
            <w:left w:val="single" w:color="B4C6E7" w:themeColor="accent5" w:themeTint="66" w:sz="4" w:space="0"/>
            <w:bottom w:val="single" w:color="B4C6E7" w:themeColor="accent5" w:themeTint="66" w:sz="4" w:space="0"/>
            <w:right w:val="single" w:color="B4C6E7" w:themeColor="accent5" w:themeTint="66" w:sz="4" w:space="0"/>
            <w:insideH w:val="single" w:color="B4C6E7" w:themeColor="accent5" w:themeTint="66" w:sz="4" w:space="0"/>
            <w:insideV w:val="single" w:color="B4C6E7" w:themeColor="accent5" w:themeTint="66" w:sz="4" w:space="0"/>
          </w:tblBorders>
          <w:tblCellMar>
            <w:top w:w="0" w:type="dxa"/>
            <w:left w:w="108" w:type="dxa"/>
            <w:bottom w:w="0" w:type="dxa"/>
            <w:right w:w="108" w:type="dxa"/>
          </w:tblCellMar>
        </w:tblPrEx>
        <w:trPr>
          <w:trHeight w:val="2315" w:hRule="atLeast"/>
        </w:trPr>
        <w:tc>
          <w:tcPr>
            <w:tcW w:w="0" w:type="auto"/>
            <w:tcBorders>
              <w:bottom w:val="single" w:color="8EAADB" w:themeColor="accent5" w:themeTint="99" w:sz="12" w:space="0"/>
              <w:insideH w:val="single" w:sz="12" w:space="0"/>
            </w:tcBorders>
          </w:tcPr>
          <w:p>
            <w:pPr>
              <w:spacing w:before="240" w:after="0"/>
              <w:rPr>
                <w:rFonts w:hint="default" w:ascii="Arial" w:hAnsi="Arial" w:eastAsia="Times New Roman" w:cs="Arial"/>
                <w:b/>
                <w:bCs/>
                <w:szCs w:val="24"/>
                <w:lang w:eastAsia="en-IN"/>
              </w:rPr>
            </w:pPr>
            <w:r>
              <w:rPr>
                <w:rFonts w:hint="default" w:ascii="Arial" w:hAnsi="Arial" w:eastAsia="Times New Roman" w:cs="Arial"/>
                <w:b/>
                <w:bCs/>
                <w:szCs w:val="24"/>
                <w:lang w:eastAsia="en-IN"/>
              </w:rPr>
              <w:t>Analysis</w:t>
            </w:r>
          </w:p>
          <w:p>
            <w:pPr>
              <w:pStyle w:val="15"/>
              <w:numPr>
                <w:ilvl w:val="0"/>
                <w:numId w:val="2"/>
              </w:num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Rate of resources and equipment have increased which has led to increase in price of products.</w:t>
            </w:r>
          </w:p>
          <w:p>
            <w:pPr>
              <w:pStyle w:val="15"/>
              <w:numPr>
                <w:ilvl w:val="0"/>
                <w:numId w:val="2"/>
              </w:numPr>
              <w:spacing w:before="240" w:after="0"/>
              <w:rPr>
                <w:rFonts w:hint="default" w:ascii="Arial" w:hAnsi="Arial" w:eastAsia="Times New Roman" w:cs="Arial"/>
                <w:b/>
                <w:bCs/>
                <w:szCs w:val="24"/>
                <w:lang w:eastAsia="en-IN"/>
              </w:rPr>
            </w:pPr>
            <w:r>
              <w:rPr>
                <w:rFonts w:hint="default" w:ascii="Arial" w:hAnsi="Arial" w:eastAsia="Times New Roman" w:cs="Arial"/>
                <w:b w:val="0"/>
                <w:bCs w:val="0"/>
                <w:szCs w:val="24"/>
                <w:lang w:eastAsia="en-IN"/>
              </w:rPr>
              <w:t>Health consciousness has increased which has decreased the consumers.</w:t>
            </w:r>
          </w:p>
        </w:tc>
        <w:tc>
          <w:tcPr>
            <w:tcW w:w="0" w:type="auto"/>
            <w:tcBorders>
              <w:bottom w:val="single" w:color="8EAADB" w:themeColor="accent5" w:themeTint="99" w:sz="12" w:space="0"/>
              <w:insideH w:val="single" w:sz="12" w:space="0"/>
            </w:tcBorders>
          </w:tcPr>
          <w:p>
            <w:pPr>
              <w:spacing w:before="240" w:after="0"/>
              <w:rPr>
                <w:rFonts w:hint="default" w:ascii="Arial" w:hAnsi="Arial" w:eastAsia="Times New Roman" w:cs="Arial"/>
                <w:b/>
                <w:bCs/>
                <w:szCs w:val="24"/>
                <w:lang w:eastAsia="en-IN"/>
              </w:rPr>
            </w:pPr>
            <w:r>
              <w:rPr>
                <w:rFonts w:hint="default" w:ascii="Arial" w:hAnsi="Arial" w:eastAsia="Times New Roman" w:cs="Arial"/>
                <w:b/>
                <w:bCs/>
                <w:szCs w:val="24"/>
                <w:lang w:eastAsia="en-IN"/>
              </w:rPr>
              <w:t>Planning</w:t>
            </w:r>
          </w:p>
          <w:p>
            <w:pPr>
              <w:pStyle w:val="15"/>
              <w:numPr>
                <w:ilvl w:val="0"/>
                <w:numId w:val="3"/>
              </w:num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To introduce more healthy products and promote them by using digital marketing.</w:t>
            </w:r>
          </w:p>
          <w:p>
            <w:pPr>
              <w:pStyle w:val="15"/>
              <w:numPr>
                <w:ilvl w:val="0"/>
                <w:numId w:val="3"/>
              </w:numPr>
              <w:spacing w:before="240" w:after="0"/>
              <w:rPr>
                <w:rFonts w:hint="default" w:ascii="Arial" w:hAnsi="Arial" w:eastAsia="Times New Roman" w:cs="Arial"/>
                <w:b/>
                <w:bCs/>
                <w:szCs w:val="24"/>
                <w:lang w:eastAsia="en-IN"/>
              </w:rPr>
            </w:pPr>
            <w:r>
              <w:rPr>
                <w:rFonts w:hint="default" w:ascii="Arial" w:hAnsi="Arial" w:eastAsia="Times New Roman" w:cs="Arial"/>
                <w:b w:val="0"/>
                <w:bCs w:val="0"/>
                <w:szCs w:val="24"/>
                <w:lang w:eastAsia="en-IN"/>
              </w:rPr>
              <w:t>To train staff as per requirement.</w:t>
            </w:r>
          </w:p>
        </w:tc>
      </w:tr>
      <w:tr>
        <w:tblPrEx>
          <w:tblBorders>
            <w:top w:val="single" w:color="B4C6E7" w:themeColor="accent5" w:themeTint="66" w:sz="4" w:space="0"/>
            <w:left w:val="single" w:color="B4C6E7" w:themeColor="accent5" w:themeTint="66" w:sz="4" w:space="0"/>
            <w:bottom w:val="single" w:color="B4C6E7" w:themeColor="accent5" w:themeTint="66" w:sz="4" w:space="0"/>
            <w:right w:val="single" w:color="B4C6E7" w:themeColor="accent5" w:themeTint="66" w:sz="4" w:space="0"/>
            <w:insideH w:val="single" w:color="B4C6E7" w:themeColor="accent5" w:themeTint="66" w:sz="4" w:space="0"/>
            <w:insideV w:val="single" w:color="B4C6E7" w:themeColor="accent5" w:themeTint="66" w:sz="4" w:space="0"/>
          </w:tblBorders>
          <w:tblCellMar>
            <w:top w:w="0" w:type="dxa"/>
            <w:left w:w="108" w:type="dxa"/>
            <w:bottom w:w="0" w:type="dxa"/>
            <w:right w:w="108" w:type="dxa"/>
          </w:tblCellMar>
        </w:tblPrEx>
        <w:trPr>
          <w:trHeight w:val="2555" w:hRule="atLeast"/>
        </w:trPr>
        <w:tc>
          <w:tcPr>
            <w:tcW w:w="0" w:type="auto"/>
          </w:tcPr>
          <w:p>
            <w:pPr>
              <w:spacing w:before="240" w:after="0"/>
              <w:rPr>
                <w:rFonts w:hint="default" w:ascii="Arial" w:hAnsi="Arial" w:eastAsia="Times New Roman" w:cs="Arial"/>
                <w:b/>
                <w:bCs/>
                <w:szCs w:val="24"/>
                <w:lang w:eastAsia="en-IN"/>
              </w:rPr>
            </w:pPr>
            <w:r>
              <w:rPr>
                <w:rFonts w:hint="default" w:ascii="Arial" w:hAnsi="Arial" w:eastAsia="Times New Roman" w:cs="Arial"/>
                <w:b/>
                <w:bCs/>
                <w:szCs w:val="24"/>
                <w:lang w:eastAsia="en-IN"/>
              </w:rPr>
              <w:t>Implementation</w:t>
            </w:r>
          </w:p>
          <w:p>
            <w:pPr>
              <w:pStyle w:val="15"/>
              <w:numPr>
                <w:ilvl w:val="0"/>
                <w:numId w:val="4"/>
              </w:num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Increase vegan options to satisfy the environment conservation and health consciousness factor.</w:t>
            </w:r>
          </w:p>
          <w:p>
            <w:pPr>
              <w:pStyle w:val="15"/>
              <w:numPr>
                <w:ilvl w:val="0"/>
                <w:numId w:val="4"/>
              </w:num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Promote this on social media.</w:t>
            </w:r>
          </w:p>
          <w:p>
            <w:pPr>
              <w:pStyle w:val="15"/>
              <w:numPr>
                <w:ilvl w:val="0"/>
                <w:numId w:val="4"/>
              </w:numPr>
              <w:spacing w:before="240" w:after="0"/>
              <w:rPr>
                <w:rFonts w:hint="default" w:ascii="Arial" w:hAnsi="Arial" w:eastAsia="Times New Roman" w:cs="Arial"/>
                <w:b/>
                <w:bCs/>
                <w:szCs w:val="24"/>
                <w:lang w:eastAsia="en-IN"/>
              </w:rPr>
            </w:pPr>
            <w:r>
              <w:rPr>
                <w:rFonts w:hint="default" w:ascii="Arial" w:hAnsi="Arial" w:eastAsia="Times New Roman" w:cs="Arial"/>
                <w:b w:val="0"/>
                <w:bCs w:val="0"/>
                <w:szCs w:val="24"/>
                <w:lang w:eastAsia="en-IN"/>
              </w:rPr>
              <w:t>Set a training period for the staff.</w:t>
            </w:r>
          </w:p>
        </w:tc>
        <w:tc>
          <w:tcPr>
            <w:tcW w:w="0" w:type="auto"/>
          </w:tcPr>
          <w:p>
            <w:pPr>
              <w:spacing w:before="240" w:after="0"/>
              <w:rPr>
                <w:rFonts w:hint="default" w:ascii="Arial" w:hAnsi="Arial" w:eastAsia="Times New Roman" w:cs="Arial"/>
                <w:b/>
                <w:bCs/>
                <w:szCs w:val="24"/>
                <w:lang w:eastAsia="en-IN"/>
              </w:rPr>
            </w:pPr>
            <w:r>
              <w:rPr>
                <w:rFonts w:hint="default" w:ascii="Arial" w:hAnsi="Arial" w:eastAsia="Times New Roman" w:cs="Arial"/>
                <w:b/>
                <w:bCs/>
                <w:szCs w:val="24"/>
                <w:lang w:eastAsia="en-IN"/>
              </w:rPr>
              <w:t>Control</w:t>
            </w:r>
          </w:p>
          <w:p>
            <w:pPr>
              <w:pStyle w:val="15"/>
              <w:numPr>
                <w:ilvl w:val="0"/>
                <w:numId w:val="5"/>
              </w:numPr>
              <w:spacing w:before="240" w:after="0"/>
              <w:rPr>
                <w:rFonts w:hint="default" w:ascii="Arial" w:hAnsi="Arial" w:eastAsia="Times New Roman" w:cs="Arial"/>
                <w:szCs w:val="24"/>
                <w:lang w:eastAsia="en-IN"/>
              </w:rPr>
            </w:pPr>
            <w:r>
              <w:rPr>
                <w:rFonts w:hint="default" w:ascii="Arial" w:hAnsi="Arial" w:eastAsia="Times New Roman" w:cs="Arial"/>
                <w:szCs w:val="24"/>
                <w:lang w:eastAsia="en-IN"/>
              </w:rPr>
              <w:t>Hire a skilled management team.</w:t>
            </w:r>
          </w:p>
          <w:p>
            <w:pPr>
              <w:pStyle w:val="15"/>
              <w:numPr>
                <w:ilvl w:val="0"/>
                <w:numId w:val="5"/>
              </w:numPr>
              <w:spacing w:before="240" w:after="0"/>
              <w:rPr>
                <w:rFonts w:hint="default" w:ascii="Arial" w:hAnsi="Arial" w:eastAsia="Times New Roman" w:cs="Arial"/>
                <w:szCs w:val="24"/>
                <w:lang w:eastAsia="en-IN"/>
              </w:rPr>
            </w:pPr>
            <w:r>
              <w:rPr>
                <w:rFonts w:hint="default" w:ascii="Arial" w:hAnsi="Arial" w:eastAsia="Times New Roman" w:cs="Arial"/>
                <w:szCs w:val="24"/>
                <w:lang w:eastAsia="en-IN"/>
              </w:rPr>
              <w:t>Hire a skilled social media marketing team.</w:t>
            </w:r>
          </w:p>
          <w:p>
            <w:pPr>
              <w:pStyle w:val="15"/>
              <w:numPr>
                <w:ilvl w:val="0"/>
                <w:numId w:val="5"/>
              </w:numPr>
              <w:spacing w:before="240" w:after="0"/>
              <w:rPr>
                <w:rFonts w:hint="default" w:ascii="Arial" w:hAnsi="Arial" w:eastAsia="Times New Roman" w:cs="Arial"/>
                <w:szCs w:val="24"/>
                <w:lang w:eastAsia="en-IN"/>
              </w:rPr>
            </w:pPr>
            <w:r>
              <w:rPr>
                <w:rFonts w:hint="default" w:ascii="Arial" w:hAnsi="Arial" w:eastAsia="Times New Roman" w:cs="Arial"/>
                <w:szCs w:val="24"/>
                <w:lang w:eastAsia="en-IN"/>
              </w:rPr>
              <w:t>Measure progress based on standard evaluation practices.</w:t>
            </w:r>
          </w:p>
        </w:tc>
      </w:tr>
    </w:tbl>
    <w:p>
      <w:pPr>
        <w:pStyle w:val="2"/>
        <w:rPr>
          <w:rFonts w:hint="default" w:ascii="Arial" w:hAnsi="Arial" w:cs="Arial"/>
          <w:sz w:val="28"/>
          <w:szCs w:val="28"/>
          <w:lang w:val="en-GB"/>
        </w:rPr>
      </w:pPr>
      <w:bookmarkStart w:id="5" w:name="_Toc21464"/>
      <w:r>
        <w:rPr>
          <w:rFonts w:hint="default" w:ascii="Arial" w:hAnsi="Arial" w:cs="Arial"/>
          <w:sz w:val="28"/>
          <w:szCs w:val="28"/>
          <w:lang w:val="en-GB"/>
        </w:rPr>
        <w:t>3</w:t>
      </w:r>
      <w:r>
        <w:rPr>
          <w:rFonts w:hint="eastAsia" w:ascii="Arial" w:hAnsi="Arial" w:cs="Arial"/>
          <w:sz w:val="28"/>
          <w:szCs w:val="28"/>
          <w:lang w:val="en-US" w:eastAsia="zh-CN"/>
        </w:rPr>
        <w:t>.0</w:t>
      </w:r>
      <w:r>
        <w:rPr>
          <w:rFonts w:hint="default" w:ascii="Arial" w:hAnsi="Arial" w:cs="Arial"/>
          <w:sz w:val="28"/>
          <w:szCs w:val="28"/>
          <w:lang w:val="en-GB"/>
        </w:rPr>
        <w:t xml:space="preserve"> Macro / Micro analysis</w:t>
      </w:r>
      <w:bookmarkEnd w:id="5"/>
    </w:p>
    <w:p>
      <w:pPr>
        <w:rPr>
          <w:rFonts w:hint="default" w:ascii="Arial" w:hAnsi="Arial" w:cs="Arial"/>
          <w:szCs w:val="24"/>
          <w:lang w:val="en-GB"/>
        </w:rPr>
      </w:pPr>
      <w:r>
        <w:rPr>
          <w:rFonts w:hint="default" w:ascii="Arial" w:hAnsi="Arial" w:cs="Arial"/>
          <w:szCs w:val="24"/>
          <w:lang w:val="en-GB"/>
        </w:rPr>
        <w:t xml:space="preserve">The macro environment is also known as the external environment which includes the factors that affect the company from outside. These factors influence the inner working of the company. They are generally uncontrollable by the company. The micro environment is also known as the internal environment. This denotes the internal functioning of the company (Yetkin Özbük and Coşkun, 2020). </w:t>
      </w:r>
    </w:p>
    <w:p>
      <w:pPr>
        <w:pStyle w:val="3"/>
        <w:rPr>
          <w:rFonts w:hint="default" w:ascii="Arial" w:hAnsi="Arial" w:cs="Arial"/>
          <w:szCs w:val="24"/>
          <w:lang w:val="en-GB"/>
        </w:rPr>
      </w:pPr>
      <w:bookmarkStart w:id="6" w:name="_Toc21273"/>
      <w:r>
        <w:rPr>
          <w:rFonts w:hint="default" w:ascii="Arial" w:hAnsi="Arial" w:cs="Arial"/>
          <w:szCs w:val="24"/>
          <w:lang w:val="en-GB"/>
        </w:rPr>
        <w:t>3.1 Macro/external environment analysis:</w:t>
      </w:r>
      <w:bookmarkEnd w:id="6"/>
      <w:r>
        <w:rPr>
          <w:rFonts w:hint="default" w:ascii="Arial" w:hAnsi="Arial" w:cs="Arial"/>
          <w:szCs w:val="24"/>
          <w:lang w:val="en-GB"/>
        </w:rPr>
        <w:t xml:space="preserve"> </w:t>
      </w:r>
    </w:p>
    <w:p>
      <w:pPr>
        <w:rPr>
          <w:rFonts w:hint="default" w:ascii="Arial" w:hAnsi="Arial" w:cs="Arial"/>
          <w:szCs w:val="24"/>
          <w:lang w:val="en-GB"/>
        </w:rPr>
      </w:pPr>
      <w:r>
        <w:rPr>
          <w:rFonts w:hint="default" w:ascii="Arial" w:hAnsi="Arial" w:cs="Arial"/>
          <w:color w:val="000000"/>
          <w:szCs w:val="24"/>
        </w:rPr>
        <w:t>After these steps of marketing audit are conducted, the external factors are analyzed. Macro environment consists of the factors that affect the business from outside. Examples include demographics, economic conditions, political conditions, legal conditions, and technological conditions (Ramos and Mayor, 2020).</w:t>
      </w:r>
    </w:p>
    <w:p>
      <w:pPr>
        <w:pStyle w:val="4"/>
        <w:rPr>
          <w:rFonts w:hint="default" w:ascii="Arial" w:hAnsi="Arial" w:cs="Arial"/>
          <w:lang w:val="en-GB"/>
        </w:rPr>
      </w:pPr>
      <w:bookmarkStart w:id="7" w:name="_Toc26776"/>
      <w:r>
        <w:rPr>
          <w:rFonts w:hint="default" w:ascii="Arial" w:hAnsi="Arial" w:cs="Arial"/>
          <w:lang w:val="en-GB"/>
        </w:rPr>
        <w:t>3.1.1 PESTEL analysis:</w:t>
      </w:r>
      <w:bookmarkEnd w:id="7"/>
    </w:p>
    <w:p>
      <w:pPr>
        <w:spacing w:before="240" w:after="240"/>
        <w:rPr>
          <w:rFonts w:hint="default" w:ascii="Arial" w:hAnsi="Arial" w:eastAsia="Times New Roman" w:cs="Arial"/>
          <w:szCs w:val="24"/>
          <w:lang w:eastAsia="en-IN"/>
        </w:rPr>
      </w:pPr>
      <w:r>
        <w:rPr>
          <w:rFonts w:hint="default" w:ascii="Arial" w:hAnsi="Arial" w:eastAsia="Times New Roman" w:cs="Arial"/>
          <w:szCs w:val="24"/>
          <w:lang w:eastAsia="en-IN"/>
        </w:rPr>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Pr>
          <w:rFonts w:hint="default" w:ascii="Arial" w:hAnsi="Arial" w:eastAsia="Times New Roman" w:cs="Arial"/>
          <w:szCs w:val="24"/>
          <w:lang w:eastAsia="en-IN"/>
        </w:rPr>
        <w:drawing>
          <wp:inline distT="0" distB="0" distL="0" distR="0">
            <wp:extent cx="5486400" cy="3200400"/>
            <wp:effectExtent l="3810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pPr>
        <w:spacing w:before="240" w:after="240"/>
        <w:rPr>
          <w:rFonts w:hint="default" w:ascii="Arial" w:hAnsi="Arial" w:eastAsia="Times New Roman" w:cs="Arial"/>
          <w:szCs w:val="24"/>
          <w:lang w:eastAsia="en-IN"/>
        </w:rPr>
      </w:pPr>
    </w:p>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 The economic and technological factors are bringing a major change in the fastfood industry of the UK. These factors have been putting up various challenges for the business. The technology is demanding more advancement but if Greggs succeed in implementing the strategies, it can attain a great competitive advantage. Moreover, the economic factors can also be considered as an advantage in this case. It allows the business to restructure its supply chain. A better strategy can be made which can provide competitive advantage to the company.</w:t>
      </w:r>
    </w:p>
    <w:p>
      <w:pPr>
        <w:pStyle w:val="4"/>
        <w:rPr>
          <w:rFonts w:hint="default" w:ascii="Arial" w:hAnsi="Arial" w:cs="Arial"/>
          <w:lang w:val="en-GB"/>
        </w:rPr>
      </w:pPr>
      <w:bookmarkStart w:id="8" w:name="_Toc7556"/>
      <w:r>
        <w:rPr>
          <w:rFonts w:hint="default" w:ascii="Arial" w:hAnsi="Arial" w:cs="Arial"/>
          <w:lang w:val="en-GB"/>
        </w:rPr>
        <w:t>3.1.2 Porter’s five force analysis</w:t>
      </w:r>
      <w:bookmarkEnd w:id="8"/>
    </w:p>
    <w:p>
      <w:pPr>
        <w:pStyle w:val="10"/>
        <w:spacing w:before="240" w:beforeAutospacing="0" w:after="240" w:afterAutospacing="0" w:line="360" w:lineRule="auto"/>
        <w:rPr>
          <w:rFonts w:hint="default" w:ascii="Arial" w:hAnsi="Arial" w:cs="Arial"/>
        </w:rPr>
      </w:pPr>
      <w:r>
        <w:rPr>
          <w:rFonts w:hint="default" w:ascii="Arial" w:hAnsi="Arial" w:cs="Arial"/>
          <w:color w:val="000000"/>
        </w:rPr>
        <w:t>The micro environment of the company consists of the factors that are present within the company which affect its functions. These can be evaluated by using the tool of Porter’s five forces analysis (Wang et al., 2019).</w:t>
      </w:r>
    </w:p>
    <w:p>
      <w:pPr>
        <w:pStyle w:val="10"/>
        <w:spacing w:before="240" w:beforeAutospacing="0" w:after="240" w:afterAutospacing="0" w:line="360" w:lineRule="auto"/>
        <w:rPr>
          <w:rFonts w:hint="default" w:ascii="Arial" w:hAnsi="Arial" w:cs="Arial"/>
        </w:rPr>
      </w:pPr>
      <w:r>
        <w:rPr>
          <w:rFonts w:hint="default" w:ascii="Arial" w:hAnsi="Arial" w:cs="Arial"/>
          <w:color w:val="000000"/>
        </w:rPr>
        <w:t>It provides the estimation of the current situation of the company as well as the analysis of the future position of the business. Currently, the fast-food industry of the UK is struggling with the economic and technological factors. Along with it, the social factors are also affecting the industry (Colás, 2019). The model aids to plan the further strategies based on the objectives of the business. The analysis is conducted on Greggs food company.</w:t>
      </w:r>
    </w:p>
    <w:p>
      <w:pPr>
        <w:pStyle w:val="10"/>
        <w:numPr>
          <w:ilvl w:val="0"/>
          <w:numId w:val="6"/>
        </w:numPr>
        <w:spacing w:before="240" w:beforeAutospacing="0" w:after="240" w:afterAutospacing="0" w:line="360" w:lineRule="auto"/>
        <w:rPr>
          <w:rFonts w:hint="default" w:ascii="Arial" w:hAnsi="Arial" w:cs="Arial"/>
        </w:rPr>
      </w:pPr>
      <w:r>
        <w:rPr>
          <w:rFonts w:hint="default" w:ascii="Arial" w:hAnsi="Arial" w:cs="Arial"/>
          <w:color w:val="000000"/>
        </w:rPr>
        <w:t>Threat of new entrants:</w:t>
      </w:r>
    </w:p>
    <w:p>
      <w:pPr>
        <w:pStyle w:val="10"/>
        <w:numPr>
          <w:ilvl w:val="1"/>
          <w:numId w:val="6"/>
        </w:numPr>
        <w:spacing w:before="240" w:beforeAutospacing="0" w:after="240" w:afterAutospacing="0" w:line="360" w:lineRule="auto"/>
        <w:rPr>
          <w:rFonts w:hint="default" w:ascii="Arial" w:hAnsi="Arial" w:cs="Arial"/>
        </w:rPr>
      </w:pPr>
      <w:r>
        <w:rPr>
          <w:rFonts w:hint="default" w:ascii="Arial" w:hAnsi="Arial" w:cs="Arial"/>
          <w:color w:val="000000"/>
        </w:rPr>
        <w:t>The UK's market is very much open for all the brands. The political factors support the food industry up to a great extent. Moreover, these startup companies provide a reasonable price to promote their products. The new products can satisfy the needs of the consumers in different ways (Colás, 2019). This creates challenges for the company. Hence, the threat of new entrants is high for Greggs company.</w:t>
      </w:r>
    </w:p>
    <w:p>
      <w:pPr>
        <w:pStyle w:val="10"/>
        <w:numPr>
          <w:ilvl w:val="0"/>
          <w:numId w:val="6"/>
        </w:numPr>
        <w:spacing w:before="240" w:beforeAutospacing="0" w:after="240" w:afterAutospacing="0" w:line="360" w:lineRule="auto"/>
        <w:rPr>
          <w:rFonts w:hint="default" w:ascii="Arial" w:hAnsi="Arial" w:cs="Arial"/>
        </w:rPr>
      </w:pPr>
      <w:r>
        <w:rPr>
          <w:rFonts w:hint="default" w:ascii="Arial" w:hAnsi="Arial" w:cs="Arial"/>
          <w:color w:val="000000"/>
        </w:rPr>
        <w:t>Bargaining power of suppliers:</w:t>
      </w:r>
    </w:p>
    <w:p>
      <w:pPr>
        <w:pStyle w:val="10"/>
        <w:numPr>
          <w:ilvl w:val="1"/>
          <w:numId w:val="6"/>
        </w:numPr>
        <w:spacing w:before="240" w:beforeAutospacing="0" w:after="240" w:afterAutospacing="0" w:line="360" w:lineRule="auto"/>
        <w:rPr>
          <w:rFonts w:hint="default" w:ascii="Arial" w:hAnsi="Arial" w:cs="Arial"/>
          <w:color w:val="000000"/>
        </w:rPr>
      </w:pPr>
      <w:r>
        <w:rPr>
          <w:rFonts w:hint="default" w:ascii="Arial" w:hAnsi="Arial" w:cs="Arial"/>
          <w:color w:val="000000"/>
        </w:rPr>
        <w:t>Greggs uses high quality raw materials which are chosen from certain regions. There are multiple suppliers in the UK which provide raw materials to the food companies (Cummins et al., 2020). Here, the bargaining power of suppliers is low.</w:t>
      </w:r>
    </w:p>
    <w:p>
      <w:pPr>
        <w:pStyle w:val="10"/>
        <w:numPr>
          <w:ilvl w:val="0"/>
          <w:numId w:val="6"/>
        </w:numPr>
        <w:spacing w:before="240" w:beforeAutospacing="0" w:after="240" w:afterAutospacing="0" w:line="360" w:lineRule="auto"/>
        <w:rPr>
          <w:rFonts w:hint="default" w:ascii="Arial" w:hAnsi="Arial" w:cs="Arial"/>
          <w:color w:val="000000"/>
        </w:rPr>
      </w:pPr>
      <w:r>
        <w:rPr>
          <w:rFonts w:hint="default" w:ascii="Arial" w:hAnsi="Arial" w:cs="Arial"/>
          <w:color w:val="000000"/>
        </w:rPr>
        <w:t>Bargaining power of buyers:</w:t>
      </w:r>
    </w:p>
    <w:p>
      <w:pPr>
        <w:pStyle w:val="10"/>
        <w:numPr>
          <w:ilvl w:val="1"/>
          <w:numId w:val="6"/>
        </w:numPr>
        <w:spacing w:before="240" w:beforeAutospacing="0" w:after="240" w:afterAutospacing="0" w:line="360" w:lineRule="auto"/>
        <w:rPr>
          <w:rFonts w:hint="default" w:ascii="Arial" w:hAnsi="Arial" w:cs="Arial"/>
        </w:rPr>
      </w:pPr>
      <w:r>
        <w:rPr>
          <w:rFonts w:hint="default" w:ascii="Arial" w:hAnsi="Arial" w:cs="Arial"/>
          <w:color w:val="000000"/>
        </w:rPr>
        <w:t>The buyers are very much demanding. Recently, the demand for vegan and healthy food has increased which can affect the loyalty of Greggs’ consumers (Colás, 2019). Hence, the bargaining power of the buyers is high.</w:t>
      </w:r>
    </w:p>
    <w:p>
      <w:pPr>
        <w:pStyle w:val="10"/>
        <w:numPr>
          <w:ilvl w:val="0"/>
          <w:numId w:val="6"/>
        </w:numPr>
        <w:spacing w:before="240" w:beforeAutospacing="0" w:after="240" w:afterAutospacing="0" w:line="360" w:lineRule="auto"/>
        <w:rPr>
          <w:rFonts w:hint="default" w:ascii="Arial" w:hAnsi="Arial" w:cs="Arial"/>
        </w:rPr>
      </w:pPr>
      <w:r>
        <w:rPr>
          <w:rFonts w:hint="default" w:ascii="Arial" w:hAnsi="Arial" w:cs="Arial"/>
          <w:color w:val="000000"/>
        </w:rPr>
        <w:t>Threat of substitutes:</w:t>
      </w:r>
    </w:p>
    <w:p>
      <w:pPr>
        <w:pStyle w:val="10"/>
        <w:numPr>
          <w:ilvl w:val="1"/>
          <w:numId w:val="6"/>
        </w:numPr>
        <w:spacing w:before="240" w:beforeAutospacing="0" w:after="240" w:afterAutospacing="0" w:line="360" w:lineRule="auto"/>
        <w:rPr>
          <w:rFonts w:hint="default" w:ascii="Arial" w:hAnsi="Arial" w:cs="Arial"/>
        </w:rPr>
      </w:pPr>
      <w:r>
        <w:rPr>
          <w:rFonts w:hint="default" w:ascii="Arial" w:hAnsi="Arial" w:cs="Arial"/>
          <w:color w:val="000000"/>
        </w:rPr>
        <w:t>The products can be imitated by the other companies. Greggs does not have any solid competitive advantage regarding its products (Cummins et al., 2020). Hence, the rate of substitution is high, especially by the vegan and healthy food options.</w:t>
      </w:r>
    </w:p>
    <w:p>
      <w:pPr>
        <w:pStyle w:val="10"/>
        <w:numPr>
          <w:ilvl w:val="0"/>
          <w:numId w:val="6"/>
        </w:numPr>
        <w:spacing w:before="240" w:beforeAutospacing="0" w:after="240" w:afterAutospacing="0" w:line="360" w:lineRule="auto"/>
        <w:rPr>
          <w:rFonts w:hint="default" w:ascii="Arial" w:hAnsi="Arial" w:cs="Arial"/>
        </w:rPr>
      </w:pPr>
      <w:r>
        <w:rPr>
          <w:rFonts w:hint="default" w:ascii="Arial" w:hAnsi="Arial" w:cs="Arial"/>
          <w:color w:val="000000"/>
        </w:rPr>
        <w:t>Rivalry among existing competitors:</w:t>
      </w:r>
    </w:p>
    <w:p>
      <w:pPr>
        <w:pStyle w:val="10"/>
        <w:numPr>
          <w:ilvl w:val="1"/>
          <w:numId w:val="6"/>
        </w:numPr>
        <w:spacing w:before="240" w:beforeAutospacing="0" w:after="240" w:afterAutospacing="0" w:line="360" w:lineRule="auto"/>
        <w:rPr>
          <w:rFonts w:hint="default" w:ascii="Arial" w:hAnsi="Arial" w:cs="Arial"/>
        </w:rPr>
      </w:pPr>
      <w:r>
        <w:rPr>
          <w:rFonts w:hint="default" w:ascii="Arial" w:hAnsi="Arial" w:cs="Arial"/>
          <w:color w:val="000000"/>
        </w:rPr>
        <w:t>Greggs experiences cut throat competition from McDonalds, Warburton, and other food companies. This competitive environment has already affected the food industry of the UK (Cummins et al., 2020). Due to the high number of options, the companies had to reduce the prices which affected the overall profitability of the industry.</w:t>
      </w:r>
    </w:p>
    <w:p>
      <w:pPr>
        <w:pStyle w:val="3"/>
        <w:rPr>
          <w:rFonts w:hint="default" w:ascii="Arial" w:hAnsi="Arial" w:cs="Arial"/>
          <w:szCs w:val="24"/>
          <w:lang w:val="en-GB"/>
        </w:rPr>
      </w:pPr>
      <w:bookmarkStart w:id="9" w:name="_Toc20722"/>
      <w:r>
        <w:rPr>
          <w:rFonts w:hint="default" w:ascii="Arial" w:hAnsi="Arial" w:cs="Arial"/>
          <w:szCs w:val="24"/>
          <w:lang w:val="en-GB"/>
        </w:rPr>
        <w:t>3.2 SWOT analysis</w:t>
      </w:r>
      <w:bookmarkEnd w:id="9"/>
    </w:p>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After the conduction of individual analysis of the macro and micro components, the SWOT framework is used to analyse them combinedly. This framework focuses on using the conclusions of all the above frameworks and pointing the strengths and weaknesses of the company. Based on that, the opportunities and threats are also evaluated (Apsarini Soegoto, 2021).</w:t>
      </w:r>
    </w:p>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The strengths of the fast-food industry in the UK is that they serve easily accessible food at affordable prices. Consumer loyalty is also seen in certain brands as the consumers are addicted to the flavours. Moreover, their weaknesses may include lack of healthy food options and environmental conservation (Apsarini Soegoto, 2021). Based on this, opportunities like developing a healthy menu and expanding the business are there. Major threats include substitution by other fast-food companies due to high competition. The SWOT analysis of Greggs food company is given below:</w:t>
      </w:r>
    </w:p>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 </w:t>
      </w:r>
    </w:p>
    <w:tbl>
      <w:tblPr>
        <w:tblStyle w:val="17"/>
        <w:tblW w:w="0" w:type="auto"/>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Layout w:type="autofit"/>
        <w:tblCellMar>
          <w:top w:w="0" w:type="dxa"/>
          <w:left w:w="108" w:type="dxa"/>
          <w:bottom w:w="0" w:type="dxa"/>
          <w:right w:w="108" w:type="dxa"/>
        </w:tblCellMar>
      </w:tblPr>
      <w:tblGrid>
        <w:gridCol w:w="4152"/>
        <w:gridCol w:w="4370"/>
      </w:tblGrid>
      <w:tr>
        <w:tblPrEx>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Ex>
        <w:trPr>
          <w:trHeight w:val="3305" w:hRule="atLeast"/>
        </w:trPr>
        <w:tc>
          <w:tcPr>
            <w:tcW w:w="0" w:type="auto"/>
            <w:tcBorders>
              <w:bottom w:val="single" w:color="9CC2E5" w:themeColor="accent1" w:themeTint="99" w:sz="12" w:space="0"/>
              <w:insideH w:val="single" w:sz="12" w:space="0"/>
            </w:tcBorders>
          </w:tcPr>
          <w:p>
            <w:pPr>
              <w:spacing w:before="240" w:after="0"/>
              <w:rPr>
                <w:rFonts w:hint="default" w:ascii="Arial" w:hAnsi="Arial" w:eastAsia="Times New Roman" w:cs="Arial"/>
                <w:b/>
                <w:bCs/>
                <w:szCs w:val="24"/>
                <w:lang w:eastAsia="en-IN"/>
              </w:rPr>
            </w:pPr>
            <w:r>
              <w:rPr>
                <w:rFonts w:hint="default" w:ascii="Arial" w:hAnsi="Arial" w:eastAsia="Times New Roman" w:cs="Arial"/>
                <w:b/>
                <w:bCs/>
                <w:szCs w:val="24"/>
                <w:lang w:eastAsia="en-IN"/>
              </w:rPr>
              <w:t>STRENGTHS</w:t>
            </w:r>
          </w:p>
          <w:p>
            <w:p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S1: Renowned and well-established brand since 1939.</w:t>
            </w:r>
          </w:p>
          <w:p>
            <w:p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S2: Multiple stores across the UK.</w:t>
            </w:r>
          </w:p>
          <w:p>
            <w:p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S3: Fulfils CSR actively.</w:t>
            </w:r>
          </w:p>
          <w:p>
            <w:p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S4: Certain exclusive vegan options (Apsarini Soegoto, 2021).</w:t>
            </w:r>
          </w:p>
        </w:tc>
        <w:tc>
          <w:tcPr>
            <w:tcW w:w="0" w:type="auto"/>
            <w:tcBorders>
              <w:bottom w:val="single" w:color="9CC2E5" w:themeColor="accent1" w:themeTint="99" w:sz="12" w:space="0"/>
              <w:insideH w:val="single" w:sz="12" w:space="0"/>
            </w:tcBorders>
          </w:tcPr>
          <w:p>
            <w:pPr>
              <w:spacing w:before="240" w:after="0"/>
              <w:ind w:left="566"/>
              <w:rPr>
                <w:rFonts w:hint="default" w:ascii="Arial" w:hAnsi="Arial" w:eastAsia="Times New Roman" w:cs="Arial"/>
                <w:b/>
                <w:bCs/>
                <w:szCs w:val="24"/>
                <w:lang w:eastAsia="en-IN"/>
              </w:rPr>
            </w:pPr>
            <w:r>
              <w:rPr>
                <w:rFonts w:hint="default" w:ascii="Arial" w:hAnsi="Arial" w:eastAsia="Times New Roman" w:cs="Arial"/>
                <w:b/>
                <w:bCs/>
                <w:szCs w:val="24"/>
                <w:lang w:eastAsia="en-IN"/>
              </w:rPr>
              <w:t>WEAKNESSES</w:t>
            </w:r>
          </w:p>
          <w:p>
            <w:p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W1: Expensive training programs.</w:t>
            </w:r>
          </w:p>
          <w:p>
            <w:pPr>
              <w:spacing w:before="240" w:after="0"/>
              <w:rPr>
                <w:rFonts w:hint="default" w:ascii="Arial" w:hAnsi="Arial" w:eastAsia="Times New Roman" w:cs="Arial"/>
                <w:b/>
                <w:bCs/>
                <w:szCs w:val="24"/>
                <w:lang w:eastAsia="en-IN"/>
              </w:rPr>
            </w:pPr>
            <w:r>
              <w:rPr>
                <w:rFonts w:hint="default" w:ascii="Arial" w:hAnsi="Arial" w:eastAsia="Times New Roman" w:cs="Arial"/>
                <w:b w:val="0"/>
                <w:bCs w:val="0"/>
                <w:szCs w:val="24"/>
                <w:lang w:eastAsia="en-IN"/>
              </w:rPr>
              <w:t>W2: Limited use of regional flavors.</w:t>
            </w:r>
          </w:p>
          <w:p>
            <w:p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W3: Limited use of technology.</w:t>
            </w:r>
          </w:p>
          <w:p>
            <w:p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W4: Inability to launch stores due to weak supply chains in some areas.</w:t>
            </w:r>
          </w:p>
          <w:p>
            <w:p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W5: Menu contains more junk food (Apsarini Soegoto, 2021) (Greggs, 2022). Greggs, 2022). </w:t>
            </w:r>
          </w:p>
        </w:tc>
      </w:tr>
      <w:tr>
        <w:tblPrEx>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Ex>
        <w:trPr>
          <w:trHeight w:val="4115" w:hRule="atLeast"/>
        </w:trPr>
        <w:tc>
          <w:tcPr>
            <w:tcW w:w="0" w:type="auto"/>
          </w:tcPr>
          <w:p>
            <w:pPr>
              <w:spacing w:before="240" w:after="0"/>
              <w:rPr>
                <w:rFonts w:hint="default" w:ascii="Arial" w:hAnsi="Arial" w:eastAsia="Times New Roman" w:cs="Arial"/>
                <w:b/>
                <w:bCs/>
                <w:szCs w:val="24"/>
                <w:lang w:eastAsia="en-IN"/>
              </w:rPr>
            </w:pPr>
            <w:r>
              <w:rPr>
                <w:rFonts w:hint="default" w:ascii="Arial" w:hAnsi="Arial" w:eastAsia="Times New Roman" w:cs="Arial"/>
                <w:b/>
                <w:bCs/>
                <w:szCs w:val="24"/>
                <w:lang w:eastAsia="en-IN"/>
              </w:rPr>
              <w:t>OPPORTUNITIES</w:t>
            </w:r>
          </w:p>
          <w:p>
            <w:p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O1: Extend the menu by including more vegan and healthy options.</w:t>
            </w:r>
          </w:p>
          <w:p>
            <w:p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O2: Introducing advanced technology.</w:t>
            </w:r>
          </w:p>
          <w:p>
            <w:p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O3: Improve the supply chain for gaining bulk raw materials which will reduce products’ prices.</w:t>
            </w:r>
          </w:p>
          <w:p>
            <w:p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O4: Exploring new ways of collaborating with the stakeholders (Apsarini Soegoto, 2021) (Greggs, 2022).</w:t>
            </w:r>
          </w:p>
          <w:p>
            <w:pPr>
              <w:spacing w:before="240" w:after="0"/>
              <w:rPr>
                <w:rFonts w:hint="default" w:ascii="Arial" w:hAnsi="Arial" w:eastAsia="Times New Roman" w:cs="Arial"/>
                <w:b w:val="0"/>
                <w:bCs w:val="0"/>
                <w:szCs w:val="24"/>
                <w:lang w:eastAsia="en-IN"/>
              </w:rPr>
            </w:pPr>
            <w:r>
              <w:rPr>
                <w:rFonts w:hint="default" w:ascii="Arial" w:hAnsi="Arial" w:eastAsia="Times New Roman" w:cs="Arial"/>
                <w:b w:val="0"/>
                <w:bCs w:val="0"/>
                <w:szCs w:val="24"/>
                <w:lang w:eastAsia="en-IN"/>
              </w:rPr>
              <w:t> </w:t>
            </w:r>
          </w:p>
        </w:tc>
        <w:tc>
          <w:tcPr>
            <w:tcW w:w="0" w:type="auto"/>
          </w:tcPr>
          <w:p>
            <w:pPr>
              <w:spacing w:before="240" w:after="0"/>
              <w:ind w:left="566"/>
              <w:rPr>
                <w:rFonts w:hint="default" w:ascii="Arial" w:hAnsi="Arial" w:eastAsia="Times New Roman" w:cs="Arial"/>
                <w:b/>
                <w:bCs/>
                <w:szCs w:val="24"/>
                <w:lang w:eastAsia="en-IN"/>
              </w:rPr>
            </w:pPr>
            <w:r>
              <w:rPr>
                <w:rFonts w:hint="default" w:ascii="Arial" w:hAnsi="Arial" w:eastAsia="Times New Roman" w:cs="Arial"/>
                <w:b/>
                <w:bCs/>
                <w:szCs w:val="24"/>
                <w:lang w:eastAsia="en-IN"/>
              </w:rPr>
              <w:t>THREATS</w:t>
            </w:r>
          </w:p>
          <w:p>
            <w:pPr>
              <w:spacing w:before="240" w:after="0"/>
              <w:rPr>
                <w:rFonts w:hint="default" w:ascii="Arial" w:hAnsi="Arial" w:eastAsia="Times New Roman" w:cs="Arial"/>
                <w:szCs w:val="24"/>
                <w:lang w:eastAsia="en-IN"/>
              </w:rPr>
            </w:pPr>
            <w:r>
              <w:rPr>
                <w:rFonts w:hint="default" w:ascii="Arial" w:hAnsi="Arial" w:eastAsia="Times New Roman" w:cs="Arial"/>
                <w:color w:val="000000"/>
                <w:szCs w:val="24"/>
                <w:lang w:eastAsia="en-IN"/>
              </w:rPr>
              <w:t>T1: Situations like pandemic.</w:t>
            </w:r>
          </w:p>
          <w:p>
            <w:pPr>
              <w:spacing w:before="240" w:after="0"/>
              <w:rPr>
                <w:rFonts w:hint="default" w:ascii="Arial" w:hAnsi="Arial" w:eastAsia="Times New Roman" w:cs="Arial"/>
                <w:szCs w:val="24"/>
                <w:lang w:eastAsia="en-IN"/>
              </w:rPr>
            </w:pPr>
            <w:r>
              <w:rPr>
                <w:rFonts w:hint="default" w:ascii="Arial" w:hAnsi="Arial" w:eastAsia="Times New Roman" w:cs="Arial"/>
                <w:color w:val="000000"/>
                <w:szCs w:val="24"/>
                <w:lang w:eastAsia="en-IN"/>
              </w:rPr>
              <w:t>T2: Substitution of fast food with healthy food.</w:t>
            </w:r>
          </w:p>
          <w:p>
            <w:pPr>
              <w:spacing w:before="240" w:after="0"/>
              <w:rPr>
                <w:rFonts w:hint="default" w:ascii="Arial" w:hAnsi="Arial" w:eastAsia="Times New Roman" w:cs="Arial"/>
                <w:szCs w:val="24"/>
                <w:lang w:eastAsia="en-IN"/>
              </w:rPr>
            </w:pPr>
            <w:r>
              <w:rPr>
                <w:rFonts w:hint="default" w:ascii="Arial" w:hAnsi="Arial" w:eastAsia="Times New Roman" w:cs="Arial"/>
                <w:color w:val="000000"/>
                <w:szCs w:val="24"/>
                <w:lang w:eastAsia="en-IN"/>
              </w:rPr>
              <w:t xml:space="preserve">T3: </w:t>
            </w:r>
            <w:r>
              <w:rPr>
                <w:rFonts w:hint="default" w:ascii="Arial" w:hAnsi="Arial" w:eastAsia="Times New Roman" w:cs="Arial"/>
                <w:szCs w:val="24"/>
                <w:lang w:eastAsia="en-IN"/>
              </w:rPr>
              <w:t>Substitution by branches of existing rivalries like Caffeine (Apsarini Soegoto, 2021) (Greggs, 2022).</w:t>
            </w:r>
          </w:p>
          <w:p>
            <w:pPr>
              <w:spacing w:before="240" w:after="0"/>
              <w:rPr>
                <w:rFonts w:hint="default" w:ascii="Arial" w:hAnsi="Arial" w:eastAsia="Times New Roman" w:cs="Arial"/>
                <w:szCs w:val="24"/>
                <w:lang w:eastAsia="en-IN"/>
              </w:rPr>
            </w:pPr>
            <w:r>
              <w:rPr>
                <w:rFonts w:hint="default" w:ascii="Arial" w:hAnsi="Arial" w:eastAsia="Times New Roman" w:cs="Arial"/>
                <w:color w:val="000000"/>
                <w:szCs w:val="24"/>
                <w:lang w:eastAsia="en-IN"/>
              </w:rPr>
              <w:t>T4: Increased sugar tax by the government (Apsarini Soegoto, 2021) (Greggs, 2022).</w:t>
            </w:r>
          </w:p>
        </w:tc>
      </w:tr>
    </w:tbl>
    <w:p>
      <w:pPr>
        <w:spacing w:before="240" w:after="240"/>
        <w:rPr>
          <w:rFonts w:hint="default" w:ascii="Arial" w:hAnsi="Arial" w:eastAsia="Times New Roman" w:cs="Arial"/>
          <w:szCs w:val="24"/>
          <w:lang w:eastAsia="en-IN"/>
        </w:rPr>
      </w:pPr>
    </w:p>
    <w:p>
      <w:pPr>
        <w:pStyle w:val="3"/>
        <w:rPr>
          <w:rFonts w:hint="default" w:ascii="Arial" w:hAnsi="Arial" w:cs="Arial"/>
          <w:lang w:val="en-GB"/>
        </w:rPr>
      </w:pPr>
      <w:bookmarkStart w:id="10" w:name="_Toc26818"/>
      <w:r>
        <w:rPr>
          <w:rFonts w:hint="default" w:ascii="Arial" w:hAnsi="Arial" w:cs="Arial"/>
          <w:lang w:val="en-GB"/>
        </w:rPr>
        <w:t>3.3 TOWS analysis</w:t>
      </w:r>
      <w:bookmarkEnd w:id="10"/>
    </w:p>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After obtaining the combined analysis by the SWOT framework, the TOWS is used to plan strategies for the company. The components are similar but TOWS is more inclined towards a tool rather than an analytical framework (Apsarini Soegoto, 2021).</w:t>
      </w:r>
    </w:p>
    <w:tbl>
      <w:tblPr>
        <w:tblStyle w:val="18"/>
        <w:tblW w:w="0" w:type="auto"/>
        <w:tblInd w:w="0" w:type="dxa"/>
        <w:tblLayout w:type="autofit"/>
        <w:tblCellMar>
          <w:top w:w="0" w:type="dxa"/>
          <w:left w:w="108" w:type="dxa"/>
          <w:bottom w:w="0" w:type="dxa"/>
          <w:right w:w="108" w:type="dxa"/>
        </w:tblCellMar>
      </w:tblPr>
      <w:tblGrid>
        <w:gridCol w:w="2177"/>
        <w:gridCol w:w="3214"/>
        <w:gridCol w:w="3131"/>
      </w:tblGrid>
      <w:tr>
        <w:trPr>
          <w:trHeight w:val="737" w:hRule="atLeast"/>
        </w:trPr>
        <w:tc>
          <w:tcPr>
            <w:tcW w:w="0" w:type="auto"/>
            <w:tcBorders>
              <w:bottom w:val="single" w:color="7E7E7E" w:themeColor="text1" w:themeTint="80" w:sz="4" w:space="0"/>
              <w:right w:val="nil"/>
              <w:insideH w:val="single" w:sz="4" w:space="0"/>
            </w:tcBorders>
          </w:tcPr>
          <w:p>
            <w:pPr>
              <w:spacing w:before="240" w:after="0"/>
              <w:rPr>
                <w:rFonts w:hint="default" w:ascii="Arial" w:hAnsi="Arial" w:eastAsia="Times New Roman" w:cs="Arial"/>
                <w:b/>
                <w:bCs/>
                <w:caps/>
                <w:szCs w:val="24"/>
                <w:lang w:eastAsia="en-IN"/>
              </w:rPr>
            </w:pPr>
            <w:r>
              <w:rPr>
                <w:rFonts w:hint="default" w:ascii="Arial" w:hAnsi="Arial" w:eastAsia="Times New Roman" w:cs="Arial"/>
                <w:b/>
                <w:bCs/>
                <w:caps/>
                <w:szCs w:val="24"/>
                <w:lang w:eastAsia="en-IN"/>
              </w:rPr>
              <w:t> </w:t>
            </w:r>
          </w:p>
        </w:tc>
        <w:tc>
          <w:tcPr>
            <w:tcW w:w="0" w:type="auto"/>
            <w:tcBorders>
              <w:bottom w:val="single" w:color="7E7E7E" w:themeColor="text1" w:themeTint="80" w:sz="4" w:space="0"/>
              <w:insideH w:val="single" w:sz="4" w:space="0"/>
            </w:tcBorders>
          </w:tcPr>
          <w:p>
            <w:pPr>
              <w:spacing w:before="240" w:after="0"/>
              <w:rPr>
                <w:rFonts w:hint="default" w:ascii="Arial" w:hAnsi="Arial" w:eastAsia="Times New Roman" w:cs="Arial"/>
                <w:b/>
                <w:bCs/>
                <w:caps/>
                <w:szCs w:val="24"/>
                <w:lang w:eastAsia="en-IN"/>
              </w:rPr>
            </w:pPr>
            <w:r>
              <w:rPr>
                <w:rFonts w:hint="default" w:ascii="Arial" w:hAnsi="Arial" w:eastAsia="Times New Roman" w:cs="Arial"/>
                <w:b/>
                <w:bCs/>
                <w:caps/>
                <w:szCs w:val="24"/>
                <w:lang w:eastAsia="en-IN"/>
              </w:rPr>
              <w:t>STRENGTHS</w:t>
            </w:r>
          </w:p>
        </w:tc>
        <w:tc>
          <w:tcPr>
            <w:tcW w:w="0" w:type="auto"/>
            <w:tcBorders>
              <w:bottom w:val="single" w:color="7E7E7E" w:themeColor="text1" w:themeTint="80" w:sz="4" w:space="0"/>
              <w:insideH w:val="single" w:sz="4" w:space="0"/>
            </w:tcBorders>
          </w:tcPr>
          <w:p>
            <w:pPr>
              <w:spacing w:before="240" w:after="0"/>
              <w:rPr>
                <w:rFonts w:hint="default" w:ascii="Arial" w:hAnsi="Arial" w:eastAsia="Times New Roman" w:cs="Arial"/>
                <w:b/>
                <w:bCs/>
                <w:caps/>
                <w:szCs w:val="24"/>
                <w:lang w:eastAsia="en-IN"/>
              </w:rPr>
            </w:pPr>
            <w:r>
              <w:rPr>
                <w:rFonts w:hint="default" w:ascii="Arial" w:hAnsi="Arial" w:eastAsia="Times New Roman" w:cs="Arial"/>
                <w:b/>
                <w:bCs/>
                <w:caps/>
                <w:szCs w:val="24"/>
                <w:lang w:eastAsia="en-IN"/>
              </w:rPr>
              <w:t>WEAKNESSES</w:t>
            </w:r>
          </w:p>
        </w:tc>
      </w:tr>
      <w:tr>
        <w:tblPrEx>
          <w:tblCellMar>
            <w:top w:w="0" w:type="dxa"/>
            <w:left w:w="108" w:type="dxa"/>
            <w:bottom w:w="0" w:type="dxa"/>
            <w:right w:w="108" w:type="dxa"/>
          </w:tblCellMar>
        </w:tblPrEx>
        <w:trPr>
          <w:trHeight w:val="90" w:hRule="atLeast"/>
        </w:trPr>
        <w:tc>
          <w:tcPr>
            <w:tcW w:w="0" w:type="auto"/>
            <w:tcBorders>
              <w:right w:val="single" w:color="7E7E7E" w:themeColor="text1" w:themeTint="80" w:sz="4" w:space="0"/>
              <w:insideV w:val="single" w:sz="4" w:space="0"/>
            </w:tcBorders>
            <w:shd w:val="clear" w:color="auto" w:fill="F1F1F1" w:themeFill="background1" w:themeFillShade="F2"/>
          </w:tcPr>
          <w:p>
            <w:pPr>
              <w:spacing w:before="240" w:after="0"/>
              <w:rPr>
                <w:rFonts w:hint="default" w:ascii="Arial" w:hAnsi="Arial" w:eastAsia="Times New Roman" w:cs="Arial"/>
                <w:b w:val="0"/>
                <w:bCs w:val="0"/>
                <w:caps/>
                <w:szCs w:val="24"/>
                <w:lang w:eastAsia="en-IN"/>
              </w:rPr>
            </w:pPr>
            <w:r>
              <w:rPr>
                <w:rFonts w:hint="default" w:ascii="Arial" w:hAnsi="Arial" w:eastAsia="Times New Roman" w:cs="Arial"/>
                <w:b/>
                <w:bCs/>
                <w:caps/>
                <w:szCs w:val="24"/>
                <w:lang w:eastAsia="en-IN"/>
              </w:rPr>
              <w:t>OPPORTUNITIES</w:t>
            </w:r>
          </w:p>
          <w:p>
            <w:pPr>
              <w:spacing w:before="240" w:after="0"/>
              <w:ind w:hanging="360"/>
              <w:rPr>
                <w:rFonts w:hint="default" w:ascii="Arial" w:hAnsi="Arial" w:eastAsia="Times New Roman" w:cs="Arial"/>
                <w:b/>
                <w:bCs/>
                <w:caps/>
                <w:szCs w:val="24"/>
                <w:lang w:eastAsia="en-IN"/>
              </w:rPr>
            </w:pPr>
            <w:r>
              <w:rPr>
                <w:rFonts w:hint="default" w:ascii="Arial" w:hAnsi="Arial" w:eastAsia="Times New Roman" w:cs="Arial"/>
                <w:b/>
                <w:bCs/>
                <w:caps/>
                <w:szCs w:val="24"/>
                <w:lang w:eastAsia="en-IN"/>
              </w:rPr>
              <w:t>1</w:t>
            </w:r>
          </w:p>
          <w:p>
            <w:pPr>
              <w:spacing w:before="240" w:after="0"/>
              <w:ind w:hanging="360"/>
              <w:rPr>
                <w:rFonts w:hint="default" w:ascii="Arial" w:hAnsi="Arial" w:eastAsia="Times New Roman" w:cs="Arial"/>
                <w:b/>
                <w:bCs/>
                <w:caps/>
                <w:szCs w:val="24"/>
                <w:lang w:eastAsia="en-IN"/>
              </w:rPr>
            </w:pPr>
            <w:r>
              <w:rPr>
                <w:rFonts w:hint="default" w:ascii="Arial" w:hAnsi="Arial" w:eastAsia="Times New Roman" w:cs="Arial"/>
                <w:b/>
                <w:bCs/>
                <w:caps/>
                <w:szCs w:val="24"/>
                <w:lang w:eastAsia="en-IN"/>
              </w:rPr>
              <w:t xml:space="preserve"> </w:t>
            </w:r>
          </w:p>
        </w:tc>
        <w:tc>
          <w:tcPr>
            <w:tcW w:w="0" w:type="auto"/>
            <w:shd w:val="clear" w:color="auto" w:fill="F1F1F1" w:themeFill="background1" w:themeFillShade="F2"/>
          </w:tcPr>
          <w:p>
            <w:pPr>
              <w:spacing w:before="240" w:after="0"/>
              <w:ind w:hanging="360"/>
              <w:rPr>
                <w:rFonts w:hint="default" w:ascii="Arial" w:hAnsi="Arial" w:eastAsia="Times New Roman" w:cs="Arial"/>
                <w:szCs w:val="24"/>
                <w:lang w:eastAsia="en-IN"/>
              </w:rPr>
            </w:pPr>
            <w:r>
              <w:rPr>
                <w:rFonts w:hint="default" w:ascii="Arial" w:hAnsi="Arial" w:eastAsia="Times New Roman" w:cs="Arial"/>
                <w:szCs w:val="24"/>
                <w:lang w:eastAsia="en-IN"/>
              </w:rPr>
              <w:t>1.  S1 O1: As it is a renowned company, the consumer loyalty can be used to explore new vegan options in the menu. Vegan bakery items can also be introduced.</w:t>
            </w:r>
          </w:p>
          <w:p>
            <w:pPr>
              <w:spacing w:before="240" w:after="0"/>
              <w:ind w:hanging="360"/>
              <w:rPr>
                <w:rFonts w:hint="default" w:ascii="Arial" w:hAnsi="Arial" w:eastAsia="Times New Roman" w:cs="Arial"/>
                <w:szCs w:val="24"/>
                <w:lang w:eastAsia="en-IN"/>
              </w:rPr>
            </w:pPr>
            <w:r>
              <w:rPr>
                <w:rFonts w:hint="default" w:ascii="Arial" w:hAnsi="Arial" w:eastAsia="Times New Roman" w:cs="Arial"/>
                <w:szCs w:val="24"/>
                <w:lang w:eastAsia="en-IN"/>
              </w:rPr>
              <w:t xml:space="preserve">2.  S3 O2: Use of technological resources which are sustainable and cost effective. These can also increase the CSR activity of the company. </w:t>
            </w:r>
          </w:p>
          <w:p>
            <w:pPr>
              <w:spacing w:before="240" w:after="0"/>
              <w:ind w:hanging="360"/>
              <w:rPr>
                <w:rFonts w:hint="default" w:ascii="Arial" w:hAnsi="Arial" w:eastAsia="Times New Roman" w:cs="Arial"/>
                <w:szCs w:val="24"/>
                <w:lang w:eastAsia="en-IN"/>
              </w:rPr>
            </w:pPr>
            <w:r>
              <w:rPr>
                <w:rFonts w:hint="default" w:ascii="Arial" w:hAnsi="Arial" w:eastAsia="Times New Roman" w:cs="Arial"/>
                <w:szCs w:val="24"/>
                <w:lang w:eastAsia="en-IN"/>
              </w:rPr>
              <w:t>3.  S5 O2: Introduction of cloud collaboration with the stakeholders.</w:t>
            </w:r>
          </w:p>
          <w:p>
            <w:pPr>
              <w:spacing w:before="240" w:after="0"/>
              <w:ind w:hanging="360"/>
              <w:rPr>
                <w:rFonts w:hint="default" w:ascii="Arial" w:hAnsi="Arial" w:eastAsia="Times New Roman" w:cs="Arial"/>
                <w:szCs w:val="24"/>
                <w:lang w:eastAsia="en-IN"/>
              </w:rPr>
            </w:pPr>
          </w:p>
        </w:tc>
        <w:tc>
          <w:tcPr>
            <w:tcW w:w="0" w:type="auto"/>
            <w:shd w:val="clear" w:color="auto" w:fill="F1F1F1" w:themeFill="background1" w:themeFillShade="F2"/>
          </w:tcPr>
          <w:p>
            <w:pPr>
              <w:spacing w:before="240" w:after="0"/>
              <w:ind w:hanging="360"/>
              <w:rPr>
                <w:rFonts w:hint="default" w:ascii="Arial" w:hAnsi="Arial" w:eastAsia="Times New Roman" w:cs="Arial"/>
                <w:szCs w:val="24"/>
                <w:lang w:eastAsia="en-IN"/>
              </w:rPr>
            </w:pPr>
            <w:r>
              <w:rPr>
                <w:rFonts w:hint="default" w:ascii="Arial" w:hAnsi="Arial" w:eastAsia="Times New Roman" w:cs="Arial"/>
                <w:szCs w:val="24"/>
                <w:lang w:eastAsia="en-IN"/>
              </w:rPr>
              <w:t>1.  W1 O2: Use technological aspects like apps to reduce the cost of training.</w:t>
            </w:r>
          </w:p>
          <w:p>
            <w:pPr>
              <w:spacing w:before="240" w:after="0"/>
              <w:ind w:hanging="360"/>
              <w:rPr>
                <w:rFonts w:hint="default" w:ascii="Arial" w:hAnsi="Arial" w:eastAsia="Times New Roman" w:cs="Arial"/>
                <w:szCs w:val="24"/>
                <w:lang w:eastAsia="en-IN"/>
              </w:rPr>
            </w:pPr>
            <w:r>
              <w:rPr>
                <w:rFonts w:hint="default" w:ascii="Arial" w:hAnsi="Arial" w:eastAsia="Times New Roman" w:cs="Arial"/>
                <w:szCs w:val="24"/>
                <w:lang w:eastAsia="en-IN"/>
              </w:rPr>
              <w:t>2.  W2 O1: Expand the menu as per regions to attract more consumers.</w:t>
            </w:r>
          </w:p>
          <w:p>
            <w:pPr>
              <w:spacing w:before="240" w:after="0"/>
              <w:ind w:hanging="360"/>
              <w:rPr>
                <w:rFonts w:hint="default" w:ascii="Arial" w:hAnsi="Arial" w:eastAsia="Times New Roman" w:cs="Arial"/>
                <w:szCs w:val="24"/>
                <w:lang w:eastAsia="en-IN"/>
              </w:rPr>
            </w:pPr>
            <w:r>
              <w:rPr>
                <w:rFonts w:hint="default" w:ascii="Arial" w:hAnsi="Arial" w:eastAsia="Times New Roman" w:cs="Arial"/>
                <w:szCs w:val="24"/>
                <w:lang w:eastAsia="en-IN"/>
              </w:rPr>
              <w:t>3.  W5 O1: Extend the vegan options for the health-conscious public.</w:t>
            </w:r>
          </w:p>
        </w:tc>
      </w:tr>
      <w:tr>
        <w:tblPrEx>
          <w:tblCellMar>
            <w:top w:w="0" w:type="dxa"/>
            <w:left w:w="108" w:type="dxa"/>
            <w:bottom w:w="0" w:type="dxa"/>
            <w:right w:w="108" w:type="dxa"/>
          </w:tblCellMar>
        </w:tblPrEx>
        <w:trPr>
          <w:trHeight w:val="619" w:hRule="atLeast"/>
        </w:trPr>
        <w:tc>
          <w:tcPr>
            <w:tcW w:w="0" w:type="auto"/>
            <w:tcBorders>
              <w:right w:val="single" w:color="7E7E7E" w:themeColor="text1" w:themeTint="80" w:sz="4" w:space="0"/>
              <w:insideV w:val="single" w:sz="4" w:space="0"/>
            </w:tcBorders>
          </w:tcPr>
          <w:p>
            <w:pPr>
              <w:spacing w:before="240" w:after="0"/>
              <w:rPr>
                <w:rFonts w:hint="default" w:ascii="Arial" w:hAnsi="Arial" w:eastAsia="Times New Roman" w:cs="Arial"/>
                <w:b w:val="0"/>
                <w:bCs w:val="0"/>
                <w:caps/>
                <w:szCs w:val="24"/>
                <w:lang w:eastAsia="en-IN"/>
              </w:rPr>
            </w:pPr>
            <w:r>
              <w:rPr>
                <w:rFonts w:hint="default" w:ascii="Arial" w:hAnsi="Arial" w:eastAsia="Times New Roman" w:cs="Arial"/>
                <w:b/>
                <w:bCs/>
                <w:caps/>
                <w:szCs w:val="24"/>
                <w:lang w:eastAsia="en-IN"/>
              </w:rPr>
              <w:t>THREATS</w:t>
            </w:r>
          </w:p>
          <w:p>
            <w:pPr>
              <w:spacing w:before="240" w:after="0"/>
              <w:ind w:hanging="360"/>
              <w:rPr>
                <w:rFonts w:hint="default" w:ascii="Arial" w:hAnsi="Arial" w:eastAsia="Times New Roman" w:cs="Arial"/>
                <w:b/>
                <w:bCs/>
                <w:caps/>
                <w:szCs w:val="24"/>
                <w:lang w:eastAsia="en-IN"/>
              </w:rPr>
            </w:pPr>
            <w:r>
              <w:rPr>
                <w:rFonts w:hint="default" w:ascii="Arial" w:hAnsi="Arial" w:eastAsia="Times New Roman" w:cs="Arial"/>
                <w:b/>
                <w:bCs/>
                <w:caps/>
                <w:szCs w:val="24"/>
                <w:lang w:eastAsia="en-IN"/>
              </w:rPr>
              <w:t>1.  </w:t>
            </w:r>
          </w:p>
        </w:tc>
        <w:tc>
          <w:tcPr>
            <w:tcW w:w="0" w:type="auto"/>
          </w:tcPr>
          <w:p>
            <w:pPr>
              <w:spacing w:before="240" w:after="0"/>
              <w:ind w:hanging="360"/>
              <w:rPr>
                <w:rFonts w:hint="default" w:ascii="Arial" w:hAnsi="Arial" w:eastAsia="Times New Roman" w:cs="Arial"/>
                <w:szCs w:val="24"/>
                <w:lang w:eastAsia="en-IN"/>
              </w:rPr>
            </w:pPr>
            <w:r>
              <w:rPr>
                <w:rFonts w:hint="default" w:ascii="Arial" w:hAnsi="Arial" w:eastAsia="Times New Roman" w:cs="Arial"/>
                <w:szCs w:val="24"/>
                <w:lang w:eastAsia="en-IN"/>
              </w:rPr>
              <w:t>1.  S4 T1: Vegan and healthy food on the menu can be consumer in health-related 23crises.</w:t>
            </w:r>
          </w:p>
          <w:p>
            <w:pPr>
              <w:spacing w:before="240" w:after="0"/>
              <w:ind w:hanging="360"/>
              <w:rPr>
                <w:rFonts w:hint="default" w:ascii="Arial" w:hAnsi="Arial" w:eastAsia="Times New Roman" w:cs="Arial"/>
                <w:szCs w:val="24"/>
                <w:lang w:eastAsia="en-IN"/>
              </w:rPr>
            </w:pPr>
            <w:r>
              <w:rPr>
                <w:rFonts w:hint="default" w:ascii="Arial" w:hAnsi="Arial" w:eastAsia="Times New Roman" w:cs="Arial"/>
                <w:szCs w:val="24"/>
                <w:lang w:eastAsia="en-IN"/>
              </w:rPr>
              <w:t>2.   S4 T2: Substituting sugar with jaggery in order to reduce sugar tax and promote health.</w:t>
            </w:r>
          </w:p>
        </w:tc>
        <w:tc>
          <w:tcPr>
            <w:tcW w:w="0" w:type="auto"/>
          </w:tcPr>
          <w:p>
            <w:pPr>
              <w:spacing w:before="240" w:after="0"/>
              <w:ind w:hanging="360"/>
              <w:rPr>
                <w:rFonts w:hint="default" w:ascii="Arial" w:hAnsi="Arial" w:eastAsia="Times New Roman" w:cs="Arial"/>
                <w:szCs w:val="24"/>
                <w:lang w:eastAsia="en-IN"/>
              </w:rPr>
            </w:pPr>
            <w:r>
              <w:rPr>
                <w:rFonts w:hint="default" w:ascii="Arial" w:hAnsi="Arial" w:eastAsia="Times New Roman" w:cs="Arial"/>
                <w:szCs w:val="24"/>
                <w:lang w:eastAsia="en-IN"/>
              </w:rPr>
              <w:t>1.   W2 T2: Introduce variety of vegan options in the menu to reduce the threat of substitution.</w:t>
            </w:r>
          </w:p>
          <w:p>
            <w:pPr>
              <w:spacing w:before="240" w:after="0"/>
              <w:ind w:hanging="360"/>
              <w:rPr>
                <w:rFonts w:hint="default" w:ascii="Arial" w:hAnsi="Arial" w:eastAsia="Times New Roman" w:cs="Arial"/>
                <w:szCs w:val="24"/>
                <w:lang w:eastAsia="en-IN"/>
              </w:rPr>
            </w:pPr>
            <w:r>
              <w:rPr>
                <w:rFonts w:hint="default" w:ascii="Arial" w:hAnsi="Arial" w:eastAsia="Times New Roman" w:cs="Arial"/>
                <w:szCs w:val="24"/>
                <w:lang w:eastAsia="en-IN"/>
              </w:rPr>
              <w:t xml:space="preserve">2.   W4 T3: Imply technological aspects in the supply chain to rescue transportation costs and create a competitive advantage. </w:t>
            </w:r>
          </w:p>
        </w:tc>
      </w:tr>
    </w:tbl>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 xml:space="preserve"> </w:t>
      </w:r>
    </w:p>
    <w:p>
      <w:pPr>
        <w:pStyle w:val="2"/>
        <w:rPr>
          <w:rFonts w:hint="default" w:ascii="Arial" w:hAnsi="Arial" w:cs="Arial"/>
          <w:sz w:val="28"/>
          <w:szCs w:val="28"/>
          <w:lang w:val="en-GB"/>
        </w:rPr>
      </w:pPr>
      <w:bookmarkStart w:id="11" w:name="_Toc20730"/>
      <w:r>
        <w:rPr>
          <w:rFonts w:hint="default" w:ascii="Arial" w:hAnsi="Arial" w:cs="Arial"/>
          <w:sz w:val="28"/>
          <w:szCs w:val="28"/>
          <w:lang w:val="en-GB"/>
        </w:rPr>
        <w:t>4</w:t>
      </w:r>
      <w:r>
        <w:rPr>
          <w:rFonts w:hint="eastAsia" w:ascii="Arial" w:hAnsi="Arial" w:cs="Arial"/>
          <w:sz w:val="28"/>
          <w:szCs w:val="28"/>
          <w:lang w:val="en-US" w:eastAsia="zh-CN"/>
        </w:rPr>
        <w:t>.0</w:t>
      </w:r>
      <w:r>
        <w:rPr>
          <w:rFonts w:hint="default" w:ascii="Arial" w:hAnsi="Arial" w:cs="Arial"/>
          <w:sz w:val="28"/>
          <w:szCs w:val="28"/>
          <w:lang w:val="en-GB"/>
        </w:rPr>
        <w:t xml:space="preserve"> Reactive vs proactive</w:t>
      </w:r>
      <w:bookmarkEnd w:id="11"/>
    </w:p>
    <w:p>
      <w:pPr>
        <w:pStyle w:val="10"/>
        <w:spacing w:before="240" w:beforeAutospacing="0" w:after="240" w:afterAutospacing="0" w:line="360" w:lineRule="auto"/>
        <w:rPr>
          <w:rFonts w:hint="default" w:ascii="Arial" w:hAnsi="Arial" w:cs="Arial"/>
        </w:rPr>
      </w:pPr>
      <w:r>
        <w:rPr>
          <w:rFonts w:hint="default" w:ascii="Arial" w:hAnsi="Arial" w:cs="Arial"/>
          <w:color w:val="000000"/>
        </w:rPr>
        <w:t>These strategies can be elaborated as long term and short term based on the competitive market, they function in. The UK market displays cut throat competition for the fast-food industry which turns the ocean red. Whereas the blue ocean denotes the areas which are unexplored and have lesser competition (Ganguly, 2020).</w:t>
      </w:r>
    </w:p>
    <w:p>
      <w:pPr>
        <w:pStyle w:val="3"/>
        <w:rPr>
          <w:rFonts w:hint="default" w:ascii="Arial" w:hAnsi="Arial" w:cs="Arial"/>
          <w:szCs w:val="24"/>
          <w:lang w:val="en-GB"/>
        </w:rPr>
      </w:pPr>
      <w:bookmarkStart w:id="12" w:name="_Toc30608"/>
      <w:r>
        <w:rPr>
          <w:rFonts w:hint="default" w:ascii="Arial" w:hAnsi="Arial" w:cs="Arial"/>
          <w:szCs w:val="24"/>
          <w:lang w:val="en-GB"/>
        </w:rPr>
        <w:t>4.1 Blue Ocean strategies</w:t>
      </w:r>
      <w:bookmarkEnd w:id="12"/>
    </w:p>
    <w:p>
      <w:pPr>
        <w:pStyle w:val="10"/>
        <w:spacing w:before="240" w:beforeAutospacing="0" w:after="240" w:afterAutospacing="0" w:line="360" w:lineRule="auto"/>
        <w:rPr>
          <w:rFonts w:hint="default" w:ascii="Arial" w:hAnsi="Arial" w:cs="Arial"/>
        </w:rPr>
      </w:pPr>
      <w:r>
        <w:rPr>
          <w:rFonts w:hint="default" w:ascii="Arial" w:hAnsi="Arial" w:cs="Arial"/>
          <w:color w:val="000000"/>
        </w:rPr>
        <w:t>During the establishment of Greggs in 1929, the ocean was blue. Bakeries were not in competition in the UK market (Greggs, 2022). Later, the situation changed. Currently, the company can introduce unique products like vegan bakery items which can also provide a competitive advantage. This is a very uncontested market place where opportunities are high. This will denote a creation of new demand which is healthy, vegan, tasty and environmentally conscious which will be fulfilled by the company (Ganguly, 2020) (Apsarini Soegoto, 2021).</w:t>
      </w:r>
    </w:p>
    <w:p>
      <w:pPr>
        <w:pStyle w:val="3"/>
        <w:rPr>
          <w:rFonts w:hint="default" w:ascii="Arial" w:hAnsi="Arial" w:cs="Arial"/>
          <w:szCs w:val="24"/>
          <w:lang w:val="en-GB"/>
        </w:rPr>
      </w:pPr>
      <w:bookmarkStart w:id="13" w:name="_Toc23426"/>
      <w:r>
        <w:rPr>
          <w:rFonts w:hint="default" w:ascii="Arial" w:hAnsi="Arial" w:cs="Arial"/>
          <w:szCs w:val="24"/>
          <w:lang w:val="en-GB"/>
        </w:rPr>
        <w:t>4.2 Red Ocean strategies</w:t>
      </w:r>
      <w:bookmarkEnd w:id="13"/>
    </w:p>
    <w:p>
      <w:pPr>
        <w:pStyle w:val="10"/>
        <w:spacing w:before="240" w:beforeAutospacing="0" w:after="240" w:afterAutospacing="0" w:line="360" w:lineRule="auto"/>
        <w:rPr>
          <w:rFonts w:hint="default" w:ascii="Arial" w:hAnsi="Arial" w:cs="Arial"/>
        </w:rPr>
      </w:pPr>
      <w:r>
        <w:rPr>
          <w:rFonts w:hint="default" w:ascii="Arial" w:hAnsi="Arial" w:cs="Arial"/>
          <w:color w:val="000000"/>
        </w:rPr>
        <w:t>The UK fast food industry is more inclined towards the red ocean. Startup companies and branches of the existing companies are launching frequently. In such a situation, Greggs function by providing affordable and accessible food (Greggs, 2022). Social media marketing also has huge competition but its use is very profitable for the company. Creating a competitive advantage of the supply chain can also help the company to beat the competition. These strategies provide cost effective and differential products to the consumers which can aid the company to survive in the competitive market. The technological aspects like automated machines and smart factories can also provide a competitive advantage to the company (Apsarini Soegoto, 2021).</w:t>
      </w:r>
    </w:p>
    <w:p>
      <w:pPr>
        <w:pStyle w:val="2"/>
        <w:rPr>
          <w:rFonts w:hint="default" w:ascii="Arial" w:hAnsi="Arial" w:cs="Arial"/>
          <w:sz w:val="28"/>
          <w:szCs w:val="28"/>
          <w:lang w:val="en-GB"/>
        </w:rPr>
      </w:pPr>
      <w:bookmarkStart w:id="14" w:name="_Toc2112"/>
      <w:r>
        <w:rPr>
          <w:rFonts w:hint="default" w:ascii="Arial" w:hAnsi="Arial" w:cs="Arial"/>
          <w:sz w:val="28"/>
          <w:szCs w:val="28"/>
          <w:lang w:val="en-GB"/>
        </w:rPr>
        <w:t>5</w:t>
      </w:r>
      <w:r>
        <w:rPr>
          <w:rFonts w:hint="eastAsia" w:ascii="Arial" w:hAnsi="Arial" w:cs="Arial"/>
          <w:sz w:val="28"/>
          <w:szCs w:val="28"/>
          <w:lang w:val="en-US" w:eastAsia="zh-CN"/>
        </w:rPr>
        <w:t>.0</w:t>
      </w:r>
      <w:r>
        <w:rPr>
          <w:rFonts w:hint="default" w:ascii="Arial" w:hAnsi="Arial" w:cs="Arial"/>
          <w:sz w:val="28"/>
          <w:szCs w:val="28"/>
          <w:lang w:val="en-GB"/>
        </w:rPr>
        <w:t xml:space="preserve"> Resources and Capabilities</w:t>
      </w:r>
      <w:bookmarkEnd w:id="14"/>
    </w:p>
    <w:p>
      <w:pPr>
        <w:rPr>
          <w:rFonts w:hint="default" w:ascii="Arial" w:hAnsi="Arial" w:cs="Arial"/>
          <w:szCs w:val="24"/>
          <w:lang w:val="en-GB"/>
        </w:rPr>
      </w:pPr>
      <w:r>
        <w:rPr>
          <w:rFonts w:hint="default" w:ascii="Arial" w:hAnsi="Arial" w:cs="Arial"/>
          <w:szCs w:val="24"/>
          <w:lang w:val="en-GB"/>
        </w:rPr>
        <w:t xml:space="preserve">Resources are an important part of any brand. The strategies are majorly based on the resources available in the company (Apsarini Soegoto, 2021). In the fast-food industry of the UK, tangible resources like machineries, transportation services, technological materials, raw materials and stocks are highly seen (Silva and Oliveira, 2020). The Russian invasion has affected the stocks and transportation (gov.uk, 2022). Intangible resources like management software, skilful and competent employees are observed (Silva and Oliveira, 2020). Considering Greggs, it has certain significant resources which serve as a great competitive advantage. </w:t>
      </w:r>
    </w:p>
    <w:p>
      <w:pPr>
        <w:pStyle w:val="15"/>
        <w:numPr>
          <w:ilvl w:val="0"/>
          <w:numId w:val="7"/>
        </w:numPr>
        <w:rPr>
          <w:rFonts w:hint="default" w:ascii="Arial" w:hAnsi="Arial" w:cs="Arial"/>
          <w:szCs w:val="24"/>
          <w:lang w:val="en-GB"/>
        </w:rPr>
      </w:pPr>
      <w:r>
        <w:rPr>
          <w:rFonts w:hint="default" w:ascii="Arial" w:hAnsi="Arial" w:cs="Arial"/>
          <w:szCs w:val="24"/>
          <w:lang w:val="en-GB"/>
        </w:rPr>
        <w:t xml:space="preserve">Tangible resources: </w:t>
      </w:r>
    </w:p>
    <w:p>
      <w:pPr>
        <w:pStyle w:val="15"/>
        <w:rPr>
          <w:rFonts w:hint="default" w:ascii="Arial" w:hAnsi="Arial" w:cs="Arial"/>
          <w:szCs w:val="24"/>
          <w:lang w:val="en-GB"/>
        </w:rPr>
      </w:pPr>
      <w:r>
        <w:rPr>
          <w:rFonts w:hint="default" w:ascii="Arial" w:hAnsi="Arial" w:cs="Arial"/>
          <w:szCs w:val="24"/>
          <w:lang w:val="en-GB"/>
        </w:rPr>
        <w:t>These are the resource which can be experienced physically (Silva and Oliveira, 2020). Greggs tangible resources are listed below:</w:t>
      </w:r>
    </w:p>
    <w:p>
      <w:pPr>
        <w:pStyle w:val="15"/>
        <w:numPr>
          <w:ilvl w:val="0"/>
          <w:numId w:val="8"/>
        </w:numPr>
        <w:rPr>
          <w:rFonts w:hint="default" w:ascii="Arial" w:hAnsi="Arial" w:cs="Arial"/>
          <w:szCs w:val="24"/>
          <w:lang w:val="en-GB"/>
        </w:rPr>
      </w:pPr>
      <w:r>
        <w:rPr>
          <w:rFonts w:hint="default" w:ascii="Arial" w:hAnsi="Arial" w:cs="Arial"/>
          <w:szCs w:val="24"/>
          <w:lang w:val="en-GB"/>
        </w:rPr>
        <w:t xml:space="preserve">Storage properties </w:t>
      </w:r>
    </w:p>
    <w:p>
      <w:pPr>
        <w:pStyle w:val="15"/>
        <w:numPr>
          <w:ilvl w:val="0"/>
          <w:numId w:val="8"/>
        </w:numPr>
        <w:rPr>
          <w:rFonts w:hint="default" w:ascii="Arial" w:hAnsi="Arial" w:cs="Arial"/>
          <w:szCs w:val="24"/>
          <w:lang w:val="en-GB"/>
        </w:rPr>
      </w:pPr>
      <w:r>
        <w:rPr>
          <w:rFonts w:hint="default" w:ascii="Arial" w:hAnsi="Arial" w:cs="Arial"/>
          <w:szCs w:val="24"/>
          <w:lang w:val="en-GB"/>
        </w:rPr>
        <w:t xml:space="preserve">High quality raw materials </w:t>
      </w:r>
    </w:p>
    <w:p>
      <w:pPr>
        <w:pStyle w:val="15"/>
        <w:numPr>
          <w:ilvl w:val="0"/>
          <w:numId w:val="8"/>
        </w:numPr>
        <w:rPr>
          <w:rFonts w:hint="default" w:ascii="Arial" w:hAnsi="Arial" w:cs="Arial"/>
          <w:szCs w:val="24"/>
          <w:lang w:val="en-GB"/>
        </w:rPr>
      </w:pPr>
      <w:r>
        <w:rPr>
          <w:rFonts w:hint="default" w:ascii="Arial" w:hAnsi="Arial" w:cs="Arial"/>
          <w:szCs w:val="24"/>
          <w:lang w:val="en-GB"/>
        </w:rPr>
        <w:t xml:space="preserve">Chain of stores at various locations </w:t>
      </w:r>
    </w:p>
    <w:p>
      <w:pPr>
        <w:pStyle w:val="15"/>
        <w:numPr>
          <w:ilvl w:val="0"/>
          <w:numId w:val="8"/>
        </w:numPr>
        <w:rPr>
          <w:rFonts w:hint="default" w:ascii="Arial" w:hAnsi="Arial" w:cs="Arial"/>
          <w:szCs w:val="24"/>
          <w:lang w:val="en-GB"/>
        </w:rPr>
      </w:pPr>
      <w:r>
        <w:rPr>
          <w:rFonts w:hint="default" w:ascii="Arial" w:hAnsi="Arial" w:cs="Arial"/>
          <w:szCs w:val="24"/>
          <w:lang w:val="en-GB"/>
        </w:rPr>
        <w:t xml:space="preserve">Valuable supply chain </w:t>
      </w:r>
      <w:r>
        <w:rPr>
          <w:rFonts w:hint="default" w:ascii="Arial" w:hAnsi="Arial" w:cs="Arial"/>
          <w:color w:val="000000"/>
          <w:szCs w:val="24"/>
        </w:rPr>
        <w:t>(Greggs, 2022)</w:t>
      </w:r>
    </w:p>
    <w:p>
      <w:pPr>
        <w:pStyle w:val="15"/>
        <w:numPr>
          <w:ilvl w:val="0"/>
          <w:numId w:val="7"/>
        </w:numPr>
        <w:rPr>
          <w:rFonts w:hint="default" w:ascii="Arial" w:hAnsi="Arial" w:cs="Arial"/>
          <w:szCs w:val="24"/>
          <w:lang w:val="en-GB"/>
        </w:rPr>
      </w:pPr>
      <w:r>
        <w:rPr>
          <w:rFonts w:hint="default" w:ascii="Arial" w:hAnsi="Arial" w:cs="Arial"/>
          <w:szCs w:val="24"/>
          <w:lang w:val="en-GB"/>
        </w:rPr>
        <w:t xml:space="preserve"> Intangible resources:</w:t>
      </w:r>
    </w:p>
    <w:p>
      <w:pPr>
        <w:pStyle w:val="15"/>
        <w:rPr>
          <w:rFonts w:hint="default" w:ascii="Arial" w:hAnsi="Arial" w:cs="Arial"/>
          <w:szCs w:val="24"/>
          <w:lang w:val="en-GB"/>
        </w:rPr>
      </w:pPr>
      <w:r>
        <w:rPr>
          <w:rFonts w:hint="default" w:ascii="Arial" w:hAnsi="Arial" w:cs="Arial"/>
          <w:szCs w:val="24"/>
          <w:lang w:val="en-GB"/>
        </w:rPr>
        <w:t>These are the resources which cannot be experienced physically (Silva and Oliveira, 2020). Gregg’s intabgible resources are listed below:</w:t>
      </w:r>
    </w:p>
    <w:p>
      <w:pPr>
        <w:pStyle w:val="15"/>
        <w:numPr>
          <w:ilvl w:val="0"/>
          <w:numId w:val="9"/>
        </w:numPr>
        <w:rPr>
          <w:rFonts w:hint="default" w:ascii="Arial" w:hAnsi="Arial" w:cs="Arial"/>
          <w:szCs w:val="24"/>
          <w:lang w:val="en-GB"/>
        </w:rPr>
      </w:pPr>
      <w:r>
        <w:rPr>
          <w:rFonts w:hint="default" w:ascii="Arial" w:hAnsi="Arial" w:cs="Arial"/>
          <w:szCs w:val="24"/>
          <w:lang w:val="en-GB"/>
        </w:rPr>
        <w:t xml:space="preserve">Skilled labour for manual work </w:t>
      </w:r>
    </w:p>
    <w:p>
      <w:pPr>
        <w:pStyle w:val="15"/>
        <w:numPr>
          <w:ilvl w:val="0"/>
          <w:numId w:val="9"/>
        </w:numPr>
        <w:rPr>
          <w:rFonts w:hint="default" w:ascii="Arial" w:hAnsi="Arial" w:cs="Arial"/>
          <w:szCs w:val="24"/>
          <w:lang w:val="en-GB"/>
        </w:rPr>
      </w:pPr>
      <w:r>
        <w:rPr>
          <w:rFonts w:hint="default" w:ascii="Arial" w:hAnsi="Arial" w:cs="Arial"/>
          <w:szCs w:val="24"/>
          <w:lang w:val="en-GB"/>
        </w:rPr>
        <w:t xml:space="preserve">Renowned brand name </w:t>
      </w:r>
    </w:p>
    <w:p>
      <w:pPr>
        <w:pStyle w:val="15"/>
        <w:numPr>
          <w:ilvl w:val="0"/>
          <w:numId w:val="9"/>
        </w:numPr>
        <w:rPr>
          <w:rFonts w:hint="default" w:ascii="Arial" w:hAnsi="Arial" w:cs="Arial"/>
          <w:szCs w:val="24"/>
          <w:lang w:val="en-GB"/>
        </w:rPr>
      </w:pPr>
      <w:r>
        <w:rPr>
          <w:rFonts w:hint="default" w:ascii="Arial" w:hAnsi="Arial" w:cs="Arial"/>
          <w:szCs w:val="24"/>
          <w:lang w:val="en-GB"/>
        </w:rPr>
        <w:t xml:space="preserve">Competent management team </w:t>
      </w:r>
      <w:r>
        <w:rPr>
          <w:rFonts w:hint="default" w:ascii="Arial" w:hAnsi="Arial" w:cs="Arial"/>
          <w:color w:val="000000"/>
          <w:szCs w:val="24"/>
        </w:rPr>
        <w:t>(Greggs, 2022)</w:t>
      </w:r>
    </w:p>
    <w:p>
      <w:pPr>
        <w:pStyle w:val="3"/>
        <w:rPr>
          <w:rFonts w:hint="default" w:ascii="Arial" w:hAnsi="Arial" w:cs="Arial"/>
          <w:szCs w:val="24"/>
          <w:lang w:val="en-GB"/>
        </w:rPr>
      </w:pPr>
      <w:bookmarkStart w:id="15" w:name="_Toc6458"/>
      <w:r>
        <w:rPr>
          <w:rFonts w:hint="default" w:ascii="Arial" w:hAnsi="Arial" w:cs="Arial"/>
          <w:szCs w:val="24"/>
          <w:lang w:val="en-GB"/>
        </w:rPr>
        <w:t>5.1 VRIN analysis</w:t>
      </w:r>
      <w:bookmarkEnd w:id="15"/>
    </w:p>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The VRIN analysis aids to prioritize the important factors of the business. Considering the fast-food industry, the market supply, variety, marketing and pricing strategies are the factors that provide competitive advantage to the companies (Encyclopedia, 2021).</w:t>
      </w:r>
    </w:p>
    <w:tbl>
      <w:tblPr>
        <w:tblStyle w:val="19"/>
        <w:tblW w:w="0" w:type="auto"/>
        <w:tblInd w:w="0" w:type="dxa"/>
        <w:tblLayout w:type="autofit"/>
        <w:tblCellMar>
          <w:top w:w="0" w:type="dxa"/>
          <w:left w:w="108" w:type="dxa"/>
          <w:bottom w:w="0" w:type="dxa"/>
          <w:right w:w="108" w:type="dxa"/>
        </w:tblCellMar>
      </w:tblPr>
      <w:tblGrid>
        <w:gridCol w:w="1447"/>
        <w:gridCol w:w="1247"/>
        <w:gridCol w:w="753"/>
        <w:gridCol w:w="1299"/>
        <w:gridCol w:w="2277"/>
        <w:gridCol w:w="1499"/>
      </w:tblGrid>
      <w:tr>
        <w:tblPrEx>
          <w:tblCellMar>
            <w:top w:w="0" w:type="dxa"/>
            <w:left w:w="108" w:type="dxa"/>
            <w:bottom w:w="0" w:type="dxa"/>
            <w:right w:w="108" w:type="dxa"/>
          </w:tblCellMar>
        </w:tblPrEx>
        <w:trPr>
          <w:trHeight w:val="755" w:hRule="atLeast"/>
        </w:trPr>
        <w:tc>
          <w:tcPr>
            <w:tcW w:w="0" w:type="auto"/>
            <w:tcBorders>
              <w:bottom w:val="single" w:color="7E7E7E" w:themeColor="text1" w:themeTint="80" w:sz="4" w:space="0"/>
              <w:right w:val="nil"/>
              <w:insideH w:val="single" w:sz="4" w:space="0"/>
            </w:tcBorders>
            <w:shd w:val="clear" w:color="auto" w:fill="FFFFFF" w:themeFill="background1"/>
          </w:tcPr>
          <w:p>
            <w:pPr>
              <w:spacing w:before="240" w:after="0"/>
              <w:jc w:val="right"/>
              <w:rPr>
                <w:rFonts w:hint="default" w:ascii="Arial" w:hAnsi="Arial" w:eastAsia="Times New Roman" w:cs="Arial"/>
                <w:b/>
                <w:bCs/>
                <w:i/>
                <w:iCs/>
                <w:sz w:val="22"/>
                <w:lang w:eastAsia="en-IN"/>
              </w:rPr>
            </w:pPr>
            <w:r>
              <w:rPr>
                <w:rFonts w:hint="default" w:ascii="Arial" w:hAnsi="Arial" w:eastAsia="Times New Roman" w:cs="Arial"/>
                <w:b/>
                <w:bCs/>
                <w:i/>
                <w:iCs/>
                <w:sz w:val="22"/>
                <w:lang w:eastAsia="en-IN"/>
              </w:rPr>
              <w:t>RESOURCES</w:t>
            </w:r>
          </w:p>
        </w:tc>
        <w:tc>
          <w:tcPr>
            <w:tcW w:w="0" w:type="auto"/>
            <w:tcBorders>
              <w:bottom w:val="single" w:color="7E7E7E" w:themeColor="text1" w:themeTint="80" w:sz="4" w:space="0"/>
              <w:insideH w:val="single" w:sz="4" w:space="0"/>
            </w:tcBorders>
            <w:shd w:val="clear" w:color="auto" w:fill="FFFFFF" w:themeFill="background1"/>
          </w:tcPr>
          <w:p>
            <w:pPr>
              <w:spacing w:before="240" w:after="0"/>
              <w:rPr>
                <w:rFonts w:hint="default" w:ascii="Arial" w:hAnsi="Arial" w:eastAsia="Times New Roman" w:cs="Arial"/>
                <w:b/>
                <w:bCs/>
                <w:i/>
                <w:iCs/>
                <w:sz w:val="22"/>
                <w:lang w:eastAsia="en-IN"/>
              </w:rPr>
            </w:pPr>
            <w:r>
              <w:rPr>
                <w:rFonts w:hint="default" w:ascii="Arial" w:hAnsi="Arial" w:eastAsia="Times New Roman" w:cs="Arial"/>
                <w:b/>
                <w:bCs/>
                <w:i/>
                <w:iCs/>
                <w:sz w:val="22"/>
                <w:lang w:eastAsia="en-IN"/>
              </w:rPr>
              <w:t>VALUABLE</w:t>
            </w:r>
          </w:p>
        </w:tc>
        <w:tc>
          <w:tcPr>
            <w:tcW w:w="0" w:type="auto"/>
            <w:tcBorders>
              <w:bottom w:val="single" w:color="7E7E7E" w:themeColor="text1" w:themeTint="80" w:sz="4" w:space="0"/>
              <w:insideH w:val="single" w:sz="4" w:space="0"/>
            </w:tcBorders>
            <w:shd w:val="clear" w:color="auto" w:fill="FFFFFF" w:themeFill="background1"/>
          </w:tcPr>
          <w:p>
            <w:pPr>
              <w:spacing w:before="240" w:after="0"/>
              <w:rPr>
                <w:rFonts w:hint="default" w:ascii="Arial" w:hAnsi="Arial" w:eastAsia="Times New Roman" w:cs="Arial"/>
                <w:b/>
                <w:bCs/>
                <w:i/>
                <w:iCs/>
                <w:sz w:val="22"/>
                <w:lang w:eastAsia="en-IN"/>
              </w:rPr>
            </w:pPr>
            <w:r>
              <w:rPr>
                <w:rFonts w:hint="default" w:ascii="Arial" w:hAnsi="Arial" w:eastAsia="Times New Roman" w:cs="Arial"/>
                <w:b/>
                <w:bCs/>
                <w:i/>
                <w:iCs/>
                <w:sz w:val="22"/>
                <w:lang w:eastAsia="en-IN"/>
              </w:rPr>
              <w:t>RARE</w:t>
            </w:r>
          </w:p>
        </w:tc>
        <w:tc>
          <w:tcPr>
            <w:tcW w:w="0" w:type="auto"/>
            <w:tcBorders>
              <w:bottom w:val="single" w:color="7E7E7E" w:themeColor="text1" w:themeTint="80" w:sz="4" w:space="0"/>
              <w:insideH w:val="single" w:sz="4" w:space="0"/>
            </w:tcBorders>
            <w:shd w:val="clear" w:color="auto" w:fill="FFFFFF" w:themeFill="background1"/>
          </w:tcPr>
          <w:p>
            <w:pPr>
              <w:spacing w:before="240" w:after="0"/>
              <w:rPr>
                <w:rFonts w:hint="default" w:ascii="Arial" w:hAnsi="Arial" w:eastAsia="Times New Roman" w:cs="Arial"/>
                <w:b/>
                <w:bCs/>
                <w:i/>
                <w:iCs/>
                <w:sz w:val="22"/>
                <w:lang w:eastAsia="en-IN"/>
              </w:rPr>
            </w:pPr>
            <w:r>
              <w:rPr>
                <w:rFonts w:hint="default" w:ascii="Arial" w:hAnsi="Arial" w:eastAsia="Times New Roman" w:cs="Arial"/>
                <w:b/>
                <w:bCs/>
                <w:i/>
                <w:iCs/>
                <w:sz w:val="22"/>
                <w:lang w:eastAsia="en-IN"/>
              </w:rPr>
              <w:t>INIMITABLE</w:t>
            </w:r>
          </w:p>
        </w:tc>
        <w:tc>
          <w:tcPr>
            <w:tcW w:w="0" w:type="auto"/>
            <w:tcBorders>
              <w:bottom w:val="single" w:color="7E7E7E" w:themeColor="text1" w:themeTint="80" w:sz="4" w:space="0"/>
              <w:insideH w:val="single" w:sz="4" w:space="0"/>
            </w:tcBorders>
            <w:shd w:val="clear" w:color="auto" w:fill="FFFFFF" w:themeFill="background1"/>
          </w:tcPr>
          <w:p>
            <w:pPr>
              <w:spacing w:before="240" w:after="0"/>
              <w:rPr>
                <w:rFonts w:hint="default" w:ascii="Arial" w:hAnsi="Arial" w:eastAsia="Times New Roman" w:cs="Arial"/>
                <w:b/>
                <w:bCs/>
                <w:i/>
                <w:iCs/>
                <w:sz w:val="22"/>
                <w:lang w:eastAsia="en-IN"/>
              </w:rPr>
            </w:pPr>
            <w:r>
              <w:rPr>
                <w:rFonts w:hint="default" w:ascii="Arial" w:hAnsi="Arial" w:eastAsia="Times New Roman" w:cs="Arial"/>
                <w:b/>
                <w:bCs/>
                <w:i/>
                <w:iCs/>
                <w:sz w:val="22"/>
                <w:lang w:eastAsia="en-IN"/>
              </w:rPr>
              <w:t>NON-SUBSTITUATBLE</w:t>
            </w:r>
          </w:p>
        </w:tc>
        <w:tc>
          <w:tcPr>
            <w:tcW w:w="0" w:type="auto"/>
            <w:tcBorders>
              <w:bottom w:val="single" w:color="7E7E7E" w:themeColor="text1" w:themeTint="80" w:sz="4" w:space="0"/>
              <w:insideH w:val="single" w:sz="4" w:space="0"/>
            </w:tcBorders>
            <w:shd w:val="clear" w:color="auto" w:fill="FFFFFF" w:themeFill="background1"/>
          </w:tcPr>
          <w:p>
            <w:pPr>
              <w:spacing w:before="240" w:after="0"/>
              <w:rPr>
                <w:rFonts w:hint="default" w:ascii="Arial" w:hAnsi="Arial" w:eastAsia="Times New Roman" w:cs="Arial"/>
                <w:b/>
                <w:bCs/>
                <w:i/>
                <w:iCs/>
                <w:sz w:val="22"/>
                <w:lang w:eastAsia="en-IN"/>
              </w:rPr>
            </w:pPr>
            <w:r>
              <w:rPr>
                <w:rFonts w:hint="default" w:ascii="Arial" w:hAnsi="Arial" w:eastAsia="Times New Roman" w:cs="Arial"/>
                <w:b/>
                <w:bCs/>
                <w:i/>
                <w:iCs/>
                <w:sz w:val="22"/>
                <w:lang w:eastAsia="en-IN"/>
              </w:rPr>
              <w:t>COMPETITIVE ADVANTAGE</w:t>
            </w:r>
          </w:p>
        </w:tc>
      </w:tr>
      <w:tr>
        <w:tblPrEx>
          <w:tblCellMar>
            <w:top w:w="0" w:type="dxa"/>
            <w:left w:w="108" w:type="dxa"/>
            <w:bottom w:w="0" w:type="dxa"/>
            <w:right w:w="108" w:type="dxa"/>
          </w:tblCellMar>
        </w:tblPrEx>
        <w:trPr>
          <w:trHeight w:val="1025" w:hRule="atLeast"/>
        </w:trPr>
        <w:tc>
          <w:tcPr>
            <w:tcW w:w="0" w:type="auto"/>
            <w:tcBorders>
              <w:right w:val="single" w:color="7E7E7E" w:themeColor="text1" w:themeTint="80" w:sz="4" w:space="0"/>
              <w:insideV w:val="single" w:sz="4" w:space="0"/>
            </w:tcBorders>
            <w:shd w:val="clear" w:color="auto" w:fill="FFFFFF" w:themeFill="background1"/>
          </w:tcPr>
          <w:p>
            <w:pPr>
              <w:spacing w:before="240" w:after="0"/>
              <w:jc w:val="right"/>
              <w:rPr>
                <w:rFonts w:hint="default" w:ascii="Arial" w:hAnsi="Arial" w:eastAsia="Times New Roman" w:cs="Arial"/>
                <w:i/>
                <w:iCs/>
                <w:sz w:val="22"/>
                <w:lang w:eastAsia="en-IN"/>
              </w:rPr>
            </w:pPr>
            <w:r>
              <w:rPr>
                <w:rFonts w:hint="default" w:ascii="Arial" w:hAnsi="Arial" w:eastAsia="Times New Roman" w:cs="Arial"/>
                <w:i/>
                <w:iCs/>
                <w:sz w:val="22"/>
                <w:lang w:eastAsia="en-IN"/>
              </w:rPr>
              <w:t>Brand image (Greggs, 2022)</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No</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No</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Temporary competitive advantage</w:t>
            </w:r>
          </w:p>
        </w:tc>
      </w:tr>
      <w:tr>
        <w:tblPrEx>
          <w:tblCellMar>
            <w:top w:w="0" w:type="dxa"/>
            <w:left w:w="108" w:type="dxa"/>
            <w:bottom w:w="0" w:type="dxa"/>
            <w:right w:w="108" w:type="dxa"/>
          </w:tblCellMar>
        </w:tblPrEx>
        <w:trPr>
          <w:trHeight w:val="1025" w:hRule="atLeast"/>
        </w:trPr>
        <w:tc>
          <w:tcPr>
            <w:tcW w:w="0" w:type="auto"/>
            <w:tcBorders>
              <w:right w:val="single" w:color="7E7E7E" w:themeColor="text1" w:themeTint="80" w:sz="4" w:space="0"/>
              <w:insideV w:val="single" w:sz="4" w:space="0"/>
            </w:tcBorders>
            <w:shd w:val="clear" w:color="auto" w:fill="FFFFFF" w:themeFill="background1"/>
          </w:tcPr>
          <w:p>
            <w:pPr>
              <w:spacing w:before="240" w:after="0"/>
              <w:jc w:val="right"/>
              <w:rPr>
                <w:rFonts w:hint="default" w:ascii="Arial" w:hAnsi="Arial" w:eastAsia="Times New Roman" w:cs="Arial"/>
                <w:i/>
                <w:iCs/>
                <w:sz w:val="22"/>
                <w:lang w:eastAsia="en-IN"/>
              </w:rPr>
            </w:pPr>
            <w:r>
              <w:rPr>
                <w:rFonts w:hint="default" w:ascii="Arial" w:hAnsi="Arial" w:eastAsia="Times New Roman" w:cs="Arial"/>
                <w:i/>
                <w:iCs/>
                <w:sz w:val="22"/>
                <w:lang w:eastAsia="en-IN"/>
              </w:rPr>
              <w:t>Supplier relationship (Greggs, 2022)</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No</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Unused competitive advantage</w:t>
            </w:r>
          </w:p>
        </w:tc>
      </w:tr>
      <w:tr>
        <w:tblPrEx>
          <w:tblCellMar>
            <w:top w:w="0" w:type="dxa"/>
            <w:left w:w="108" w:type="dxa"/>
            <w:bottom w:w="0" w:type="dxa"/>
            <w:right w:w="108" w:type="dxa"/>
          </w:tblCellMar>
        </w:tblPrEx>
        <w:trPr>
          <w:trHeight w:val="1025" w:hRule="atLeast"/>
        </w:trPr>
        <w:tc>
          <w:tcPr>
            <w:tcW w:w="0" w:type="auto"/>
            <w:tcBorders>
              <w:right w:val="single" w:color="7E7E7E" w:themeColor="text1" w:themeTint="80" w:sz="4" w:space="0"/>
              <w:insideV w:val="single" w:sz="4" w:space="0"/>
            </w:tcBorders>
            <w:shd w:val="clear" w:color="auto" w:fill="FFFFFF" w:themeFill="background1"/>
          </w:tcPr>
          <w:p>
            <w:pPr>
              <w:spacing w:before="240" w:after="0"/>
              <w:jc w:val="right"/>
              <w:rPr>
                <w:rFonts w:hint="default" w:ascii="Arial" w:hAnsi="Arial" w:eastAsia="Times New Roman" w:cs="Arial"/>
                <w:i/>
                <w:iCs/>
                <w:sz w:val="22"/>
                <w:lang w:eastAsia="en-IN"/>
              </w:rPr>
            </w:pPr>
            <w:r>
              <w:rPr>
                <w:rFonts w:hint="default" w:ascii="Arial" w:hAnsi="Arial" w:eastAsia="Times New Roman" w:cs="Arial"/>
                <w:i/>
                <w:iCs/>
                <w:sz w:val="22"/>
                <w:lang w:eastAsia="en-IN"/>
              </w:rPr>
              <w:t>Adaptability (Greggs, 2022)</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No</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No</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Temporary competitive advantage</w:t>
            </w:r>
          </w:p>
        </w:tc>
      </w:tr>
      <w:tr>
        <w:tblPrEx>
          <w:tblCellMar>
            <w:top w:w="0" w:type="dxa"/>
            <w:left w:w="108" w:type="dxa"/>
            <w:bottom w:w="0" w:type="dxa"/>
            <w:right w:w="108" w:type="dxa"/>
          </w:tblCellMar>
        </w:tblPrEx>
        <w:trPr>
          <w:trHeight w:val="1025" w:hRule="atLeast"/>
        </w:trPr>
        <w:tc>
          <w:tcPr>
            <w:tcW w:w="0" w:type="auto"/>
            <w:tcBorders>
              <w:right w:val="single" w:color="7E7E7E" w:themeColor="text1" w:themeTint="80" w:sz="4" w:space="0"/>
              <w:insideV w:val="single" w:sz="4" w:space="0"/>
            </w:tcBorders>
            <w:shd w:val="clear" w:color="auto" w:fill="FFFFFF" w:themeFill="background1"/>
          </w:tcPr>
          <w:p>
            <w:pPr>
              <w:spacing w:before="240" w:after="0"/>
              <w:jc w:val="right"/>
              <w:rPr>
                <w:rFonts w:hint="default" w:ascii="Arial" w:hAnsi="Arial" w:eastAsia="Times New Roman" w:cs="Arial"/>
                <w:i/>
                <w:iCs/>
                <w:sz w:val="22"/>
                <w:lang w:eastAsia="en-IN"/>
              </w:rPr>
            </w:pPr>
            <w:r>
              <w:rPr>
                <w:rFonts w:hint="default" w:ascii="Arial" w:hAnsi="Arial" w:eastAsia="Times New Roman" w:cs="Arial"/>
                <w:i/>
                <w:iCs/>
                <w:sz w:val="22"/>
                <w:lang w:eastAsia="en-IN"/>
              </w:rPr>
              <w:t>Placement of stores (Greggs, 2022)</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Sustainable competitive advantage</w:t>
            </w:r>
          </w:p>
        </w:tc>
      </w:tr>
      <w:tr>
        <w:tblPrEx>
          <w:tblCellMar>
            <w:top w:w="0" w:type="dxa"/>
            <w:left w:w="108" w:type="dxa"/>
            <w:bottom w:w="0" w:type="dxa"/>
            <w:right w:w="108" w:type="dxa"/>
          </w:tblCellMar>
        </w:tblPrEx>
        <w:trPr>
          <w:trHeight w:val="1025" w:hRule="atLeast"/>
        </w:trPr>
        <w:tc>
          <w:tcPr>
            <w:tcW w:w="0" w:type="auto"/>
            <w:tcBorders>
              <w:right w:val="single" w:color="7E7E7E" w:themeColor="text1" w:themeTint="80" w:sz="4" w:space="0"/>
              <w:insideV w:val="single" w:sz="4" w:space="0"/>
            </w:tcBorders>
            <w:shd w:val="clear" w:color="auto" w:fill="FFFFFF" w:themeFill="background1"/>
          </w:tcPr>
          <w:p>
            <w:pPr>
              <w:spacing w:before="240" w:after="0"/>
              <w:jc w:val="right"/>
              <w:rPr>
                <w:rFonts w:hint="default" w:ascii="Arial" w:hAnsi="Arial" w:eastAsia="Times New Roman" w:cs="Arial"/>
                <w:i/>
                <w:iCs/>
                <w:sz w:val="22"/>
                <w:lang w:eastAsia="en-IN"/>
              </w:rPr>
            </w:pPr>
            <w:r>
              <w:rPr>
                <w:rFonts w:hint="default" w:ascii="Arial" w:hAnsi="Arial" w:eastAsia="Times New Roman" w:cs="Arial"/>
                <w:i/>
                <w:iCs/>
                <w:sz w:val="22"/>
                <w:lang w:eastAsia="en-IN"/>
              </w:rPr>
              <w:t>Quality of products (Greggs, 2022)</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  </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Yes  </w:t>
            </w:r>
          </w:p>
        </w:tc>
        <w:tc>
          <w:tcPr>
            <w:tcW w:w="0" w:type="auto"/>
            <w:shd w:val="clear" w:color="auto" w:fill="F1F1F1" w:themeFill="background1" w:themeFillShade="F2"/>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Sustainable competitive advantage  </w:t>
            </w:r>
          </w:p>
        </w:tc>
      </w:tr>
      <w:tr>
        <w:tblPrEx>
          <w:tblCellMar>
            <w:top w:w="0" w:type="dxa"/>
            <w:left w:w="108" w:type="dxa"/>
            <w:bottom w:w="0" w:type="dxa"/>
            <w:right w:w="108" w:type="dxa"/>
          </w:tblCellMar>
        </w:tblPrEx>
        <w:trPr>
          <w:trHeight w:val="755" w:hRule="atLeast"/>
        </w:trPr>
        <w:tc>
          <w:tcPr>
            <w:tcW w:w="0" w:type="auto"/>
            <w:tcBorders>
              <w:right w:val="single" w:color="7E7E7E" w:themeColor="text1" w:themeTint="80" w:sz="4" w:space="0"/>
              <w:insideV w:val="single" w:sz="4" w:space="0"/>
            </w:tcBorders>
            <w:shd w:val="clear" w:color="auto" w:fill="FFFFFF" w:themeFill="background1"/>
          </w:tcPr>
          <w:p>
            <w:pPr>
              <w:spacing w:before="240" w:after="0"/>
              <w:jc w:val="right"/>
              <w:rPr>
                <w:rFonts w:hint="default" w:ascii="Arial" w:hAnsi="Arial" w:eastAsia="Times New Roman" w:cs="Arial"/>
                <w:i/>
                <w:iCs/>
                <w:sz w:val="22"/>
                <w:lang w:eastAsia="en-IN"/>
              </w:rPr>
            </w:pPr>
            <w:r>
              <w:rPr>
                <w:rFonts w:hint="default" w:ascii="Arial" w:hAnsi="Arial" w:eastAsia="Times New Roman" w:cs="Arial"/>
                <w:i/>
                <w:iCs/>
                <w:sz w:val="22"/>
                <w:lang w:eastAsia="en-IN"/>
              </w:rPr>
              <w:t>Technological advancements (Greggs, 2022)</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No</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No</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No</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No</w:t>
            </w:r>
          </w:p>
        </w:tc>
        <w:tc>
          <w:tcPr>
            <w:tcW w:w="0" w:type="auto"/>
          </w:tcPr>
          <w:p>
            <w:pPr>
              <w:spacing w:before="240" w:after="0"/>
              <w:rPr>
                <w:rFonts w:hint="default" w:ascii="Arial" w:hAnsi="Arial" w:eastAsia="Times New Roman" w:cs="Arial"/>
                <w:sz w:val="22"/>
                <w:lang w:eastAsia="en-IN"/>
              </w:rPr>
            </w:pPr>
            <w:r>
              <w:rPr>
                <w:rFonts w:hint="default" w:ascii="Arial" w:hAnsi="Arial" w:eastAsia="Times New Roman" w:cs="Arial"/>
                <w:sz w:val="22"/>
                <w:lang w:eastAsia="en-IN"/>
              </w:rPr>
              <w:t>Competitive disadvantage</w:t>
            </w:r>
          </w:p>
        </w:tc>
      </w:tr>
    </w:tbl>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 From the above analysis, it can be said that the company is performing well in placing the stores and quality of products. Moreover, supplier relationships can be worked upon and used as a competitive advantage.</w:t>
      </w:r>
    </w:p>
    <w:p>
      <w:pPr>
        <w:pStyle w:val="3"/>
        <w:rPr>
          <w:rFonts w:hint="default" w:ascii="Arial" w:hAnsi="Arial" w:cs="Arial"/>
          <w:szCs w:val="24"/>
          <w:lang w:val="en-GB"/>
        </w:rPr>
      </w:pPr>
      <w:bookmarkStart w:id="16" w:name="_Toc32218"/>
      <w:r>
        <w:rPr>
          <w:rFonts w:hint="default" w:ascii="Arial" w:hAnsi="Arial" w:cs="Arial"/>
          <w:szCs w:val="24"/>
          <w:lang w:val="en-GB"/>
        </w:rPr>
        <w:t xml:space="preserve">5.2 </w:t>
      </w:r>
      <w:r>
        <w:rPr>
          <w:rFonts w:hint="default" w:ascii="Arial" w:hAnsi="Arial" w:eastAsia="Times New Roman" w:cs="Arial"/>
          <w:color w:val="000000"/>
          <w:szCs w:val="24"/>
          <w:lang w:eastAsia="en-IN"/>
        </w:rPr>
        <w:t>McKinsey’s 7S framework</w:t>
      </w:r>
      <w:bookmarkEnd w:id="16"/>
    </w:p>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 xml:space="preserve">Furthermore, McKinsey’s 7S framework is also used to analyse the internal environment of the business. It mainly focuses on the alignment of the strategies according to the objectives of the business. Here, the objective is to utilize the resources efficiently and create a sustainable competitive advantage of healthy food and supply chain. The seven components of the company are divided into soft and hard areas based on their efforts in management and their ability to provide competitive advantage (Gechkova and Kaleeva, 2020). </w:t>
      </w:r>
    </w:p>
    <w:tbl>
      <w:tblPr>
        <w:tblStyle w:val="19"/>
        <w:tblW w:w="0" w:type="auto"/>
        <w:tblInd w:w="0" w:type="dxa"/>
        <w:tblLayout w:type="autofit"/>
        <w:tblCellMar>
          <w:top w:w="0" w:type="dxa"/>
          <w:left w:w="108" w:type="dxa"/>
          <w:bottom w:w="0" w:type="dxa"/>
          <w:right w:w="108" w:type="dxa"/>
        </w:tblCellMar>
      </w:tblPr>
      <w:tblGrid>
        <w:gridCol w:w="1283"/>
        <w:gridCol w:w="7239"/>
      </w:tblGrid>
      <w:tr>
        <w:tc>
          <w:tcPr>
            <w:tcW w:w="1271" w:type="dxa"/>
            <w:tcBorders>
              <w:bottom w:val="single" w:color="7E7E7E" w:themeColor="text1" w:themeTint="80" w:sz="4" w:space="0"/>
              <w:right w:val="nil"/>
              <w:insideH w:val="single" w:sz="4" w:space="0"/>
            </w:tcBorders>
            <w:shd w:val="clear" w:color="auto" w:fill="FFFFFF" w:themeFill="background1"/>
          </w:tcPr>
          <w:p>
            <w:pPr>
              <w:spacing w:before="240" w:after="240"/>
              <w:jc w:val="right"/>
              <w:rPr>
                <w:rFonts w:hint="default" w:ascii="Arial" w:hAnsi="Arial" w:eastAsia="Times New Roman" w:cs="Arial"/>
                <w:b/>
                <w:bCs/>
                <w:i/>
                <w:iCs/>
                <w:szCs w:val="24"/>
                <w:lang w:eastAsia="en-IN"/>
              </w:rPr>
            </w:pPr>
            <w:r>
              <w:rPr>
                <w:rFonts w:hint="default" w:ascii="Arial" w:hAnsi="Arial" w:eastAsia="Times New Roman" w:cs="Arial"/>
                <w:b/>
                <w:bCs/>
                <w:i/>
                <w:iCs/>
                <w:color w:val="000000"/>
                <w:szCs w:val="24"/>
                <w:lang w:eastAsia="en-IN"/>
              </w:rPr>
              <w:t>Strategy</w:t>
            </w:r>
          </w:p>
        </w:tc>
        <w:tc>
          <w:tcPr>
            <w:tcW w:w="7745" w:type="dxa"/>
            <w:tcBorders>
              <w:bottom w:val="single" w:color="7E7E7E" w:themeColor="text1" w:themeTint="80" w:sz="4" w:space="0"/>
              <w:insideH w:val="single" w:sz="4" w:space="0"/>
            </w:tcBorders>
            <w:shd w:val="clear" w:color="auto" w:fill="FFFFFF" w:themeFill="background1"/>
          </w:tcPr>
          <w:p>
            <w:pPr>
              <w:spacing w:before="240" w:after="240"/>
              <w:rPr>
                <w:rFonts w:hint="default" w:ascii="Arial" w:hAnsi="Arial" w:eastAsia="Times New Roman" w:cs="Arial"/>
                <w:i/>
                <w:iCs/>
                <w:szCs w:val="24"/>
                <w:lang w:eastAsia="en-IN"/>
              </w:rPr>
            </w:pPr>
            <w:r>
              <w:rPr>
                <w:rFonts w:hint="default" w:ascii="Arial" w:hAnsi="Arial" w:eastAsia="Times New Roman" w:cs="Arial"/>
                <w:i/>
                <w:iCs/>
                <w:color w:val="000000"/>
                <w:szCs w:val="24"/>
                <w:lang w:eastAsia="en-IN"/>
              </w:rPr>
              <w:t>Greggs offers one of the most accessible foods in the UK market. Recently, it has also included a few healthy options in its menu. The promotion strategies are weaker (Greggs, 2022). Although, the brand is putting efforts to develop an advanced supply chain to provide better food experience.</w:t>
            </w:r>
          </w:p>
          <w:p>
            <w:pPr>
              <w:spacing w:before="240" w:after="240"/>
              <w:rPr>
                <w:rFonts w:hint="default" w:ascii="Arial" w:hAnsi="Arial" w:eastAsia="Times New Roman" w:cs="Arial"/>
                <w:i/>
                <w:iCs/>
                <w:szCs w:val="24"/>
                <w:lang w:eastAsia="en-IN"/>
              </w:rPr>
            </w:pPr>
          </w:p>
        </w:tc>
      </w:tr>
      <w:tr>
        <w:tblPrEx>
          <w:tblCellMar>
            <w:top w:w="0" w:type="dxa"/>
            <w:left w:w="108" w:type="dxa"/>
            <w:bottom w:w="0" w:type="dxa"/>
            <w:right w:w="108" w:type="dxa"/>
          </w:tblCellMar>
        </w:tblPrEx>
        <w:tc>
          <w:tcPr>
            <w:tcW w:w="1271" w:type="dxa"/>
            <w:tcBorders>
              <w:right w:val="single" w:color="7E7E7E" w:themeColor="text1" w:themeTint="80" w:sz="4" w:space="0"/>
              <w:insideV w:val="single" w:sz="4" w:space="0"/>
            </w:tcBorders>
            <w:shd w:val="clear" w:color="auto" w:fill="FFFFFF" w:themeFill="background1"/>
          </w:tcPr>
          <w:p>
            <w:pPr>
              <w:spacing w:before="240" w:after="240"/>
              <w:jc w:val="right"/>
              <w:rPr>
                <w:rFonts w:hint="default" w:ascii="Arial" w:hAnsi="Arial" w:eastAsia="Times New Roman" w:cs="Arial"/>
                <w:b/>
                <w:bCs/>
                <w:i/>
                <w:iCs/>
                <w:szCs w:val="24"/>
                <w:lang w:eastAsia="en-IN"/>
              </w:rPr>
            </w:pPr>
            <w:r>
              <w:rPr>
                <w:rFonts w:hint="default" w:ascii="Arial" w:hAnsi="Arial" w:eastAsia="Times New Roman" w:cs="Arial"/>
                <w:b/>
                <w:bCs/>
                <w:i/>
                <w:iCs/>
                <w:color w:val="000000"/>
                <w:szCs w:val="24"/>
                <w:lang w:eastAsia="en-IN"/>
              </w:rPr>
              <w:t>Structure</w:t>
            </w:r>
          </w:p>
        </w:tc>
        <w:tc>
          <w:tcPr>
            <w:tcW w:w="7745" w:type="dxa"/>
            <w:shd w:val="clear" w:color="auto" w:fill="F1F1F1" w:themeFill="background1" w:themeFillShade="F2"/>
          </w:tcPr>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Greggs’ staff and management are very well organized (Greggs, 2022).</w:t>
            </w:r>
          </w:p>
        </w:tc>
      </w:tr>
      <w:tr>
        <w:tblPrEx>
          <w:tblCellMar>
            <w:top w:w="0" w:type="dxa"/>
            <w:left w:w="108" w:type="dxa"/>
            <w:bottom w:w="0" w:type="dxa"/>
            <w:right w:w="108" w:type="dxa"/>
          </w:tblCellMar>
        </w:tblPrEx>
        <w:tc>
          <w:tcPr>
            <w:tcW w:w="1271" w:type="dxa"/>
            <w:tcBorders>
              <w:right w:val="single" w:color="7E7E7E" w:themeColor="text1" w:themeTint="80" w:sz="4" w:space="0"/>
              <w:insideV w:val="single" w:sz="4" w:space="0"/>
            </w:tcBorders>
            <w:shd w:val="clear" w:color="auto" w:fill="FFFFFF" w:themeFill="background1"/>
          </w:tcPr>
          <w:p>
            <w:pPr>
              <w:spacing w:before="240" w:after="240"/>
              <w:jc w:val="right"/>
              <w:rPr>
                <w:rFonts w:hint="default" w:ascii="Arial" w:hAnsi="Arial" w:eastAsia="Times New Roman" w:cs="Arial"/>
                <w:b/>
                <w:bCs/>
                <w:i/>
                <w:iCs/>
                <w:szCs w:val="24"/>
                <w:lang w:eastAsia="en-IN"/>
              </w:rPr>
            </w:pPr>
            <w:r>
              <w:rPr>
                <w:rFonts w:hint="default" w:ascii="Arial" w:hAnsi="Arial" w:eastAsia="Times New Roman" w:cs="Arial"/>
                <w:b/>
                <w:bCs/>
                <w:i/>
                <w:iCs/>
                <w:color w:val="000000"/>
                <w:szCs w:val="24"/>
                <w:lang w:eastAsia="en-IN"/>
              </w:rPr>
              <w:t>Systems</w:t>
            </w:r>
          </w:p>
        </w:tc>
        <w:tc>
          <w:tcPr>
            <w:tcW w:w="7745" w:type="dxa"/>
          </w:tcPr>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The systems are functioning efficiently except for the technological part. The soft areas include the following aspects (Gechkova and Kaleeva, 2020):</w:t>
            </w:r>
          </w:p>
        </w:tc>
      </w:tr>
      <w:tr>
        <w:tblPrEx>
          <w:tblCellMar>
            <w:top w:w="0" w:type="dxa"/>
            <w:left w:w="108" w:type="dxa"/>
            <w:bottom w:w="0" w:type="dxa"/>
            <w:right w:w="108" w:type="dxa"/>
          </w:tblCellMar>
        </w:tblPrEx>
        <w:tc>
          <w:tcPr>
            <w:tcW w:w="1271" w:type="dxa"/>
            <w:tcBorders>
              <w:right w:val="single" w:color="7E7E7E" w:themeColor="text1" w:themeTint="80" w:sz="4" w:space="0"/>
              <w:insideV w:val="single" w:sz="4" w:space="0"/>
            </w:tcBorders>
            <w:shd w:val="clear" w:color="auto" w:fill="FFFFFF" w:themeFill="background1"/>
          </w:tcPr>
          <w:p>
            <w:pPr>
              <w:spacing w:before="240" w:after="240"/>
              <w:jc w:val="right"/>
              <w:rPr>
                <w:rFonts w:hint="default" w:ascii="Arial" w:hAnsi="Arial" w:eastAsia="Times New Roman" w:cs="Arial"/>
                <w:b/>
                <w:bCs/>
                <w:i/>
                <w:iCs/>
                <w:szCs w:val="24"/>
                <w:lang w:eastAsia="en-IN"/>
              </w:rPr>
            </w:pPr>
            <w:r>
              <w:rPr>
                <w:rFonts w:hint="default" w:ascii="Arial" w:hAnsi="Arial" w:eastAsia="Times New Roman" w:cs="Arial"/>
                <w:b/>
                <w:bCs/>
                <w:i/>
                <w:iCs/>
                <w:szCs w:val="24"/>
                <w:lang w:eastAsia="en-IN"/>
              </w:rPr>
              <w:t>Skills</w:t>
            </w:r>
          </w:p>
        </w:tc>
        <w:tc>
          <w:tcPr>
            <w:tcW w:w="7745" w:type="dxa"/>
            <w:shd w:val="clear" w:color="auto" w:fill="F1F1F1" w:themeFill="background1" w:themeFillShade="F2"/>
          </w:tcPr>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The employees are skilled enough to conduct the routine operations efficiently. But they lack knowledge regarding the technical equipment of industry 4.0 (Greggs, 2022).</w:t>
            </w:r>
          </w:p>
        </w:tc>
      </w:tr>
      <w:tr>
        <w:tblPrEx>
          <w:tblCellMar>
            <w:top w:w="0" w:type="dxa"/>
            <w:left w:w="108" w:type="dxa"/>
            <w:bottom w:w="0" w:type="dxa"/>
            <w:right w:w="108" w:type="dxa"/>
          </w:tblCellMar>
        </w:tblPrEx>
        <w:tc>
          <w:tcPr>
            <w:tcW w:w="1271" w:type="dxa"/>
            <w:tcBorders>
              <w:right w:val="single" w:color="7E7E7E" w:themeColor="text1" w:themeTint="80" w:sz="4" w:space="0"/>
              <w:insideV w:val="single" w:sz="4" w:space="0"/>
            </w:tcBorders>
            <w:shd w:val="clear" w:color="auto" w:fill="FFFFFF" w:themeFill="background1"/>
          </w:tcPr>
          <w:p>
            <w:pPr>
              <w:spacing w:before="240" w:after="240"/>
              <w:jc w:val="right"/>
              <w:rPr>
                <w:rFonts w:hint="default" w:ascii="Arial" w:hAnsi="Arial" w:eastAsia="Times New Roman" w:cs="Arial"/>
                <w:b/>
                <w:bCs/>
                <w:i/>
                <w:iCs/>
                <w:szCs w:val="24"/>
                <w:lang w:eastAsia="en-IN"/>
              </w:rPr>
            </w:pPr>
            <w:r>
              <w:rPr>
                <w:rFonts w:hint="default" w:ascii="Arial" w:hAnsi="Arial" w:eastAsia="Times New Roman" w:cs="Arial"/>
                <w:b/>
                <w:bCs/>
                <w:i/>
                <w:iCs/>
                <w:szCs w:val="24"/>
                <w:lang w:eastAsia="en-IN"/>
              </w:rPr>
              <w:t>Staff</w:t>
            </w:r>
          </w:p>
        </w:tc>
        <w:tc>
          <w:tcPr>
            <w:tcW w:w="7745" w:type="dxa"/>
          </w:tcPr>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The staff is trained to conduct the tasks. But this does not contribute to the competitive advantage of the company (Greggs, 2022).</w:t>
            </w:r>
          </w:p>
        </w:tc>
      </w:tr>
      <w:tr>
        <w:tblPrEx>
          <w:tblCellMar>
            <w:top w:w="0" w:type="dxa"/>
            <w:left w:w="108" w:type="dxa"/>
            <w:bottom w:w="0" w:type="dxa"/>
            <w:right w:w="108" w:type="dxa"/>
          </w:tblCellMar>
        </w:tblPrEx>
        <w:tc>
          <w:tcPr>
            <w:tcW w:w="1271" w:type="dxa"/>
            <w:tcBorders>
              <w:right w:val="single" w:color="7E7E7E" w:themeColor="text1" w:themeTint="80" w:sz="4" w:space="0"/>
              <w:insideV w:val="single" w:sz="4" w:space="0"/>
            </w:tcBorders>
            <w:shd w:val="clear" w:color="auto" w:fill="FFFFFF" w:themeFill="background1"/>
          </w:tcPr>
          <w:p>
            <w:pPr>
              <w:spacing w:before="240" w:after="240"/>
              <w:jc w:val="right"/>
              <w:rPr>
                <w:rFonts w:hint="default" w:ascii="Arial" w:hAnsi="Arial" w:eastAsia="Times New Roman" w:cs="Arial"/>
                <w:b/>
                <w:bCs/>
                <w:i/>
                <w:iCs/>
                <w:szCs w:val="24"/>
                <w:lang w:eastAsia="en-IN"/>
              </w:rPr>
            </w:pPr>
            <w:r>
              <w:rPr>
                <w:rFonts w:hint="default" w:ascii="Arial" w:hAnsi="Arial" w:eastAsia="Times New Roman" w:cs="Arial"/>
                <w:b/>
                <w:bCs/>
                <w:i/>
                <w:iCs/>
                <w:szCs w:val="24"/>
                <w:lang w:eastAsia="en-IN"/>
              </w:rPr>
              <w:t>Style</w:t>
            </w:r>
          </w:p>
        </w:tc>
        <w:tc>
          <w:tcPr>
            <w:tcW w:w="7745" w:type="dxa"/>
            <w:shd w:val="clear" w:color="auto" w:fill="F1F1F1" w:themeFill="background1" w:themeFillShade="F2"/>
          </w:tcPr>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The institutional investors form 50% of the total ownership of the company. Hence, they create a significant impact on the board directors (Greggs, 2022).</w:t>
            </w:r>
          </w:p>
        </w:tc>
      </w:tr>
      <w:tr>
        <w:tblPrEx>
          <w:tblCellMar>
            <w:top w:w="0" w:type="dxa"/>
            <w:left w:w="108" w:type="dxa"/>
            <w:bottom w:w="0" w:type="dxa"/>
            <w:right w:w="108" w:type="dxa"/>
          </w:tblCellMar>
        </w:tblPrEx>
        <w:tc>
          <w:tcPr>
            <w:tcW w:w="1271" w:type="dxa"/>
            <w:tcBorders>
              <w:right w:val="single" w:color="7E7E7E" w:themeColor="text1" w:themeTint="80" w:sz="4" w:space="0"/>
              <w:insideV w:val="single" w:sz="4" w:space="0"/>
            </w:tcBorders>
            <w:shd w:val="clear" w:color="auto" w:fill="FFFFFF" w:themeFill="background1"/>
          </w:tcPr>
          <w:p>
            <w:pPr>
              <w:spacing w:before="240" w:after="240"/>
              <w:jc w:val="right"/>
              <w:rPr>
                <w:rFonts w:hint="default" w:ascii="Arial" w:hAnsi="Arial" w:eastAsia="Times New Roman" w:cs="Arial"/>
                <w:b/>
                <w:bCs/>
                <w:i/>
                <w:iCs/>
                <w:szCs w:val="24"/>
                <w:lang w:eastAsia="en-IN"/>
              </w:rPr>
            </w:pPr>
            <w:r>
              <w:rPr>
                <w:rFonts w:hint="default" w:ascii="Arial" w:hAnsi="Arial" w:eastAsia="Times New Roman" w:cs="Arial"/>
                <w:b/>
                <w:bCs/>
                <w:i/>
                <w:iCs/>
                <w:color w:val="000000"/>
                <w:szCs w:val="24"/>
                <w:lang w:eastAsia="en-IN"/>
              </w:rPr>
              <w:t>Shared values</w:t>
            </w:r>
          </w:p>
        </w:tc>
        <w:tc>
          <w:tcPr>
            <w:tcW w:w="7745" w:type="dxa"/>
          </w:tcPr>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The company provides great quality and flavors to all the consumers. Moreover, the employees are well respected and treated without any biases (Greggs, 2022).</w:t>
            </w:r>
          </w:p>
        </w:tc>
      </w:tr>
    </w:tbl>
    <w:p>
      <w:pPr>
        <w:pStyle w:val="2"/>
        <w:rPr>
          <w:rFonts w:hint="default" w:ascii="Arial" w:hAnsi="Arial" w:eastAsia="Times New Roman" w:cs="Arial"/>
          <w:sz w:val="28"/>
          <w:szCs w:val="28"/>
          <w:lang w:eastAsia="en-IN"/>
        </w:rPr>
      </w:pPr>
      <w:bookmarkStart w:id="17" w:name="_Toc12733"/>
      <w:r>
        <w:rPr>
          <w:rFonts w:hint="default" w:ascii="Arial" w:hAnsi="Arial" w:eastAsia="Times New Roman" w:cs="Arial"/>
          <w:sz w:val="28"/>
          <w:szCs w:val="28"/>
          <w:lang w:eastAsia="en-IN"/>
        </w:rPr>
        <w:t>6</w:t>
      </w:r>
      <w:r>
        <w:rPr>
          <w:rFonts w:hint="eastAsia" w:ascii="Arial" w:hAnsi="Arial" w:eastAsia="宋体" w:cs="Arial"/>
          <w:sz w:val="28"/>
          <w:szCs w:val="28"/>
          <w:lang w:val="en-US" w:eastAsia="zh-CN"/>
        </w:rPr>
        <w:t>.0</w:t>
      </w:r>
      <w:r>
        <w:rPr>
          <w:rFonts w:hint="default" w:ascii="Arial" w:hAnsi="Arial" w:eastAsia="Times New Roman" w:cs="Arial"/>
          <w:sz w:val="28"/>
          <w:szCs w:val="28"/>
          <w:lang w:eastAsia="en-IN"/>
        </w:rPr>
        <w:t xml:space="preserve"> Financial Analysis</w:t>
      </w:r>
      <w:bookmarkEnd w:id="17"/>
    </w:p>
    <w:tbl>
      <w:tblPr>
        <w:tblStyle w:val="20"/>
        <w:tblW w:w="7260" w:type="dxa"/>
        <w:jc w:val="cente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autofit"/>
        <w:tblCellMar>
          <w:top w:w="0" w:type="dxa"/>
          <w:left w:w="108" w:type="dxa"/>
          <w:bottom w:w="0" w:type="dxa"/>
          <w:right w:w="108" w:type="dxa"/>
        </w:tblCellMar>
      </w:tblPr>
      <w:tblGrid>
        <w:gridCol w:w="3480"/>
        <w:gridCol w:w="1260"/>
        <w:gridCol w:w="1260"/>
        <w:gridCol w:w="1260"/>
      </w:tblGrid>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top w:val="single" w:color="FFFFFF" w:themeColor="background1" w:sz="4" w:space="0"/>
              <w:left w:val="single" w:color="FFFFFF" w:themeColor="background1" w:sz="4" w:space="0"/>
              <w:right w:val="nil"/>
              <w:insideV w:val="nil"/>
            </w:tcBorders>
            <w:shd w:val="clear" w:color="auto" w:fill="4472C4" w:themeFill="accent5"/>
            <w:noWrap/>
          </w:tcPr>
          <w:p>
            <w:pPr>
              <w:rPr>
                <w:rFonts w:hint="default" w:ascii="Arial" w:hAnsi="Arial" w:cs="Arial"/>
                <w:b/>
                <w:bCs/>
                <w:color w:val="FFFFFF" w:themeColor="background1"/>
                <w:szCs w:val="24"/>
                <w:lang w:eastAsia="en-GB"/>
                <w14:textFill>
                  <w14:solidFill>
                    <w14:schemeClr w14:val="bg1"/>
                  </w14:solidFill>
                </w14:textFill>
              </w:rPr>
            </w:pPr>
            <w:r>
              <w:rPr>
                <w:rFonts w:hint="default" w:ascii="Arial" w:hAnsi="Arial" w:cs="Arial"/>
                <w:b/>
                <w:bCs/>
                <w:color w:val="FFFFFF" w:themeColor="background1"/>
                <w:szCs w:val="24"/>
                <w:lang w:eastAsia="en-GB"/>
                <w14:textFill>
                  <w14:solidFill>
                    <w14:schemeClr w14:val="bg1"/>
                  </w14:solidFill>
                </w14:textFill>
              </w:rPr>
              <w:t>Ratios</w:t>
            </w:r>
          </w:p>
        </w:tc>
        <w:tc>
          <w:tcPr>
            <w:tcW w:w="1260" w:type="dxa"/>
            <w:tcBorders>
              <w:top w:val="single" w:color="FFFFFF" w:themeColor="background1" w:sz="4" w:space="0"/>
              <w:right w:val="nil"/>
              <w:insideV w:val="nil"/>
            </w:tcBorders>
            <w:shd w:val="clear" w:color="auto" w:fill="4472C4" w:themeFill="accent5"/>
            <w:noWrap/>
          </w:tcPr>
          <w:p>
            <w:pPr>
              <w:rPr>
                <w:rFonts w:hint="default" w:ascii="Arial" w:hAnsi="Arial" w:cs="Arial"/>
                <w:b/>
                <w:bCs/>
                <w:color w:val="FFFFFF" w:themeColor="background1"/>
                <w:szCs w:val="24"/>
                <w:lang w:eastAsia="en-GB"/>
                <w14:textFill>
                  <w14:solidFill>
                    <w14:schemeClr w14:val="bg1"/>
                  </w14:solidFill>
                </w14:textFill>
              </w:rPr>
            </w:pPr>
            <w:r>
              <w:rPr>
                <w:rFonts w:hint="default" w:ascii="Arial" w:hAnsi="Arial" w:cs="Arial"/>
                <w:b/>
                <w:bCs/>
                <w:color w:val="FFFFFF" w:themeColor="background1"/>
                <w:szCs w:val="24"/>
                <w:lang w:eastAsia="en-GB"/>
                <w14:textFill>
                  <w14:solidFill>
                    <w14:schemeClr w14:val="bg1"/>
                  </w14:solidFill>
                </w14:textFill>
              </w:rPr>
              <w:t>2022</w:t>
            </w:r>
          </w:p>
        </w:tc>
        <w:tc>
          <w:tcPr>
            <w:tcW w:w="1260" w:type="dxa"/>
            <w:tcBorders>
              <w:top w:val="single" w:color="FFFFFF" w:themeColor="background1" w:sz="4" w:space="0"/>
              <w:right w:val="nil"/>
              <w:insideV w:val="nil"/>
            </w:tcBorders>
            <w:shd w:val="clear" w:color="auto" w:fill="4472C4" w:themeFill="accent5"/>
            <w:noWrap/>
          </w:tcPr>
          <w:p>
            <w:pPr>
              <w:rPr>
                <w:rFonts w:hint="default" w:ascii="Arial" w:hAnsi="Arial" w:cs="Arial"/>
                <w:b/>
                <w:bCs/>
                <w:color w:val="FFFFFF" w:themeColor="background1"/>
                <w:szCs w:val="24"/>
                <w:lang w:eastAsia="en-GB"/>
                <w14:textFill>
                  <w14:solidFill>
                    <w14:schemeClr w14:val="bg1"/>
                  </w14:solidFill>
                </w14:textFill>
              </w:rPr>
            </w:pPr>
            <w:r>
              <w:rPr>
                <w:rFonts w:hint="default" w:ascii="Arial" w:hAnsi="Arial" w:cs="Arial"/>
                <w:b/>
                <w:bCs/>
                <w:color w:val="FFFFFF" w:themeColor="background1"/>
                <w:szCs w:val="24"/>
                <w:lang w:eastAsia="en-GB"/>
                <w14:textFill>
                  <w14:solidFill>
                    <w14:schemeClr w14:val="bg1"/>
                  </w14:solidFill>
                </w14:textFill>
              </w:rPr>
              <w:t>2021</w:t>
            </w:r>
          </w:p>
        </w:tc>
        <w:tc>
          <w:tcPr>
            <w:tcW w:w="1260" w:type="dxa"/>
            <w:tcBorders>
              <w:top w:val="single" w:color="FFFFFF" w:themeColor="background1" w:sz="4" w:space="0"/>
              <w:right w:val="single" w:color="FFFFFF" w:themeColor="background1" w:sz="4" w:space="0"/>
              <w:insideV w:val="nil"/>
            </w:tcBorders>
            <w:shd w:val="clear" w:color="auto" w:fill="4472C4" w:themeFill="accent5"/>
            <w:noWrap/>
          </w:tcPr>
          <w:p>
            <w:pPr>
              <w:rPr>
                <w:rFonts w:hint="default" w:ascii="Arial" w:hAnsi="Arial" w:cs="Arial"/>
                <w:b/>
                <w:bCs/>
                <w:color w:val="FFFFFF" w:themeColor="background1"/>
                <w:szCs w:val="24"/>
                <w:lang w:eastAsia="en-GB"/>
                <w14:textFill>
                  <w14:solidFill>
                    <w14:schemeClr w14:val="bg1"/>
                  </w14:solidFill>
                </w14:textFill>
              </w:rPr>
            </w:pPr>
            <w:r>
              <w:rPr>
                <w:rFonts w:hint="default" w:ascii="Arial" w:hAnsi="Arial" w:cs="Arial"/>
                <w:b/>
                <w:bCs/>
                <w:color w:val="FFFFFF" w:themeColor="background1"/>
                <w:szCs w:val="24"/>
                <w:lang w:eastAsia="en-GB"/>
                <w14:textFill>
                  <w14:solidFill>
                    <w14:schemeClr w14:val="bg1"/>
                  </w14:solidFill>
                </w14:textFill>
              </w:rPr>
              <w:t>2020</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Liquidity ratios</w:t>
            </w:r>
          </w:p>
        </w:tc>
        <w:tc>
          <w:tcPr>
            <w:tcW w:w="1260" w:type="dxa"/>
            <w:shd w:val="clear" w:color="auto" w:fill="B4C6E7" w:themeFill="accent5" w:themeFillTint="66"/>
            <w:noWrap/>
          </w:tcPr>
          <w:p>
            <w:pPr>
              <w:rPr>
                <w:rFonts w:hint="default" w:ascii="Arial" w:hAnsi="Arial" w:cs="Arial"/>
                <w:b/>
                <w:bCs/>
                <w:color w:val="000000"/>
                <w:szCs w:val="24"/>
                <w:lang w:eastAsia="en-GB"/>
              </w:rPr>
            </w:pPr>
          </w:p>
        </w:tc>
        <w:tc>
          <w:tcPr>
            <w:tcW w:w="1260" w:type="dxa"/>
            <w:shd w:val="clear" w:color="auto" w:fill="B4C6E7" w:themeFill="accent5" w:themeFillTint="66"/>
            <w:noWrap/>
          </w:tcPr>
          <w:p>
            <w:pPr>
              <w:rPr>
                <w:rFonts w:hint="default" w:ascii="Arial" w:hAnsi="Arial" w:cs="Arial"/>
                <w:szCs w:val="24"/>
                <w:lang w:eastAsia="en-GB"/>
              </w:rPr>
            </w:pPr>
          </w:p>
        </w:tc>
        <w:tc>
          <w:tcPr>
            <w:tcW w:w="1260" w:type="dxa"/>
            <w:shd w:val="clear" w:color="auto" w:fill="B4C6E7" w:themeFill="accent5" w:themeFillTint="66"/>
            <w:noWrap/>
          </w:tcPr>
          <w:p>
            <w:pPr>
              <w:rPr>
                <w:rFonts w:hint="default" w:ascii="Arial" w:hAnsi="Arial" w:cs="Arial"/>
                <w:szCs w:val="24"/>
                <w:lang w:eastAsia="en-GB"/>
              </w:rPr>
            </w:pP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Current ratio</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1.09</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0.48</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0.99</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Acid ratio</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0.98</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0.37</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0.82</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p>
        </w:tc>
        <w:tc>
          <w:tcPr>
            <w:tcW w:w="1260" w:type="dxa"/>
            <w:shd w:val="clear" w:color="auto" w:fill="D9E2F3" w:themeFill="accent5" w:themeFillTint="33"/>
            <w:noWrap/>
          </w:tcPr>
          <w:p>
            <w:pPr>
              <w:rPr>
                <w:rFonts w:hint="default" w:ascii="Arial" w:hAnsi="Arial" w:cs="Arial"/>
                <w:szCs w:val="24"/>
                <w:lang w:eastAsia="en-GB"/>
              </w:rPr>
            </w:pPr>
          </w:p>
        </w:tc>
        <w:tc>
          <w:tcPr>
            <w:tcW w:w="1260" w:type="dxa"/>
            <w:shd w:val="clear" w:color="auto" w:fill="D9E2F3" w:themeFill="accent5" w:themeFillTint="33"/>
            <w:noWrap/>
          </w:tcPr>
          <w:p>
            <w:pPr>
              <w:rPr>
                <w:rFonts w:hint="default" w:ascii="Arial" w:hAnsi="Arial" w:cs="Arial"/>
                <w:szCs w:val="24"/>
                <w:lang w:eastAsia="en-GB"/>
              </w:rPr>
            </w:pPr>
          </w:p>
        </w:tc>
        <w:tc>
          <w:tcPr>
            <w:tcW w:w="1260" w:type="dxa"/>
            <w:shd w:val="clear" w:color="auto" w:fill="D9E2F3" w:themeFill="accent5" w:themeFillTint="33"/>
            <w:noWrap/>
          </w:tcPr>
          <w:p>
            <w:pPr>
              <w:rPr>
                <w:rFonts w:hint="default" w:ascii="Arial" w:hAnsi="Arial" w:cs="Arial"/>
                <w:szCs w:val="24"/>
                <w:lang w:eastAsia="en-GB"/>
              </w:rPr>
            </w:pP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Profitability ratios</w:t>
            </w:r>
          </w:p>
        </w:tc>
        <w:tc>
          <w:tcPr>
            <w:tcW w:w="1260" w:type="dxa"/>
            <w:shd w:val="clear" w:color="auto" w:fill="B4C6E7" w:themeFill="accent5" w:themeFillTint="66"/>
            <w:noWrap/>
          </w:tcPr>
          <w:p>
            <w:pPr>
              <w:rPr>
                <w:rFonts w:hint="default" w:ascii="Arial" w:hAnsi="Arial" w:cs="Arial"/>
                <w:b/>
                <w:bCs/>
                <w:color w:val="000000"/>
                <w:szCs w:val="24"/>
                <w:lang w:eastAsia="en-GB"/>
              </w:rPr>
            </w:pPr>
          </w:p>
        </w:tc>
        <w:tc>
          <w:tcPr>
            <w:tcW w:w="1260" w:type="dxa"/>
            <w:shd w:val="clear" w:color="auto" w:fill="B4C6E7" w:themeFill="accent5" w:themeFillTint="66"/>
            <w:noWrap/>
          </w:tcPr>
          <w:p>
            <w:pPr>
              <w:rPr>
                <w:rFonts w:hint="default" w:ascii="Arial" w:hAnsi="Arial" w:cs="Arial"/>
                <w:szCs w:val="24"/>
                <w:lang w:eastAsia="en-GB"/>
              </w:rPr>
            </w:pPr>
          </w:p>
        </w:tc>
        <w:tc>
          <w:tcPr>
            <w:tcW w:w="1260" w:type="dxa"/>
            <w:shd w:val="clear" w:color="auto" w:fill="B4C6E7" w:themeFill="accent5" w:themeFillTint="66"/>
            <w:noWrap/>
          </w:tcPr>
          <w:p>
            <w:pPr>
              <w:rPr>
                <w:rFonts w:hint="default" w:ascii="Arial" w:hAnsi="Arial" w:cs="Arial"/>
                <w:szCs w:val="24"/>
                <w:lang w:eastAsia="en-GB"/>
              </w:rPr>
            </w:pP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Operating profit margin</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10.21%</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12.46%</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-0.86%</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Net profit margin</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7.77%</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-1.06%</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10.72%</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Gross margin</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51.69%</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41.61%</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93.13%</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Return on equity</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27.38%</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-4.04%</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25.09%</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Return on assets</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12.06%</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-1.46%</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11.92%</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p>
        </w:tc>
        <w:tc>
          <w:tcPr>
            <w:tcW w:w="1260" w:type="dxa"/>
            <w:shd w:val="clear" w:color="auto" w:fill="B4C6E7" w:themeFill="accent5" w:themeFillTint="66"/>
            <w:noWrap/>
          </w:tcPr>
          <w:p>
            <w:pPr>
              <w:rPr>
                <w:rFonts w:hint="default" w:ascii="Arial" w:hAnsi="Arial" w:cs="Arial"/>
                <w:szCs w:val="24"/>
                <w:lang w:eastAsia="en-GB"/>
              </w:rPr>
            </w:pPr>
          </w:p>
        </w:tc>
        <w:tc>
          <w:tcPr>
            <w:tcW w:w="1260" w:type="dxa"/>
            <w:shd w:val="clear" w:color="auto" w:fill="B4C6E7" w:themeFill="accent5" w:themeFillTint="66"/>
            <w:noWrap/>
          </w:tcPr>
          <w:p>
            <w:pPr>
              <w:rPr>
                <w:rFonts w:hint="default" w:ascii="Arial" w:hAnsi="Arial" w:cs="Arial"/>
                <w:szCs w:val="24"/>
                <w:lang w:eastAsia="en-GB"/>
              </w:rPr>
            </w:pPr>
          </w:p>
        </w:tc>
        <w:tc>
          <w:tcPr>
            <w:tcW w:w="1260" w:type="dxa"/>
            <w:shd w:val="clear" w:color="auto" w:fill="B4C6E7" w:themeFill="accent5" w:themeFillTint="66"/>
            <w:noWrap/>
          </w:tcPr>
          <w:p>
            <w:pPr>
              <w:rPr>
                <w:rFonts w:hint="default" w:ascii="Arial" w:hAnsi="Arial" w:cs="Arial"/>
                <w:szCs w:val="24"/>
                <w:lang w:eastAsia="en-GB"/>
              </w:rPr>
            </w:pP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Turnover ratios</w:t>
            </w:r>
          </w:p>
        </w:tc>
        <w:tc>
          <w:tcPr>
            <w:tcW w:w="1260" w:type="dxa"/>
            <w:shd w:val="clear" w:color="auto" w:fill="D9E2F3" w:themeFill="accent5" w:themeFillTint="33"/>
            <w:noWrap/>
          </w:tcPr>
          <w:p>
            <w:pPr>
              <w:rPr>
                <w:rFonts w:hint="default" w:ascii="Arial" w:hAnsi="Arial" w:cs="Arial"/>
                <w:b/>
                <w:bCs/>
                <w:color w:val="000000"/>
                <w:szCs w:val="24"/>
                <w:lang w:eastAsia="en-GB"/>
              </w:rPr>
            </w:pPr>
          </w:p>
        </w:tc>
        <w:tc>
          <w:tcPr>
            <w:tcW w:w="1260" w:type="dxa"/>
            <w:shd w:val="clear" w:color="auto" w:fill="D9E2F3" w:themeFill="accent5" w:themeFillTint="33"/>
            <w:noWrap/>
          </w:tcPr>
          <w:p>
            <w:pPr>
              <w:rPr>
                <w:rFonts w:hint="default" w:ascii="Arial" w:hAnsi="Arial" w:cs="Arial"/>
                <w:szCs w:val="24"/>
                <w:lang w:eastAsia="en-GB"/>
              </w:rPr>
            </w:pPr>
          </w:p>
        </w:tc>
        <w:tc>
          <w:tcPr>
            <w:tcW w:w="1260" w:type="dxa"/>
            <w:shd w:val="clear" w:color="auto" w:fill="D9E2F3" w:themeFill="accent5" w:themeFillTint="33"/>
            <w:noWrap/>
          </w:tcPr>
          <w:p>
            <w:pPr>
              <w:rPr>
                <w:rFonts w:hint="default" w:ascii="Arial" w:hAnsi="Arial" w:cs="Arial"/>
                <w:szCs w:val="24"/>
                <w:lang w:eastAsia="en-GB"/>
              </w:rPr>
            </w:pP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Asset turnover</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1.55</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1.38</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1.11</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Inventory turnover</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54.2</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54.7</w:t>
            </w:r>
          </w:p>
        </w:tc>
        <w:tc>
          <w:tcPr>
            <w:tcW w:w="1260" w:type="dxa"/>
            <w:shd w:val="clear" w:color="auto" w:fill="D9E2F3" w:themeFill="accent5" w:themeFillTint="33"/>
            <w:noWrap/>
          </w:tcPr>
          <w:p>
            <w:pPr>
              <w:rPr>
                <w:rFonts w:hint="default" w:ascii="Arial" w:hAnsi="Arial" w:cs="Arial"/>
                <w:color w:val="000000"/>
                <w:szCs w:val="24"/>
                <w:lang w:eastAsia="en-GB"/>
              </w:rPr>
            </w:pPr>
            <w:r>
              <w:rPr>
                <w:rFonts w:hint="default" w:ascii="Arial" w:hAnsi="Arial" w:cs="Arial"/>
                <w:color w:val="000000"/>
                <w:szCs w:val="24"/>
                <w:lang w:eastAsia="en-GB"/>
              </w:rPr>
              <w:t>33.9</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p>
        </w:tc>
        <w:tc>
          <w:tcPr>
            <w:tcW w:w="1260" w:type="dxa"/>
            <w:shd w:val="clear" w:color="auto" w:fill="B4C6E7" w:themeFill="accent5" w:themeFillTint="66"/>
            <w:noWrap/>
          </w:tcPr>
          <w:p>
            <w:pPr>
              <w:rPr>
                <w:rFonts w:hint="default" w:ascii="Arial" w:hAnsi="Arial" w:cs="Arial"/>
                <w:szCs w:val="24"/>
                <w:lang w:eastAsia="en-GB"/>
              </w:rPr>
            </w:pPr>
          </w:p>
        </w:tc>
        <w:tc>
          <w:tcPr>
            <w:tcW w:w="1260" w:type="dxa"/>
            <w:shd w:val="clear" w:color="auto" w:fill="B4C6E7" w:themeFill="accent5" w:themeFillTint="66"/>
            <w:noWrap/>
          </w:tcPr>
          <w:p>
            <w:pPr>
              <w:rPr>
                <w:rFonts w:hint="default" w:ascii="Arial" w:hAnsi="Arial" w:cs="Arial"/>
                <w:szCs w:val="24"/>
                <w:lang w:eastAsia="en-GB"/>
              </w:rPr>
            </w:pPr>
          </w:p>
        </w:tc>
        <w:tc>
          <w:tcPr>
            <w:tcW w:w="1260" w:type="dxa"/>
            <w:shd w:val="clear" w:color="auto" w:fill="B4C6E7" w:themeFill="accent5" w:themeFillTint="66"/>
            <w:noWrap/>
          </w:tcPr>
          <w:p>
            <w:pPr>
              <w:rPr>
                <w:rFonts w:hint="default" w:ascii="Arial" w:hAnsi="Arial" w:cs="Arial"/>
                <w:szCs w:val="24"/>
                <w:lang w:eastAsia="en-GB"/>
              </w:rPr>
            </w:pP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Gearing ratio</w:t>
            </w:r>
          </w:p>
        </w:tc>
        <w:tc>
          <w:tcPr>
            <w:tcW w:w="1260" w:type="dxa"/>
            <w:shd w:val="clear" w:color="auto" w:fill="D9E2F3" w:themeFill="accent5" w:themeFillTint="33"/>
            <w:noWrap/>
          </w:tcPr>
          <w:p>
            <w:pPr>
              <w:rPr>
                <w:rFonts w:hint="default" w:ascii="Arial" w:hAnsi="Arial" w:cs="Arial"/>
                <w:b/>
                <w:bCs/>
                <w:color w:val="000000"/>
                <w:szCs w:val="24"/>
                <w:lang w:eastAsia="en-GB"/>
              </w:rPr>
            </w:pPr>
          </w:p>
        </w:tc>
        <w:tc>
          <w:tcPr>
            <w:tcW w:w="1260" w:type="dxa"/>
            <w:shd w:val="clear" w:color="auto" w:fill="D9E2F3" w:themeFill="accent5" w:themeFillTint="33"/>
            <w:noWrap/>
          </w:tcPr>
          <w:p>
            <w:pPr>
              <w:rPr>
                <w:rFonts w:hint="default" w:ascii="Arial" w:hAnsi="Arial" w:cs="Arial"/>
                <w:szCs w:val="24"/>
                <w:lang w:eastAsia="en-GB"/>
              </w:rPr>
            </w:pPr>
          </w:p>
        </w:tc>
        <w:tc>
          <w:tcPr>
            <w:tcW w:w="1260" w:type="dxa"/>
            <w:shd w:val="clear" w:color="auto" w:fill="D9E2F3" w:themeFill="accent5" w:themeFillTint="33"/>
            <w:noWrap/>
          </w:tcPr>
          <w:p>
            <w:pPr>
              <w:rPr>
                <w:rFonts w:hint="default" w:ascii="Arial" w:hAnsi="Arial" w:cs="Arial"/>
                <w:szCs w:val="24"/>
                <w:lang w:eastAsia="en-GB"/>
              </w:rPr>
            </w:pP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400" w:hRule="atLeast"/>
          <w:jc w:val="center"/>
        </w:trPr>
        <w:tc>
          <w:tcPr>
            <w:tcW w:w="3480" w:type="dxa"/>
            <w:tcBorders>
              <w:left w:val="single" w:color="FFFFFF" w:themeColor="background1" w:sz="4" w:space="0"/>
              <w:bottom w:val="single" w:color="FFFFFF" w:themeColor="background1" w:sz="4" w:space="0"/>
            </w:tcBorders>
            <w:shd w:val="clear" w:color="auto" w:fill="4472C4" w:themeFill="accent5"/>
            <w:noWrap/>
          </w:tcPr>
          <w:p>
            <w:pPr>
              <w:rPr>
                <w:rFonts w:hint="default" w:ascii="Arial" w:hAnsi="Arial" w:cs="Arial"/>
                <w:b/>
                <w:bCs/>
                <w:color w:val="000000"/>
                <w:szCs w:val="24"/>
                <w:lang w:eastAsia="en-GB"/>
              </w:rPr>
            </w:pPr>
            <w:r>
              <w:rPr>
                <w:rFonts w:hint="default" w:ascii="Arial" w:hAnsi="Arial" w:cs="Arial"/>
                <w:b/>
                <w:bCs/>
                <w:color w:val="000000"/>
                <w:szCs w:val="24"/>
                <w:lang w:eastAsia="en-GB"/>
              </w:rPr>
              <w:t>Debt to equity</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1.1894</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1.4807</w:t>
            </w:r>
          </w:p>
        </w:tc>
        <w:tc>
          <w:tcPr>
            <w:tcW w:w="1260" w:type="dxa"/>
            <w:shd w:val="clear" w:color="auto" w:fill="B4C6E7" w:themeFill="accent5" w:themeFillTint="66"/>
            <w:noWrap/>
          </w:tcPr>
          <w:p>
            <w:pPr>
              <w:rPr>
                <w:rFonts w:hint="default" w:ascii="Arial" w:hAnsi="Arial" w:cs="Arial"/>
                <w:color w:val="000000"/>
                <w:szCs w:val="24"/>
                <w:lang w:eastAsia="en-GB"/>
              </w:rPr>
            </w:pPr>
            <w:r>
              <w:rPr>
                <w:rFonts w:hint="default" w:ascii="Arial" w:hAnsi="Arial" w:cs="Arial"/>
                <w:color w:val="000000"/>
                <w:szCs w:val="24"/>
                <w:lang w:eastAsia="en-GB"/>
              </w:rPr>
              <w:t>1.4556</w:t>
            </w:r>
          </w:p>
        </w:tc>
      </w:tr>
    </w:tbl>
    <w:p>
      <w:pPr>
        <w:rPr>
          <w:rFonts w:hint="default" w:ascii="Arial" w:hAnsi="Arial" w:cs="Arial"/>
          <w:szCs w:val="24"/>
          <w:lang w:eastAsia="en-IN"/>
        </w:rPr>
      </w:pPr>
    </w:p>
    <w:p>
      <w:pPr>
        <w:rPr>
          <w:rFonts w:hint="default" w:ascii="Arial" w:hAnsi="Arial" w:eastAsia="Times New Roman" w:cs="Arial"/>
          <w:szCs w:val="24"/>
          <w:lang w:eastAsia="en-IN"/>
        </w:rPr>
      </w:pPr>
      <w:r>
        <w:rPr>
          <w:rFonts w:hint="default" w:ascii="Arial" w:hAnsi="Arial" w:cs="Arial"/>
          <w:szCs w:val="24"/>
          <w:lang w:eastAsia="en-IN"/>
        </w:rPr>
        <w:t>From the Liquidity ratios, it seems that both current and acid ratio were nearly equivalent showing the companies ability to pay the liabilities (short-term). The ratio reduced less than 0.5 in 2021 a</w:t>
      </w:r>
      <w:r>
        <w:rPr>
          <w:rFonts w:hint="default" w:ascii="Arial" w:hAnsi="Arial" w:eastAsia="Times New Roman" w:cs="Arial"/>
          <w:szCs w:val="24"/>
          <w:lang w:eastAsia="en-IN"/>
        </w:rPr>
        <w:t xml:space="preserve">nd again increased in 2022. The operating profit margins were negative in 2020 which increased by 12% in 2021 showing the reverse impact on the net profit margins and gross margin. This showed a direct impact on ROE and ROA as shown in the table above. The turnover ratios show a gradual up-scale from 2020 to 2022 and the gearing ratio shows a spike high in 2021 and again reduced in 2022. </w:t>
      </w:r>
    </w:p>
    <w:p>
      <w:pPr>
        <w:pStyle w:val="2"/>
        <w:rPr>
          <w:rFonts w:hint="default" w:ascii="Arial" w:hAnsi="Arial" w:cs="Arial"/>
          <w:sz w:val="28"/>
          <w:szCs w:val="28"/>
          <w:lang w:val="en-GB"/>
        </w:rPr>
      </w:pPr>
      <w:bookmarkStart w:id="18" w:name="_Toc14207"/>
      <w:r>
        <w:rPr>
          <w:rFonts w:hint="default" w:ascii="Arial" w:hAnsi="Arial" w:cs="Arial"/>
          <w:sz w:val="28"/>
          <w:szCs w:val="28"/>
          <w:lang w:val="en-GB"/>
        </w:rPr>
        <w:t>7</w:t>
      </w:r>
      <w:r>
        <w:rPr>
          <w:rFonts w:hint="eastAsia" w:ascii="Arial" w:hAnsi="Arial" w:cs="Arial"/>
          <w:sz w:val="28"/>
          <w:szCs w:val="28"/>
          <w:lang w:val="en-US" w:eastAsia="zh-CN"/>
        </w:rPr>
        <w:t xml:space="preserve">.0 </w:t>
      </w:r>
      <w:r>
        <w:rPr>
          <w:rFonts w:hint="default" w:ascii="Arial" w:hAnsi="Arial" w:cs="Arial"/>
          <w:sz w:val="28"/>
          <w:szCs w:val="28"/>
          <w:lang w:val="en-GB"/>
        </w:rPr>
        <w:t>Objectives</w:t>
      </w:r>
      <w:bookmarkEnd w:id="18"/>
    </w:p>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The objectives are set based on all the above frameworks. Considering the external environment, the political as well as technological factors are much correlated based on the industrial revolution (Kebede, 2022). Hence, they can be used efficiently to attain the objectives. Moreover, the environmental factor also has a scope for development in a sustainable and healthy manner. In the internal environment, the factor of supplier bargaining is in favour of the company (Kebede, 2022) (Wang et al., 2019). Moreover, the company can reduce the threat of substitution by developing major competitive advantages.</w:t>
      </w:r>
    </w:p>
    <w:p>
      <w:pPr>
        <w:spacing w:before="240" w:after="240"/>
        <w:rPr>
          <w:rFonts w:hint="default" w:ascii="Arial" w:hAnsi="Arial" w:eastAsia="Times New Roman" w:cs="Arial"/>
          <w:color w:val="000000"/>
          <w:szCs w:val="24"/>
          <w:lang w:eastAsia="en-IN"/>
        </w:rPr>
      </w:pPr>
      <w:r>
        <w:rPr>
          <w:rFonts w:hint="default" w:ascii="Arial" w:hAnsi="Arial" w:eastAsia="Times New Roman" w:cs="Arial"/>
          <w:color w:val="000000"/>
          <w:szCs w:val="24"/>
          <w:lang w:eastAsia="en-IN"/>
        </w:rPr>
        <w:t>The SMART framework is used to develop objectives for a company which is specific, measurable, assignable, realistic and time bound (Minnesota, 2020). For Greggs, the objectives that mainly focuses on the advancement of technology is:</w:t>
      </w:r>
    </w:p>
    <w:p>
      <w:pPr>
        <w:pStyle w:val="15"/>
        <w:numPr>
          <w:ilvl w:val="0"/>
          <w:numId w:val="10"/>
        </w:numPr>
        <w:spacing w:before="240" w:after="240"/>
        <w:rPr>
          <w:rFonts w:hint="default" w:ascii="Arial" w:hAnsi="Arial" w:eastAsia="Times New Roman" w:cs="Arial"/>
          <w:szCs w:val="24"/>
          <w:lang w:eastAsia="en-IN"/>
        </w:rPr>
      </w:pPr>
      <w:r>
        <w:rPr>
          <w:rFonts w:hint="default" w:ascii="Arial" w:hAnsi="Arial" w:eastAsia="Times New Roman" w:cs="Arial"/>
          <w:szCs w:val="24"/>
          <w:lang w:eastAsia="en-IN"/>
        </w:rPr>
        <w:t>Use of automated machines in stores in the cooking processes to ensure hygiene and speed up the process. This can also be used to cook vegan products.</w:t>
      </w:r>
    </w:p>
    <w:p>
      <w:pPr>
        <w:pStyle w:val="15"/>
        <w:numPr>
          <w:ilvl w:val="0"/>
          <w:numId w:val="10"/>
        </w:numPr>
        <w:spacing w:before="240" w:after="240"/>
        <w:rPr>
          <w:rFonts w:hint="default" w:ascii="Arial" w:hAnsi="Arial" w:eastAsia="Times New Roman" w:cs="Arial"/>
          <w:szCs w:val="24"/>
          <w:lang w:eastAsia="en-IN"/>
        </w:rPr>
      </w:pPr>
      <w:r>
        <w:rPr>
          <w:rFonts w:hint="default" w:ascii="Arial" w:hAnsi="Arial" w:eastAsia="Times New Roman" w:cs="Arial"/>
          <w:szCs w:val="24"/>
          <w:lang w:eastAsia="en-IN"/>
        </w:rPr>
        <w:t xml:space="preserve">Smart factories can be established in at least 3 regions in the upcoming 24 months. </w:t>
      </w:r>
    </w:p>
    <w:p>
      <w:pPr>
        <w:pStyle w:val="15"/>
        <w:numPr>
          <w:ilvl w:val="0"/>
          <w:numId w:val="10"/>
        </w:numPr>
        <w:spacing w:before="240" w:after="240"/>
        <w:rPr>
          <w:rFonts w:hint="default" w:ascii="Arial" w:hAnsi="Arial" w:eastAsia="Times New Roman" w:cs="Arial"/>
          <w:szCs w:val="24"/>
          <w:lang w:eastAsia="en-IN"/>
        </w:rPr>
      </w:pPr>
      <w:r>
        <w:rPr>
          <w:rFonts w:hint="default" w:ascii="Arial" w:hAnsi="Arial" w:eastAsia="Times New Roman" w:cs="Arial"/>
          <w:szCs w:val="24"/>
          <w:lang w:eastAsia="en-IN"/>
        </w:rPr>
        <w:t>To increase the production by 15 to 20 percent by using these smart factories.</w:t>
      </w:r>
    </w:p>
    <w:p>
      <w:pPr>
        <w:pStyle w:val="15"/>
        <w:numPr>
          <w:ilvl w:val="0"/>
          <w:numId w:val="10"/>
        </w:numPr>
        <w:spacing w:before="240" w:after="240"/>
        <w:rPr>
          <w:rFonts w:hint="default" w:ascii="Arial" w:hAnsi="Arial" w:eastAsia="Times New Roman" w:cs="Arial"/>
          <w:szCs w:val="24"/>
          <w:lang w:eastAsia="en-IN"/>
        </w:rPr>
      </w:pPr>
      <w:r>
        <w:rPr>
          <w:rFonts w:hint="default" w:ascii="Arial" w:hAnsi="Arial" w:eastAsia="Times New Roman" w:cs="Arial"/>
          <w:szCs w:val="24"/>
          <w:lang w:eastAsia="en-IN"/>
        </w:rPr>
        <w:t xml:space="preserve">To use apps to train the staff members at low expenses. </w:t>
      </w:r>
    </w:p>
    <w:p>
      <w:pPr>
        <w:pStyle w:val="15"/>
        <w:numPr>
          <w:ilvl w:val="0"/>
          <w:numId w:val="10"/>
        </w:numPr>
        <w:spacing w:before="240" w:after="240"/>
        <w:rPr>
          <w:rFonts w:hint="default" w:ascii="Arial" w:hAnsi="Arial" w:eastAsia="Times New Roman" w:cs="Arial"/>
          <w:szCs w:val="24"/>
          <w:lang w:eastAsia="en-IN"/>
        </w:rPr>
      </w:pPr>
      <w:r>
        <w:rPr>
          <w:rFonts w:hint="default" w:ascii="Arial" w:hAnsi="Arial" w:eastAsia="Times New Roman" w:cs="Arial"/>
          <w:szCs w:val="24"/>
          <w:lang w:eastAsia="en-IN"/>
        </w:rPr>
        <w:t>To connect with the stakeholders by using cloud collaboration.</w:t>
      </w:r>
    </w:p>
    <w:p>
      <w:pPr>
        <w:spacing w:before="240" w:after="240"/>
        <w:rPr>
          <w:rFonts w:hint="default" w:ascii="Arial" w:hAnsi="Arial" w:eastAsia="Times New Roman" w:cs="Arial"/>
          <w:szCs w:val="24"/>
          <w:lang w:eastAsia="en-IN"/>
        </w:rPr>
      </w:pPr>
      <w:r>
        <w:rPr>
          <w:rFonts w:hint="default" w:ascii="Arial" w:hAnsi="Arial" w:eastAsia="Times New Roman" w:cs="Arial"/>
          <w:b/>
          <w:bCs/>
          <w:szCs w:val="24"/>
          <w:lang w:eastAsia="en-IN"/>
        </w:rPr>
        <w:t xml:space="preserve">Statement: </w:t>
      </w:r>
      <w:r>
        <w:rPr>
          <w:rFonts w:hint="default" w:ascii="Arial" w:hAnsi="Arial" w:eastAsia="Times New Roman" w:cs="Arial"/>
          <w:szCs w:val="24"/>
          <w:lang w:eastAsia="en-IN"/>
        </w:rPr>
        <w:t>‘Greggs’ 3 stores will be launched in Cornwall in the coming 24 months. Introduction of 5 to 6 vegan options in the menu will be done in the next 12 months. Advanced technology like automated machines, smart factories and information data storing will be inculcated in Greggs which will enhance the supply chain and resources efficiency. This will lead to 15 to 20 percent increase in production also.</w:t>
      </w:r>
    </w:p>
    <w:p>
      <w:pPr>
        <w:pStyle w:val="2"/>
        <w:rPr>
          <w:rFonts w:hint="default" w:ascii="Arial" w:hAnsi="Arial" w:cs="Arial"/>
          <w:sz w:val="28"/>
          <w:szCs w:val="28"/>
          <w:lang w:val="en-GB"/>
        </w:rPr>
      </w:pPr>
      <w:bookmarkStart w:id="19" w:name="_Toc11752"/>
      <w:r>
        <w:rPr>
          <w:rFonts w:hint="default" w:ascii="Arial" w:hAnsi="Arial" w:cs="Arial"/>
          <w:sz w:val="28"/>
          <w:szCs w:val="28"/>
          <w:lang w:val="en-GB"/>
        </w:rPr>
        <w:t>8</w:t>
      </w:r>
      <w:r>
        <w:rPr>
          <w:rFonts w:hint="eastAsia" w:ascii="Arial" w:hAnsi="Arial" w:cs="Arial"/>
          <w:sz w:val="28"/>
          <w:szCs w:val="28"/>
          <w:lang w:val="en-US" w:eastAsia="zh-CN"/>
        </w:rPr>
        <w:t>.0</w:t>
      </w:r>
      <w:r>
        <w:rPr>
          <w:rFonts w:hint="default" w:ascii="Arial" w:hAnsi="Arial" w:cs="Arial"/>
          <w:sz w:val="28"/>
          <w:szCs w:val="28"/>
          <w:lang w:val="en-GB"/>
        </w:rPr>
        <w:t xml:space="preserve"> Evaluation of strategic options</w:t>
      </w:r>
      <w:bookmarkEnd w:id="19"/>
    </w:p>
    <w:p>
      <w:pPr>
        <w:spacing w:before="240" w:after="240"/>
        <w:rPr>
          <w:rFonts w:hint="default" w:ascii="Arial" w:hAnsi="Arial" w:eastAsia="Times New Roman" w:cs="Arial"/>
          <w:szCs w:val="24"/>
          <w:lang w:eastAsia="en-IN"/>
        </w:rPr>
      </w:pPr>
      <w:r>
        <w:rPr>
          <w:rFonts w:hint="default" w:ascii="Arial" w:hAnsi="Arial" w:eastAsia="Times New Roman" w:cs="Arial"/>
          <w:color w:val="000000"/>
          <w:szCs w:val="24"/>
          <w:lang w:eastAsia="en-IN"/>
        </w:rPr>
        <w:t>The strategic evaluation to deliver market value and a successful marketing strategy for Greggs is given by the Ansoff matrix. This matrix is used to provide strategies for penetration of new and existing products in the new and existing market (Meldrum and McDonald, 1995).</w:t>
      </w:r>
    </w:p>
    <w:tbl>
      <w:tblPr>
        <w:tblStyle w:val="11"/>
        <w:tblW w:w="5000" w:type="pct"/>
        <w:tblInd w:w="0" w:type="dxa"/>
        <w:tblLayout w:type="autofit"/>
        <w:tblCellMar>
          <w:top w:w="15" w:type="dxa"/>
          <w:left w:w="15" w:type="dxa"/>
          <w:bottom w:w="15" w:type="dxa"/>
          <w:right w:w="15" w:type="dxa"/>
        </w:tblCellMar>
      </w:tblPr>
      <w:tblGrid>
        <w:gridCol w:w="1108"/>
        <w:gridCol w:w="3493"/>
        <w:gridCol w:w="3905"/>
      </w:tblGrid>
      <w:tr>
        <w:tblPrEx>
          <w:tblCellMar>
            <w:top w:w="15" w:type="dxa"/>
            <w:left w:w="15" w:type="dxa"/>
            <w:bottom w:w="15" w:type="dxa"/>
            <w:right w:w="15" w:type="dxa"/>
          </w:tblCellMar>
        </w:tblPrEx>
        <w:trPr>
          <w:trHeight w:val="485" w:hRule="atLeast"/>
        </w:trPr>
        <w:tc>
          <w:tcPr>
            <w:tcW w:w="592" w:type="pct"/>
            <w:vMerge w:val="restart"/>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pPr>
              <w:spacing w:before="240" w:after="0"/>
              <w:rPr>
                <w:rFonts w:hint="default" w:ascii="Arial" w:hAnsi="Arial" w:eastAsia="Times New Roman" w:cs="Arial"/>
                <w:szCs w:val="24"/>
                <w:lang w:eastAsia="en-IN"/>
              </w:rPr>
            </w:pPr>
            <w:r>
              <w:rPr>
                <w:rFonts w:hint="default" w:ascii="Arial" w:hAnsi="Arial" w:eastAsia="Times New Roman" w:cs="Arial"/>
                <w:color w:val="000000"/>
                <w:szCs w:val="24"/>
                <w:lang w:eastAsia="en-IN"/>
              </w:rPr>
              <w:t> </w:t>
            </w:r>
          </w:p>
          <w:p>
            <w:pPr>
              <w:spacing w:before="240" w:after="0"/>
              <w:rPr>
                <w:rFonts w:hint="default" w:ascii="Arial" w:hAnsi="Arial" w:eastAsia="Times New Roman" w:cs="Arial"/>
                <w:b/>
                <w:bCs/>
                <w:szCs w:val="24"/>
                <w:lang w:eastAsia="en-IN"/>
              </w:rPr>
            </w:pPr>
            <w:r>
              <w:rPr>
                <w:rFonts w:hint="default" w:ascii="Arial" w:hAnsi="Arial" w:eastAsia="Times New Roman" w:cs="Arial"/>
                <w:b/>
                <w:bCs/>
                <w:color w:val="000000"/>
                <w:szCs w:val="24"/>
                <w:lang w:eastAsia="en-IN"/>
              </w:rPr>
              <w:t>Markets</w:t>
            </w:r>
          </w:p>
        </w:tc>
        <w:tc>
          <w:tcPr>
            <w:tcW w:w="4408" w:type="pct"/>
            <w:gridSpan w:val="2"/>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pPr>
              <w:spacing w:before="240" w:after="0"/>
              <w:jc w:val="center"/>
              <w:rPr>
                <w:rFonts w:hint="default" w:ascii="Arial" w:hAnsi="Arial" w:eastAsia="Times New Roman" w:cs="Arial"/>
                <w:b/>
                <w:bCs/>
                <w:szCs w:val="24"/>
                <w:lang w:eastAsia="en-IN"/>
              </w:rPr>
            </w:pPr>
            <w:r>
              <w:rPr>
                <w:rFonts w:hint="default" w:ascii="Arial" w:hAnsi="Arial" w:eastAsia="Times New Roman" w:cs="Arial"/>
                <w:b/>
                <w:bCs/>
                <w:color w:val="000000"/>
                <w:szCs w:val="24"/>
                <w:lang w:eastAsia="en-IN"/>
              </w:rPr>
              <w:t>Products</w:t>
            </w:r>
          </w:p>
        </w:tc>
      </w:tr>
      <w:tr>
        <w:trPr>
          <w:trHeight w:val="2585" w:hRule="atLeast"/>
        </w:trPr>
        <w:tc>
          <w:tcPr>
            <w:tcW w:w="592" w:type="pct"/>
            <w:vMerge w:val="continue"/>
            <w:tcBorders>
              <w:top w:val="single" w:color="000000" w:sz="6" w:space="0"/>
              <w:left w:val="single" w:color="000000" w:sz="6" w:space="0"/>
              <w:bottom w:val="single" w:color="000000" w:sz="6" w:space="0"/>
              <w:right w:val="single" w:color="000000" w:sz="6" w:space="0"/>
            </w:tcBorders>
            <w:vAlign w:val="center"/>
          </w:tcPr>
          <w:p>
            <w:pPr>
              <w:spacing w:after="0"/>
              <w:rPr>
                <w:rFonts w:hint="default" w:ascii="Arial" w:hAnsi="Arial" w:eastAsia="Times New Roman" w:cs="Arial"/>
                <w:szCs w:val="24"/>
                <w:lang w:eastAsia="en-IN"/>
              </w:rPr>
            </w:pPr>
          </w:p>
        </w:tc>
        <w:tc>
          <w:tcPr>
            <w:tcW w:w="2083" w:type="pct"/>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pPr>
              <w:spacing w:before="240" w:after="0"/>
              <w:rPr>
                <w:rFonts w:hint="default" w:ascii="Arial" w:hAnsi="Arial" w:eastAsia="Times New Roman" w:cs="Arial"/>
                <w:b/>
                <w:bCs/>
                <w:color w:val="000000"/>
                <w:szCs w:val="24"/>
                <w:lang w:eastAsia="en-IN"/>
              </w:rPr>
            </w:pPr>
            <w:r>
              <w:rPr>
                <w:rFonts w:hint="default" w:ascii="Arial" w:hAnsi="Arial" w:eastAsia="Times New Roman" w:cs="Arial"/>
                <w:b/>
                <w:bCs/>
                <w:color w:val="000000"/>
                <w:szCs w:val="24"/>
                <w:lang w:eastAsia="en-IN"/>
              </w:rPr>
              <w:t>Market penetration strategies</w:t>
            </w:r>
          </w:p>
          <w:p>
            <w:pPr>
              <w:spacing w:before="240" w:after="0"/>
              <w:rPr>
                <w:rFonts w:hint="default" w:ascii="Arial" w:hAnsi="Arial" w:eastAsia="Times New Roman" w:cs="Arial"/>
                <w:b/>
                <w:bCs/>
                <w:color w:val="000000"/>
                <w:szCs w:val="24"/>
                <w:lang w:eastAsia="en-IN"/>
              </w:rPr>
            </w:pPr>
            <w:r>
              <w:rPr>
                <w:rFonts w:hint="default" w:ascii="Arial" w:hAnsi="Arial" w:eastAsia="Times New Roman" w:cs="Arial"/>
                <w:b/>
                <w:bCs/>
                <w:color w:val="000000"/>
                <w:szCs w:val="24"/>
                <w:lang w:eastAsia="en-IN"/>
              </w:rPr>
              <w:t xml:space="preserve">New market and new product   </w:t>
            </w:r>
          </w:p>
          <w:p>
            <w:pPr>
              <w:spacing w:before="240" w:after="0"/>
              <w:ind w:hanging="360"/>
              <w:rPr>
                <w:rFonts w:hint="default" w:ascii="Arial" w:hAnsi="Arial" w:eastAsia="Times New Roman" w:cs="Arial"/>
                <w:szCs w:val="24"/>
                <w:lang w:eastAsia="en-IN"/>
              </w:rPr>
            </w:pPr>
            <w:r>
              <w:rPr>
                <w:rFonts w:hint="default" w:ascii="Arial" w:hAnsi="Arial" w:eastAsia="Times New Roman" w:cs="Arial"/>
                <w:color w:val="000000"/>
                <w:szCs w:val="24"/>
                <w:lang w:eastAsia="en-IN"/>
              </w:rPr>
              <w:t xml:space="preserve">      1. In order to enter the healthy food market, add more vegetables and grains to the fast food.</w:t>
            </w:r>
          </w:p>
          <w:p>
            <w:pPr>
              <w:spacing w:before="240" w:after="0"/>
              <w:ind w:hanging="360"/>
              <w:rPr>
                <w:rFonts w:hint="default" w:ascii="Arial" w:hAnsi="Arial" w:eastAsia="Times New Roman" w:cs="Arial"/>
                <w:szCs w:val="24"/>
                <w:lang w:eastAsia="en-IN"/>
              </w:rPr>
            </w:pPr>
            <w:r>
              <w:rPr>
                <w:rFonts w:hint="default" w:ascii="Arial" w:hAnsi="Arial" w:eastAsia="Times New Roman" w:cs="Arial"/>
                <w:color w:val="000000"/>
                <w:szCs w:val="24"/>
                <w:lang w:eastAsia="en-IN"/>
              </w:rPr>
              <w:t xml:space="preserve">      2. Include automated machines for ensuring hygiene.</w:t>
            </w:r>
          </w:p>
          <w:p>
            <w:pPr>
              <w:spacing w:before="240" w:after="0"/>
              <w:ind w:hanging="360"/>
              <w:rPr>
                <w:rFonts w:hint="default" w:ascii="Arial" w:hAnsi="Arial" w:eastAsia="Times New Roman" w:cs="Arial"/>
                <w:szCs w:val="24"/>
                <w:lang w:eastAsia="en-IN"/>
              </w:rPr>
            </w:pPr>
            <w:r>
              <w:rPr>
                <w:rFonts w:hint="default" w:ascii="Arial" w:hAnsi="Arial" w:eastAsia="Times New Roman" w:cs="Arial"/>
                <w:color w:val="000000"/>
                <w:szCs w:val="24"/>
                <w:lang w:eastAsia="en-IN"/>
              </w:rPr>
              <w:t xml:space="preserve">      3. Add significant Greggs’ flavors to the vegan bakery items.</w:t>
            </w:r>
          </w:p>
          <w:p>
            <w:pPr>
              <w:spacing w:before="240" w:after="0"/>
              <w:rPr>
                <w:rFonts w:hint="default" w:ascii="Arial" w:hAnsi="Arial" w:eastAsia="Times New Roman" w:cs="Arial"/>
                <w:b/>
                <w:bCs/>
                <w:szCs w:val="24"/>
                <w:lang w:eastAsia="en-IN"/>
              </w:rPr>
            </w:pPr>
            <w:r>
              <w:rPr>
                <w:rFonts w:hint="default" w:ascii="Arial" w:hAnsi="Arial" w:eastAsia="Times New Roman" w:cs="Arial"/>
                <w:color w:val="000000"/>
                <w:szCs w:val="24"/>
                <w:lang w:eastAsia="en-IN"/>
              </w:rPr>
              <w:t>4. The UK government is also promoting vegan products and supporting the vegan food companies.</w:t>
            </w:r>
          </w:p>
          <w:p>
            <w:pPr>
              <w:spacing w:before="240" w:after="0"/>
              <w:ind w:hanging="360"/>
              <w:rPr>
                <w:rFonts w:hint="default" w:ascii="Arial" w:hAnsi="Arial" w:eastAsia="Times New Roman" w:cs="Arial"/>
                <w:szCs w:val="24"/>
                <w:lang w:eastAsia="en-IN"/>
              </w:rPr>
            </w:pPr>
            <w:r>
              <w:rPr>
                <w:rFonts w:hint="default" w:ascii="Arial" w:hAnsi="Arial" w:eastAsia="Times New Roman" w:cs="Arial"/>
                <w:b/>
                <w:bCs/>
                <w:color w:val="000000"/>
                <w:szCs w:val="24"/>
                <w:lang w:eastAsia="en-IN"/>
              </w:rPr>
              <w:t xml:space="preserve">1.   5. </w:t>
            </w:r>
            <w:r>
              <w:rPr>
                <w:rFonts w:hint="default" w:ascii="Arial" w:hAnsi="Arial" w:eastAsia="Times New Roman" w:cs="Arial"/>
                <w:color w:val="000000"/>
                <w:szCs w:val="24"/>
                <w:lang w:eastAsia="en-IN"/>
              </w:rPr>
              <w:t>Promote the products on social media.</w:t>
            </w:r>
          </w:p>
          <w:p>
            <w:pPr>
              <w:spacing w:before="240" w:after="0"/>
              <w:ind w:hanging="360"/>
              <w:rPr>
                <w:rFonts w:hint="default" w:ascii="Arial" w:hAnsi="Arial" w:eastAsia="Times New Roman" w:cs="Arial"/>
                <w:szCs w:val="24"/>
                <w:lang w:eastAsia="en-IN"/>
              </w:rPr>
            </w:pPr>
            <w:r>
              <w:rPr>
                <w:rFonts w:hint="default" w:ascii="Arial" w:hAnsi="Arial" w:eastAsia="Times New Roman" w:cs="Arial"/>
                <w:color w:val="000000"/>
                <w:szCs w:val="24"/>
                <w:lang w:eastAsia="en-IN"/>
              </w:rPr>
              <w:t>2.   6. Mention carbon emission and calorie rates on products to maintain transparency.</w:t>
            </w:r>
          </w:p>
        </w:tc>
        <w:tc>
          <w:tcPr>
            <w:tcW w:w="2325" w:type="pct"/>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pPr>
              <w:spacing w:before="240" w:after="0"/>
              <w:rPr>
                <w:rFonts w:hint="default" w:ascii="Arial" w:hAnsi="Arial" w:eastAsia="Times New Roman" w:cs="Arial"/>
                <w:b/>
                <w:bCs/>
                <w:color w:val="000000"/>
                <w:szCs w:val="24"/>
                <w:lang w:eastAsia="en-IN"/>
              </w:rPr>
            </w:pPr>
            <w:r>
              <w:rPr>
                <w:rFonts w:hint="default" w:ascii="Arial" w:hAnsi="Arial" w:eastAsia="Times New Roman" w:cs="Arial"/>
                <w:b/>
                <w:bCs/>
                <w:color w:val="000000"/>
                <w:szCs w:val="24"/>
                <w:lang w:eastAsia="en-IN"/>
              </w:rPr>
              <w:t>Product development strategy</w:t>
            </w:r>
          </w:p>
          <w:p>
            <w:pPr>
              <w:spacing w:before="240" w:after="0"/>
              <w:rPr>
                <w:rFonts w:hint="default" w:ascii="Arial" w:hAnsi="Arial" w:eastAsia="Times New Roman" w:cs="Arial"/>
                <w:b/>
                <w:bCs/>
                <w:color w:val="000000"/>
                <w:szCs w:val="24"/>
                <w:lang w:eastAsia="en-IN"/>
              </w:rPr>
            </w:pPr>
            <w:r>
              <w:rPr>
                <w:rFonts w:hint="default" w:ascii="Arial" w:hAnsi="Arial" w:eastAsia="Times New Roman" w:cs="Arial"/>
                <w:b/>
                <w:bCs/>
                <w:color w:val="000000"/>
                <w:szCs w:val="24"/>
                <w:lang w:eastAsia="en-IN"/>
              </w:rPr>
              <w:t>New product in existing market</w:t>
            </w:r>
          </w:p>
          <w:p>
            <w:pPr>
              <w:spacing w:before="240" w:after="0"/>
              <w:ind w:hanging="360"/>
              <w:rPr>
                <w:rFonts w:hint="default" w:ascii="Arial" w:hAnsi="Arial" w:eastAsia="Times New Roman" w:cs="Arial"/>
                <w:szCs w:val="24"/>
                <w:lang w:eastAsia="en-IN"/>
              </w:rPr>
            </w:pPr>
            <w:r>
              <w:rPr>
                <w:rFonts w:hint="default" w:ascii="Arial" w:hAnsi="Arial" w:eastAsia="Times New Roman" w:cs="Arial"/>
                <w:color w:val="000000"/>
                <w:szCs w:val="24"/>
                <w:lang w:eastAsia="en-IN"/>
              </w:rPr>
              <w:t xml:space="preserve">      1. Add more cultural and regional flavours to the products to create a competitive advantage in the fast-food market.</w:t>
            </w:r>
          </w:p>
          <w:p>
            <w:pPr>
              <w:spacing w:before="240" w:after="0"/>
              <w:rPr>
                <w:rFonts w:hint="default" w:ascii="Arial" w:hAnsi="Arial" w:eastAsia="Times New Roman" w:cs="Arial"/>
                <w:b/>
                <w:bCs/>
                <w:szCs w:val="24"/>
                <w:lang w:eastAsia="en-IN"/>
              </w:rPr>
            </w:pPr>
            <w:r>
              <w:rPr>
                <w:rFonts w:hint="default" w:ascii="Arial" w:hAnsi="Arial" w:eastAsia="Times New Roman" w:cs="Arial"/>
                <w:color w:val="000000"/>
                <w:szCs w:val="24"/>
                <w:lang w:eastAsia="en-IN"/>
              </w:rPr>
              <w:t>2. Use technological aspects to make photo-printed customized cakes.</w:t>
            </w:r>
          </w:p>
          <w:p>
            <w:pPr>
              <w:spacing w:before="240" w:after="0"/>
              <w:ind w:hanging="360"/>
              <w:rPr>
                <w:rFonts w:hint="default" w:ascii="Arial" w:hAnsi="Arial" w:eastAsia="Times New Roman" w:cs="Arial"/>
                <w:szCs w:val="24"/>
                <w:lang w:eastAsia="en-IN"/>
              </w:rPr>
            </w:pPr>
            <w:r>
              <w:rPr>
                <w:rFonts w:hint="default" w:ascii="Arial" w:hAnsi="Arial" w:eastAsia="Times New Roman" w:cs="Arial"/>
                <w:color w:val="000000"/>
                <w:szCs w:val="24"/>
                <w:lang w:eastAsia="en-IN"/>
              </w:rPr>
              <w:t xml:space="preserve">1.   </w:t>
            </w:r>
          </w:p>
          <w:p>
            <w:pPr>
              <w:spacing w:before="240" w:after="0"/>
              <w:ind w:hanging="360"/>
              <w:rPr>
                <w:rFonts w:hint="default" w:ascii="Arial" w:hAnsi="Arial" w:eastAsia="Times New Roman" w:cs="Arial"/>
                <w:szCs w:val="24"/>
                <w:lang w:eastAsia="en-IN"/>
              </w:rPr>
            </w:pPr>
          </w:p>
        </w:tc>
      </w:tr>
    </w:tbl>
    <w:p>
      <w:pPr>
        <w:rPr>
          <w:rFonts w:hint="default" w:ascii="Arial" w:hAnsi="Arial" w:cs="Arial"/>
          <w:szCs w:val="24"/>
          <w:lang w:val="en-GB"/>
        </w:rPr>
      </w:pPr>
    </w:p>
    <w:p>
      <w:pPr>
        <w:pStyle w:val="2"/>
        <w:rPr>
          <w:rFonts w:hint="default" w:ascii="Arial" w:hAnsi="Arial" w:cs="Arial"/>
          <w:sz w:val="28"/>
          <w:szCs w:val="28"/>
          <w:lang w:val="en-GB"/>
        </w:rPr>
      </w:pPr>
      <w:bookmarkStart w:id="20" w:name="_Toc12234"/>
      <w:r>
        <w:rPr>
          <w:rFonts w:hint="default" w:ascii="Arial" w:hAnsi="Arial" w:cs="Arial"/>
          <w:sz w:val="28"/>
          <w:szCs w:val="28"/>
          <w:lang w:val="en-GB"/>
        </w:rPr>
        <w:t>9</w:t>
      </w:r>
      <w:r>
        <w:rPr>
          <w:rFonts w:hint="eastAsia" w:ascii="Arial" w:hAnsi="Arial" w:cs="Arial"/>
          <w:sz w:val="28"/>
          <w:szCs w:val="28"/>
          <w:lang w:val="en-US" w:eastAsia="zh-CN"/>
        </w:rPr>
        <w:t>.0</w:t>
      </w:r>
      <w:r>
        <w:rPr>
          <w:rFonts w:hint="default" w:ascii="Arial" w:hAnsi="Arial" w:cs="Arial"/>
          <w:sz w:val="28"/>
          <w:szCs w:val="28"/>
          <w:lang w:val="en-GB"/>
        </w:rPr>
        <w:t xml:space="preserve"> Recommendations</w:t>
      </w:r>
      <w:bookmarkEnd w:id="20"/>
      <w:r>
        <w:rPr>
          <w:rFonts w:hint="default" w:ascii="Arial" w:hAnsi="Arial" w:cs="Arial"/>
          <w:sz w:val="28"/>
          <w:szCs w:val="28"/>
          <w:lang w:val="en-GB"/>
        </w:rPr>
        <w:t xml:space="preserve"> </w:t>
      </w:r>
    </w:p>
    <w:p>
      <w:pPr>
        <w:pStyle w:val="10"/>
        <w:numPr>
          <w:ilvl w:val="0"/>
          <w:numId w:val="11"/>
        </w:numPr>
        <w:spacing w:before="240" w:beforeAutospacing="0" w:after="240" w:afterAutospacing="0" w:line="360" w:lineRule="auto"/>
        <w:rPr>
          <w:rFonts w:hint="default" w:ascii="Arial" w:hAnsi="Arial" w:cs="Arial"/>
        </w:rPr>
      </w:pPr>
      <w:r>
        <w:rPr>
          <w:rFonts w:hint="default" w:ascii="Arial" w:hAnsi="Arial" w:cs="Arial"/>
          <w:color w:val="000000"/>
        </w:rPr>
        <w:t>Use automated machines, especially in the preparations of bakery items.</w:t>
      </w:r>
    </w:p>
    <w:p>
      <w:pPr>
        <w:pStyle w:val="10"/>
        <w:numPr>
          <w:ilvl w:val="0"/>
          <w:numId w:val="11"/>
        </w:numPr>
        <w:spacing w:before="240" w:beforeAutospacing="0" w:after="240" w:afterAutospacing="0" w:line="360" w:lineRule="auto"/>
        <w:rPr>
          <w:rFonts w:hint="default" w:ascii="Arial" w:hAnsi="Arial" w:cs="Arial"/>
        </w:rPr>
      </w:pPr>
      <w:r>
        <w:rPr>
          <w:rFonts w:hint="default" w:ascii="Arial" w:hAnsi="Arial" w:cs="Arial"/>
          <w:color w:val="000000"/>
        </w:rPr>
        <w:t>Increase the supply chain efficiency by providing data information to all the departments.</w:t>
      </w:r>
    </w:p>
    <w:p>
      <w:pPr>
        <w:pStyle w:val="10"/>
        <w:numPr>
          <w:ilvl w:val="0"/>
          <w:numId w:val="11"/>
        </w:numPr>
        <w:spacing w:before="240" w:beforeAutospacing="0" w:after="240" w:afterAutospacing="0" w:line="360" w:lineRule="auto"/>
        <w:rPr>
          <w:rFonts w:hint="default" w:ascii="Arial" w:hAnsi="Arial" w:cs="Arial"/>
        </w:rPr>
      </w:pPr>
      <w:r>
        <w:rPr>
          <w:rFonts w:hint="default" w:ascii="Arial" w:hAnsi="Arial" w:cs="Arial"/>
          <w:color w:val="000000"/>
        </w:rPr>
        <w:t>Include vegan products made by automated machines along with their calories and carbon emission information to promote a healthy and environmentally friendly lifestyle. </w:t>
      </w:r>
    </w:p>
    <w:p>
      <w:pPr>
        <w:pStyle w:val="10"/>
        <w:numPr>
          <w:ilvl w:val="0"/>
          <w:numId w:val="11"/>
        </w:numPr>
        <w:spacing w:before="240" w:beforeAutospacing="0" w:after="240" w:afterAutospacing="0" w:line="360" w:lineRule="auto"/>
        <w:rPr>
          <w:rFonts w:hint="default" w:ascii="Arial" w:hAnsi="Arial" w:cs="Arial"/>
        </w:rPr>
      </w:pPr>
      <w:r>
        <w:rPr>
          <w:rFonts w:hint="default" w:ascii="Arial" w:hAnsi="Arial" w:cs="Arial"/>
          <w:color w:val="000000"/>
        </w:rPr>
        <w:t xml:space="preserve">Include cloud collaboration for connecting well with the stakeholders. </w:t>
      </w:r>
    </w:p>
    <w:p>
      <w:pPr>
        <w:spacing w:after="160" w:line="259" w:lineRule="auto"/>
        <w:rPr>
          <w:rFonts w:hint="default" w:ascii="Arial" w:hAnsi="Arial" w:cs="Arial" w:eastAsiaTheme="majorEastAsia"/>
          <w:b/>
          <w:color w:val="000000" w:themeColor="text1"/>
          <w:szCs w:val="24"/>
          <w:lang w:val="en-GB"/>
          <w14:textFill>
            <w14:solidFill>
              <w14:schemeClr w14:val="tx1"/>
            </w14:solidFill>
          </w14:textFill>
        </w:rPr>
      </w:pPr>
      <w:r>
        <w:rPr>
          <w:rFonts w:hint="default" w:ascii="Arial" w:hAnsi="Arial" w:cs="Arial"/>
          <w:szCs w:val="24"/>
          <w:lang w:val="en-GB"/>
        </w:rPr>
        <w:br w:type="page"/>
      </w:r>
    </w:p>
    <w:p>
      <w:pPr>
        <w:pStyle w:val="2"/>
        <w:bidi w:val="0"/>
        <w:rPr>
          <w:rFonts w:hint="default" w:ascii="Arial" w:hAnsi="Arial" w:cs="Arial"/>
          <w:sz w:val="28"/>
          <w:szCs w:val="28"/>
          <w:lang w:val="en-GB"/>
        </w:rPr>
      </w:pPr>
      <w:bookmarkStart w:id="21" w:name="_Toc17986"/>
      <w:r>
        <w:rPr>
          <w:rFonts w:hint="default" w:ascii="Arial" w:hAnsi="Arial" w:cs="Arial"/>
          <w:sz w:val="28"/>
          <w:szCs w:val="28"/>
          <w:lang w:val="en-GB"/>
        </w:rPr>
        <w:t>References</w:t>
      </w:r>
      <w:bookmarkEnd w:id="21"/>
    </w:p>
    <w:p>
      <w:pPr>
        <w:pStyle w:val="10"/>
        <w:spacing w:before="0" w:beforeAutospacing="0" w:after="200" w:afterAutospacing="0" w:line="360" w:lineRule="auto"/>
        <w:rPr>
          <w:rFonts w:hint="default" w:ascii="Arial" w:hAnsi="Arial" w:cs="Arial"/>
        </w:rPr>
      </w:pPr>
      <w:r>
        <w:rPr>
          <w:rFonts w:hint="default" w:ascii="Arial" w:hAnsi="Arial" w:cs="Arial"/>
        </w:rPr>
        <w:t xml:space="preserve">Alae-Carew, C., Green, R., Stewart, C., Cook, B., Dangour, A.D. and Scheelbeek, P.F.D. (2021). The role of plant-based alternative foods in sustainable and healthy food systems: Consumption trends in the UK. </w:t>
      </w:r>
      <w:r>
        <w:rPr>
          <w:rFonts w:hint="default" w:ascii="Arial" w:hAnsi="Arial" w:cs="Arial"/>
          <w:i/>
          <w:iCs/>
        </w:rPr>
        <w:t>Science of The Total Environment</w:t>
      </w:r>
      <w:r>
        <w:rPr>
          <w:rFonts w:hint="default" w:ascii="Arial" w:hAnsi="Arial" w:cs="Arial"/>
        </w:rPr>
        <w:t>, 807(3), p.151041.</w:t>
      </w:r>
    </w:p>
    <w:p>
      <w:pPr>
        <w:pStyle w:val="10"/>
        <w:spacing w:before="0" w:beforeAutospacing="0" w:after="200" w:afterAutospacing="0" w:line="360" w:lineRule="auto"/>
        <w:rPr>
          <w:rFonts w:hint="default" w:ascii="Arial" w:hAnsi="Arial" w:cs="Arial"/>
        </w:rPr>
      </w:pPr>
      <w:r>
        <w:rPr>
          <w:rFonts w:hint="default" w:ascii="Arial" w:hAnsi="Arial" w:cs="Arial"/>
        </w:rPr>
        <w:t xml:space="preserve">Apsarini Soegoto, F. (2021). Product Development using SWOT Analysis. </w:t>
      </w:r>
      <w:r>
        <w:rPr>
          <w:rFonts w:hint="default" w:ascii="Arial" w:hAnsi="Arial" w:cs="Arial"/>
          <w:i/>
          <w:iCs/>
        </w:rPr>
        <w:t>International Journal of Entrepreneurship &amp; Technopreneur</w:t>
      </w:r>
      <w:r>
        <w:rPr>
          <w:rFonts w:hint="default" w:ascii="Arial" w:hAnsi="Arial" w:cs="Arial"/>
        </w:rPr>
        <w:t>, 1(1), pp.1–10.</w:t>
      </w:r>
    </w:p>
    <w:p>
      <w:pPr>
        <w:pStyle w:val="10"/>
        <w:spacing w:before="0" w:beforeAutospacing="0" w:after="200" w:afterAutospacing="0" w:line="360" w:lineRule="auto"/>
        <w:rPr>
          <w:rFonts w:hint="default" w:ascii="Arial" w:hAnsi="Arial" w:cs="Arial"/>
        </w:rPr>
      </w:pPr>
      <w:r>
        <w:rPr>
          <w:rFonts w:hint="default" w:ascii="Arial" w:hAnsi="Arial" w:cs="Arial"/>
        </w:rPr>
        <w:t xml:space="preserve">Colás, A. (2019). Internationalism Under Platform Capitalism: Brexit and the Organisation of UK Fast Food Workers. </w:t>
      </w:r>
      <w:r>
        <w:rPr>
          <w:rFonts w:hint="default" w:ascii="Arial" w:hAnsi="Arial" w:cs="Arial"/>
          <w:i/>
          <w:iCs/>
        </w:rPr>
        <w:t>The Political Quarterly</w:t>
      </w:r>
      <w:r>
        <w:rPr>
          <w:rFonts w:hint="default" w:ascii="Arial" w:hAnsi="Arial" w:cs="Arial"/>
        </w:rPr>
        <w:t>, 90(4), pp.620–628.</w:t>
      </w:r>
    </w:p>
    <w:p>
      <w:pPr>
        <w:pStyle w:val="10"/>
        <w:spacing w:before="0" w:beforeAutospacing="0" w:after="200" w:afterAutospacing="0" w:line="360" w:lineRule="auto"/>
        <w:rPr>
          <w:rFonts w:hint="default" w:ascii="Arial" w:hAnsi="Arial" w:cs="Arial"/>
        </w:rPr>
      </w:pPr>
      <w:r>
        <w:rPr>
          <w:rFonts w:hint="default" w:ascii="Arial" w:hAnsi="Arial" w:cs="Arial"/>
        </w:rPr>
        <w:t xml:space="preserve">Cummins, S., Berger, N., Cornelsen, L., Eling, J., Er, V., Greener, R., Kalbus, A., Karapici, A., Law, C., Ndlovu, D. and Yau, A. (2020). COVID-19: Impact on the Urban Food Retail System and Dietary Inequalities in the UK. </w:t>
      </w:r>
      <w:r>
        <w:rPr>
          <w:rFonts w:hint="default" w:ascii="Arial" w:hAnsi="Arial" w:cs="Arial"/>
          <w:i/>
          <w:iCs/>
        </w:rPr>
        <w:t>Cities &amp; Health</w:t>
      </w:r>
      <w:r>
        <w:rPr>
          <w:rFonts w:hint="default" w:ascii="Arial" w:hAnsi="Arial" w:cs="Arial"/>
        </w:rPr>
        <w:t>, 5(1), pp.1–4.</w:t>
      </w:r>
    </w:p>
    <w:p>
      <w:pPr>
        <w:pStyle w:val="10"/>
        <w:spacing w:before="0" w:beforeAutospacing="0" w:after="200" w:afterAutospacing="0" w:line="360" w:lineRule="auto"/>
        <w:rPr>
          <w:rFonts w:hint="default" w:ascii="Arial" w:hAnsi="Arial" w:cs="Arial"/>
        </w:rPr>
      </w:pPr>
      <w:r>
        <w:rPr>
          <w:rFonts w:hint="default" w:ascii="Arial" w:hAnsi="Arial" w:cs="Arial"/>
        </w:rPr>
        <w:t>Encyclopedia (2021). Encyclopedia of Tourism Management and Marketing.</w:t>
      </w:r>
    </w:p>
    <w:p>
      <w:pPr>
        <w:pStyle w:val="10"/>
        <w:spacing w:before="0" w:beforeAutospacing="0" w:after="200" w:afterAutospacing="0" w:line="360" w:lineRule="auto"/>
        <w:rPr>
          <w:rFonts w:hint="default" w:ascii="Arial" w:hAnsi="Arial" w:cs="Arial"/>
        </w:rPr>
      </w:pPr>
      <w:r>
        <w:rPr>
          <w:rFonts w:hint="default" w:ascii="Arial" w:hAnsi="Arial" w:cs="Arial"/>
        </w:rPr>
        <w:t xml:space="preserve">Ganguly (2020). BLUE OCEAN STRATEGY - A Marketing Theory To Create. </w:t>
      </w:r>
      <w:r>
        <w:rPr>
          <w:rFonts w:hint="default" w:ascii="Arial" w:hAnsi="Arial" w:cs="Arial"/>
          <w:i/>
          <w:iCs/>
        </w:rPr>
        <w:t>American Journal of Business and Management Research</w:t>
      </w:r>
      <w:r>
        <w:rPr>
          <w:rFonts w:hint="default" w:ascii="Arial" w:hAnsi="Arial" w:cs="Arial"/>
        </w:rPr>
        <w:t>, 1(1).</w:t>
      </w:r>
    </w:p>
    <w:p>
      <w:pPr>
        <w:pStyle w:val="10"/>
        <w:spacing w:before="0" w:beforeAutospacing="0" w:after="200" w:afterAutospacing="0" w:line="360" w:lineRule="auto"/>
        <w:rPr>
          <w:rFonts w:hint="default" w:ascii="Arial" w:hAnsi="Arial" w:cs="Arial"/>
        </w:rPr>
      </w:pPr>
      <w:r>
        <w:rPr>
          <w:rFonts w:hint="default" w:ascii="Arial" w:hAnsi="Arial" w:cs="Arial"/>
        </w:rPr>
        <w:t xml:space="preserve">Gechkova, T. and Kaleeva, T. (2020). THE MCKINSEY 7S MODEL IN THE AIRPORT SYSTEM PROTECTION. </w:t>
      </w:r>
      <w:r>
        <w:rPr>
          <w:rFonts w:hint="default" w:ascii="Arial" w:hAnsi="Arial" w:cs="Arial"/>
          <w:i/>
          <w:iCs/>
        </w:rPr>
        <w:t>KNOWLEDGE - International Journal</w:t>
      </w:r>
      <w:r>
        <w:rPr>
          <w:rFonts w:hint="default" w:ascii="Arial" w:hAnsi="Arial" w:cs="Arial"/>
        </w:rPr>
        <w:t>, [online] 42(5), pp.843–848. Available at: http://ikm.mk/ojs/index.php/kij/article/view/659.</w:t>
      </w:r>
    </w:p>
    <w:p>
      <w:pPr>
        <w:pStyle w:val="10"/>
        <w:spacing w:before="0" w:beforeAutospacing="0" w:after="200" w:afterAutospacing="0" w:line="360" w:lineRule="auto"/>
        <w:rPr>
          <w:rFonts w:hint="default" w:ascii="Arial" w:hAnsi="Arial" w:cs="Arial"/>
        </w:rPr>
      </w:pPr>
      <w:r>
        <w:rPr>
          <w:rFonts w:hint="default" w:ascii="Arial" w:hAnsi="Arial" w:cs="Arial"/>
        </w:rPr>
        <w:t xml:space="preserve">gov.uk (2022). </w:t>
      </w:r>
      <w:r>
        <w:rPr>
          <w:rFonts w:hint="default" w:ascii="Arial" w:hAnsi="Arial" w:cs="Arial"/>
          <w:i/>
          <w:iCs/>
        </w:rPr>
        <w:t>Russian invasion of Ukraine: UK government response - GOV.UK</w:t>
      </w:r>
      <w:r>
        <w:rPr>
          <w:rFonts w:hint="default" w:ascii="Arial" w:hAnsi="Arial" w:cs="Arial"/>
        </w:rPr>
        <w:t>. [online] www.gov.uk. Available at: https://www.gov.uk/government/topical-events/russian-invasion-of-ukraine-uk-government-response.</w:t>
      </w:r>
    </w:p>
    <w:p>
      <w:pPr>
        <w:pStyle w:val="10"/>
        <w:spacing w:before="0" w:beforeAutospacing="0" w:after="200" w:afterAutospacing="0" w:line="360" w:lineRule="auto"/>
        <w:rPr>
          <w:rFonts w:hint="default" w:ascii="Arial" w:hAnsi="Arial" w:cs="Arial"/>
        </w:rPr>
      </w:pPr>
      <w:r>
        <w:rPr>
          <w:rFonts w:hint="default" w:ascii="Arial" w:hAnsi="Arial" w:cs="Arial"/>
        </w:rPr>
        <w:t xml:space="preserve">Greggs (2022). </w:t>
      </w:r>
      <w:r>
        <w:rPr>
          <w:rFonts w:hint="default" w:ascii="Arial" w:hAnsi="Arial" w:cs="Arial"/>
          <w:i/>
          <w:iCs/>
        </w:rPr>
        <w:t>Greggs</w:t>
      </w:r>
      <w:r>
        <w:rPr>
          <w:rFonts w:hint="default" w:ascii="Arial" w:hAnsi="Arial" w:cs="Arial"/>
        </w:rPr>
        <w:t>. [online] Greggs.co.uk. Available at: https://www.greggs.co.uk/.</w:t>
      </w:r>
    </w:p>
    <w:p>
      <w:pPr>
        <w:pStyle w:val="10"/>
        <w:spacing w:before="0" w:beforeAutospacing="0" w:after="200" w:afterAutospacing="0" w:line="360" w:lineRule="auto"/>
        <w:rPr>
          <w:rFonts w:hint="default" w:ascii="Arial" w:hAnsi="Arial" w:cs="Arial"/>
        </w:rPr>
      </w:pPr>
      <w:r>
        <w:rPr>
          <w:rFonts w:hint="default" w:ascii="Arial" w:hAnsi="Arial" w:cs="Arial"/>
        </w:rPr>
        <w:t xml:space="preserve">Hirth, S., Boons, F. and Doherty, B. (2021). Unpacking food to go: Packaging and food waste of on the go provisioning practices in the UK. </w:t>
      </w:r>
      <w:r>
        <w:rPr>
          <w:rFonts w:hint="default" w:ascii="Arial" w:hAnsi="Arial" w:cs="Arial"/>
          <w:i/>
          <w:iCs/>
        </w:rPr>
        <w:t>Geoforum</w:t>
      </w:r>
      <w:r>
        <w:rPr>
          <w:rFonts w:hint="default" w:ascii="Arial" w:hAnsi="Arial" w:cs="Arial"/>
        </w:rPr>
        <w:t>, 126, pp.115–125.</w:t>
      </w:r>
    </w:p>
    <w:p>
      <w:pPr>
        <w:pStyle w:val="10"/>
        <w:spacing w:before="0" w:beforeAutospacing="0" w:after="200" w:afterAutospacing="0" w:line="360" w:lineRule="auto"/>
        <w:rPr>
          <w:rFonts w:hint="default" w:ascii="Arial" w:hAnsi="Arial" w:cs="Arial"/>
        </w:rPr>
      </w:pPr>
      <w:r>
        <w:rPr>
          <w:rFonts w:hint="default" w:ascii="Arial" w:hAnsi="Arial" w:cs="Arial"/>
        </w:rPr>
        <w:t xml:space="preserve">Kebede, Z. (2022). </w:t>
      </w:r>
      <w:r>
        <w:rPr>
          <w:rFonts w:hint="default" w:ascii="Arial" w:hAnsi="Arial" w:cs="Arial"/>
          <w:i/>
          <w:iCs/>
        </w:rPr>
        <w:t>Digital Marketing Plan for Soni Paras Autovälitys</w:t>
      </w:r>
      <w:r>
        <w:rPr>
          <w:rFonts w:hint="default" w:ascii="Arial" w:hAnsi="Arial" w:cs="Arial"/>
        </w:rPr>
        <w:t>. [online] www.theseus.fi. Available at: https://www.theseus.fi/handle/10024/748418.</w:t>
      </w:r>
    </w:p>
    <w:p>
      <w:pPr>
        <w:pStyle w:val="10"/>
        <w:spacing w:before="0" w:beforeAutospacing="0" w:after="200" w:afterAutospacing="0" w:line="360" w:lineRule="auto"/>
        <w:rPr>
          <w:rFonts w:hint="default" w:ascii="Arial" w:hAnsi="Arial" w:cs="Arial"/>
        </w:rPr>
      </w:pPr>
      <w:r>
        <w:rPr>
          <w:rFonts w:hint="default" w:ascii="Arial" w:hAnsi="Arial" w:cs="Arial"/>
        </w:rPr>
        <w:t xml:space="preserve">Klaar, M.J., Carver, S. and Kay, P. (2020). Land management in a post‐Brexit UK : An opportunity for integrated catchment management to deliver multiple benefits? </w:t>
      </w:r>
      <w:r>
        <w:rPr>
          <w:rFonts w:hint="default" w:ascii="Arial" w:hAnsi="Arial" w:cs="Arial"/>
          <w:i/>
          <w:iCs/>
        </w:rPr>
        <w:t>WIREs Water</w:t>
      </w:r>
      <w:r>
        <w:rPr>
          <w:rFonts w:hint="default" w:ascii="Arial" w:hAnsi="Arial" w:cs="Arial"/>
        </w:rPr>
        <w:t>, 7(5).</w:t>
      </w:r>
    </w:p>
    <w:p>
      <w:pPr>
        <w:pStyle w:val="10"/>
        <w:spacing w:before="0" w:beforeAutospacing="0" w:after="200" w:afterAutospacing="0" w:line="360" w:lineRule="auto"/>
        <w:rPr>
          <w:rFonts w:hint="default" w:ascii="Arial" w:hAnsi="Arial" w:cs="Arial"/>
        </w:rPr>
      </w:pPr>
      <w:r>
        <w:rPr>
          <w:rFonts w:hint="default" w:ascii="Arial" w:hAnsi="Arial" w:cs="Arial"/>
        </w:rPr>
        <w:t xml:space="preserve">London Stock Exchange (2023). </w:t>
      </w:r>
      <w:r>
        <w:rPr>
          <w:rFonts w:hint="default" w:ascii="Arial" w:hAnsi="Arial" w:cs="Arial"/>
          <w:i/>
          <w:iCs/>
        </w:rPr>
        <w:t>GREGGS PLC GRG Stock | London Stock Exchange</w:t>
      </w:r>
      <w:r>
        <w:rPr>
          <w:rFonts w:hint="default" w:ascii="Arial" w:hAnsi="Arial" w:cs="Arial"/>
        </w:rPr>
        <w:t>. [online] www.londonstockexchange.com. Available at: https://www.londonstockexchange.com/stock/GRG/greggs-plc/company-page.</w:t>
      </w:r>
    </w:p>
    <w:p>
      <w:pPr>
        <w:pStyle w:val="10"/>
        <w:spacing w:before="0" w:beforeAutospacing="0" w:after="200" w:afterAutospacing="0" w:line="360" w:lineRule="auto"/>
        <w:rPr>
          <w:rFonts w:hint="default" w:ascii="Arial" w:hAnsi="Arial" w:cs="Arial"/>
        </w:rPr>
      </w:pPr>
      <w:r>
        <w:rPr>
          <w:rFonts w:hint="default" w:ascii="Arial" w:hAnsi="Arial" w:cs="Arial"/>
        </w:rPr>
        <w:t xml:space="preserve">Marx, J.F., Callery, S. and Boukidjian, R. (2019). Value of certification in infection prevention and control. </w:t>
      </w:r>
      <w:r>
        <w:rPr>
          <w:rFonts w:hint="default" w:ascii="Arial" w:hAnsi="Arial" w:cs="Arial"/>
          <w:i/>
          <w:iCs/>
        </w:rPr>
        <w:t>American Journal of Infection Control</w:t>
      </w:r>
      <w:r>
        <w:rPr>
          <w:rFonts w:hint="default" w:ascii="Arial" w:hAnsi="Arial" w:cs="Arial"/>
        </w:rPr>
        <w:t>, 47(10), pp.1265–1269.</w:t>
      </w:r>
    </w:p>
    <w:p>
      <w:pPr>
        <w:pStyle w:val="10"/>
        <w:spacing w:before="0" w:beforeAutospacing="0" w:after="200" w:afterAutospacing="0" w:line="360" w:lineRule="auto"/>
        <w:rPr>
          <w:rFonts w:hint="default" w:ascii="Arial" w:hAnsi="Arial" w:cs="Arial"/>
        </w:rPr>
      </w:pPr>
      <w:r>
        <w:rPr>
          <w:rFonts w:hint="default" w:ascii="Arial" w:hAnsi="Arial" w:cs="Arial"/>
        </w:rPr>
        <w:t xml:space="preserve">Meldrum, M. and McDonald, M. (1995). The Ansoff Matrix. </w:t>
      </w:r>
      <w:r>
        <w:rPr>
          <w:rFonts w:hint="default" w:ascii="Arial" w:hAnsi="Arial" w:cs="Arial"/>
          <w:i/>
          <w:iCs/>
        </w:rPr>
        <w:t>Key Marketing Concepts</w:t>
      </w:r>
      <w:r>
        <w:rPr>
          <w:rFonts w:hint="default" w:ascii="Arial" w:hAnsi="Arial" w:cs="Arial"/>
        </w:rPr>
        <w:t>, [online] 24(1), pp.121–126. Available at: https://link.springer.com/chapter/10.1007/978-1-349-13877-7_24.</w:t>
      </w:r>
    </w:p>
    <w:p>
      <w:pPr>
        <w:pStyle w:val="10"/>
        <w:spacing w:before="0" w:beforeAutospacing="0" w:after="200" w:afterAutospacing="0" w:line="360" w:lineRule="auto"/>
        <w:rPr>
          <w:rFonts w:hint="default" w:ascii="Arial" w:hAnsi="Arial" w:cs="Arial"/>
        </w:rPr>
      </w:pPr>
      <w:r>
        <w:rPr>
          <w:rFonts w:hint="default" w:ascii="Arial" w:hAnsi="Arial" w:cs="Arial"/>
        </w:rPr>
        <w:t xml:space="preserve">Minnesota (2020). </w:t>
      </w:r>
      <w:r>
        <w:rPr>
          <w:rFonts w:hint="default" w:ascii="Arial" w:hAnsi="Arial" w:cs="Arial"/>
          <w:i/>
          <w:iCs/>
        </w:rPr>
        <w:t>SMART Objectives - Minnesota Dept. of Health</w:t>
      </w:r>
      <w:r>
        <w:rPr>
          <w:rFonts w:hint="default" w:ascii="Arial" w:hAnsi="Arial" w:cs="Arial"/>
        </w:rPr>
        <w:t>. [online] www.health.state.mn.us. Available at: https://www.health.state.mn.us/communities/practice/resources/phqitoolbox/objectives.html#:~:text=A%20SMART%20objective%20is%20one.</w:t>
      </w:r>
    </w:p>
    <w:p>
      <w:pPr>
        <w:pStyle w:val="10"/>
        <w:spacing w:before="0" w:beforeAutospacing="0" w:after="200" w:afterAutospacing="0" w:line="360" w:lineRule="auto"/>
        <w:rPr>
          <w:rFonts w:hint="default" w:ascii="Arial" w:hAnsi="Arial" w:cs="Arial"/>
        </w:rPr>
      </w:pPr>
      <w:r>
        <w:rPr>
          <w:rFonts w:hint="default" w:ascii="Arial" w:hAnsi="Arial" w:cs="Arial"/>
        </w:rPr>
        <w:t xml:space="preserve">Ramos, R. and Mayor, M. (2020). </w:t>
      </w:r>
      <w:r>
        <w:rPr>
          <w:rFonts w:hint="default" w:ascii="Arial" w:hAnsi="Arial" w:cs="Arial"/>
          <w:i/>
          <w:iCs/>
        </w:rPr>
        <w:t>Regions and Economic Resilience</w:t>
      </w:r>
      <w:r>
        <w:rPr>
          <w:rFonts w:hint="default" w:ascii="Arial" w:hAnsi="Arial" w:cs="Arial"/>
        </w:rPr>
        <w:t>.</w:t>
      </w:r>
    </w:p>
    <w:p>
      <w:pPr>
        <w:pStyle w:val="10"/>
        <w:spacing w:before="0" w:beforeAutospacing="0" w:after="200" w:afterAutospacing="0" w:line="360" w:lineRule="auto"/>
        <w:rPr>
          <w:rFonts w:hint="default" w:ascii="Arial" w:hAnsi="Arial" w:cs="Arial"/>
        </w:rPr>
      </w:pPr>
      <w:r>
        <w:rPr>
          <w:rFonts w:hint="default" w:ascii="Arial" w:hAnsi="Arial" w:cs="Arial"/>
        </w:rPr>
        <w:t xml:space="preserve">Silva, R. and Oliveira, C. (2020). The Influence of Innovation in Tangible and Intangible Resource Allocation: A Qualitative Multi Case Study. </w:t>
      </w:r>
      <w:r>
        <w:rPr>
          <w:rFonts w:hint="default" w:ascii="Arial" w:hAnsi="Arial" w:cs="Arial"/>
          <w:i/>
          <w:iCs/>
        </w:rPr>
        <w:t>Sustainability</w:t>
      </w:r>
      <w:r>
        <w:rPr>
          <w:rFonts w:hint="default" w:ascii="Arial" w:hAnsi="Arial" w:cs="Arial"/>
        </w:rPr>
        <w:t>, 12(12), p.4989.</w:t>
      </w:r>
    </w:p>
    <w:p>
      <w:pPr>
        <w:pStyle w:val="10"/>
        <w:spacing w:before="0" w:beforeAutospacing="0" w:after="200" w:afterAutospacing="0" w:line="360" w:lineRule="auto"/>
        <w:rPr>
          <w:rFonts w:hint="default" w:ascii="Arial" w:hAnsi="Arial" w:cs="Arial"/>
        </w:rPr>
      </w:pPr>
      <w:r>
        <w:rPr>
          <w:rFonts w:hint="default" w:ascii="Arial" w:hAnsi="Arial" w:cs="Arial"/>
        </w:rPr>
        <w:t xml:space="preserve">Wang, H., Chen, Z., Wu, X. and Nie, X. (2019). Can a carbon trading system promote the transformation of a low-carbon economy under the framework of the porter hypothesis? —Empirical analysis based on the PSM-DID method. </w:t>
      </w:r>
      <w:r>
        <w:rPr>
          <w:rFonts w:hint="default" w:ascii="Arial" w:hAnsi="Arial" w:cs="Arial"/>
          <w:i/>
          <w:iCs/>
        </w:rPr>
        <w:t>Energy Policy</w:t>
      </w:r>
      <w:r>
        <w:rPr>
          <w:rFonts w:hint="default" w:ascii="Arial" w:hAnsi="Arial" w:cs="Arial"/>
        </w:rPr>
        <w:t>, 129, pp.930–938.</w:t>
      </w:r>
    </w:p>
    <w:p>
      <w:pPr>
        <w:pStyle w:val="10"/>
        <w:spacing w:before="0" w:beforeAutospacing="0" w:after="200" w:afterAutospacing="0" w:line="360" w:lineRule="auto"/>
        <w:rPr>
          <w:rFonts w:hint="default" w:ascii="Arial" w:hAnsi="Arial" w:cs="Arial"/>
        </w:rPr>
      </w:pPr>
      <w:r>
        <w:rPr>
          <w:rFonts w:hint="default" w:ascii="Arial" w:hAnsi="Arial" w:cs="Arial"/>
        </w:rPr>
        <w:t xml:space="preserve">Yetkin Özbük, R.M. and Coşkun, A. (2020). Factors affecting food waste at the downstream entities of the supply chain: A critical review. </w:t>
      </w:r>
      <w:r>
        <w:rPr>
          <w:rFonts w:hint="default" w:ascii="Arial" w:hAnsi="Arial" w:cs="Arial"/>
          <w:i/>
          <w:iCs/>
        </w:rPr>
        <w:t>Journal of Cleaner Production</w:t>
      </w:r>
      <w:r>
        <w:rPr>
          <w:rFonts w:hint="default" w:ascii="Arial" w:hAnsi="Arial" w:cs="Arial"/>
        </w:rPr>
        <w:t>, 244, p.118628.</w:t>
      </w:r>
    </w:p>
    <w:p/>
    <w:sectPr>
      <w:footerReference r:id="rId5" w:type="default"/>
      <w:pgSz w:w="11906" w:h="16838"/>
      <w:pgMar w:top="1440" w:right="1800" w:bottom="1440" w:left="1800" w:header="851" w:footer="992" w:gutter="0"/>
      <w:pgNumType w:fmt="decimal"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altName w:val="Segoe UI"/>
    <w:panose1 w:val="020F0502020204030204"/>
    <w:charset w:val="00"/>
    <w:family w:val="swiss"/>
    <w:pitch w:val="default"/>
    <w:sig w:usb0="00000000" w:usb1="00000000" w:usb2="00000001" w:usb3="00000000" w:csb0="0000019F" w:csb1="00000000"/>
  </w:font>
  <w:font w:name="Segoe UI">
    <w:panose1 w:val="020B0502040204020203"/>
    <w:charset w:val="00"/>
    <w:family w:val="auto"/>
    <w:pitch w:val="default"/>
    <w:sig w:usb0="E4002EFF" w:usb1="C000E47F" w:usb2="00000009" w:usb3="00000000" w:csb0="200001FF" w:csb1="00000000"/>
  </w:font>
  <w:font w:name="Calibri">
    <w:altName w:val="Segoe UI"/>
    <w:panose1 w:val="020F0502020204030204"/>
    <w:charset w:val="86"/>
    <w:family w:val="swiss"/>
    <w:pitch w:val="default"/>
    <w:sig w:usb0="00000000" w:usb1="00000000" w:usb2="00000001" w:usb3="00000000" w:csb0="0000019F" w:csb1="00000000"/>
  </w:font>
  <w:font w:name="Calibri Light">
    <w:altName w:val="Segoe Print"/>
    <w:panose1 w:val="020F0302020204030204"/>
    <w:charset w:val="00"/>
    <w:family w:val="swiss"/>
    <w:pitch w:val="default"/>
    <w:sig w:usb0="00000000" w:usb1="00000000" w:usb2="00000009" w:usb3="00000000" w:csb0="000001FF" w:csb1="00000000"/>
  </w:font>
  <w:font w:name="Segoe Print">
    <w:panose1 w:val="02000600000000000000"/>
    <w:charset w:val="00"/>
    <w:family w:val="auto"/>
    <w:pitch w:val="default"/>
    <w:sig w:usb0="0000028F" w:usb1="00000000" w:usb2="00000000" w:usb3="00000000" w:csb0="2000009F" w:csb1="47010000"/>
  </w:font>
  <w:font w:name="Microsoft JhengHei">
    <w:panose1 w:val="020B0604030504040204"/>
    <w:charset w:val="88"/>
    <w:family w:val="auto"/>
    <w:pitch w:val="default"/>
    <w:sig w:usb0="000002A7" w:usb1="28CF4400" w:usb2="00000016" w:usb3="00000000" w:csb0="00100009" w:csb1="00000000"/>
  </w:font>
  <w:font w:name="Arial Black">
    <w:panose1 w:val="020B0A04020102020204"/>
    <w:charset w:val="00"/>
    <w:family w:val="auto"/>
    <w:pitch w:val="default"/>
    <w:sig w:usb0="A00002AF" w:usb1="400078FB" w:usb2="00000000" w:usb3="00000000" w:csb0="6000009F" w:csb1="DFD70000"/>
  </w:font>
  <w:font w:name="Arial">
    <w:panose1 w:val="020B0604020202020204"/>
    <w:charset w:val="00"/>
    <w:family w:val="auto"/>
    <w:pitch w:val="default"/>
    <w:sig w:usb0="E0002EFF" w:usb1="C000785B" w:usb2="00000009" w:usb3="00000000" w:csb0="400001FF" w:csb1="FFFF0000"/>
  </w:font>
  <w:font w:name="MS Reference Specialty">
    <w:panose1 w:val="05000500000000000000"/>
    <w:charset w:val="00"/>
    <w:family w:val="auto"/>
    <w:pitch w:val="default"/>
    <w:sig w:usb0="00000000" w:usb1="00000000" w:usb2="00000000" w:usb3="00000000" w:csb0="80000000" w:csb1="00000000"/>
  </w:font>
  <w:font w:name="Javanese Text">
    <w:panose1 w:val="02000000000000000000"/>
    <w:charset w:val="00"/>
    <w:family w:val="auto"/>
    <w:pitch w:val="default"/>
    <w:sig w:usb0="80000003" w:usb1="00002000" w:usb2="00000000" w:usb3="00000000" w:csb0="00000001" w:csb1="00000000"/>
  </w:font>
  <w:font w:name="Gadugi">
    <w:panose1 w:val="020B0502040204020203"/>
    <w:charset w:val="00"/>
    <w:family w:val="auto"/>
    <w:pitch w:val="default"/>
    <w:sig w:usb0="80000003" w:usb1="02000000" w:usb2="00003000" w:usb3="00000000" w:csb0="00000001" w:csb1="00000000"/>
  </w:font>
  <w:font w:name="Bahnschrift SemiLight Condensed">
    <w:panose1 w:val="020B0502040204020203"/>
    <w:charset w:val="00"/>
    <w:family w:val="auto"/>
    <w:pitch w:val="default"/>
    <w:sig w:usb0="800002C7" w:usb1="00000002" w:usb2="00000000" w:usb3="00000000" w:csb0="2000019F" w:csb1="00000000"/>
  </w:font>
  <w:font w:name="Bookshelf Symbol 7">
    <w:panose1 w:val="05010101010101010101"/>
    <w:charset w:val="00"/>
    <w:family w:val="auto"/>
    <w:pitch w:val="default"/>
    <w:sig w:usb0="00000000" w:usb1="00000000" w:usb2="00000000" w:usb3="00000000" w:csb0="80000000" w:csb1="00000000"/>
  </w:font>
  <w:font w:name="Microsoft PhagsPa">
    <w:panose1 w:val="020B0502040204020203"/>
    <w:charset w:val="00"/>
    <w:family w:val="auto"/>
    <w:pitch w:val="default"/>
    <w:sig w:usb0="00000003" w:usb1="00200000" w:usb2="08000000" w:usb3="00000000" w:csb0="00000001" w:csb1="00000000"/>
  </w:font>
  <w:font w:name="Marlett">
    <w:panose1 w:val="00000000000000000000"/>
    <w:charset w:val="00"/>
    <w:family w:val="auto"/>
    <w:pitch w:val="default"/>
    <w:sig w:usb0="00000000" w:usb1="00000000" w:usb2="00000000" w:usb3="00000000" w:csb0="80000000" w:csb1="00000000"/>
  </w:font>
  <w:font w:name="Lucida Console">
    <w:panose1 w:val="020B0609040504020204"/>
    <w:charset w:val="00"/>
    <w:family w:val="auto"/>
    <w:pitch w:val="default"/>
    <w:sig w:usb0="8000028F" w:usb1="00001800" w:usb2="00000000" w:usb3="00000000" w:csb0="0000001F" w:csb1="D7D70000"/>
  </w:font>
  <w:font w:name="Leelawadee UI Semilight">
    <w:panose1 w:val="020B0402040204020203"/>
    <w:charset w:val="00"/>
    <w:family w:val="auto"/>
    <w:pitch w:val="default"/>
    <w:sig w:usb0="83000003" w:usb1="00000000" w:usb2="00010000" w:usb3="00000001" w:csb0="000101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fyKa93AIAACQGAAAOAAAAAAAAAAEAIAAAAB8BAABkcnMvZTJvRG9jLnhtbFBLBQYA&#10;AAAABgAGAFkBAABtBg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3A7487"/>
    <w:multiLevelType w:val="multilevel"/>
    <w:tmpl w:val="0A3A7487"/>
    <w:lvl w:ilvl="0" w:tentative="0">
      <w:start w:val="1"/>
      <w:numFmt w:val="bullet"/>
      <w:lvlText w:val=""/>
      <w:lvlJc w:val="left"/>
      <w:pPr>
        <w:ind w:left="720" w:hanging="360"/>
      </w:pPr>
      <w:rPr>
        <w:rFonts w:hint="default" w:ascii="Symbol" w:hAnsi="Symbol"/>
        <w:color w:val="000000"/>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0C1A60E2"/>
    <w:multiLevelType w:val="multilevel"/>
    <w:tmpl w:val="0C1A60E2"/>
    <w:lvl w:ilvl="0" w:tentative="0">
      <w:start w:val="1"/>
      <w:numFmt w:val="bullet"/>
      <w:lvlText w:val=""/>
      <w:lvlJc w:val="left"/>
      <w:pPr>
        <w:ind w:left="360" w:hanging="360"/>
      </w:pPr>
      <w:rPr>
        <w:rFonts w:hint="default" w:ascii="Symbol" w:hAnsi="Symbol"/>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2">
    <w:nsid w:val="0C461B00"/>
    <w:multiLevelType w:val="multilevel"/>
    <w:tmpl w:val="0C461B00"/>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3">
    <w:nsid w:val="21241044"/>
    <w:multiLevelType w:val="multilevel"/>
    <w:tmpl w:val="21241044"/>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4">
    <w:nsid w:val="2E202BFA"/>
    <w:multiLevelType w:val="multilevel"/>
    <w:tmpl w:val="2E202BFA"/>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5">
    <w:nsid w:val="2F307520"/>
    <w:multiLevelType w:val="multilevel"/>
    <w:tmpl w:val="2F307520"/>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6">
    <w:nsid w:val="34B66BAC"/>
    <w:multiLevelType w:val="multilevel"/>
    <w:tmpl w:val="34B66BAC"/>
    <w:lvl w:ilvl="0" w:tentative="0">
      <w:start w:val="1"/>
      <w:numFmt w:val="bullet"/>
      <w:lvlText w:val=""/>
      <w:lvlJc w:val="left"/>
      <w:pPr>
        <w:ind w:left="1440" w:hanging="360"/>
      </w:pPr>
      <w:rPr>
        <w:rFonts w:hint="default" w:ascii="Symbol" w:hAnsi="Symbol"/>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7">
    <w:nsid w:val="44553F8A"/>
    <w:multiLevelType w:val="multilevel"/>
    <w:tmpl w:val="44553F8A"/>
    <w:lvl w:ilvl="0" w:tentative="0">
      <w:start w:val="1"/>
      <w:numFmt w:val="bullet"/>
      <w:lvlText w:val=""/>
      <w:lvlJc w:val="left"/>
      <w:pPr>
        <w:ind w:left="1440" w:hanging="360"/>
      </w:pPr>
      <w:rPr>
        <w:rFonts w:hint="default" w:ascii="Symbol" w:hAnsi="Symbol"/>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8">
    <w:nsid w:val="506449C3"/>
    <w:multiLevelType w:val="multilevel"/>
    <w:tmpl w:val="506449C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9">
    <w:nsid w:val="5B98171E"/>
    <w:multiLevelType w:val="multilevel"/>
    <w:tmpl w:val="5B98171E"/>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0">
    <w:nsid w:val="67AC0ED3"/>
    <w:multiLevelType w:val="multilevel"/>
    <w:tmpl w:val="67AC0ED3"/>
    <w:lvl w:ilvl="0" w:tentative="0">
      <w:start w:val="1"/>
      <w:numFmt w:val="bullet"/>
      <w:lvlText w:val=""/>
      <w:lvlJc w:val="left"/>
      <w:pPr>
        <w:ind w:left="720" w:hanging="360"/>
      </w:pPr>
      <w:rPr>
        <w:rFonts w:hint="default" w:ascii="Symbol" w:hAnsi="Symbol"/>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10"/>
  </w:num>
  <w:num w:numId="2">
    <w:abstractNumId w:val="3"/>
  </w:num>
  <w:num w:numId="3">
    <w:abstractNumId w:val="4"/>
  </w:num>
  <w:num w:numId="4">
    <w:abstractNumId w:val="9"/>
  </w:num>
  <w:num w:numId="5">
    <w:abstractNumId w:val="2"/>
  </w:num>
  <w:num w:numId="6">
    <w:abstractNumId w:val="8"/>
  </w:num>
  <w:num w:numId="7">
    <w:abstractNumId w:val="5"/>
  </w:num>
  <w:num w:numId="8">
    <w:abstractNumId w:val="6"/>
  </w:num>
  <w:num w:numId="9">
    <w:abstractNumId w:val="7"/>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gyMTk2MzMzNmQxMjlkNjk0NDYzMDM4MDdhNDMxZmIifQ=="/>
  </w:docVars>
  <w:rsids>
    <w:rsidRoot w:val="64EF3015"/>
    <w:rsid w:val="64EF30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pPr>
    <w:rPr>
      <w:rFonts w:ascii="Times New Roman" w:hAnsi="Times New Roman" w:eastAsiaTheme="minorHAnsi" w:cstheme="minorBidi"/>
      <w:sz w:val="24"/>
      <w:szCs w:val="22"/>
      <w:lang w:val="en-IN" w:eastAsia="en-US" w:bidi="ar-SA"/>
    </w:rPr>
  </w:style>
  <w:style w:type="paragraph" w:styleId="2">
    <w:name w:val="heading 1"/>
    <w:basedOn w:val="1"/>
    <w:next w:val="1"/>
    <w:qFormat/>
    <w:uiPriority w:val="9"/>
    <w:pPr>
      <w:keepNext/>
      <w:keepLines/>
      <w:spacing w:before="240"/>
      <w:outlineLvl w:val="0"/>
    </w:pPr>
    <w:rPr>
      <w:rFonts w:eastAsiaTheme="majorEastAsia" w:cstheme="majorBidi"/>
      <w:b/>
      <w:color w:val="000000" w:themeColor="text1"/>
      <w:szCs w:val="32"/>
      <w14:textFill>
        <w14:solidFill>
          <w14:schemeClr w14:val="tx1"/>
        </w14:solidFill>
      </w14:textFill>
    </w:rPr>
  </w:style>
  <w:style w:type="paragraph" w:styleId="3">
    <w:name w:val="heading 2"/>
    <w:basedOn w:val="1"/>
    <w:next w:val="1"/>
    <w:unhideWhenUsed/>
    <w:qFormat/>
    <w:uiPriority w:val="9"/>
    <w:pPr>
      <w:keepNext/>
      <w:keepLines/>
      <w:spacing w:before="40" w:after="0"/>
      <w:outlineLvl w:val="1"/>
    </w:pPr>
    <w:rPr>
      <w:rFonts w:eastAsiaTheme="majorEastAsia" w:cstheme="majorBidi"/>
      <w:b/>
      <w:color w:val="000000" w:themeColor="text1"/>
      <w:szCs w:val="26"/>
      <w14:textFill>
        <w14:solidFill>
          <w14:schemeClr w14:val="tx1"/>
        </w14:solidFill>
      </w14:textFill>
    </w:rPr>
  </w:style>
  <w:style w:type="paragraph" w:styleId="4">
    <w:name w:val="heading 3"/>
    <w:basedOn w:val="1"/>
    <w:next w:val="1"/>
    <w:unhideWhenUsed/>
    <w:qFormat/>
    <w:uiPriority w:val="9"/>
    <w:pPr>
      <w:keepNext/>
      <w:keepLines/>
      <w:spacing w:after="0"/>
      <w:ind w:firstLine="360"/>
      <w:outlineLvl w:val="2"/>
    </w:pPr>
    <w:rPr>
      <w:rFonts w:eastAsiaTheme="majorEastAsia" w:cstheme="majorBidi"/>
      <w:b/>
      <w:color w:val="000000" w:themeColor="text1"/>
      <w:szCs w:val="24"/>
      <w14:textFill>
        <w14:solidFill>
          <w14:schemeClr w14:val="tx1"/>
        </w14:solidFill>
      </w14:textFill>
    </w:rPr>
  </w:style>
  <w:style w:type="character" w:default="1" w:styleId="12">
    <w:name w:val="Default Paragraph Font"/>
    <w:semiHidden/>
    <w:uiPriority w:val="0"/>
  </w:style>
  <w:style w:type="table" w:default="1" w:styleId="11">
    <w:name w:val="Normal Table"/>
    <w:semiHidden/>
    <w:uiPriority w:val="0"/>
    <w:tblPr>
      <w:tblCellMar>
        <w:top w:w="0" w:type="dxa"/>
        <w:left w:w="108" w:type="dxa"/>
        <w:bottom w:w="0" w:type="dxa"/>
        <w:right w:w="108" w:type="dxa"/>
      </w:tblCellMar>
    </w:tblPr>
  </w:style>
  <w:style w:type="paragraph" w:styleId="5">
    <w:name w:val="toc 3"/>
    <w:basedOn w:val="1"/>
    <w:next w:val="1"/>
    <w:unhideWhenUsed/>
    <w:qFormat/>
    <w:uiPriority w:val="39"/>
    <w:pPr>
      <w:spacing w:after="100"/>
      <w:ind w:left="48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40"/>
    </w:pPr>
  </w:style>
  <w:style w:type="paragraph" w:styleId="10">
    <w:name w:val="Normal (Web)"/>
    <w:basedOn w:val="1"/>
    <w:unhideWhenUsed/>
    <w:qFormat/>
    <w:uiPriority w:val="99"/>
    <w:pPr>
      <w:spacing w:before="100" w:beforeAutospacing="1" w:after="100" w:afterAutospacing="1" w:line="240" w:lineRule="auto"/>
    </w:pPr>
    <w:rPr>
      <w:rFonts w:eastAsia="Times New Roman" w:cs="Times New Roman"/>
      <w:szCs w:val="24"/>
      <w:lang w:eastAsia="en-IN"/>
    </w:rPr>
  </w:style>
  <w:style w:type="character" w:styleId="13">
    <w:name w:val="Hyperlink"/>
    <w:basedOn w:val="12"/>
    <w:unhideWhenUsed/>
    <w:qFormat/>
    <w:uiPriority w:val="99"/>
    <w:rPr>
      <w:color w:val="0563C1" w:themeColor="hyperlink"/>
      <w:u w:val="single"/>
      <w14:textFill>
        <w14:solidFill>
          <w14:schemeClr w14:val="hlink"/>
        </w14:solidFill>
      </w14:textFill>
    </w:rPr>
  </w:style>
  <w:style w:type="paragraph" w:customStyle="1" w:styleId="14">
    <w:name w:val="TOC Heading"/>
    <w:basedOn w:val="2"/>
    <w:next w:val="1"/>
    <w:unhideWhenUsed/>
    <w:qFormat/>
    <w:uiPriority w:val="39"/>
    <w:pPr>
      <w:spacing w:after="0" w:line="259" w:lineRule="auto"/>
      <w:outlineLvl w:val="9"/>
    </w:pPr>
    <w:rPr>
      <w:rFonts w:asciiTheme="majorHAnsi" w:hAnsiTheme="majorHAnsi"/>
      <w:b w:val="0"/>
      <w:color w:val="2E75B6" w:themeColor="accent1" w:themeShade="BF"/>
      <w:sz w:val="32"/>
      <w:lang w:val="en-US"/>
    </w:rPr>
  </w:style>
  <w:style w:type="paragraph" w:styleId="15">
    <w:name w:val="List Paragraph"/>
    <w:basedOn w:val="1"/>
    <w:qFormat/>
    <w:uiPriority w:val="34"/>
    <w:pPr>
      <w:ind w:left="720"/>
      <w:contextualSpacing/>
    </w:pPr>
  </w:style>
  <w:style w:type="table" w:customStyle="1" w:styleId="16">
    <w:name w:val="Grid Table 1 Light Accent 5"/>
    <w:basedOn w:val="11"/>
    <w:qFormat/>
    <w:uiPriority w:val="46"/>
    <w:pPr>
      <w:spacing w:after="0" w:line="240" w:lineRule="auto"/>
    </w:pPr>
    <w:tblPr>
      <w:tblBorders>
        <w:top w:val="single" w:color="B4C6E7" w:themeColor="accent5" w:themeTint="66" w:sz="4" w:space="0"/>
        <w:left w:val="single" w:color="B4C6E7" w:themeColor="accent5" w:themeTint="66" w:sz="4" w:space="0"/>
        <w:bottom w:val="single" w:color="B4C6E7" w:themeColor="accent5" w:themeTint="66" w:sz="4" w:space="0"/>
        <w:right w:val="single" w:color="B4C6E7" w:themeColor="accent5" w:themeTint="66" w:sz="4" w:space="0"/>
        <w:insideH w:val="single" w:color="B4C6E7" w:themeColor="accent5" w:themeTint="66" w:sz="4" w:space="0"/>
        <w:insideV w:val="single" w:color="B4C6E7" w:themeColor="accent5" w:themeTint="66" w:sz="4" w:space="0"/>
      </w:tblBorders>
    </w:tblPr>
    <w:tblStylePr w:type="firstRow">
      <w:rPr>
        <w:b/>
        <w:bCs/>
      </w:rPr>
      <w:tcPr>
        <w:tcBorders>
          <w:bottom w:val="single" w:color="8EAADB" w:themeColor="accent5" w:themeTint="99" w:sz="12" w:space="0"/>
        </w:tcBorders>
      </w:tcPr>
    </w:tblStylePr>
    <w:tblStylePr w:type="lastRow">
      <w:rPr>
        <w:b/>
        <w:bCs/>
      </w:rPr>
      <w:tcPr>
        <w:tcBorders>
          <w:top w:val="double" w:color="8EAADB" w:themeColor="accent5" w:themeTint="99" w:sz="2" w:space="0"/>
        </w:tcBorders>
      </w:tcPr>
    </w:tblStylePr>
    <w:tblStylePr w:type="firstCol">
      <w:rPr>
        <w:b/>
        <w:bCs/>
      </w:rPr>
    </w:tblStylePr>
    <w:tblStylePr w:type="lastCol">
      <w:rPr>
        <w:b/>
        <w:bCs/>
      </w:rPr>
    </w:tblStylePr>
  </w:style>
  <w:style w:type="table" w:customStyle="1" w:styleId="17">
    <w:name w:val="Grid Table 1 Light Accent 1"/>
    <w:basedOn w:val="11"/>
    <w:qFormat/>
    <w:uiPriority w:val="46"/>
    <w:pPr>
      <w:spacing w:after="0" w:line="240" w:lineRule="auto"/>
    </w:pPr>
    <w:tblPr>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Pr>
    <w:tblStylePr w:type="firstRow">
      <w:rPr>
        <w:b/>
        <w:bCs/>
      </w:rPr>
      <w:tcPr>
        <w:tcBorders>
          <w:bottom w:val="single" w:color="9CC2E5" w:themeColor="accent1" w:themeTint="99" w:sz="12" w:space="0"/>
        </w:tcBorders>
      </w:tcPr>
    </w:tblStylePr>
    <w:tblStylePr w:type="lastRow">
      <w:rPr>
        <w:b/>
        <w:bCs/>
      </w:rPr>
      <w:tcPr>
        <w:tcBorders>
          <w:top w:val="double" w:color="9CC2E5" w:themeColor="accent1" w:themeTint="99" w:sz="2" w:space="0"/>
        </w:tcBorders>
      </w:tcPr>
    </w:tblStylePr>
    <w:tblStylePr w:type="firstCol">
      <w:rPr>
        <w:b/>
        <w:bCs/>
      </w:rPr>
    </w:tblStylePr>
    <w:tblStylePr w:type="lastCol">
      <w:rPr>
        <w:b/>
        <w:bCs/>
      </w:rPr>
    </w:tblStylePr>
  </w:style>
  <w:style w:type="table" w:customStyle="1" w:styleId="18">
    <w:name w:val="Plain Table 3"/>
    <w:basedOn w:val="11"/>
    <w:qFormat/>
    <w:uiPriority w:val="43"/>
    <w:pPr>
      <w:spacing w:after="0" w:line="240" w:lineRule="auto"/>
    </w:pPr>
    <w:tblStylePr w:type="firstRow">
      <w:rPr>
        <w:b/>
        <w:bCs/>
        <w:caps/>
      </w:rPr>
      <w:tcPr>
        <w:tcBorders>
          <w:bottom w:val="single" w:color="7E7E7E" w:themeColor="text1" w:themeTint="80" w:sz="4" w:space="0"/>
        </w:tcBorders>
      </w:tcPr>
    </w:tblStylePr>
    <w:tblStylePr w:type="lastRow">
      <w:rPr>
        <w:b/>
        <w:bCs/>
        <w:caps/>
      </w:rPr>
      <w:tcPr>
        <w:tcBorders>
          <w:top w:val="nil"/>
        </w:tcBorders>
      </w:tcPr>
    </w:tblStylePr>
    <w:tblStylePr w:type="firstCol">
      <w:rPr>
        <w:b/>
        <w:bCs/>
        <w:caps/>
      </w:rPr>
      <w:tcPr>
        <w:tcBorders>
          <w:right w:val="single" w:color="7E7E7E" w:themeColor="text1" w:themeTint="80" w:sz="4" w:space="0"/>
        </w:tcBorders>
      </w:tcPr>
    </w:tblStylePr>
    <w:tblStylePr w:type="lastCol">
      <w:rPr>
        <w:b/>
        <w:bCs/>
        <w:caps/>
      </w:rPr>
      <w:tcPr>
        <w:tcBorders>
          <w:left w:val="nil"/>
        </w:tcBorders>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style>
  <w:style w:type="table" w:customStyle="1" w:styleId="19">
    <w:name w:val="Plain Table 5"/>
    <w:basedOn w:val="11"/>
    <w:qFormat/>
    <w:uiPriority w:val="45"/>
    <w:pPr>
      <w:spacing w:after="0" w:line="240" w:lineRule="auto"/>
    </w:pPr>
    <w:tblStylePr w:type="firstRow">
      <w:rPr>
        <w:rFonts w:asciiTheme="majorHAnsi" w:hAnsiTheme="majorHAnsi" w:eastAsiaTheme="majorEastAsia" w:cstheme="majorBidi"/>
        <w:i/>
        <w:iCs/>
        <w:sz w:val="26"/>
      </w:rPr>
      <w:tcPr>
        <w:tcBorders>
          <w:bottom w:val="single" w:color="7E7E7E"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cPr>
        <w:tcBorders>
          <w:top w:val="single" w:color="7E7E7E"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cPr>
        <w:tcBorders>
          <w:right w:val="single" w:color="7E7E7E"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cPr>
        <w:tcBorders>
          <w:left w:val="single" w:color="7E7E7E" w:themeColor="text1" w:themeTint="80" w:sz="4" w:space="0"/>
        </w:tcBorders>
        <w:shd w:val="clear" w:color="auto" w:fill="FFFFFF" w:themeFill="background1"/>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tblStylePr w:type="seCell">
      <w:tcPr>
        <w:tcBorders>
          <w:left w:val="nil"/>
        </w:tcBorders>
      </w:tcPr>
    </w:tblStylePr>
    <w:tblStylePr w:type="swCell">
      <w:tcPr>
        <w:tcBorders>
          <w:right w:val="nil"/>
        </w:tcBorders>
      </w:tcPr>
    </w:tblStylePr>
  </w:style>
  <w:style w:type="table" w:customStyle="1" w:styleId="20">
    <w:name w:val="Grid Table 5 Dark Accent 5"/>
    <w:basedOn w:val="11"/>
    <w:qFormat/>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E2F3" w:themeFill="accent5"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472C4" w:themeFill="accent5"/>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472C4" w:themeFill="accent5"/>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4472C4" w:themeFill="accent5"/>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472C4" w:themeFill="accent5"/>
      </w:tcPr>
    </w:tblStylePr>
    <w:tblStylePr w:type="band1Vert">
      <w:tcPr>
        <w:shd w:val="clear" w:color="auto" w:fill="B4C6E7" w:themeFill="accent5" w:themeFillTint="66"/>
      </w:tcPr>
    </w:tblStylePr>
    <w:tblStylePr w:type="band1Horz">
      <w:tcPr>
        <w:shd w:val="clear" w:color="auto" w:fill="B4C6E7" w:themeFill="accent5" w:themeFillTint="66"/>
      </w:tcPr>
    </w:tblStylePr>
  </w:style>
</w:styles>
</file>

<file path=word/_rels/document.xml.rels><?xml version="1.0" encoding="UTF-8" standalone="yes"?>
<Relationships xmlns="http://schemas.openxmlformats.org/package/2006/relationships"><Relationship Id="rId9" Type="http://schemas.openxmlformats.org/officeDocument/2006/relationships/diagramQuickStyle" Target="diagrams/quickStyle1.xml"/><Relationship Id="rId8" Type="http://schemas.openxmlformats.org/officeDocument/2006/relationships/diagramLayout" Target="diagrams/layout1.xml"/><Relationship Id="rId7" Type="http://schemas.openxmlformats.org/officeDocument/2006/relationships/diagramData" Target="diagrams/data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4" Type="http://schemas.openxmlformats.org/officeDocument/2006/relationships/fontTable" Target="fontTable.xml"/><Relationship Id="rId23" Type="http://schemas.openxmlformats.org/officeDocument/2006/relationships/numbering" Target="numbering.xml"/><Relationship Id="rId22" Type="http://schemas.openxmlformats.org/officeDocument/2006/relationships/customXml" Target="../customXml/item1.xml"/><Relationship Id="rId21" Type="http://schemas.microsoft.com/office/2007/relationships/diagramDrawing" Target="diagrams/drawing3.xml"/><Relationship Id="rId20" Type="http://schemas.openxmlformats.org/officeDocument/2006/relationships/diagramColors" Target="diagrams/colors3.xml"/><Relationship Id="rId2" Type="http://schemas.openxmlformats.org/officeDocument/2006/relationships/settings" Target="settings.xml"/><Relationship Id="rId19" Type="http://schemas.openxmlformats.org/officeDocument/2006/relationships/diagramQuickStyle" Target="diagrams/quickStyle3.xml"/><Relationship Id="rId18" Type="http://schemas.openxmlformats.org/officeDocument/2006/relationships/diagramLayout" Target="diagrams/layout3.xml"/><Relationship Id="rId17" Type="http://schemas.openxmlformats.org/officeDocument/2006/relationships/diagramData" Target="diagrams/data3.xml"/><Relationship Id="rId16" Type="http://schemas.microsoft.com/office/2007/relationships/diagramDrawing" Target="diagrams/drawing2.xml"/><Relationship Id="rId15" Type="http://schemas.openxmlformats.org/officeDocument/2006/relationships/diagramColors" Target="diagrams/colors2.xml"/><Relationship Id="rId14" Type="http://schemas.openxmlformats.org/officeDocument/2006/relationships/diagramQuickStyle" Target="diagrams/quickStyle2.xml"/><Relationship Id="rId13" Type="http://schemas.openxmlformats.org/officeDocument/2006/relationships/diagramLayout" Target="diagrams/layout2.xml"/><Relationship Id="rId12" Type="http://schemas.openxmlformats.org/officeDocument/2006/relationships/diagramData" Target="diagrams/data2.xml"/><Relationship Id="rId11" Type="http://schemas.microsoft.com/office/2007/relationships/diagramDrawing" Target="diagrams/drawing1.xml"/><Relationship Id="rId10" Type="http://schemas.openxmlformats.org/officeDocument/2006/relationships/diagramColors" Target="diagrams/colors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9239682C-5181-495E-B759-47B160012D57}" type="doc">
      <dgm:prSet loTypeId="urn:microsoft.com/office/officeart/2005/8/layout/default" loCatId="list" qsTypeId="urn:microsoft.com/office/officeart/2005/8/quickstyle/simple1" qsCatId="simple" csTypeId="urn:microsoft.com/office/officeart/2005/8/colors/accent1_2" csCatId="accent1" phldr="1"/>
      <dgm:spPr/>
      <dgm:t>
        <a:bodyPr/>
        <a:p>
          <a:endParaRPr lang="en-US"/>
        </a:p>
      </dgm:t>
    </dgm:pt>
    <dgm:pt modelId="{450B7407-4DC4-4033-9D29-047445A23FF7}">
      <dgm:prSet phldrT="[Text]"/>
      <dgm:spPr/>
      <dgm:t>
        <a:bodyPr/>
        <a:p>
          <a:r>
            <a:rPr lang="en-IN"/>
            <a:t>Lack of economic resources for development.</a:t>
          </a:r>
          <a:endParaRPr lang="en-US"/>
        </a:p>
      </dgm:t>
    </dgm:pt>
    <dgm:pt modelId="{E39C756F-22B5-4C59-8C85-90BA09A174E0}" cxnId="{52AC081F-23DF-43CC-8436-4C57B6DF7ABC}" type="parTrans">
      <dgm:prSet/>
      <dgm:spPr/>
      <dgm:t>
        <a:bodyPr/>
        <a:p>
          <a:endParaRPr lang="en-US"/>
        </a:p>
      </dgm:t>
    </dgm:pt>
    <dgm:pt modelId="{BE81A053-1852-429F-849B-07C998EF9741}" cxnId="{52AC081F-23DF-43CC-8436-4C57B6DF7ABC}" type="sibTrans">
      <dgm:prSet/>
      <dgm:spPr/>
      <dgm:t>
        <a:bodyPr/>
        <a:p>
          <a:endParaRPr lang="en-US"/>
        </a:p>
      </dgm:t>
    </dgm:pt>
    <dgm:pt modelId="{9F540010-0264-48B0-B9B4-B7A22EC006CC}">
      <dgm:prSet/>
      <dgm:spPr/>
      <dgm:t>
        <a:bodyPr/>
        <a:p>
          <a:r>
            <a:rPr lang="en-IN"/>
            <a:t>Lack of technological equipment.</a:t>
          </a:r>
          <a:endParaRPr lang="en-US"/>
        </a:p>
      </dgm:t>
    </dgm:pt>
    <dgm:pt modelId="{30AB1D55-5289-468C-B7C9-9B72D2542D22}" cxnId="{750C260F-4723-4A40-93F5-BFFDF4FB947A}" type="parTrans">
      <dgm:prSet/>
      <dgm:spPr/>
      <dgm:t>
        <a:bodyPr/>
        <a:p>
          <a:endParaRPr lang="en-US"/>
        </a:p>
      </dgm:t>
    </dgm:pt>
    <dgm:pt modelId="{A36EDE8E-3498-4875-B341-45B3614DB638}" cxnId="{750C260F-4723-4A40-93F5-BFFDF4FB947A}" type="sibTrans">
      <dgm:prSet/>
      <dgm:spPr/>
      <dgm:t>
        <a:bodyPr/>
        <a:p>
          <a:endParaRPr lang="en-US"/>
        </a:p>
      </dgm:t>
    </dgm:pt>
    <dgm:pt modelId="{2D42C4F3-FCB8-483E-8809-F360A67EBB43}">
      <dgm:prSet/>
      <dgm:spPr/>
      <dgm:t>
        <a:bodyPr/>
        <a:p>
          <a:r>
            <a:rPr lang="en-IN"/>
            <a:t>Expensive staff training sessions.</a:t>
          </a:r>
          <a:endParaRPr lang="en-US"/>
        </a:p>
      </dgm:t>
    </dgm:pt>
    <dgm:pt modelId="{72D33FE0-5E35-4EA5-8623-2BCD4B3DCD1F}" cxnId="{0BF76895-101D-495F-BE5C-77E563BCA29E}" type="parTrans">
      <dgm:prSet/>
      <dgm:spPr/>
      <dgm:t>
        <a:bodyPr/>
        <a:p>
          <a:endParaRPr lang="en-US"/>
        </a:p>
      </dgm:t>
    </dgm:pt>
    <dgm:pt modelId="{DF97CFB9-42BC-47A8-B84A-12F4F58A60E2}" cxnId="{0BF76895-101D-495F-BE5C-77E563BCA29E}" type="sibTrans">
      <dgm:prSet/>
      <dgm:spPr/>
      <dgm:t>
        <a:bodyPr/>
        <a:p>
          <a:endParaRPr lang="en-US"/>
        </a:p>
      </dgm:t>
    </dgm:pt>
    <dgm:pt modelId="{61857F90-4247-4465-AF9B-00FA17F31E2F}">
      <dgm:prSet/>
      <dgm:spPr/>
      <dgm:t>
        <a:bodyPr/>
        <a:p>
          <a:r>
            <a:rPr lang="en-IN"/>
            <a:t>Increasing health consciousness which has led to decrease in fast food sales.</a:t>
          </a:r>
          <a:endParaRPr lang="en-US"/>
        </a:p>
      </dgm:t>
    </dgm:pt>
    <dgm:pt modelId="{0C85F247-69AE-4079-A808-C30D10B17328}" cxnId="{C9D74625-75FD-4C03-A8A7-C32AE627CF35}" type="parTrans">
      <dgm:prSet/>
      <dgm:spPr/>
      <dgm:t>
        <a:bodyPr/>
        <a:p>
          <a:endParaRPr lang="en-US"/>
        </a:p>
      </dgm:t>
    </dgm:pt>
    <dgm:pt modelId="{FA1FCC0F-D5B4-40EB-AA44-1D31A35074DD}" cxnId="{C9D74625-75FD-4C03-A8A7-C32AE627CF35}" type="sibTrans">
      <dgm:prSet/>
      <dgm:spPr/>
      <dgm:t>
        <a:bodyPr/>
        <a:p>
          <a:endParaRPr lang="en-US"/>
        </a:p>
      </dgm:t>
    </dgm:pt>
    <dgm:pt modelId="{60DBAF1F-1ACB-4931-A8E0-C74AD52A491E}">
      <dgm:prSet/>
      <dgm:spPr/>
      <dgm:t>
        <a:bodyPr/>
        <a:p>
          <a:r>
            <a:rPr lang="en-IN"/>
            <a:t>Declining consumer loyalty towards brands. </a:t>
          </a:r>
          <a:endParaRPr lang="en-US"/>
        </a:p>
      </dgm:t>
    </dgm:pt>
    <dgm:pt modelId="{F87B692B-7D0E-4766-8C0A-8DBAB08994D3}" cxnId="{8CA81634-2135-4A8B-BC9C-0C05AFAC9FF3}" type="parTrans">
      <dgm:prSet/>
      <dgm:spPr/>
      <dgm:t>
        <a:bodyPr/>
        <a:p>
          <a:endParaRPr lang="en-US"/>
        </a:p>
      </dgm:t>
    </dgm:pt>
    <dgm:pt modelId="{A6D6BA2E-4A39-4F0D-B722-530AD93181E9}" cxnId="{8CA81634-2135-4A8B-BC9C-0C05AFAC9FF3}" type="sibTrans">
      <dgm:prSet/>
      <dgm:spPr/>
      <dgm:t>
        <a:bodyPr/>
        <a:p>
          <a:endParaRPr lang="en-US"/>
        </a:p>
      </dgm:t>
    </dgm:pt>
    <dgm:pt modelId="{CE830837-0501-4F0E-8653-8BE97B5DDCD0}" type="pres">
      <dgm:prSet presAssocID="{9239682C-5181-495E-B759-47B160012D57}" presName="diagram" presStyleCnt="0">
        <dgm:presLayoutVars>
          <dgm:dir/>
          <dgm:resizeHandles val="exact"/>
        </dgm:presLayoutVars>
      </dgm:prSet>
      <dgm:spPr/>
    </dgm:pt>
    <dgm:pt modelId="{94C7490C-4D81-403A-B942-06DD8E924B4C}" type="pres">
      <dgm:prSet presAssocID="{450B7407-4DC4-4033-9D29-047445A23FF7}" presName="node" presStyleLbl="node1" presStyleIdx="0" presStyleCnt="5">
        <dgm:presLayoutVars>
          <dgm:bulletEnabled val="1"/>
        </dgm:presLayoutVars>
      </dgm:prSet>
      <dgm:spPr/>
    </dgm:pt>
    <dgm:pt modelId="{4AB7C886-C473-464D-B22E-0C6172BE94B2}" type="pres">
      <dgm:prSet presAssocID="{BE81A053-1852-429F-849B-07C998EF9741}" presName="sibTrans" presStyleCnt="0"/>
      <dgm:spPr/>
    </dgm:pt>
    <dgm:pt modelId="{40B81D02-C646-4DCA-B0E1-E21C71C33A28}" type="pres">
      <dgm:prSet presAssocID="{9F540010-0264-48B0-B9B4-B7A22EC006CC}" presName="node" presStyleLbl="node1" presStyleIdx="1" presStyleCnt="5">
        <dgm:presLayoutVars>
          <dgm:bulletEnabled val="1"/>
        </dgm:presLayoutVars>
      </dgm:prSet>
      <dgm:spPr/>
    </dgm:pt>
    <dgm:pt modelId="{B48FDF42-327C-4081-BA10-E25AD7A75C9E}" type="pres">
      <dgm:prSet presAssocID="{A36EDE8E-3498-4875-B341-45B3614DB638}" presName="sibTrans" presStyleCnt="0"/>
      <dgm:spPr/>
    </dgm:pt>
    <dgm:pt modelId="{9A966B98-494B-4C60-B874-6DA9174DDDFA}" type="pres">
      <dgm:prSet presAssocID="{2D42C4F3-FCB8-483E-8809-F360A67EBB43}" presName="node" presStyleLbl="node1" presStyleIdx="2" presStyleCnt="5">
        <dgm:presLayoutVars>
          <dgm:bulletEnabled val="1"/>
        </dgm:presLayoutVars>
      </dgm:prSet>
      <dgm:spPr/>
    </dgm:pt>
    <dgm:pt modelId="{D8E94203-8241-4BFB-B759-34A59C074FB2}" type="pres">
      <dgm:prSet presAssocID="{DF97CFB9-42BC-47A8-B84A-12F4F58A60E2}" presName="sibTrans" presStyleCnt="0"/>
      <dgm:spPr/>
    </dgm:pt>
    <dgm:pt modelId="{A95F55E7-1909-4F8F-8580-A189B862F383}" type="pres">
      <dgm:prSet presAssocID="{61857F90-4247-4465-AF9B-00FA17F31E2F}" presName="node" presStyleLbl="node1" presStyleIdx="3" presStyleCnt="5">
        <dgm:presLayoutVars>
          <dgm:bulletEnabled val="1"/>
        </dgm:presLayoutVars>
      </dgm:prSet>
      <dgm:spPr/>
    </dgm:pt>
    <dgm:pt modelId="{014DD068-CAF9-413A-A26C-04C3070472A3}" type="pres">
      <dgm:prSet presAssocID="{FA1FCC0F-D5B4-40EB-AA44-1D31A35074DD}" presName="sibTrans" presStyleCnt="0"/>
      <dgm:spPr/>
    </dgm:pt>
    <dgm:pt modelId="{F3281BCA-440C-4763-918B-F65D44FAFE53}" type="pres">
      <dgm:prSet presAssocID="{60DBAF1F-1ACB-4931-A8E0-C74AD52A491E}" presName="node" presStyleLbl="node1" presStyleIdx="4" presStyleCnt="5">
        <dgm:presLayoutVars>
          <dgm:bulletEnabled val="1"/>
        </dgm:presLayoutVars>
      </dgm:prSet>
      <dgm:spPr/>
    </dgm:pt>
  </dgm:ptLst>
  <dgm:cxnLst>
    <dgm:cxn modelId="{750C260F-4723-4A40-93F5-BFFDF4FB947A}" srcId="{9239682C-5181-495E-B759-47B160012D57}" destId="{9F540010-0264-48B0-B9B4-B7A22EC006CC}" srcOrd="1" destOrd="0" parTransId="{30AB1D55-5289-468C-B7C9-9B72D2542D22}" sibTransId="{A36EDE8E-3498-4875-B341-45B3614DB638}"/>
    <dgm:cxn modelId="{68C8F013-0F0C-4D86-8948-D4BCF7010E3D}" type="presOf" srcId="{9239682C-5181-495E-B759-47B160012D57}" destId="{CE830837-0501-4F0E-8653-8BE97B5DDCD0}" srcOrd="0" destOrd="0" presId="urn:microsoft.com/office/officeart/2005/8/layout/default"/>
    <dgm:cxn modelId="{3170E017-B3E8-4099-8E1D-FFBCB4AACCCF}" type="presOf" srcId="{60DBAF1F-1ACB-4931-A8E0-C74AD52A491E}" destId="{F3281BCA-440C-4763-918B-F65D44FAFE53}" srcOrd="0" destOrd="0" presId="urn:microsoft.com/office/officeart/2005/8/layout/default"/>
    <dgm:cxn modelId="{1FE9FE18-B28C-4C23-84A2-C1266C2F461B}" type="presOf" srcId="{9F540010-0264-48B0-B9B4-B7A22EC006CC}" destId="{40B81D02-C646-4DCA-B0E1-E21C71C33A28}" srcOrd="0" destOrd="0" presId="urn:microsoft.com/office/officeart/2005/8/layout/default"/>
    <dgm:cxn modelId="{52AC081F-23DF-43CC-8436-4C57B6DF7ABC}" srcId="{9239682C-5181-495E-B759-47B160012D57}" destId="{450B7407-4DC4-4033-9D29-047445A23FF7}" srcOrd="0" destOrd="0" parTransId="{E39C756F-22B5-4C59-8C85-90BA09A174E0}" sibTransId="{BE81A053-1852-429F-849B-07C998EF9741}"/>
    <dgm:cxn modelId="{C9D74625-75FD-4C03-A8A7-C32AE627CF35}" srcId="{9239682C-5181-495E-B759-47B160012D57}" destId="{61857F90-4247-4465-AF9B-00FA17F31E2F}" srcOrd="3" destOrd="0" parTransId="{0C85F247-69AE-4079-A808-C30D10B17328}" sibTransId="{FA1FCC0F-D5B4-40EB-AA44-1D31A35074DD}"/>
    <dgm:cxn modelId="{8CA81634-2135-4A8B-BC9C-0C05AFAC9FF3}" srcId="{9239682C-5181-495E-B759-47B160012D57}" destId="{60DBAF1F-1ACB-4931-A8E0-C74AD52A491E}" srcOrd="4" destOrd="0" parTransId="{F87B692B-7D0E-4766-8C0A-8DBAB08994D3}" sibTransId="{A6D6BA2E-4A39-4F0D-B722-530AD93181E9}"/>
    <dgm:cxn modelId="{D005C443-A995-425D-B6BA-FC2F25F76E1D}" type="presOf" srcId="{2D42C4F3-FCB8-483E-8809-F360A67EBB43}" destId="{9A966B98-494B-4C60-B874-6DA9174DDDFA}" srcOrd="0" destOrd="0" presId="urn:microsoft.com/office/officeart/2005/8/layout/default"/>
    <dgm:cxn modelId="{AD7B3982-3B88-45B4-AEAA-542A449F7891}" type="presOf" srcId="{450B7407-4DC4-4033-9D29-047445A23FF7}" destId="{94C7490C-4D81-403A-B942-06DD8E924B4C}" srcOrd="0" destOrd="0" presId="urn:microsoft.com/office/officeart/2005/8/layout/default"/>
    <dgm:cxn modelId="{0BF76895-101D-495F-BE5C-77E563BCA29E}" srcId="{9239682C-5181-495E-B759-47B160012D57}" destId="{2D42C4F3-FCB8-483E-8809-F360A67EBB43}" srcOrd="2" destOrd="0" parTransId="{72D33FE0-5E35-4EA5-8623-2BCD4B3DCD1F}" sibTransId="{DF97CFB9-42BC-47A8-B84A-12F4F58A60E2}"/>
    <dgm:cxn modelId="{C3B4A1A3-83DF-44B3-8F1F-6A98D07A8BE1}" type="presOf" srcId="{61857F90-4247-4465-AF9B-00FA17F31E2F}" destId="{A95F55E7-1909-4F8F-8580-A189B862F383}" srcOrd="0" destOrd="0" presId="urn:microsoft.com/office/officeart/2005/8/layout/default"/>
    <dgm:cxn modelId="{F457A397-90DD-4203-B79A-58932AF8400E}" type="presParOf" srcId="{CE830837-0501-4F0E-8653-8BE97B5DDCD0}" destId="{94C7490C-4D81-403A-B942-06DD8E924B4C}" srcOrd="0" destOrd="0" presId="urn:microsoft.com/office/officeart/2005/8/layout/default"/>
    <dgm:cxn modelId="{2F06E21D-DA09-487F-8BCD-ADC9B43BA1E2}" type="presParOf" srcId="{CE830837-0501-4F0E-8653-8BE97B5DDCD0}" destId="{4AB7C886-C473-464D-B22E-0C6172BE94B2}" srcOrd="1" destOrd="0" presId="urn:microsoft.com/office/officeart/2005/8/layout/default"/>
    <dgm:cxn modelId="{9A3EC0D4-FD50-4F8D-854A-9352D75ECEC4}" type="presParOf" srcId="{CE830837-0501-4F0E-8653-8BE97B5DDCD0}" destId="{40B81D02-C646-4DCA-B0E1-E21C71C33A28}" srcOrd="2" destOrd="0" presId="urn:microsoft.com/office/officeart/2005/8/layout/default"/>
    <dgm:cxn modelId="{CB0FF8F4-7678-49DA-93F9-70D828BF1920}" type="presParOf" srcId="{CE830837-0501-4F0E-8653-8BE97B5DDCD0}" destId="{B48FDF42-327C-4081-BA10-E25AD7A75C9E}" srcOrd="3" destOrd="0" presId="urn:microsoft.com/office/officeart/2005/8/layout/default"/>
    <dgm:cxn modelId="{48A985ED-920C-4024-B6C6-848535A02127}" type="presParOf" srcId="{CE830837-0501-4F0E-8653-8BE97B5DDCD0}" destId="{9A966B98-494B-4C60-B874-6DA9174DDDFA}" srcOrd="4" destOrd="0" presId="urn:microsoft.com/office/officeart/2005/8/layout/default"/>
    <dgm:cxn modelId="{9D1542B6-37D4-4FC6-BFCD-A32DF7290F14}" type="presParOf" srcId="{CE830837-0501-4F0E-8653-8BE97B5DDCD0}" destId="{D8E94203-8241-4BFB-B759-34A59C074FB2}" srcOrd="5" destOrd="0" presId="urn:microsoft.com/office/officeart/2005/8/layout/default"/>
    <dgm:cxn modelId="{970CCC7D-9D4E-466E-9820-07F10CC2F8C4}" type="presParOf" srcId="{CE830837-0501-4F0E-8653-8BE97B5DDCD0}" destId="{A95F55E7-1909-4F8F-8580-A189B862F383}" srcOrd="6" destOrd="0" presId="urn:microsoft.com/office/officeart/2005/8/layout/default"/>
    <dgm:cxn modelId="{F2212495-60C9-411F-A174-ACF69185CF9E}" type="presParOf" srcId="{CE830837-0501-4F0E-8653-8BE97B5DDCD0}" destId="{014DD068-CAF9-413A-A26C-04C3070472A3}" srcOrd="7" destOrd="0" presId="urn:microsoft.com/office/officeart/2005/8/layout/default"/>
    <dgm:cxn modelId="{24CCD69D-9438-40A4-9636-A077C5FFF397}" type="presParOf" srcId="{CE830837-0501-4F0E-8653-8BE97B5DDCD0}" destId="{F3281BCA-440C-4763-918B-F65D44FAFE53}" srcOrd="8" destOrd="0" presId="urn:microsoft.com/office/officeart/2005/8/layout/defaul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6B7781A-4BD1-4B46-9997-372060E6721E}" type="doc">
      <dgm:prSet loTypeId="urn:microsoft.com/office/officeart/2005/8/layout/lProcess2" loCatId="list" qsTypeId="urn:microsoft.com/office/officeart/2005/8/quickstyle/simple1" qsCatId="simple" csTypeId="urn:microsoft.com/office/officeart/2005/8/colors/accent1_2" csCatId="accent1" phldr="1"/>
      <dgm:spPr/>
      <dgm:t>
        <a:bodyPr/>
        <a:p>
          <a:endParaRPr lang="en-US"/>
        </a:p>
      </dgm:t>
    </dgm:pt>
    <dgm:pt modelId="{4D53F000-984F-4456-96C0-3FB5A3B69826}">
      <dgm:prSet phldrT="[Text]"/>
      <dgm:spPr/>
      <dgm:t>
        <a:bodyPr/>
        <a:p>
          <a:r>
            <a:rPr lang="en-US"/>
            <a:t>Political </a:t>
          </a:r>
        </a:p>
      </dgm:t>
    </dgm:pt>
    <dgm:pt modelId="{AAB9FB81-2D69-4C88-92F3-99A7115A48D0}" cxnId="{A3C21C84-7D36-438C-AAB3-2E37E6E6BABA}" type="parTrans">
      <dgm:prSet/>
      <dgm:spPr/>
      <dgm:t>
        <a:bodyPr/>
        <a:p>
          <a:endParaRPr lang="en-US"/>
        </a:p>
      </dgm:t>
    </dgm:pt>
    <dgm:pt modelId="{9ECB8A2F-F359-460E-8329-660FA780638D}" cxnId="{A3C21C84-7D36-438C-AAB3-2E37E6E6BABA}" type="sibTrans">
      <dgm:prSet/>
      <dgm:spPr/>
      <dgm:t>
        <a:bodyPr/>
        <a:p>
          <a:endParaRPr lang="en-US"/>
        </a:p>
      </dgm:t>
    </dgm:pt>
    <dgm:pt modelId="{37C075AF-48B4-4975-9786-B2BE3569363F}">
      <dgm:prSet phldrT="[Text]" custT="1"/>
      <dgm:spPr/>
      <dgm:t>
        <a:bodyPr/>
        <a:p>
          <a:r>
            <a:rPr lang="en-IN" sz="1100">
              <a:latin typeface="Times New Roman" panose="02020603050405020304" charset="0"/>
              <a:cs typeface="Times New Roman" panose="02020603050405020304" charset="0"/>
            </a:rPr>
            <a:t>The UK government is supporting the development of industry 4.0.</a:t>
          </a:r>
          <a:endParaRPr lang="en-US" sz="1100">
            <a:latin typeface="Times New Roman" panose="02020603050405020304" charset="0"/>
            <a:cs typeface="Times New Roman" panose="02020603050405020304" charset="0"/>
          </a:endParaRPr>
        </a:p>
      </dgm:t>
    </dgm:pt>
    <dgm:pt modelId="{79DC805D-847D-4A87-9344-31959B196ED8}" cxnId="{2954C705-C0B2-498E-91B9-AE97A9E25708}" type="parTrans">
      <dgm:prSet/>
      <dgm:spPr/>
      <dgm:t>
        <a:bodyPr/>
        <a:p>
          <a:endParaRPr lang="en-US"/>
        </a:p>
      </dgm:t>
    </dgm:pt>
    <dgm:pt modelId="{3F9ED28D-21E0-4510-AFA4-0D2F20527F9F}" cxnId="{2954C705-C0B2-498E-91B9-AE97A9E25708}" type="sibTrans">
      <dgm:prSet/>
      <dgm:spPr/>
      <dgm:t>
        <a:bodyPr/>
        <a:p>
          <a:endParaRPr lang="en-US"/>
        </a:p>
      </dgm:t>
    </dgm:pt>
    <dgm:pt modelId="{4A457D4A-5D7F-4780-BFE1-4DFCB60F76D1}">
      <dgm:prSet phldrT="[Text]"/>
      <dgm:spPr/>
      <dgm:t>
        <a:bodyPr/>
        <a:p>
          <a:r>
            <a:rPr lang="en-US"/>
            <a:t>Economic</a:t>
          </a:r>
        </a:p>
      </dgm:t>
    </dgm:pt>
    <dgm:pt modelId="{A3DCB4E6-B7AA-422E-81F8-5B1517F1C15F}" cxnId="{E148614B-BB89-4602-99D1-A3B33A991D2B}" type="parTrans">
      <dgm:prSet/>
      <dgm:spPr/>
      <dgm:t>
        <a:bodyPr/>
        <a:p>
          <a:endParaRPr lang="en-US"/>
        </a:p>
      </dgm:t>
    </dgm:pt>
    <dgm:pt modelId="{2700BE78-394C-4B40-BB16-CE728CDC5B75}" cxnId="{E148614B-BB89-4602-99D1-A3B33A991D2B}" type="sibTrans">
      <dgm:prSet/>
      <dgm:spPr/>
      <dgm:t>
        <a:bodyPr/>
        <a:p>
          <a:endParaRPr lang="en-US"/>
        </a:p>
      </dgm:t>
    </dgm:pt>
    <dgm:pt modelId="{11503DA6-0FD6-4325-8D82-869227C9D96B}">
      <dgm:prSet phldrT="[Text]" custT="1"/>
      <dgm:spPr/>
      <dgm:t>
        <a:bodyPr/>
        <a:p>
          <a:r>
            <a:rPr lang="en-IN" sz="1100">
              <a:latin typeface="Times New Roman" panose="02020603050405020304" charset="0"/>
              <a:cs typeface="Times New Roman" panose="02020603050405020304" charset="0"/>
            </a:rPr>
            <a:t>Brexit causes much fluctuation in the rate.</a:t>
          </a:r>
          <a:endParaRPr lang="en-US" sz="1100">
            <a:latin typeface="Times New Roman" panose="02020603050405020304" charset="0"/>
            <a:cs typeface="Times New Roman" panose="02020603050405020304" charset="0"/>
          </a:endParaRPr>
        </a:p>
      </dgm:t>
    </dgm:pt>
    <dgm:pt modelId="{DBA72175-76BC-4987-83A8-82D30E35E64D}" cxnId="{C7BE58D2-D7CA-4FAD-AAA5-A24E41E04827}" type="parTrans">
      <dgm:prSet/>
      <dgm:spPr/>
      <dgm:t>
        <a:bodyPr/>
        <a:p>
          <a:endParaRPr lang="en-US"/>
        </a:p>
      </dgm:t>
    </dgm:pt>
    <dgm:pt modelId="{8950090F-8209-4BA0-94C2-5B484A3EEBA2}" cxnId="{C7BE58D2-D7CA-4FAD-AAA5-A24E41E04827}" type="sibTrans">
      <dgm:prSet/>
      <dgm:spPr/>
      <dgm:t>
        <a:bodyPr/>
        <a:p>
          <a:endParaRPr lang="en-US"/>
        </a:p>
      </dgm:t>
    </dgm:pt>
    <dgm:pt modelId="{6C6A0F1D-E7A9-4CDE-B37D-E05FB2560A97}">
      <dgm:prSet phldrT="[Text]"/>
      <dgm:spPr/>
      <dgm:t>
        <a:bodyPr/>
        <a:p>
          <a:r>
            <a:rPr lang="en-US"/>
            <a:t>Social</a:t>
          </a:r>
        </a:p>
      </dgm:t>
    </dgm:pt>
    <dgm:pt modelId="{2FA23F26-F5EE-4501-9EE1-A5FBCAB76B2B}" cxnId="{2EBE0E81-6D65-4134-BC37-4E4EE4917F49}" type="parTrans">
      <dgm:prSet/>
      <dgm:spPr/>
      <dgm:t>
        <a:bodyPr/>
        <a:p>
          <a:endParaRPr lang="en-US"/>
        </a:p>
      </dgm:t>
    </dgm:pt>
    <dgm:pt modelId="{4C7B4D78-0D33-474C-AE9B-D4F02F80366E}" cxnId="{2EBE0E81-6D65-4134-BC37-4E4EE4917F49}" type="sibTrans">
      <dgm:prSet/>
      <dgm:spPr/>
      <dgm:t>
        <a:bodyPr/>
        <a:p>
          <a:endParaRPr lang="en-US"/>
        </a:p>
      </dgm:t>
    </dgm:pt>
    <dgm:pt modelId="{A9F89EA7-CC3E-457C-9262-46C862AD73F5}">
      <dgm:prSet phldrT="[Text]" custT="1"/>
      <dgm:spPr/>
      <dgm:t>
        <a:bodyPr/>
        <a:p>
          <a:r>
            <a:rPr lang="en-IN" sz="1100">
              <a:latin typeface="Times New Roman" panose="02020603050405020304" charset="0"/>
              <a:cs typeface="Times New Roman" panose="02020603050405020304" charset="0"/>
            </a:rPr>
            <a:t>Consumer behavior is fast transforming.</a:t>
          </a:r>
          <a:endParaRPr lang="en-US" sz="1100">
            <a:latin typeface="Times New Roman" panose="02020603050405020304" charset="0"/>
            <a:cs typeface="Times New Roman" panose="02020603050405020304" charset="0"/>
          </a:endParaRPr>
        </a:p>
      </dgm:t>
    </dgm:pt>
    <dgm:pt modelId="{F6E37FAE-6DB3-4239-BAAC-832D70D4FA76}" cxnId="{7FAA3E89-9831-4454-9261-EFCC73885F94}" type="parTrans">
      <dgm:prSet/>
      <dgm:spPr/>
      <dgm:t>
        <a:bodyPr/>
        <a:p>
          <a:endParaRPr lang="en-US"/>
        </a:p>
      </dgm:t>
    </dgm:pt>
    <dgm:pt modelId="{03DB41D2-2889-4CBD-A13F-8B89D585EFCA}" cxnId="{7FAA3E89-9831-4454-9261-EFCC73885F94}" type="sibTrans">
      <dgm:prSet/>
      <dgm:spPr/>
      <dgm:t>
        <a:bodyPr/>
        <a:p>
          <a:endParaRPr lang="en-US"/>
        </a:p>
      </dgm:t>
    </dgm:pt>
    <dgm:pt modelId="{127F45A0-CE17-45AF-ADE9-E8862B32509B}">
      <dgm:prSet custT="1"/>
      <dgm:spPr/>
      <dgm:t>
        <a:bodyPr/>
        <a:p>
          <a:r>
            <a:rPr lang="en-IN" sz="1100">
              <a:latin typeface="Times New Roman" panose="02020603050405020304" charset="0"/>
              <a:cs typeface="Times New Roman" panose="02020603050405020304" charset="0"/>
            </a:rPr>
            <a:t>Brexit requires the company to form a new contractual agreement (Greggs, 2022) (Klaar, Carver and Kay, 2020).</a:t>
          </a:r>
          <a:endParaRPr lang="en-US" sz="1100">
            <a:latin typeface="Times New Roman" panose="02020603050405020304" charset="0"/>
            <a:cs typeface="Times New Roman" panose="02020603050405020304" charset="0"/>
          </a:endParaRPr>
        </a:p>
      </dgm:t>
    </dgm:pt>
    <dgm:pt modelId="{39FF70D3-C052-4913-8B27-E8527659D197}" cxnId="{AFE5184A-B1A9-4AFE-A253-E9254BCC6EA2}" type="parTrans">
      <dgm:prSet/>
      <dgm:spPr/>
      <dgm:t>
        <a:bodyPr/>
        <a:p>
          <a:endParaRPr lang="en-US"/>
        </a:p>
      </dgm:t>
    </dgm:pt>
    <dgm:pt modelId="{FD68040B-F6E0-4919-B22D-2E872924B3D7}" cxnId="{AFE5184A-B1A9-4AFE-A253-E9254BCC6EA2}" type="sibTrans">
      <dgm:prSet/>
      <dgm:spPr/>
      <dgm:t>
        <a:bodyPr/>
        <a:p>
          <a:endParaRPr lang="en-US"/>
        </a:p>
      </dgm:t>
    </dgm:pt>
    <dgm:pt modelId="{EA99B179-A42B-40AA-9D9B-5892E0C879DD}">
      <dgm:prSet custT="1"/>
      <dgm:spPr/>
      <dgm:t>
        <a:bodyPr/>
        <a:p>
          <a:r>
            <a:rPr lang="en-IN" sz="1100">
              <a:latin typeface="Times New Roman" panose="02020603050405020304" charset="0"/>
              <a:cs typeface="Times New Roman" panose="02020603050405020304" charset="0"/>
            </a:rPr>
            <a:t>Foreign exchange rates have also increased which affects the price of raw materials (Greggs, 2022).</a:t>
          </a:r>
          <a:endParaRPr lang="en-US" sz="1100">
            <a:latin typeface="Times New Roman" panose="02020603050405020304" charset="0"/>
            <a:cs typeface="Times New Roman" panose="02020603050405020304" charset="0"/>
          </a:endParaRPr>
        </a:p>
      </dgm:t>
    </dgm:pt>
    <dgm:pt modelId="{2202A02C-2DC4-430F-9EBC-BFDDB8EDBA98}" cxnId="{E5AB04AE-ABA8-4DDB-B212-7589A58DF28C}" type="parTrans">
      <dgm:prSet/>
      <dgm:spPr/>
      <dgm:t>
        <a:bodyPr/>
        <a:p>
          <a:endParaRPr lang="en-US"/>
        </a:p>
      </dgm:t>
    </dgm:pt>
    <dgm:pt modelId="{F8148CDF-1EC5-4D9F-B999-1F014587039D}" cxnId="{E5AB04AE-ABA8-4DDB-B212-7589A58DF28C}" type="sibTrans">
      <dgm:prSet/>
      <dgm:spPr/>
      <dgm:t>
        <a:bodyPr/>
        <a:p>
          <a:endParaRPr lang="en-US"/>
        </a:p>
      </dgm:t>
    </dgm:pt>
    <dgm:pt modelId="{14CBD9B1-D661-48EB-9C01-5FAD654DBF93}">
      <dgm:prSet phldrT="[Text]" custT="1"/>
      <dgm:spPr/>
      <dgm:t>
        <a:bodyPr/>
        <a:p>
          <a:r>
            <a:rPr lang="en-IN" sz="1100">
              <a:latin typeface="Times New Roman" panose="02020603050405020304" charset="0"/>
              <a:cs typeface="Times New Roman" panose="02020603050405020304" charset="0"/>
            </a:rPr>
            <a:t>People are getting redirected towards healthy food rather than fast food (Greggs, 2022).</a:t>
          </a:r>
          <a:endParaRPr lang="en-US" sz="1100">
            <a:latin typeface="Times New Roman" panose="02020603050405020304" charset="0"/>
            <a:cs typeface="Times New Roman" panose="02020603050405020304" charset="0"/>
          </a:endParaRPr>
        </a:p>
      </dgm:t>
    </dgm:pt>
    <dgm:pt modelId="{2B09CBC3-ABB0-4F52-AED4-FB3C1F259097}" cxnId="{3165D7C8-51E2-4DE9-B57C-1958B29DDBA3}" type="parTrans">
      <dgm:prSet/>
      <dgm:spPr/>
      <dgm:t>
        <a:bodyPr/>
        <a:p>
          <a:endParaRPr lang="en-US"/>
        </a:p>
      </dgm:t>
    </dgm:pt>
    <dgm:pt modelId="{D53D3063-E003-4383-8A03-FAEBFF9ACDA5}" cxnId="{3165D7C8-51E2-4DE9-B57C-1958B29DDBA3}" type="sibTrans">
      <dgm:prSet/>
      <dgm:spPr/>
      <dgm:t>
        <a:bodyPr/>
        <a:p>
          <a:endParaRPr lang="en-US"/>
        </a:p>
      </dgm:t>
    </dgm:pt>
    <dgm:pt modelId="{9E82F01E-AD69-4821-BD0E-A743A525D954}" type="pres">
      <dgm:prSet presAssocID="{66B7781A-4BD1-4B46-9997-372060E6721E}" presName="theList" presStyleCnt="0">
        <dgm:presLayoutVars>
          <dgm:dir/>
          <dgm:animLvl val="lvl"/>
          <dgm:resizeHandles val="exact"/>
        </dgm:presLayoutVars>
      </dgm:prSet>
      <dgm:spPr/>
    </dgm:pt>
    <dgm:pt modelId="{9F8AC7C5-F25A-4B2C-8DB8-DBBBFA45E469}" type="pres">
      <dgm:prSet presAssocID="{4D53F000-984F-4456-96C0-3FB5A3B69826}" presName="compNode" presStyleCnt="0"/>
      <dgm:spPr/>
    </dgm:pt>
    <dgm:pt modelId="{FDC255C8-07FC-43BF-BFA8-634515E1F53E}" type="pres">
      <dgm:prSet presAssocID="{4D53F000-984F-4456-96C0-3FB5A3B69826}" presName="aNode" presStyleLbl="bgShp" presStyleIdx="0" presStyleCnt="3"/>
      <dgm:spPr/>
    </dgm:pt>
    <dgm:pt modelId="{D091A7EB-4BD4-4818-9CA4-8D69639E7E13}" type="pres">
      <dgm:prSet presAssocID="{4D53F000-984F-4456-96C0-3FB5A3B69826}" presName="textNode" presStyleLbl="bgShp" presStyleIdx="0" presStyleCnt="3"/>
      <dgm:spPr/>
    </dgm:pt>
    <dgm:pt modelId="{7F9C48FB-F69B-470B-BC01-9579946C43A0}" type="pres">
      <dgm:prSet presAssocID="{4D53F000-984F-4456-96C0-3FB5A3B69826}" presName="compChildNode" presStyleCnt="0"/>
      <dgm:spPr/>
    </dgm:pt>
    <dgm:pt modelId="{07D1C61B-40FA-4DEA-91BF-E5D2FB28C689}" type="pres">
      <dgm:prSet presAssocID="{4D53F000-984F-4456-96C0-3FB5A3B69826}" presName="theInnerList" presStyleCnt="0"/>
      <dgm:spPr/>
    </dgm:pt>
    <dgm:pt modelId="{4C2570AD-0D1C-4012-ACCC-938EFC9F441C}" type="pres">
      <dgm:prSet presAssocID="{37C075AF-48B4-4975-9786-B2BE3569363F}" presName="childNode" presStyleLbl="node1" presStyleIdx="0" presStyleCnt="6">
        <dgm:presLayoutVars>
          <dgm:bulletEnabled val="1"/>
        </dgm:presLayoutVars>
      </dgm:prSet>
      <dgm:spPr/>
    </dgm:pt>
    <dgm:pt modelId="{68A9F6A5-D781-41DE-AF39-029DDF9E48C6}" type="pres">
      <dgm:prSet presAssocID="{37C075AF-48B4-4975-9786-B2BE3569363F}" presName="aSpace2" presStyleCnt="0"/>
      <dgm:spPr/>
    </dgm:pt>
    <dgm:pt modelId="{4E395074-4F0E-44CE-BFDE-F171DE815B47}" type="pres">
      <dgm:prSet presAssocID="{127F45A0-CE17-45AF-ADE9-E8862B32509B}" presName="childNode" presStyleLbl="node1" presStyleIdx="1" presStyleCnt="6">
        <dgm:presLayoutVars>
          <dgm:bulletEnabled val="1"/>
        </dgm:presLayoutVars>
      </dgm:prSet>
      <dgm:spPr/>
    </dgm:pt>
    <dgm:pt modelId="{66857A83-3830-4112-AC03-2869761AF8B3}" type="pres">
      <dgm:prSet presAssocID="{4D53F000-984F-4456-96C0-3FB5A3B69826}" presName="aSpace" presStyleCnt="0"/>
      <dgm:spPr/>
    </dgm:pt>
    <dgm:pt modelId="{FD749AF3-F5F4-440E-B542-3D5564DDCEA6}" type="pres">
      <dgm:prSet presAssocID="{4A457D4A-5D7F-4780-BFE1-4DFCB60F76D1}" presName="compNode" presStyleCnt="0"/>
      <dgm:spPr/>
    </dgm:pt>
    <dgm:pt modelId="{30D43C5B-A5A3-46DB-8408-63810966D296}" type="pres">
      <dgm:prSet presAssocID="{4A457D4A-5D7F-4780-BFE1-4DFCB60F76D1}" presName="aNode" presStyleLbl="bgShp" presStyleIdx="1" presStyleCnt="3"/>
      <dgm:spPr/>
    </dgm:pt>
    <dgm:pt modelId="{55239B0E-6165-4AD8-8DD4-1AF557A041F7}" type="pres">
      <dgm:prSet presAssocID="{4A457D4A-5D7F-4780-BFE1-4DFCB60F76D1}" presName="textNode" presStyleLbl="bgShp" presStyleIdx="1" presStyleCnt="3"/>
      <dgm:spPr/>
    </dgm:pt>
    <dgm:pt modelId="{049DA25A-99AF-410E-BB6B-9BEC61986C7D}" type="pres">
      <dgm:prSet presAssocID="{4A457D4A-5D7F-4780-BFE1-4DFCB60F76D1}" presName="compChildNode" presStyleCnt="0"/>
      <dgm:spPr/>
    </dgm:pt>
    <dgm:pt modelId="{A7905E78-EC9E-431F-A62B-49ABA042CE6B}" type="pres">
      <dgm:prSet presAssocID="{4A457D4A-5D7F-4780-BFE1-4DFCB60F76D1}" presName="theInnerList" presStyleCnt="0"/>
      <dgm:spPr/>
    </dgm:pt>
    <dgm:pt modelId="{CE840738-D264-456E-BA55-2EC3B79B182F}" type="pres">
      <dgm:prSet presAssocID="{11503DA6-0FD6-4325-8D82-869227C9D96B}" presName="childNode" presStyleLbl="node1" presStyleIdx="2" presStyleCnt="6">
        <dgm:presLayoutVars>
          <dgm:bulletEnabled val="1"/>
        </dgm:presLayoutVars>
      </dgm:prSet>
      <dgm:spPr/>
    </dgm:pt>
    <dgm:pt modelId="{33A7EB66-50F0-46D2-98F3-07F5E136B6AC}" type="pres">
      <dgm:prSet presAssocID="{11503DA6-0FD6-4325-8D82-869227C9D96B}" presName="aSpace2" presStyleCnt="0"/>
      <dgm:spPr/>
    </dgm:pt>
    <dgm:pt modelId="{7C190599-7E05-422F-858C-CD7429E20491}" type="pres">
      <dgm:prSet presAssocID="{EA99B179-A42B-40AA-9D9B-5892E0C879DD}" presName="childNode" presStyleLbl="node1" presStyleIdx="3" presStyleCnt="6">
        <dgm:presLayoutVars>
          <dgm:bulletEnabled val="1"/>
        </dgm:presLayoutVars>
      </dgm:prSet>
      <dgm:spPr/>
    </dgm:pt>
    <dgm:pt modelId="{21E0F171-04D9-4C87-84AA-B1F156717FDA}" type="pres">
      <dgm:prSet presAssocID="{4A457D4A-5D7F-4780-BFE1-4DFCB60F76D1}" presName="aSpace" presStyleCnt="0"/>
      <dgm:spPr/>
    </dgm:pt>
    <dgm:pt modelId="{84834E8B-E4E6-4283-B286-F9839A8B32CA}" type="pres">
      <dgm:prSet presAssocID="{6C6A0F1D-E7A9-4CDE-B37D-E05FB2560A97}" presName="compNode" presStyleCnt="0"/>
      <dgm:spPr/>
    </dgm:pt>
    <dgm:pt modelId="{09AC7F49-4016-4851-BAF5-6ABDCAC37E69}" type="pres">
      <dgm:prSet presAssocID="{6C6A0F1D-E7A9-4CDE-B37D-E05FB2560A97}" presName="aNode" presStyleLbl="bgShp" presStyleIdx="2" presStyleCnt="3"/>
      <dgm:spPr/>
    </dgm:pt>
    <dgm:pt modelId="{830F7005-F9BB-45C9-AD7A-1CC79FFFDB5B}" type="pres">
      <dgm:prSet presAssocID="{6C6A0F1D-E7A9-4CDE-B37D-E05FB2560A97}" presName="textNode" presStyleLbl="bgShp" presStyleIdx="2" presStyleCnt="3"/>
      <dgm:spPr/>
    </dgm:pt>
    <dgm:pt modelId="{DE7F9358-7416-497F-AA6B-222471932426}" type="pres">
      <dgm:prSet presAssocID="{6C6A0F1D-E7A9-4CDE-B37D-E05FB2560A97}" presName="compChildNode" presStyleCnt="0"/>
      <dgm:spPr/>
    </dgm:pt>
    <dgm:pt modelId="{21AF15B1-4E56-4D26-892C-30A27B9F862C}" type="pres">
      <dgm:prSet presAssocID="{6C6A0F1D-E7A9-4CDE-B37D-E05FB2560A97}" presName="theInnerList" presStyleCnt="0"/>
      <dgm:spPr/>
    </dgm:pt>
    <dgm:pt modelId="{8FF25B4E-D82E-4E6D-A220-BB5D547EB35A}" type="pres">
      <dgm:prSet presAssocID="{A9F89EA7-CC3E-457C-9262-46C862AD73F5}" presName="childNode" presStyleLbl="node1" presStyleIdx="4" presStyleCnt="6">
        <dgm:presLayoutVars>
          <dgm:bulletEnabled val="1"/>
        </dgm:presLayoutVars>
      </dgm:prSet>
      <dgm:spPr/>
    </dgm:pt>
    <dgm:pt modelId="{0C478AC5-A39C-4FD8-BDA6-50F6C67C7AC0}" type="pres">
      <dgm:prSet presAssocID="{A9F89EA7-CC3E-457C-9262-46C862AD73F5}" presName="aSpace2" presStyleCnt="0"/>
      <dgm:spPr/>
    </dgm:pt>
    <dgm:pt modelId="{CE72B439-3C60-4925-B991-62AB20CCC123}" type="pres">
      <dgm:prSet presAssocID="{14CBD9B1-D661-48EB-9C01-5FAD654DBF93}" presName="childNode" presStyleLbl="node1" presStyleIdx="5" presStyleCnt="6">
        <dgm:presLayoutVars>
          <dgm:bulletEnabled val="1"/>
        </dgm:presLayoutVars>
      </dgm:prSet>
      <dgm:spPr/>
    </dgm:pt>
  </dgm:ptLst>
  <dgm:cxnLst>
    <dgm:cxn modelId="{2954C705-C0B2-498E-91B9-AE97A9E25708}" srcId="{4D53F000-984F-4456-96C0-3FB5A3B69826}" destId="{37C075AF-48B4-4975-9786-B2BE3569363F}" srcOrd="0" destOrd="0" parTransId="{79DC805D-847D-4A87-9344-31959B196ED8}" sibTransId="{3F9ED28D-21E0-4510-AFA4-0D2F20527F9F}"/>
    <dgm:cxn modelId="{D9637721-D39E-4577-A07C-E10EF89AFFA8}" type="presOf" srcId="{4D53F000-984F-4456-96C0-3FB5A3B69826}" destId="{FDC255C8-07FC-43BF-BFA8-634515E1F53E}" srcOrd="0" destOrd="0" presId="urn:microsoft.com/office/officeart/2005/8/layout/lProcess2"/>
    <dgm:cxn modelId="{CE45EB21-1070-4855-AA33-30128E2B650D}" type="presOf" srcId="{14CBD9B1-D661-48EB-9C01-5FAD654DBF93}" destId="{CE72B439-3C60-4925-B991-62AB20CCC123}" srcOrd="0" destOrd="0" presId="urn:microsoft.com/office/officeart/2005/8/layout/lProcess2"/>
    <dgm:cxn modelId="{332C9F2E-324B-480E-8A1C-3680034D87E6}" type="presOf" srcId="{37C075AF-48B4-4975-9786-B2BE3569363F}" destId="{4C2570AD-0D1C-4012-ACCC-938EFC9F441C}" srcOrd="0" destOrd="0" presId="urn:microsoft.com/office/officeart/2005/8/layout/lProcess2"/>
    <dgm:cxn modelId="{39A7233F-06CF-48CC-9BAE-1F1C068DBB55}" type="presOf" srcId="{6C6A0F1D-E7A9-4CDE-B37D-E05FB2560A97}" destId="{09AC7F49-4016-4851-BAF5-6ABDCAC37E69}" srcOrd="0" destOrd="0" presId="urn:microsoft.com/office/officeart/2005/8/layout/lProcess2"/>
    <dgm:cxn modelId="{91430E45-8505-4B7B-835B-2ECC142837C5}" type="presOf" srcId="{4D53F000-984F-4456-96C0-3FB5A3B69826}" destId="{D091A7EB-4BD4-4818-9CA4-8D69639E7E13}" srcOrd="1" destOrd="0" presId="urn:microsoft.com/office/officeart/2005/8/layout/lProcess2"/>
    <dgm:cxn modelId="{AFE5184A-B1A9-4AFE-A253-E9254BCC6EA2}" srcId="{4D53F000-984F-4456-96C0-3FB5A3B69826}" destId="{127F45A0-CE17-45AF-ADE9-E8862B32509B}" srcOrd="1" destOrd="0" parTransId="{39FF70D3-C052-4913-8B27-E8527659D197}" sibTransId="{FD68040B-F6E0-4919-B22D-2E872924B3D7}"/>
    <dgm:cxn modelId="{E148614B-BB89-4602-99D1-A3B33A991D2B}" srcId="{66B7781A-4BD1-4B46-9997-372060E6721E}" destId="{4A457D4A-5D7F-4780-BFE1-4DFCB60F76D1}" srcOrd="1" destOrd="0" parTransId="{A3DCB4E6-B7AA-422E-81F8-5B1517F1C15F}" sibTransId="{2700BE78-394C-4B40-BB16-CE728CDC5B75}"/>
    <dgm:cxn modelId="{CFDBDC4E-F7DD-4143-999A-B7EEF06D7D28}" type="presOf" srcId="{66B7781A-4BD1-4B46-9997-372060E6721E}" destId="{9E82F01E-AD69-4821-BD0E-A743A525D954}" srcOrd="0" destOrd="0" presId="urn:microsoft.com/office/officeart/2005/8/layout/lProcess2"/>
    <dgm:cxn modelId="{F9484E50-F3BE-43AF-8FE3-A9AE2220BC2A}" type="presOf" srcId="{127F45A0-CE17-45AF-ADE9-E8862B32509B}" destId="{4E395074-4F0E-44CE-BFDE-F171DE815B47}" srcOrd="0" destOrd="0" presId="urn:microsoft.com/office/officeart/2005/8/layout/lProcess2"/>
    <dgm:cxn modelId="{C1BAFD7E-DE0C-465A-8BDB-1A8544DFDBDE}" type="presOf" srcId="{EA99B179-A42B-40AA-9D9B-5892E0C879DD}" destId="{7C190599-7E05-422F-858C-CD7429E20491}" srcOrd="0" destOrd="0" presId="urn:microsoft.com/office/officeart/2005/8/layout/lProcess2"/>
    <dgm:cxn modelId="{2EBE0E81-6D65-4134-BC37-4E4EE4917F49}" srcId="{66B7781A-4BD1-4B46-9997-372060E6721E}" destId="{6C6A0F1D-E7A9-4CDE-B37D-E05FB2560A97}" srcOrd="2" destOrd="0" parTransId="{2FA23F26-F5EE-4501-9EE1-A5FBCAB76B2B}" sibTransId="{4C7B4D78-0D33-474C-AE9B-D4F02F80366E}"/>
    <dgm:cxn modelId="{A3C21C84-7D36-438C-AAB3-2E37E6E6BABA}" srcId="{66B7781A-4BD1-4B46-9997-372060E6721E}" destId="{4D53F000-984F-4456-96C0-3FB5A3B69826}" srcOrd="0" destOrd="0" parTransId="{AAB9FB81-2D69-4C88-92F3-99A7115A48D0}" sibTransId="{9ECB8A2F-F359-460E-8329-660FA780638D}"/>
    <dgm:cxn modelId="{7FAA3E89-9831-4454-9261-EFCC73885F94}" srcId="{6C6A0F1D-E7A9-4CDE-B37D-E05FB2560A97}" destId="{A9F89EA7-CC3E-457C-9262-46C862AD73F5}" srcOrd="0" destOrd="0" parTransId="{F6E37FAE-6DB3-4239-BAAC-832D70D4FA76}" sibTransId="{03DB41D2-2889-4CBD-A13F-8B89D585EFCA}"/>
    <dgm:cxn modelId="{98E08EA5-DB30-4C40-A15D-666D2DB424ED}" type="presOf" srcId="{4A457D4A-5D7F-4780-BFE1-4DFCB60F76D1}" destId="{30D43C5B-A5A3-46DB-8408-63810966D296}" srcOrd="0" destOrd="0" presId="urn:microsoft.com/office/officeart/2005/8/layout/lProcess2"/>
    <dgm:cxn modelId="{8B602AAC-9FFF-4E65-A635-0772DEB3CC21}" type="presOf" srcId="{A9F89EA7-CC3E-457C-9262-46C862AD73F5}" destId="{8FF25B4E-D82E-4E6D-A220-BB5D547EB35A}" srcOrd="0" destOrd="0" presId="urn:microsoft.com/office/officeart/2005/8/layout/lProcess2"/>
    <dgm:cxn modelId="{E5AB04AE-ABA8-4DDB-B212-7589A58DF28C}" srcId="{4A457D4A-5D7F-4780-BFE1-4DFCB60F76D1}" destId="{EA99B179-A42B-40AA-9D9B-5892E0C879DD}" srcOrd="1" destOrd="0" parTransId="{2202A02C-2DC4-430F-9EBC-BFDDB8EDBA98}" sibTransId="{F8148CDF-1EC5-4D9F-B999-1F014587039D}"/>
    <dgm:cxn modelId="{3165D7C8-51E2-4DE9-B57C-1958B29DDBA3}" srcId="{6C6A0F1D-E7A9-4CDE-B37D-E05FB2560A97}" destId="{14CBD9B1-D661-48EB-9C01-5FAD654DBF93}" srcOrd="1" destOrd="0" parTransId="{2B09CBC3-ABB0-4F52-AED4-FB3C1F259097}" sibTransId="{D53D3063-E003-4383-8A03-FAEBFF9ACDA5}"/>
    <dgm:cxn modelId="{C7BE58D2-D7CA-4FAD-AAA5-A24E41E04827}" srcId="{4A457D4A-5D7F-4780-BFE1-4DFCB60F76D1}" destId="{11503DA6-0FD6-4325-8D82-869227C9D96B}" srcOrd="0" destOrd="0" parTransId="{DBA72175-76BC-4987-83A8-82D30E35E64D}" sibTransId="{8950090F-8209-4BA0-94C2-5B484A3EEBA2}"/>
    <dgm:cxn modelId="{BDECB7E2-3C9C-4FB5-8D81-CC96ADF59A69}" type="presOf" srcId="{4A457D4A-5D7F-4780-BFE1-4DFCB60F76D1}" destId="{55239B0E-6165-4AD8-8DD4-1AF557A041F7}" srcOrd="1" destOrd="0" presId="urn:microsoft.com/office/officeart/2005/8/layout/lProcess2"/>
    <dgm:cxn modelId="{EB4C02ED-DB32-45A2-8061-DC6D0F414C0C}" type="presOf" srcId="{6C6A0F1D-E7A9-4CDE-B37D-E05FB2560A97}" destId="{830F7005-F9BB-45C9-AD7A-1CC79FFFDB5B}" srcOrd="1" destOrd="0" presId="urn:microsoft.com/office/officeart/2005/8/layout/lProcess2"/>
    <dgm:cxn modelId="{F0CF13F4-CFAC-4404-BB26-FF2A74662ED0}" type="presOf" srcId="{11503DA6-0FD6-4325-8D82-869227C9D96B}" destId="{CE840738-D264-456E-BA55-2EC3B79B182F}" srcOrd="0" destOrd="0" presId="urn:microsoft.com/office/officeart/2005/8/layout/lProcess2"/>
    <dgm:cxn modelId="{4B98E206-9E7C-4147-B9D2-0A4E6CBC3AA5}" type="presParOf" srcId="{9E82F01E-AD69-4821-BD0E-A743A525D954}" destId="{9F8AC7C5-F25A-4B2C-8DB8-DBBBFA45E469}" srcOrd="0" destOrd="0" presId="urn:microsoft.com/office/officeart/2005/8/layout/lProcess2"/>
    <dgm:cxn modelId="{C82998FE-C6A7-4D99-AC09-DBCC2CF437C7}" type="presParOf" srcId="{9F8AC7C5-F25A-4B2C-8DB8-DBBBFA45E469}" destId="{FDC255C8-07FC-43BF-BFA8-634515E1F53E}" srcOrd="0" destOrd="0" presId="urn:microsoft.com/office/officeart/2005/8/layout/lProcess2"/>
    <dgm:cxn modelId="{05DF5219-7D35-4F37-B357-77378770C1BB}" type="presParOf" srcId="{9F8AC7C5-F25A-4B2C-8DB8-DBBBFA45E469}" destId="{D091A7EB-4BD4-4818-9CA4-8D69639E7E13}" srcOrd="1" destOrd="0" presId="urn:microsoft.com/office/officeart/2005/8/layout/lProcess2"/>
    <dgm:cxn modelId="{C4CA4F4C-E5BA-4660-81F8-DD1781F07668}" type="presParOf" srcId="{9F8AC7C5-F25A-4B2C-8DB8-DBBBFA45E469}" destId="{7F9C48FB-F69B-470B-BC01-9579946C43A0}" srcOrd="2" destOrd="0" presId="urn:microsoft.com/office/officeart/2005/8/layout/lProcess2"/>
    <dgm:cxn modelId="{8C5C9513-59C7-44FB-AD77-E8D09CD7820D}" type="presParOf" srcId="{7F9C48FB-F69B-470B-BC01-9579946C43A0}" destId="{07D1C61B-40FA-4DEA-91BF-E5D2FB28C689}" srcOrd="0" destOrd="0" presId="urn:microsoft.com/office/officeart/2005/8/layout/lProcess2"/>
    <dgm:cxn modelId="{1F745C1F-80C7-4B2A-AC5E-609AEBAFE96F}" type="presParOf" srcId="{07D1C61B-40FA-4DEA-91BF-E5D2FB28C689}" destId="{4C2570AD-0D1C-4012-ACCC-938EFC9F441C}" srcOrd="0" destOrd="0" presId="urn:microsoft.com/office/officeart/2005/8/layout/lProcess2"/>
    <dgm:cxn modelId="{81F05B92-CCDC-499B-AAB4-D06AB26CFBB6}" type="presParOf" srcId="{07D1C61B-40FA-4DEA-91BF-E5D2FB28C689}" destId="{68A9F6A5-D781-41DE-AF39-029DDF9E48C6}" srcOrd="1" destOrd="0" presId="urn:microsoft.com/office/officeart/2005/8/layout/lProcess2"/>
    <dgm:cxn modelId="{E5D67537-644F-493E-8748-24F1AB73871E}" type="presParOf" srcId="{07D1C61B-40FA-4DEA-91BF-E5D2FB28C689}" destId="{4E395074-4F0E-44CE-BFDE-F171DE815B47}" srcOrd="2" destOrd="0" presId="urn:microsoft.com/office/officeart/2005/8/layout/lProcess2"/>
    <dgm:cxn modelId="{25201008-6268-463B-8352-CEBCF0C75CD7}" type="presParOf" srcId="{9E82F01E-AD69-4821-BD0E-A743A525D954}" destId="{66857A83-3830-4112-AC03-2869761AF8B3}" srcOrd="1" destOrd="0" presId="urn:microsoft.com/office/officeart/2005/8/layout/lProcess2"/>
    <dgm:cxn modelId="{A33368A2-DF74-4539-BFBD-D38EE4828412}" type="presParOf" srcId="{9E82F01E-AD69-4821-BD0E-A743A525D954}" destId="{FD749AF3-F5F4-440E-B542-3D5564DDCEA6}" srcOrd="2" destOrd="0" presId="urn:microsoft.com/office/officeart/2005/8/layout/lProcess2"/>
    <dgm:cxn modelId="{7F3D27BA-9E3E-4F53-A9F6-156A823FC29D}" type="presParOf" srcId="{FD749AF3-F5F4-440E-B542-3D5564DDCEA6}" destId="{30D43C5B-A5A3-46DB-8408-63810966D296}" srcOrd="0" destOrd="0" presId="urn:microsoft.com/office/officeart/2005/8/layout/lProcess2"/>
    <dgm:cxn modelId="{B3B6745C-18D3-4ED4-80E9-7CBA5FB66A4F}" type="presParOf" srcId="{FD749AF3-F5F4-440E-B542-3D5564DDCEA6}" destId="{55239B0E-6165-4AD8-8DD4-1AF557A041F7}" srcOrd="1" destOrd="0" presId="urn:microsoft.com/office/officeart/2005/8/layout/lProcess2"/>
    <dgm:cxn modelId="{131F33DC-9DC6-4A69-9D91-4D8DFA68E0CA}" type="presParOf" srcId="{FD749AF3-F5F4-440E-B542-3D5564DDCEA6}" destId="{049DA25A-99AF-410E-BB6B-9BEC61986C7D}" srcOrd="2" destOrd="0" presId="urn:microsoft.com/office/officeart/2005/8/layout/lProcess2"/>
    <dgm:cxn modelId="{429E00BD-A96D-4FBB-B53B-F22B356861F8}" type="presParOf" srcId="{049DA25A-99AF-410E-BB6B-9BEC61986C7D}" destId="{A7905E78-EC9E-431F-A62B-49ABA042CE6B}" srcOrd="0" destOrd="0" presId="urn:microsoft.com/office/officeart/2005/8/layout/lProcess2"/>
    <dgm:cxn modelId="{8EE21062-6B07-4A07-BDAF-6E914A6A1E33}" type="presParOf" srcId="{A7905E78-EC9E-431F-A62B-49ABA042CE6B}" destId="{CE840738-D264-456E-BA55-2EC3B79B182F}" srcOrd="0" destOrd="0" presId="urn:microsoft.com/office/officeart/2005/8/layout/lProcess2"/>
    <dgm:cxn modelId="{34F7F818-B649-4244-8851-A30D5007FE71}" type="presParOf" srcId="{A7905E78-EC9E-431F-A62B-49ABA042CE6B}" destId="{33A7EB66-50F0-46D2-98F3-07F5E136B6AC}" srcOrd="1" destOrd="0" presId="urn:microsoft.com/office/officeart/2005/8/layout/lProcess2"/>
    <dgm:cxn modelId="{8322486E-0CF6-4CC5-B4C7-15BEC95420E5}" type="presParOf" srcId="{A7905E78-EC9E-431F-A62B-49ABA042CE6B}" destId="{7C190599-7E05-422F-858C-CD7429E20491}" srcOrd="2" destOrd="0" presId="urn:microsoft.com/office/officeart/2005/8/layout/lProcess2"/>
    <dgm:cxn modelId="{84E24A0F-97A4-4390-B7EE-5DF4DAC5F2AA}" type="presParOf" srcId="{9E82F01E-AD69-4821-BD0E-A743A525D954}" destId="{21E0F171-04D9-4C87-84AA-B1F156717FDA}" srcOrd="3" destOrd="0" presId="urn:microsoft.com/office/officeart/2005/8/layout/lProcess2"/>
    <dgm:cxn modelId="{F4A2B0BB-2BA5-4265-8CE7-8E244F734D02}" type="presParOf" srcId="{9E82F01E-AD69-4821-BD0E-A743A525D954}" destId="{84834E8B-E4E6-4283-B286-F9839A8B32CA}" srcOrd="4" destOrd="0" presId="urn:microsoft.com/office/officeart/2005/8/layout/lProcess2"/>
    <dgm:cxn modelId="{492F2E59-A099-4E0D-8C75-C6A3BCD16AB9}" type="presParOf" srcId="{84834E8B-E4E6-4283-B286-F9839A8B32CA}" destId="{09AC7F49-4016-4851-BAF5-6ABDCAC37E69}" srcOrd="0" destOrd="0" presId="urn:microsoft.com/office/officeart/2005/8/layout/lProcess2"/>
    <dgm:cxn modelId="{4B35EC4B-1E66-42E8-BCCB-02D4468075D5}" type="presParOf" srcId="{84834E8B-E4E6-4283-B286-F9839A8B32CA}" destId="{830F7005-F9BB-45C9-AD7A-1CC79FFFDB5B}" srcOrd="1" destOrd="0" presId="urn:microsoft.com/office/officeart/2005/8/layout/lProcess2"/>
    <dgm:cxn modelId="{881D7C85-7506-4C32-9D0F-DD9D9CFF6C84}" type="presParOf" srcId="{84834E8B-E4E6-4283-B286-F9839A8B32CA}" destId="{DE7F9358-7416-497F-AA6B-222471932426}" srcOrd="2" destOrd="0" presId="urn:microsoft.com/office/officeart/2005/8/layout/lProcess2"/>
    <dgm:cxn modelId="{AE05A35E-1257-4A91-80A4-F79D3B8632CC}" type="presParOf" srcId="{DE7F9358-7416-497F-AA6B-222471932426}" destId="{21AF15B1-4E56-4D26-892C-30A27B9F862C}" srcOrd="0" destOrd="0" presId="urn:microsoft.com/office/officeart/2005/8/layout/lProcess2"/>
    <dgm:cxn modelId="{E3CE3848-934A-45B7-A2BE-BAD0FAC71684}" type="presParOf" srcId="{21AF15B1-4E56-4D26-892C-30A27B9F862C}" destId="{8FF25B4E-D82E-4E6D-A220-BB5D547EB35A}" srcOrd="0" destOrd="0" presId="urn:microsoft.com/office/officeart/2005/8/layout/lProcess2"/>
    <dgm:cxn modelId="{05303D93-F2D6-4A41-A4C4-AA8D773C2068}" type="presParOf" srcId="{21AF15B1-4E56-4D26-892C-30A27B9F862C}" destId="{0C478AC5-A39C-4FD8-BDA6-50F6C67C7AC0}" srcOrd="1" destOrd="0" presId="urn:microsoft.com/office/officeart/2005/8/layout/lProcess2"/>
    <dgm:cxn modelId="{7F8AFAAD-B014-4BC3-B376-A7F052C77D5B}" type="presParOf" srcId="{21AF15B1-4E56-4D26-892C-30A27B9F862C}" destId="{CE72B439-3C60-4925-B991-62AB20CCC123}" srcOrd="2" destOrd="0" presId="urn:microsoft.com/office/officeart/2005/8/layout/lProcess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F9FC4DC-4131-4E32-9B10-0B7C1BBD0CEA}" type="doc">
      <dgm:prSet loTypeId="urn:microsoft.com/office/officeart/2005/8/layout/lProcess2" loCatId="list" qsTypeId="urn:microsoft.com/office/officeart/2005/8/quickstyle/simple1" qsCatId="simple" csTypeId="urn:microsoft.com/office/officeart/2005/8/colors/accent1_2" csCatId="accent1" phldr="1"/>
      <dgm:spPr/>
      <dgm:t>
        <a:bodyPr/>
        <a:p>
          <a:endParaRPr lang="en-US"/>
        </a:p>
      </dgm:t>
    </dgm:pt>
    <dgm:pt modelId="{74B9D007-015F-4698-9386-0D6EC215051F}">
      <dgm:prSet phldrT="[Text]"/>
      <dgm:spPr/>
      <dgm:t>
        <a:bodyPr/>
        <a:p>
          <a:r>
            <a:rPr lang="en-US"/>
            <a:t>Technological</a:t>
          </a:r>
        </a:p>
      </dgm:t>
    </dgm:pt>
    <dgm:pt modelId="{630D8265-9762-477A-BC24-41211CB9B895}" cxnId="{D2504996-E252-4500-B3C0-E404ACE104C3}" type="parTrans">
      <dgm:prSet/>
      <dgm:spPr/>
      <dgm:t>
        <a:bodyPr/>
        <a:p>
          <a:endParaRPr lang="en-US"/>
        </a:p>
      </dgm:t>
    </dgm:pt>
    <dgm:pt modelId="{B1DFCC7A-C962-4E3A-B5CB-727AE0410958}" cxnId="{D2504996-E252-4500-B3C0-E404ACE104C3}" type="sibTrans">
      <dgm:prSet/>
      <dgm:spPr/>
      <dgm:t>
        <a:bodyPr/>
        <a:p>
          <a:endParaRPr lang="en-US"/>
        </a:p>
      </dgm:t>
    </dgm:pt>
    <dgm:pt modelId="{4C9A526D-F2D2-4EFB-9645-15D6600B944A}">
      <dgm:prSet phldrT="[Text]"/>
      <dgm:spPr/>
      <dgm:t>
        <a:bodyPr/>
        <a:p>
          <a:r>
            <a:rPr lang="en-US"/>
            <a:t>Environmental</a:t>
          </a:r>
        </a:p>
      </dgm:t>
    </dgm:pt>
    <dgm:pt modelId="{C8F55E9D-171A-46EE-8CF3-758AA35A1F79}" cxnId="{1FB0A424-650D-46A8-8E31-7281D091368D}" type="parTrans">
      <dgm:prSet/>
      <dgm:spPr/>
      <dgm:t>
        <a:bodyPr/>
        <a:p>
          <a:endParaRPr lang="en-US"/>
        </a:p>
      </dgm:t>
    </dgm:pt>
    <dgm:pt modelId="{3A885E7C-5F12-4424-AB75-FE01ECCCE370}" cxnId="{1FB0A424-650D-46A8-8E31-7281D091368D}" type="sibTrans">
      <dgm:prSet/>
      <dgm:spPr/>
      <dgm:t>
        <a:bodyPr/>
        <a:p>
          <a:endParaRPr lang="en-US"/>
        </a:p>
      </dgm:t>
    </dgm:pt>
    <dgm:pt modelId="{B3F1273E-A56A-44BD-AE7D-119F67641E79}">
      <dgm:prSet phldrT="[Text]" custT="1"/>
      <dgm:spPr/>
      <dgm:t>
        <a:bodyPr/>
        <a:p>
          <a:r>
            <a:rPr lang="en-IN" sz="1200">
              <a:latin typeface="Times New Roman" panose="02020603050405020304" charset="0"/>
              <a:cs typeface="Times New Roman" panose="02020603050405020304" charset="0"/>
            </a:rPr>
            <a:t>The UK’s environment is getting degraded which demands lower carbon emission rates.</a:t>
          </a:r>
          <a:endParaRPr lang="en-US" sz="1200">
            <a:latin typeface="Times New Roman" panose="02020603050405020304" charset="0"/>
            <a:cs typeface="Times New Roman" panose="02020603050405020304" charset="0"/>
          </a:endParaRPr>
        </a:p>
      </dgm:t>
    </dgm:pt>
    <dgm:pt modelId="{3133077D-2E55-4AD2-9902-D6CF60D8D60C}" cxnId="{548C3537-7509-44B3-9F7A-DA075B6537AC}" type="parTrans">
      <dgm:prSet/>
      <dgm:spPr/>
      <dgm:t>
        <a:bodyPr/>
        <a:p>
          <a:endParaRPr lang="en-US"/>
        </a:p>
      </dgm:t>
    </dgm:pt>
    <dgm:pt modelId="{AD8E3965-A730-47D8-837D-E98E3211679F}" cxnId="{548C3537-7509-44B3-9F7A-DA075B6537AC}" type="sibTrans">
      <dgm:prSet/>
      <dgm:spPr/>
      <dgm:t>
        <a:bodyPr/>
        <a:p>
          <a:endParaRPr lang="en-US"/>
        </a:p>
      </dgm:t>
    </dgm:pt>
    <dgm:pt modelId="{4B343E3E-2ED7-416F-9E1B-0EBAE9186BCB}">
      <dgm:prSet phldrT="[Text]"/>
      <dgm:spPr/>
      <dgm:t>
        <a:bodyPr/>
        <a:p>
          <a:r>
            <a:rPr lang="en-US"/>
            <a:t>Legal</a:t>
          </a:r>
        </a:p>
      </dgm:t>
    </dgm:pt>
    <dgm:pt modelId="{38A9870F-1F9E-4E8B-A2C8-97A5F772DD16}" cxnId="{C06009D8-6F4D-4681-8FB0-083FDD5FCE36}" type="parTrans">
      <dgm:prSet/>
      <dgm:spPr/>
      <dgm:t>
        <a:bodyPr/>
        <a:p>
          <a:endParaRPr lang="en-US"/>
        </a:p>
      </dgm:t>
    </dgm:pt>
    <dgm:pt modelId="{F04523BE-3A2D-4A37-A629-F84B058F0515}" cxnId="{C06009D8-6F4D-4681-8FB0-083FDD5FCE36}" type="sibTrans">
      <dgm:prSet/>
      <dgm:spPr/>
      <dgm:t>
        <a:bodyPr/>
        <a:p>
          <a:endParaRPr lang="en-US"/>
        </a:p>
      </dgm:t>
    </dgm:pt>
    <dgm:pt modelId="{BC8502BC-19EF-49DC-9F57-364B0CF253DE}">
      <dgm:prSet phldrT="[Text]" custT="1"/>
      <dgm:spPr/>
      <dgm:t>
        <a:bodyPr/>
        <a:p>
          <a:r>
            <a:rPr lang="en-IN" sz="1200">
              <a:latin typeface="Times New Roman" panose="02020603050405020304" charset="0"/>
              <a:cs typeface="Times New Roman" panose="02020603050405020304" charset="0"/>
            </a:rPr>
            <a:t>Government has imposed more taxes on sugar in order to succeed their less sugar plan (Greggs, 2022).</a:t>
          </a:r>
          <a:endParaRPr lang="en-US" sz="1200">
            <a:latin typeface="Times New Roman" panose="02020603050405020304" charset="0"/>
            <a:cs typeface="Times New Roman" panose="02020603050405020304" charset="0"/>
          </a:endParaRPr>
        </a:p>
      </dgm:t>
    </dgm:pt>
    <dgm:pt modelId="{43988B8E-254A-49CE-BF13-63AB2AF9643F}" cxnId="{54316F73-3815-4C4F-B980-A30FA0AAB508}" type="parTrans">
      <dgm:prSet/>
      <dgm:spPr/>
      <dgm:t>
        <a:bodyPr/>
        <a:p>
          <a:endParaRPr lang="en-US"/>
        </a:p>
      </dgm:t>
    </dgm:pt>
    <dgm:pt modelId="{89D52B63-F708-44D3-8917-0210E38F5E87}" cxnId="{54316F73-3815-4C4F-B980-A30FA0AAB508}" type="sibTrans">
      <dgm:prSet/>
      <dgm:spPr/>
      <dgm:t>
        <a:bodyPr/>
        <a:p>
          <a:endParaRPr lang="en-US"/>
        </a:p>
      </dgm:t>
    </dgm:pt>
    <dgm:pt modelId="{5AAD75DB-766E-41C5-BD45-A02E02F64726}">
      <dgm:prSet phldrT="[Text]" custT="1"/>
      <dgm:spPr/>
      <dgm:t>
        <a:bodyPr/>
        <a:p>
          <a:r>
            <a:rPr lang="en-IN" sz="1200">
              <a:latin typeface="Times New Roman" panose="02020603050405020304" charset="0"/>
              <a:cs typeface="Times New Roman" panose="02020603050405020304" charset="0"/>
            </a:rPr>
            <a:t>The UK is developing a robust 4.0 industry. Digital revolution is challenging for the company.</a:t>
          </a:r>
          <a:endParaRPr lang="en-US" sz="1200">
            <a:latin typeface="Times New Roman" panose="02020603050405020304" charset="0"/>
            <a:cs typeface="Times New Roman" panose="02020603050405020304" charset="0"/>
          </a:endParaRPr>
        </a:p>
      </dgm:t>
    </dgm:pt>
    <dgm:pt modelId="{D2FF982D-D087-4027-886B-DF1B04EFDC47}" cxnId="{EC1A3F55-A6CB-4FEA-AC9D-1D8C6C6255C4}" type="parTrans">
      <dgm:prSet/>
      <dgm:spPr/>
      <dgm:t>
        <a:bodyPr/>
        <a:p>
          <a:endParaRPr lang="en-US"/>
        </a:p>
      </dgm:t>
    </dgm:pt>
    <dgm:pt modelId="{164F516D-3B78-4424-9D12-DADC30149C8A}" cxnId="{EC1A3F55-A6CB-4FEA-AC9D-1D8C6C6255C4}" type="sibTrans">
      <dgm:prSet/>
      <dgm:spPr/>
      <dgm:t>
        <a:bodyPr/>
        <a:p>
          <a:endParaRPr lang="en-US"/>
        </a:p>
      </dgm:t>
    </dgm:pt>
    <dgm:pt modelId="{1A148466-D60C-4B34-8A24-6980F179D55F}">
      <dgm:prSet custT="1"/>
      <dgm:spPr/>
      <dgm:t>
        <a:bodyPr/>
        <a:p>
          <a:r>
            <a:rPr lang="en-IN" sz="1200">
              <a:latin typeface="Times New Roman" panose="02020603050405020304" charset="0"/>
              <a:cs typeface="Times New Roman" panose="02020603050405020304" charset="0"/>
            </a:rPr>
            <a:t>Uninterrupted tracking systems have to be developed (Greggs, 2022) (Klaar, Carver and Kay, 2020).</a:t>
          </a:r>
          <a:endParaRPr lang="en-US" sz="1200">
            <a:latin typeface="Times New Roman" panose="02020603050405020304" charset="0"/>
            <a:cs typeface="Times New Roman" panose="02020603050405020304" charset="0"/>
          </a:endParaRPr>
        </a:p>
      </dgm:t>
    </dgm:pt>
    <dgm:pt modelId="{69A3A8EF-94F0-4C94-8440-B1B7A9FABC13}" cxnId="{3EF79E71-126C-4783-BFA9-28F925577594}" type="parTrans">
      <dgm:prSet/>
      <dgm:spPr/>
      <dgm:t>
        <a:bodyPr/>
        <a:p>
          <a:endParaRPr lang="en-US"/>
        </a:p>
      </dgm:t>
    </dgm:pt>
    <dgm:pt modelId="{DEC89394-6779-438E-8779-9C11AF33850E}" cxnId="{3EF79E71-126C-4783-BFA9-28F925577594}" type="sibTrans">
      <dgm:prSet/>
      <dgm:spPr/>
      <dgm:t>
        <a:bodyPr/>
        <a:p>
          <a:endParaRPr lang="en-US"/>
        </a:p>
      </dgm:t>
    </dgm:pt>
    <dgm:pt modelId="{A552B6ED-2A52-4934-902F-A4076B7D1744}">
      <dgm:prSet custT="1"/>
      <dgm:spPr/>
      <dgm:t>
        <a:bodyPr/>
        <a:p>
          <a:r>
            <a:rPr lang="en-IN" sz="1200">
              <a:latin typeface="Times New Roman" panose="02020603050405020304" charset="0"/>
              <a:cs typeface="Times New Roman" panose="02020603050405020304" charset="0"/>
            </a:rPr>
            <a:t>Hence, the use of sustainable energy resources is encouraged (Greggs, 2022). </a:t>
          </a:r>
          <a:endParaRPr lang="en-US" sz="1200">
            <a:latin typeface="Times New Roman" panose="02020603050405020304" charset="0"/>
            <a:cs typeface="Times New Roman" panose="02020603050405020304" charset="0"/>
          </a:endParaRPr>
        </a:p>
      </dgm:t>
    </dgm:pt>
    <dgm:pt modelId="{9C91DDA3-4B6B-46B0-8FF3-29C8CD558879}" cxnId="{515917BF-9DFA-47A1-8AFE-78CEA8807338}" type="parTrans">
      <dgm:prSet/>
      <dgm:spPr/>
      <dgm:t>
        <a:bodyPr/>
        <a:p>
          <a:endParaRPr lang="en-US"/>
        </a:p>
      </dgm:t>
    </dgm:pt>
    <dgm:pt modelId="{B4F441C1-A015-4721-A664-A6AA5B8D0656}" cxnId="{515917BF-9DFA-47A1-8AFE-78CEA8807338}" type="sibTrans">
      <dgm:prSet/>
      <dgm:spPr/>
      <dgm:t>
        <a:bodyPr/>
        <a:p>
          <a:endParaRPr lang="en-US"/>
        </a:p>
      </dgm:t>
    </dgm:pt>
    <dgm:pt modelId="{AC5902F9-4329-4E1E-8F84-35BDA20A2896}" type="pres">
      <dgm:prSet presAssocID="{1F9FC4DC-4131-4E32-9B10-0B7C1BBD0CEA}" presName="theList" presStyleCnt="0">
        <dgm:presLayoutVars>
          <dgm:dir/>
          <dgm:animLvl val="lvl"/>
          <dgm:resizeHandles val="exact"/>
        </dgm:presLayoutVars>
      </dgm:prSet>
      <dgm:spPr/>
    </dgm:pt>
    <dgm:pt modelId="{139958A6-1B9C-4CEF-B2BD-EB7D88CB6FBB}" type="pres">
      <dgm:prSet presAssocID="{74B9D007-015F-4698-9386-0D6EC215051F}" presName="compNode" presStyleCnt="0"/>
      <dgm:spPr/>
    </dgm:pt>
    <dgm:pt modelId="{975767E7-AA43-4F24-A966-2F4525538000}" type="pres">
      <dgm:prSet presAssocID="{74B9D007-015F-4698-9386-0D6EC215051F}" presName="aNode" presStyleLbl="bgShp" presStyleIdx="0" presStyleCnt="3"/>
      <dgm:spPr/>
    </dgm:pt>
    <dgm:pt modelId="{E9FCAE74-B7ED-4C0F-AEAF-0623549AD1AF}" type="pres">
      <dgm:prSet presAssocID="{74B9D007-015F-4698-9386-0D6EC215051F}" presName="textNode" presStyleLbl="bgShp" presStyleIdx="0" presStyleCnt="3"/>
      <dgm:spPr/>
    </dgm:pt>
    <dgm:pt modelId="{73F7E5B9-67BC-4643-8AB1-B56F1C775DD1}" type="pres">
      <dgm:prSet presAssocID="{74B9D007-015F-4698-9386-0D6EC215051F}" presName="compChildNode" presStyleCnt="0"/>
      <dgm:spPr/>
    </dgm:pt>
    <dgm:pt modelId="{6405B175-4197-4F16-B5B7-DD7952D25D15}" type="pres">
      <dgm:prSet presAssocID="{74B9D007-015F-4698-9386-0D6EC215051F}" presName="theInnerList" presStyleCnt="0"/>
      <dgm:spPr/>
    </dgm:pt>
    <dgm:pt modelId="{41D91F08-D2AA-49F5-8F33-5CECB341259D}" type="pres">
      <dgm:prSet presAssocID="{5AAD75DB-766E-41C5-BD45-A02E02F64726}" presName="childNode" presStyleLbl="node1" presStyleIdx="0" presStyleCnt="5">
        <dgm:presLayoutVars>
          <dgm:bulletEnabled val="1"/>
        </dgm:presLayoutVars>
      </dgm:prSet>
      <dgm:spPr/>
    </dgm:pt>
    <dgm:pt modelId="{9630D65B-6818-4035-8F00-9F3F18A537B4}" type="pres">
      <dgm:prSet presAssocID="{5AAD75DB-766E-41C5-BD45-A02E02F64726}" presName="aSpace2" presStyleCnt="0"/>
      <dgm:spPr/>
    </dgm:pt>
    <dgm:pt modelId="{B9E710F6-2945-470E-9A18-22B2B373B479}" type="pres">
      <dgm:prSet presAssocID="{1A148466-D60C-4B34-8A24-6980F179D55F}" presName="childNode" presStyleLbl="node1" presStyleIdx="1" presStyleCnt="5">
        <dgm:presLayoutVars>
          <dgm:bulletEnabled val="1"/>
        </dgm:presLayoutVars>
      </dgm:prSet>
      <dgm:spPr/>
    </dgm:pt>
    <dgm:pt modelId="{6EAE89D0-F32E-44E4-A273-90ECB7849D71}" type="pres">
      <dgm:prSet presAssocID="{74B9D007-015F-4698-9386-0D6EC215051F}" presName="aSpace" presStyleCnt="0"/>
      <dgm:spPr/>
    </dgm:pt>
    <dgm:pt modelId="{49CA6916-1E6F-466D-894A-16B3D015095B}" type="pres">
      <dgm:prSet presAssocID="{4C9A526D-F2D2-4EFB-9645-15D6600B944A}" presName="compNode" presStyleCnt="0"/>
      <dgm:spPr/>
    </dgm:pt>
    <dgm:pt modelId="{4F233C93-286F-4C5A-A3E8-F09037E5A78F}" type="pres">
      <dgm:prSet presAssocID="{4C9A526D-F2D2-4EFB-9645-15D6600B944A}" presName="aNode" presStyleLbl="bgShp" presStyleIdx="1" presStyleCnt="3"/>
      <dgm:spPr/>
    </dgm:pt>
    <dgm:pt modelId="{59469CBB-6A01-4165-BA4D-8D8DB9E83861}" type="pres">
      <dgm:prSet presAssocID="{4C9A526D-F2D2-4EFB-9645-15D6600B944A}" presName="textNode" presStyleLbl="bgShp" presStyleIdx="1" presStyleCnt="3"/>
      <dgm:spPr/>
    </dgm:pt>
    <dgm:pt modelId="{F8D02649-6BA0-43BD-A068-0C16A0C6B88D}" type="pres">
      <dgm:prSet presAssocID="{4C9A526D-F2D2-4EFB-9645-15D6600B944A}" presName="compChildNode" presStyleCnt="0"/>
      <dgm:spPr/>
    </dgm:pt>
    <dgm:pt modelId="{AD2B2771-BAE8-440A-9B38-2A1536815D7E}" type="pres">
      <dgm:prSet presAssocID="{4C9A526D-F2D2-4EFB-9645-15D6600B944A}" presName="theInnerList" presStyleCnt="0"/>
      <dgm:spPr/>
    </dgm:pt>
    <dgm:pt modelId="{6B77F1CA-390C-4E6B-A725-FEA71D0C3009}" type="pres">
      <dgm:prSet presAssocID="{B3F1273E-A56A-44BD-AE7D-119F67641E79}" presName="childNode" presStyleLbl="node1" presStyleIdx="2" presStyleCnt="5">
        <dgm:presLayoutVars>
          <dgm:bulletEnabled val="1"/>
        </dgm:presLayoutVars>
      </dgm:prSet>
      <dgm:spPr/>
    </dgm:pt>
    <dgm:pt modelId="{88C0AE40-B25B-4CB1-9587-B8DCB8AFDA87}" type="pres">
      <dgm:prSet presAssocID="{B3F1273E-A56A-44BD-AE7D-119F67641E79}" presName="aSpace2" presStyleCnt="0"/>
      <dgm:spPr/>
    </dgm:pt>
    <dgm:pt modelId="{29115D9B-288D-4BFA-A1D7-1909A2ED0717}" type="pres">
      <dgm:prSet presAssocID="{A552B6ED-2A52-4934-902F-A4076B7D1744}" presName="childNode" presStyleLbl="node1" presStyleIdx="3" presStyleCnt="5">
        <dgm:presLayoutVars>
          <dgm:bulletEnabled val="1"/>
        </dgm:presLayoutVars>
      </dgm:prSet>
      <dgm:spPr/>
    </dgm:pt>
    <dgm:pt modelId="{1AC70B19-F29F-4E1F-A407-42FA6F6790B2}" type="pres">
      <dgm:prSet presAssocID="{4C9A526D-F2D2-4EFB-9645-15D6600B944A}" presName="aSpace" presStyleCnt="0"/>
      <dgm:spPr/>
    </dgm:pt>
    <dgm:pt modelId="{559DB05C-D084-46E3-9D72-81F5B6464962}" type="pres">
      <dgm:prSet presAssocID="{4B343E3E-2ED7-416F-9E1B-0EBAE9186BCB}" presName="compNode" presStyleCnt="0"/>
      <dgm:spPr/>
    </dgm:pt>
    <dgm:pt modelId="{A6031801-A129-4929-B329-DBB5388D6C43}" type="pres">
      <dgm:prSet presAssocID="{4B343E3E-2ED7-416F-9E1B-0EBAE9186BCB}" presName="aNode" presStyleLbl="bgShp" presStyleIdx="2" presStyleCnt="3"/>
      <dgm:spPr/>
    </dgm:pt>
    <dgm:pt modelId="{CC1C6677-4F92-4D2F-B097-227BA0A90EE4}" type="pres">
      <dgm:prSet presAssocID="{4B343E3E-2ED7-416F-9E1B-0EBAE9186BCB}" presName="textNode" presStyleLbl="bgShp" presStyleIdx="2" presStyleCnt="3"/>
      <dgm:spPr/>
    </dgm:pt>
    <dgm:pt modelId="{CAD444FE-CC8E-45B5-B02B-7532280800C2}" type="pres">
      <dgm:prSet presAssocID="{4B343E3E-2ED7-416F-9E1B-0EBAE9186BCB}" presName="compChildNode" presStyleCnt="0"/>
      <dgm:spPr/>
    </dgm:pt>
    <dgm:pt modelId="{A3A1DBA0-5C48-4D15-B538-927F3B40F674}" type="pres">
      <dgm:prSet presAssocID="{4B343E3E-2ED7-416F-9E1B-0EBAE9186BCB}" presName="theInnerList" presStyleCnt="0"/>
      <dgm:spPr/>
    </dgm:pt>
    <dgm:pt modelId="{37C30AD9-A1E0-4C1B-B858-3E4B6F05FE91}" type="pres">
      <dgm:prSet presAssocID="{BC8502BC-19EF-49DC-9F57-364B0CF253DE}" presName="childNode" presStyleLbl="node1" presStyleIdx="4" presStyleCnt="5">
        <dgm:presLayoutVars>
          <dgm:bulletEnabled val="1"/>
        </dgm:presLayoutVars>
      </dgm:prSet>
      <dgm:spPr/>
    </dgm:pt>
  </dgm:ptLst>
  <dgm:cxnLst>
    <dgm:cxn modelId="{02B74D03-AB38-4ECC-AC6F-583D98490C70}" type="presOf" srcId="{1F9FC4DC-4131-4E32-9B10-0B7C1BBD0CEA}" destId="{AC5902F9-4329-4E1E-8F84-35BDA20A2896}" srcOrd="0" destOrd="0" presId="urn:microsoft.com/office/officeart/2005/8/layout/lProcess2"/>
    <dgm:cxn modelId="{4DDAA811-9D72-4035-B48F-5EA71D8CE0B1}" type="presOf" srcId="{A552B6ED-2A52-4934-902F-A4076B7D1744}" destId="{29115D9B-288D-4BFA-A1D7-1909A2ED0717}" srcOrd="0" destOrd="0" presId="urn:microsoft.com/office/officeart/2005/8/layout/lProcess2"/>
    <dgm:cxn modelId="{1FB0A424-650D-46A8-8E31-7281D091368D}" srcId="{1F9FC4DC-4131-4E32-9B10-0B7C1BBD0CEA}" destId="{4C9A526D-F2D2-4EFB-9645-15D6600B944A}" srcOrd="1" destOrd="0" parTransId="{C8F55E9D-171A-46EE-8CF3-758AA35A1F79}" sibTransId="{3A885E7C-5F12-4424-AB75-FE01ECCCE370}"/>
    <dgm:cxn modelId="{548C3537-7509-44B3-9F7A-DA075B6537AC}" srcId="{4C9A526D-F2D2-4EFB-9645-15D6600B944A}" destId="{B3F1273E-A56A-44BD-AE7D-119F67641E79}" srcOrd="0" destOrd="0" parTransId="{3133077D-2E55-4AD2-9902-D6CF60D8D60C}" sibTransId="{AD8E3965-A730-47D8-837D-E98E3211679F}"/>
    <dgm:cxn modelId="{E58EBC3C-9543-4514-83FA-EC977789B90C}" type="presOf" srcId="{B3F1273E-A56A-44BD-AE7D-119F67641E79}" destId="{6B77F1CA-390C-4E6B-A725-FEA71D0C3009}" srcOrd="0" destOrd="0" presId="urn:microsoft.com/office/officeart/2005/8/layout/lProcess2"/>
    <dgm:cxn modelId="{A509F53E-5496-43B8-AA52-DDE03F8221E9}" type="presOf" srcId="{4B343E3E-2ED7-416F-9E1B-0EBAE9186BCB}" destId="{CC1C6677-4F92-4D2F-B097-227BA0A90EE4}" srcOrd="1" destOrd="0" presId="urn:microsoft.com/office/officeart/2005/8/layout/lProcess2"/>
    <dgm:cxn modelId="{3EF79E71-126C-4783-BFA9-28F925577594}" srcId="{74B9D007-015F-4698-9386-0D6EC215051F}" destId="{1A148466-D60C-4B34-8A24-6980F179D55F}" srcOrd="1" destOrd="0" parTransId="{69A3A8EF-94F0-4C94-8440-B1B7A9FABC13}" sibTransId="{DEC89394-6779-438E-8779-9C11AF33850E}"/>
    <dgm:cxn modelId="{54316F73-3815-4C4F-B980-A30FA0AAB508}" srcId="{4B343E3E-2ED7-416F-9E1B-0EBAE9186BCB}" destId="{BC8502BC-19EF-49DC-9F57-364B0CF253DE}" srcOrd="0" destOrd="0" parTransId="{43988B8E-254A-49CE-BF13-63AB2AF9643F}" sibTransId="{89D52B63-F708-44D3-8917-0210E38F5E87}"/>
    <dgm:cxn modelId="{EC1A3F55-A6CB-4FEA-AC9D-1D8C6C6255C4}" srcId="{74B9D007-015F-4698-9386-0D6EC215051F}" destId="{5AAD75DB-766E-41C5-BD45-A02E02F64726}" srcOrd="0" destOrd="0" parTransId="{D2FF982D-D087-4027-886B-DF1B04EFDC47}" sibTransId="{164F516D-3B78-4424-9D12-DADC30149C8A}"/>
    <dgm:cxn modelId="{3D52B27F-D3D8-48FB-A75F-646522A72993}" type="presOf" srcId="{1A148466-D60C-4B34-8A24-6980F179D55F}" destId="{B9E710F6-2945-470E-9A18-22B2B373B479}" srcOrd="0" destOrd="0" presId="urn:microsoft.com/office/officeart/2005/8/layout/lProcess2"/>
    <dgm:cxn modelId="{E6158090-30D1-447C-AB15-50FCD29073F1}" type="presOf" srcId="{74B9D007-015F-4698-9386-0D6EC215051F}" destId="{975767E7-AA43-4F24-A966-2F4525538000}" srcOrd="0" destOrd="0" presId="urn:microsoft.com/office/officeart/2005/8/layout/lProcess2"/>
    <dgm:cxn modelId="{41A79D92-AAB1-45CD-8217-71F0DCAB4060}" type="presOf" srcId="{74B9D007-015F-4698-9386-0D6EC215051F}" destId="{E9FCAE74-B7ED-4C0F-AEAF-0623549AD1AF}" srcOrd="1" destOrd="0" presId="urn:microsoft.com/office/officeart/2005/8/layout/lProcess2"/>
    <dgm:cxn modelId="{D2504996-E252-4500-B3C0-E404ACE104C3}" srcId="{1F9FC4DC-4131-4E32-9B10-0B7C1BBD0CEA}" destId="{74B9D007-015F-4698-9386-0D6EC215051F}" srcOrd="0" destOrd="0" parTransId="{630D8265-9762-477A-BC24-41211CB9B895}" sibTransId="{B1DFCC7A-C962-4E3A-B5CB-727AE0410958}"/>
    <dgm:cxn modelId="{C85C20AA-CE11-4232-8E5D-2948124160C0}" type="presOf" srcId="{BC8502BC-19EF-49DC-9F57-364B0CF253DE}" destId="{37C30AD9-A1E0-4C1B-B858-3E4B6F05FE91}" srcOrd="0" destOrd="0" presId="urn:microsoft.com/office/officeart/2005/8/layout/lProcess2"/>
    <dgm:cxn modelId="{515917BF-9DFA-47A1-8AFE-78CEA8807338}" srcId="{4C9A526D-F2D2-4EFB-9645-15D6600B944A}" destId="{A552B6ED-2A52-4934-902F-A4076B7D1744}" srcOrd="1" destOrd="0" parTransId="{9C91DDA3-4B6B-46B0-8FF3-29C8CD558879}" sibTransId="{B4F441C1-A015-4721-A664-A6AA5B8D0656}"/>
    <dgm:cxn modelId="{138466D1-2AA8-46D5-B2A9-47153CA73785}" type="presOf" srcId="{4C9A526D-F2D2-4EFB-9645-15D6600B944A}" destId="{59469CBB-6A01-4165-BA4D-8D8DB9E83861}" srcOrd="1" destOrd="0" presId="urn:microsoft.com/office/officeart/2005/8/layout/lProcess2"/>
    <dgm:cxn modelId="{C06009D8-6F4D-4681-8FB0-083FDD5FCE36}" srcId="{1F9FC4DC-4131-4E32-9B10-0B7C1BBD0CEA}" destId="{4B343E3E-2ED7-416F-9E1B-0EBAE9186BCB}" srcOrd="2" destOrd="0" parTransId="{38A9870F-1F9E-4E8B-A2C8-97A5F772DD16}" sibTransId="{F04523BE-3A2D-4A37-A629-F84B058F0515}"/>
    <dgm:cxn modelId="{1187FADD-225F-4F46-8A0C-291F8419DF1D}" type="presOf" srcId="{5AAD75DB-766E-41C5-BD45-A02E02F64726}" destId="{41D91F08-D2AA-49F5-8F33-5CECB341259D}" srcOrd="0" destOrd="0" presId="urn:microsoft.com/office/officeart/2005/8/layout/lProcess2"/>
    <dgm:cxn modelId="{429E4EE9-4954-4E15-A4C5-E1C63FEC32AC}" type="presOf" srcId="{4B343E3E-2ED7-416F-9E1B-0EBAE9186BCB}" destId="{A6031801-A129-4929-B329-DBB5388D6C43}" srcOrd="0" destOrd="0" presId="urn:microsoft.com/office/officeart/2005/8/layout/lProcess2"/>
    <dgm:cxn modelId="{542BF7F2-8B27-4FFA-A042-540133A05E0C}" type="presOf" srcId="{4C9A526D-F2D2-4EFB-9645-15D6600B944A}" destId="{4F233C93-286F-4C5A-A3E8-F09037E5A78F}" srcOrd="0" destOrd="0" presId="urn:microsoft.com/office/officeart/2005/8/layout/lProcess2"/>
    <dgm:cxn modelId="{A944EE73-9600-4A99-8189-AB682B2B3A87}" type="presParOf" srcId="{AC5902F9-4329-4E1E-8F84-35BDA20A2896}" destId="{139958A6-1B9C-4CEF-B2BD-EB7D88CB6FBB}" srcOrd="0" destOrd="0" presId="urn:microsoft.com/office/officeart/2005/8/layout/lProcess2"/>
    <dgm:cxn modelId="{34784CBF-9AC6-4A64-9107-63FF11CDBAF1}" type="presParOf" srcId="{139958A6-1B9C-4CEF-B2BD-EB7D88CB6FBB}" destId="{975767E7-AA43-4F24-A966-2F4525538000}" srcOrd="0" destOrd="0" presId="urn:microsoft.com/office/officeart/2005/8/layout/lProcess2"/>
    <dgm:cxn modelId="{892F7205-E8DC-4665-9C33-B4F84945ADBB}" type="presParOf" srcId="{139958A6-1B9C-4CEF-B2BD-EB7D88CB6FBB}" destId="{E9FCAE74-B7ED-4C0F-AEAF-0623549AD1AF}" srcOrd="1" destOrd="0" presId="urn:microsoft.com/office/officeart/2005/8/layout/lProcess2"/>
    <dgm:cxn modelId="{4EEF9C5E-E728-4ECE-A281-1D8E692F1A5F}" type="presParOf" srcId="{139958A6-1B9C-4CEF-B2BD-EB7D88CB6FBB}" destId="{73F7E5B9-67BC-4643-8AB1-B56F1C775DD1}" srcOrd="2" destOrd="0" presId="urn:microsoft.com/office/officeart/2005/8/layout/lProcess2"/>
    <dgm:cxn modelId="{75365775-DE8B-42AA-8C9E-BDDFE94AD75C}" type="presParOf" srcId="{73F7E5B9-67BC-4643-8AB1-B56F1C775DD1}" destId="{6405B175-4197-4F16-B5B7-DD7952D25D15}" srcOrd="0" destOrd="0" presId="urn:microsoft.com/office/officeart/2005/8/layout/lProcess2"/>
    <dgm:cxn modelId="{A6873FB9-C9A5-4623-9AD5-197D6B27DA83}" type="presParOf" srcId="{6405B175-4197-4F16-B5B7-DD7952D25D15}" destId="{41D91F08-D2AA-49F5-8F33-5CECB341259D}" srcOrd="0" destOrd="0" presId="urn:microsoft.com/office/officeart/2005/8/layout/lProcess2"/>
    <dgm:cxn modelId="{F7C15952-4156-4373-90A8-C1CC1552AFFA}" type="presParOf" srcId="{6405B175-4197-4F16-B5B7-DD7952D25D15}" destId="{9630D65B-6818-4035-8F00-9F3F18A537B4}" srcOrd="1" destOrd="0" presId="urn:microsoft.com/office/officeart/2005/8/layout/lProcess2"/>
    <dgm:cxn modelId="{E1126678-1244-4456-9E9E-0C20E2EB329A}" type="presParOf" srcId="{6405B175-4197-4F16-B5B7-DD7952D25D15}" destId="{B9E710F6-2945-470E-9A18-22B2B373B479}" srcOrd="2" destOrd="0" presId="urn:microsoft.com/office/officeart/2005/8/layout/lProcess2"/>
    <dgm:cxn modelId="{0EDF2E4D-8FF2-4E7D-9084-EEE0E31072C9}" type="presParOf" srcId="{AC5902F9-4329-4E1E-8F84-35BDA20A2896}" destId="{6EAE89D0-F32E-44E4-A273-90ECB7849D71}" srcOrd="1" destOrd="0" presId="urn:microsoft.com/office/officeart/2005/8/layout/lProcess2"/>
    <dgm:cxn modelId="{D5486209-F9F6-4E63-88B8-D93B131EBFCA}" type="presParOf" srcId="{AC5902F9-4329-4E1E-8F84-35BDA20A2896}" destId="{49CA6916-1E6F-466D-894A-16B3D015095B}" srcOrd="2" destOrd="0" presId="urn:microsoft.com/office/officeart/2005/8/layout/lProcess2"/>
    <dgm:cxn modelId="{0983076F-8C6D-4203-B072-483E2E7005BF}" type="presParOf" srcId="{49CA6916-1E6F-466D-894A-16B3D015095B}" destId="{4F233C93-286F-4C5A-A3E8-F09037E5A78F}" srcOrd="0" destOrd="0" presId="urn:microsoft.com/office/officeart/2005/8/layout/lProcess2"/>
    <dgm:cxn modelId="{774006B0-9816-42E9-82C9-60DAE8B33A6C}" type="presParOf" srcId="{49CA6916-1E6F-466D-894A-16B3D015095B}" destId="{59469CBB-6A01-4165-BA4D-8D8DB9E83861}" srcOrd="1" destOrd="0" presId="urn:microsoft.com/office/officeart/2005/8/layout/lProcess2"/>
    <dgm:cxn modelId="{F77A57B1-2526-4080-9B84-A003B1F4A99B}" type="presParOf" srcId="{49CA6916-1E6F-466D-894A-16B3D015095B}" destId="{F8D02649-6BA0-43BD-A068-0C16A0C6B88D}" srcOrd="2" destOrd="0" presId="urn:microsoft.com/office/officeart/2005/8/layout/lProcess2"/>
    <dgm:cxn modelId="{90AE9724-7D79-4BA8-AB95-72DB5CC8F496}" type="presParOf" srcId="{F8D02649-6BA0-43BD-A068-0C16A0C6B88D}" destId="{AD2B2771-BAE8-440A-9B38-2A1536815D7E}" srcOrd="0" destOrd="0" presId="urn:microsoft.com/office/officeart/2005/8/layout/lProcess2"/>
    <dgm:cxn modelId="{D83BC212-C309-486D-A14E-715CAA4521BB}" type="presParOf" srcId="{AD2B2771-BAE8-440A-9B38-2A1536815D7E}" destId="{6B77F1CA-390C-4E6B-A725-FEA71D0C3009}" srcOrd="0" destOrd="0" presId="urn:microsoft.com/office/officeart/2005/8/layout/lProcess2"/>
    <dgm:cxn modelId="{27559563-E027-440E-BB6E-C9615594B464}" type="presParOf" srcId="{AD2B2771-BAE8-440A-9B38-2A1536815D7E}" destId="{88C0AE40-B25B-4CB1-9587-B8DCB8AFDA87}" srcOrd="1" destOrd="0" presId="urn:microsoft.com/office/officeart/2005/8/layout/lProcess2"/>
    <dgm:cxn modelId="{A1A2CFBF-6017-45A6-AF57-12399EA3CE4F}" type="presParOf" srcId="{AD2B2771-BAE8-440A-9B38-2A1536815D7E}" destId="{29115D9B-288D-4BFA-A1D7-1909A2ED0717}" srcOrd="2" destOrd="0" presId="urn:microsoft.com/office/officeart/2005/8/layout/lProcess2"/>
    <dgm:cxn modelId="{6032F427-FC9D-40E0-89CF-BF61C30A3EB4}" type="presParOf" srcId="{AC5902F9-4329-4E1E-8F84-35BDA20A2896}" destId="{1AC70B19-F29F-4E1F-A407-42FA6F6790B2}" srcOrd="3" destOrd="0" presId="urn:microsoft.com/office/officeart/2005/8/layout/lProcess2"/>
    <dgm:cxn modelId="{3688D8C2-7D77-4CE4-95A9-3729C2B5BE02}" type="presParOf" srcId="{AC5902F9-4329-4E1E-8F84-35BDA20A2896}" destId="{559DB05C-D084-46E3-9D72-81F5B6464962}" srcOrd="4" destOrd="0" presId="urn:microsoft.com/office/officeart/2005/8/layout/lProcess2"/>
    <dgm:cxn modelId="{9CEBA335-A6AB-420D-9AAC-89C8AA8F04DC}" type="presParOf" srcId="{559DB05C-D084-46E3-9D72-81F5B6464962}" destId="{A6031801-A129-4929-B329-DBB5388D6C43}" srcOrd="0" destOrd="0" presId="urn:microsoft.com/office/officeart/2005/8/layout/lProcess2"/>
    <dgm:cxn modelId="{423CC0E5-E6FD-4202-B4C1-4AC3E4386EA8}" type="presParOf" srcId="{559DB05C-D084-46E3-9D72-81F5B6464962}" destId="{CC1C6677-4F92-4D2F-B097-227BA0A90EE4}" srcOrd="1" destOrd="0" presId="urn:microsoft.com/office/officeart/2005/8/layout/lProcess2"/>
    <dgm:cxn modelId="{3C3E3B76-91CF-4475-9844-BE21796F9817}" type="presParOf" srcId="{559DB05C-D084-46E3-9D72-81F5B6464962}" destId="{CAD444FE-CC8E-45B5-B02B-7532280800C2}" srcOrd="2" destOrd="0" presId="urn:microsoft.com/office/officeart/2005/8/layout/lProcess2"/>
    <dgm:cxn modelId="{59576D53-2322-416B-8567-14F0A42F7644}" type="presParOf" srcId="{CAD444FE-CC8E-45B5-B02B-7532280800C2}" destId="{A3A1DBA0-5C48-4D15-B538-927F3B40F674}" srcOrd="0" destOrd="0" presId="urn:microsoft.com/office/officeart/2005/8/layout/lProcess2"/>
    <dgm:cxn modelId="{80226487-7B4E-4639-8C32-DDF2D3ED9F81}" type="presParOf" srcId="{A3A1DBA0-5C48-4D15-B538-927F3B40F674}" destId="{37C30AD9-A1E0-4C1B-B858-3E4B6F05FE91}" srcOrd="0" destOrd="0" presId="urn:microsoft.com/office/officeart/2005/8/layout/lProcess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组合 1"/>
      <dsp:cNvGrpSpPr/>
    </dsp:nvGrpSpPr>
    <dsp:grpSpPr>
      <a:xfrm>
        <a:off x="0" y="0"/>
        <a:ext cx="5486400" cy="3200400"/>
        <a:chOff x="0" y="0"/>
        <a:chExt cx="5486400" cy="3200400"/>
      </a:xfrm>
    </dsp:grpSpPr>
    <dsp:sp modelId="{94C7490C-4D81-403A-B942-06DD8E924B4C}">
      <dsp:nvSpPr>
        <dsp:cNvPr id="3" name="矩形 2"/>
        <dsp:cNvSpPr/>
      </dsp:nvSpPr>
      <dsp:spPr bwMode="white">
        <a:xfrm>
          <a:off x="-17" y="485766"/>
          <a:ext cx="1714516" cy="1028709"/>
        </a:xfrm>
        <a:prstGeom prst="rect">
          <a:avLst/>
        </a:prstGeom>
      </dsp:spPr>
      <dsp:style>
        <a:lnRef idx="2">
          <a:schemeClr val="lt1"/>
        </a:lnRef>
        <a:fillRef idx="1">
          <a:schemeClr val="accen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t>Lack of economic resources for development.</a:t>
          </a:r>
          <a:endParaRPr lang="en-US"/>
        </a:p>
      </dsp:txBody>
      <dsp:txXfrm>
        <a:off x="-17" y="485766"/>
        <a:ext cx="1714516" cy="1028709"/>
      </dsp:txXfrm>
    </dsp:sp>
    <dsp:sp modelId="{40B81D02-C646-4DCA-B0E1-E21C71C33A28}">
      <dsp:nvSpPr>
        <dsp:cNvPr id="4" name="矩形 3"/>
        <dsp:cNvSpPr/>
      </dsp:nvSpPr>
      <dsp:spPr bwMode="white">
        <a:xfrm>
          <a:off x="1885951" y="485766"/>
          <a:ext cx="1714516" cy="1028709"/>
        </a:xfrm>
        <a:prstGeom prst="rect">
          <a:avLst/>
        </a:prstGeom>
      </dsp:spPr>
      <dsp:style>
        <a:lnRef idx="2">
          <a:schemeClr val="lt1"/>
        </a:lnRef>
        <a:fillRef idx="1">
          <a:schemeClr val="accen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t>Lack of technological equipment.</a:t>
          </a:r>
          <a:endParaRPr lang="en-US"/>
        </a:p>
      </dsp:txBody>
      <dsp:txXfrm>
        <a:off x="1885951" y="485766"/>
        <a:ext cx="1714516" cy="1028709"/>
      </dsp:txXfrm>
    </dsp:sp>
    <dsp:sp modelId="{9A966B98-494B-4C60-B874-6DA9174DDDFA}">
      <dsp:nvSpPr>
        <dsp:cNvPr id="5" name="矩形 4"/>
        <dsp:cNvSpPr/>
      </dsp:nvSpPr>
      <dsp:spPr bwMode="white">
        <a:xfrm>
          <a:off x="3771918" y="485766"/>
          <a:ext cx="1714516" cy="1028709"/>
        </a:xfrm>
        <a:prstGeom prst="rect">
          <a:avLst/>
        </a:prstGeom>
      </dsp:spPr>
      <dsp:style>
        <a:lnRef idx="2">
          <a:schemeClr val="lt1"/>
        </a:lnRef>
        <a:fillRef idx="1">
          <a:schemeClr val="accen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t>Expensive staff training sessions.</a:t>
          </a:r>
          <a:endParaRPr lang="en-US"/>
        </a:p>
      </dsp:txBody>
      <dsp:txXfrm>
        <a:off x="3771918" y="485766"/>
        <a:ext cx="1714516" cy="1028709"/>
      </dsp:txXfrm>
    </dsp:sp>
    <dsp:sp modelId="{A95F55E7-1909-4F8F-8580-A189B862F383}">
      <dsp:nvSpPr>
        <dsp:cNvPr id="6" name="矩形 5"/>
        <dsp:cNvSpPr/>
      </dsp:nvSpPr>
      <dsp:spPr bwMode="white">
        <a:xfrm>
          <a:off x="942964" y="1685924"/>
          <a:ext cx="1714516" cy="1028709"/>
        </a:xfrm>
        <a:prstGeom prst="rect">
          <a:avLst/>
        </a:prstGeom>
      </dsp:spPr>
      <dsp:style>
        <a:lnRef idx="2">
          <a:schemeClr val="lt1"/>
        </a:lnRef>
        <a:fillRef idx="1">
          <a:schemeClr val="accen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t>Increasing health consciousness which has led to decrease in fast food sales.</a:t>
          </a:r>
          <a:endParaRPr lang="en-US"/>
        </a:p>
      </dsp:txBody>
      <dsp:txXfrm>
        <a:off x="942964" y="1685924"/>
        <a:ext cx="1714516" cy="1028709"/>
      </dsp:txXfrm>
    </dsp:sp>
    <dsp:sp modelId="{F3281BCA-440C-4763-918B-F65D44FAFE53}">
      <dsp:nvSpPr>
        <dsp:cNvPr id="7" name="矩形 6"/>
        <dsp:cNvSpPr/>
      </dsp:nvSpPr>
      <dsp:spPr bwMode="white">
        <a:xfrm>
          <a:off x="2828931" y="1685924"/>
          <a:ext cx="1714516" cy="1028709"/>
        </a:xfrm>
        <a:prstGeom prst="rect">
          <a:avLst/>
        </a:prstGeom>
      </dsp:spPr>
      <dsp:style>
        <a:lnRef idx="2">
          <a:schemeClr val="lt1"/>
        </a:lnRef>
        <a:fillRef idx="1">
          <a:schemeClr val="accen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t>Declining consumer loyalty towards brands. </a:t>
          </a:r>
          <a:endParaRPr lang="en-US"/>
        </a:p>
      </dsp:txBody>
      <dsp:txXfrm>
        <a:off x="2828931" y="1685924"/>
        <a:ext cx="1714516" cy="1028709"/>
      </dsp:txXfrm>
    </dsp:sp>
  </dsp:spTree>
</dsp:drawing>
</file>

<file path=word/diagrams/drawing2.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组合 1"/>
      <dsp:cNvGrpSpPr/>
    </dsp:nvGrpSpPr>
    <dsp:grpSpPr>
      <a:xfrm>
        <a:off x="0" y="0"/>
        <a:ext cx="5486400" cy="3200400"/>
        <a:chOff x="0" y="0"/>
        <a:chExt cx="5486400" cy="3200400"/>
      </a:xfrm>
    </dsp:grpSpPr>
    <dsp:sp modelId="{FDC255C8-07FC-43BF-BFA8-634515E1F53E}">
      <dsp:nvSpPr>
        <dsp:cNvPr id="3" name="圆角矩形 2"/>
        <dsp:cNvSpPr/>
      </dsp:nvSpPr>
      <dsp:spPr bwMode="white">
        <a:xfrm>
          <a:off x="0" y="0"/>
          <a:ext cx="1741714" cy="3200400"/>
        </a:xfrm>
        <a:prstGeom prst="roundRect">
          <a:avLst>
            <a:gd name="adj" fmla="val 10000"/>
          </a:avLst>
        </a:prstGeom>
      </dsp:spPr>
      <dsp:style>
        <a:lnRef idx="0">
          <a:schemeClr val="accent1"/>
        </a:lnRef>
        <a:fillRef idx="1">
          <a:schemeClr val="accent1">
            <a:tint val="40000"/>
          </a:schemeClr>
        </a:fillRef>
        <a:effectRef idx="0">
          <a:scrgbClr r="0" g="0" b="0"/>
        </a:effectRef>
        <a:fontRef idx="minor"/>
      </dsp:style>
      <dsp:txBody>
        <a:bodyPr lIns="106680" tIns="106680" rIns="106680" bIns="106680" anchor="ctr"/>
        <a:lstStyle>
          <a:lvl1pPr algn="ctr">
            <a:defRPr sz="2800"/>
          </a:lvl1pPr>
          <a:lvl2pPr marL="228600" indent="-228600" algn="ctr">
            <a:defRPr sz="2100"/>
          </a:lvl2pPr>
          <a:lvl3pPr marL="457200" indent="-228600" algn="ctr">
            <a:defRPr sz="2100"/>
          </a:lvl3pPr>
          <a:lvl4pPr marL="685800" indent="-228600" algn="ctr">
            <a:defRPr sz="2100"/>
          </a:lvl4pPr>
          <a:lvl5pPr marL="914400" indent="-228600" algn="ctr">
            <a:defRPr sz="2100"/>
          </a:lvl5pPr>
          <a:lvl6pPr marL="1143000" indent="-228600" algn="ctr">
            <a:defRPr sz="2100"/>
          </a:lvl6pPr>
          <a:lvl7pPr marL="1371600" indent="-228600" algn="ctr">
            <a:defRPr sz="2100"/>
          </a:lvl7pPr>
          <a:lvl8pPr marL="1600200" indent="-228600" algn="ctr">
            <a:defRPr sz="2100"/>
          </a:lvl8pPr>
          <a:lvl9pPr marL="1828800" indent="-228600" algn="ctr">
            <a:defRPr sz="2100"/>
          </a:lvl9pPr>
        </a:lstStyle>
        <a:p>
          <a:pPr lvl="0">
            <a:lnSpc>
              <a:spcPct val="100000"/>
            </a:lnSpc>
            <a:spcBef>
              <a:spcPct val="0"/>
            </a:spcBef>
            <a:spcAft>
              <a:spcPct val="35000"/>
            </a:spcAft>
          </a:pPr>
          <a:r>
            <a:rPr lang="en-US">
              <a:solidFill>
                <a:schemeClr val="dk1"/>
              </a:solidFill>
            </a:rPr>
            <a:t>Political </a:t>
          </a:r>
          <a:endParaRPr>
            <a:solidFill>
              <a:schemeClr val="dk1"/>
            </a:solidFill>
          </a:endParaRPr>
        </a:p>
      </dsp:txBody>
      <dsp:txXfrm>
        <a:off x="0" y="0"/>
        <a:ext cx="1741714" cy="3200400"/>
      </dsp:txXfrm>
    </dsp:sp>
    <dsp:sp modelId="{4C2570AD-0D1C-4012-ACCC-938EFC9F441C}">
      <dsp:nvSpPr>
        <dsp:cNvPr id="4" name="圆角矩形 3"/>
        <dsp:cNvSpPr/>
      </dsp:nvSpPr>
      <dsp:spPr bwMode="white">
        <a:xfrm>
          <a:off x="174171" y="960120"/>
          <a:ext cx="1393371" cy="965835"/>
        </a:xfrm>
        <a:prstGeom prst="roundRect">
          <a:avLst>
            <a:gd name="adj" fmla="val 10000"/>
          </a:avLst>
        </a:prstGeom>
      </dsp:spPr>
      <dsp:style>
        <a:lnRef idx="2">
          <a:schemeClr val="lt1"/>
        </a:lnRef>
        <a:fillRef idx="1">
          <a:schemeClr val="accent1"/>
        </a:fillRef>
        <a:effectRef idx="0">
          <a:scrgbClr r="0" g="0" b="0"/>
        </a:effectRef>
        <a:fontRef idx="minor">
          <a:schemeClr val="lt1"/>
        </a:fontRef>
      </dsp:style>
      <dsp:txBody>
        <a:bodyPr lIns="27940" tIns="20955" rIns="27940" bIns="20955"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100">
              <a:latin typeface="Times New Roman" panose="02020603050405020304" charset="0"/>
              <a:cs typeface="Times New Roman" panose="02020603050405020304" charset="0"/>
            </a:rPr>
            <a:t>The UK government is supporting the development of industry 4.0.</a:t>
          </a:r>
          <a:endParaRPr lang="en-US" sz="1100">
            <a:latin typeface="Times New Roman" panose="02020603050405020304" charset="0"/>
            <a:cs typeface="Times New Roman" panose="02020603050405020304" charset="0"/>
          </a:endParaRPr>
        </a:p>
      </dsp:txBody>
      <dsp:txXfrm>
        <a:off x="174171" y="960120"/>
        <a:ext cx="1393371" cy="965835"/>
      </dsp:txXfrm>
    </dsp:sp>
    <dsp:sp modelId="{4E395074-4F0E-44CE-BFDE-F171DE815B47}">
      <dsp:nvSpPr>
        <dsp:cNvPr id="5" name="圆角矩形 4"/>
        <dsp:cNvSpPr/>
      </dsp:nvSpPr>
      <dsp:spPr bwMode="white">
        <a:xfrm>
          <a:off x="174171" y="2074545"/>
          <a:ext cx="1393371" cy="965835"/>
        </a:xfrm>
        <a:prstGeom prst="roundRect">
          <a:avLst>
            <a:gd name="adj" fmla="val 10000"/>
          </a:avLst>
        </a:prstGeom>
      </dsp:spPr>
      <dsp:style>
        <a:lnRef idx="2">
          <a:schemeClr val="lt1"/>
        </a:lnRef>
        <a:fillRef idx="1">
          <a:schemeClr val="accent1"/>
        </a:fillRef>
        <a:effectRef idx="0">
          <a:scrgbClr r="0" g="0" b="0"/>
        </a:effectRef>
        <a:fontRef idx="minor">
          <a:schemeClr val="lt1"/>
        </a:fontRef>
      </dsp:style>
      <dsp:txBody>
        <a:bodyPr lIns="27940" tIns="20955" rIns="27940" bIns="20955"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100">
              <a:latin typeface="Times New Roman" panose="02020603050405020304" charset="0"/>
              <a:cs typeface="Times New Roman" panose="02020603050405020304" charset="0"/>
            </a:rPr>
            <a:t>Brexit requires the company to form a new contractual agreement (Greggs, 2022) (Klaar, Carver and Kay, 2020).</a:t>
          </a:r>
          <a:endParaRPr lang="en-US" sz="1100">
            <a:latin typeface="Times New Roman" panose="02020603050405020304" charset="0"/>
            <a:cs typeface="Times New Roman" panose="02020603050405020304" charset="0"/>
          </a:endParaRPr>
        </a:p>
      </dsp:txBody>
      <dsp:txXfrm>
        <a:off x="174171" y="2074545"/>
        <a:ext cx="1393371" cy="965835"/>
      </dsp:txXfrm>
    </dsp:sp>
    <dsp:sp modelId="{30D43C5B-A5A3-46DB-8408-63810966D296}">
      <dsp:nvSpPr>
        <dsp:cNvPr id="6" name="圆角矩形 5"/>
        <dsp:cNvSpPr/>
      </dsp:nvSpPr>
      <dsp:spPr bwMode="white">
        <a:xfrm>
          <a:off x="1872343" y="0"/>
          <a:ext cx="1741714" cy="3200400"/>
        </a:xfrm>
        <a:prstGeom prst="roundRect">
          <a:avLst>
            <a:gd name="adj" fmla="val 10000"/>
          </a:avLst>
        </a:prstGeom>
      </dsp:spPr>
      <dsp:style>
        <a:lnRef idx="0">
          <a:schemeClr val="accent1"/>
        </a:lnRef>
        <a:fillRef idx="1">
          <a:schemeClr val="accent1">
            <a:tint val="40000"/>
          </a:schemeClr>
        </a:fillRef>
        <a:effectRef idx="0">
          <a:scrgbClr r="0" g="0" b="0"/>
        </a:effectRef>
        <a:fontRef idx="minor"/>
      </dsp:style>
      <dsp:txBody>
        <a:bodyPr lIns="106680" tIns="106680" rIns="106680" bIns="106680" anchor="ctr"/>
        <a:lstStyle>
          <a:lvl1pPr algn="ctr">
            <a:defRPr sz="2800"/>
          </a:lvl1pPr>
          <a:lvl2pPr marL="228600" indent="-228600" algn="ctr">
            <a:defRPr sz="2100"/>
          </a:lvl2pPr>
          <a:lvl3pPr marL="457200" indent="-228600" algn="ctr">
            <a:defRPr sz="2100"/>
          </a:lvl3pPr>
          <a:lvl4pPr marL="685800" indent="-228600" algn="ctr">
            <a:defRPr sz="2100"/>
          </a:lvl4pPr>
          <a:lvl5pPr marL="914400" indent="-228600" algn="ctr">
            <a:defRPr sz="2100"/>
          </a:lvl5pPr>
          <a:lvl6pPr marL="1143000" indent="-228600" algn="ctr">
            <a:defRPr sz="2100"/>
          </a:lvl6pPr>
          <a:lvl7pPr marL="1371600" indent="-228600" algn="ctr">
            <a:defRPr sz="2100"/>
          </a:lvl7pPr>
          <a:lvl8pPr marL="1600200" indent="-228600" algn="ctr">
            <a:defRPr sz="2100"/>
          </a:lvl8pPr>
          <a:lvl9pPr marL="1828800" indent="-228600" algn="ctr">
            <a:defRPr sz="2100"/>
          </a:lvl9pPr>
        </a:lstStyle>
        <a:p>
          <a:pPr lvl="0">
            <a:lnSpc>
              <a:spcPct val="100000"/>
            </a:lnSpc>
            <a:spcBef>
              <a:spcPct val="0"/>
            </a:spcBef>
            <a:spcAft>
              <a:spcPct val="35000"/>
            </a:spcAft>
          </a:pPr>
          <a:r>
            <a:rPr lang="en-US">
              <a:solidFill>
                <a:schemeClr val="dk1"/>
              </a:solidFill>
            </a:rPr>
            <a:t>Economic</a:t>
          </a:r>
          <a:endParaRPr>
            <a:solidFill>
              <a:schemeClr val="dk1"/>
            </a:solidFill>
          </a:endParaRPr>
        </a:p>
      </dsp:txBody>
      <dsp:txXfrm>
        <a:off x="1872343" y="0"/>
        <a:ext cx="1741714" cy="3200400"/>
      </dsp:txXfrm>
    </dsp:sp>
    <dsp:sp modelId="{CE840738-D264-456E-BA55-2EC3B79B182F}">
      <dsp:nvSpPr>
        <dsp:cNvPr id="7" name="圆角矩形 6"/>
        <dsp:cNvSpPr/>
      </dsp:nvSpPr>
      <dsp:spPr bwMode="white">
        <a:xfrm>
          <a:off x="2046514" y="960120"/>
          <a:ext cx="1393371" cy="965835"/>
        </a:xfrm>
        <a:prstGeom prst="roundRect">
          <a:avLst>
            <a:gd name="adj" fmla="val 10000"/>
          </a:avLst>
        </a:prstGeom>
      </dsp:spPr>
      <dsp:style>
        <a:lnRef idx="2">
          <a:schemeClr val="lt1"/>
        </a:lnRef>
        <a:fillRef idx="1">
          <a:schemeClr val="accent1"/>
        </a:fillRef>
        <a:effectRef idx="0">
          <a:scrgbClr r="0" g="0" b="0"/>
        </a:effectRef>
        <a:fontRef idx="minor">
          <a:schemeClr val="lt1"/>
        </a:fontRef>
      </dsp:style>
      <dsp:txBody>
        <a:bodyPr lIns="27940" tIns="20955" rIns="27940" bIns="20955"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100">
              <a:latin typeface="Times New Roman" panose="02020603050405020304" charset="0"/>
              <a:cs typeface="Times New Roman" panose="02020603050405020304" charset="0"/>
            </a:rPr>
            <a:t>Brexit causes much fluctuation in the rate.</a:t>
          </a:r>
          <a:endParaRPr lang="en-US" sz="1100">
            <a:latin typeface="Times New Roman" panose="02020603050405020304" charset="0"/>
            <a:cs typeface="Times New Roman" panose="02020603050405020304" charset="0"/>
          </a:endParaRPr>
        </a:p>
      </dsp:txBody>
      <dsp:txXfrm>
        <a:off x="2046514" y="960120"/>
        <a:ext cx="1393371" cy="965835"/>
      </dsp:txXfrm>
    </dsp:sp>
    <dsp:sp modelId="{7C190599-7E05-422F-858C-CD7429E20491}">
      <dsp:nvSpPr>
        <dsp:cNvPr id="8" name="圆角矩形 7"/>
        <dsp:cNvSpPr/>
      </dsp:nvSpPr>
      <dsp:spPr bwMode="white">
        <a:xfrm>
          <a:off x="2046514" y="2074545"/>
          <a:ext cx="1393371" cy="965835"/>
        </a:xfrm>
        <a:prstGeom prst="roundRect">
          <a:avLst>
            <a:gd name="adj" fmla="val 10000"/>
          </a:avLst>
        </a:prstGeom>
      </dsp:spPr>
      <dsp:style>
        <a:lnRef idx="2">
          <a:schemeClr val="lt1"/>
        </a:lnRef>
        <a:fillRef idx="1">
          <a:schemeClr val="accent1"/>
        </a:fillRef>
        <a:effectRef idx="0">
          <a:scrgbClr r="0" g="0" b="0"/>
        </a:effectRef>
        <a:fontRef idx="minor">
          <a:schemeClr val="lt1"/>
        </a:fontRef>
      </dsp:style>
      <dsp:txBody>
        <a:bodyPr lIns="27940" tIns="20955" rIns="27940" bIns="20955"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100">
              <a:latin typeface="Times New Roman" panose="02020603050405020304" charset="0"/>
              <a:cs typeface="Times New Roman" panose="02020603050405020304" charset="0"/>
            </a:rPr>
            <a:t>Foreign exchange rates have also increased which affects the price of raw materials (Greggs, 2022).</a:t>
          </a:r>
          <a:endParaRPr lang="en-US" sz="1100">
            <a:latin typeface="Times New Roman" panose="02020603050405020304" charset="0"/>
            <a:cs typeface="Times New Roman" panose="02020603050405020304" charset="0"/>
          </a:endParaRPr>
        </a:p>
      </dsp:txBody>
      <dsp:txXfrm>
        <a:off x="2046514" y="2074545"/>
        <a:ext cx="1393371" cy="965835"/>
      </dsp:txXfrm>
    </dsp:sp>
    <dsp:sp modelId="{09AC7F49-4016-4851-BAF5-6ABDCAC37E69}">
      <dsp:nvSpPr>
        <dsp:cNvPr id="9" name="圆角矩形 8"/>
        <dsp:cNvSpPr/>
      </dsp:nvSpPr>
      <dsp:spPr bwMode="white">
        <a:xfrm>
          <a:off x="3744686" y="0"/>
          <a:ext cx="1741714" cy="3200400"/>
        </a:xfrm>
        <a:prstGeom prst="roundRect">
          <a:avLst>
            <a:gd name="adj" fmla="val 10000"/>
          </a:avLst>
        </a:prstGeom>
      </dsp:spPr>
      <dsp:style>
        <a:lnRef idx="0">
          <a:schemeClr val="accent1"/>
        </a:lnRef>
        <a:fillRef idx="1">
          <a:schemeClr val="accent1">
            <a:tint val="40000"/>
          </a:schemeClr>
        </a:fillRef>
        <a:effectRef idx="0">
          <a:scrgbClr r="0" g="0" b="0"/>
        </a:effectRef>
        <a:fontRef idx="minor"/>
      </dsp:style>
      <dsp:txBody>
        <a:bodyPr lIns="106680" tIns="106680" rIns="106680" bIns="106680" anchor="ctr"/>
        <a:lstStyle>
          <a:lvl1pPr algn="ctr">
            <a:defRPr sz="2800"/>
          </a:lvl1pPr>
          <a:lvl2pPr marL="228600" indent="-228600" algn="ctr">
            <a:defRPr sz="2100"/>
          </a:lvl2pPr>
          <a:lvl3pPr marL="457200" indent="-228600" algn="ctr">
            <a:defRPr sz="2100"/>
          </a:lvl3pPr>
          <a:lvl4pPr marL="685800" indent="-228600" algn="ctr">
            <a:defRPr sz="2100"/>
          </a:lvl4pPr>
          <a:lvl5pPr marL="914400" indent="-228600" algn="ctr">
            <a:defRPr sz="2100"/>
          </a:lvl5pPr>
          <a:lvl6pPr marL="1143000" indent="-228600" algn="ctr">
            <a:defRPr sz="2100"/>
          </a:lvl6pPr>
          <a:lvl7pPr marL="1371600" indent="-228600" algn="ctr">
            <a:defRPr sz="2100"/>
          </a:lvl7pPr>
          <a:lvl8pPr marL="1600200" indent="-228600" algn="ctr">
            <a:defRPr sz="2100"/>
          </a:lvl8pPr>
          <a:lvl9pPr marL="1828800" indent="-228600" algn="ctr">
            <a:defRPr sz="2100"/>
          </a:lvl9pPr>
        </a:lstStyle>
        <a:p>
          <a:pPr lvl="0">
            <a:lnSpc>
              <a:spcPct val="100000"/>
            </a:lnSpc>
            <a:spcBef>
              <a:spcPct val="0"/>
            </a:spcBef>
            <a:spcAft>
              <a:spcPct val="35000"/>
            </a:spcAft>
          </a:pPr>
          <a:r>
            <a:rPr lang="en-US">
              <a:solidFill>
                <a:schemeClr val="dk1"/>
              </a:solidFill>
            </a:rPr>
            <a:t>Social</a:t>
          </a:r>
          <a:endParaRPr>
            <a:solidFill>
              <a:schemeClr val="dk1"/>
            </a:solidFill>
          </a:endParaRPr>
        </a:p>
      </dsp:txBody>
      <dsp:txXfrm>
        <a:off x="3744686" y="0"/>
        <a:ext cx="1741714" cy="3200400"/>
      </dsp:txXfrm>
    </dsp:sp>
    <dsp:sp modelId="{8FF25B4E-D82E-4E6D-A220-BB5D547EB35A}">
      <dsp:nvSpPr>
        <dsp:cNvPr id="10" name="圆角矩形 9"/>
        <dsp:cNvSpPr/>
      </dsp:nvSpPr>
      <dsp:spPr bwMode="white">
        <a:xfrm>
          <a:off x="3918857" y="960120"/>
          <a:ext cx="1393371" cy="965835"/>
        </a:xfrm>
        <a:prstGeom prst="roundRect">
          <a:avLst>
            <a:gd name="adj" fmla="val 10000"/>
          </a:avLst>
        </a:prstGeom>
      </dsp:spPr>
      <dsp:style>
        <a:lnRef idx="2">
          <a:schemeClr val="lt1"/>
        </a:lnRef>
        <a:fillRef idx="1">
          <a:schemeClr val="accent1"/>
        </a:fillRef>
        <a:effectRef idx="0">
          <a:scrgbClr r="0" g="0" b="0"/>
        </a:effectRef>
        <a:fontRef idx="minor">
          <a:schemeClr val="lt1"/>
        </a:fontRef>
      </dsp:style>
      <dsp:txBody>
        <a:bodyPr lIns="27940" tIns="20955" rIns="27940" bIns="20955"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100">
              <a:latin typeface="Times New Roman" panose="02020603050405020304" charset="0"/>
              <a:cs typeface="Times New Roman" panose="02020603050405020304" charset="0"/>
            </a:rPr>
            <a:t>Consumer behavior is fast transforming.</a:t>
          </a:r>
          <a:endParaRPr lang="en-US" sz="1100">
            <a:latin typeface="Times New Roman" panose="02020603050405020304" charset="0"/>
            <a:cs typeface="Times New Roman" panose="02020603050405020304" charset="0"/>
          </a:endParaRPr>
        </a:p>
      </dsp:txBody>
      <dsp:txXfrm>
        <a:off x="3918857" y="960120"/>
        <a:ext cx="1393371" cy="965835"/>
      </dsp:txXfrm>
    </dsp:sp>
    <dsp:sp modelId="{CE72B439-3C60-4925-B991-62AB20CCC123}">
      <dsp:nvSpPr>
        <dsp:cNvPr id="11" name="圆角矩形 10"/>
        <dsp:cNvSpPr/>
      </dsp:nvSpPr>
      <dsp:spPr bwMode="white">
        <a:xfrm>
          <a:off x="3918857" y="2074545"/>
          <a:ext cx="1393371" cy="965835"/>
        </a:xfrm>
        <a:prstGeom prst="roundRect">
          <a:avLst>
            <a:gd name="adj" fmla="val 10000"/>
          </a:avLst>
        </a:prstGeom>
      </dsp:spPr>
      <dsp:style>
        <a:lnRef idx="2">
          <a:schemeClr val="lt1"/>
        </a:lnRef>
        <a:fillRef idx="1">
          <a:schemeClr val="accent1"/>
        </a:fillRef>
        <a:effectRef idx="0">
          <a:scrgbClr r="0" g="0" b="0"/>
        </a:effectRef>
        <a:fontRef idx="minor">
          <a:schemeClr val="lt1"/>
        </a:fontRef>
      </dsp:style>
      <dsp:txBody>
        <a:bodyPr lIns="27940" tIns="20955" rIns="27940" bIns="20955"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100">
              <a:latin typeface="Times New Roman" panose="02020603050405020304" charset="0"/>
              <a:cs typeface="Times New Roman" panose="02020603050405020304" charset="0"/>
            </a:rPr>
            <a:t>People are getting redirected towards healthy food rather than fast food (Greggs, 2022).</a:t>
          </a:r>
          <a:endParaRPr lang="en-US" sz="1100">
            <a:latin typeface="Times New Roman" panose="02020603050405020304" charset="0"/>
            <a:cs typeface="Times New Roman" panose="02020603050405020304" charset="0"/>
          </a:endParaRPr>
        </a:p>
      </dsp:txBody>
      <dsp:txXfrm>
        <a:off x="3918857" y="2074545"/>
        <a:ext cx="1393371" cy="965835"/>
      </dsp:txXfrm>
    </dsp:sp>
  </dsp:spTree>
</dsp:drawing>
</file>

<file path=word/diagrams/drawing3.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组合 1"/>
      <dsp:cNvGrpSpPr/>
    </dsp:nvGrpSpPr>
    <dsp:grpSpPr>
      <a:xfrm>
        <a:off x="0" y="0"/>
        <a:ext cx="5486400" cy="3200400"/>
        <a:chOff x="0" y="0"/>
        <a:chExt cx="5486400" cy="3200400"/>
      </a:xfrm>
    </dsp:grpSpPr>
    <dsp:sp modelId="{975767E7-AA43-4F24-A966-2F4525538000}">
      <dsp:nvSpPr>
        <dsp:cNvPr id="3" name="圆角矩形 2"/>
        <dsp:cNvSpPr/>
      </dsp:nvSpPr>
      <dsp:spPr bwMode="white">
        <a:xfrm>
          <a:off x="0" y="0"/>
          <a:ext cx="1741714" cy="3200400"/>
        </a:xfrm>
        <a:prstGeom prst="roundRect">
          <a:avLst>
            <a:gd name="adj" fmla="val 10000"/>
          </a:avLst>
        </a:prstGeom>
      </dsp:spPr>
      <dsp:style>
        <a:lnRef idx="0">
          <a:schemeClr val="accent1"/>
        </a:lnRef>
        <a:fillRef idx="1">
          <a:schemeClr val="accent1">
            <a:tint val="40000"/>
          </a:schemeClr>
        </a:fillRef>
        <a:effectRef idx="0">
          <a:scrgbClr r="0" g="0" b="0"/>
        </a:effectRef>
        <a:fontRef idx="minor"/>
      </dsp:style>
      <dsp:txBody>
        <a:bodyPr lIns="72390" tIns="72390" rIns="72390" bIns="72390" anchor="ctr"/>
        <a:lstStyle>
          <a:lvl1pPr algn="ctr">
            <a:defRPr sz="1900"/>
          </a:lvl1pPr>
          <a:lvl2pPr marL="114300" indent="-114300" algn="ctr">
            <a:defRPr sz="1400"/>
          </a:lvl2pPr>
          <a:lvl3pPr marL="228600" indent="-114300" algn="ctr">
            <a:defRPr sz="1400"/>
          </a:lvl3pPr>
          <a:lvl4pPr marL="342900" indent="-114300" algn="ctr">
            <a:defRPr sz="1400"/>
          </a:lvl4pPr>
          <a:lvl5pPr marL="457200" indent="-114300" algn="ctr">
            <a:defRPr sz="1400"/>
          </a:lvl5pPr>
          <a:lvl6pPr marL="571500" indent="-114300" algn="ctr">
            <a:defRPr sz="1400"/>
          </a:lvl6pPr>
          <a:lvl7pPr marL="685800" indent="-114300" algn="ctr">
            <a:defRPr sz="1400"/>
          </a:lvl7pPr>
          <a:lvl8pPr marL="800100" indent="-114300" algn="ctr">
            <a:defRPr sz="1400"/>
          </a:lvl8pPr>
          <a:lvl9pPr marL="914400" indent="-114300" algn="ctr">
            <a:defRPr sz="1400"/>
          </a:lvl9pPr>
        </a:lstStyle>
        <a:p>
          <a:pPr lvl="0">
            <a:lnSpc>
              <a:spcPct val="100000"/>
            </a:lnSpc>
            <a:spcBef>
              <a:spcPct val="0"/>
            </a:spcBef>
            <a:spcAft>
              <a:spcPct val="35000"/>
            </a:spcAft>
          </a:pPr>
          <a:r>
            <a:rPr lang="en-US">
              <a:solidFill>
                <a:schemeClr val="dk1"/>
              </a:solidFill>
            </a:rPr>
            <a:t>Technological</a:t>
          </a:r>
          <a:endParaRPr>
            <a:solidFill>
              <a:schemeClr val="dk1"/>
            </a:solidFill>
          </a:endParaRPr>
        </a:p>
      </dsp:txBody>
      <dsp:txXfrm>
        <a:off x="0" y="0"/>
        <a:ext cx="1741714" cy="3200400"/>
      </dsp:txXfrm>
    </dsp:sp>
    <dsp:sp modelId="{41D91F08-D2AA-49F5-8F33-5CECB341259D}">
      <dsp:nvSpPr>
        <dsp:cNvPr id="4" name="圆角矩形 3"/>
        <dsp:cNvSpPr/>
      </dsp:nvSpPr>
      <dsp:spPr bwMode="white">
        <a:xfrm>
          <a:off x="174171" y="960120"/>
          <a:ext cx="1393371" cy="965835"/>
        </a:xfrm>
        <a:prstGeom prst="roundRect">
          <a:avLst>
            <a:gd name="adj" fmla="val 10000"/>
          </a:avLst>
        </a:prstGeom>
      </dsp:spPr>
      <dsp:style>
        <a:lnRef idx="2">
          <a:schemeClr val="lt1"/>
        </a:lnRef>
        <a:fillRef idx="1">
          <a:schemeClr val="accent1"/>
        </a:fillRef>
        <a:effectRef idx="0">
          <a:scrgbClr r="0" g="0" b="0"/>
        </a:effectRef>
        <a:fontRef idx="minor">
          <a:schemeClr val="lt1"/>
        </a:fontRef>
      </dsp:style>
      <dsp:txBody>
        <a:bodyPr lIns="30480" tIns="22859" rIns="30480" bIns="2285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200">
              <a:latin typeface="Times New Roman" panose="02020603050405020304" charset="0"/>
              <a:cs typeface="Times New Roman" panose="02020603050405020304" charset="0"/>
            </a:rPr>
            <a:t>The UK is developing a robust 4.0 industry. Digital revolution is challenging for the company.</a:t>
          </a:r>
          <a:endParaRPr lang="en-US" sz="1200">
            <a:latin typeface="Times New Roman" panose="02020603050405020304" charset="0"/>
            <a:cs typeface="Times New Roman" panose="02020603050405020304" charset="0"/>
          </a:endParaRPr>
        </a:p>
      </dsp:txBody>
      <dsp:txXfrm>
        <a:off x="174171" y="960120"/>
        <a:ext cx="1393371" cy="965835"/>
      </dsp:txXfrm>
    </dsp:sp>
    <dsp:sp modelId="{B9E710F6-2945-470E-9A18-22B2B373B479}">
      <dsp:nvSpPr>
        <dsp:cNvPr id="5" name="圆角矩形 4"/>
        <dsp:cNvSpPr/>
      </dsp:nvSpPr>
      <dsp:spPr bwMode="white">
        <a:xfrm>
          <a:off x="174171" y="2074545"/>
          <a:ext cx="1393371" cy="965835"/>
        </a:xfrm>
        <a:prstGeom prst="roundRect">
          <a:avLst>
            <a:gd name="adj" fmla="val 10000"/>
          </a:avLst>
        </a:prstGeom>
      </dsp:spPr>
      <dsp:style>
        <a:lnRef idx="2">
          <a:schemeClr val="lt1"/>
        </a:lnRef>
        <a:fillRef idx="1">
          <a:schemeClr val="accent1"/>
        </a:fillRef>
        <a:effectRef idx="0">
          <a:scrgbClr r="0" g="0" b="0"/>
        </a:effectRef>
        <a:fontRef idx="minor">
          <a:schemeClr val="lt1"/>
        </a:fontRef>
      </dsp:style>
      <dsp:txBody>
        <a:bodyPr lIns="30480" tIns="22859" rIns="30480" bIns="2285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200">
              <a:latin typeface="Times New Roman" panose="02020603050405020304" charset="0"/>
              <a:cs typeface="Times New Roman" panose="02020603050405020304" charset="0"/>
            </a:rPr>
            <a:t>Uninterrupted tracking systems have to be developed (Greggs, 2022) (Klaar, Carver and Kay, 2020).</a:t>
          </a:r>
          <a:endParaRPr lang="en-US" sz="1200">
            <a:latin typeface="Times New Roman" panose="02020603050405020304" charset="0"/>
            <a:cs typeface="Times New Roman" panose="02020603050405020304" charset="0"/>
          </a:endParaRPr>
        </a:p>
      </dsp:txBody>
      <dsp:txXfrm>
        <a:off x="174171" y="2074545"/>
        <a:ext cx="1393371" cy="965835"/>
      </dsp:txXfrm>
    </dsp:sp>
    <dsp:sp modelId="{4F233C93-286F-4C5A-A3E8-F09037E5A78F}">
      <dsp:nvSpPr>
        <dsp:cNvPr id="6" name="圆角矩形 5"/>
        <dsp:cNvSpPr/>
      </dsp:nvSpPr>
      <dsp:spPr bwMode="white">
        <a:xfrm>
          <a:off x="1872343" y="0"/>
          <a:ext cx="1741714" cy="3200400"/>
        </a:xfrm>
        <a:prstGeom prst="roundRect">
          <a:avLst>
            <a:gd name="adj" fmla="val 10000"/>
          </a:avLst>
        </a:prstGeom>
      </dsp:spPr>
      <dsp:style>
        <a:lnRef idx="0">
          <a:schemeClr val="accent1"/>
        </a:lnRef>
        <a:fillRef idx="1">
          <a:schemeClr val="accent1">
            <a:tint val="40000"/>
          </a:schemeClr>
        </a:fillRef>
        <a:effectRef idx="0">
          <a:scrgbClr r="0" g="0" b="0"/>
        </a:effectRef>
        <a:fontRef idx="minor"/>
      </dsp:style>
      <dsp:txBody>
        <a:bodyPr lIns="72390" tIns="72390" rIns="72390" bIns="72390" anchor="ctr"/>
        <a:lstStyle>
          <a:lvl1pPr algn="ctr">
            <a:defRPr sz="1900"/>
          </a:lvl1pPr>
          <a:lvl2pPr marL="114300" indent="-114300" algn="ctr">
            <a:defRPr sz="1400"/>
          </a:lvl2pPr>
          <a:lvl3pPr marL="228600" indent="-114300" algn="ctr">
            <a:defRPr sz="1400"/>
          </a:lvl3pPr>
          <a:lvl4pPr marL="342900" indent="-114300" algn="ctr">
            <a:defRPr sz="1400"/>
          </a:lvl4pPr>
          <a:lvl5pPr marL="457200" indent="-114300" algn="ctr">
            <a:defRPr sz="1400"/>
          </a:lvl5pPr>
          <a:lvl6pPr marL="571500" indent="-114300" algn="ctr">
            <a:defRPr sz="1400"/>
          </a:lvl6pPr>
          <a:lvl7pPr marL="685800" indent="-114300" algn="ctr">
            <a:defRPr sz="1400"/>
          </a:lvl7pPr>
          <a:lvl8pPr marL="800100" indent="-114300" algn="ctr">
            <a:defRPr sz="1400"/>
          </a:lvl8pPr>
          <a:lvl9pPr marL="914400" indent="-114300" algn="ctr">
            <a:defRPr sz="1400"/>
          </a:lvl9pPr>
        </a:lstStyle>
        <a:p>
          <a:pPr lvl="0">
            <a:lnSpc>
              <a:spcPct val="100000"/>
            </a:lnSpc>
            <a:spcBef>
              <a:spcPct val="0"/>
            </a:spcBef>
            <a:spcAft>
              <a:spcPct val="35000"/>
            </a:spcAft>
          </a:pPr>
          <a:r>
            <a:rPr lang="en-US">
              <a:solidFill>
                <a:schemeClr val="dk1"/>
              </a:solidFill>
            </a:rPr>
            <a:t>Environmental</a:t>
          </a:r>
          <a:endParaRPr>
            <a:solidFill>
              <a:schemeClr val="dk1"/>
            </a:solidFill>
          </a:endParaRPr>
        </a:p>
      </dsp:txBody>
      <dsp:txXfrm>
        <a:off x="1872343" y="0"/>
        <a:ext cx="1741714" cy="3200400"/>
      </dsp:txXfrm>
    </dsp:sp>
    <dsp:sp modelId="{6B77F1CA-390C-4E6B-A725-FEA71D0C3009}">
      <dsp:nvSpPr>
        <dsp:cNvPr id="7" name="圆角矩形 6"/>
        <dsp:cNvSpPr/>
      </dsp:nvSpPr>
      <dsp:spPr bwMode="white">
        <a:xfrm>
          <a:off x="2046514" y="960120"/>
          <a:ext cx="1393371" cy="965835"/>
        </a:xfrm>
        <a:prstGeom prst="roundRect">
          <a:avLst>
            <a:gd name="adj" fmla="val 10000"/>
          </a:avLst>
        </a:prstGeom>
      </dsp:spPr>
      <dsp:style>
        <a:lnRef idx="2">
          <a:schemeClr val="lt1"/>
        </a:lnRef>
        <a:fillRef idx="1">
          <a:schemeClr val="accent1"/>
        </a:fillRef>
        <a:effectRef idx="0">
          <a:scrgbClr r="0" g="0" b="0"/>
        </a:effectRef>
        <a:fontRef idx="minor">
          <a:schemeClr val="lt1"/>
        </a:fontRef>
      </dsp:style>
      <dsp:txBody>
        <a:bodyPr lIns="30480" tIns="22859" rIns="30480" bIns="2285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200">
              <a:latin typeface="Times New Roman" panose="02020603050405020304" charset="0"/>
              <a:cs typeface="Times New Roman" panose="02020603050405020304" charset="0"/>
            </a:rPr>
            <a:t>The UK’s environment is getting degraded which demands lower carbon emission rates.</a:t>
          </a:r>
          <a:endParaRPr lang="en-US" sz="1200">
            <a:latin typeface="Times New Roman" panose="02020603050405020304" charset="0"/>
            <a:cs typeface="Times New Roman" panose="02020603050405020304" charset="0"/>
          </a:endParaRPr>
        </a:p>
      </dsp:txBody>
      <dsp:txXfrm>
        <a:off x="2046514" y="960120"/>
        <a:ext cx="1393371" cy="965835"/>
      </dsp:txXfrm>
    </dsp:sp>
    <dsp:sp modelId="{29115D9B-288D-4BFA-A1D7-1909A2ED0717}">
      <dsp:nvSpPr>
        <dsp:cNvPr id="8" name="圆角矩形 7"/>
        <dsp:cNvSpPr/>
      </dsp:nvSpPr>
      <dsp:spPr bwMode="white">
        <a:xfrm>
          <a:off x="2046514" y="2074545"/>
          <a:ext cx="1393371" cy="965835"/>
        </a:xfrm>
        <a:prstGeom prst="roundRect">
          <a:avLst>
            <a:gd name="adj" fmla="val 10000"/>
          </a:avLst>
        </a:prstGeom>
      </dsp:spPr>
      <dsp:style>
        <a:lnRef idx="2">
          <a:schemeClr val="lt1"/>
        </a:lnRef>
        <a:fillRef idx="1">
          <a:schemeClr val="accent1"/>
        </a:fillRef>
        <a:effectRef idx="0">
          <a:scrgbClr r="0" g="0" b="0"/>
        </a:effectRef>
        <a:fontRef idx="minor">
          <a:schemeClr val="lt1"/>
        </a:fontRef>
      </dsp:style>
      <dsp:txBody>
        <a:bodyPr lIns="30480" tIns="22859" rIns="30480" bIns="2285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200">
              <a:latin typeface="Times New Roman" panose="02020603050405020304" charset="0"/>
              <a:cs typeface="Times New Roman" panose="02020603050405020304" charset="0"/>
            </a:rPr>
            <a:t>Hence, the use of sustainable energy resources is encouraged (Greggs, 2022). </a:t>
          </a:r>
          <a:endParaRPr lang="en-US" sz="1200">
            <a:latin typeface="Times New Roman" panose="02020603050405020304" charset="0"/>
            <a:cs typeface="Times New Roman" panose="02020603050405020304" charset="0"/>
          </a:endParaRPr>
        </a:p>
      </dsp:txBody>
      <dsp:txXfrm>
        <a:off x="2046514" y="2074545"/>
        <a:ext cx="1393371" cy="965835"/>
      </dsp:txXfrm>
    </dsp:sp>
    <dsp:sp modelId="{A6031801-A129-4929-B329-DBB5388D6C43}">
      <dsp:nvSpPr>
        <dsp:cNvPr id="9" name="圆角矩形 8"/>
        <dsp:cNvSpPr/>
      </dsp:nvSpPr>
      <dsp:spPr bwMode="white">
        <a:xfrm>
          <a:off x="3744686" y="0"/>
          <a:ext cx="1741714" cy="3200400"/>
        </a:xfrm>
        <a:prstGeom prst="roundRect">
          <a:avLst>
            <a:gd name="adj" fmla="val 10000"/>
          </a:avLst>
        </a:prstGeom>
      </dsp:spPr>
      <dsp:style>
        <a:lnRef idx="0">
          <a:schemeClr val="accent1"/>
        </a:lnRef>
        <a:fillRef idx="1">
          <a:schemeClr val="accent1">
            <a:tint val="40000"/>
          </a:schemeClr>
        </a:fillRef>
        <a:effectRef idx="0">
          <a:scrgbClr r="0" g="0" b="0"/>
        </a:effectRef>
        <a:fontRef idx="minor"/>
      </dsp:style>
      <dsp:txBody>
        <a:bodyPr lIns="72390" tIns="72390" rIns="72390" bIns="72390" anchor="ctr"/>
        <a:lstStyle>
          <a:lvl1pPr algn="ctr">
            <a:defRPr sz="1900"/>
          </a:lvl1pPr>
          <a:lvl2pPr marL="114300" indent="-114300" algn="ctr">
            <a:defRPr sz="1400"/>
          </a:lvl2pPr>
          <a:lvl3pPr marL="228600" indent="-114300" algn="ctr">
            <a:defRPr sz="1400"/>
          </a:lvl3pPr>
          <a:lvl4pPr marL="342900" indent="-114300" algn="ctr">
            <a:defRPr sz="1400"/>
          </a:lvl4pPr>
          <a:lvl5pPr marL="457200" indent="-114300" algn="ctr">
            <a:defRPr sz="1400"/>
          </a:lvl5pPr>
          <a:lvl6pPr marL="571500" indent="-114300" algn="ctr">
            <a:defRPr sz="1400"/>
          </a:lvl6pPr>
          <a:lvl7pPr marL="685800" indent="-114300" algn="ctr">
            <a:defRPr sz="1400"/>
          </a:lvl7pPr>
          <a:lvl8pPr marL="800100" indent="-114300" algn="ctr">
            <a:defRPr sz="1400"/>
          </a:lvl8pPr>
          <a:lvl9pPr marL="914400" indent="-114300" algn="ctr">
            <a:defRPr sz="1400"/>
          </a:lvl9pPr>
        </a:lstStyle>
        <a:p>
          <a:pPr lvl="0">
            <a:lnSpc>
              <a:spcPct val="100000"/>
            </a:lnSpc>
            <a:spcBef>
              <a:spcPct val="0"/>
            </a:spcBef>
            <a:spcAft>
              <a:spcPct val="35000"/>
            </a:spcAft>
          </a:pPr>
          <a:r>
            <a:rPr lang="en-US">
              <a:solidFill>
                <a:schemeClr val="dk1"/>
              </a:solidFill>
            </a:rPr>
            <a:t>Legal</a:t>
          </a:r>
          <a:endParaRPr>
            <a:solidFill>
              <a:schemeClr val="dk1"/>
            </a:solidFill>
          </a:endParaRPr>
        </a:p>
      </dsp:txBody>
      <dsp:txXfrm>
        <a:off x="3744686" y="0"/>
        <a:ext cx="1741714" cy="3200400"/>
      </dsp:txXfrm>
    </dsp:sp>
    <dsp:sp modelId="{37C30AD9-A1E0-4C1B-B858-3E4B6F05FE91}">
      <dsp:nvSpPr>
        <dsp:cNvPr id="10" name="圆角矩形 9"/>
        <dsp:cNvSpPr/>
      </dsp:nvSpPr>
      <dsp:spPr bwMode="white">
        <a:xfrm>
          <a:off x="3918857" y="960120"/>
          <a:ext cx="1393371" cy="2080260"/>
        </a:xfrm>
        <a:prstGeom prst="roundRect">
          <a:avLst>
            <a:gd name="adj" fmla="val 10000"/>
          </a:avLst>
        </a:prstGeom>
      </dsp:spPr>
      <dsp:style>
        <a:lnRef idx="2">
          <a:schemeClr val="lt1"/>
        </a:lnRef>
        <a:fillRef idx="1">
          <a:schemeClr val="accent1"/>
        </a:fillRef>
        <a:effectRef idx="0">
          <a:scrgbClr r="0" g="0" b="0"/>
        </a:effectRef>
        <a:fontRef idx="minor">
          <a:schemeClr val="lt1"/>
        </a:fontRef>
      </dsp:style>
      <dsp:txBody>
        <a:bodyPr lIns="30480" tIns="22859" rIns="30480" bIns="2285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200">
              <a:latin typeface="Times New Roman" panose="02020603050405020304" charset="0"/>
              <a:cs typeface="Times New Roman" panose="02020603050405020304" charset="0"/>
            </a:rPr>
            <a:t>Government has imposed more taxes on sugar in order to succeed their less sugar plan (Greggs, 2022).</a:t>
          </a:r>
          <a:endParaRPr lang="en-US" sz="1200">
            <a:latin typeface="Times New Roman" panose="02020603050405020304" charset="0"/>
            <a:cs typeface="Times New Roman" panose="02020603050405020304" charset="0"/>
          </a:endParaRPr>
        </a:p>
      </dsp:txBody>
      <dsp:txXfrm>
        <a:off x="3918857" y="960120"/>
        <a:ext cx="1393371" cy="208026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off" val="ctr"/>
          <dgm:param type="contDir" val="sameDir"/>
          <dgm:param type="grDir" val="tL"/>
          <dgm:param type="flowDir" val="row"/>
        </dgm:alg>
      </dgm:if>
      <dgm:else name="Name2">
        <dgm:alg type="snake">
          <dgm:param type="off" val="ctr"/>
          <dgm:param type="contDir" val="sameDir"/>
          <dgm:param type="grDir" val="tR"/>
          <dgm:param type="flowDir" val="row"/>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2023-03-24T09:23:00Z</dcterms:created>
  <dc:creator>Administrator</dc:creator>
  <cp:lastModifiedBy>Administrator</cp:lastModifiedBy>
  <dcterms:modified xsi:type="dcterms:W3CDTF">2023-03-24T09:39:18Z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D9E8B7CC0191496D9316CC87F5E8CB61</vt:lpwstr>
  </property>
</Properties>
</file>