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F29F63" w14:textId="19D4B877" w:rsidR="00057CF5" w:rsidRPr="005B70F8" w:rsidRDefault="00057CF5" w:rsidP="002D17DF">
      <w:pPr>
        <w:rPr>
          <w:rFonts w:ascii="Arial" w:hAnsi="Arial" w:cs="Arial"/>
          <w:b/>
          <w:bCs/>
          <w:u w:val="single"/>
        </w:rPr>
      </w:pPr>
      <w:r w:rsidRPr="005B70F8">
        <w:rPr>
          <w:rFonts w:ascii="Arial" w:hAnsi="Arial" w:cs="Arial"/>
          <w:b/>
          <w:bCs/>
          <w:u w:val="single"/>
        </w:rPr>
        <w:t>AC 1.1</w:t>
      </w:r>
    </w:p>
    <w:p w14:paraId="5ABB38F9" w14:textId="2A38C722" w:rsidR="002D17DF" w:rsidRPr="005B70F8" w:rsidRDefault="002D17DF" w:rsidP="002D17DF">
      <w:pPr>
        <w:jc w:val="both"/>
        <w:rPr>
          <w:rFonts w:ascii="Arial" w:hAnsi="Arial" w:cs="Arial"/>
        </w:rPr>
      </w:pPr>
      <w:r w:rsidRPr="005B70F8">
        <w:rPr>
          <w:rFonts w:ascii="Arial" w:hAnsi="Arial" w:cs="Arial"/>
        </w:rPr>
        <w:t xml:space="preserve">I would remind the colleague firstly of the fact of the fundamental aims of </w:t>
      </w:r>
      <w:r w:rsidR="00590B50" w:rsidRPr="005B70F8">
        <w:rPr>
          <w:rFonts w:ascii="Arial" w:hAnsi="Arial" w:cs="Arial"/>
        </w:rPr>
        <w:t>employment regulation</w:t>
      </w:r>
      <w:r w:rsidRPr="005B70F8">
        <w:rPr>
          <w:rFonts w:ascii="Arial" w:hAnsi="Arial" w:cs="Arial"/>
        </w:rPr>
        <w:t xml:space="preserve"> are to ensure that workers’ rights are protected, they are treated fairly and working conditions are safe.</w:t>
      </w:r>
    </w:p>
    <w:p w14:paraId="2E4E737A" w14:textId="1D031D8A" w:rsidR="002D17DF" w:rsidRPr="005B70F8" w:rsidRDefault="002D17DF" w:rsidP="002D17DF">
      <w:pPr>
        <w:jc w:val="both"/>
        <w:rPr>
          <w:rFonts w:ascii="Arial" w:hAnsi="Arial" w:cs="Arial"/>
        </w:rPr>
      </w:pPr>
      <w:r w:rsidRPr="005B70F8">
        <w:rPr>
          <w:rFonts w:ascii="Arial" w:hAnsi="Arial" w:cs="Arial"/>
        </w:rPr>
        <w:t>There are many different acts to protect rights in the UK</w:t>
      </w:r>
      <w:r w:rsidR="00590B50" w:rsidRPr="005B70F8">
        <w:rPr>
          <w:rFonts w:ascii="Arial" w:hAnsi="Arial" w:cs="Arial"/>
        </w:rPr>
        <w:t xml:space="preserve"> to protect the rights of employees</w:t>
      </w:r>
      <w:r w:rsidRPr="005B70F8">
        <w:rPr>
          <w:rFonts w:ascii="Arial" w:hAnsi="Arial" w:cs="Arial"/>
        </w:rPr>
        <w:t xml:space="preserve"> including the Employment Rights Act 1996</w:t>
      </w:r>
      <w:r w:rsidR="00590B50" w:rsidRPr="005B70F8">
        <w:rPr>
          <w:rFonts w:ascii="Arial" w:hAnsi="Arial" w:cs="Arial"/>
        </w:rPr>
        <w:t xml:space="preserve"> and t</w:t>
      </w:r>
      <w:r w:rsidRPr="005B70F8">
        <w:rPr>
          <w:rFonts w:ascii="Arial" w:hAnsi="Arial" w:cs="Arial"/>
        </w:rPr>
        <w:t>he National Minimum Wage Act 1998 that set out</w:t>
      </w:r>
      <w:r w:rsidR="00590B50" w:rsidRPr="005B70F8">
        <w:rPr>
          <w:rFonts w:ascii="Arial" w:hAnsi="Arial" w:cs="Arial"/>
        </w:rPr>
        <w:t xml:space="preserve"> the minimum amount of pay a worker is entitled to per hour</w:t>
      </w:r>
      <w:r w:rsidRPr="005B70F8">
        <w:rPr>
          <w:rFonts w:ascii="Arial" w:hAnsi="Arial" w:cs="Arial"/>
        </w:rPr>
        <w:t>.</w:t>
      </w:r>
      <w:r w:rsidR="00590B50" w:rsidRPr="005B70F8">
        <w:rPr>
          <w:rFonts w:ascii="Arial" w:hAnsi="Arial" w:cs="Arial"/>
        </w:rPr>
        <w:t xml:space="preserve"> Additionally</w:t>
      </w:r>
      <w:r w:rsidRPr="005B70F8">
        <w:rPr>
          <w:rFonts w:ascii="Arial" w:hAnsi="Arial" w:cs="Arial"/>
        </w:rPr>
        <w:t xml:space="preserve">, there are regulations such as The Working Time Regulations 1998 that </w:t>
      </w:r>
      <w:r w:rsidR="00590B50" w:rsidRPr="005B70F8">
        <w:rPr>
          <w:rFonts w:ascii="Arial" w:hAnsi="Arial" w:cs="Arial"/>
        </w:rPr>
        <w:t>cover rights such as working hours, rest breaks, annual leave, and specific provisions for night and young workers. Ensuring adherence</w:t>
      </w:r>
      <w:r w:rsidRPr="005B70F8">
        <w:rPr>
          <w:rFonts w:ascii="Arial" w:hAnsi="Arial" w:cs="Arial"/>
        </w:rPr>
        <w:t xml:space="preserve"> to rights such as these avoid exploitation and mistreatment and enables workers to improve their overall well-being, work-life balance and </w:t>
      </w:r>
      <w:r w:rsidR="00590B50" w:rsidRPr="005B70F8">
        <w:rPr>
          <w:rFonts w:ascii="Arial" w:hAnsi="Arial" w:cs="Arial"/>
        </w:rPr>
        <w:t xml:space="preserve">therefore </w:t>
      </w:r>
      <w:r w:rsidR="00370AED" w:rsidRPr="005B70F8">
        <w:rPr>
          <w:rFonts w:ascii="Arial" w:hAnsi="Arial" w:cs="Arial"/>
        </w:rPr>
        <w:t xml:space="preserve">in turn </w:t>
      </w:r>
      <w:r w:rsidR="00590B50" w:rsidRPr="005B70F8">
        <w:rPr>
          <w:rFonts w:ascii="Arial" w:hAnsi="Arial" w:cs="Arial"/>
        </w:rPr>
        <w:t>their productivity</w:t>
      </w:r>
      <w:r w:rsidRPr="005B70F8">
        <w:rPr>
          <w:rFonts w:ascii="Arial" w:hAnsi="Arial" w:cs="Arial"/>
        </w:rPr>
        <w:t xml:space="preserve">. </w:t>
      </w:r>
    </w:p>
    <w:p w14:paraId="4D2F9640" w14:textId="1713665D" w:rsidR="002D17DF" w:rsidRPr="005B70F8" w:rsidRDefault="00212A5D" w:rsidP="00777598">
      <w:pPr>
        <w:jc w:val="both"/>
        <w:rPr>
          <w:rFonts w:ascii="Arial" w:hAnsi="Arial" w:cs="Arial"/>
        </w:rPr>
      </w:pPr>
      <w:r w:rsidRPr="005B70F8">
        <w:rPr>
          <w:rFonts w:ascii="Arial" w:hAnsi="Arial" w:cs="Arial"/>
        </w:rPr>
        <w:t>The Equality Act 2010</w:t>
      </w:r>
      <w:r w:rsidR="002D17DF" w:rsidRPr="005B70F8">
        <w:rPr>
          <w:rFonts w:ascii="Arial" w:hAnsi="Arial" w:cs="Arial"/>
        </w:rPr>
        <w:t xml:space="preserve"> ensure</w:t>
      </w:r>
      <w:r w:rsidR="004E790C" w:rsidRPr="005B70F8">
        <w:rPr>
          <w:rFonts w:ascii="Arial" w:hAnsi="Arial" w:cs="Arial"/>
        </w:rPr>
        <w:t>s</w:t>
      </w:r>
      <w:r w:rsidR="002D17DF" w:rsidRPr="005B70F8">
        <w:rPr>
          <w:rFonts w:ascii="Arial" w:hAnsi="Arial" w:cs="Arial"/>
        </w:rPr>
        <w:t xml:space="preserve"> that </w:t>
      </w:r>
      <w:r w:rsidR="00370AED" w:rsidRPr="005B70F8">
        <w:rPr>
          <w:rFonts w:ascii="Arial" w:hAnsi="Arial" w:cs="Arial"/>
        </w:rPr>
        <w:t>employees</w:t>
      </w:r>
      <w:r w:rsidR="002D17DF" w:rsidRPr="005B70F8">
        <w:rPr>
          <w:rFonts w:ascii="Arial" w:hAnsi="Arial" w:cs="Arial"/>
        </w:rPr>
        <w:t xml:space="preserve"> are treated fairly and </w:t>
      </w:r>
      <w:r w:rsidR="00370AED" w:rsidRPr="005B70F8">
        <w:rPr>
          <w:rFonts w:ascii="Arial" w:hAnsi="Arial" w:cs="Arial"/>
        </w:rPr>
        <w:t>have</w:t>
      </w:r>
      <w:r w:rsidR="002D17DF" w:rsidRPr="005B70F8">
        <w:rPr>
          <w:rFonts w:ascii="Arial" w:hAnsi="Arial" w:cs="Arial"/>
        </w:rPr>
        <w:t xml:space="preserve"> equal access to opportunity. This legislation is underpinned by employees’ protected characteristics and suggests that employers are </w:t>
      </w:r>
      <w:r w:rsidR="00370AED" w:rsidRPr="005B70F8">
        <w:rPr>
          <w:rFonts w:ascii="Arial" w:hAnsi="Arial" w:cs="Arial"/>
        </w:rPr>
        <w:t>required</w:t>
      </w:r>
      <w:r w:rsidR="002D17DF" w:rsidRPr="005B70F8">
        <w:rPr>
          <w:rFonts w:ascii="Arial" w:hAnsi="Arial" w:cs="Arial"/>
        </w:rPr>
        <w:t xml:space="preserve"> to protect workers from unfair treatment</w:t>
      </w:r>
      <w:r w:rsidR="00777598" w:rsidRPr="005B70F8">
        <w:rPr>
          <w:rFonts w:ascii="Arial" w:hAnsi="Arial" w:cs="Arial"/>
        </w:rPr>
        <w:t xml:space="preserve">, </w:t>
      </w:r>
      <w:r w:rsidR="00683B6C" w:rsidRPr="005B70F8">
        <w:rPr>
          <w:rFonts w:ascii="Arial" w:hAnsi="Arial" w:cs="Arial"/>
        </w:rPr>
        <w:t>some</w:t>
      </w:r>
      <w:r w:rsidR="002D17DF" w:rsidRPr="005B70F8">
        <w:rPr>
          <w:rFonts w:ascii="Arial" w:hAnsi="Arial" w:cs="Arial"/>
        </w:rPr>
        <w:t xml:space="preserve"> other areas this </w:t>
      </w:r>
      <w:r w:rsidR="004E790C" w:rsidRPr="005B70F8">
        <w:rPr>
          <w:rFonts w:ascii="Arial" w:hAnsi="Arial" w:cs="Arial"/>
        </w:rPr>
        <w:t>A</w:t>
      </w:r>
      <w:r w:rsidR="00777598" w:rsidRPr="005B70F8">
        <w:rPr>
          <w:rFonts w:ascii="Arial" w:hAnsi="Arial" w:cs="Arial"/>
        </w:rPr>
        <w:t xml:space="preserve">ct </w:t>
      </w:r>
      <w:r w:rsidR="002D17DF" w:rsidRPr="005B70F8">
        <w:rPr>
          <w:rFonts w:ascii="Arial" w:hAnsi="Arial" w:cs="Arial"/>
        </w:rPr>
        <w:t>covers are hiring practices, redundancy and dismissal procedures, maternity/paternity/adoption leave</w:t>
      </w:r>
      <w:r w:rsidR="00777598" w:rsidRPr="005B70F8">
        <w:rPr>
          <w:rFonts w:ascii="Arial" w:hAnsi="Arial" w:cs="Arial"/>
        </w:rPr>
        <w:t>.</w:t>
      </w:r>
      <w:r w:rsidR="002D17DF" w:rsidRPr="005B70F8">
        <w:rPr>
          <w:rFonts w:ascii="Arial" w:hAnsi="Arial" w:cs="Arial"/>
        </w:rPr>
        <w:t xml:space="preserve"> This objective is key in promoting a diverse and inclusive workforce.</w:t>
      </w:r>
    </w:p>
    <w:p w14:paraId="3FFA61CC" w14:textId="3960C7D2" w:rsidR="00683B6C" w:rsidRPr="005B70F8" w:rsidRDefault="00683B6C" w:rsidP="00777598">
      <w:pPr>
        <w:jc w:val="both"/>
        <w:rPr>
          <w:rFonts w:ascii="Arial" w:hAnsi="Arial" w:cs="Arial"/>
        </w:rPr>
      </w:pPr>
      <w:r w:rsidRPr="005B70F8">
        <w:rPr>
          <w:rFonts w:ascii="Arial" w:hAnsi="Arial" w:cs="Arial"/>
        </w:rPr>
        <w:t>The Health and Safety at Work</w:t>
      </w:r>
      <w:r w:rsidR="004E790C" w:rsidRPr="005B70F8">
        <w:rPr>
          <w:rFonts w:ascii="Arial" w:hAnsi="Arial" w:cs="Arial"/>
        </w:rPr>
        <w:t xml:space="preserve"> </w:t>
      </w:r>
      <w:r w:rsidRPr="005B70F8">
        <w:rPr>
          <w:rFonts w:ascii="Arial" w:hAnsi="Arial" w:cs="Arial"/>
        </w:rPr>
        <w:t xml:space="preserve">Act 1974 ensures a safe working environment and prevents workplace accidents and illnesses </w:t>
      </w:r>
      <w:proofErr w:type="gramStart"/>
      <w:r w:rsidRPr="005B70F8">
        <w:rPr>
          <w:rFonts w:ascii="Arial" w:hAnsi="Arial" w:cs="Arial"/>
        </w:rPr>
        <w:t>where</w:t>
      </w:r>
      <w:proofErr w:type="gramEnd"/>
      <w:r w:rsidRPr="005B70F8">
        <w:rPr>
          <w:rFonts w:ascii="Arial" w:hAnsi="Arial" w:cs="Arial"/>
        </w:rPr>
        <w:t xml:space="preserve"> reasonably practical. Some key aspects are, using tools such a risk assessment, reporting procedures and further workplace specific policies.</w:t>
      </w:r>
    </w:p>
    <w:p w14:paraId="6B438C1B" w14:textId="253682A9" w:rsidR="002D17DF" w:rsidRPr="005B70F8" w:rsidRDefault="002D17DF" w:rsidP="002D17DF">
      <w:pPr>
        <w:jc w:val="both"/>
        <w:rPr>
          <w:rFonts w:ascii="Arial" w:hAnsi="Arial" w:cs="Arial"/>
        </w:rPr>
      </w:pPr>
      <w:r w:rsidRPr="005B70F8">
        <w:rPr>
          <w:rFonts w:ascii="Arial" w:hAnsi="Arial" w:cs="Arial"/>
        </w:rPr>
        <w:t>However, adhering to these regulations c</w:t>
      </w:r>
      <w:r w:rsidR="004E790C" w:rsidRPr="005B70F8">
        <w:rPr>
          <w:rFonts w:ascii="Arial" w:hAnsi="Arial" w:cs="Arial"/>
        </w:rPr>
        <w:t xml:space="preserve">an </w:t>
      </w:r>
      <w:r w:rsidRPr="005B70F8">
        <w:rPr>
          <w:rFonts w:ascii="Arial" w:hAnsi="Arial" w:cs="Arial"/>
        </w:rPr>
        <w:t xml:space="preserve">pose </w:t>
      </w:r>
      <w:r w:rsidR="00590B50" w:rsidRPr="005B70F8">
        <w:rPr>
          <w:rFonts w:ascii="Arial" w:hAnsi="Arial" w:cs="Arial"/>
        </w:rPr>
        <w:t xml:space="preserve">some </w:t>
      </w:r>
      <w:r w:rsidRPr="005B70F8">
        <w:rPr>
          <w:rFonts w:ascii="Arial" w:hAnsi="Arial" w:cs="Arial"/>
        </w:rPr>
        <w:t xml:space="preserve">drawbacks. </w:t>
      </w:r>
      <w:r w:rsidR="00370AED" w:rsidRPr="005B70F8">
        <w:rPr>
          <w:rFonts w:ascii="Arial" w:hAnsi="Arial" w:cs="Arial"/>
        </w:rPr>
        <w:t xml:space="preserve">The </w:t>
      </w:r>
      <w:r w:rsidRPr="005B70F8">
        <w:rPr>
          <w:rFonts w:ascii="Arial" w:hAnsi="Arial" w:cs="Arial"/>
        </w:rPr>
        <w:t xml:space="preserve">most notably would be the increased cost for employers. Ensuring compliance with the vast </w:t>
      </w:r>
      <w:r w:rsidR="00370AED" w:rsidRPr="005B70F8">
        <w:rPr>
          <w:rFonts w:ascii="Arial" w:hAnsi="Arial" w:cs="Arial"/>
        </w:rPr>
        <w:t>number</w:t>
      </w:r>
      <w:r w:rsidRPr="005B70F8">
        <w:rPr>
          <w:rFonts w:ascii="Arial" w:hAnsi="Arial" w:cs="Arial"/>
        </w:rPr>
        <w:t xml:space="preserve"> of regulatory objectives that exist is costly, especially for small/medium sized companies. Minimum wage, pensions, paid holiday, health and safety compliance all add up to a large sum. </w:t>
      </w:r>
      <w:r w:rsidR="00370AED" w:rsidRPr="005B70F8">
        <w:rPr>
          <w:rFonts w:ascii="Arial" w:hAnsi="Arial" w:cs="Arial"/>
        </w:rPr>
        <w:t xml:space="preserve">CIPD (2025) explained that in </w:t>
      </w:r>
      <w:r w:rsidR="00683B6C" w:rsidRPr="005B70F8">
        <w:rPr>
          <w:rFonts w:ascii="Arial" w:hAnsi="Arial" w:cs="Arial"/>
        </w:rPr>
        <w:t>a</w:t>
      </w:r>
      <w:r w:rsidR="00370AED" w:rsidRPr="005B70F8">
        <w:rPr>
          <w:rFonts w:ascii="Arial" w:hAnsi="Arial" w:cs="Arial"/>
        </w:rPr>
        <w:t xml:space="preserve"> recent survey</w:t>
      </w:r>
      <w:r w:rsidR="004E790C" w:rsidRPr="005B70F8">
        <w:rPr>
          <w:rFonts w:ascii="Arial" w:hAnsi="Arial" w:cs="Arial"/>
        </w:rPr>
        <w:t>,</w:t>
      </w:r>
      <w:r w:rsidR="00370AED" w:rsidRPr="005B70F8">
        <w:rPr>
          <w:rFonts w:ascii="Arial" w:hAnsi="Arial" w:cs="Arial"/>
        </w:rPr>
        <w:t xml:space="preserve"> 75% of employers expect their costs to increase because of measures in the Employment Rights Bill</w:t>
      </w:r>
      <w:r w:rsidR="004E790C" w:rsidRPr="005B70F8">
        <w:rPr>
          <w:rFonts w:ascii="Arial" w:hAnsi="Arial" w:cs="Arial"/>
        </w:rPr>
        <w:t xml:space="preserve"> 2024</w:t>
      </w:r>
      <w:r w:rsidR="00370AED" w:rsidRPr="005B70F8">
        <w:rPr>
          <w:rFonts w:ascii="Arial" w:hAnsi="Arial" w:cs="Arial"/>
        </w:rPr>
        <w:t xml:space="preserve">, additionally to that 30% said they would have to reduce headcount by redundancy and limiting hiring. </w:t>
      </w:r>
    </w:p>
    <w:p w14:paraId="3E596012" w14:textId="405D29BD" w:rsidR="002D17DF" w:rsidRPr="005B70F8" w:rsidRDefault="00370AED" w:rsidP="002D17DF">
      <w:pPr>
        <w:jc w:val="both"/>
        <w:rPr>
          <w:rFonts w:ascii="Arial" w:hAnsi="Arial" w:cs="Arial"/>
          <w:b/>
          <w:bCs/>
          <w:color w:val="FF0000"/>
        </w:rPr>
      </w:pPr>
      <w:r w:rsidRPr="005B70F8">
        <w:rPr>
          <w:rFonts w:ascii="Arial" w:hAnsi="Arial" w:cs="Arial"/>
        </w:rPr>
        <w:t>To conclude</w:t>
      </w:r>
      <w:r w:rsidR="002D17DF" w:rsidRPr="005B70F8">
        <w:rPr>
          <w:rFonts w:ascii="Arial" w:hAnsi="Arial" w:cs="Arial"/>
        </w:rPr>
        <w:t>, it is clear to see that employment regulations</w:t>
      </w:r>
      <w:r w:rsidRPr="005B70F8">
        <w:rPr>
          <w:rFonts w:ascii="Arial" w:hAnsi="Arial" w:cs="Arial"/>
        </w:rPr>
        <w:t xml:space="preserve"> are a fundamental necessity in the organisation, they are</w:t>
      </w:r>
      <w:r w:rsidR="002D17DF" w:rsidRPr="005B70F8">
        <w:rPr>
          <w:rFonts w:ascii="Arial" w:hAnsi="Arial" w:cs="Arial"/>
        </w:rPr>
        <w:t xml:space="preserve"> essential for protecting workers</w:t>
      </w:r>
      <w:r w:rsidRPr="005B70F8">
        <w:rPr>
          <w:rFonts w:ascii="Arial" w:hAnsi="Arial" w:cs="Arial"/>
        </w:rPr>
        <w:t xml:space="preserve"> and employers’</w:t>
      </w:r>
      <w:r w:rsidR="002D17DF" w:rsidRPr="005B70F8">
        <w:rPr>
          <w:rFonts w:ascii="Arial" w:hAnsi="Arial" w:cs="Arial"/>
        </w:rPr>
        <w:t xml:space="preserve"> rights and promoting fair processes in the workplace</w:t>
      </w:r>
      <w:r w:rsidRPr="005B70F8">
        <w:rPr>
          <w:rFonts w:ascii="Arial" w:hAnsi="Arial" w:cs="Arial"/>
        </w:rPr>
        <w:t xml:space="preserve">. </w:t>
      </w:r>
      <w:r w:rsidR="002D17DF" w:rsidRPr="005B70F8">
        <w:rPr>
          <w:rFonts w:ascii="Arial" w:hAnsi="Arial" w:cs="Arial"/>
        </w:rPr>
        <w:t xml:space="preserve">It can therefore be argued that the party with the most to gain with regards to employment law is the worker. </w:t>
      </w:r>
    </w:p>
    <w:p w14:paraId="4DF3198E" w14:textId="77777777" w:rsidR="007133A1" w:rsidRPr="005B70F8" w:rsidRDefault="007133A1">
      <w:pPr>
        <w:rPr>
          <w:rFonts w:ascii="Arial" w:hAnsi="Arial" w:cs="Arial"/>
        </w:rPr>
      </w:pPr>
    </w:p>
    <w:p w14:paraId="1070A54E" w14:textId="63D06D04" w:rsidR="00683B6C" w:rsidRPr="005B70F8" w:rsidRDefault="00683B6C">
      <w:pPr>
        <w:rPr>
          <w:rFonts w:ascii="Arial" w:hAnsi="Arial" w:cs="Arial"/>
          <w:b/>
          <w:bCs/>
          <w:u w:val="single"/>
        </w:rPr>
      </w:pPr>
      <w:r w:rsidRPr="005B70F8">
        <w:rPr>
          <w:rFonts w:ascii="Arial" w:hAnsi="Arial" w:cs="Arial"/>
          <w:b/>
          <w:bCs/>
          <w:u w:val="single"/>
        </w:rPr>
        <w:t>AC 1.2</w:t>
      </w:r>
    </w:p>
    <w:p w14:paraId="51FCF2D6" w14:textId="10BFF5E2" w:rsidR="00B20CBF" w:rsidRDefault="00B20CBF" w:rsidP="00DB0B00">
      <w:pPr>
        <w:rPr>
          <w:rFonts w:ascii="Arial" w:hAnsi="Arial" w:cs="Arial"/>
        </w:rPr>
      </w:pPr>
      <w:r>
        <w:rPr>
          <w:rFonts w:ascii="Arial" w:hAnsi="Arial" w:cs="Arial"/>
        </w:rPr>
        <w:t>The CIPD</w:t>
      </w:r>
      <w:r w:rsidR="007D5C9B">
        <w:rPr>
          <w:rFonts w:ascii="Arial" w:hAnsi="Arial" w:cs="Arial"/>
        </w:rPr>
        <w:t>, (2025a)</w:t>
      </w:r>
      <w:r>
        <w:rPr>
          <w:rFonts w:ascii="Arial" w:hAnsi="Arial" w:cs="Arial"/>
        </w:rPr>
        <w:t xml:space="preserve"> explains that when t</w:t>
      </w:r>
      <w:r w:rsidRPr="00B20CBF">
        <w:rPr>
          <w:rFonts w:ascii="Arial" w:hAnsi="Arial" w:cs="Arial"/>
        </w:rPr>
        <w:t>he UK voted to leave the European Union in 2016 and completed the Brexit process on 31 December 2020</w:t>
      </w:r>
      <w:r>
        <w:rPr>
          <w:rFonts w:ascii="Arial" w:hAnsi="Arial" w:cs="Arial"/>
        </w:rPr>
        <w:t>, t</w:t>
      </w:r>
      <w:r w:rsidRPr="00B20CBF">
        <w:rPr>
          <w:rFonts w:ascii="Arial" w:hAnsi="Arial" w:cs="Arial"/>
        </w:rPr>
        <w:t xml:space="preserve">he UK Government </w:t>
      </w:r>
      <w:r>
        <w:rPr>
          <w:rFonts w:ascii="Arial" w:hAnsi="Arial" w:cs="Arial"/>
        </w:rPr>
        <w:t xml:space="preserve">then </w:t>
      </w:r>
      <w:r w:rsidRPr="00B20CBF">
        <w:rPr>
          <w:rFonts w:ascii="Arial" w:hAnsi="Arial" w:cs="Arial"/>
        </w:rPr>
        <w:t>gained powers to change, or override, existing EU law.</w:t>
      </w:r>
    </w:p>
    <w:p w14:paraId="0FDB7AD1" w14:textId="5883C3D7" w:rsidR="00683B6C" w:rsidRDefault="00DB0B00" w:rsidP="00DB0B00">
      <w:pPr>
        <w:rPr>
          <w:rFonts w:ascii="Arial" w:hAnsi="Arial" w:cs="Arial"/>
        </w:rPr>
      </w:pPr>
      <w:r w:rsidRPr="005B70F8">
        <w:rPr>
          <w:rFonts w:ascii="Arial" w:hAnsi="Arial" w:cs="Arial"/>
        </w:rPr>
        <w:t>Any judgements made by the European Court of Justice (ECJ) before the UK’s departure from the EU on early 2020, remain part of UK law</w:t>
      </w:r>
      <w:r w:rsidR="00CE7A90" w:rsidRPr="005B70F8">
        <w:rPr>
          <w:rFonts w:ascii="Arial" w:hAnsi="Arial" w:cs="Arial"/>
        </w:rPr>
        <w:t xml:space="preserve"> as they were retained under the European Union (Withdrawal) </w:t>
      </w:r>
      <w:r w:rsidR="007133A1" w:rsidRPr="005B70F8">
        <w:rPr>
          <w:rFonts w:ascii="Arial" w:hAnsi="Arial" w:cs="Arial"/>
        </w:rPr>
        <w:t>Act 2018</w:t>
      </w:r>
      <w:r w:rsidRPr="005B70F8">
        <w:rPr>
          <w:rFonts w:ascii="Arial" w:hAnsi="Arial" w:cs="Arial"/>
        </w:rPr>
        <w:t xml:space="preserve">. These judgements are called “retained EU law.” Whilst these judgements are still enforced </w:t>
      </w:r>
      <w:r w:rsidR="004E790C" w:rsidRPr="005B70F8">
        <w:rPr>
          <w:rFonts w:ascii="Arial" w:hAnsi="Arial" w:cs="Arial"/>
        </w:rPr>
        <w:t>o</w:t>
      </w:r>
      <w:r w:rsidRPr="005B70F8">
        <w:rPr>
          <w:rFonts w:ascii="Arial" w:hAnsi="Arial" w:cs="Arial"/>
        </w:rPr>
        <w:t xml:space="preserve">n UK courts, the UK Supreme Court and the Court of Appeal have the authority to overrule if they see fit. All judgements made by the ECJ after the UK’s </w:t>
      </w:r>
      <w:r w:rsidRPr="005B70F8">
        <w:rPr>
          <w:rFonts w:ascii="Arial" w:hAnsi="Arial" w:cs="Arial"/>
        </w:rPr>
        <w:lastRenderedPageBreak/>
        <w:t xml:space="preserve">departure are not enforceable </w:t>
      </w:r>
      <w:r w:rsidR="004E790C" w:rsidRPr="005B70F8">
        <w:rPr>
          <w:rFonts w:ascii="Arial" w:hAnsi="Arial" w:cs="Arial"/>
        </w:rPr>
        <w:t>i</w:t>
      </w:r>
      <w:r w:rsidRPr="005B70F8">
        <w:rPr>
          <w:rFonts w:ascii="Arial" w:hAnsi="Arial" w:cs="Arial"/>
        </w:rPr>
        <w:t>n UK courts. Although UK courts may consider them as persuasive authority.</w:t>
      </w:r>
    </w:p>
    <w:p w14:paraId="5F9E34B5" w14:textId="2F48A53C" w:rsidR="00B20CBF" w:rsidRDefault="00B20CBF" w:rsidP="00B20CBF">
      <w:pPr>
        <w:rPr>
          <w:rFonts w:ascii="Arial" w:hAnsi="Arial" w:cs="Arial"/>
        </w:rPr>
      </w:pPr>
      <w:r>
        <w:rPr>
          <w:rFonts w:ascii="Arial" w:hAnsi="Arial" w:cs="Arial"/>
        </w:rPr>
        <w:t>The CIPD</w:t>
      </w:r>
      <w:r w:rsidR="007D5C9B">
        <w:rPr>
          <w:rFonts w:ascii="Arial" w:hAnsi="Arial" w:cs="Arial"/>
        </w:rPr>
        <w:t>, (2025a)</w:t>
      </w:r>
      <w:r>
        <w:rPr>
          <w:rFonts w:ascii="Arial" w:hAnsi="Arial" w:cs="Arial"/>
        </w:rPr>
        <w:t xml:space="preserve"> goes on to explain that t</w:t>
      </w:r>
      <w:r w:rsidRPr="00B20CBF">
        <w:rPr>
          <w:rFonts w:ascii="Arial" w:hAnsi="Arial" w:cs="Arial"/>
        </w:rPr>
        <w:t>he principle that EU law has supremacy over UK law ended on 31</w:t>
      </w:r>
      <w:r w:rsidRPr="00B20CBF">
        <w:rPr>
          <w:rFonts w:ascii="Arial" w:hAnsi="Arial" w:cs="Arial"/>
          <w:vertAlign w:val="superscript"/>
        </w:rPr>
        <w:t>st</w:t>
      </w:r>
      <w:r w:rsidRPr="00B20CBF">
        <w:rPr>
          <w:rFonts w:ascii="Arial" w:hAnsi="Arial" w:cs="Arial"/>
        </w:rPr>
        <w:t xml:space="preserve"> December 2023</w:t>
      </w:r>
      <w:r>
        <w:rPr>
          <w:rFonts w:ascii="Arial" w:hAnsi="Arial" w:cs="Arial"/>
        </w:rPr>
        <w:t>, as a result of this some UK employment law changed immediately. Then</w:t>
      </w:r>
      <w:r w:rsidRPr="00B20CBF">
        <w:rPr>
          <w:rFonts w:ascii="Arial" w:hAnsi="Arial" w:cs="Arial"/>
        </w:rPr>
        <w:t xml:space="preserve"> on 30</w:t>
      </w:r>
      <w:r>
        <w:rPr>
          <w:rFonts w:ascii="Arial" w:hAnsi="Arial" w:cs="Arial"/>
        </w:rPr>
        <w:t>th</w:t>
      </w:r>
      <w:r w:rsidRPr="00B20CBF">
        <w:rPr>
          <w:rFonts w:ascii="Arial" w:hAnsi="Arial" w:cs="Arial"/>
        </w:rPr>
        <w:t xml:space="preserve"> September 2024 the UK Government stopped the commencement of section 6 of the Retained EU Law Act 2023.</w:t>
      </w:r>
      <w:r>
        <w:rPr>
          <w:rFonts w:ascii="Arial" w:hAnsi="Arial" w:cs="Arial"/>
        </w:rPr>
        <w:t xml:space="preserve"> This </w:t>
      </w:r>
      <w:r w:rsidRPr="00B20CBF">
        <w:rPr>
          <w:rFonts w:ascii="Arial" w:hAnsi="Arial" w:cs="Arial"/>
        </w:rPr>
        <w:t xml:space="preserve">encouraged UK courts to reinterpret </w:t>
      </w:r>
      <w:r>
        <w:rPr>
          <w:rFonts w:ascii="Arial" w:hAnsi="Arial" w:cs="Arial"/>
        </w:rPr>
        <w:t>similar</w:t>
      </w:r>
      <w:r w:rsidRPr="00B20CBF">
        <w:rPr>
          <w:rFonts w:ascii="Arial" w:hAnsi="Arial" w:cs="Arial"/>
        </w:rPr>
        <w:t xml:space="preserve"> EU case law as they saw fit. </w:t>
      </w:r>
      <w:r>
        <w:rPr>
          <w:rFonts w:ascii="Arial" w:hAnsi="Arial" w:cs="Arial"/>
        </w:rPr>
        <w:t xml:space="preserve">As a result of this </w:t>
      </w:r>
      <w:r w:rsidRPr="00B20CBF">
        <w:rPr>
          <w:rFonts w:ascii="Arial" w:hAnsi="Arial" w:cs="Arial"/>
        </w:rPr>
        <w:t>the Retained EU Law Regulations 2023 (RUEL) were brought forward to state that</w:t>
      </w:r>
      <w:r>
        <w:rPr>
          <w:rFonts w:ascii="Arial" w:hAnsi="Arial" w:cs="Arial"/>
        </w:rPr>
        <w:t xml:space="preserve"> the majority of</w:t>
      </w:r>
      <w:r w:rsidRPr="00B20CBF">
        <w:rPr>
          <w:rFonts w:ascii="Arial" w:hAnsi="Arial" w:cs="Arial"/>
        </w:rPr>
        <w:t xml:space="preserve"> existing EU law</w:t>
      </w:r>
      <w:r>
        <w:rPr>
          <w:rFonts w:ascii="Arial" w:hAnsi="Arial" w:cs="Arial"/>
        </w:rPr>
        <w:t xml:space="preserve"> </w:t>
      </w:r>
      <w:r w:rsidRPr="00B20CBF">
        <w:rPr>
          <w:rFonts w:ascii="Arial" w:hAnsi="Arial" w:cs="Arial"/>
        </w:rPr>
        <w:t xml:space="preserve">remained in the UK </w:t>
      </w:r>
      <w:r>
        <w:rPr>
          <w:rFonts w:ascii="Arial" w:hAnsi="Arial" w:cs="Arial"/>
        </w:rPr>
        <w:t xml:space="preserve">unless </w:t>
      </w:r>
      <w:r w:rsidRPr="00B20CBF">
        <w:rPr>
          <w:rFonts w:ascii="Arial" w:hAnsi="Arial" w:cs="Arial"/>
        </w:rPr>
        <w:t xml:space="preserve">a future government decided to </w:t>
      </w:r>
      <w:r>
        <w:rPr>
          <w:rFonts w:ascii="Arial" w:hAnsi="Arial" w:cs="Arial"/>
        </w:rPr>
        <w:t xml:space="preserve">amend. </w:t>
      </w:r>
    </w:p>
    <w:p w14:paraId="0D5BEB85" w14:textId="3824A695" w:rsidR="00B20CBF" w:rsidRPr="005B70F8" w:rsidRDefault="00B20CBF" w:rsidP="00DB0B00">
      <w:pPr>
        <w:rPr>
          <w:rFonts w:ascii="Arial" w:hAnsi="Arial" w:cs="Arial"/>
        </w:rPr>
      </w:pPr>
      <w:r>
        <w:rPr>
          <w:rFonts w:ascii="Arial" w:hAnsi="Arial" w:cs="Arial"/>
        </w:rPr>
        <w:t>Key retained provision are working time regulations, roll-up holiday pay, TUPE arrangements and 12.07% holiday accrual for irregular workers.</w:t>
      </w:r>
    </w:p>
    <w:p w14:paraId="215139F4" w14:textId="71178003" w:rsidR="001F4737" w:rsidRPr="005B70F8" w:rsidRDefault="00E103E2" w:rsidP="001F4737">
      <w:pPr>
        <w:rPr>
          <w:rFonts w:ascii="Arial" w:hAnsi="Arial" w:cs="Arial"/>
        </w:rPr>
      </w:pPr>
      <w:r w:rsidRPr="005B70F8">
        <w:rPr>
          <w:rFonts w:ascii="Arial" w:hAnsi="Arial" w:cs="Arial"/>
        </w:rPr>
        <w:t>I would highlight to the senior manager that whilst while the judgments are not directly enforceable or mandatory, they could still be considered in decisions if UK courts find them helpful or relevant</w:t>
      </w:r>
      <w:r w:rsidR="006F269E" w:rsidRPr="005B70F8">
        <w:rPr>
          <w:rFonts w:ascii="Arial" w:hAnsi="Arial" w:cs="Arial"/>
        </w:rPr>
        <w:t>, additionally UK courts now have the power to disregard ECJ judgments made before Brexit, particularly where those judgments relate to areas of law that are no longer relevant to the UK. However, they are encouraged to take a consistent approach with pre-Brexit case law to avoid legal uncertainty</w:t>
      </w:r>
      <w:r w:rsidRPr="005B70F8">
        <w:rPr>
          <w:rFonts w:ascii="Arial" w:hAnsi="Arial" w:cs="Arial"/>
        </w:rPr>
        <w:t xml:space="preserve"> using the example of the case:</w:t>
      </w:r>
    </w:p>
    <w:p w14:paraId="19E7234C" w14:textId="3506384D" w:rsidR="005576D2" w:rsidRPr="005576D2" w:rsidRDefault="005576D2" w:rsidP="005576D2">
      <w:pPr>
        <w:rPr>
          <w:rFonts w:ascii="Arial" w:hAnsi="Arial" w:cs="Arial"/>
          <w:b/>
          <w:bCs/>
          <w:i/>
          <w:iCs/>
        </w:rPr>
      </w:pPr>
      <w:r w:rsidRPr="005576D2">
        <w:rPr>
          <w:rFonts w:ascii="Arial" w:hAnsi="Arial" w:cs="Arial"/>
          <w:b/>
          <w:bCs/>
          <w:i/>
          <w:iCs/>
        </w:rPr>
        <w:t xml:space="preserve">The Independent Workers' Union of Great Britain (IWGB) v. Central Arbitration Committee [2020] EWCA </w:t>
      </w:r>
      <w:proofErr w:type="spellStart"/>
      <w:r w:rsidRPr="005576D2">
        <w:rPr>
          <w:rFonts w:ascii="Arial" w:hAnsi="Arial" w:cs="Arial"/>
          <w:b/>
          <w:bCs/>
          <w:i/>
          <w:iCs/>
        </w:rPr>
        <w:t>Civ</w:t>
      </w:r>
      <w:proofErr w:type="spellEnd"/>
      <w:r w:rsidRPr="005576D2">
        <w:rPr>
          <w:rFonts w:ascii="Arial" w:hAnsi="Arial" w:cs="Arial"/>
          <w:b/>
          <w:bCs/>
          <w:i/>
          <w:iCs/>
        </w:rPr>
        <w:t xml:space="preserve"> 1052</w:t>
      </w:r>
    </w:p>
    <w:p w14:paraId="27F68098" w14:textId="730FA507" w:rsidR="005576D2" w:rsidRPr="005576D2" w:rsidRDefault="005576D2" w:rsidP="005576D2">
      <w:pPr>
        <w:rPr>
          <w:rFonts w:ascii="Arial" w:hAnsi="Arial" w:cs="Arial"/>
        </w:rPr>
      </w:pPr>
      <w:r w:rsidRPr="005576D2">
        <w:rPr>
          <w:rFonts w:ascii="Arial" w:hAnsi="Arial" w:cs="Arial"/>
        </w:rPr>
        <w:t xml:space="preserve">This case involved </w:t>
      </w:r>
      <w:r w:rsidR="00955EAB">
        <w:rPr>
          <w:rFonts w:ascii="Arial" w:hAnsi="Arial" w:cs="Arial"/>
        </w:rPr>
        <w:t>Deliveroo’s riders joining the IWGB to demand better working conditions, to which Deliveroo refused to negotiate.</w:t>
      </w:r>
      <w:r w:rsidRPr="005576D2">
        <w:rPr>
          <w:rFonts w:ascii="Arial" w:hAnsi="Arial" w:cs="Arial"/>
        </w:rPr>
        <w:t xml:space="preserve"> </w:t>
      </w:r>
      <w:r w:rsidR="00955EAB">
        <w:rPr>
          <w:rFonts w:ascii="Arial" w:hAnsi="Arial" w:cs="Arial"/>
        </w:rPr>
        <w:t>I</w:t>
      </w:r>
      <w:r>
        <w:rPr>
          <w:rFonts w:ascii="Arial" w:hAnsi="Arial" w:cs="Arial"/>
        </w:rPr>
        <w:t xml:space="preserve">t </w:t>
      </w:r>
      <w:r w:rsidRPr="005576D2">
        <w:rPr>
          <w:rFonts w:ascii="Arial" w:hAnsi="Arial" w:cs="Arial"/>
        </w:rPr>
        <w:t>specifically concern</w:t>
      </w:r>
      <w:r>
        <w:rPr>
          <w:rFonts w:ascii="Arial" w:hAnsi="Arial" w:cs="Arial"/>
        </w:rPr>
        <w:t>ed</w:t>
      </w:r>
      <w:r w:rsidRPr="005576D2">
        <w:rPr>
          <w:rFonts w:ascii="Arial" w:hAnsi="Arial" w:cs="Arial"/>
        </w:rPr>
        <w:t xml:space="preserve"> the application of the EU-derived laws on </w:t>
      </w:r>
      <w:r>
        <w:rPr>
          <w:rFonts w:ascii="Arial" w:hAnsi="Arial" w:cs="Arial"/>
        </w:rPr>
        <w:t xml:space="preserve">recognising unions </w:t>
      </w:r>
      <w:r w:rsidRPr="005576D2">
        <w:rPr>
          <w:rFonts w:ascii="Arial" w:hAnsi="Arial" w:cs="Arial"/>
        </w:rPr>
        <w:t xml:space="preserve">and </w:t>
      </w:r>
      <w:r>
        <w:rPr>
          <w:rFonts w:ascii="Arial" w:hAnsi="Arial" w:cs="Arial"/>
        </w:rPr>
        <w:t xml:space="preserve">employee’s </w:t>
      </w:r>
      <w:r w:rsidRPr="005576D2">
        <w:rPr>
          <w:rFonts w:ascii="Arial" w:hAnsi="Arial" w:cs="Arial"/>
        </w:rPr>
        <w:t>collective bargaining rights. It ex</w:t>
      </w:r>
      <w:r>
        <w:rPr>
          <w:rFonts w:ascii="Arial" w:hAnsi="Arial" w:cs="Arial"/>
        </w:rPr>
        <w:t xml:space="preserve">plored </w:t>
      </w:r>
      <w:r w:rsidRPr="005576D2">
        <w:rPr>
          <w:rFonts w:ascii="Arial" w:hAnsi="Arial" w:cs="Arial"/>
        </w:rPr>
        <w:t xml:space="preserve">how retained EU law should be </w:t>
      </w:r>
      <w:r>
        <w:rPr>
          <w:rFonts w:ascii="Arial" w:hAnsi="Arial" w:cs="Arial"/>
        </w:rPr>
        <w:t>used</w:t>
      </w:r>
      <w:r w:rsidRPr="005576D2">
        <w:rPr>
          <w:rFonts w:ascii="Arial" w:hAnsi="Arial" w:cs="Arial"/>
        </w:rPr>
        <w:t xml:space="preserve"> in the UK after Brexit. The Court of Appeal decided that </w:t>
      </w:r>
      <w:r>
        <w:rPr>
          <w:rFonts w:ascii="Arial" w:hAnsi="Arial" w:cs="Arial"/>
        </w:rPr>
        <w:t xml:space="preserve">all </w:t>
      </w:r>
      <w:r w:rsidRPr="005576D2">
        <w:rPr>
          <w:rFonts w:ascii="Arial" w:hAnsi="Arial" w:cs="Arial"/>
        </w:rPr>
        <w:t xml:space="preserve">retained EU law must be interpreted in accordance with UK law and is no longer bound by ECJ judgments. While UK courts can refer to ECJ judgments for guidance, these judgments </w:t>
      </w:r>
      <w:r>
        <w:rPr>
          <w:rFonts w:ascii="Arial" w:hAnsi="Arial" w:cs="Arial"/>
        </w:rPr>
        <w:t>were</w:t>
      </w:r>
      <w:r w:rsidRPr="005576D2">
        <w:rPr>
          <w:rFonts w:ascii="Arial" w:hAnsi="Arial" w:cs="Arial"/>
        </w:rPr>
        <w:t xml:space="preserve"> no longer legally binding.</w:t>
      </w:r>
      <w:r w:rsidR="00955EAB">
        <w:rPr>
          <w:rFonts w:ascii="Arial" w:hAnsi="Arial" w:cs="Arial"/>
        </w:rPr>
        <w:t xml:space="preserve"> Meaning that</w:t>
      </w:r>
      <w:r w:rsidR="00955EAB" w:rsidRPr="00955EAB">
        <w:rPr>
          <w:rFonts w:ascii="Arial" w:hAnsi="Arial" w:cs="Arial"/>
          <w:color w:val="71717A"/>
          <w:sz w:val="30"/>
          <w:szCs w:val="30"/>
          <w:shd w:val="clear" w:color="auto" w:fill="FFFFFF"/>
        </w:rPr>
        <w:t xml:space="preserve"> </w:t>
      </w:r>
      <w:r w:rsidR="00955EAB" w:rsidRPr="00955EAB">
        <w:rPr>
          <w:rFonts w:ascii="Arial" w:hAnsi="Arial" w:cs="Arial"/>
        </w:rPr>
        <w:t>CAC found the riders were not 'workers' under section 296 of the Trade Union and Labour Relations Act 1992 and th</w:t>
      </w:r>
      <w:r w:rsidR="00955EAB">
        <w:rPr>
          <w:rFonts w:ascii="Arial" w:hAnsi="Arial" w:cs="Arial"/>
        </w:rPr>
        <w:t>erefore</w:t>
      </w:r>
      <w:r w:rsidR="00955EAB" w:rsidRPr="00955EAB">
        <w:rPr>
          <w:rFonts w:ascii="Arial" w:hAnsi="Arial" w:cs="Arial"/>
        </w:rPr>
        <w:t xml:space="preserve"> not entitled to collective bargaining under Schedule A1.</w:t>
      </w:r>
    </w:p>
    <w:p w14:paraId="359090CB" w14:textId="57991037" w:rsidR="005576D2" w:rsidRDefault="005576D2" w:rsidP="001F4737">
      <w:pPr>
        <w:rPr>
          <w:rFonts w:ascii="Arial" w:hAnsi="Arial" w:cs="Arial"/>
        </w:rPr>
      </w:pPr>
      <w:r w:rsidRPr="005576D2">
        <w:rPr>
          <w:rFonts w:ascii="Arial" w:hAnsi="Arial" w:cs="Arial"/>
        </w:rPr>
        <w:t xml:space="preserve">This ruling </w:t>
      </w:r>
      <w:r>
        <w:rPr>
          <w:rFonts w:ascii="Arial" w:hAnsi="Arial" w:cs="Arial"/>
        </w:rPr>
        <w:t>confirmed</w:t>
      </w:r>
      <w:r w:rsidRPr="005576D2">
        <w:rPr>
          <w:rFonts w:ascii="Arial" w:hAnsi="Arial" w:cs="Arial"/>
        </w:rPr>
        <w:t xml:space="preserve"> that UK courts could disregard ECJ judgments and were free to apply retained EU law in ways they felt appropriate</w:t>
      </w:r>
      <w:r>
        <w:rPr>
          <w:rFonts w:ascii="Arial" w:hAnsi="Arial" w:cs="Arial"/>
        </w:rPr>
        <w:t>.</w:t>
      </w:r>
    </w:p>
    <w:p w14:paraId="1DE7B8CE" w14:textId="77777777" w:rsidR="005576D2" w:rsidRPr="005B70F8" w:rsidRDefault="005576D2" w:rsidP="001F4737">
      <w:pPr>
        <w:rPr>
          <w:rFonts w:ascii="Arial" w:hAnsi="Arial" w:cs="Arial"/>
        </w:rPr>
      </w:pPr>
    </w:p>
    <w:p w14:paraId="34228B44" w14:textId="65F578F6" w:rsidR="00386249" w:rsidRPr="005B70F8" w:rsidRDefault="00562321" w:rsidP="153BE3AE">
      <w:pPr>
        <w:rPr>
          <w:rFonts w:ascii="Arial" w:hAnsi="Arial" w:cs="Arial"/>
          <w:color w:val="A02B93" w:themeColor="accent5"/>
        </w:rPr>
      </w:pPr>
      <w:r w:rsidRPr="005B70F8">
        <w:rPr>
          <w:rFonts w:ascii="Arial" w:hAnsi="Arial" w:cs="Arial"/>
          <w:b/>
          <w:bCs/>
          <w:u w:val="single"/>
        </w:rPr>
        <w:t xml:space="preserve">A.C </w:t>
      </w:r>
      <w:r w:rsidR="00816E05" w:rsidRPr="005B70F8">
        <w:rPr>
          <w:rFonts w:ascii="Arial" w:hAnsi="Arial" w:cs="Arial"/>
          <w:b/>
          <w:bCs/>
          <w:u w:val="single"/>
        </w:rPr>
        <w:t>2</w:t>
      </w:r>
      <w:r w:rsidRPr="005B70F8">
        <w:rPr>
          <w:rFonts w:ascii="Arial" w:hAnsi="Arial" w:cs="Arial"/>
          <w:b/>
          <w:bCs/>
          <w:u w:val="single"/>
        </w:rPr>
        <w:t>.</w:t>
      </w:r>
      <w:r w:rsidR="00816E05" w:rsidRPr="005B70F8">
        <w:rPr>
          <w:rFonts w:ascii="Arial" w:hAnsi="Arial" w:cs="Arial"/>
          <w:b/>
          <w:bCs/>
          <w:u w:val="single"/>
        </w:rPr>
        <w:t>1</w:t>
      </w:r>
      <w:r w:rsidRPr="005B70F8">
        <w:rPr>
          <w:rFonts w:ascii="Arial" w:hAnsi="Arial" w:cs="Arial"/>
        </w:rPr>
        <w:br/>
      </w:r>
      <w:r w:rsidR="00386249" w:rsidRPr="005B70F8">
        <w:rPr>
          <w:rFonts w:ascii="Arial" w:hAnsi="Arial" w:cs="Arial"/>
        </w:rPr>
        <w:t xml:space="preserve">Discrimination laws are in place to help prevent discrimination against any individuals protected characteristics. The Equality Act 2010 sets out the 9 protected characteristics, that are: age; sex; gender reassignment; disability; sexual orientation; marriage and civil partnership; pregnancy/maternity; race and religion/belief. </w:t>
      </w:r>
    </w:p>
    <w:p w14:paraId="5AC3A242" w14:textId="77777777" w:rsidR="00DE3882" w:rsidRDefault="00562321" w:rsidP="001F4737">
      <w:pPr>
        <w:rPr>
          <w:rFonts w:ascii="Arial" w:hAnsi="Arial" w:cs="Arial"/>
        </w:rPr>
      </w:pPr>
      <w:r w:rsidRPr="005B70F8">
        <w:rPr>
          <w:rFonts w:ascii="Arial" w:hAnsi="Arial" w:cs="Arial"/>
        </w:rPr>
        <w:t xml:space="preserve">Under the Equality Act 2010, it is generally unlawful </w:t>
      </w:r>
      <w:r w:rsidR="00E03D8E" w:rsidRPr="005B70F8">
        <w:rPr>
          <w:rFonts w:ascii="Arial" w:hAnsi="Arial" w:cs="Arial"/>
        </w:rPr>
        <w:t xml:space="preserve">during recruitment and selection </w:t>
      </w:r>
      <w:r w:rsidRPr="005B70F8">
        <w:rPr>
          <w:rFonts w:ascii="Arial" w:hAnsi="Arial" w:cs="Arial"/>
        </w:rPr>
        <w:t>to discriminate against someone based on protected characteristics, including gender and age.</w:t>
      </w:r>
      <w:r w:rsidRPr="005B70F8">
        <w:rPr>
          <w:rFonts w:ascii="Arial" w:hAnsi="Arial" w:cs="Arial"/>
          <w:color w:val="242424"/>
          <w:shd w:val="clear" w:color="auto" w:fill="FAFAFA"/>
        </w:rPr>
        <w:t xml:space="preserve"> </w:t>
      </w:r>
      <w:r w:rsidRPr="005B70F8">
        <w:rPr>
          <w:rFonts w:ascii="Arial" w:hAnsi="Arial" w:cs="Arial"/>
        </w:rPr>
        <w:t>However, there are certain situations where an occupational requirement permits an employer to specify that a job must be performed by an individual of a particular sex. It can be justified if it is seen to be a proportionate means of achieving a legitimate aim for example, for privacy, a women’s refuge or charity may only advertise for female applicants only</w:t>
      </w:r>
      <w:r w:rsidR="00E03D8E" w:rsidRPr="005B70F8">
        <w:rPr>
          <w:rFonts w:ascii="Arial" w:hAnsi="Arial" w:cs="Arial"/>
        </w:rPr>
        <w:t>,</w:t>
      </w:r>
      <w:r w:rsidRPr="005B70F8">
        <w:rPr>
          <w:rFonts w:ascii="Arial" w:hAnsi="Arial" w:cs="Arial"/>
        </w:rPr>
        <w:t xml:space="preserve"> as the nature of the </w:t>
      </w:r>
      <w:r w:rsidRPr="005B70F8">
        <w:rPr>
          <w:rFonts w:ascii="Arial" w:hAnsi="Arial" w:cs="Arial"/>
        </w:rPr>
        <w:lastRenderedPageBreak/>
        <w:t>role involves some sensitive and intimate</w:t>
      </w:r>
      <w:r w:rsidR="00E03D8E" w:rsidRPr="005B70F8">
        <w:rPr>
          <w:rFonts w:ascii="Arial" w:hAnsi="Arial" w:cs="Arial"/>
        </w:rPr>
        <w:t xml:space="preserve"> matters</w:t>
      </w:r>
      <w:r w:rsidRPr="005B70F8">
        <w:rPr>
          <w:rFonts w:ascii="Arial" w:hAnsi="Arial" w:cs="Arial"/>
        </w:rPr>
        <w:t xml:space="preserve">. Another reason could be </w:t>
      </w:r>
      <w:r w:rsidR="00E03D8E" w:rsidRPr="005B70F8">
        <w:rPr>
          <w:rFonts w:ascii="Arial" w:hAnsi="Arial" w:cs="Arial"/>
        </w:rPr>
        <w:t xml:space="preserve">providing </w:t>
      </w:r>
      <w:r w:rsidRPr="005B70F8">
        <w:rPr>
          <w:rFonts w:ascii="Arial" w:hAnsi="Arial" w:cs="Arial"/>
        </w:rPr>
        <w:t xml:space="preserve">a single sex service, </w:t>
      </w:r>
      <w:r w:rsidR="00386249" w:rsidRPr="005B70F8">
        <w:rPr>
          <w:rFonts w:ascii="Arial" w:hAnsi="Arial" w:cs="Arial"/>
        </w:rPr>
        <w:t>like a male-only care facility, where the residents’ privacy and dignity are best maintained by having male staff member</w:t>
      </w:r>
      <w:r w:rsidR="00E03D8E" w:rsidRPr="005B70F8">
        <w:rPr>
          <w:rFonts w:ascii="Arial" w:hAnsi="Arial" w:cs="Arial"/>
        </w:rPr>
        <w:t>s</w:t>
      </w:r>
      <w:r w:rsidR="00386249" w:rsidRPr="005B70F8">
        <w:rPr>
          <w:rFonts w:ascii="Arial" w:hAnsi="Arial" w:cs="Arial"/>
        </w:rPr>
        <w:t xml:space="preserve"> care for them over a female. </w:t>
      </w:r>
    </w:p>
    <w:p w14:paraId="4BC64473" w14:textId="0D85A2CF" w:rsidR="00562321" w:rsidRPr="005B70F8" w:rsidRDefault="00386249" w:rsidP="001F4737">
      <w:pPr>
        <w:rPr>
          <w:rFonts w:ascii="Arial" w:hAnsi="Arial" w:cs="Arial"/>
        </w:rPr>
      </w:pPr>
      <w:r w:rsidRPr="005B70F8">
        <w:rPr>
          <w:rFonts w:ascii="Arial" w:hAnsi="Arial" w:cs="Arial"/>
        </w:rPr>
        <w:br/>
        <w:t xml:space="preserve">It is important to note that an occupational requirement in recruitment must be objectively justified and applied proportionately, general preferences and stereotypical assumptions are not justified reasons for example hiring only for a female nurse as the team is mostly female. </w:t>
      </w:r>
    </w:p>
    <w:p w14:paraId="3A173F4F" w14:textId="0617BF55" w:rsidR="00A55BEE" w:rsidRPr="005B70F8" w:rsidRDefault="00A55BEE" w:rsidP="001F4737">
      <w:pPr>
        <w:rPr>
          <w:rFonts w:ascii="Arial" w:hAnsi="Arial" w:cs="Arial"/>
        </w:rPr>
      </w:pPr>
      <w:r w:rsidRPr="005B70F8">
        <w:rPr>
          <w:rFonts w:ascii="Arial" w:hAnsi="Arial" w:cs="Arial"/>
        </w:rPr>
        <w:t xml:space="preserve">I would explain to the manager that </w:t>
      </w:r>
      <w:r w:rsidRPr="00A55BEE">
        <w:rPr>
          <w:rFonts w:ascii="Arial" w:hAnsi="Arial" w:cs="Arial"/>
        </w:rPr>
        <w:t>occupational requirements could be applied in situations where a job's nature demands a specific characteristic, such as sex or gender, provided it is both</w:t>
      </w:r>
      <w:r w:rsidRPr="005B70F8">
        <w:rPr>
          <w:rFonts w:ascii="Arial" w:hAnsi="Arial" w:cs="Arial"/>
        </w:rPr>
        <w:t xml:space="preserve"> proportionate, meaning that there is a clear and specific need that justifies the requirement and also that it is legitimate meaning it is fair and reasonable. For example:</w:t>
      </w:r>
    </w:p>
    <w:p w14:paraId="04FCED88" w14:textId="56F04FFC" w:rsidR="00A55BEE" w:rsidRPr="005B70F8" w:rsidRDefault="00A55BEE" w:rsidP="00A55BEE">
      <w:pPr>
        <w:rPr>
          <w:rFonts w:ascii="Arial" w:hAnsi="Arial" w:cs="Arial"/>
          <w:b/>
          <w:bCs/>
          <w:i/>
          <w:iCs/>
        </w:rPr>
      </w:pPr>
      <w:r w:rsidRPr="00A55BEE">
        <w:rPr>
          <w:rFonts w:ascii="Arial" w:hAnsi="Arial" w:cs="Arial"/>
          <w:b/>
          <w:bCs/>
          <w:i/>
          <w:iCs/>
        </w:rPr>
        <w:t>Case: R (on the application of X) v. The Minister for Justice [2010] EWHC 2671</w:t>
      </w:r>
      <w:r w:rsidR="000B3E7A" w:rsidRPr="005B70F8">
        <w:rPr>
          <w:rFonts w:ascii="Arial" w:hAnsi="Arial" w:cs="Arial"/>
          <w:b/>
          <w:bCs/>
          <w:i/>
          <w:iCs/>
        </w:rPr>
        <w:t>.</w:t>
      </w:r>
    </w:p>
    <w:p w14:paraId="0E57BC70" w14:textId="20F5734C" w:rsidR="00A55BEE" w:rsidRPr="005B70F8" w:rsidRDefault="00A55BEE" w:rsidP="00A55BEE">
      <w:pPr>
        <w:rPr>
          <w:rFonts w:ascii="Arial" w:hAnsi="Arial" w:cs="Arial"/>
        </w:rPr>
      </w:pPr>
      <w:r w:rsidRPr="005B70F8">
        <w:rPr>
          <w:rFonts w:ascii="Arial" w:hAnsi="Arial" w:cs="Arial"/>
        </w:rPr>
        <w:t>This case surrounds a challenge from a male applicant to the decision of the Ministry of justice made to not recruit a male applicant as a prison officer. They had set a gender specific occupational requirement, citing that female prisoners were more likely to feel comfortable with female only offices due to the sensitive nature of their care.</w:t>
      </w:r>
      <w:r w:rsidR="000B3E7A" w:rsidRPr="005B70F8">
        <w:rPr>
          <w:rFonts w:ascii="Arial" w:hAnsi="Arial" w:cs="Arial"/>
        </w:rPr>
        <w:t xml:space="preserve"> The court ruled that the occupational requirement could be upheld and dismissed the challenge deciding it was a legitimate exception under the equality act 2010 and that it was proportionate ensuring the dignity and safety of female prisoners was maintained.</w:t>
      </w:r>
    </w:p>
    <w:p w14:paraId="63EE8773" w14:textId="4FF05019" w:rsidR="00A55BEE" w:rsidRPr="005B70F8" w:rsidRDefault="000B3E7A" w:rsidP="001F4737">
      <w:pPr>
        <w:rPr>
          <w:rFonts w:ascii="Arial" w:hAnsi="Arial" w:cs="Arial"/>
        </w:rPr>
      </w:pPr>
      <w:r w:rsidRPr="005B70F8">
        <w:rPr>
          <w:rFonts w:ascii="Arial" w:hAnsi="Arial" w:cs="Arial"/>
        </w:rPr>
        <w:t xml:space="preserve">This ruling shows that while anti-discrimination laws are there to protect individuals from being treated unfairly, in some cases, a specific requirement may be necessary. </w:t>
      </w:r>
    </w:p>
    <w:p w14:paraId="50337299" w14:textId="769E411B" w:rsidR="00386249" w:rsidRPr="005B70F8" w:rsidRDefault="00816E05" w:rsidP="001F4737">
      <w:pPr>
        <w:rPr>
          <w:rFonts w:ascii="Arial" w:hAnsi="Arial" w:cs="Arial"/>
          <w:b/>
          <w:bCs/>
          <w:u w:val="single"/>
        </w:rPr>
      </w:pPr>
      <w:r w:rsidRPr="005B70F8">
        <w:rPr>
          <w:rFonts w:ascii="Arial" w:hAnsi="Arial" w:cs="Arial"/>
          <w:b/>
          <w:bCs/>
          <w:u w:val="single"/>
        </w:rPr>
        <w:t>A.C 2.2</w:t>
      </w:r>
    </w:p>
    <w:p w14:paraId="6836C5D2" w14:textId="17EFDE6F" w:rsidR="00642FDD" w:rsidRPr="005B70F8" w:rsidRDefault="00642FDD" w:rsidP="00642FDD">
      <w:pPr>
        <w:rPr>
          <w:rFonts w:ascii="Arial" w:hAnsi="Arial" w:cs="Arial"/>
        </w:rPr>
      </w:pPr>
      <w:r w:rsidRPr="005B70F8">
        <w:rPr>
          <w:rFonts w:ascii="Arial" w:hAnsi="Arial" w:cs="Arial"/>
        </w:rPr>
        <w:t>CIPD (</w:t>
      </w:r>
      <w:r w:rsidR="001B59D5" w:rsidRPr="005B70F8">
        <w:rPr>
          <w:rFonts w:ascii="Arial" w:hAnsi="Arial" w:cs="Arial"/>
        </w:rPr>
        <w:t>2024</w:t>
      </w:r>
      <w:r w:rsidRPr="005B70F8">
        <w:rPr>
          <w:rFonts w:ascii="Arial" w:hAnsi="Arial" w:cs="Arial"/>
        </w:rPr>
        <w:t>) states that e</w:t>
      </w:r>
      <w:r w:rsidR="00816E05" w:rsidRPr="005B70F8">
        <w:rPr>
          <w:rFonts w:ascii="Arial" w:hAnsi="Arial" w:cs="Arial"/>
        </w:rPr>
        <w:t xml:space="preserve">qual pay for equal work refers to the call for men and women in the same employment and performing equal work, to receive equal pay, which is enforced under </w:t>
      </w:r>
      <w:r w:rsidR="00E03D8E" w:rsidRPr="005B70F8">
        <w:rPr>
          <w:rFonts w:ascii="Arial" w:hAnsi="Arial" w:cs="Arial"/>
        </w:rPr>
        <w:t xml:space="preserve">Section 66 of </w:t>
      </w:r>
      <w:r w:rsidR="00816E05" w:rsidRPr="005B70F8">
        <w:rPr>
          <w:rFonts w:ascii="Arial" w:hAnsi="Arial" w:cs="Arial"/>
        </w:rPr>
        <w:t>Equality Act 2010.</w:t>
      </w:r>
      <w:r w:rsidR="00816E05" w:rsidRPr="005B70F8">
        <w:rPr>
          <w:rFonts w:ascii="Arial" w:hAnsi="Arial" w:cs="Arial"/>
          <w:color w:val="202020"/>
          <w:shd w:val="clear" w:color="auto" w:fill="FFFFFF"/>
        </w:rPr>
        <w:t xml:space="preserve"> </w:t>
      </w:r>
      <w:r w:rsidR="00816E05" w:rsidRPr="005B70F8">
        <w:rPr>
          <w:rFonts w:ascii="Arial" w:hAnsi="Arial" w:cs="Arial"/>
        </w:rPr>
        <w:t>The right to equal pay applies to all employees on full-, part-time, or temporary contracts, apprentices and self-employed people.</w:t>
      </w:r>
      <w:r w:rsidRPr="005B70F8">
        <w:rPr>
          <w:rFonts w:ascii="Arial" w:hAnsi="Arial" w:cs="Arial"/>
        </w:rPr>
        <w:t xml:space="preserve"> </w:t>
      </w:r>
      <w:r w:rsidR="00E04F49" w:rsidRPr="005B70F8">
        <w:rPr>
          <w:rFonts w:ascii="Arial" w:hAnsi="Arial" w:cs="Arial"/>
        </w:rPr>
        <w:t>CIPD (2024) also claim that ‘e</w:t>
      </w:r>
      <w:r w:rsidRPr="005B70F8">
        <w:rPr>
          <w:rFonts w:ascii="Arial" w:hAnsi="Arial" w:cs="Arial"/>
        </w:rPr>
        <w:t>qual work</w:t>
      </w:r>
      <w:r w:rsidR="00E04F49" w:rsidRPr="005B70F8">
        <w:rPr>
          <w:rFonts w:ascii="Arial" w:hAnsi="Arial" w:cs="Arial"/>
        </w:rPr>
        <w:t>’</w:t>
      </w:r>
      <w:r w:rsidRPr="005B70F8">
        <w:rPr>
          <w:rFonts w:ascii="Arial" w:hAnsi="Arial" w:cs="Arial"/>
        </w:rPr>
        <w:t xml:space="preserve"> is </w:t>
      </w:r>
      <w:r w:rsidR="00E03D8E" w:rsidRPr="005B70F8">
        <w:rPr>
          <w:rFonts w:ascii="Arial" w:hAnsi="Arial" w:cs="Arial"/>
        </w:rPr>
        <w:t xml:space="preserve">defined as </w:t>
      </w:r>
      <w:r w:rsidRPr="005B70F8">
        <w:rPr>
          <w:rFonts w:ascii="Arial" w:hAnsi="Arial" w:cs="Arial"/>
        </w:rPr>
        <w:t xml:space="preserve">work involving similar tasks, knowledge and skills, or work of equal value which is not similar by specific task but equivalent in effort, skill and decision-making. </w:t>
      </w:r>
      <w:r w:rsidRPr="005B70F8">
        <w:rPr>
          <w:rFonts w:ascii="Arial" w:hAnsi="Arial" w:cs="Arial"/>
        </w:rPr>
        <w:br/>
      </w:r>
      <w:r w:rsidRPr="005B70F8">
        <w:rPr>
          <w:rFonts w:ascii="Arial" w:hAnsi="Arial" w:cs="Arial"/>
        </w:rPr>
        <w:br/>
        <w:t>To ensure the upgrade for the two males to grade B is based on objective criteria related to the roles and responsibilities of the HCAs, rather than their gender</w:t>
      </w:r>
      <w:r w:rsidR="00736031" w:rsidRPr="005B70F8">
        <w:rPr>
          <w:rFonts w:ascii="Arial" w:hAnsi="Arial" w:cs="Arial"/>
        </w:rPr>
        <w:t>,</w:t>
      </w:r>
      <w:r w:rsidRPr="005B70F8">
        <w:rPr>
          <w:rFonts w:ascii="Arial" w:hAnsi="Arial" w:cs="Arial"/>
        </w:rPr>
        <w:t xml:space="preserve"> </w:t>
      </w:r>
      <w:r w:rsidR="00E03D8E" w:rsidRPr="005B70F8">
        <w:rPr>
          <w:rFonts w:ascii="Arial" w:hAnsi="Arial" w:cs="Arial"/>
        </w:rPr>
        <w:t>i</w:t>
      </w:r>
      <w:r w:rsidRPr="005B70F8">
        <w:rPr>
          <w:rFonts w:ascii="Arial" w:hAnsi="Arial" w:cs="Arial"/>
        </w:rPr>
        <w:t>t is key to document the reasons for the pay increase</w:t>
      </w:r>
      <w:r w:rsidR="00C76747" w:rsidRPr="005B70F8">
        <w:rPr>
          <w:rFonts w:ascii="Arial" w:hAnsi="Arial" w:cs="Arial"/>
        </w:rPr>
        <w:t xml:space="preserve">, for example, </w:t>
      </w:r>
      <w:r w:rsidRPr="005B70F8">
        <w:rPr>
          <w:rFonts w:ascii="Arial" w:hAnsi="Arial" w:cs="Arial"/>
        </w:rPr>
        <w:t xml:space="preserve">clearly defined job descriptions showing that the upgrade is based on specific requirements that are not equal work to Grade A, </w:t>
      </w:r>
      <w:r w:rsidR="00C76747" w:rsidRPr="005B70F8">
        <w:rPr>
          <w:rFonts w:ascii="Arial" w:hAnsi="Arial" w:cs="Arial"/>
        </w:rPr>
        <w:t xml:space="preserve">and/or </w:t>
      </w:r>
      <w:r w:rsidRPr="005B70F8">
        <w:rPr>
          <w:rFonts w:ascii="Arial" w:hAnsi="Arial" w:cs="Arial"/>
        </w:rPr>
        <w:t xml:space="preserve">a performance evaluation of the two potential HCA’s to ensure the upgrade is based on merit. There would also </w:t>
      </w:r>
      <w:r w:rsidR="00C76747" w:rsidRPr="005B70F8">
        <w:rPr>
          <w:rFonts w:ascii="Arial" w:hAnsi="Arial" w:cs="Arial"/>
        </w:rPr>
        <w:t xml:space="preserve">need </w:t>
      </w:r>
      <w:r w:rsidRPr="005B70F8">
        <w:rPr>
          <w:rFonts w:ascii="Arial" w:hAnsi="Arial" w:cs="Arial"/>
        </w:rPr>
        <w:t>to have been a clear communication to all HCA’s surrounding the criteria to upgrade to maintain fairness and transparency, and finally ensure the same process and criteria is then applied to all HCA’s who hit the set thresholds for the upgrade.</w:t>
      </w:r>
      <w:r w:rsidR="00736031" w:rsidRPr="005B70F8">
        <w:rPr>
          <w:rFonts w:ascii="Arial" w:hAnsi="Arial" w:cs="Arial"/>
        </w:rPr>
        <w:t xml:space="preserve"> G</w:t>
      </w:r>
      <w:r w:rsidRPr="005B70F8">
        <w:rPr>
          <w:rFonts w:ascii="Arial" w:hAnsi="Arial" w:cs="Arial"/>
        </w:rPr>
        <w:t xml:space="preserve">iven that 80% of the HCAs in </w:t>
      </w:r>
      <w:r w:rsidR="00736031" w:rsidRPr="005B70F8">
        <w:rPr>
          <w:rFonts w:ascii="Arial" w:hAnsi="Arial" w:cs="Arial"/>
        </w:rPr>
        <w:t>the</w:t>
      </w:r>
      <w:r w:rsidRPr="005B70F8">
        <w:rPr>
          <w:rFonts w:ascii="Arial" w:hAnsi="Arial" w:cs="Arial"/>
        </w:rPr>
        <w:t xml:space="preserve"> Trust are women, it is crucial to ensure that the</w:t>
      </w:r>
      <w:r w:rsidR="00736031" w:rsidRPr="005B70F8">
        <w:rPr>
          <w:rFonts w:ascii="Arial" w:hAnsi="Arial" w:cs="Arial"/>
        </w:rPr>
        <w:t xml:space="preserve"> </w:t>
      </w:r>
      <w:r w:rsidRPr="005B70F8">
        <w:rPr>
          <w:rFonts w:ascii="Arial" w:hAnsi="Arial" w:cs="Arial"/>
        </w:rPr>
        <w:t>process is fair</w:t>
      </w:r>
      <w:r w:rsidR="00736031" w:rsidRPr="005B70F8">
        <w:rPr>
          <w:rFonts w:ascii="Arial" w:hAnsi="Arial" w:cs="Arial"/>
        </w:rPr>
        <w:t xml:space="preserve"> </w:t>
      </w:r>
      <w:r w:rsidRPr="005B70F8">
        <w:rPr>
          <w:rFonts w:ascii="Arial" w:hAnsi="Arial" w:cs="Arial"/>
        </w:rPr>
        <w:t>to avoid any potential claims of gender discrimination.</w:t>
      </w:r>
    </w:p>
    <w:p w14:paraId="0598CEA2" w14:textId="54395FFF" w:rsidR="00736031" w:rsidRPr="005B70F8" w:rsidRDefault="00736031" w:rsidP="153BE3AE">
      <w:pPr>
        <w:rPr>
          <w:rFonts w:ascii="Arial" w:hAnsi="Arial" w:cs="Arial"/>
          <w:color w:val="A02B93" w:themeColor="accent5"/>
        </w:rPr>
      </w:pPr>
      <w:r w:rsidRPr="005B70F8">
        <w:rPr>
          <w:rFonts w:ascii="Arial" w:hAnsi="Arial" w:cs="Arial"/>
        </w:rPr>
        <w:t xml:space="preserve">The consequences of not providing equal pay for equal work can be significant for employers, for example reputational damage, </w:t>
      </w:r>
      <w:r w:rsidR="00C76747" w:rsidRPr="005B70F8">
        <w:rPr>
          <w:rFonts w:ascii="Arial" w:hAnsi="Arial" w:cs="Arial"/>
        </w:rPr>
        <w:t xml:space="preserve">and </w:t>
      </w:r>
      <w:r w:rsidRPr="005B70F8">
        <w:rPr>
          <w:rFonts w:ascii="Arial" w:hAnsi="Arial" w:cs="Arial"/>
        </w:rPr>
        <w:t>employment tribunal cases</w:t>
      </w:r>
      <w:r w:rsidR="00C76747" w:rsidRPr="005B70F8">
        <w:rPr>
          <w:rFonts w:ascii="Arial" w:hAnsi="Arial" w:cs="Arial"/>
        </w:rPr>
        <w:t>,</w:t>
      </w:r>
      <w:r w:rsidR="00937003" w:rsidRPr="005B70F8">
        <w:rPr>
          <w:rFonts w:ascii="Arial" w:hAnsi="Arial" w:cs="Arial"/>
        </w:rPr>
        <w:t xml:space="preserve"> for example, Samira Ahmed </w:t>
      </w:r>
      <w:r w:rsidR="00937003" w:rsidRPr="005B70F8">
        <w:rPr>
          <w:rFonts w:ascii="Arial" w:hAnsi="Arial" w:cs="Arial"/>
        </w:rPr>
        <w:lastRenderedPageBreak/>
        <w:t>V. BBC</w:t>
      </w:r>
      <w:r w:rsidR="00E04F49" w:rsidRPr="005B70F8">
        <w:rPr>
          <w:rFonts w:ascii="Arial" w:hAnsi="Arial" w:cs="Arial"/>
        </w:rPr>
        <w:t xml:space="preserve"> (2020)</w:t>
      </w:r>
      <w:r w:rsidR="00937003" w:rsidRPr="005B70F8">
        <w:rPr>
          <w:rFonts w:ascii="Arial" w:hAnsi="Arial" w:cs="Arial"/>
        </w:rPr>
        <w:t xml:space="preserve"> where Samira Ahmed, a journalist and presenter at the BBC, filed a claim against the broadcaster BBC for equal pay. In the complaint she argued that she was paid significantly less than her male counterpart, Jeremy Vine, for presenting similar programs. In January 2020, the employment tribunal ruled in favour of Samira Ahmed. The tribunal found that the work Ahmed did on “NewsWatch” was equal to the work Vine did on “Points of View,” and that there was no material factor to justify the pay disparity. </w:t>
      </w:r>
      <w:r w:rsidRPr="005B70F8">
        <w:rPr>
          <w:rFonts w:ascii="Arial" w:hAnsi="Arial" w:cs="Arial"/>
        </w:rPr>
        <w:br/>
      </w:r>
      <w:r w:rsidRPr="005B70F8">
        <w:rPr>
          <w:rFonts w:ascii="Arial" w:hAnsi="Arial" w:cs="Arial"/>
        </w:rPr>
        <w:br/>
      </w:r>
      <w:r w:rsidR="00937003" w:rsidRPr="005B70F8">
        <w:rPr>
          <w:rFonts w:ascii="Arial" w:hAnsi="Arial" w:cs="Arial"/>
        </w:rPr>
        <w:t xml:space="preserve">My advice would be that unless there is appropriate documentation </w:t>
      </w:r>
      <w:r w:rsidR="00C76747" w:rsidRPr="005B70F8">
        <w:rPr>
          <w:rFonts w:ascii="Arial" w:hAnsi="Arial" w:cs="Arial"/>
        </w:rPr>
        <w:t>in regard to</w:t>
      </w:r>
      <w:r w:rsidR="00937003" w:rsidRPr="005B70F8">
        <w:rPr>
          <w:rFonts w:ascii="Arial" w:hAnsi="Arial" w:cs="Arial"/>
        </w:rPr>
        <w:t xml:space="preserve"> upgrading the two male HCAs</w:t>
      </w:r>
      <w:r w:rsidR="00C76747" w:rsidRPr="005B70F8">
        <w:rPr>
          <w:rFonts w:ascii="Arial" w:hAnsi="Arial" w:cs="Arial"/>
        </w:rPr>
        <w:t xml:space="preserve">, </w:t>
      </w:r>
      <w:r w:rsidR="00937003" w:rsidRPr="005B70F8">
        <w:rPr>
          <w:rFonts w:ascii="Arial" w:hAnsi="Arial" w:cs="Arial"/>
        </w:rPr>
        <w:t xml:space="preserve">it would be an unnecessary risk to the </w:t>
      </w:r>
      <w:r w:rsidR="00E04F49" w:rsidRPr="005B70F8">
        <w:rPr>
          <w:rFonts w:ascii="Arial" w:hAnsi="Arial" w:cs="Arial"/>
        </w:rPr>
        <w:t>trust and</w:t>
      </w:r>
      <w:r w:rsidR="00937003" w:rsidRPr="005B70F8">
        <w:rPr>
          <w:rFonts w:ascii="Arial" w:hAnsi="Arial" w:cs="Arial"/>
        </w:rPr>
        <w:t xml:space="preserve"> leave us open to </w:t>
      </w:r>
      <w:r w:rsidR="007D5C9B" w:rsidRPr="005B70F8">
        <w:rPr>
          <w:rFonts w:ascii="Arial" w:hAnsi="Arial" w:cs="Arial"/>
        </w:rPr>
        <w:t xml:space="preserve">gender </w:t>
      </w:r>
      <w:r w:rsidR="007D5C9B" w:rsidRPr="007D5C9B">
        <w:rPr>
          <w:rFonts w:ascii="Arial" w:hAnsi="Arial" w:cs="Arial"/>
        </w:rPr>
        <w:t>discrimination</w:t>
      </w:r>
      <w:r w:rsidR="00C23CED" w:rsidRPr="005B70F8">
        <w:rPr>
          <w:rFonts w:ascii="Arial" w:hAnsi="Arial" w:cs="Arial"/>
        </w:rPr>
        <w:t xml:space="preserve"> and equal pay </w:t>
      </w:r>
      <w:r w:rsidR="00937003" w:rsidRPr="005B70F8">
        <w:rPr>
          <w:rFonts w:ascii="Arial" w:hAnsi="Arial" w:cs="Arial"/>
        </w:rPr>
        <w:t>claims.</w:t>
      </w:r>
    </w:p>
    <w:p w14:paraId="569BF39C" w14:textId="701F8104" w:rsidR="00642FDD" w:rsidRPr="005B70F8" w:rsidRDefault="00937003" w:rsidP="00642FDD">
      <w:pPr>
        <w:rPr>
          <w:rFonts w:ascii="Arial" w:hAnsi="Arial" w:cs="Arial"/>
          <w:b/>
          <w:bCs/>
          <w:u w:val="single"/>
        </w:rPr>
      </w:pPr>
      <w:r w:rsidRPr="005B70F8">
        <w:rPr>
          <w:rFonts w:ascii="Arial" w:hAnsi="Arial" w:cs="Arial"/>
          <w:b/>
          <w:bCs/>
          <w:u w:val="single"/>
        </w:rPr>
        <w:t xml:space="preserve">A.C 3.1 </w:t>
      </w:r>
    </w:p>
    <w:p w14:paraId="47BCBF7C" w14:textId="5C87C335" w:rsidR="00C142C7" w:rsidRPr="005B70F8" w:rsidRDefault="00C142C7" w:rsidP="00C142C7">
      <w:pPr>
        <w:rPr>
          <w:rFonts w:ascii="Arial" w:hAnsi="Arial" w:cs="Arial"/>
        </w:rPr>
      </w:pPr>
      <w:r w:rsidRPr="005B70F8">
        <w:rPr>
          <w:rFonts w:ascii="Arial" w:hAnsi="Arial" w:cs="Arial"/>
        </w:rPr>
        <w:t>ACAS</w:t>
      </w:r>
      <w:r w:rsidR="00E04F49" w:rsidRPr="005B70F8">
        <w:rPr>
          <w:rFonts w:ascii="Arial" w:hAnsi="Arial" w:cs="Arial"/>
        </w:rPr>
        <w:t xml:space="preserve"> (2024)</w:t>
      </w:r>
      <w:r w:rsidRPr="005B70F8">
        <w:rPr>
          <w:rFonts w:ascii="Arial" w:hAnsi="Arial" w:cs="Arial"/>
        </w:rPr>
        <w:t xml:space="preserve"> states that </w:t>
      </w:r>
      <w:r w:rsidR="00C76747" w:rsidRPr="005B70F8">
        <w:rPr>
          <w:rFonts w:ascii="Arial" w:hAnsi="Arial" w:cs="Arial"/>
        </w:rPr>
        <w:t>c</w:t>
      </w:r>
      <w:r w:rsidRPr="005B70F8">
        <w:rPr>
          <w:rFonts w:ascii="Arial" w:hAnsi="Arial" w:cs="Arial"/>
        </w:rPr>
        <w:t xml:space="preserve">onstructive dismissal occurs when an employee resigns because they believe their employer has fundamentally breached their contract of employment. However, there are usually stipulations in place for </w:t>
      </w:r>
      <w:r w:rsidR="00C76747" w:rsidRPr="005B70F8">
        <w:rPr>
          <w:rFonts w:ascii="Arial" w:hAnsi="Arial" w:cs="Arial"/>
        </w:rPr>
        <w:t>individuals to</w:t>
      </w:r>
      <w:r w:rsidRPr="005B70F8">
        <w:rPr>
          <w:rFonts w:ascii="Arial" w:hAnsi="Arial" w:cs="Arial"/>
        </w:rPr>
        <w:t xml:space="preserve"> have the right to make a constructive dismissal claim to an employment tribunal</w:t>
      </w:r>
      <w:r w:rsidR="00C76747" w:rsidRPr="005B70F8">
        <w:rPr>
          <w:rFonts w:ascii="Arial" w:hAnsi="Arial" w:cs="Arial"/>
        </w:rPr>
        <w:t>. These stipulations include</w:t>
      </w:r>
      <w:r w:rsidRPr="005B70F8">
        <w:rPr>
          <w:rFonts w:ascii="Arial" w:hAnsi="Arial" w:cs="Arial"/>
        </w:rPr>
        <w:t xml:space="preserve"> needing to be legally classed as an employee and </w:t>
      </w:r>
      <w:r w:rsidR="00C76747" w:rsidRPr="005B70F8">
        <w:rPr>
          <w:rFonts w:ascii="Arial" w:hAnsi="Arial" w:cs="Arial"/>
        </w:rPr>
        <w:t xml:space="preserve">having </w:t>
      </w:r>
      <w:r w:rsidRPr="005B70F8">
        <w:rPr>
          <w:rFonts w:ascii="Arial" w:hAnsi="Arial" w:cs="Arial"/>
        </w:rPr>
        <w:t>work</w:t>
      </w:r>
      <w:r w:rsidR="00C76747" w:rsidRPr="005B70F8">
        <w:rPr>
          <w:rFonts w:ascii="Arial" w:hAnsi="Arial" w:cs="Arial"/>
        </w:rPr>
        <w:t>ed</w:t>
      </w:r>
      <w:r w:rsidRPr="005B70F8">
        <w:rPr>
          <w:rFonts w:ascii="Arial" w:hAnsi="Arial" w:cs="Arial"/>
        </w:rPr>
        <w:t xml:space="preserve"> for your employer for 2 years. There are also time limits for making a claim to an employment tribunal, </w:t>
      </w:r>
      <w:r w:rsidR="00C76747" w:rsidRPr="005B70F8">
        <w:rPr>
          <w:rFonts w:ascii="Arial" w:hAnsi="Arial" w:cs="Arial"/>
        </w:rPr>
        <w:t>in</w:t>
      </w:r>
      <w:r w:rsidRPr="005B70F8">
        <w:rPr>
          <w:rFonts w:ascii="Arial" w:hAnsi="Arial" w:cs="Arial"/>
        </w:rPr>
        <w:t xml:space="preserve"> all cases you have 3 months minus 1 day from either the last day of your notice period or the day you resigned</w:t>
      </w:r>
      <w:r w:rsidR="00C76747" w:rsidRPr="005B70F8">
        <w:rPr>
          <w:rFonts w:ascii="Arial" w:hAnsi="Arial" w:cs="Arial"/>
        </w:rPr>
        <w:t>,</w:t>
      </w:r>
      <w:r w:rsidRPr="005B70F8">
        <w:rPr>
          <w:rFonts w:ascii="Arial" w:hAnsi="Arial" w:cs="Arial"/>
        </w:rPr>
        <w:t xml:space="preserve"> depending on if you did not give your employer notice.</w:t>
      </w:r>
    </w:p>
    <w:p w14:paraId="1FB5F894" w14:textId="7CBAD987" w:rsidR="00C142C7" w:rsidRPr="005B70F8" w:rsidRDefault="00C142C7" w:rsidP="00C142C7">
      <w:pPr>
        <w:rPr>
          <w:rFonts w:ascii="Arial" w:hAnsi="Arial" w:cs="Arial"/>
        </w:rPr>
      </w:pPr>
      <w:r w:rsidRPr="005B70F8">
        <w:rPr>
          <w:rFonts w:ascii="Arial" w:hAnsi="Arial" w:cs="Arial"/>
        </w:rPr>
        <w:t xml:space="preserve">For a change in working hours to form the basis of a constructive dismissal claim, the following conditions would need to be met, </w:t>
      </w:r>
    </w:p>
    <w:p w14:paraId="09DC881B" w14:textId="76066E3E" w:rsidR="00C142C7" w:rsidRPr="005B70F8" w:rsidRDefault="00C142C7" w:rsidP="00C142C7">
      <w:pPr>
        <w:pStyle w:val="ListParagraph"/>
        <w:numPr>
          <w:ilvl w:val="0"/>
          <w:numId w:val="10"/>
        </w:numPr>
        <w:rPr>
          <w:rFonts w:ascii="Arial" w:hAnsi="Arial" w:cs="Arial"/>
        </w:rPr>
      </w:pPr>
      <w:r w:rsidRPr="005B70F8">
        <w:rPr>
          <w:rFonts w:ascii="Arial" w:hAnsi="Arial" w:cs="Arial"/>
        </w:rPr>
        <w:t>A fundamental breach of contract, for example a significant change to working hours that negatively affects the employee’s work-life balance or financial situation.</w:t>
      </w:r>
    </w:p>
    <w:p w14:paraId="3B43EAFB" w14:textId="6A76889A" w:rsidR="00C142C7" w:rsidRPr="005B70F8" w:rsidRDefault="00C142C7" w:rsidP="00C142C7">
      <w:pPr>
        <w:pStyle w:val="ListParagraph"/>
        <w:numPr>
          <w:ilvl w:val="0"/>
          <w:numId w:val="10"/>
        </w:numPr>
        <w:rPr>
          <w:rFonts w:ascii="Arial" w:hAnsi="Arial" w:cs="Arial"/>
        </w:rPr>
      </w:pPr>
      <w:r w:rsidRPr="005B70F8">
        <w:rPr>
          <w:rFonts w:ascii="Arial" w:hAnsi="Arial" w:cs="Arial"/>
        </w:rPr>
        <w:t>Employers conduct, for example the change being imposed without consultation or disregards the employee’s concerns.</w:t>
      </w:r>
    </w:p>
    <w:p w14:paraId="7751BCEE" w14:textId="55DE8CAB" w:rsidR="00C142C7" w:rsidRPr="005B70F8" w:rsidRDefault="00C142C7" w:rsidP="153BE3AE">
      <w:pPr>
        <w:pStyle w:val="ListParagraph"/>
        <w:numPr>
          <w:ilvl w:val="0"/>
          <w:numId w:val="10"/>
        </w:numPr>
        <w:rPr>
          <w:rFonts w:ascii="Arial" w:hAnsi="Arial" w:cs="Arial"/>
          <w:color w:val="A02B93" w:themeColor="accent5"/>
        </w:rPr>
      </w:pPr>
      <w:r w:rsidRPr="005B70F8">
        <w:rPr>
          <w:rFonts w:ascii="Arial" w:hAnsi="Arial" w:cs="Arial"/>
        </w:rPr>
        <w:t>The resignation was in response, for example if the associate delayed their resignation or continued to work under the new conditions.</w:t>
      </w:r>
      <w:r w:rsidR="5AD70285" w:rsidRPr="005B70F8">
        <w:rPr>
          <w:rFonts w:ascii="Arial" w:hAnsi="Arial" w:cs="Arial"/>
        </w:rPr>
        <w:t xml:space="preserve"> </w:t>
      </w:r>
      <w:r w:rsidR="5AD70285" w:rsidRPr="005B70F8">
        <w:rPr>
          <w:rFonts w:ascii="Arial" w:hAnsi="Arial" w:cs="Arial"/>
          <w:color w:val="A02B93" w:themeColor="accent5"/>
        </w:rPr>
        <w:t>References?</w:t>
      </w:r>
    </w:p>
    <w:p w14:paraId="190169EB" w14:textId="071DFA5F" w:rsidR="00C06BD1" w:rsidRPr="005B70F8" w:rsidRDefault="002A7CD4" w:rsidP="00C06BD1">
      <w:pPr>
        <w:rPr>
          <w:rFonts w:ascii="Arial" w:hAnsi="Arial" w:cs="Arial"/>
        </w:rPr>
      </w:pPr>
      <w:r w:rsidRPr="005B70F8">
        <w:rPr>
          <w:rFonts w:ascii="Arial" w:hAnsi="Arial" w:cs="Arial"/>
        </w:rPr>
        <w:t>Beattie, (2022) expanded on a</w:t>
      </w:r>
      <w:r w:rsidR="00C06BD1" w:rsidRPr="005B70F8">
        <w:rPr>
          <w:rFonts w:ascii="Arial" w:hAnsi="Arial" w:cs="Arial"/>
        </w:rPr>
        <w:t xml:space="preserve"> </w:t>
      </w:r>
      <w:r w:rsidR="00C76747" w:rsidRPr="005B70F8">
        <w:rPr>
          <w:rFonts w:ascii="Arial" w:hAnsi="Arial" w:cs="Arial"/>
        </w:rPr>
        <w:t xml:space="preserve">notable UK case of constructive dismissal </w:t>
      </w:r>
      <w:r w:rsidR="00DB271C" w:rsidRPr="005B70F8">
        <w:rPr>
          <w:rFonts w:ascii="Arial" w:hAnsi="Arial" w:cs="Arial"/>
        </w:rPr>
        <w:t xml:space="preserve">example in </w:t>
      </w:r>
      <w:r w:rsidR="00C06BD1" w:rsidRPr="005B70F8">
        <w:rPr>
          <w:rFonts w:ascii="Arial" w:hAnsi="Arial" w:cs="Arial"/>
        </w:rPr>
        <w:t>case law example of this is </w:t>
      </w:r>
      <w:r w:rsidR="00C06BD1" w:rsidRPr="005B70F8">
        <w:rPr>
          <w:rFonts w:ascii="Arial" w:hAnsi="Arial" w:cs="Arial"/>
          <w:i/>
          <w:iCs/>
        </w:rPr>
        <w:t>Malik and Mahmud v. Bank of Credit and Commerce International SA (BCCI).</w:t>
      </w:r>
      <w:r w:rsidR="00C06BD1" w:rsidRPr="005B70F8">
        <w:rPr>
          <w:rFonts w:ascii="Arial" w:hAnsi="Arial" w:cs="Arial"/>
        </w:rPr>
        <w:t xml:space="preserve"> In this case, the employees claimed that the bank's dishonest and corrupt practices had fundamentally breached the implied term of mutual trust and confidence in their employment contracts. The House of Lords held that the employees were entitled to claim constructive dismissal due to the employer's conduct</w:t>
      </w:r>
    </w:p>
    <w:p w14:paraId="7C89AB00" w14:textId="2685CBE4" w:rsidR="00937003" w:rsidRPr="005B70F8" w:rsidRDefault="00C47AC5" w:rsidP="00642FDD">
      <w:pPr>
        <w:rPr>
          <w:rFonts w:ascii="Arial" w:hAnsi="Arial" w:cs="Arial"/>
        </w:rPr>
      </w:pPr>
      <w:r w:rsidRPr="005B70F8">
        <w:rPr>
          <w:rFonts w:ascii="Arial" w:hAnsi="Arial" w:cs="Arial"/>
        </w:rPr>
        <w:t>My advice would be to document anything surrounding the employee’s resignation and change of hours, consult with</w:t>
      </w:r>
      <w:r w:rsidR="00C06BD1" w:rsidRPr="005B70F8">
        <w:rPr>
          <w:rFonts w:ascii="Arial" w:hAnsi="Arial" w:cs="Arial"/>
        </w:rPr>
        <w:t xml:space="preserve"> the employment law specialist</w:t>
      </w:r>
      <w:r w:rsidRPr="005B70F8">
        <w:rPr>
          <w:rFonts w:ascii="Arial" w:hAnsi="Arial" w:cs="Arial"/>
        </w:rPr>
        <w:t xml:space="preserve"> to</w:t>
      </w:r>
      <w:r w:rsidR="00C06BD1" w:rsidRPr="005B70F8">
        <w:rPr>
          <w:rFonts w:ascii="Arial" w:hAnsi="Arial" w:cs="Arial"/>
        </w:rPr>
        <w:t xml:space="preserve"> be able to</w:t>
      </w:r>
      <w:r w:rsidRPr="005B70F8">
        <w:rPr>
          <w:rFonts w:ascii="Arial" w:hAnsi="Arial" w:cs="Arial"/>
        </w:rPr>
        <w:t xml:space="preserve"> evaluate the potential claim </w:t>
      </w:r>
      <w:r w:rsidR="00C06BD1" w:rsidRPr="005B70F8">
        <w:rPr>
          <w:rFonts w:ascii="Arial" w:hAnsi="Arial" w:cs="Arial"/>
        </w:rPr>
        <w:t xml:space="preserve">ahead of time </w:t>
      </w:r>
      <w:r w:rsidRPr="005B70F8">
        <w:rPr>
          <w:rFonts w:ascii="Arial" w:hAnsi="Arial" w:cs="Arial"/>
        </w:rPr>
        <w:t>and prepare for any tribunal proceedings</w:t>
      </w:r>
      <w:r w:rsidR="00C06BD1" w:rsidRPr="005B70F8">
        <w:rPr>
          <w:rFonts w:ascii="Arial" w:hAnsi="Arial" w:cs="Arial"/>
        </w:rPr>
        <w:t xml:space="preserve"> or finally use </w:t>
      </w:r>
      <w:r w:rsidRPr="005B70F8">
        <w:rPr>
          <w:rFonts w:ascii="Arial" w:hAnsi="Arial" w:cs="Arial"/>
        </w:rPr>
        <w:t>ACAS’s early conciliation service to resolve the issue</w:t>
      </w:r>
      <w:r w:rsidR="00C06BD1" w:rsidRPr="005B70F8">
        <w:rPr>
          <w:rFonts w:ascii="Arial" w:hAnsi="Arial" w:cs="Arial"/>
        </w:rPr>
        <w:t xml:space="preserve"> with the employee</w:t>
      </w:r>
      <w:r w:rsidRPr="005B70F8">
        <w:rPr>
          <w:rFonts w:ascii="Arial" w:hAnsi="Arial" w:cs="Arial"/>
        </w:rPr>
        <w:t xml:space="preserve"> before</w:t>
      </w:r>
      <w:r w:rsidR="00C06BD1" w:rsidRPr="005B70F8">
        <w:rPr>
          <w:rFonts w:ascii="Arial" w:hAnsi="Arial" w:cs="Arial"/>
        </w:rPr>
        <w:t xml:space="preserve"> the need to proceed</w:t>
      </w:r>
      <w:r w:rsidRPr="005B70F8">
        <w:rPr>
          <w:rFonts w:ascii="Arial" w:hAnsi="Arial" w:cs="Arial"/>
        </w:rPr>
        <w:t xml:space="preserve"> to a tribunal.</w:t>
      </w:r>
    </w:p>
    <w:p w14:paraId="5A04B046" w14:textId="00EB5A3B" w:rsidR="00B10635" w:rsidRPr="005B70F8" w:rsidRDefault="00C06BD1" w:rsidP="001F4737">
      <w:pPr>
        <w:rPr>
          <w:rFonts w:ascii="Arial" w:hAnsi="Arial" w:cs="Arial"/>
          <w:b/>
          <w:bCs/>
          <w:u w:val="single"/>
        </w:rPr>
      </w:pPr>
      <w:r w:rsidRPr="005B70F8">
        <w:rPr>
          <w:rFonts w:ascii="Arial" w:hAnsi="Arial" w:cs="Arial"/>
          <w:b/>
          <w:bCs/>
          <w:u w:val="single"/>
        </w:rPr>
        <w:t>A.C 3.2</w:t>
      </w:r>
    </w:p>
    <w:p w14:paraId="15042368" w14:textId="601C5CF7" w:rsidR="00711C10" w:rsidRPr="005B70F8" w:rsidRDefault="00711C10" w:rsidP="00711C10">
      <w:pPr>
        <w:rPr>
          <w:rFonts w:ascii="Arial" w:hAnsi="Arial" w:cs="Arial"/>
        </w:rPr>
      </w:pPr>
      <w:r w:rsidRPr="005B70F8">
        <w:rPr>
          <w:rFonts w:ascii="Arial" w:hAnsi="Arial" w:cs="Arial"/>
        </w:rPr>
        <w:t>The CIPD (</w:t>
      </w:r>
      <w:r w:rsidR="002A7CD4" w:rsidRPr="005B70F8">
        <w:rPr>
          <w:rFonts w:ascii="Arial" w:hAnsi="Arial" w:cs="Arial"/>
        </w:rPr>
        <w:t>2024e</w:t>
      </w:r>
      <w:r w:rsidRPr="005B70F8">
        <w:rPr>
          <w:rFonts w:ascii="Arial" w:hAnsi="Arial" w:cs="Arial"/>
        </w:rPr>
        <w:t xml:space="preserve">) explains that redundancy arises when an employer needs to reduce its workforce. In the UK, an employee is dismissed for redundancy if the employer intends to close or already has closed the business, or the requirements of a specific work type cease to exist or descale. There are set procedures in place that ensure employers take all reasonable steps to </w:t>
      </w:r>
      <w:r w:rsidRPr="005B70F8">
        <w:rPr>
          <w:rFonts w:ascii="Arial" w:hAnsi="Arial" w:cs="Arial"/>
        </w:rPr>
        <w:lastRenderedPageBreak/>
        <w:t xml:space="preserve">avoid redundancies. </w:t>
      </w:r>
      <w:r w:rsidR="00DB271C" w:rsidRPr="005B70F8">
        <w:rPr>
          <w:rFonts w:ascii="Arial" w:hAnsi="Arial" w:cs="Arial"/>
        </w:rPr>
        <w:t>Examples of how this</w:t>
      </w:r>
      <w:r w:rsidR="00412629" w:rsidRPr="005B70F8">
        <w:rPr>
          <w:rFonts w:ascii="Arial" w:hAnsi="Arial" w:cs="Arial"/>
        </w:rPr>
        <w:t xml:space="preserve"> can be achieved </w:t>
      </w:r>
      <w:r w:rsidR="00DB271C" w:rsidRPr="005B70F8">
        <w:rPr>
          <w:rFonts w:ascii="Arial" w:hAnsi="Arial" w:cs="Arial"/>
        </w:rPr>
        <w:t>include</w:t>
      </w:r>
      <w:r w:rsidR="00412629" w:rsidRPr="005B70F8">
        <w:rPr>
          <w:rFonts w:ascii="Arial" w:hAnsi="Arial" w:cs="Arial"/>
        </w:rPr>
        <w:t xml:space="preserve">, </w:t>
      </w:r>
      <w:r w:rsidR="00790781" w:rsidRPr="005B70F8">
        <w:rPr>
          <w:rFonts w:ascii="Arial" w:hAnsi="Arial" w:cs="Arial"/>
        </w:rPr>
        <w:t xml:space="preserve">offering different positions within the organisation, </w:t>
      </w:r>
      <w:r w:rsidR="00412629" w:rsidRPr="005B70F8">
        <w:rPr>
          <w:rFonts w:ascii="Arial" w:hAnsi="Arial" w:cs="Arial"/>
        </w:rPr>
        <w:t>freezing hiring, reducing over-time, offering early retirement to volunteers or pay freezing. However, if not successful in finding and alternative method t</w:t>
      </w:r>
      <w:r w:rsidRPr="005B70F8">
        <w:rPr>
          <w:rFonts w:ascii="Arial" w:hAnsi="Arial" w:cs="Arial"/>
        </w:rPr>
        <w:t xml:space="preserve">hey must follow a clear and fair redundancy process and consider adopting a formal redundancy policy, </w:t>
      </w:r>
      <w:r w:rsidR="00412629" w:rsidRPr="005B70F8">
        <w:rPr>
          <w:rFonts w:ascii="Arial" w:hAnsi="Arial" w:cs="Arial"/>
        </w:rPr>
        <w:t>m</w:t>
      </w:r>
      <w:r w:rsidRPr="005B70F8">
        <w:rPr>
          <w:rFonts w:ascii="Arial" w:hAnsi="Arial" w:cs="Arial"/>
        </w:rPr>
        <w:t xml:space="preserve">anage </w:t>
      </w:r>
      <w:r w:rsidR="00412629" w:rsidRPr="005B70F8">
        <w:rPr>
          <w:rFonts w:ascii="Arial" w:hAnsi="Arial" w:cs="Arial"/>
        </w:rPr>
        <w:t>the process</w:t>
      </w:r>
      <w:r w:rsidRPr="005B70F8">
        <w:rPr>
          <w:rFonts w:ascii="Arial" w:hAnsi="Arial" w:cs="Arial"/>
        </w:rPr>
        <w:t xml:space="preserve"> legally and in a way that minimises </w:t>
      </w:r>
      <w:r w:rsidR="00412629" w:rsidRPr="005B70F8">
        <w:rPr>
          <w:rFonts w:ascii="Arial" w:hAnsi="Arial" w:cs="Arial"/>
        </w:rPr>
        <w:t xml:space="preserve">as much adverse effect as possible </w:t>
      </w:r>
      <w:r w:rsidR="00DB271C" w:rsidRPr="005B70F8">
        <w:rPr>
          <w:rFonts w:ascii="Arial" w:hAnsi="Arial" w:cs="Arial"/>
        </w:rPr>
        <w:t>to</w:t>
      </w:r>
      <w:r w:rsidR="00412629" w:rsidRPr="005B70F8">
        <w:rPr>
          <w:rFonts w:ascii="Arial" w:hAnsi="Arial" w:cs="Arial"/>
        </w:rPr>
        <w:t xml:space="preserve"> those leaving the business and </w:t>
      </w:r>
      <w:r w:rsidR="00DB271C" w:rsidRPr="005B70F8">
        <w:rPr>
          <w:rFonts w:ascii="Arial" w:hAnsi="Arial" w:cs="Arial"/>
        </w:rPr>
        <w:t xml:space="preserve">those </w:t>
      </w:r>
      <w:r w:rsidR="00412629" w:rsidRPr="005B70F8">
        <w:rPr>
          <w:rFonts w:ascii="Arial" w:hAnsi="Arial" w:cs="Arial"/>
        </w:rPr>
        <w:t>remaining and set out clear communication from the beginning.</w:t>
      </w:r>
      <w:r w:rsidR="00B10635" w:rsidRPr="005B70F8">
        <w:rPr>
          <w:rFonts w:ascii="Arial" w:hAnsi="Arial" w:cs="Arial"/>
        </w:rPr>
        <w:t xml:space="preserve"> Redundancy falls under the ‘Employment Rights Act 1996’. </w:t>
      </w:r>
    </w:p>
    <w:p w14:paraId="3A4E84D5" w14:textId="5099823F" w:rsidR="00711C10" w:rsidRPr="005B70F8" w:rsidRDefault="00B10635" w:rsidP="153BE3AE">
      <w:pPr>
        <w:rPr>
          <w:rFonts w:ascii="Arial" w:hAnsi="Arial" w:cs="Arial"/>
          <w:color w:val="A02B93" w:themeColor="accent5"/>
        </w:rPr>
      </w:pPr>
      <w:r w:rsidRPr="005B70F8">
        <w:rPr>
          <w:rFonts w:ascii="Arial" w:hAnsi="Arial" w:cs="Arial"/>
        </w:rPr>
        <w:t>Daniels</w:t>
      </w:r>
      <w:r w:rsidR="007D5C9B">
        <w:rPr>
          <w:rFonts w:ascii="Arial" w:hAnsi="Arial" w:cs="Arial"/>
        </w:rPr>
        <w:t>,</w:t>
      </w:r>
      <w:r w:rsidRPr="005B70F8">
        <w:rPr>
          <w:rFonts w:ascii="Arial" w:hAnsi="Arial" w:cs="Arial"/>
        </w:rPr>
        <w:t xml:space="preserve"> (202</w:t>
      </w:r>
      <w:r w:rsidR="007D5C9B">
        <w:rPr>
          <w:rFonts w:ascii="Arial" w:hAnsi="Arial" w:cs="Arial"/>
        </w:rPr>
        <w:t>4</w:t>
      </w:r>
      <w:r w:rsidRPr="005B70F8">
        <w:rPr>
          <w:rFonts w:ascii="Arial" w:hAnsi="Arial" w:cs="Arial"/>
        </w:rPr>
        <w:t>) explains that w</w:t>
      </w:r>
      <w:r w:rsidR="00412629" w:rsidRPr="005B70F8">
        <w:rPr>
          <w:rFonts w:ascii="Arial" w:hAnsi="Arial" w:cs="Arial"/>
        </w:rPr>
        <w:t xml:space="preserve">hen deciding on who is selected for redundancy there needs to be a fair selection process with objective criteria, such as performance and qualifications. Any form of selection based on </w:t>
      </w:r>
      <w:r w:rsidR="00DB271C" w:rsidRPr="005B70F8">
        <w:rPr>
          <w:rFonts w:ascii="Arial" w:hAnsi="Arial" w:cs="Arial"/>
        </w:rPr>
        <w:t xml:space="preserve">the </w:t>
      </w:r>
      <w:r w:rsidR="00412629" w:rsidRPr="005B70F8">
        <w:rPr>
          <w:rFonts w:ascii="Arial" w:hAnsi="Arial" w:cs="Arial"/>
        </w:rPr>
        <w:t xml:space="preserve">protected characteristics is unlawful under the Equality Act 2010 and could lead to claims of unfair dismissal. After creating a selection pool, offering a voluntary redundancy package and seeking volunteers may avoid compulsory redundancies and therefore reduce potential risk. </w:t>
      </w:r>
    </w:p>
    <w:p w14:paraId="46E32B36" w14:textId="77777777" w:rsidR="000B3E7A" w:rsidRPr="005B70F8" w:rsidRDefault="00412629" w:rsidP="153BE3AE">
      <w:pPr>
        <w:rPr>
          <w:rFonts w:ascii="Arial" w:hAnsi="Arial" w:cs="Arial"/>
        </w:rPr>
      </w:pPr>
      <w:r w:rsidRPr="005B70F8">
        <w:rPr>
          <w:rFonts w:ascii="Arial" w:hAnsi="Arial" w:cs="Arial"/>
        </w:rPr>
        <w:t xml:space="preserve">The next stage is consultation </w:t>
      </w:r>
      <w:r w:rsidR="00790781" w:rsidRPr="005B70F8">
        <w:rPr>
          <w:rFonts w:ascii="Arial" w:hAnsi="Arial" w:cs="Arial"/>
        </w:rPr>
        <w:t>to give</w:t>
      </w:r>
      <w:r w:rsidRPr="005B70F8">
        <w:rPr>
          <w:rFonts w:ascii="Arial" w:hAnsi="Arial" w:cs="Arial"/>
        </w:rPr>
        <w:t xml:space="preserve"> the employee’s reasonable warning of</w:t>
      </w:r>
      <w:r w:rsidR="00790781" w:rsidRPr="005B70F8">
        <w:rPr>
          <w:rFonts w:ascii="Arial" w:hAnsi="Arial" w:cs="Arial"/>
        </w:rPr>
        <w:t xml:space="preserve"> the upcoming</w:t>
      </w:r>
      <w:r w:rsidRPr="005B70F8">
        <w:rPr>
          <w:rFonts w:ascii="Arial" w:hAnsi="Arial" w:cs="Arial"/>
        </w:rPr>
        <w:t xml:space="preserve"> redundancy. There is no minimum timescale when fewer than 20 employees are made redundant, however it is important the consultation must be </w:t>
      </w:r>
      <w:r w:rsidR="00790781" w:rsidRPr="005B70F8">
        <w:rPr>
          <w:rFonts w:ascii="Arial" w:hAnsi="Arial" w:cs="Arial"/>
        </w:rPr>
        <w:t>meaningful, and the employer must consult individually with each affected employee</w:t>
      </w:r>
      <w:r w:rsidRPr="005B70F8">
        <w:rPr>
          <w:rFonts w:ascii="Arial" w:hAnsi="Arial" w:cs="Arial"/>
        </w:rPr>
        <w:t xml:space="preserve">. </w:t>
      </w:r>
    </w:p>
    <w:p w14:paraId="0F1CF59F" w14:textId="141BE750" w:rsidR="00711C10" w:rsidRPr="005B70F8" w:rsidRDefault="00412629" w:rsidP="153BE3AE">
      <w:pPr>
        <w:rPr>
          <w:rFonts w:ascii="Arial" w:hAnsi="Arial" w:cs="Arial"/>
        </w:rPr>
      </w:pPr>
      <w:r w:rsidRPr="005B70F8">
        <w:rPr>
          <w:rFonts w:ascii="Arial" w:hAnsi="Arial" w:cs="Arial"/>
        </w:rPr>
        <w:br/>
      </w:r>
      <w:r w:rsidR="00DE3882">
        <w:rPr>
          <w:rFonts w:ascii="Arial" w:hAnsi="Arial" w:cs="Arial"/>
        </w:rPr>
        <w:t>Daniels, (2024) goes onto state that i</w:t>
      </w:r>
      <w:r w:rsidRPr="005B70F8">
        <w:rPr>
          <w:rFonts w:ascii="Arial" w:hAnsi="Arial" w:cs="Arial"/>
        </w:rPr>
        <w:t>n contrast if 20 or more employees at one establishment are to be made redundant, collective consultations with recognised trade unions or elected representatives must start within minimum time scales:</w:t>
      </w:r>
      <w:r w:rsidR="00790781" w:rsidRPr="005B70F8">
        <w:rPr>
          <w:rFonts w:ascii="Arial" w:hAnsi="Arial" w:cs="Arial"/>
        </w:rPr>
        <w:t xml:space="preserve"> </w:t>
      </w:r>
      <w:r w:rsidRPr="005B70F8">
        <w:rPr>
          <w:rFonts w:ascii="Arial" w:hAnsi="Arial" w:cs="Arial"/>
        </w:rPr>
        <w:t>At least 30 days before the notification of redundancies for dismissals of 20-99 employees</w:t>
      </w:r>
      <w:r w:rsidR="00790781" w:rsidRPr="005B70F8">
        <w:rPr>
          <w:rFonts w:ascii="Arial" w:hAnsi="Arial" w:cs="Arial"/>
        </w:rPr>
        <w:t xml:space="preserve"> or a</w:t>
      </w:r>
      <w:r w:rsidRPr="005B70F8">
        <w:rPr>
          <w:rFonts w:ascii="Arial" w:hAnsi="Arial" w:cs="Arial"/>
        </w:rPr>
        <w:t>t least 45 days before the notification of redundancies for dismissals of 100</w:t>
      </w:r>
      <w:r w:rsidR="00790781" w:rsidRPr="005B70F8">
        <w:rPr>
          <w:rFonts w:ascii="Arial" w:hAnsi="Arial" w:cs="Arial"/>
        </w:rPr>
        <w:t xml:space="preserve">+. The employer is legally required to provide the following information, the reason for the redundancies, the number or proposed redundancies, the method of selection, the procedure and the calculation of redundancy payment. The employer must also inform the Redundancy Payments Service by completing a notification of redundancy form. Employees must be given appropriate notice periods base on their length of service, and employees with more than two years’ service are entitled to statutory redundancy pay </w:t>
      </w:r>
      <w:r w:rsidR="00711C10" w:rsidRPr="005B70F8">
        <w:rPr>
          <w:rFonts w:ascii="Arial" w:hAnsi="Arial" w:cs="Arial"/>
        </w:rPr>
        <w:t>which is</w:t>
      </w:r>
      <w:r w:rsidR="00790781" w:rsidRPr="005B70F8">
        <w:rPr>
          <w:rFonts w:ascii="Arial" w:hAnsi="Arial" w:cs="Arial"/>
        </w:rPr>
        <w:t xml:space="preserve"> usually</w:t>
      </w:r>
      <w:r w:rsidR="00711C10" w:rsidRPr="005B70F8">
        <w:rPr>
          <w:rFonts w:ascii="Arial" w:hAnsi="Arial" w:cs="Arial"/>
        </w:rPr>
        <w:t xml:space="preserve"> calculated based on age, length of service, and weekly pay</w:t>
      </w:r>
      <w:r w:rsidR="00C23CED" w:rsidRPr="005B70F8">
        <w:rPr>
          <w:rFonts w:ascii="Arial" w:hAnsi="Arial" w:cs="Arial"/>
        </w:rPr>
        <w:t xml:space="preserve"> (ACAS</w:t>
      </w:r>
      <w:r w:rsidR="004C180E" w:rsidRPr="005B70F8">
        <w:rPr>
          <w:rFonts w:ascii="Arial" w:hAnsi="Arial" w:cs="Arial"/>
        </w:rPr>
        <w:t xml:space="preserve"> n.d).</w:t>
      </w:r>
    </w:p>
    <w:p w14:paraId="69683C2E" w14:textId="374AE5B6" w:rsidR="00711C10" w:rsidRPr="005B70F8" w:rsidRDefault="00B10635" w:rsidP="00711C10">
      <w:pPr>
        <w:rPr>
          <w:rFonts w:ascii="Arial" w:hAnsi="Arial" w:cs="Arial"/>
        </w:rPr>
      </w:pPr>
      <w:r w:rsidRPr="005B70F8">
        <w:rPr>
          <w:rFonts w:ascii="Arial" w:hAnsi="Arial" w:cs="Arial"/>
        </w:rPr>
        <w:t>In conclusion I would explain to the manager that f</w:t>
      </w:r>
      <w:r w:rsidR="00711C10" w:rsidRPr="005B70F8">
        <w:rPr>
          <w:rFonts w:ascii="Arial" w:hAnsi="Arial" w:cs="Arial"/>
        </w:rPr>
        <w:t xml:space="preserve">ailure to follow these legal requirements </w:t>
      </w:r>
      <w:r w:rsidRPr="005B70F8">
        <w:rPr>
          <w:rFonts w:ascii="Arial" w:hAnsi="Arial" w:cs="Arial"/>
        </w:rPr>
        <w:t xml:space="preserve">by pressing on and not following the correct process </w:t>
      </w:r>
      <w:r w:rsidR="00711C10" w:rsidRPr="005B70F8">
        <w:rPr>
          <w:rFonts w:ascii="Arial" w:hAnsi="Arial" w:cs="Arial"/>
        </w:rPr>
        <w:t>can result in claims of unfair dismissal, which can be costly and damaging to the organisation's reputation</w:t>
      </w:r>
      <w:r w:rsidR="00790781" w:rsidRPr="005B70F8">
        <w:rPr>
          <w:rFonts w:ascii="Arial" w:hAnsi="Arial" w:cs="Arial"/>
        </w:rPr>
        <w:t xml:space="preserve">. </w:t>
      </w:r>
      <w:r w:rsidRPr="005B70F8">
        <w:rPr>
          <w:rFonts w:ascii="Arial" w:hAnsi="Arial" w:cs="Arial"/>
        </w:rPr>
        <w:t>However, b</w:t>
      </w:r>
      <w:r w:rsidR="00711C10" w:rsidRPr="005B70F8">
        <w:rPr>
          <w:rFonts w:ascii="Arial" w:hAnsi="Arial" w:cs="Arial"/>
        </w:rPr>
        <w:t>y adhering to the</w:t>
      </w:r>
      <w:r w:rsidRPr="005B70F8">
        <w:rPr>
          <w:rFonts w:ascii="Arial" w:hAnsi="Arial" w:cs="Arial"/>
        </w:rPr>
        <w:t xml:space="preserve"> </w:t>
      </w:r>
      <w:r w:rsidR="00711C10" w:rsidRPr="005B70F8">
        <w:rPr>
          <w:rFonts w:ascii="Arial" w:hAnsi="Arial" w:cs="Arial"/>
        </w:rPr>
        <w:t>legal requirements, the senior manager can ensure a fair and lawful redundancy process, minimi</w:t>
      </w:r>
      <w:r w:rsidR="00790781" w:rsidRPr="005B70F8">
        <w:rPr>
          <w:rFonts w:ascii="Arial" w:hAnsi="Arial" w:cs="Arial"/>
        </w:rPr>
        <w:t>s</w:t>
      </w:r>
      <w:r w:rsidR="00711C10" w:rsidRPr="005B70F8">
        <w:rPr>
          <w:rFonts w:ascii="Arial" w:hAnsi="Arial" w:cs="Arial"/>
        </w:rPr>
        <w:t>ing the risk of legal challenges and maintaining good employee relations.</w:t>
      </w:r>
    </w:p>
    <w:p w14:paraId="4DE55C60" w14:textId="29F629A7" w:rsidR="00A324CD" w:rsidRPr="005B70F8" w:rsidRDefault="00A324CD" w:rsidP="001F4737">
      <w:pPr>
        <w:rPr>
          <w:rFonts w:ascii="Arial" w:hAnsi="Arial" w:cs="Arial"/>
          <w:b/>
          <w:bCs/>
          <w:u w:val="single"/>
        </w:rPr>
      </w:pPr>
      <w:r w:rsidRPr="005B70F8">
        <w:rPr>
          <w:rFonts w:ascii="Arial" w:hAnsi="Arial" w:cs="Arial"/>
          <w:b/>
          <w:bCs/>
          <w:u w:val="single"/>
        </w:rPr>
        <w:t>A.C 3.3</w:t>
      </w:r>
    </w:p>
    <w:p w14:paraId="10992E5A" w14:textId="5EE17E4E" w:rsidR="00BA18D7" w:rsidRPr="005B70F8" w:rsidRDefault="00BA18D7" w:rsidP="00BA18D7">
      <w:pPr>
        <w:rPr>
          <w:rFonts w:ascii="Arial" w:hAnsi="Arial" w:cs="Arial"/>
        </w:rPr>
      </w:pPr>
      <w:r w:rsidRPr="005B70F8">
        <w:rPr>
          <w:rFonts w:ascii="Arial" w:hAnsi="Arial" w:cs="Arial"/>
        </w:rPr>
        <w:t>TUPE stands for Transfer of Undertakings (Protection of Employment). ACAS explains that TUPE regulations protect employees' rights when they transfer to a new employer</w:t>
      </w:r>
      <w:r w:rsidR="00DB271C" w:rsidRPr="005B70F8">
        <w:rPr>
          <w:rFonts w:ascii="Arial" w:hAnsi="Arial" w:cs="Arial"/>
        </w:rPr>
        <w:t xml:space="preserve">.  A </w:t>
      </w:r>
      <w:r w:rsidRPr="005B70F8">
        <w:rPr>
          <w:rFonts w:ascii="Arial" w:hAnsi="Arial" w:cs="Arial"/>
        </w:rPr>
        <w:t>TUPE transfer is when there's either: a business transfer or a service provider change.</w:t>
      </w:r>
      <w:r w:rsidR="00945EC4" w:rsidRPr="005B70F8">
        <w:rPr>
          <w:rFonts w:ascii="Arial" w:hAnsi="Arial" w:cs="Arial"/>
        </w:rPr>
        <w:t xml:space="preserve"> Any employees who are part of the business being transferred, will automatically become employees of the new employer. Their employment terms and conditions should remain the same</w:t>
      </w:r>
      <w:r w:rsidR="00DB271C" w:rsidRPr="005B70F8">
        <w:rPr>
          <w:rFonts w:ascii="Arial" w:hAnsi="Arial" w:cs="Arial"/>
        </w:rPr>
        <w:t>,</w:t>
      </w:r>
      <w:r w:rsidR="00945EC4" w:rsidRPr="005B70F8">
        <w:rPr>
          <w:rFonts w:ascii="Arial" w:hAnsi="Arial" w:cs="Arial"/>
        </w:rPr>
        <w:t xml:space="preserve"> however</w:t>
      </w:r>
      <w:r w:rsidR="00DB271C" w:rsidRPr="005B70F8">
        <w:rPr>
          <w:rFonts w:ascii="Arial" w:hAnsi="Arial" w:cs="Arial"/>
        </w:rPr>
        <w:t xml:space="preserve">, </w:t>
      </w:r>
      <w:r w:rsidR="00945EC4" w:rsidRPr="005B70F8">
        <w:rPr>
          <w:rFonts w:ascii="Arial" w:hAnsi="Arial" w:cs="Arial"/>
        </w:rPr>
        <w:t>if a change is put in place</w:t>
      </w:r>
      <w:r w:rsidR="00DB271C" w:rsidRPr="005B70F8">
        <w:rPr>
          <w:rFonts w:ascii="Arial" w:hAnsi="Arial" w:cs="Arial"/>
        </w:rPr>
        <w:t>,</w:t>
      </w:r>
      <w:r w:rsidR="00945EC4" w:rsidRPr="005B70F8">
        <w:rPr>
          <w:rFonts w:ascii="Arial" w:hAnsi="Arial" w:cs="Arial"/>
        </w:rPr>
        <w:t xml:space="preserve"> for example, a new pension provider</w:t>
      </w:r>
      <w:r w:rsidR="003B16FC" w:rsidRPr="005B70F8">
        <w:rPr>
          <w:rFonts w:ascii="Arial" w:hAnsi="Arial" w:cs="Arial"/>
        </w:rPr>
        <w:t>, the new provider should</w:t>
      </w:r>
      <w:r w:rsidR="00945EC4" w:rsidRPr="005B70F8">
        <w:rPr>
          <w:rFonts w:ascii="Arial" w:hAnsi="Arial" w:cs="Arial"/>
        </w:rPr>
        <w:t xml:space="preserve"> place them at no disadvantage </w:t>
      </w:r>
      <w:r w:rsidR="003B16FC" w:rsidRPr="005B70F8">
        <w:rPr>
          <w:rFonts w:ascii="Arial" w:hAnsi="Arial" w:cs="Arial"/>
        </w:rPr>
        <w:t xml:space="preserve">in comparison to </w:t>
      </w:r>
      <w:r w:rsidR="00945EC4" w:rsidRPr="005B70F8">
        <w:rPr>
          <w:rFonts w:ascii="Arial" w:hAnsi="Arial" w:cs="Arial"/>
        </w:rPr>
        <w:t>their original conditions. Additionally, all changes to these terms can only be made if the new employer has a valid economic, technical, or organisational (ETO) reason</w:t>
      </w:r>
      <w:r w:rsidR="003B16FC" w:rsidRPr="005B70F8">
        <w:rPr>
          <w:rFonts w:ascii="Arial" w:hAnsi="Arial" w:cs="Arial"/>
        </w:rPr>
        <w:t xml:space="preserve">s. </w:t>
      </w:r>
    </w:p>
    <w:p w14:paraId="6E851167" w14:textId="6F1D9653" w:rsidR="003B16FC" w:rsidRPr="005B70F8" w:rsidRDefault="00945EC4" w:rsidP="00945EC4">
      <w:pPr>
        <w:rPr>
          <w:rFonts w:ascii="Arial" w:hAnsi="Arial" w:cs="Arial"/>
        </w:rPr>
      </w:pPr>
      <w:r w:rsidRPr="005B70F8">
        <w:rPr>
          <w:rFonts w:ascii="Arial" w:hAnsi="Arial" w:cs="Arial"/>
        </w:rPr>
        <w:lastRenderedPageBreak/>
        <w:t>Employees</w:t>
      </w:r>
      <w:r w:rsidR="003B16FC" w:rsidRPr="005B70F8">
        <w:rPr>
          <w:rFonts w:ascii="Arial" w:hAnsi="Arial" w:cs="Arial"/>
        </w:rPr>
        <w:t xml:space="preserve"> ha</w:t>
      </w:r>
      <w:r w:rsidR="00DB271C" w:rsidRPr="005B70F8">
        <w:rPr>
          <w:rFonts w:ascii="Arial" w:hAnsi="Arial" w:cs="Arial"/>
        </w:rPr>
        <w:t>ve</w:t>
      </w:r>
      <w:r w:rsidR="003B16FC" w:rsidRPr="005B70F8">
        <w:rPr>
          <w:rFonts w:ascii="Arial" w:hAnsi="Arial" w:cs="Arial"/>
        </w:rPr>
        <w:t xml:space="preserve"> </w:t>
      </w:r>
      <w:r w:rsidR="00DB271C" w:rsidRPr="005B70F8">
        <w:rPr>
          <w:rFonts w:ascii="Arial" w:hAnsi="Arial" w:cs="Arial"/>
        </w:rPr>
        <w:t>the</w:t>
      </w:r>
      <w:r w:rsidR="003B16FC" w:rsidRPr="005B70F8">
        <w:rPr>
          <w:rFonts w:ascii="Arial" w:hAnsi="Arial" w:cs="Arial"/>
        </w:rPr>
        <w:t xml:space="preserve"> right to be</w:t>
      </w:r>
      <w:r w:rsidRPr="005B70F8">
        <w:rPr>
          <w:rFonts w:ascii="Arial" w:hAnsi="Arial" w:cs="Arial"/>
        </w:rPr>
        <w:t xml:space="preserve"> given information about the transfer and there should be a consultation about any measures proposed</w:t>
      </w:r>
      <w:r w:rsidR="003B16FC" w:rsidRPr="005B70F8">
        <w:rPr>
          <w:rFonts w:ascii="Arial" w:hAnsi="Arial" w:cs="Arial"/>
        </w:rPr>
        <w:t xml:space="preserve"> within the TUPE process. Employers must inform and consult with affected employees or their representatives regarding the transfer at least 30 days in advance of the </w:t>
      </w:r>
      <w:r w:rsidR="000B3E7A" w:rsidRPr="005B70F8">
        <w:rPr>
          <w:rFonts w:ascii="Arial" w:hAnsi="Arial" w:cs="Arial"/>
        </w:rPr>
        <w:t>change. (</w:t>
      </w:r>
      <w:r w:rsidR="002A7CD4" w:rsidRPr="005B70F8">
        <w:rPr>
          <w:rFonts w:ascii="Arial" w:hAnsi="Arial" w:cs="Arial"/>
        </w:rPr>
        <w:t>CIPD 2024b)</w:t>
      </w:r>
      <w:r w:rsidR="003B16FC" w:rsidRPr="005B70F8">
        <w:rPr>
          <w:rFonts w:ascii="Arial" w:hAnsi="Arial" w:cs="Arial"/>
        </w:rPr>
        <w:t xml:space="preserve"> This consultation should include details about when the transition will happen, why it’s happening, and any potential changes such as working conditions or providers. Employers who neglect their duty to consult and inform under TUPE regulations may incur substantial financial penalties. Affected employees could be awarded compensation of up to 13 weeks' gross pay, with no cap on the total amount. The responsibility for this compensation can rest with either the outgoing or incoming </w:t>
      </w:r>
      <w:r w:rsidR="005B61D6" w:rsidRPr="005B70F8">
        <w:rPr>
          <w:rFonts w:ascii="Arial" w:hAnsi="Arial" w:cs="Arial"/>
        </w:rPr>
        <w:t>employer or</w:t>
      </w:r>
      <w:r w:rsidR="003B16FC" w:rsidRPr="005B70F8">
        <w:rPr>
          <w:rFonts w:ascii="Arial" w:hAnsi="Arial" w:cs="Arial"/>
        </w:rPr>
        <w:t xml:space="preserve"> be divided between them</w:t>
      </w:r>
      <w:r w:rsidR="005B61D6" w:rsidRPr="005B70F8">
        <w:rPr>
          <w:rFonts w:ascii="Arial" w:hAnsi="Arial" w:cs="Arial"/>
        </w:rPr>
        <w:t>.</w:t>
      </w:r>
    </w:p>
    <w:p w14:paraId="1B502BCD" w14:textId="43769C7D" w:rsidR="00945EC4" w:rsidRPr="005B70F8" w:rsidRDefault="003B16FC" w:rsidP="00945EC4">
      <w:pPr>
        <w:rPr>
          <w:rFonts w:ascii="Arial" w:hAnsi="Arial" w:cs="Arial"/>
        </w:rPr>
      </w:pPr>
      <w:r w:rsidRPr="005B70F8">
        <w:rPr>
          <w:rFonts w:ascii="Arial" w:hAnsi="Arial" w:cs="Arial"/>
        </w:rPr>
        <w:t>Employees also have the right to automatically transfer all terms and conditions of their existing contracts to their new employer, t</w:t>
      </w:r>
      <w:r w:rsidR="00945EC4" w:rsidRPr="005B70F8">
        <w:rPr>
          <w:rFonts w:ascii="Arial" w:hAnsi="Arial" w:cs="Arial"/>
        </w:rPr>
        <w:t xml:space="preserve">his includes contractual and statutory benefits, </w:t>
      </w:r>
      <w:r w:rsidRPr="005B70F8">
        <w:rPr>
          <w:rFonts w:ascii="Arial" w:hAnsi="Arial" w:cs="Arial"/>
        </w:rPr>
        <w:t>examples of this are</w:t>
      </w:r>
      <w:r w:rsidR="00945EC4" w:rsidRPr="005B70F8">
        <w:rPr>
          <w:rFonts w:ascii="Arial" w:hAnsi="Arial" w:cs="Arial"/>
        </w:rPr>
        <w:t xml:space="preserve"> holiday pay, </w:t>
      </w:r>
      <w:r w:rsidRPr="005B70F8">
        <w:rPr>
          <w:rFonts w:ascii="Arial" w:hAnsi="Arial" w:cs="Arial"/>
        </w:rPr>
        <w:t xml:space="preserve">private medical cover, company </w:t>
      </w:r>
      <w:r w:rsidR="005B61D6" w:rsidRPr="005B70F8">
        <w:rPr>
          <w:rFonts w:ascii="Arial" w:hAnsi="Arial" w:cs="Arial"/>
        </w:rPr>
        <w:t>cars,</w:t>
      </w:r>
      <w:r w:rsidRPr="005B70F8">
        <w:rPr>
          <w:rFonts w:ascii="Arial" w:hAnsi="Arial" w:cs="Arial"/>
        </w:rPr>
        <w:t xml:space="preserve"> pension schemes, </w:t>
      </w:r>
      <w:r w:rsidR="00945EC4" w:rsidRPr="005B70F8">
        <w:rPr>
          <w:rFonts w:ascii="Arial" w:hAnsi="Arial" w:cs="Arial"/>
        </w:rPr>
        <w:t>bonus or commission schemes,</w:t>
      </w:r>
      <w:r w:rsidRPr="005B70F8">
        <w:rPr>
          <w:rFonts w:ascii="Arial" w:hAnsi="Arial" w:cs="Arial"/>
        </w:rPr>
        <w:t xml:space="preserve"> and</w:t>
      </w:r>
      <w:r w:rsidR="00945EC4" w:rsidRPr="005B70F8">
        <w:rPr>
          <w:rFonts w:ascii="Arial" w:hAnsi="Arial" w:cs="Arial"/>
        </w:rPr>
        <w:t xml:space="preserve"> enhanced maternity or parental leave schemes.</w:t>
      </w:r>
    </w:p>
    <w:p w14:paraId="44D91E60" w14:textId="087AF93E" w:rsidR="153BE3AE" w:rsidRPr="005B70F8" w:rsidRDefault="00945EC4" w:rsidP="153BE3AE">
      <w:pPr>
        <w:rPr>
          <w:rFonts w:ascii="Arial" w:hAnsi="Arial" w:cs="Arial"/>
        </w:rPr>
      </w:pPr>
      <w:r w:rsidRPr="005B70F8">
        <w:rPr>
          <w:rFonts w:ascii="Arial" w:hAnsi="Arial" w:cs="Arial"/>
        </w:rPr>
        <w:t>Transferring employees</w:t>
      </w:r>
      <w:r w:rsidR="003B16FC" w:rsidRPr="005B70F8">
        <w:rPr>
          <w:rFonts w:ascii="Arial" w:hAnsi="Arial" w:cs="Arial"/>
        </w:rPr>
        <w:t xml:space="preserve"> are protect</w:t>
      </w:r>
      <w:r w:rsidR="000B3E7A" w:rsidRPr="005B70F8">
        <w:rPr>
          <w:rFonts w:ascii="Arial" w:hAnsi="Arial" w:cs="Arial"/>
        </w:rPr>
        <w:t>ed</w:t>
      </w:r>
      <w:r w:rsidR="003B16FC" w:rsidRPr="005B70F8">
        <w:rPr>
          <w:rFonts w:ascii="Arial" w:hAnsi="Arial" w:cs="Arial"/>
        </w:rPr>
        <w:t xml:space="preserve"> by TUPE so cannot be dismissed, i</w:t>
      </w:r>
      <w:r w:rsidRPr="005B70F8">
        <w:rPr>
          <w:rFonts w:ascii="Arial" w:hAnsi="Arial" w:cs="Arial"/>
        </w:rPr>
        <w:t>f they are</w:t>
      </w:r>
      <w:r w:rsidR="003B16FC" w:rsidRPr="005B70F8">
        <w:rPr>
          <w:rFonts w:ascii="Arial" w:hAnsi="Arial" w:cs="Arial"/>
        </w:rPr>
        <w:t xml:space="preserve">, </w:t>
      </w:r>
      <w:r w:rsidRPr="005B70F8">
        <w:rPr>
          <w:rFonts w:ascii="Arial" w:hAnsi="Arial" w:cs="Arial"/>
        </w:rPr>
        <w:t>it will be automatically classed as unfair dismissal, unless there is an ETO reason</w:t>
      </w:r>
      <w:r w:rsidR="003B16FC" w:rsidRPr="005B70F8">
        <w:rPr>
          <w:rFonts w:ascii="Arial" w:hAnsi="Arial" w:cs="Arial"/>
        </w:rPr>
        <w:t xml:space="preserve"> as discussed above.</w:t>
      </w:r>
      <w:r w:rsidR="003B16FC" w:rsidRPr="005B70F8">
        <w:rPr>
          <w:rFonts w:ascii="Arial" w:eastAsia="Times New Roman" w:hAnsi="Arial" w:cs="Arial"/>
          <w:color w:val="000000"/>
          <w:kern w:val="0"/>
          <w:lang w:eastAsia="en-GB"/>
          <w14:ligatures w14:val="none"/>
        </w:rPr>
        <w:t xml:space="preserve"> </w:t>
      </w:r>
      <w:r w:rsidR="003B16FC" w:rsidRPr="005B70F8">
        <w:rPr>
          <w:rFonts w:ascii="Arial" w:hAnsi="Arial" w:cs="Arial"/>
        </w:rPr>
        <w:t xml:space="preserve">Some employees may not want to transfer to the new </w:t>
      </w:r>
      <w:r w:rsidR="005B61D6" w:rsidRPr="005B70F8">
        <w:rPr>
          <w:rFonts w:ascii="Arial" w:hAnsi="Arial" w:cs="Arial"/>
        </w:rPr>
        <w:t>employer;</w:t>
      </w:r>
      <w:r w:rsidR="003B16FC" w:rsidRPr="005B70F8">
        <w:rPr>
          <w:rFonts w:ascii="Arial" w:hAnsi="Arial" w:cs="Arial"/>
        </w:rPr>
        <w:t xml:space="preserve"> </w:t>
      </w:r>
      <w:r w:rsidR="00B10635" w:rsidRPr="005B70F8">
        <w:rPr>
          <w:rFonts w:ascii="Arial" w:hAnsi="Arial" w:cs="Arial"/>
        </w:rPr>
        <w:t>however,</w:t>
      </w:r>
      <w:r w:rsidR="003B16FC" w:rsidRPr="005B70F8">
        <w:rPr>
          <w:rFonts w:ascii="Arial" w:hAnsi="Arial" w:cs="Arial"/>
        </w:rPr>
        <w:t xml:space="preserve"> they cannot claim unfair </w:t>
      </w:r>
      <w:r w:rsidR="000B3E7A" w:rsidRPr="005B70F8">
        <w:rPr>
          <w:rFonts w:ascii="Arial" w:hAnsi="Arial" w:cs="Arial"/>
        </w:rPr>
        <w:t>dismissal,</w:t>
      </w:r>
      <w:r w:rsidR="003B16FC" w:rsidRPr="005B70F8">
        <w:rPr>
          <w:rFonts w:ascii="Arial" w:hAnsi="Arial" w:cs="Arial"/>
        </w:rPr>
        <w:t xml:space="preserve"> or any redundancy pay as a result of that. </w:t>
      </w:r>
    </w:p>
    <w:p w14:paraId="261D78ED" w14:textId="77777777" w:rsidR="005A1533" w:rsidRPr="005B70F8" w:rsidRDefault="005A1533" w:rsidP="00BA18D7">
      <w:pPr>
        <w:rPr>
          <w:rFonts w:ascii="Arial" w:hAnsi="Arial" w:cs="Arial"/>
        </w:rPr>
      </w:pPr>
    </w:p>
    <w:p w14:paraId="5C18BA3A" w14:textId="113134E3" w:rsidR="005A1533" w:rsidRPr="005B70F8" w:rsidRDefault="005A1533" w:rsidP="00BA18D7">
      <w:pPr>
        <w:rPr>
          <w:rFonts w:ascii="Arial" w:hAnsi="Arial" w:cs="Arial"/>
          <w:b/>
          <w:bCs/>
          <w:u w:val="single"/>
        </w:rPr>
      </w:pPr>
      <w:r w:rsidRPr="005B70F8">
        <w:rPr>
          <w:rFonts w:ascii="Arial" w:hAnsi="Arial" w:cs="Arial"/>
          <w:b/>
          <w:bCs/>
          <w:u w:val="single"/>
        </w:rPr>
        <w:t>A.C 4.1</w:t>
      </w:r>
    </w:p>
    <w:p w14:paraId="748EEA2B" w14:textId="6038A2D5" w:rsidR="000E55CE" w:rsidRPr="005B70F8" w:rsidRDefault="000E55CE" w:rsidP="000E55CE">
      <w:pPr>
        <w:rPr>
          <w:rFonts w:ascii="Arial" w:hAnsi="Arial" w:cs="Arial"/>
        </w:rPr>
      </w:pPr>
      <w:r w:rsidRPr="005B70F8">
        <w:rPr>
          <w:rFonts w:ascii="Arial" w:hAnsi="Arial" w:cs="Arial"/>
        </w:rPr>
        <w:t>The Working Time Regulations 1998 (WTR) set out rules, designed to protect workers' health and safety, by regulating working hours, rest breaks, and holiday entitlements. The CIPD</w:t>
      </w:r>
      <w:r w:rsidR="002A7CD4" w:rsidRPr="005B70F8">
        <w:rPr>
          <w:rFonts w:ascii="Arial" w:hAnsi="Arial" w:cs="Arial"/>
        </w:rPr>
        <w:t xml:space="preserve"> (2024c)</w:t>
      </w:r>
      <w:r w:rsidRPr="005B70F8">
        <w:rPr>
          <w:rFonts w:ascii="Arial" w:hAnsi="Arial" w:cs="Arial"/>
        </w:rPr>
        <w:t xml:space="preserve"> explains that the regulations set a maximum of 48 hours for the working week unless </w:t>
      </w:r>
      <w:r w:rsidR="005B61D6" w:rsidRPr="005B70F8">
        <w:rPr>
          <w:rFonts w:ascii="Arial" w:hAnsi="Arial" w:cs="Arial"/>
        </w:rPr>
        <w:t>‘</w:t>
      </w:r>
      <w:r w:rsidRPr="005B70F8">
        <w:rPr>
          <w:rFonts w:ascii="Arial" w:hAnsi="Arial" w:cs="Arial"/>
        </w:rPr>
        <w:t>opted out of</w:t>
      </w:r>
      <w:r w:rsidR="005B61D6" w:rsidRPr="005B70F8">
        <w:rPr>
          <w:rFonts w:ascii="Arial" w:hAnsi="Arial" w:cs="Arial"/>
        </w:rPr>
        <w:t>’</w:t>
      </w:r>
      <w:r w:rsidRPr="005B70F8">
        <w:rPr>
          <w:rFonts w:ascii="Arial" w:hAnsi="Arial" w:cs="Arial"/>
        </w:rPr>
        <w:t xml:space="preserve"> and limit the working day to an average of eight hours and the right to paid leave. </w:t>
      </w:r>
    </w:p>
    <w:p w14:paraId="12EBF5C7" w14:textId="08F9AA79" w:rsidR="000E55CE" w:rsidRPr="005B70F8" w:rsidRDefault="000E55CE" w:rsidP="000E55CE">
      <w:pPr>
        <w:rPr>
          <w:rFonts w:ascii="Arial" w:hAnsi="Arial" w:cs="Arial"/>
        </w:rPr>
      </w:pPr>
      <w:r w:rsidRPr="005B70F8">
        <w:rPr>
          <w:rFonts w:ascii="Arial" w:hAnsi="Arial" w:cs="Arial"/>
        </w:rPr>
        <w:t>The WTR sets out that all employees have the right to statutory annual leave. This is in all cases even when working under a zero-hours contract. The full entitlement depends on how many days or hours they work and any company specific agreements they have with their employer. Employees accrue holiday from day 1, including when in a probation period, whilst on sick leave and whilst on maternity or paternity.</w:t>
      </w:r>
      <w:r w:rsidR="00F67206" w:rsidRPr="005B70F8">
        <w:rPr>
          <w:rFonts w:ascii="Arial" w:hAnsi="Arial" w:cs="Arial"/>
        </w:rPr>
        <w:t xml:space="preserve"> By law, all employees are entitled to 5.6 weeks' statutory paid holiday a </w:t>
      </w:r>
      <w:r w:rsidR="00A33239" w:rsidRPr="005B70F8">
        <w:rPr>
          <w:rFonts w:ascii="Arial" w:hAnsi="Arial" w:cs="Arial"/>
        </w:rPr>
        <w:t>year,</w:t>
      </w:r>
      <w:r w:rsidR="00F67206" w:rsidRPr="005B70F8">
        <w:rPr>
          <w:rFonts w:ascii="Arial" w:hAnsi="Arial" w:cs="Arial"/>
        </w:rPr>
        <w:t xml:space="preserve"> and this will be detailed in their employment contracts.</w:t>
      </w:r>
    </w:p>
    <w:p w14:paraId="6D253736" w14:textId="3902F7E0" w:rsidR="000E55CE" w:rsidRPr="005B70F8" w:rsidRDefault="00A33239" w:rsidP="000E55CE">
      <w:pPr>
        <w:rPr>
          <w:rFonts w:ascii="Arial" w:hAnsi="Arial" w:cs="Arial"/>
        </w:rPr>
      </w:pPr>
      <w:r w:rsidRPr="005B70F8">
        <w:rPr>
          <w:rFonts w:ascii="Arial" w:hAnsi="Arial" w:cs="Arial"/>
        </w:rPr>
        <w:t xml:space="preserve">Someone who works part time is still entitled to 5.6 weeks' statutory paid holiday, however the amount will be in proportion to the hours they work as they cannot be treated less favourably than a </w:t>
      </w:r>
      <w:r w:rsidR="007A199E" w:rsidRPr="005B70F8">
        <w:rPr>
          <w:rFonts w:ascii="Arial" w:hAnsi="Arial" w:cs="Arial"/>
        </w:rPr>
        <w:t>full-time</w:t>
      </w:r>
      <w:r w:rsidRPr="005B70F8">
        <w:rPr>
          <w:rFonts w:ascii="Arial" w:hAnsi="Arial" w:cs="Arial"/>
        </w:rPr>
        <w:t xml:space="preserve"> employee. For </w:t>
      </w:r>
      <w:r w:rsidR="007A199E" w:rsidRPr="005B70F8">
        <w:rPr>
          <w:rFonts w:ascii="Arial" w:hAnsi="Arial" w:cs="Arial"/>
        </w:rPr>
        <w:t>example,</w:t>
      </w:r>
      <w:r w:rsidRPr="005B70F8">
        <w:rPr>
          <w:rFonts w:ascii="Arial" w:hAnsi="Arial" w:cs="Arial"/>
        </w:rPr>
        <w:t xml:space="preserve"> an employee who works 3 days a week would be entitled to 16.8 days of paid holiday a year.</w:t>
      </w:r>
    </w:p>
    <w:p w14:paraId="2DC4CAC6" w14:textId="77777777" w:rsidR="00B10635" w:rsidRPr="005B70F8" w:rsidRDefault="007A199E" w:rsidP="000E55CE">
      <w:pPr>
        <w:rPr>
          <w:rFonts w:ascii="Arial" w:hAnsi="Arial" w:cs="Arial"/>
        </w:rPr>
      </w:pPr>
      <w:r w:rsidRPr="005B70F8">
        <w:rPr>
          <w:rFonts w:ascii="Arial" w:hAnsi="Arial" w:cs="Arial"/>
        </w:rPr>
        <w:t xml:space="preserve">An irregular hour’s worker is defined as someone whose number of hours they work in each 'pay period' is mostly variable. This </w:t>
      </w:r>
      <w:r w:rsidR="003F17F6" w:rsidRPr="005B70F8">
        <w:rPr>
          <w:rFonts w:ascii="Arial" w:hAnsi="Arial" w:cs="Arial"/>
        </w:rPr>
        <w:t>usually includes</w:t>
      </w:r>
      <w:r w:rsidRPr="005B70F8">
        <w:rPr>
          <w:rFonts w:ascii="Arial" w:hAnsi="Arial" w:cs="Arial"/>
        </w:rPr>
        <w:t xml:space="preserve"> zero-hour contracts and bank contracted employees. </w:t>
      </w:r>
      <w:r w:rsidR="003F17F6" w:rsidRPr="005B70F8">
        <w:rPr>
          <w:rFonts w:ascii="Arial" w:hAnsi="Arial" w:cs="Arial"/>
        </w:rPr>
        <w:t xml:space="preserve">New rules came into effect in April 2024 where irregular workers accrue holiday at 12.07% of the hours, they work in a pay period and on the last day of the pay period, the 12.07% is based on the statutory minimum holiday entitlement of 5.6 weeks. </w:t>
      </w:r>
      <w:r w:rsidR="00731FFC" w:rsidRPr="005B70F8">
        <w:rPr>
          <w:rFonts w:ascii="Arial" w:hAnsi="Arial" w:cs="Arial"/>
        </w:rPr>
        <w:t>The ‘rolled up’ pay is spread over the year, and the 12.07% is added on top of the employee’s normal pay. This is an alternative instead of paying someone for their holiday as and when.</w:t>
      </w:r>
    </w:p>
    <w:p w14:paraId="1A4BF5CE" w14:textId="1FF2735E" w:rsidR="00180FFA" w:rsidRPr="005B70F8" w:rsidRDefault="00B10635" w:rsidP="00180FFA">
      <w:pPr>
        <w:rPr>
          <w:rFonts w:ascii="Arial" w:hAnsi="Arial" w:cs="Arial"/>
        </w:rPr>
      </w:pPr>
      <w:r w:rsidRPr="005B70F8">
        <w:rPr>
          <w:rFonts w:ascii="Arial" w:hAnsi="Arial" w:cs="Arial"/>
        </w:rPr>
        <w:lastRenderedPageBreak/>
        <w:t>I would explain to the manager that</w:t>
      </w:r>
      <w:r w:rsidR="00731FFC" w:rsidRPr="005B70F8">
        <w:rPr>
          <w:rFonts w:ascii="Arial" w:hAnsi="Arial" w:cs="Arial"/>
        </w:rPr>
        <w:t>, if a bank worker In June, earns £1,000, they should then receive £120.70 rolled-up holiday pay in addition to their earnings, this is usually shown separately on the payslip</w:t>
      </w:r>
      <w:r w:rsidRPr="005B70F8">
        <w:rPr>
          <w:rFonts w:ascii="Arial" w:hAnsi="Arial" w:cs="Arial"/>
        </w:rPr>
        <w:t xml:space="preserve"> as this would be the simplest way to ensure they are paid fairly.</w:t>
      </w:r>
    </w:p>
    <w:p w14:paraId="79F7295F" w14:textId="5907C2E6" w:rsidR="00180FFA" w:rsidRPr="005B70F8" w:rsidRDefault="00CF659C" w:rsidP="00180FFA">
      <w:pPr>
        <w:rPr>
          <w:rFonts w:ascii="Arial" w:hAnsi="Arial" w:cs="Arial"/>
          <w:b/>
          <w:bCs/>
          <w:u w:val="single"/>
        </w:rPr>
      </w:pPr>
      <w:r w:rsidRPr="005B70F8">
        <w:rPr>
          <w:rFonts w:ascii="Arial" w:hAnsi="Arial" w:cs="Arial"/>
          <w:b/>
          <w:bCs/>
          <w:u w:val="single"/>
        </w:rPr>
        <w:t>A.C 4.2</w:t>
      </w:r>
    </w:p>
    <w:p w14:paraId="1A6B2749" w14:textId="77CBB6D1" w:rsidR="000B4A2E" w:rsidRPr="005B70F8" w:rsidRDefault="000B4A2E" w:rsidP="000B4A2E">
      <w:pPr>
        <w:rPr>
          <w:rFonts w:ascii="Arial" w:hAnsi="Arial" w:cs="Arial"/>
        </w:rPr>
      </w:pPr>
      <w:r w:rsidRPr="005B70F8">
        <w:rPr>
          <w:rFonts w:ascii="Arial" w:hAnsi="Arial" w:cs="Arial"/>
        </w:rPr>
        <w:t>From the moment a woman announces her pregnancy, she is protected against discrimination under the Equality Act 2010. This 'protected period' begins at the start of pregnancy and concludes at the end of maternity leave (CIPD, 2024</w:t>
      </w:r>
      <w:r w:rsidR="002A7CD4" w:rsidRPr="005B70F8">
        <w:rPr>
          <w:rFonts w:ascii="Arial" w:hAnsi="Arial" w:cs="Arial"/>
        </w:rPr>
        <w:t>b</w:t>
      </w:r>
      <w:r w:rsidRPr="005B70F8">
        <w:rPr>
          <w:rFonts w:ascii="Arial" w:hAnsi="Arial" w:cs="Arial"/>
        </w:rPr>
        <w:t>). When the baby is born, new mothers typically take maternity leave, which is divided into two types, totalling 52 weeks. The first 26 weeks are known as Ordinary Maternity Leave (OML), and the subsequent 26 weeks are referred to as Additional Maternity Leave (AML). The key difference in employment rights is that during OML, employees have the right to return to the same job on the same terms as before maternity leave. During AML, employees have the right to return to the same job or a similar one if returning to the former job is not feasible. Regarding pay, if a woman meets National Insurance requirements and has 26 weeks of continuous service, she is entitled to up to 39 weeks of Statutory Maternity Pay. It includes 90% of your average weekly earnings for the first 6 weeks, followed by a lower rate for the remaining 33 weeks. Other notable rights include accruing paid holiday during maternity leave, protection from redundancy, and up to 10 Keeping in Touch Days, which are paid at the employee's usual rate.</w:t>
      </w:r>
    </w:p>
    <w:p w14:paraId="515826AB" w14:textId="3F0E941E" w:rsidR="000B4A2E" w:rsidRPr="005B70F8" w:rsidRDefault="004F1801" w:rsidP="000B4A2E">
      <w:pPr>
        <w:rPr>
          <w:rFonts w:ascii="Arial" w:hAnsi="Arial" w:cs="Arial"/>
        </w:rPr>
      </w:pPr>
      <w:r w:rsidRPr="005B70F8">
        <w:rPr>
          <w:rFonts w:ascii="Arial" w:hAnsi="Arial" w:cs="Arial"/>
        </w:rPr>
        <w:t>Daniels</w:t>
      </w:r>
      <w:r w:rsidR="007D5C9B">
        <w:rPr>
          <w:rFonts w:ascii="Arial" w:hAnsi="Arial" w:cs="Arial"/>
        </w:rPr>
        <w:t>,</w:t>
      </w:r>
      <w:r w:rsidRPr="005B70F8">
        <w:rPr>
          <w:rFonts w:ascii="Arial" w:hAnsi="Arial" w:cs="Arial"/>
        </w:rPr>
        <w:t xml:space="preserve"> (2024) explains that s</w:t>
      </w:r>
      <w:r w:rsidR="000B4A2E" w:rsidRPr="005B70F8">
        <w:rPr>
          <w:rFonts w:ascii="Arial" w:hAnsi="Arial" w:cs="Arial"/>
        </w:rPr>
        <w:t xml:space="preserve">hared Parental Leave </w:t>
      </w:r>
      <w:r w:rsidR="00250DAE" w:rsidRPr="005B70F8">
        <w:rPr>
          <w:rFonts w:ascii="Arial" w:hAnsi="Arial" w:cs="Arial"/>
        </w:rPr>
        <w:t>(</w:t>
      </w:r>
      <w:proofErr w:type="spellStart"/>
      <w:r w:rsidR="00250DAE" w:rsidRPr="005B70F8">
        <w:rPr>
          <w:rFonts w:ascii="Arial" w:hAnsi="Arial" w:cs="Arial"/>
        </w:rPr>
        <w:t>ShPL</w:t>
      </w:r>
      <w:proofErr w:type="spellEnd"/>
      <w:r w:rsidR="00250DAE" w:rsidRPr="005B70F8">
        <w:rPr>
          <w:rFonts w:ascii="Arial" w:hAnsi="Arial" w:cs="Arial"/>
        </w:rPr>
        <w:t xml:space="preserve">) </w:t>
      </w:r>
      <w:r w:rsidR="000B4A2E" w:rsidRPr="005B70F8">
        <w:rPr>
          <w:rFonts w:ascii="Arial" w:hAnsi="Arial" w:cs="Arial"/>
        </w:rPr>
        <w:t>allows parents to share leave between them. The right also applies to both opposite-sex and same-sex couples</w:t>
      </w:r>
      <w:r w:rsidR="007B31CC" w:rsidRPr="005B70F8">
        <w:rPr>
          <w:rFonts w:ascii="Arial" w:hAnsi="Arial" w:cs="Arial"/>
        </w:rPr>
        <w:t>.</w:t>
      </w:r>
      <w:r w:rsidR="007B31CC" w:rsidRPr="005B70F8">
        <w:rPr>
          <w:rFonts w:ascii="Arial" w:hAnsi="Arial" w:cs="Arial"/>
          <w:color w:val="202020"/>
          <w:shd w:val="clear" w:color="auto" w:fill="FFFFFF"/>
        </w:rPr>
        <w:t xml:space="preserve"> </w:t>
      </w:r>
      <w:r w:rsidR="007B31CC" w:rsidRPr="005B70F8">
        <w:rPr>
          <w:rFonts w:ascii="Arial" w:hAnsi="Arial" w:cs="Arial"/>
        </w:rPr>
        <w:t>The person on maternity leave shortens the 52 weeks of leave by choosing to allow the other part to be taken by their partner. Howe</w:t>
      </w:r>
      <w:r w:rsidR="001808B9" w:rsidRPr="005B70F8">
        <w:rPr>
          <w:rFonts w:ascii="Arial" w:hAnsi="Arial" w:cs="Arial"/>
        </w:rPr>
        <w:t>ver</w:t>
      </w:r>
      <w:r w:rsidR="007B31CC" w:rsidRPr="005B70F8">
        <w:rPr>
          <w:rFonts w:ascii="Arial" w:hAnsi="Arial" w:cs="Arial"/>
        </w:rPr>
        <w:t xml:space="preserve">, there are two weeks’ compulsory leave which the mother must </w:t>
      </w:r>
      <w:r w:rsidR="005B61D6" w:rsidRPr="005B70F8">
        <w:rPr>
          <w:rFonts w:ascii="Arial" w:hAnsi="Arial" w:cs="Arial"/>
        </w:rPr>
        <w:t>take,</w:t>
      </w:r>
      <w:r w:rsidR="007B31CC" w:rsidRPr="005B70F8">
        <w:rPr>
          <w:rFonts w:ascii="Arial" w:hAnsi="Arial" w:cs="Arial"/>
        </w:rPr>
        <w:t xml:space="preserve"> and which cannot form part of the shared leave. </w:t>
      </w:r>
    </w:p>
    <w:p w14:paraId="621C17AA" w14:textId="48540E44" w:rsidR="001808B9" w:rsidRPr="005B70F8" w:rsidRDefault="001808B9" w:rsidP="001808B9">
      <w:pPr>
        <w:rPr>
          <w:rFonts w:ascii="Arial" w:hAnsi="Arial" w:cs="Arial"/>
        </w:rPr>
      </w:pPr>
      <w:r w:rsidRPr="005B70F8">
        <w:rPr>
          <w:rFonts w:ascii="Arial" w:hAnsi="Arial" w:cs="Arial"/>
        </w:rPr>
        <w:t xml:space="preserve">An employee will be eligible for Shared Parental Pay (SSPP) if the employees gave in all required notices and declarations, the mother is entitled to Statutory Maternity Pay (SMP) but has reduced the entitlement, both parents are the main care-givers to the child, said employee will be caring for the child during each week that SSPP is paid, both parents satisfy the continuity of employment test and both parents satisfy the normal weekly earnings test. </w:t>
      </w:r>
    </w:p>
    <w:p w14:paraId="504F0DF4" w14:textId="605F633E" w:rsidR="001808B9" w:rsidRPr="005B70F8" w:rsidRDefault="001808B9" w:rsidP="001808B9">
      <w:pPr>
        <w:rPr>
          <w:rFonts w:ascii="Arial" w:hAnsi="Arial" w:cs="Arial"/>
        </w:rPr>
      </w:pPr>
      <w:r w:rsidRPr="005B70F8">
        <w:rPr>
          <w:rFonts w:ascii="Arial" w:hAnsi="Arial" w:cs="Arial"/>
        </w:rPr>
        <w:t>Once eligibility for SSP</w:t>
      </w:r>
      <w:r w:rsidR="00212A5D" w:rsidRPr="005B70F8">
        <w:rPr>
          <w:rFonts w:ascii="Arial" w:hAnsi="Arial" w:cs="Arial"/>
        </w:rPr>
        <w:t>P</w:t>
      </w:r>
      <w:r w:rsidRPr="005B70F8">
        <w:rPr>
          <w:rFonts w:ascii="Arial" w:hAnsi="Arial" w:cs="Arial"/>
        </w:rPr>
        <w:t xml:space="preserve"> is approved, the </w:t>
      </w:r>
      <w:r w:rsidR="00250DAE" w:rsidRPr="005B70F8">
        <w:rPr>
          <w:rFonts w:ascii="Arial" w:hAnsi="Arial" w:cs="Arial"/>
        </w:rPr>
        <w:t>mother</w:t>
      </w:r>
      <w:r w:rsidRPr="005B70F8">
        <w:rPr>
          <w:rFonts w:ascii="Arial" w:hAnsi="Arial" w:cs="Arial"/>
        </w:rPr>
        <w:t xml:space="preserve"> must take the first two weeks ‘compulsory maternity leave’ and be paid SMP</w:t>
      </w:r>
      <w:r w:rsidR="00250DAE" w:rsidRPr="005B70F8">
        <w:rPr>
          <w:rFonts w:ascii="Arial" w:hAnsi="Arial" w:cs="Arial"/>
        </w:rPr>
        <w:t xml:space="preserve">, then </w:t>
      </w:r>
      <w:r w:rsidRPr="005B70F8">
        <w:rPr>
          <w:rFonts w:ascii="Arial" w:hAnsi="Arial" w:cs="Arial"/>
        </w:rPr>
        <w:t>up to 37 weeks of SSPP is available to be shared between the parents at the statutory prescribed rate</w:t>
      </w:r>
      <w:r w:rsidR="00250DAE" w:rsidRPr="005B70F8">
        <w:rPr>
          <w:rFonts w:ascii="Arial" w:hAnsi="Arial" w:cs="Arial"/>
        </w:rPr>
        <w:t xml:space="preserve">. However, </w:t>
      </w:r>
      <w:r w:rsidRPr="005B70F8">
        <w:rPr>
          <w:rFonts w:ascii="Arial" w:hAnsi="Arial" w:cs="Arial"/>
        </w:rPr>
        <w:t xml:space="preserve">the total period of paid </w:t>
      </w:r>
      <w:proofErr w:type="spellStart"/>
      <w:r w:rsidRPr="005B70F8">
        <w:rPr>
          <w:rFonts w:ascii="Arial" w:hAnsi="Arial" w:cs="Arial"/>
        </w:rPr>
        <w:t>ShPL</w:t>
      </w:r>
      <w:proofErr w:type="spellEnd"/>
      <w:r w:rsidRPr="005B70F8">
        <w:rPr>
          <w:rFonts w:ascii="Arial" w:hAnsi="Arial" w:cs="Arial"/>
        </w:rPr>
        <w:t xml:space="preserve"> </w:t>
      </w:r>
      <w:r w:rsidR="00250DAE" w:rsidRPr="005B70F8">
        <w:rPr>
          <w:rFonts w:ascii="Arial" w:hAnsi="Arial" w:cs="Arial"/>
        </w:rPr>
        <w:t>can</w:t>
      </w:r>
      <w:r w:rsidRPr="005B70F8">
        <w:rPr>
          <w:rFonts w:ascii="Arial" w:hAnsi="Arial" w:cs="Arial"/>
        </w:rPr>
        <w:t xml:space="preserve">not </w:t>
      </w:r>
      <w:r w:rsidR="00250DAE" w:rsidRPr="005B70F8">
        <w:rPr>
          <w:rFonts w:ascii="Arial" w:hAnsi="Arial" w:cs="Arial"/>
        </w:rPr>
        <w:t xml:space="preserve">be more than </w:t>
      </w:r>
      <w:r w:rsidRPr="005B70F8">
        <w:rPr>
          <w:rFonts w:ascii="Arial" w:hAnsi="Arial" w:cs="Arial"/>
        </w:rPr>
        <w:t xml:space="preserve">37 weeks </w:t>
      </w:r>
      <w:r w:rsidR="00250DAE" w:rsidRPr="005B70F8">
        <w:rPr>
          <w:rFonts w:ascii="Arial" w:hAnsi="Arial" w:cs="Arial"/>
        </w:rPr>
        <w:t xml:space="preserve">and then </w:t>
      </w:r>
      <w:r w:rsidRPr="005B70F8">
        <w:rPr>
          <w:rFonts w:ascii="Arial" w:hAnsi="Arial" w:cs="Arial"/>
        </w:rPr>
        <w:t xml:space="preserve">the remaining 13 weeks of </w:t>
      </w:r>
      <w:proofErr w:type="spellStart"/>
      <w:r w:rsidRPr="005B70F8">
        <w:rPr>
          <w:rFonts w:ascii="Arial" w:hAnsi="Arial" w:cs="Arial"/>
        </w:rPr>
        <w:t>ShPL</w:t>
      </w:r>
      <w:proofErr w:type="spellEnd"/>
      <w:r w:rsidRPr="005B70F8">
        <w:rPr>
          <w:rFonts w:ascii="Arial" w:hAnsi="Arial" w:cs="Arial"/>
        </w:rPr>
        <w:t xml:space="preserve"> are unpaid.</w:t>
      </w:r>
      <w:r w:rsidR="00250DAE" w:rsidRPr="005B70F8">
        <w:rPr>
          <w:rFonts w:ascii="Arial" w:hAnsi="Arial" w:cs="Arial"/>
        </w:rPr>
        <w:t xml:space="preserve"> T</w:t>
      </w:r>
      <w:r w:rsidRPr="005B70F8">
        <w:rPr>
          <w:rFonts w:ascii="Arial" w:hAnsi="Arial" w:cs="Arial"/>
        </w:rPr>
        <w:t xml:space="preserve">he </w:t>
      </w:r>
      <w:r w:rsidR="00212A5D" w:rsidRPr="005B70F8">
        <w:rPr>
          <w:rFonts w:ascii="Arial" w:hAnsi="Arial" w:cs="Arial"/>
        </w:rPr>
        <w:t>caregiver’</w:t>
      </w:r>
      <w:r w:rsidRPr="005B70F8">
        <w:rPr>
          <w:rFonts w:ascii="Arial" w:hAnsi="Arial" w:cs="Arial"/>
        </w:rPr>
        <w:t>s partner may start receiving SSPP while the mother is still claiming SMP or Maternity allowance.</w:t>
      </w:r>
      <w:r w:rsidR="00250DAE" w:rsidRPr="005B70F8">
        <w:rPr>
          <w:rFonts w:ascii="Arial" w:hAnsi="Arial" w:cs="Arial"/>
        </w:rPr>
        <w:t xml:space="preserve"> </w:t>
      </w:r>
    </w:p>
    <w:p w14:paraId="4A967512" w14:textId="77777777" w:rsidR="00180FFA" w:rsidRPr="005B70F8" w:rsidRDefault="00180FFA" w:rsidP="00180FFA">
      <w:pPr>
        <w:rPr>
          <w:rStyle w:val="Hyperlink"/>
          <w:rFonts w:ascii="Arial" w:hAnsi="Arial" w:cs="Arial"/>
        </w:rPr>
      </w:pPr>
    </w:p>
    <w:p w14:paraId="47B75FAE" w14:textId="38C2CB88" w:rsidR="00A33239" w:rsidRPr="005B70F8" w:rsidRDefault="00180FFA" w:rsidP="00A33239">
      <w:pPr>
        <w:rPr>
          <w:rFonts w:ascii="Arial" w:hAnsi="Arial" w:cs="Arial"/>
          <w:color w:val="000000" w:themeColor="text1"/>
        </w:rPr>
      </w:pPr>
      <w:r w:rsidRPr="005B70F8">
        <w:rPr>
          <w:rFonts w:ascii="Arial" w:hAnsi="Arial" w:cs="Arial"/>
          <w:b/>
          <w:bCs/>
          <w:u w:val="single"/>
        </w:rPr>
        <w:t xml:space="preserve">A.C </w:t>
      </w:r>
      <w:r w:rsidR="00A33239" w:rsidRPr="005B70F8">
        <w:rPr>
          <w:rFonts w:ascii="Arial" w:hAnsi="Arial" w:cs="Arial"/>
          <w:b/>
          <w:bCs/>
          <w:u w:val="single"/>
        </w:rPr>
        <w:t>4.3</w:t>
      </w:r>
      <w:r w:rsidR="00A33239" w:rsidRPr="005B70F8">
        <w:rPr>
          <w:rFonts w:ascii="Arial" w:hAnsi="Arial" w:cs="Arial"/>
        </w:rPr>
        <w:br/>
      </w:r>
      <w:r w:rsidR="00CF659C" w:rsidRPr="005B70F8">
        <w:rPr>
          <w:rFonts w:ascii="Arial" w:hAnsi="Arial" w:cs="Arial"/>
          <w:color w:val="000000" w:themeColor="text1"/>
        </w:rPr>
        <w:t xml:space="preserve">Flexible working is gaining prominence in the workplace and is increasingly valued by employees. An estimated 4 million employees have changed jobs due to a lack of flexibility at work. </w:t>
      </w:r>
      <w:r w:rsidR="00A33239" w:rsidRPr="005B70F8">
        <w:rPr>
          <w:rFonts w:ascii="Arial" w:hAnsi="Arial" w:cs="Arial"/>
          <w:color w:val="000000" w:themeColor="text1"/>
        </w:rPr>
        <w:t>(CIPD 202</w:t>
      </w:r>
      <w:r w:rsidR="002A7CD4" w:rsidRPr="005B70F8">
        <w:rPr>
          <w:rFonts w:ascii="Arial" w:hAnsi="Arial" w:cs="Arial"/>
          <w:color w:val="000000" w:themeColor="text1"/>
        </w:rPr>
        <w:t>4a</w:t>
      </w:r>
      <w:r w:rsidR="00A33239" w:rsidRPr="005B70F8">
        <w:rPr>
          <w:rFonts w:ascii="Arial" w:hAnsi="Arial" w:cs="Arial"/>
          <w:color w:val="000000" w:themeColor="text1"/>
        </w:rPr>
        <w:t>).</w:t>
      </w:r>
      <w:r w:rsidR="0033309C" w:rsidRPr="005B70F8">
        <w:rPr>
          <w:rFonts w:ascii="Arial" w:hAnsi="Arial" w:cs="Arial"/>
        </w:rPr>
        <w:t xml:space="preserve"> </w:t>
      </w:r>
      <w:r w:rsidR="0033309C" w:rsidRPr="005B70F8">
        <w:rPr>
          <w:rFonts w:ascii="Arial" w:hAnsi="Arial" w:cs="Arial"/>
          <w:color w:val="000000" w:themeColor="text1"/>
        </w:rPr>
        <w:t xml:space="preserve">The Employment Rights Act </w:t>
      </w:r>
      <w:r w:rsidR="00212A5D" w:rsidRPr="005B70F8">
        <w:rPr>
          <w:rFonts w:ascii="Arial" w:hAnsi="Arial" w:cs="Arial"/>
          <w:color w:val="000000" w:themeColor="text1"/>
        </w:rPr>
        <w:t xml:space="preserve">1996 which has been updated through the Employment Rights Bill 2024 </w:t>
      </w:r>
      <w:r w:rsidR="0033309C" w:rsidRPr="005B70F8">
        <w:rPr>
          <w:rFonts w:ascii="Arial" w:hAnsi="Arial" w:cs="Arial"/>
          <w:color w:val="000000" w:themeColor="text1"/>
        </w:rPr>
        <w:t xml:space="preserve">gives employees the right to apply for a change in the terms and conditions of their employment, including flexible working. </w:t>
      </w:r>
      <w:r w:rsidR="00212A5D" w:rsidRPr="005B70F8">
        <w:rPr>
          <w:rFonts w:ascii="Arial" w:hAnsi="Arial" w:cs="Arial"/>
          <w:color w:val="000000" w:themeColor="text1"/>
        </w:rPr>
        <w:t>However,</w:t>
      </w:r>
      <w:r w:rsidR="0033309C" w:rsidRPr="005B70F8">
        <w:rPr>
          <w:rFonts w:ascii="Arial" w:hAnsi="Arial" w:cs="Arial"/>
          <w:color w:val="000000" w:themeColor="text1"/>
        </w:rPr>
        <w:t xml:space="preserve"> there is no right to enforce this, it just gives the employee a right to request.</w:t>
      </w:r>
    </w:p>
    <w:p w14:paraId="60DE627C" w14:textId="5FA4CB20" w:rsidR="00A33239" w:rsidRPr="005B70F8" w:rsidRDefault="00A33239" w:rsidP="00A33239">
      <w:pPr>
        <w:jc w:val="both"/>
        <w:rPr>
          <w:rFonts w:ascii="Arial" w:hAnsi="Arial" w:cs="Arial"/>
          <w:color w:val="000000" w:themeColor="text1"/>
        </w:rPr>
      </w:pPr>
      <w:r w:rsidRPr="005B70F8">
        <w:rPr>
          <w:rFonts w:ascii="Arial" w:hAnsi="Arial" w:cs="Arial"/>
          <w:color w:val="000000" w:themeColor="text1"/>
        </w:rPr>
        <w:lastRenderedPageBreak/>
        <w:t>Recent changes to The Flexible Working Regulations of 2014</w:t>
      </w:r>
      <w:r w:rsidR="00212A5D" w:rsidRPr="005B70F8">
        <w:rPr>
          <w:rFonts w:ascii="Arial" w:hAnsi="Arial" w:cs="Arial"/>
          <w:color w:val="000000" w:themeColor="text1"/>
        </w:rPr>
        <w:t xml:space="preserve"> (Employment Relations (Flexible Working) Act 2023) </w:t>
      </w:r>
      <w:r w:rsidR="0033309C" w:rsidRPr="005B70F8">
        <w:rPr>
          <w:rFonts w:ascii="Arial" w:hAnsi="Arial" w:cs="Arial"/>
          <w:color w:val="000000" w:themeColor="text1"/>
        </w:rPr>
        <w:t>have</w:t>
      </w:r>
      <w:r w:rsidR="00CF659C" w:rsidRPr="005B70F8">
        <w:rPr>
          <w:rFonts w:ascii="Arial" w:hAnsi="Arial" w:cs="Arial"/>
          <w:color w:val="000000" w:themeColor="text1"/>
        </w:rPr>
        <w:t xml:space="preserve"> made the ability to </w:t>
      </w:r>
      <w:r w:rsidRPr="005B70F8">
        <w:rPr>
          <w:rFonts w:ascii="Arial" w:hAnsi="Arial" w:cs="Arial"/>
          <w:color w:val="000000" w:themeColor="text1"/>
        </w:rPr>
        <w:t>request flexible working</w:t>
      </w:r>
      <w:r w:rsidR="00212A5D" w:rsidRPr="005B70F8">
        <w:rPr>
          <w:rFonts w:ascii="Arial" w:hAnsi="Arial" w:cs="Arial"/>
          <w:color w:val="000000" w:themeColor="text1"/>
        </w:rPr>
        <w:t>,</w:t>
      </w:r>
      <w:r w:rsidRPr="005B70F8">
        <w:rPr>
          <w:rFonts w:ascii="Arial" w:hAnsi="Arial" w:cs="Arial"/>
          <w:color w:val="000000" w:themeColor="text1"/>
        </w:rPr>
        <w:t xml:space="preserve"> </w:t>
      </w:r>
      <w:r w:rsidR="00CF659C" w:rsidRPr="005B70F8">
        <w:rPr>
          <w:rFonts w:ascii="Arial" w:hAnsi="Arial" w:cs="Arial"/>
          <w:color w:val="000000" w:themeColor="text1"/>
        </w:rPr>
        <w:t>a day</w:t>
      </w:r>
      <w:r w:rsidR="00212A5D" w:rsidRPr="005B70F8">
        <w:rPr>
          <w:rFonts w:ascii="Arial" w:hAnsi="Arial" w:cs="Arial"/>
          <w:color w:val="000000" w:themeColor="text1"/>
        </w:rPr>
        <w:t xml:space="preserve"> </w:t>
      </w:r>
      <w:r w:rsidR="00CF659C" w:rsidRPr="005B70F8">
        <w:rPr>
          <w:rFonts w:ascii="Arial" w:hAnsi="Arial" w:cs="Arial"/>
          <w:color w:val="000000" w:themeColor="text1"/>
        </w:rPr>
        <w:t>1 right for all employees, in a</w:t>
      </w:r>
      <w:r w:rsidRPr="005B70F8">
        <w:rPr>
          <w:rFonts w:ascii="Arial" w:hAnsi="Arial" w:cs="Arial"/>
          <w:color w:val="000000" w:themeColor="text1"/>
        </w:rPr>
        <w:t>ddition</w:t>
      </w:r>
      <w:r w:rsidR="00CF659C" w:rsidRPr="005B70F8">
        <w:rPr>
          <w:rFonts w:ascii="Arial" w:hAnsi="Arial" w:cs="Arial"/>
          <w:color w:val="000000" w:themeColor="text1"/>
        </w:rPr>
        <w:t xml:space="preserve"> to this, employees</w:t>
      </w:r>
      <w:r w:rsidRPr="005B70F8">
        <w:rPr>
          <w:rFonts w:ascii="Arial" w:hAnsi="Arial" w:cs="Arial"/>
          <w:color w:val="000000" w:themeColor="text1"/>
        </w:rPr>
        <w:t xml:space="preserve"> can</w:t>
      </w:r>
      <w:r w:rsidR="00CF659C" w:rsidRPr="005B70F8">
        <w:rPr>
          <w:rFonts w:ascii="Arial" w:hAnsi="Arial" w:cs="Arial"/>
          <w:color w:val="000000" w:themeColor="text1"/>
        </w:rPr>
        <w:t xml:space="preserve"> now</w:t>
      </w:r>
      <w:r w:rsidRPr="005B70F8">
        <w:rPr>
          <w:rFonts w:ascii="Arial" w:hAnsi="Arial" w:cs="Arial"/>
          <w:color w:val="000000" w:themeColor="text1"/>
        </w:rPr>
        <w:t xml:space="preserve"> request flexible working twice annually, where</w:t>
      </w:r>
      <w:r w:rsidR="00CF659C" w:rsidRPr="005B70F8">
        <w:rPr>
          <w:rFonts w:ascii="Arial" w:hAnsi="Arial" w:cs="Arial"/>
          <w:color w:val="000000" w:themeColor="text1"/>
        </w:rPr>
        <w:t xml:space="preserve"> previously</w:t>
      </w:r>
      <w:r w:rsidRPr="005B70F8">
        <w:rPr>
          <w:rFonts w:ascii="Arial" w:hAnsi="Arial" w:cs="Arial"/>
          <w:color w:val="000000" w:themeColor="text1"/>
        </w:rPr>
        <w:t xml:space="preserve">, only one request per year was </w:t>
      </w:r>
      <w:r w:rsidR="00CF659C" w:rsidRPr="005B70F8">
        <w:rPr>
          <w:rFonts w:ascii="Arial" w:hAnsi="Arial" w:cs="Arial"/>
          <w:color w:val="000000" w:themeColor="text1"/>
        </w:rPr>
        <w:t>allowed</w:t>
      </w:r>
      <w:r w:rsidRPr="005B70F8">
        <w:rPr>
          <w:rFonts w:ascii="Arial" w:hAnsi="Arial" w:cs="Arial"/>
          <w:color w:val="000000" w:themeColor="text1"/>
        </w:rPr>
        <w:t xml:space="preserve">. Rights associated with flexible working requests are: </w:t>
      </w:r>
    </w:p>
    <w:p w14:paraId="4E752BCD" w14:textId="77777777" w:rsidR="00A33239" w:rsidRPr="005B70F8" w:rsidRDefault="00A33239" w:rsidP="00A33239">
      <w:pPr>
        <w:jc w:val="both"/>
        <w:rPr>
          <w:rFonts w:ascii="Arial" w:hAnsi="Arial" w:cs="Arial"/>
          <w:b/>
          <w:bCs/>
          <w:color w:val="000000" w:themeColor="text1"/>
        </w:rPr>
      </w:pPr>
      <w:r w:rsidRPr="005B70F8">
        <w:rPr>
          <w:rFonts w:ascii="Arial" w:hAnsi="Arial" w:cs="Arial"/>
          <w:b/>
          <w:bCs/>
          <w:color w:val="000000" w:themeColor="text1"/>
        </w:rPr>
        <w:t xml:space="preserve">Protection against discrimination </w:t>
      </w:r>
    </w:p>
    <w:p w14:paraId="1B4445A5" w14:textId="77777777" w:rsidR="00CF659C" w:rsidRPr="005B70F8" w:rsidRDefault="00CF659C" w:rsidP="00A33239">
      <w:pPr>
        <w:jc w:val="both"/>
        <w:rPr>
          <w:rFonts w:ascii="Arial" w:hAnsi="Arial" w:cs="Arial"/>
          <w:color w:val="000000" w:themeColor="text1"/>
        </w:rPr>
      </w:pPr>
      <w:r w:rsidRPr="005B70F8">
        <w:rPr>
          <w:rFonts w:ascii="Arial" w:hAnsi="Arial" w:cs="Arial"/>
          <w:color w:val="000000" w:themeColor="text1"/>
        </w:rPr>
        <w:t>The Equality Act 2010 safeguards employees from discrimination when requesting flexible working. Employers must avoid discriminatory practices based on disability, gender, age, or race when considering these requests. This means that a request cannot be denied simply because it comes from someone with a protected characteristic.</w:t>
      </w:r>
    </w:p>
    <w:p w14:paraId="23D1DF28" w14:textId="71606D0B" w:rsidR="00A33239" w:rsidRPr="005B70F8" w:rsidRDefault="00A33239" w:rsidP="00A33239">
      <w:pPr>
        <w:jc w:val="both"/>
        <w:rPr>
          <w:rFonts w:ascii="Arial" w:hAnsi="Arial" w:cs="Arial"/>
          <w:b/>
          <w:bCs/>
          <w:color w:val="000000" w:themeColor="text1"/>
        </w:rPr>
      </w:pPr>
      <w:r w:rsidRPr="005B70F8">
        <w:rPr>
          <w:rFonts w:ascii="Arial" w:hAnsi="Arial" w:cs="Arial"/>
          <w:b/>
          <w:bCs/>
          <w:color w:val="000000" w:themeColor="text1"/>
        </w:rPr>
        <w:t>Employee Obligations</w:t>
      </w:r>
    </w:p>
    <w:p w14:paraId="7CD46C4C" w14:textId="77777777" w:rsidR="00CF659C" w:rsidRPr="005B70F8" w:rsidRDefault="00CF659C" w:rsidP="00CF659C">
      <w:pPr>
        <w:jc w:val="both"/>
        <w:rPr>
          <w:rFonts w:ascii="Arial" w:hAnsi="Arial" w:cs="Arial"/>
          <w:color w:val="000000" w:themeColor="text1"/>
        </w:rPr>
      </w:pPr>
      <w:r w:rsidRPr="005B70F8">
        <w:rPr>
          <w:rFonts w:ascii="Arial" w:hAnsi="Arial" w:cs="Arial"/>
          <w:color w:val="000000" w:themeColor="text1"/>
        </w:rPr>
        <w:t>An employee must submit a flexible working request in writing. The request should:</w:t>
      </w:r>
    </w:p>
    <w:p w14:paraId="7C4B90AC" w14:textId="1359A6E2" w:rsidR="00CF659C" w:rsidRPr="005B70F8" w:rsidRDefault="00CF659C" w:rsidP="00CF659C">
      <w:pPr>
        <w:numPr>
          <w:ilvl w:val="0"/>
          <w:numId w:val="33"/>
        </w:numPr>
        <w:jc w:val="both"/>
        <w:rPr>
          <w:rFonts w:ascii="Arial" w:hAnsi="Arial" w:cs="Arial"/>
          <w:color w:val="000000" w:themeColor="text1"/>
        </w:rPr>
      </w:pPr>
      <w:r w:rsidRPr="005B70F8">
        <w:rPr>
          <w:rFonts w:ascii="Arial" w:hAnsi="Arial" w:cs="Arial"/>
          <w:color w:val="000000" w:themeColor="text1"/>
        </w:rPr>
        <w:t>Be accurately dated</w:t>
      </w:r>
    </w:p>
    <w:p w14:paraId="79FA1A6E" w14:textId="0831BE72" w:rsidR="00CF659C" w:rsidRPr="005B70F8" w:rsidRDefault="00CF659C" w:rsidP="00CF659C">
      <w:pPr>
        <w:numPr>
          <w:ilvl w:val="0"/>
          <w:numId w:val="33"/>
        </w:numPr>
        <w:jc w:val="both"/>
        <w:rPr>
          <w:rFonts w:ascii="Arial" w:hAnsi="Arial" w:cs="Arial"/>
          <w:color w:val="000000" w:themeColor="text1"/>
        </w:rPr>
      </w:pPr>
      <w:r w:rsidRPr="005B70F8">
        <w:rPr>
          <w:rFonts w:ascii="Arial" w:hAnsi="Arial" w:cs="Arial"/>
          <w:color w:val="000000" w:themeColor="text1"/>
        </w:rPr>
        <w:t>Describe the requested change to their working pattern fully and clearly.</w:t>
      </w:r>
    </w:p>
    <w:p w14:paraId="0AD4E939" w14:textId="59036A2C" w:rsidR="00CF659C" w:rsidRPr="005B70F8" w:rsidRDefault="00CF659C" w:rsidP="00CF659C">
      <w:pPr>
        <w:numPr>
          <w:ilvl w:val="0"/>
          <w:numId w:val="33"/>
        </w:numPr>
        <w:jc w:val="both"/>
        <w:rPr>
          <w:rFonts w:ascii="Arial" w:hAnsi="Arial" w:cs="Arial"/>
          <w:color w:val="000000" w:themeColor="text1"/>
        </w:rPr>
      </w:pPr>
      <w:r w:rsidRPr="005B70F8">
        <w:rPr>
          <w:rFonts w:ascii="Arial" w:hAnsi="Arial" w:cs="Arial"/>
          <w:color w:val="000000" w:themeColor="text1"/>
        </w:rPr>
        <w:t>Specify when they would like the change to take effect from</w:t>
      </w:r>
    </w:p>
    <w:p w14:paraId="2503DB8B" w14:textId="74D852D7" w:rsidR="00CF659C" w:rsidRPr="005B70F8" w:rsidRDefault="00CF659C" w:rsidP="00CF659C">
      <w:pPr>
        <w:numPr>
          <w:ilvl w:val="0"/>
          <w:numId w:val="33"/>
        </w:numPr>
        <w:jc w:val="both"/>
        <w:rPr>
          <w:rFonts w:ascii="Arial" w:hAnsi="Arial" w:cs="Arial"/>
          <w:color w:val="000000" w:themeColor="text1"/>
        </w:rPr>
      </w:pPr>
      <w:r w:rsidRPr="005B70F8">
        <w:rPr>
          <w:rFonts w:ascii="Arial" w:hAnsi="Arial" w:cs="Arial"/>
          <w:color w:val="000000" w:themeColor="text1"/>
        </w:rPr>
        <w:t>Confirm that it is a statutory flexible working request.</w:t>
      </w:r>
    </w:p>
    <w:p w14:paraId="200A20F1" w14:textId="63BAD3CF" w:rsidR="00CF659C" w:rsidRPr="005B70F8" w:rsidRDefault="00CF659C" w:rsidP="00CF659C">
      <w:pPr>
        <w:numPr>
          <w:ilvl w:val="0"/>
          <w:numId w:val="33"/>
        </w:numPr>
        <w:jc w:val="both"/>
        <w:rPr>
          <w:rFonts w:ascii="Arial" w:hAnsi="Arial" w:cs="Arial"/>
          <w:color w:val="000000" w:themeColor="text1"/>
        </w:rPr>
      </w:pPr>
      <w:r w:rsidRPr="005B70F8">
        <w:rPr>
          <w:rFonts w:ascii="Arial" w:hAnsi="Arial" w:cs="Arial"/>
          <w:color w:val="000000" w:themeColor="text1"/>
        </w:rPr>
        <w:t xml:space="preserve">Indicate if they have made a previous request and, if so, when </w:t>
      </w:r>
      <w:proofErr w:type="spellStart"/>
      <w:proofErr w:type="gramStart"/>
      <w:r w:rsidRPr="005B70F8">
        <w:rPr>
          <w:rFonts w:ascii="Arial" w:hAnsi="Arial" w:cs="Arial"/>
          <w:color w:val="000000" w:themeColor="text1"/>
        </w:rPr>
        <w:t>is</w:t>
      </w:r>
      <w:proofErr w:type="spellEnd"/>
      <w:proofErr w:type="gramEnd"/>
      <w:r w:rsidRPr="005B70F8">
        <w:rPr>
          <w:rFonts w:ascii="Arial" w:hAnsi="Arial" w:cs="Arial"/>
          <w:color w:val="000000" w:themeColor="text1"/>
        </w:rPr>
        <w:t xml:space="preserve"> was.</w:t>
      </w:r>
    </w:p>
    <w:p w14:paraId="5C2FDBBC" w14:textId="115C8C8F" w:rsidR="00A33239" w:rsidRPr="005B70F8" w:rsidRDefault="00CF659C" w:rsidP="00A33239">
      <w:pPr>
        <w:jc w:val="both"/>
        <w:rPr>
          <w:rFonts w:ascii="Arial" w:hAnsi="Arial" w:cs="Arial"/>
          <w:color w:val="000000" w:themeColor="text1"/>
        </w:rPr>
      </w:pPr>
      <w:r w:rsidRPr="005B70F8">
        <w:rPr>
          <w:rFonts w:ascii="Arial" w:hAnsi="Arial" w:cs="Arial"/>
          <w:color w:val="000000" w:themeColor="text1"/>
        </w:rPr>
        <w:t>Additionally, it is important to note that the responsibility to demonstrate the impact of the request on the business no longer rests with the employee.</w:t>
      </w:r>
    </w:p>
    <w:p w14:paraId="330DB37C" w14:textId="77777777" w:rsidR="00A33239" w:rsidRPr="005B70F8" w:rsidRDefault="00A33239" w:rsidP="00A33239">
      <w:pPr>
        <w:jc w:val="both"/>
        <w:rPr>
          <w:rFonts w:ascii="Arial" w:hAnsi="Arial" w:cs="Arial"/>
          <w:b/>
          <w:bCs/>
          <w:color w:val="000000" w:themeColor="text1"/>
        </w:rPr>
      </w:pPr>
      <w:r w:rsidRPr="005B70F8">
        <w:rPr>
          <w:rFonts w:ascii="Arial" w:hAnsi="Arial" w:cs="Arial"/>
          <w:b/>
          <w:bCs/>
          <w:color w:val="000000" w:themeColor="text1"/>
        </w:rPr>
        <w:t xml:space="preserve">Employer obligations </w:t>
      </w:r>
    </w:p>
    <w:p w14:paraId="2FAB5D03" w14:textId="270664D3" w:rsidR="00A33239" w:rsidRPr="005B70F8" w:rsidRDefault="00DE3882" w:rsidP="00A33239">
      <w:pPr>
        <w:jc w:val="both"/>
        <w:rPr>
          <w:rFonts w:ascii="Arial" w:hAnsi="Arial" w:cs="Arial"/>
          <w:color w:val="000000" w:themeColor="text1"/>
        </w:rPr>
      </w:pPr>
      <w:r>
        <w:rPr>
          <w:rFonts w:ascii="Arial" w:hAnsi="Arial" w:cs="Arial"/>
          <w:color w:val="000000" w:themeColor="text1"/>
        </w:rPr>
        <w:t>Daniels, (2024) explains o</w:t>
      </w:r>
      <w:r w:rsidR="00A33239" w:rsidRPr="005B70F8">
        <w:rPr>
          <w:rFonts w:ascii="Arial" w:hAnsi="Arial" w:cs="Arial"/>
          <w:color w:val="000000" w:themeColor="text1"/>
        </w:rPr>
        <w:t xml:space="preserve">nce an employee makes a formal </w:t>
      </w:r>
      <w:r w:rsidR="00CF659C" w:rsidRPr="005B70F8">
        <w:rPr>
          <w:rFonts w:ascii="Arial" w:hAnsi="Arial" w:cs="Arial"/>
          <w:color w:val="000000" w:themeColor="text1"/>
        </w:rPr>
        <w:t xml:space="preserve">flexible working </w:t>
      </w:r>
      <w:r w:rsidR="00A33239" w:rsidRPr="005B70F8">
        <w:rPr>
          <w:rFonts w:ascii="Arial" w:hAnsi="Arial" w:cs="Arial"/>
          <w:color w:val="000000" w:themeColor="text1"/>
        </w:rPr>
        <w:t>request, employers have certain obligations they must a</w:t>
      </w:r>
      <w:r w:rsidR="00CF659C" w:rsidRPr="005B70F8">
        <w:rPr>
          <w:rFonts w:ascii="Arial" w:hAnsi="Arial" w:cs="Arial"/>
          <w:color w:val="000000" w:themeColor="text1"/>
        </w:rPr>
        <w:t>bide by</w:t>
      </w:r>
      <w:r w:rsidR="00A33239" w:rsidRPr="005B70F8">
        <w:rPr>
          <w:rFonts w:ascii="Arial" w:hAnsi="Arial" w:cs="Arial"/>
          <w:color w:val="000000" w:themeColor="text1"/>
        </w:rPr>
        <w:t xml:space="preserve">. </w:t>
      </w:r>
      <w:r w:rsidR="00CF659C" w:rsidRPr="005B70F8">
        <w:rPr>
          <w:rFonts w:ascii="Arial" w:hAnsi="Arial" w:cs="Arial"/>
          <w:color w:val="000000" w:themeColor="text1"/>
        </w:rPr>
        <w:t>T</w:t>
      </w:r>
      <w:r w:rsidR="00A33239" w:rsidRPr="005B70F8">
        <w:rPr>
          <w:rFonts w:ascii="Arial" w:hAnsi="Arial" w:cs="Arial"/>
          <w:color w:val="000000" w:themeColor="text1"/>
        </w:rPr>
        <w:t>hey must decide within 2 months</w:t>
      </w:r>
      <w:r w:rsidR="00CF659C" w:rsidRPr="005B70F8">
        <w:rPr>
          <w:rFonts w:ascii="Arial" w:hAnsi="Arial" w:cs="Arial"/>
          <w:color w:val="000000" w:themeColor="text1"/>
        </w:rPr>
        <w:t xml:space="preserve"> of the submission date,</w:t>
      </w:r>
      <w:r w:rsidR="00A33239" w:rsidRPr="005B70F8">
        <w:rPr>
          <w:rFonts w:ascii="Arial" w:hAnsi="Arial" w:cs="Arial"/>
          <w:color w:val="000000" w:themeColor="text1"/>
        </w:rPr>
        <w:t xml:space="preserve"> they </w:t>
      </w:r>
      <w:r w:rsidR="00CF659C" w:rsidRPr="005B70F8">
        <w:rPr>
          <w:rFonts w:ascii="Arial" w:hAnsi="Arial" w:cs="Arial"/>
          <w:color w:val="000000" w:themeColor="text1"/>
        </w:rPr>
        <w:t xml:space="preserve">also </w:t>
      </w:r>
      <w:r w:rsidR="00A33239" w:rsidRPr="005B70F8">
        <w:rPr>
          <w:rFonts w:ascii="Arial" w:hAnsi="Arial" w:cs="Arial"/>
          <w:color w:val="000000" w:themeColor="text1"/>
        </w:rPr>
        <w:t>cannot reject an employee’s request without first consulting them</w:t>
      </w:r>
      <w:r w:rsidR="00CF659C" w:rsidRPr="005B70F8">
        <w:rPr>
          <w:rFonts w:ascii="Arial" w:hAnsi="Arial" w:cs="Arial"/>
          <w:color w:val="000000" w:themeColor="text1"/>
        </w:rPr>
        <w:t xml:space="preserve"> first and lastly</w:t>
      </w:r>
      <w:r w:rsidR="00A33239" w:rsidRPr="005B70F8">
        <w:rPr>
          <w:rFonts w:ascii="Arial" w:hAnsi="Arial" w:cs="Arial"/>
          <w:color w:val="000000" w:themeColor="text1"/>
        </w:rPr>
        <w:t xml:space="preserve">, they can only refuse a request on at least one of </w:t>
      </w:r>
      <w:r w:rsidR="00CF659C" w:rsidRPr="005B70F8">
        <w:rPr>
          <w:rFonts w:ascii="Arial" w:hAnsi="Arial" w:cs="Arial"/>
          <w:color w:val="000000" w:themeColor="text1"/>
        </w:rPr>
        <w:t>statutory</w:t>
      </w:r>
      <w:r w:rsidR="00A33239" w:rsidRPr="005B70F8">
        <w:rPr>
          <w:rFonts w:ascii="Arial" w:hAnsi="Arial" w:cs="Arial"/>
          <w:color w:val="000000" w:themeColor="text1"/>
        </w:rPr>
        <w:t xml:space="preserve"> reasons</w:t>
      </w:r>
      <w:r w:rsidR="00CF659C" w:rsidRPr="005B70F8">
        <w:rPr>
          <w:rFonts w:ascii="Arial" w:hAnsi="Arial" w:cs="Arial"/>
          <w:color w:val="000000" w:themeColor="text1"/>
        </w:rPr>
        <w:t xml:space="preserve"> below</w:t>
      </w:r>
      <w:r w:rsidR="00A33239" w:rsidRPr="005B70F8">
        <w:rPr>
          <w:rFonts w:ascii="Arial" w:hAnsi="Arial" w:cs="Arial"/>
          <w:color w:val="000000" w:themeColor="text1"/>
        </w:rPr>
        <w:t xml:space="preserve">: </w:t>
      </w:r>
    </w:p>
    <w:p w14:paraId="5C1C0212" w14:textId="77777777" w:rsidR="00A33239" w:rsidRPr="005B70F8" w:rsidRDefault="00A33239" w:rsidP="00A33239">
      <w:pPr>
        <w:numPr>
          <w:ilvl w:val="0"/>
          <w:numId w:val="30"/>
        </w:numPr>
        <w:spacing w:before="100" w:beforeAutospacing="1" w:after="0" w:line="240" w:lineRule="auto"/>
        <w:jc w:val="both"/>
        <w:rPr>
          <w:rFonts w:ascii="Arial" w:eastAsia="Times New Roman" w:hAnsi="Arial" w:cs="Arial"/>
          <w:color w:val="000000"/>
          <w:kern w:val="0"/>
          <w:lang w:eastAsia="en-GB"/>
          <w14:ligatures w14:val="none"/>
        </w:rPr>
      </w:pPr>
      <w:r w:rsidRPr="005B70F8">
        <w:rPr>
          <w:rFonts w:ascii="Arial" w:eastAsia="Times New Roman" w:hAnsi="Arial" w:cs="Arial"/>
          <w:color w:val="000000"/>
          <w:kern w:val="0"/>
          <w:lang w:eastAsia="en-GB"/>
          <w14:ligatures w14:val="none"/>
        </w:rPr>
        <w:t>Burden of additional costs.</w:t>
      </w:r>
    </w:p>
    <w:p w14:paraId="39885F68" w14:textId="77777777" w:rsidR="00A33239" w:rsidRPr="005B70F8" w:rsidRDefault="00A33239" w:rsidP="00A33239">
      <w:pPr>
        <w:numPr>
          <w:ilvl w:val="0"/>
          <w:numId w:val="30"/>
        </w:numPr>
        <w:spacing w:before="100" w:beforeAutospacing="1" w:after="0" w:line="240" w:lineRule="auto"/>
        <w:jc w:val="both"/>
        <w:rPr>
          <w:rFonts w:ascii="Arial" w:eastAsia="Times New Roman" w:hAnsi="Arial" w:cs="Arial"/>
          <w:color w:val="000000"/>
          <w:kern w:val="0"/>
          <w:lang w:eastAsia="en-GB"/>
          <w14:ligatures w14:val="none"/>
        </w:rPr>
      </w:pPr>
      <w:r w:rsidRPr="005B70F8">
        <w:rPr>
          <w:rFonts w:ascii="Arial" w:eastAsia="Times New Roman" w:hAnsi="Arial" w:cs="Arial"/>
          <w:color w:val="000000"/>
          <w:kern w:val="0"/>
          <w:lang w:eastAsia="en-GB"/>
          <w14:ligatures w14:val="none"/>
        </w:rPr>
        <w:t>Detrimental effect on ability to meet customer demand.</w:t>
      </w:r>
    </w:p>
    <w:p w14:paraId="3FC0DDB7" w14:textId="77777777" w:rsidR="00A33239" w:rsidRPr="005B70F8" w:rsidRDefault="00A33239" w:rsidP="00A33239">
      <w:pPr>
        <w:numPr>
          <w:ilvl w:val="0"/>
          <w:numId w:val="30"/>
        </w:numPr>
        <w:spacing w:before="100" w:beforeAutospacing="1" w:after="0" w:line="240" w:lineRule="auto"/>
        <w:jc w:val="both"/>
        <w:rPr>
          <w:rFonts w:ascii="Arial" w:eastAsia="Times New Roman" w:hAnsi="Arial" w:cs="Arial"/>
          <w:color w:val="000000"/>
          <w:kern w:val="0"/>
          <w:lang w:eastAsia="en-GB"/>
          <w14:ligatures w14:val="none"/>
        </w:rPr>
      </w:pPr>
      <w:r w:rsidRPr="005B70F8">
        <w:rPr>
          <w:rFonts w:ascii="Arial" w:eastAsia="Times New Roman" w:hAnsi="Arial" w:cs="Arial"/>
          <w:color w:val="000000"/>
          <w:kern w:val="0"/>
          <w:lang w:eastAsia="en-GB"/>
          <w14:ligatures w14:val="none"/>
        </w:rPr>
        <w:t>Inability to reorganise work among existing staff.</w:t>
      </w:r>
    </w:p>
    <w:p w14:paraId="65069383" w14:textId="77777777" w:rsidR="00A33239" w:rsidRPr="005B70F8" w:rsidRDefault="00A33239" w:rsidP="00A33239">
      <w:pPr>
        <w:numPr>
          <w:ilvl w:val="0"/>
          <w:numId w:val="30"/>
        </w:numPr>
        <w:spacing w:before="100" w:beforeAutospacing="1" w:after="0" w:line="240" w:lineRule="auto"/>
        <w:jc w:val="both"/>
        <w:rPr>
          <w:rFonts w:ascii="Arial" w:eastAsia="Times New Roman" w:hAnsi="Arial" w:cs="Arial"/>
          <w:color w:val="000000"/>
          <w:kern w:val="0"/>
          <w:lang w:eastAsia="en-GB"/>
          <w14:ligatures w14:val="none"/>
        </w:rPr>
      </w:pPr>
      <w:r w:rsidRPr="005B70F8">
        <w:rPr>
          <w:rFonts w:ascii="Arial" w:eastAsia="Times New Roman" w:hAnsi="Arial" w:cs="Arial"/>
          <w:color w:val="000000"/>
          <w:kern w:val="0"/>
          <w:lang w:eastAsia="en-GB"/>
          <w14:ligatures w14:val="none"/>
        </w:rPr>
        <w:t>Inability to recruit additional staff.</w:t>
      </w:r>
    </w:p>
    <w:p w14:paraId="48560738" w14:textId="77777777" w:rsidR="00A33239" w:rsidRPr="005B70F8" w:rsidRDefault="00A33239" w:rsidP="00A33239">
      <w:pPr>
        <w:numPr>
          <w:ilvl w:val="0"/>
          <w:numId w:val="30"/>
        </w:numPr>
        <w:spacing w:before="100" w:beforeAutospacing="1" w:after="0" w:line="240" w:lineRule="auto"/>
        <w:jc w:val="both"/>
        <w:rPr>
          <w:rFonts w:ascii="Arial" w:eastAsia="Times New Roman" w:hAnsi="Arial" w:cs="Arial"/>
          <w:color w:val="000000"/>
          <w:kern w:val="0"/>
          <w:lang w:eastAsia="en-GB"/>
          <w14:ligatures w14:val="none"/>
        </w:rPr>
      </w:pPr>
      <w:r w:rsidRPr="005B70F8">
        <w:rPr>
          <w:rFonts w:ascii="Arial" w:eastAsia="Times New Roman" w:hAnsi="Arial" w:cs="Arial"/>
          <w:color w:val="000000"/>
          <w:kern w:val="0"/>
          <w:lang w:eastAsia="en-GB"/>
          <w14:ligatures w14:val="none"/>
        </w:rPr>
        <w:t>Detrimental impact on quality.</w:t>
      </w:r>
    </w:p>
    <w:p w14:paraId="275FC823" w14:textId="77777777" w:rsidR="00A33239" w:rsidRPr="005B70F8" w:rsidRDefault="00A33239" w:rsidP="00A33239">
      <w:pPr>
        <w:numPr>
          <w:ilvl w:val="0"/>
          <w:numId w:val="30"/>
        </w:numPr>
        <w:spacing w:before="100" w:beforeAutospacing="1" w:after="0" w:line="240" w:lineRule="auto"/>
        <w:jc w:val="both"/>
        <w:rPr>
          <w:rFonts w:ascii="Arial" w:eastAsia="Times New Roman" w:hAnsi="Arial" w:cs="Arial"/>
          <w:color w:val="000000"/>
          <w:kern w:val="0"/>
          <w:lang w:eastAsia="en-GB"/>
          <w14:ligatures w14:val="none"/>
        </w:rPr>
      </w:pPr>
      <w:r w:rsidRPr="005B70F8">
        <w:rPr>
          <w:rFonts w:ascii="Arial" w:eastAsia="Times New Roman" w:hAnsi="Arial" w:cs="Arial"/>
          <w:color w:val="000000"/>
          <w:kern w:val="0"/>
          <w:lang w:eastAsia="en-GB"/>
          <w14:ligatures w14:val="none"/>
        </w:rPr>
        <w:t>Detrimental impact on performance.</w:t>
      </w:r>
    </w:p>
    <w:p w14:paraId="208DA38F" w14:textId="77777777" w:rsidR="00A33239" w:rsidRPr="005B70F8" w:rsidRDefault="00A33239" w:rsidP="00A33239">
      <w:pPr>
        <w:numPr>
          <w:ilvl w:val="0"/>
          <w:numId w:val="30"/>
        </w:numPr>
        <w:spacing w:before="100" w:beforeAutospacing="1" w:after="0" w:line="240" w:lineRule="auto"/>
        <w:jc w:val="both"/>
        <w:rPr>
          <w:rFonts w:ascii="Arial" w:eastAsia="Times New Roman" w:hAnsi="Arial" w:cs="Arial"/>
          <w:color w:val="000000"/>
          <w:kern w:val="0"/>
          <w:lang w:eastAsia="en-GB"/>
          <w14:ligatures w14:val="none"/>
        </w:rPr>
      </w:pPr>
      <w:r w:rsidRPr="005B70F8">
        <w:rPr>
          <w:rFonts w:ascii="Arial" w:eastAsia="Times New Roman" w:hAnsi="Arial" w:cs="Arial"/>
          <w:color w:val="000000"/>
          <w:kern w:val="0"/>
          <w:lang w:eastAsia="en-GB"/>
          <w14:ligatures w14:val="none"/>
        </w:rPr>
        <w:t>Insufficiency of work during the periods you propose to work.</w:t>
      </w:r>
    </w:p>
    <w:p w14:paraId="5A2F19B7" w14:textId="42BDBB98" w:rsidR="0033309C" w:rsidRPr="005B70F8" w:rsidRDefault="00A33239" w:rsidP="0033309C">
      <w:pPr>
        <w:numPr>
          <w:ilvl w:val="0"/>
          <w:numId w:val="30"/>
        </w:numPr>
        <w:spacing w:before="100" w:beforeAutospacing="1" w:after="0" w:line="240" w:lineRule="auto"/>
        <w:jc w:val="both"/>
        <w:rPr>
          <w:rFonts w:ascii="Arial" w:eastAsia="Times New Roman" w:hAnsi="Arial" w:cs="Arial"/>
          <w:color w:val="000000"/>
          <w:kern w:val="0"/>
          <w:lang w:eastAsia="en-GB"/>
          <w14:ligatures w14:val="none"/>
        </w:rPr>
      </w:pPr>
      <w:r w:rsidRPr="005B70F8">
        <w:rPr>
          <w:rFonts w:ascii="Arial" w:eastAsia="Times New Roman" w:hAnsi="Arial" w:cs="Arial"/>
          <w:color w:val="000000"/>
          <w:kern w:val="0"/>
          <w:lang w:eastAsia="en-GB"/>
          <w14:ligatures w14:val="none"/>
        </w:rPr>
        <w:t>Planned structural changes.</w:t>
      </w:r>
    </w:p>
    <w:p w14:paraId="3F77866C" w14:textId="77777777" w:rsidR="0033309C" w:rsidRPr="005B70F8" w:rsidRDefault="0033309C" w:rsidP="0033309C">
      <w:pPr>
        <w:spacing w:before="100" w:beforeAutospacing="1" w:after="0" w:line="240" w:lineRule="auto"/>
        <w:ind w:left="720"/>
        <w:jc w:val="both"/>
        <w:rPr>
          <w:rFonts w:ascii="Arial" w:eastAsia="Times New Roman" w:hAnsi="Arial" w:cs="Arial"/>
          <w:color w:val="000000"/>
          <w:kern w:val="0"/>
          <w:lang w:eastAsia="en-GB"/>
          <w14:ligatures w14:val="none"/>
        </w:rPr>
      </w:pPr>
    </w:p>
    <w:p w14:paraId="1F07715E" w14:textId="12DA59A2" w:rsidR="004F1801" w:rsidRPr="005B70F8" w:rsidRDefault="0033309C" w:rsidP="00A33239">
      <w:pPr>
        <w:jc w:val="both"/>
        <w:rPr>
          <w:rFonts w:ascii="Arial" w:hAnsi="Arial" w:cs="Arial"/>
          <w:color w:val="000000" w:themeColor="text1"/>
        </w:rPr>
      </w:pPr>
      <w:r w:rsidRPr="005B70F8">
        <w:rPr>
          <w:rFonts w:ascii="Arial" w:hAnsi="Arial" w:cs="Arial"/>
          <w:color w:val="000000" w:themeColor="text1"/>
        </w:rPr>
        <w:t>An employee may still be able to challenge a refusal if the equality Act 2010 applies. The implications of getting it wrong can be significant</w:t>
      </w:r>
      <w:r w:rsidR="00955676" w:rsidRPr="005B70F8">
        <w:rPr>
          <w:rFonts w:ascii="Arial" w:hAnsi="Arial" w:cs="Arial"/>
          <w:color w:val="000000" w:themeColor="text1"/>
        </w:rPr>
        <w:t xml:space="preserve"> as shown in the </w:t>
      </w:r>
      <w:r w:rsidR="004F1801" w:rsidRPr="005B70F8">
        <w:rPr>
          <w:rFonts w:ascii="Arial" w:hAnsi="Arial" w:cs="Arial"/>
          <w:color w:val="000000" w:themeColor="text1"/>
        </w:rPr>
        <w:t>example of</w:t>
      </w:r>
    </w:p>
    <w:p w14:paraId="1AD4A8F3" w14:textId="77777777" w:rsidR="004F1801" w:rsidRPr="005B70F8" w:rsidRDefault="00955676" w:rsidP="00A33239">
      <w:pPr>
        <w:jc w:val="both"/>
        <w:rPr>
          <w:rFonts w:ascii="Arial" w:hAnsi="Arial" w:cs="Arial"/>
          <w:b/>
          <w:bCs/>
          <w:i/>
          <w:iCs/>
          <w:color w:val="000000" w:themeColor="text1"/>
        </w:rPr>
      </w:pPr>
      <w:r w:rsidRPr="005B70F8">
        <w:rPr>
          <w:rFonts w:ascii="Arial" w:hAnsi="Arial" w:cs="Arial"/>
          <w:b/>
          <w:bCs/>
          <w:i/>
          <w:iCs/>
          <w:color w:val="000000" w:themeColor="text1"/>
        </w:rPr>
        <w:t>Case Law of the Flexible working request/sex discrimination: Stone v Cineworld Cinemas Plc</w:t>
      </w:r>
    </w:p>
    <w:p w14:paraId="6EA66A73" w14:textId="5DAD5399" w:rsidR="00AF6AB3" w:rsidRPr="005B70F8" w:rsidRDefault="00955676" w:rsidP="004F1801">
      <w:pPr>
        <w:jc w:val="both"/>
        <w:rPr>
          <w:rFonts w:ascii="Arial" w:hAnsi="Arial" w:cs="Arial"/>
          <w:color w:val="000000" w:themeColor="text1"/>
        </w:rPr>
      </w:pPr>
      <w:r w:rsidRPr="005B70F8">
        <w:rPr>
          <w:rFonts w:ascii="Arial" w:hAnsi="Arial" w:cs="Arial"/>
          <w:color w:val="000000" w:themeColor="text1"/>
        </w:rPr>
        <w:lastRenderedPageBreak/>
        <w:t xml:space="preserve">Where a cinema employee worked various shifts between 8:30 am and 4:00 pm over a seven-day week. She submitted two flexible working requests to accommodate her childcare arrangements, both were denied. Following the rejection of her second request, she filed a claim of indirect sex discrimination under the Equality Act 2010. The employee ended up winning her claim, as whilst the employer has an aim of requiring staff to be flexible over peak periods to ensure an economic business, they were not justified in rejecting the employee’s request to work part-time in a job share. </w:t>
      </w:r>
    </w:p>
    <w:p w14:paraId="29F639EE" w14:textId="77777777" w:rsidR="00AF6AB3" w:rsidRDefault="00AF6AB3" w:rsidP="00180FFA"/>
    <w:p w14:paraId="6D487837" w14:textId="39DA8CC5" w:rsidR="00AF6AB3" w:rsidRPr="002A7CD4" w:rsidRDefault="00AF6AB3" w:rsidP="00180FFA">
      <w:pPr>
        <w:rPr>
          <w:rFonts w:ascii="Arial" w:hAnsi="Arial" w:cs="Arial"/>
          <w:b/>
          <w:bCs/>
          <w:u w:val="single"/>
        </w:rPr>
      </w:pPr>
      <w:r w:rsidRPr="002A7CD4">
        <w:rPr>
          <w:rFonts w:ascii="Arial" w:hAnsi="Arial" w:cs="Arial"/>
          <w:b/>
          <w:bCs/>
          <w:u w:val="single"/>
        </w:rPr>
        <w:t>Reference list</w:t>
      </w:r>
    </w:p>
    <w:p w14:paraId="421966E2" w14:textId="77777777" w:rsidR="00DF6BE4" w:rsidRPr="002A7CD4" w:rsidRDefault="00DF6BE4" w:rsidP="00DF6BE4">
      <w:pPr>
        <w:rPr>
          <w:rFonts w:ascii="Arial" w:hAnsi="Arial" w:cs="Arial"/>
        </w:rPr>
      </w:pPr>
      <w:bookmarkStart w:id="0" w:name="_Hlk192358847"/>
      <w:r w:rsidRPr="002A7CD4">
        <w:rPr>
          <w:rFonts w:ascii="Arial" w:hAnsi="Arial" w:cs="Arial"/>
        </w:rPr>
        <w:t>ACAS, n.d. “Constructive dismissal – Dismissals”. [online] Available at: https://www.acas.org.uk/constructive-dismissal [Accessed 8 March 2025].</w:t>
      </w:r>
    </w:p>
    <w:p w14:paraId="638CCB7C" w14:textId="77777777" w:rsidR="00DF6BE4" w:rsidRPr="002A7CD4" w:rsidRDefault="00DF6BE4" w:rsidP="00DF6BE4">
      <w:pPr>
        <w:rPr>
          <w:rFonts w:ascii="Arial" w:hAnsi="Arial" w:cs="Arial"/>
        </w:rPr>
      </w:pPr>
      <w:r w:rsidRPr="002A7CD4">
        <w:rPr>
          <w:rFonts w:ascii="Arial" w:hAnsi="Arial" w:cs="Arial"/>
        </w:rPr>
        <w:t>ACAS, n.d. “Understanding the Working Time Regulations - Working time rules”. [online] Available at: https://www.acas.org.uk/working-time-regulations [Accessed 8 March 2025].</w:t>
      </w:r>
    </w:p>
    <w:p w14:paraId="2B6736A7" w14:textId="77777777" w:rsidR="00DF6BE4" w:rsidRPr="002A7CD4" w:rsidRDefault="00DF6BE4" w:rsidP="00DF6BE4">
      <w:pPr>
        <w:rPr>
          <w:rFonts w:ascii="Arial" w:hAnsi="Arial" w:cs="Arial"/>
        </w:rPr>
      </w:pPr>
      <w:r w:rsidRPr="002A7CD4">
        <w:rPr>
          <w:rFonts w:ascii="Arial" w:hAnsi="Arial" w:cs="Arial"/>
        </w:rPr>
        <w:t>ACAS, n.d. “How much holiday someone gets - Holiday entitlement”. [online] Available at: https://www.acas.org.uk/holiday-entitlement [Accessed 8 March 2025].</w:t>
      </w:r>
    </w:p>
    <w:p w14:paraId="31A88002" w14:textId="77777777" w:rsidR="00DF6BE4" w:rsidRPr="002A7CD4" w:rsidRDefault="00DF6BE4" w:rsidP="00DF6BE4">
      <w:pPr>
        <w:rPr>
          <w:rFonts w:ascii="Arial" w:hAnsi="Arial" w:cs="Arial"/>
        </w:rPr>
      </w:pPr>
      <w:r w:rsidRPr="002A7CD4">
        <w:rPr>
          <w:rFonts w:ascii="Arial" w:hAnsi="Arial" w:cs="Arial"/>
        </w:rPr>
        <w:t>ACAs, n.d. “Rolled-up holiday pay - Irregular hours and part-year workers”. [online] Available at: https://www.acas.org.uk/rolled-up-holiday-pay [Accessed 8 March 2025].</w:t>
      </w:r>
    </w:p>
    <w:p w14:paraId="28439050" w14:textId="77777777" w:rsidR="00DF6BE4" w:rsidRPr="002A7CD4" w:rsidRDefault="00DF6BE4" w:rsidP="00DF6BE4">
      <w:pPr>
        <w:rPr>
          <w:rFonts w:ascii="Arial" w:hAnsi="Arial" w:cs="Arial"/>
        </w:rPr>
      </w:pPr>
      <w:r w:rsidRPr="002A7CD4">
        <w:rPr>
          <w:rFonts w:ascii="Arial" w:hAnsi="Arial" w:cs="Arial"/>
        </w:rPr>
        <w:t>ACAS, n.d. “Checking your rights - Maternity leave and pay”. [online] Available at: https://www.acas.org.uk/maternity-leave-pay [Accessed 8 March 2025].</w:t>
      </w:r>
    </w:p>
    <w:p w14:paraId="430420C2" w14:textId="77777777" w:rsidR="00DF6BE4" w:rsidRDefault="00DF6BE4" w:rsidP="00DF6BE4">
      <w:pPr>
        <w:rPr>
          <w:rFonts w:ascii="Arial" w:hAnsi="Arial" w:cs="Arial"/>
        </w:rPr>
      </w:pPr>
      <w:r w:rsidRPr="002A7CD4">
        <w:rPr>
          <w:rFonts w:ascii="Arial" w:hAnsi="Arial" w:cs="Arial"/>
        </w:rPr>
        <w:t>ACAS, n.d. “Flexible working”. [online] Available at: https://www.acas.org.uk/flexible-working [Accessed 8 March 2025].</w:t>
      </w:r>
    </w:p>
    <w:p w14:paraId="35584C3E" w14:textId="783F5AB8" w:rsidR="00C23CED" w:rsidRPr="002A7CD4" w:rsidRDefault="00C23CED" w:rsidP="00DF6BE4">
      <w:pPr>
        <w:rPr>
          <w:rFonts w:ascii="Arial" w:hAnsi="Arial" w:cs="Arial"/>
        </w:rPr>
      </w:pPr>
      <w:r>
        <w:rPr>
          <w:rFonts w:ascii="Arial" w:hAnsi="Arial" w:cs="Arial"/>
        </w:rPr>
        <w:t>ACAS, n.d “Your rights during redundancy</w:t>
      </w:r>
      <w:r>
        <w:t>”</w:t>
      </w:r>
      <w:r w:rsidR="009067BB">
        <w:t xml:space="preserve">. [online] Available at: </w:t>
      </w:r>
      <w:r w:rsidR="009067BB" w:rsidRPr="009067BB">
        <w:t>https://www.acas.org.uk/your-rights-during-redundancy/how-your-employer-must-consult-you</w:t>
      </w:r>
      <w:r w:rsidR="009067BB">
        <w:t xml:space="preserve"> [Accessed 15 March 2025]</w:t>
      </w:r>
    </w:p>
    <w:p w14:paraId="10698833" w14:textId="77777777" w:rsidR="00DF6BE4" w:rsidRPr="002A7CD4" w:rsidRDefault="00DF6BE4" w:rsidP="00DF6BE4">
      <w:pPr>
        <w:rPr>
          <w:rFonts w:ascii="Arial" w:hAnsi="Arial" w:cs="Arial"/>
        </w:rPr>
      </w:pPr>
      <w:r w:rsidRPr="002A7CD4">
        <w:rPr>
          <w:rFonts w:ascii="Arial" w:hAnsi="Arial" w:cs="Arial"/>
        </w:rPr>
        <w:t>BBC News, (2019) “Samira Ahmed wins BBC equal pay tribunal”. [online] Available at: https://www.bbc.co.uk/news/entertainment-arts-50599080 [Accessed 8 March 2025].</w:t>
      </w:r>
    </w:p>
    <w:p w14:paraId="3B9AB836" w14:textId="77777777" w:rsidR="00DF6BE4" w:rsidRPr="002A7CD4" w:rsidRDefault="00DF6BE4" w:rsidP="00DF6BE4">
      <w:pPr>
        <w:rPr>
          <w:rFonts w:ascii="Arial" w:hAnsi="Arial" w:cs="Arial"/>
        </w:rPr>
      </w:pPr>
      <w:r w:rsidRPr="002A7CD4">
        <w:rPr>
          <w:rFonts w:ascii="Arial" w:hAnsi="Arial" w:cs="Arial"/>
        </w:rPr>
        <w:t>Beattie, A., (2022). Constructive Dismissal Examples. [online] Available at: https://croner.co.uk/resources/end-of-contract/dismissal/constructive-dismissal/examples/ [Accessed 8 March 2025].</w:t>
      </w:r>
    </w:p>
    <w:p w14:paraId="5B3A0607" w14:textId="482C3627" w:rsidR="00DF6BE4" w:rsidRPr="002A7CD4" w:rsidRDefault="00DF6BE4" w:rsidP="00DF6BE4">
      <w:pPr>
        <w:rPr>
          <w:rFonts w:ascii="Arial" w:hAnsi="Arial" w:cs="Arial"/>
        </w:rPr>
      </w:pPr>
      <w:proofErr w:type="spellStart"/>
      <w:r w:rsidRPr="002A7CD4">
        <w:rPr>
          <w:rFonts w:ascii="Arial" w:hAnsi="Arial" w:cs="Arial"/>
        </w:rPr>
        <w:t>Brightmine</w:t>
      </w:r>
      <w:proofErr w:type="spellEnd"/>
      <w:r w:rsidRPr="002A7CD4">
        <w:rPr>
          <w:rFonts w:ascii="Arial" w:hAnsi="Arial" w:cs="Arial"/>
        </w:rPr>
        <w:t>, n.d. TUPE compliance guide. [online] Available at: https://www.brightmine.com/tupe-compliance-guide [Accessed 8 March 2025].</w:t>
      </w:r>
    </w:p>
    <w:p w14:paraId="5C062E88" w14:textId="77777777" w:rsidR="00DF6BE4" w:rsidRPr="002A7CD4" w:rsidRDefault="00DF6BE4" w:rsidP="00DF6BE4">
      <w:pPr>
        <w:rPr>
          <w:rFonts w:ascii="Arial" w:hAnsi="Arial" w:cs="Arial"/>
        </w:rPr>
      </w:pPr>
      <w:r w:rsidRPr="002A7CD4">
        <w:rPr>
          <w:rFonts w:ascii="Arial" w:hAnsi="Arial" w:cs="Arial"/>
        </w:rPr>
        <w:t>CIPD, 2023. An estimated 4 million UK employees have changed careers due to a lack of flexibility at work. [online] Available at: https://www.cipd.org/knowledge/factsheets/flexible-working [Accessed 8 March 2025].</w:t>
      </w:r>
    </w:p>
    <w:p w14:paraId="4607886E" w14:textId="77777777" w:rsidR="00DF6BE4" w:rsidRPr="002A7CD4" w:rsidRDefault="00DF6BE4" w:rsidP="00DF6BE4">
      <w:pPr>
        <w:rPr>
          <w:rFonts w:ascii="Arial" w:hAnsi="Arial" w:cs="Arial"/>
        </w:rPr>
      </w:pPr>
      <w:r w:rsidRPr="002A7CD4">
        <w:rPr>
          <w:rFonts w:ascii="Arial" w:hAnsi="Arial" w:cs="Arial"/>
        </w:rPr>
        <w:t>CIPD, (2024) “Equal pay: UK employment law”. [online] Available at: https://www.cipd.org/uk/knowledge/employment-law/equal-pay/ [Accessed 8 March 2025].</w:t>
      </w:r>
    </w:p>
    <w:p w14:paraId="2A09BC3A" w14:textId="77777777" w:rsidR="00DF6BE4" w:rsidRPr="002A7CD4" w:rsidRDefault="00DF6BE4" w:rsidP="00DF6BE4">
      <w:pPr>
        <w:rPr>
          <w:rFonts w:ascii="Arial" w:hAnsi="Arial" w:cs="Arial"/>
        </w:rPr>
      </w:pPr>
      <w:r w:rsidRPr="002A7CD4">
        <w:rPr>
          <w:rFonts w:ascii="Arial" w:hAnsi="Arial" w:cs="Arial"/>
        </w:rPr>
        <w:t>CIPD, 2024a Flexible and hybrid working: UK employment law. [online] Available at: https://www.cipd.org/knowledge/employment-law/flexible-hybrid-working [Accessed 8 March 2025].</w:t>
      </w:r>
    </w:p>
    <w:p w14:paraId="5286D5DC" w14:textId="77777777" w:rsidR="00DF6BE4" w:rsidRPr="002A7CD4" w:rsidRDefault="00DF6BE4" w:rsidP="00DF6BE4">
      <w:pPr>
        <w:rPr>
          <w:rFonts w:ascii="Arial" w:hAnsi="Arial" w:cs="Arial"/>
        </w:rPr>
      </w:pPr>
      <w:r w:rsidRPr="002A7CD4">
        <w:rPr>
          <w:rFonts w:ascii="Arial" w:hAnsi="Arial" w:cs="Arial"/>
        </w:rPr>
        <w:lastRenderedPageBreak/>
        <w:t>CIPD, (2024b). Maternity, paternity, shared parental and adoption leave and pay: UK employment law. [online] Available at: https://www.cipd.org/knowledge/employment-law/maternity-paternity-shared-parental-adoption-leave-pay [Accessed 8 March 2025].</w:t>
      </w:r>
    </w:p>
    <w:p w14:paraId="19C73C21" w14:textId="77777777" w:rsidR="00DF6BE4" w:rsidRPr="002A7CD4" w:rsidRDefault="00DF6BE4" w:rsidP="00DF6BE4">
      <w:pPr>
        <w:rPr>
          <w:rFonts w:ascii="Arial" w:hAnsi="Arial" w:cs="Arial"/>
        </w:rPr>
      </w:pPr>
      <w:r w:rsidRPr="002A7CD4">
        <w:rPr>
          <w:rFonts w:ascii="Arial" w:hAnsi="Arial" w:cs="Arial"/>
        </w:rPr>
        <w:t>CIPD, (2024c). Working time: UK employment law. [online] Available at: https://www.cipd.org/knowledge/employment-law/working-time [Accessed 8 March 2025].</w:t>
      </w:r>
    </w:p>
    <w:p w14:paraId="0B5A8459" w14:textId="77777777" w:rsidR="00DF6BE4" w:rsidRPr="002A7CD4" w:rsidRDefault="00DF6BE4" w:rsidP="00DF6BE4">
      <w:pPr>
        <w:rPr>
          <w:rFonts w:ascii="Arial" w:hAnsi="Arial" w:cs="Arial"/>
        </w:rPr>
      </w:pPr>
      <w:r w:rsidRPr="002A7CD4">
        <w:rPr>
          <w:rFonts w:ascii="Arial" w:hAnsi="Arial" w:cs="Arial"/>
        </w:rPr>
        <w:t>CIPD, (2024d). TUPE (Transfer of undertakings): An introduction | Factsheets. [online] Available at: https://www.cipd.org/knowledge/factsheets/tupe-introduction [Accessed 8 March 2025].</w:t>
      </w:r>
    </w:p>
    <w:p w14:paraId="69C3C9E3" w14:textId="1BBBEB87" w:rsidR="002A7CD4" w:rsidRDefault="002A7CD4" w:rsidP="00DF6BE4">
      <w:pPr>
        <w:rPr>
          <w:rFonts w:ascii="Arial" w:hAnsi="Arial" w:cs="Arial"/>
        </w:rPr>
      </w:pPr>
      <w:r w:rsidRPr="002A7CD4">
        <w:rPr>
          <w:rFonts w:ascii="Arial" w:hAnsi="Arial" w:cs="Arial"/>
        </w:rPr>
        <w:t>CIPD, (2024e). Redundancy | Factsheets. [online] Available at: https://www.cipd.org/knowledge/factsheets/redundancy [Accessed 8 March 2025].</w:t>
      </w:r>
    </w:p>
    <w:p w14:paraId="0DB5BAC2" w14:textId="10F7C93D" w:rsidR="00DF6BE4" w:rsidRDefault="00DF6BE4" w:rsidP="00DF6BE4">
      <w:pPr>
        <w:rPr>
          <w:rFonts w:ascii="Arial" w:hAnsi="Arial" w:cs="Arial"/>
        </w:rPr>
      </w:pPr>
      <w:r w:rsidRPr="002A7CD4">
        <w:rPr>
          <w:rFonts w:ascii="Arial" w:hAnsi="Arial" w:cs="Arial"/>
        </w:rPr>
        <w:t>CIPD, (2025) “Employers need clarity and support on Employment Rights Bill, as CIPD data reveals risk of job losses”. [online] Available at: https://www.cipd.org/en/about/news/employers-need-clarity-support-employment-rights-bill-cipd-data-reveals-risk-job-losses/ [Accessed 8 March 2025].</w:t>
      </w:r>
    </w:p>
    <w:p w14:paraId="0F3F6BBA" w14:textId="195B7826" w:rsidR="007D5C9B" w:rsidRDefault="007D5C9B" w:rsidP="00DF6BE4">
      <w:pPr>
        <w:rPr>
          <w:rFonts w:ascii="Arial" w:hAnsi="Arial" w:cs="Arial"/>
        </w:rPr>
      </w:pPr>
      <w:r w:rsidRPr="007D5C9B">
        <w:rPr>
          <w:rFonts w:ascii="Arial" w:hAnsi="Arial" w:cs="Arial"/>
        </w:rPr>
        <w:t xml:space="preserve">CIPD, </w:t>
      </w:r>
      <w:r>
        <w:rPr>
          <w:rFonts w:ascii="Arial" w:hAnsi="Arial" w:cs="Arial"/>
        </w:rPr>
        <w:t>(</w:t>
      </w:r>
      <w:r w:rsidRPr="007D5C9B">
        <w:rPr>
          <w:rFonts w:ascii="Arial" w:hAnsi="Arial" w:cs="Arial"/>
        </w:rPr>
        <w:t>2025</w:t>
      </w:r>
      <w:r>
        <w:rPr>
          <w:rFonts w:ascii="Arial" w:hAnsi="Arial" w:cs="Arial"/>
        </w:rPr>
        <w:t>a)</w:t>
      </w:r>
      <w:r w:rsidRPr="007D5C9B">
        <w:rPr>
          <w:rFonts w:ascii="Arial" w:hAnsi="Arial" w:cs="Arial"/>
        </w:rPr>
        <w:t xml:space="preserve">. </w:t>
      </w:r>
      <w:r w:rsidRPr="007D5C9B">
        <w:rPr>
          <w:rFonts w:ascii="Arial" w:hAnsi="Arial" w:cs="Arial"/>
          <w:i/>
          <w:iCs/>
        </w:rPr>
        <w:t>UK employment law and the EU</w:t>
      </w:r>
      <w:r w:rsidRPr="007D5C9B">
        <w:rPr>
          <w:rFonts w:ascii="Arial" w:hAnsi="Arial" w:cs="Arial"/>
        </w:rPr>
        <w:t>. [online] Available at: https://www.cipd.org/uk/knowledge/employment-law/uk-employment-law-eu/ [Accessed 15 March 2025].</w:t>
      </w:r>
    </w:p>
    <w:p w14:paraId="12187F73" w14:textId="3BD095D6" w:rsidR="004F1801" w:rsidRPr="002A7CD4" w:rsidRDefault="004F1801" w:rsidP="00DF6BE4">
      <w:pPr>
        <w:rPr>
          <w:rFonts w:ascii="Arial" w:hAnsi="Arial" w:cs="Arial"/>
        </w:rPr>
      </w:pPr>
      <w:r w:rsidRPr="004F1801">
        <w:rPr>
          <w:rFonts w:ascii="Arial" w:hAnsi="Arial" w:cs="Arial"/>
        </w:rPr>
        <w:t>Daniels, K., 2024. </w:t>
      </w:r>
      <w:r w:rsidRPr="004F1801">
        <w:rPr>
          <w:rFonts w:ascii="Arial" w:hAnsi="Arial" w:cs="Arial"/>
          <w:i/>
          <w:iCs/>
        </w:rPr>
        <w:t>Introduction to Employment Law: Fundamentals for HR and Business Students</w:t>
      </w:r>
      <w:r w:rsidRPr="004F1801">
        <w:rPr>
          <w:rFonts w:ascii="Arial" w:hAnsi="Arial" w:cs="Arial"/>
        </w:rPr>
        <w:t>. Kogan Page Publishers.</w:t>
      </w:r>
    </w:p>
    <w:p w14:paraId="0FCA5E06" w14:textId="77777777" w:rsidR="00DF6BE4" w:rsidRPr="002A7CD4" w:rsidRDefault="00DF6BE4" w:rsidP="00DF6BE4">
      <w:pPr>
        <w:rPr>
          <w:rFonts w:ascii="Arial" w:hAnsi="Arial" w:cs="Arial"/>
        </w:rPr>
      </w:pPr>
      <w:r w:rsidRPr="002A7CD4">
        <w:rPr>
          <w:rFonts w:ascii="Arial" w:hAnsi="Arial" w:cs="Arial"/>
        </w:rPr>
        <w:t>GOV.UK, n.d. Redundancy: your rights: Overview. [online] Available at: https://www.gov.uk/redundancy-your-rights [Accessed 8 March 2025].</w:t>
      </w:r>
    </w:p>
    <w:p w14:paraId="6185D2D6" w14:textId="77777777" w:rsidR="00DF6BE4" w:rsidRPr="002A7CD4" w:rsidRDefault="00DF6BE4" w:rsidP="00DF6BE4">
      <w:pPr>
        <w:rPr>
          <w:rFonts w:ascii="Arial" w:hAnsi="Arial" w:cs="Arial"/>
        </w:rPr>
      </w:pPr>
      <w:r w:rsidRPr="002A7CD4">
        <w:rPr>
          <w:rFonts w:ascii="Arial" w:hAnsi="Arial" w:cs="Arial"/>
        </w:rPr>
        <w:t>GOV.UK, n.d. Statutory Maternity Pay tables 2025. [online] Available at: https://www.gov.uk/statutory-maternity-pay-tables-2025 [Accessed 8 March 2025].</w:t>
      </w:r>
    </w:p>
    <w:p w14:paraId="65F64098" w14:textId="77777777" w:rsidR="00DF6BE4" w:rsidRPr="002A7CD4" w:rsidRDefault="00DF6BE4" w:rsidP="00DF6BE4">
      <w:pPr>
        <w:rPr>
          <w:rFonts w:ascii="Arial" w:hAnsi="Arial" w:cs="Arial"/>
        </w:rPr>
      </w:pPr>
      <w:r w:rsidRPr="002A7CD4">
        <w:rPr>
          <w:rFonts w:ascii="Arial" w:hAnsi="Arial" w:cs="Arial"/>
        </w:rPr>
        <w:t>GOV.UK, n.d. Flexible working: Overview. [online] Available at: https://www.gov.uk/flexible-working [Accessed 8 March 2025].</w:t>
      </w:r>
    </w:p>
    <w:p w14:paraId="3318F3CA" w14:textId="77777777" w:rsidR="00DF6BE4" w:rsidRPr="002A7CD4" w:rsidRDefault="00DF6BE4" w:rsidP="00DF6BE4">
      <w:pPr>
        <w:rPr>
          <w:rFonts w:ascii="Arial" w:hAnsi="Arial" w:cs="Arial"/>
        </w:rPr>
      </w:pPr>
      <w:r w:rsidRPr="002A7CD4">
        <w:rPr>
          <w:rFonts w:ascii="Arial" w:hAnsi="Arial" w:cs="Arial"/>
        </w:rPr>
        <w:t xml:space="preserve">Harvard Law Review, (2014). “Google Spain SL v. </w:t>
      </w:r>
      <w:proofErr w:type="spellStart"/>
      <w:r w:rsidRPr="002A7CD4">
        <w:rPr>
          <w:rFonts w:ascii="Arial" w:hAnsi="Arial" w:cs="Arial"/>
        </w:rPr>
        <w:t>Agencia</w:t>
      </w:r>
      <w:proofErr w:type="spellEnd"/>
      <w:r w:rsidRPr="002A7CD4">
        <w:rPr>
          <w:rFonts w:ascii="Arial" w:hAnsi="Arial" w:cs="Arial"/>
        </w:rPr>
        <w:t xml:space="preserve"> Española de </w:t>
      </w:r>
      <w:proofErr w:type="spellStart"/>
      <w:r w:rsidRPr="002A7CD4">
        <w:rPr>
          <w:rFonts w:ascii="Arial" w:hAnsi="Arial" w:cs="Arial"/>
        </w:rPr>
        <w:t>Protección</w:t>
      </w:r>
      <w:proofErr w:type="spellEnd"/>
      <w:r w:rsidRPr="002A7CD4">
        <w:rPr>
          <w:rFonts w:ascii="Arial" w:hAnsi="Arial" w:cs="Arial"/>
        </w:rPr>
        <w:t xml:space="preserve"> de Datos”. Volume 128, Issue 2, December 2014. Court of Justice of the European Union Creates Presumption that Google Must Remove Links to Personal Data upon Request. [online] Available at: https://harvardlawreview.org/print/vol-128/google-spain-sl-v-agencia-espanola-de-proteccion-de-datos/#footnote-8 [Accessed 8 March 2025].</w:t>
      </w:r>
    </w:p>
    <w:p w14:paraId="5F4D6DCA" w14:textId="77777777" w:rsidR="00DF6BE4" w:rsidRPr="002A7CD4" w:rsidRDefault="00DF6BE4" w:rsidP="00DF6BE4">
      <w:pPr>
        <w:rPr>
          <w:rFonts w:ascii="Arial" w:hAnsi="Arial" w:cs="Arial"/>
        </w:rPr>
      </w:pPr>
      <w:proofErr w:type="spellStart"/>
      <w:r w:rsidRPr="002A7CD4">
        <w:rPr>
          <w:rFonts w:ascii="Arial" w:hAnsi="Arial" w:cs="Arial"/>
        </w:rPr>
        <w:t>Malleson</w:t>
      </w:r>
      <w:proofErr w:type="spellEnd"/>
      <w:r w:rsidRPr="002A7CD4">
        <w:rPr>
          <w:rFonts w:ascii="Arial" w:hAnsi="Arial" w:cs="Arial"/>
        </w:rPr>
        <w:t>, K., (2018). Equality Law and the Protected Characteristics. The Modern Law Review, 81(4), pp.598-621. [online] Available at: https://doi.org/10.1111/1468-2230.12353 [Accessed 8 March 2025].</w:t>
      </w:r>
    </w:p>
    <w:p w14:paraId="3879BD51" w14:textId="77777777" w:rsidR="00DF6BE4" w:rsidRPr="002A7CD4" w:rsidRDefault="00DF6BE4" w:rsidP="00DF6BE4">
      <w:pPr>
        <w:rPr>
          <w:rFonts w:ascii="Arial" w:hAnsi="Arial" w:cs="Arial"/>
        </w:rPr>
      </w:pPr>
      <w:r w:rsidRPr="002A7CD4">
        <w:rPr>
          <w:rFonts w:ascii="Arial" w:hAnsi="Arial" w:cs="Arial"/>
        </w:rPr>
        <w:t>The Working Time Regulations 1998. [online] Available at: https://www.legislation.gov.uk/uksi/1998/1833/contents/made [Accessed 8 March 2025].</w:t>
      </w:r>
    </w:p>
    <w:bookmarkEnd w:id="0"/>
    <w:p w14:paraId="64521EC4" w14:textId="77777777" w:rsidR="007133A1" w:rsidRPr="007133A1" w:rsidRDefault="007133A1" w:rsidP="007133A1">
      <w:pPr>
        <w:rPr>
          <w:rFonts w:ascii="Arial" w:hAnsi="Arial" w:cs="Arial"/>
          <w:sz w:val="24"/>
          <w:szCs w:val="24"/>
        </w:rPr>
      </w:pPr>
    </w:p>
    <w:sectPr w:rsidR="007133A1" w:rsidRPr="007133A1" w:rsidSect="00930BE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29488" w14:textId="77777777" w:rsidR="001523C6" w:rsidRDefault="001523C6" w:rsidP="00180FFA">
      <w:pPr>
        <w:spacing w:after="0" w:line="240" w:lineRule="auto"/>
      </w:pPr>
      <w:r>
        <w:separator/>
      </w:r>
    </w:p>
  </w:endnote>
  <w:endnote w:type="continuationSeparator" w:id="0">
    <w:p w14:paraId="5DF61EA1" w14:textId="77777777" w:rsidR="001523C6" w:rsidRDefault="001523C6" w:rsidP="00180F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2D6BA8" w14:textId="77777777" w:rsidR="001523C6" w:rsidRDefault="001523C6" w:rsidP="00180FFA">
      <w:pPr>
        <w:spacing w:after="0" w:line="240" w:lineRule="auto"/>
      </w:pPr>
      <w:r>
        <w:separator/>
      </w:r>
    </w:p>
  </w:footnote>
  <w:footnote w:type="continuationSeparator" w:id="0">
    <w:p w14:paraId="0231D43A" w14:textId="77777777" w:rsidR="001523C6" w:rsidRDefault="001523C6" w:rsidP="00180F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A24"/>
    <w:multiLevelType w:val="multilevel"/>
    <w:tmpl w:val="CA76C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7D2A7A"/>
    <w:multiLevelType w:val="multilevel"/>
    <w:tmpl w:val="A98E3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A216A9"/>
    <w:multiLevelType w:val="multilevel"/>
    <w:tmpl w:val="1FE62A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EB320A"/>
    <w:multiLevelType w:val="multilevel"/>
    <w:tmpl w:val="CC2C3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927C2D"/>
    <w:multiLevelType w:val="multilevel"/>
    <w:tmpl w:val="1C04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A06A6C"/>
    <w:multiLevelType w:val="multilevel"/>
    <w:tmpl w:val="F2E03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E7087F"/>
    <w:multiLevelType w:val="multilevel"/>
    <w:tmpl w:val="54C44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B62A4D"/>
    <w:multiLevelType w:val="multilevel"/>
    <w:tmpl w:val="1F72D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1C73F3E"/>
    <w:multiLevelType w:val="multilevel"/>
    <w:tmpl w:val="EB7A4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376821"/>
    <w:multiLevelType w:val="multilevel"/>
    <w:tmpl w:val="30FEF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7572D00"/>
    <w:multiLevelType w:val="multilevel"/>
    <w:tmpl w:val="04801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D45168"/>
    <w:multiLevelType w:val="multilevel"/>
    <w:tmpl w:val="79FAD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0004713"/>
    <w:multiLevelType w:val="multilevel"/>
    <w:tmpl w:val="B93A5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A36D18"/>
    <w:multiLevelType w:val="multilevel"/>
    <w:tmpl w:val="18EC5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87104A"/>
    <w:multiLevelType w:val="multilevel"/>
    <w:tmpl w:val="2BF6D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A57EA7"/>
    <w:multiLevelType w:val="multilevel"/>
    <w:tmpl w:val="62E422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067AE6"/>
    <w:multiLevelType w:val="multilevel"/>
    <w:tmpl w:val="51D0E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56141B"/>
    <w:multiLevelType w:val="multilevel"/>
    <w:tmpl w:val="E74CF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892B97"/>
    <w:multiLevelType w:val="multilevel"/>
    <w:tmpl w:val="FC783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B715AA"/>
    <w:multiLevelType w:val="hybridMultilevel"/>
    <w:tmpl w:val="8486A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2E70D5"/>
    <w:multiLevelType w:val="multilevel"/>
    <w:tmpl w:val="BC70B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AF86A32"/>
    <w:multiLevelType w:val="multilevel"/>
    <w:tmpl w:val="B07E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42402C"/>
    <w:multiLevelType w:val="multilevel"/>
    <w:tmpl w:val="1C24E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B32C36"/>
    <w:multiLevelType w:val="multilevel"/>
    <w:tmpl w:val="A836A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263081F"/>
    <w:multiLevelType w:val="multilevel"/>
    <w:tmpl w:val="5ECC4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2D6713"/>
    <w:multiLevelType w:val="hybridMultilevel"/>
    <w:tmpl w:val="23F4C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6C42053"/>
    <w:multiLevelType w:val="multilevel"/>
    <w:tmpl w:val="864EE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EB039B"/>
    <w:multiLevelType w:val="multilevel"/>
    <w:tmpl w:val="143A6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100495"/>
    <w:multiLevelType w:val="multilevel"/>
    <w:tmpl w:val="000AB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DE1749E"/>
    <w:multiLevelType w:val="multilevel"/>
    <w:tmpl w:val="44864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B4079"/>
    <w:multiLevelType w:val="multilevel"/>
    <w:tmpl w:val="3F32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C27ADB"/>
    <w:multiLevelType w:val="multilevel"/>
    <w:tmpl w:val="CF20A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D42EA1"/>
    <w:multiLevelType w:val="multilevel"/>
    <w:tmpl w:val="3D649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D183307"/>
    <w:multiLevelType w:val="multilevel"/>
    <w:tmpl w:val="897CD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441B0C"/>
    <w:multiLevelType w:val="multilevel"/>
    <w:tmpl w:val="AF82BF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7952B9"/>
    <w:multiLevelType w:val="multilevel"/>
    <w:tmpl w:val="8E8C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817B92"/>
    <w:multiLevelType w:val="multilevel"/>
    <w:tmpl w:val="CCDA6D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00535F"/>
    <w:multiLevelType w:val="multilevel"/>
    <w:tmpl w:val="4A1C6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E974CF"/>
    <w:multiLevelType w:val="multilevel"/>
    <w:tmpl w:val="10B41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01172807">
    <w:abstractNumId w:val="38"/>
  </w:num>
  <w:num w:numId="2" w16cid:durableId="2099516240">
    <w:abstractNumId w:val="20"/>
  </w:num>
  <w:num w:numId="3" w16cid:durableId="889264554">
    <w:abstractNumId w:val="0"/>
  </w:num>
  <w:num w:numId="4" w16cid:durableId="1044872536">
    <w:abstractNumId w:val="13"/>
  </w:num>
  <w:num w:numId="5" w16cid:durableId="847713750">
    <w:abstractNumId w:val="15"/>
  </w:num>
  <w:num w:numId="6" w16cid:durableId="636106002">
    <w:abstractNumId w:val="36"/>
  </w:num>
  <w:num w:numId="7" w16cid:durableId="641081003">
    <w:abstractNumId w:val="4"/>
  </w:num>
  <w:num w:numId="8" w16cid:durableId="372075584">
    <w:abstractNumId w:val="28"/>
  </w:num>
  <w:num w:numId="9" w16cid:durableId="233004926">
    <w:abstractNumId w:val="19"/>
  </w:num>
  <w:num w:numId="10" w16cid:durableId="1048840096">
    <w:abstractNumId w:val="25"/>
  </w:num>
  <w:num w:numId="11" w16cid:durableId="649947264">
    <w:abstractNumId w:val="22"/>
  </w:num>
  <w:num w:numId="12" w16cid:durableId="19012591">
    <w:abstractNumId w:val="2"/>
  </w:num>
  <w:num w:numId="13" w16cid:durableId="1145273528">
    <w:abstractNumId w:val="10"/>
  </w:num>
  <w:num w:numId="14" w16cid:durableId="2103528924">
    <w:abstractNumId w:val="24"/>
  </w:num>
  <w:num w:numId="15" w16cid:durableId="697001505">
    <w:abstractNumId w:val="14"/>
  </w:num>
  <w:num w:numId="16" w16cid:durableId="2138135640">
    <w:abstractNumId w:val="26"/>
  </w:num>
  <w:num w:numId="17" w16cid:durableId="2092315281">
    <w:abstractNumId w:val="30"/>
  </w:num>
  <w:num w:numId="18" w16cid:durableId="1363818861">
    <w:abstractNumId w:val="1"/>
  </w:num>
  <w:num w:numId="19" w16cid:durableId="808598508">
    <w:abstractNumId w:val="21"/>
  </w:num>
  <w:num w:numId="20" w16cid:durableId="1196499445">
    <w:abstractNumId w:val="12"/>
  </w:num>
  <w:num w:numId="21" w16cid:durableId="812142969">
    <w:abstractNumId w:val="33"/>
  </w:num>
  <w:num w:numId="22" w16cid:durableId="2015916300">
    <w:abstractNumId w:val="31"/>
  </w:num>
  <w:num w:numId="23" w16cid:durableId="854684925">
    <w:abstractNumId w:val="23"/>
  </w:num>
  <w:num w:numId="24" w16cid:durableId="1124420117">
    <w:abstractNumId w:val="5"/>
  </w:num>
  <w:num w:numId="25" w16cid:durableId="376125007">
    <w:abstractNumId w:val="37"/>
  </w:num>
  <w:num w:numId="26" w16cid:durableId="296230764">
    <w:abstractNumId w:val="32"/>
  </w:num>
  <w:num w:numId="27" w16cid:durableId="97145437">
    <w:abstractNumId w:val="11"/>
  </w:num>
  <w:num w:numId="28" w16cid:durableId="182401612">
    <w:abstractNumId w:val="7"/>
  </w:num>
  <w:num w:numId="29" w16cid:durableId="1916357227">
    <w:abstractNumId w:val="3"/>
  </w:num>
  <w:num w:numId="30" w16cid:durableId="544487248">
    <w:abstractNumId w:val="8"/>
  </w:num>
  <w:num w:numId="31" w16cid:durableId="2066365180">
    <w:abstractNumId w:val="27"/>
  </w:num>
  <w:num w:numId="32" w16cid:durableId="133720881">
    <w:abstractNumId w:val="9"/>
  </w:num>
  <w:num w:numId="33" w16cid:durableId="1788498989">
    <w:abstractNumId w:val="29"/>
  </w:num>
  <w:num w:numId="34" w16cid:durableId="2086415045">
    <w:abstractNumId w:val="35"/>
  </w:num>
  <w:num w:numId="35" w16cid:durableId="1256206723">
    <w:abstractNumId w:val="17"/>
  </w:num>
  <w:num w:numId="36" w16cid:durableId="125782014">
    <w:abstractNumId w:val="18"/>
  </w:num>
  <w:num w:numId="37" w16cid:durableId="559901221">
    <w:abstractNumId w:val="16"/>
  </w:num>
  <w:num w:numId="38" w16cid:durableId="1408577748">
    <w:abstractNumId w:val="34"/>
  </w:num>
  <w:num w:numId="39" w16cid:durableId="9452370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CF5"/>
    <w:rsid w:val="000047D0"/>
    <w:rsid w:val="00057CF5"/>
    <w:rsid w:val="000B3E7A"/>
    <w:rsid w:val="000B4A2E"/>
    <w:rsid w:val="000E55CE"/>
    <w:rsid w:val="001523C6"/>
    <w:rsid w:val="001808B9"/>
    <w:rsid w:val="00180FFA"/>
    <w:rsid w:val="001A6422"/>
    <w:rsid w:val="001B59D5"/>
    <w:rsid w:val="001F4737"/>
    <w:rsid w:val="00212A5D"/>
    <w:rsid w:val="00230EB1"/>
    <w:rsid w:val="00250DAE"/>
    <w:rsid w:val="00265EA1"/>
    <w:rsid w:val="002A7CD4"/>
    <w:rsid w:val="002D17DF"/>
    <w:rsid w:val="0033309C"/>
    <w:rsid w:val="00370AED"/>
    <w:rsid w:val="00386249"/>
    <w:rsid w:val="003B16FC"/>
    <w:rsid w:val="003F17F6"/>
    <w:rsid w:val="00412629"/>
    <w:rsid w:val="004C180E"/>
    <w:rsid w:val="004D1630"/>
    <w:rsid w:val="004E790C"/>
    <w:rsid w:val="004F1801"/>
    <w:rsid w:val="005576D2"/>
    <w:rsid w:val="00562321"/>
    <w:rsid w:val="00590B50"/>
    <w:rsid w:val="005A1533"/>
    <w:rsid w:val="005B61D6"/>
    <w:rsid w:val="005B70F8"/>
    <w:rsid w:val="00642FDD"/>
    <w:rsid w:val="00683B6C"/>
    <w:rsid w:val="006F269E"/>
    <w:rsid w:val="00711C10"/>
    <w:rsid w:val="007133A1"/>
    <w:rsid w:val="00731FFC"/>
    <w:rsid w:val="00736031"/>
    <w:rsid w:val="00777598"/>
    <w:rsid w:val="00790781"/>
    <w:rsid w:val="007A199E"/>
    <w:rsid w:val="007B31CC"/>
    <w:rsid w:val="007D5C9B"/>
    <w:rsid w:val="00816E05"/>
    <w:rsid w:val="009067BB"/>
    <w:rsid w:val="00912ACB"/>
    <w:rsid w:val="00927BA0"/>
    <w:rsid w:val="00930BE6"/>
    <w:rsid w:val="00937003"/>
    <w:rsid w:val="00945EC4"/>
    <w:rsid w:val="00955676"/>
    <w:rsid w:val="00955EAB"/>
    <w:rsid w:val="00A324CD"/>
    <w:rsid w:val="00A33239"/>
    <w:rsid w:val="00A55BEE"/>
    <w:rsid w:val="00AD22F0"/>
    <w:rsid w:val="00AF6AB3"/>
    <w:rsid w:val="00B10635"/>
    <w:rsid w:val="00B20CBF"/>
    <w:rsid w:val="00BA18D7"/>
    <w:rsid w:val="00C06BD1"/>
    <w:rsid w:val="00C142C7"/>
    <w:rsid w:val="00C23CED"/>
    <w:rsid w:val="00C47AC5"/>
    <w:rsid w:val="00C76747"/>
    <w:rsid w:val="00C94B72"/>
    <w:rsid w:val="00CE7A90"/>
    <w:rsid w:val="00CF659C"/>
    <w:rsid w:val="00DB0B00"/>
    <w:rsid w:val="00DB271C"/>
    <w:rsid w:val="00DE3882"/>
    <w:rsid w:val="00DF6BE4"/>
    <w:rsid w:val="00E03D8E"/>
    <w:rsid w:val="00E04F49"/>
    <w:rsid w:val="00E103E2"/>
    <w:rsid w:val="00EE778B"/>
    <w:rsid w:val="00F46F00"/>
    <w:rsid w:val="00F67206"/>
    <w:rsid w:val="0157C105"/>
    <w:rsid w:val="03F1037E"/>
    <w:rsid w:val="153BE3AE"/>
    <w:rsid w:val="177EF02D"/>
    <w:rsid w:val="1A47CE89"/>
    <w:rsid w:val="22F4F7B4"/>
    <w:rsid w:val="24125B24"/>
    <w:rsid w:val="24A509C8"/>
    <w:rsid w:val="24EA2F12"/>
    <w:rsid w:val="2A2E6A90"/>
    <w:rsid w:val="36C9A8E4"/>
    <w:rsid w:val="3873B772"/>
    <w:rsid w:val="39EF64E2"/>
    <w:rsid w:val="43266ED3"/>
    <w:rsid w:val="48A93086"/>
    <w:rsid w:val="4AD72650"/>
    <w:rsid w:val="4B118DB8"/>
    <w:rsid w:val="4C60E7B8"/>
    <w:rsid w:val="4C955C03"/>
    <w:rsid w:val="4FE7F555"/>
    <w:rsid w:val="5AD70285"/>
    <w:rsid w:val="5C3ABFE3"/>
    <w:rsid w:val="5E4954F3"/>
    <w:rsid w:val="6B491900"/>
    <w:rsid w:val="6BD72677"/>
    <w:rsid w:val="725B2CC9"/>
    <w:rsid w:val="72F514E2"/>
    <w:rsid w:val="7649A7DA"/>
    <w:rsid w:val="7FADEDF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74922"/>
  <w15:chartTrackingRefBased/>
  <w15:docId w15:val="{50F15224-BA91-48FD-BC5A-30E9B3455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7C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57C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C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C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C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C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C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C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C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C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57C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C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C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C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C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C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C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CF5"/>
    <w:rPr>
      <w:rFonts w:eastAsiaTheme="majorEastAsia" w:cstheme="majorBidi"/>
      <w:color w:val="272727" w:themeColor="text1" w:themeTint="D8"/>
    </w:rPr>
  </w:style>
  <w:style w:type="paragraph" w:styleId="Title">
    <w:name w:val="Title"/>
    <w:basedOn w:val="Normal"/>
    <w:next w:val="Normal"/>
    <w:link w:val="TitleChar"/>
    <w:uiPriority w:val="10"/>
    <w:qFormat/>
    <w:rsid w:val="00057C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C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C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C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CF5"/>
    <w:pPr>
      <w:spacing w:before="160"/>
      <w:jc w:val="center"/>
    </w:pPr>
    <w:rPr>
      <w:i/>
      <w:iCs/>
      <w:color w:val="404040" w:themeColor="text1" w:themeTint="BF"/>
    </w:rPr>
  </w:style>
  <w:style w:type="character" w:customStyle="1" w:styleId="QuoteChar">
    <w:name w:val="Quote Char"/>
    <w:basedOn w:val="DefaultParagraphFont"/>
    <w:link w:val="Quote"/>
    <w:uiPriority w:val="29"/>
    <w:rsid w:val="00057CF5"/>
    <w:rPr>
      <w:i/>
      <w:iCs/>
      <w:color w:val="404040" w:themeColor="text1" w:themeTint="BF"/>
    </w:rPr>
  </w:style>
  <w:style w:type="paragraph" w:styleId="ListParagraph">
    <w:name w:val="List Paragraph"/>
    <w:basedOn w:val="Normal"/>
    <w:uiPriority w:val="34"/>
    <w:qFormat/>
    <w:rsid w:val="00057CF5"/>
    <w:pPr>
      <w:ind w:left="720"/>
      <w:contextualSpacing/>
    </w:pPr>
  </w:style>
  <w:style w:type="character" w:styleId="IntenseEmphasis">
    <w:name w:val="Intense Emphasis"/>
    <w:basedOn w:val="DefaultParagraphFont"/>
    <w:uiPriority w:val="21"/>
    <w:qFormat/>
    <w:rsid w:val="00057CF5"/>
    <w:rPr>
      <w:i/>
      <w:iCs/>
      <w:color w:val="0F4761" w:themeColor="accent1" w:themeShade="BF"/>
    </w:rPr>
  </w:style>
  <w:style w:type="paragraph" w:styleId="IntenseQuote">
    <w:name w:val="Intense Quote"/>
    <w:basedOn w:val="Normal"/>
    <w:next w:val="Normal"/>
    <w:link w:val="IntenseQuoteChar"/>
    <w:uiPriority w:val="30"/>
    <w:qFormat/>
    <w:rsid w:val="00057C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CF5"/>
    <w:rPr>
      <w:i/>
      <w:iCs/>
      <w:color w:val="0F4761" w:themeColor="accent1" w:themeShade="BF"/>
    </w:rPr>
  </w:style>
  <w:style w:type="character" w:styleId="IntenseReference">
    <w:name w:val="Intense Reference"/>
    <w:basedOn w:val="DefaultParagraphFont"/>
    <w:uiPriority w:val="32"/>
    <w:qFormat/>
    <w:rsid w:val="00057CF5"/>
    <w:rPr>
      <w:b/>
      <w:bCs/>
      <w:smallCaps/>
      <w:color w:val="0F4761" w:themeColor="accent1" w:themeShade="BF"/>
      <w:spacing w:val="5"/>
    </w:rPr>
  </w:style>
  <w:style w:type="paragraph" w:styleId="NormalWeb">
    <w:name w:val="Normal (Web)"/>
    <w:basedOn w:val="Normal"/>
    <w:uiPriority w:val="99"/>
    <w:unhideWhenUsed/>
    <w:rsid w:val="00057CF5"/>
    <w:rPr>
      <w:rFonts w:ascii="Times New Roman" w:hAnsi="Times New Roman" w:cs="Times New Roman"/>
      <w:sz w:val="24"/>
      <w:szCs w:val="24"/>
    </w:rPr>
  </w:style>
  <w:style w:type="character" w:styleId="Hyperlink">
    <w:name w:val="Hyperlink"/>
    <w:basedOn w:val="DefaultParagraphFont"/>
    <w:uiPriority w:val="99"/>
    <w:unhideWhenUsed/>
    <w:rsid w:val="00683B6C"/>
    <w:rPr>
      <w:color w:val="467886" w:themeColor="hyperlink"/>
      <w:u w:val="single"/>
    </w:rPr>
  </w:style>
  <w:style w:type="character" w:styleId="UnresolvedMention">
    <w:name w:val="Unresolved Mention"/>
    <w:basedOn w:val="DefaultParagraphFont"/>
    <w:uiPriority w:val="99"/>
    <w:semiHidden/>
    <w:unhideWhenUsed/>
    <w:rsid w:val="00683B6C"/>
    <w:rPr>
      <w:color w:val="605E5C"/>
      <w:shd w:val="clear" w:color="auto" w:fill="E1DFDD"/>
    </w:rPr>
  </w:style>
  <w:style w:type="paragraph" w:customStyle="1" w:styleId="volume-issue">
    <w:name w:val="volume-issue"/>
    <w:basedOn w:val="Normal"/>
    <w:rsid w:val="00386249"/>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val">
    <w:name w:val="val"/>
    <w:basedOn w:val="DefaultParagraphFont"/>
    <w:rsid w:val="00386249"/>
  </w:style>
  <w:style w:type="paragraph" w:customStyle="1" w:styleId="page-range">
    <w:name w:val="page-range"/>
    <w:basedOn w:val="Normal"/>
    <w:rsid w:val="00386249"/>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Header">
    <w:name w:val="header"/>
    <w:basedOn w:val="Normal"/>
    <w:link w:val="HeaderChar"/>
    <w:uiPriority w:val="99"/>
    <w:unhideWhenUsed/>
    <w:rsid w:val="00180F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0FFA"/>
  </w:style>
  <w:style w:type="paragraph" w:styleId="Footer">
    <w:name w:val="footer"/>
    <w:basedOn w:val="Normal"/>
    <w:link w:val="FooterChar"/>
    <w:uiPriority w:val="99"/>
    <w:unhideWhenUsed/>
    <w:rsid w:val="00180F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0FFA"/>
  </w:style>
  <w:style w:type="character" w:styleId="FollowedHyperlink">
    <w:name w:val="FollowedHyperlink"/>
    <w:basedOn w:val="DefaultParagraphFont"/>
    <w:uiPriority w:val="99"/>
    <w:semiHidden/>
    <w:unhideWhenUsed/>
    <w:rsid w:val="00AF6AB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07266">
      <w:bodyDiv w:val="1"/>
      <w:marLeft w:val="0"/>
      <w:marRight w:val="0"/>
      <w:marTop w:val="0"/>
      <w:marBottom w:val="0"/>
      <w:divBdr>
        <w:top w:val="none" w:sz="0" w:space="0" w:color="auto"/>
        <w:left w:val="none" w:sz="0" w:space="0" w:color="auto"/>
        <w:bottom w:val="none" w:sz="0" w:space="0" w:color="auto"/>
        <w:right w:val="none" w:sz="0" w:space="0" w:color="auto"/>
      </w:divBdr>
    </w:div>
    <w:div w:id="85393602">
      <w:bodyDiv w:val="1"/>
      <w:marLeft w:val="0"/>
      <w:marRight w:val="0"/>
      <w:marTop w:val="0"/>
      <w:marBottom w:val="0"/>
      <w:divBdr>
        <w:top w:val="none" w:sz="0" w:space="0" w:color="auto"/>
        <w:left w:val="none" w:sz="0" w:space="0" w:color="auto"/>
        <w:bottom w:val="none" w:sz="0" w:space="0" w:color="auto"/>
        <w:right w:val="none" w:sz="0" w:space="0" w:color="auto"/>
      </w:divBdr>
      <w:divsChild>
        <w:div w:id="710302674">
          <w:marLeft w:val="0"/>
          <w:marRight w:val="0"/>
          <w:marTop w:val="0"/>
          <w:marBottom w:val="0"/>
          <w:divBdr>
            <w:top w:val="none" w:sz="0" w:space="0" w:color="auto"/>
            <w:left w:val="none" w:sz="0" w:space="0" w:color="auto"/>
            <w:bottom w:val="none" w:sz="0" w:space="0" w:color="auto"/>
            <w:right w:val="none" w:sz="0" w:space="0" w:color="auto"/>
          </w:divBdr>
        </w:div>
        <w:div w:id="1746226733">
          <w:marLeft w:val="0"/>
          <w:marRight w:val="0"/>
          <w:marTop w:val="0"/>
          <w:marBottom w:val="0"/>
          <w:divBdr>
            <w:top w:val="none" w:sz="0" w:space="0" w:color="auto"/>
            <w:left w:val="none" w:sz="0" w:space="0" w:color="auto"/>
            <w:bottom w:val="none" w:sz="0" w:space="0" w:color="auto"/>
            <w:right w:val="none" w:sz="0" w:space="0" w:color="auto"/>
          </w:divBdr>
        </w:div>
        <w:div w:id="989333612">
          <w:marLeft w:val="0"/>
          <w:marRight w:val="0"/>
          <w:marTop w:val="0"/>
          <w:marBottom w:val="0"/>
          <w:divBdr>
            <w:top w:val="none" w:sz="0" w:space="0" w:color="auto"/>
            <w:left w:val="none" w:sz="0" w:space="0" w:color="auto"/>
            <w:bottom w:val="none" w:sz="0" w:space="0" w:color="auto"/>
            <w:right w:val="none" w:sz="0" w:space="0" w:color="auto"/>
          </w:divBdr>
        </w:div>
        <w:div w:id="1615405221">
          <w:marLeft w:val="0"/>
          <w:marRight w:val="0"/>
          <w:marTop w:val="0"/>
          <w:marBottom w:val="0"/>
          <w:divBdr>
            <w:top w:val="none" w:sz="0" w:space="0" w:color="auto"/>
            <w:left w:val="none" w:sz="0" w:space="0" w:color="auto"/>
            <w:bottom w:val="none" w:sz="0" w:space="0" w:color="auto"/>
            <w:right w:val="none" w:sz="0" w:space="0" w:color="auto"/>
          </w:divBdr>
        </w:div>
        <w:div w:id="1855456740">
          <w:marLeft w:val="0"/>
          <w:marRight w:val="0"/>
          <w:marTop w:val="0"/>
          <w:marBottom w:val="0"/>
          <w:divBdr>
            <w:top w:val="none" w:sz="0" w:space="0" w:color="auto"/>
            <w:left w:val="none" w:sz="0" w:space="0" w:color="auto"/>
            <w:bottom w:val="none" w:sz="0" w:space="0" w:color="auto"/>
            <w:right w:val="none" w:sz="0" w:space="0" w:color="auto"/>
          </w:divBdr>
        </w:div>
        <w:div w:id="92823659">
          <w:marLeft w:val="0"/>
          <w:marRight w:val="0"/>
          <w:marTop w:val="0"/>
          <w:marBottom w:val="0"/>
          <w:divBdr>
            <w:top w:val="none" w:sz="0" w:space="0" w:color="auto"/>
            <w:left w:val="none" w:sz="0" w:space="0" w:color="auto"/>
            <w:bottom w:val="none" w:sz="0" w:space="0" w:color="auto"/>
            <w:right w:val="none" w:sz="0" w:space="0" w:color="auto"/>
          </w:divBdr>
        </w:div>
        <w:div w:id="1330671776">
          <w:marLeft w:val="0"/>
          <w:marRight w:val="0"/>
          <w:marTop w:val="0"/>
          <w:marBottom w:val="0"/>
          <w:divBdr>
            <w:top w:val="none" w:sz="0" w:space="0" w:color="auto"/>
            <w:left w:val="none" w:sz="0" w:space="0" w:color="auto"/>
            <w:bottom w:val="none" w:sz="0" w:space="0" w:color="auto"/>
            <w:right w:val="none" w:sz="0" w:space="0" w:color="auto"/>
          </w:divBdr>
        </w:div>
        <w:div w:id="1771504857">
          <w:marLeft w:val="0"/>
          <w:marRight w:val="0"/>
          <w:marTop w:val="0"/>
          <w:marBottom w:val="0"/>
          <w:divBdr>
            <w:top w:val="none" w:sz="0" w:space="0" w:color="auto"/>
            <w:left w:val="none" w:sz="0" w:space="0" w:color="auto"/>
            <w:bottom w:val="none" w:sz="0" w:space="0" w:color="auto"/>
            <w:right w:val="none" w:sz="0" w:space="0" w:color="auto"/>
          </w:divBdr>
        </w:div>
      </w:divsChild>
    </w:div>
    <w:div w:id="141317241">
      <w:bodyDiv w:val="1"/>
      <w:marLeft w:val="0"/>
      <w:marRight w:val="0"/>
      <w:marTop w:val="0"/>
      <w:marBottom w:val="0"/>
      <w:divBdr>
        <w:top w:val="none" w:sz="0" w:space="0" w:color="auto"/>
        <w:left w:val="none" w:sz="0" w:space="0" w:color="auto"/>
        <w:bottom w:val="none" w:sz="0" w:space="0" w:color="auto"/>
        <w:right w:val="none" w:sz="0" w:space="0" w:color="auto"/>
      </w:divBdr>
    </w:div>
    <w:div w:id="168834960">
      <w:bodyDiv w:val="1"/>
      <w:marLeft w:val="0"/>
      <w:marRight w:val="0"/>
      <w:marTop w:val="0"/>
      <w:marBottom w:val="0"/>
      <w:divBdr>
        <w:top w:val="none" w:sz="0" w:space="0" w:color="auto"/>
        <w:left w:val="none" w:sz="0" w:space="0" w:color="auto"/>
        <w:bottom w:val="none" w:sz="0" w:space="0" w:color="auto"/>
        <w:right w:val="none" w:sz="0" w:space="0" w:color="auto"/>
      </w:divBdr>
    </w:div>
    <w:div w:id="178324585">
      <w:bodyDiv w:val="1"/>
      <w:marLeft w:val="0"/>
      <w:marRight w:val="0"/>
      <w:marTop w:val="0"/>
      <w:marBottom w:val="0"/>
      <w:divBdr>
        <w:top w:val="none" w:sz="0" w:space="0" w:color="auto"/>
        <w:left w:val="none" w:sz="0" w:space="0" w:color="auto"/>
        <w:bottom w:val="none" w:sz="0" w:space="0" w:color="auto"/>
        <w:right w:val="none" w:sz="0" w:space="0" w:color="auto"/>
      </w:divBdr>
    </w:div>
    <w:div w:id="202904531">
      <w:bodyDiv w:val="1"/>
      <w:marLeft w:val="0"/>
      <w:marRight w:val="0"/>
      <w:marTop w:val="0"/>
      <w:marBottom w:val="0"/>
      <w:divBdr>
        <w:top w:val="none" w:sz="0" w:space="0" w:color="auto"/>
        <w:left w:val="none" w:sz="0" w:space="0" w:color="auto"/>
        <w:bottom w:val="none" w:sz="0" w:space="0" w:color="auto"/>
        <w:right w:val="none" w:sz="0" w:space="0" w:color="auto"/>
      </w:divBdr>
    </w:div>
    <w:div w:id="265696851">
      <w:bodyDiv w:val="1"/>
      <w:marLeft w:val="0"/>
      <w:marRight w:val="0"/>
      <w:marTop w:val="0"/>
      <w:marBottom w:val="0"/>
      <w:divBdr>
        <w:top w:val="none" w:sz="0" w:space="0" w:color="auto"/>
        <w:left w:val="none" w:sz="0" w:space="0" w:color="auto"/>
        <w:bottom w:val="none" w:sz="0" w:space="0" w:color="auto"/>
        <w:right w:val="none" w:sz="0" w:space="0" w:color="auto"/>
      </w:divBdr>
    </w:div>
    <w:div w:id="292567460">
      <w:bodyDiv w:val="1"/>
      <w:marLeft w:val="0"/>
      <w:marRight w:val="0"/>
      <w:marTop w:val="0"/>
      <w:marBottom w:val="0"/>
      <w:divBdr>
        <w:top w:val="none" w:sz="0" w:space="0" w:color="auto"/>
        <w:left w:val="none" w:sz="0" w:space="0" w:color="auto"/>
        <w:bottom w:val="none" w:sz="0" w:space="0" w:color="auto"/>
        <w:right w:val="none" w:sz="0" w:space="0" w:color="auto"/>
      </w:divBdr>
    </w:div>
    <w:div w:id="447360346">
      <w:bodyDiv w:val="1"/>
      <w:marLeft w:val="0"/>
      <w:marRight w:val="0"/>
      <w:marTop w:val="0"/>
      <w:marBottom w:val="0"/>
      <w:divBdr>
        <w:top w:val="none" w:sz="0" w:space="0" w:color="auto"/>
        <w:left w:val="none" w:sz="0" w:space="0" w:color="auto"/>
        <w:bottom w:val="none" w:sz="0" w:space="0" w:color="auto"/>
        <w:right w:val="none" w:sz="0" w:space="0" w:color="auto"/>
      </w:divBdr>
    </w:div>
    <w:div w:id="453597267">
      <w:bodyDiv w:val="1"/>
      <w:marLeft w:val="0"/>
      <w:marRight w:val="0"/>
      <w:marTop w:val="0"/>
      <w:marBottom w:val="0"/>
      <w:divBdr>
        <w:top w:val="none" w:sz="0" w:space="0" w:color="auto"/>
        <w:left w:val="none" w:sz="0" w:space="0" w:color="auto"/>
        <w:bottom w:val="none" w:sz="0" w:space="0" w:color="auto"/>
        <w:right w:val="none" w:sz="0" w:space="0" w:color="auto"/>
      </w:divBdr>
    </w:div>
    <w:div w:id="553540265">
      <w:bodyDiv w:val="1"/>
      <w:marLeft w:val="0"/>
      <w:marRight w:val="0"/>
      <w:marTop w:val="0"/>
      <w:marBottom w:val="0"/>
      <w:divBdr>
        <w:top w:val="none" w:sz="0" w:space="0" w:color="auto"/>
        <w:left w:val="none" w:sz="0" w:space="0" w:color="auto"/>
        <w:bottom w:val="none" w:sz="0" w:space="0" w:color="auto"/>
        <w:right w:val="none" w:sz="0" w:space="0" w:color="auto"/>
      </w:divBdr>
    </w:div>
    <w:div w:id="597255621">
      <w:bodyDiv w:val="1"/>
      <w:marLeft w:val="0"/>
      <w:marRight w:val="0"/>
      <w:marTop w:val="0"/>
      <w:marBottom w:val="0"/>
      <w:divBdr>
        <w:top w:val="none" w:sz="0" w:space="0" w:color="auto"/>
        <w:left w:val="none" w:sz="0" w:space="0" w:color="auto"/>
        <w:bottom w:val="none" w:sz="0" w:space="0" w:color="auto"/>
        <w:right w:val="none" w:sz="0" w:space="0" w:color="auto"/>
      </w:divBdr>
    </w:div>
    <w:div w:id="597954654">
      <w:bodyDiv w:val="1"/>
      <w:marLeft w:val="0"/>
      <w:marRight w:val="0"/>
      <w:marTop w:val="0"/>
      <w:marBottom w:val="0"/>
      <w:divBdr>
        <w:top w:val="none" w:sz="0" w:space="0" w:color="auto"/>
        <w:left w:val="none" w:sz="0" w:space="0" w:color="auto"/>
        <w:bottom w:val="none" w:sz="0" w:space="0" w:color="auto"/>
        <w:right w:val="none" w:sz="0" w:space="0" w:color="auto"/>
      </w:divBdr>
    </w:div>
    <w:div w:id="627974308">
      <w:bodyDiv w:val="1"/>
      <w:marLeft w:val="0"/>
      <w:marRight w:val="0"/>
      <w:marTop w:val="0"/>
      <w:marBottom w:val="0"/>
      <w:divBdr>
        <w:top w:val="none" w:sz="0" w:space="0" w:color="auto"/>
        <w:left w:val="none" w:sz="0" w:space="0" w:color="auto"/>
        <w:bottom w:val="none" w:sz="0" w:space="0" w:color="auto"/>
        <w:right w:val="none" w:sz="0" w:space="0" w:color="auto"/>
      </w:divBdr>
    </w:div>
    <w:div w:id="656810954">
      <w:bodyDiv w:val="1"/>
      <w:marLeft w:val="0"/>
      <w:marRight w:val="0"/>
      <w:marTop w:val="0"/>
      <w:marBottom w:val="0"/>
      <w:divBdr>
        <w:top w:val="none" w:sz="0" w:space="0" w:color="auto"/>
        <w:left w:val="none" w:sz="0" w:space="0" w:color="auto"/>
        <w:bottom w:val="none" w:sz="0" w:space="0" w:color="auto"/>
        <w:right w:val="none" w:sz="0" w:space="0" w:color="auto"/>
      </w:divBdr>
    </w:div>
    <w:div w:id="702486980">
      <w:bodyDiv w:val="1"/>
      <w:marLeft w:val="0"/>
      <w:marRight w:val="0"/>
      <w:marTop w:val="0"/>
      <w:marBottom w:val="0"/>
      <w:divBdr>
        <w:top w:val="none" w:sz="0" w:space="0" w:color="auto"/>
        <w:left w:val="none" w:sz="0" w:space="0" w:color="auto"/>
        <w:bottom w:val="none" w:sz="0" w:space="0" w:color="auto"/>
        <w:right w:val="none" w:sz="0" w:space="0" w:color="auto"/>
      </w:divBdr>
    </w:div>
    <w:div w:id="730687855">
      <w:bodyDiv w:val="1"/>
      <w:marLeft w:val="0"/>
      <w:marRight w:val="0"/>
      <w:marTop w:val="0"/>
      <w:marBottom w:val="0"/>
      <w:divBdr>
        <w:top w:val="none" w:sz="0" w:space="0" w:color="auto"/>
        <w:left w:val="none" w:sz="0" w:space="0" w:color="auto"/>
        <w:bottom w:val="none" w:sz="0" w:space="0" w:color="auto"/>
        <w:right w:val="none" w:sz="0" w:space="0" w:color="auto"/>
      </w:divBdr>
    </w:div>
    <w:div w:id="857961148">
      <w:bodyDiv w:val="1"/>
      <w:marLeft w:val="0"/>
      <w:marRight w:val="0"/>
      <w:marTop w:val="0"/>
      <w:marBottom w:val="0"/>
      <w:divBdr>
        <w:top w:val="none" w:sz="0" w:space="0" w:color="auto"/>
        <w:left w:val="none" w:sz="0" w:space="0" w:color="auto"/>
        <w:bottom w:val="none" w:sz="0" w:space="0" w:color="auto"/>
        <w:right w:val="none" w:sz="0" w:space="0" w:color="auto"/>
      </w:divBdr>
    </w:div>
    <w:div w:id="889531499">
      <w:bodyDiv w:val="1"/>
      <w:marLeft w:val="0"/>
      <w:marRight w:val="0"/>
      <w:marTop w:val="0"/>
      <w:marBottom w:val="0"/>
      <w:divBdr>
        <w:top w:val="none" w:sz="0" w:space="0" w:color="auto"/>
        <w:left w:val="none" w:sz="0" w:space="0" w:color="auto"/>
        <w:bottom w:val="none" w:sz="0" w:space="0" w:color="auto"/>
        <w:right w:val="none" w:sz="0" w:space="0" w:color="auto"/>
      </w:divBdr>
    </w:div>
    <w:div w:id="903831478">
      <w:bodyDiv w:val="1"/>
      <w:marLeft w:val="0"/>
      <w:marRight w:val="0"/>
      <w:marTop w:val="0"/>
      <w:marBottom w:val="0"/>
      <w:divBdr>
        <w:top w:val="none" w:sz="0" w:space="0" w:color="auto"/>
        <w:left w:val="none" w:sz="0" w:space="0" w:color="auto"/>
        <w:bottom w:val="none" w:sz="0" w:space="0" w:color="auto"/>
        <w:right w:val="none" w:sz="0" w:space="0" w:color="auto"/>
      </w:divBdr>
    </w:div>
    <w:div w:id="904265744">
      <w:bodyDiv w:val="1"/>
      <w:marLeft w:val="0"/>
      <w:marRight w:val="0"/>
      <w:marTop w:val="0"/>
      <w:marBottom w:val="0"/>
      <w:divBdr>
        <w:top w:val="none" w:sz="0" w:space="0" w:color="auto"/>
        <w:left w:val="none" w:sz="0" w:space="0" w:color="auto"/>
        <w:bottom w:val="none" w:sz="0" w:space="0" w:color="auto"/>
        <w:right w:val="none" w:sz="0" w:space="0" w:color="auto"/>
      </w:divBdr>
    </w:div>
    <w:div w:id="1014578685">
      <w:bodyDiv w:val="1"/>
      <w:marLeft w:val="0"/>
      <w:marRight w:val="0"/>
      <w:marTop w:val="0"/>
      <w:marBottom w:val="0"/>
      <w:divBdr>
        <w:top w:val="none" w:sz="0" w:space="0" w:color="auto"/>
        <w:left w:val="none" w:sz="0" w:space="0" w:color="auto"/>
        <w:bottom w:val="none" w:sz="0" w:space="0" w:color="auto"/>
        <w:right w:val="none" w:sz="0" w:space="0" w:color="auto"/>
      </w:divBdr>
    </w:div>
    <w:div w:id="1019507942">
      <w:bodyDiv w:val="1"/>
      <w:marLeft w:val="0"/>
      <w:marRight w:val="0"/>
      <w:marTop w:val="0"/>
      <w:marBottom w:val="0"/>
      <w:divBdr>
        <w:top w:val="none" w:sz="0" w:space="0" w:color="auto"/>
        <w:left w:val="none" w:sz="0" w:space="0" w:color="auto"/>
        <w:bottom w:val="none" w:sz="0" w:space="0" w:color="auto"/>
        <w:right w:val="none" w:sz="0" w:space="0" w:color="auto"/>
      </w:divBdr>
    </w:div>
    <w:div w:id="1029645128">
      <w:bodyDiv w:val="1"/>
      <w:marLeft w:val="0"/>
      <w:marRight w:val="0"/>
      <w:marTop w:val="0"/>
      <w:marBottom w:val="0"/>
      <w:divBdr>
        <w:top w:val="none" w:sz="0" w:space="0" w:color="auto"/>
        <w:left w:val="none" w:sz="0" w:space="0" w:color="auto"/>
        <w:bottom w:val="none" w:sz="0" w:space="0" w:color="auto"/>
        <w:right w:val="none" w:sz="0" w:space="0" w:color="auto"/>
      </w:divBdr>
    </w:div>
    <w:div w:id="1032657373">
      <w:bodyDiv w:val="1"/>
      <w:marLeft w:val="0"/>
      <w:marRight w:val="0"/>
      <w:marTop w:val="0"/>
      <w:marBottom w:val="0"/>
      <w:divBdr>
        <w:top w:val="none" w:sz="0" w:space="0" w:color="auto"/>
        <w:left w:val="none" w:sz="0" w:space="0" w:color="auto"/>
        <w:bottom w:val="none" w:sz="0" w:space="0" w:color="auto"/>
        <w:right w:val="none" w:sz="0" w:space="0" w:color="auto"/>
      </w:divBdr>
    </w:div>
    <w:div w:id="1062371206">
      <w:bodyDiv w:val="1"/>
      <w:marLeft w:val="0"/>
      <w:marRight w:val="0"/>
      <w:marTop w:val="0"/>
      <w:marBottom w:val="0"/>
      <w:divBdr>
        <w:top w:val="none" w:sz="0" w:space="0" w:color="auto"/>
        <w:left w:val="none" w:sz="0" w:space="0" w:color="auto"/>
        <w:bottom w:val="none" w:sz="0" w:space="0" w:color="auto"/>
        <w:right w:val="none" w:sz="0" w:space="0" w:color="auto"/>
      </w:divBdr>
    </w:div>
    <w:div w:id="1102410353">
      <w:bodyDiv w:val="1"/>
      <w:marLeft w:val="0"/>
      <w:marRight w:val="0"/>
      <w:marTop w:val="0"/>
      <w:marBottom w:val="0"/>
      <w:divBdr>
        <w:top w:val="none" w:sz="0" w:space="0" w:color="auto"/>
        <w:left w:val="none" w:sz="0" w:space="0" w:color="auto"/>
        <w:bottom w:val="none" w:sz="0" w:space="0" w:color="auto"/>
        <w:right w:val="none" w:sz="0" w:space="0" w:color="auto"/>
      </w:divBdr>
      <w:divsChild>
        <w:div w:id="1717779555">
          <w:marLeft w:val="0"/>
          <w:marRight w:val="0"/>
          <w:marTop w:val="0"/>
          <w:marBottom w:val="0"/>
          <w:divBdr>
            <w:top w:val="none" w:sz="0" w:space="0" w:color="auto"/>
            <w:left w:val="none" w:sz="0" w:space="0" w:color="auto"/>
            <w:bottom w:val="none" w:sz="0" w:space="0" w:color="auto"/>
            <w:right w:val="none" w:sz="0" w:space="0" w:color="auto"/>
          </w:divBdr>
        </w:div>
        <w:div w:id="992216009">
          <w:marLeft w:val="0"/>
          <w:marRight w:val="0"/>
          <w:marTop w:val="0"/>
          <w:marBottom w:val="0"/>
          <w:divBdr>
            <w:top w:val="none" w:sz="0" w:space="0" w:color="auto"/>
            <w:left w:val="none" w:sz="0" w:space="0" w:color="auto"/>
            <w:bottom w:val="none" w:sz="0" w:space="0" w:color="auto"/>
            <w:right w:val="none" w:sz="0" w:space="0" w:color="auto"/>
          </w:divBdr>
        </w:div>
        <w:div w:id="1064108643">
          <w:marLeft w:val="0"/>
          <w:marRight w:val="0"/>
          <w:marTop w:val="0"/>
          <w:marBottom w:val="0"/>
          <w:divBdr>
            <w:top w:val="none" w:sz="0" w:space="0" w:color="auto"/>
            <w:left w:val="none" w:sz="0" w:space="0" w:color="auto"/>
            <w:bottom w:val="none" w:sz="0" w:space="0" w:color="auto"/>
            <w:right w:val="none" w:sz="0" w:space="0" w:color="auto"/>
          </w:divBdr>
        </w:div>
        <w:div w:id="1111513133">
          <w:marLeft w:val="0"/>
          <w:marRight w:val="0"/>
          <w:marTop w:val="0"/>
          <w:marBottom w:val="0"/>
          <w:divBdr>
            <w:top w:val="none" w:sz="0" w:space="0" w:color="auto"/>
            <w:left w:val="none" w:sz="0" w:space="0" w:color="auto"/>
            <w:bottom w:val="none" w:sz="0" w:space="0" w:color="auto"/>
            <w:right w:val="none" w:sz="0" w:space="0" w:color="auto"/>
          </w:divBdr>
        </w:div>
        <w:div w:id="1478761477">
          <w:marLeft w:val="0"/>
          <w:marRight w:val="0"/>
          <w:marTop w:val="0"/>
          <w:marBottom w:val="0"/>
          <w:divBdr>
            <w:top w:val="none" w:sz="0" w:space="0" w:color="auto"/>
            <w:left w:val="none" w:sz="0" w:space="0" w:color="auto"/>
            <w:bottom w:val="none" w:sz="0" w:space="0" w:color="auto"/>
            <w:right w:val="none" w:sz="0" w:space="0" w:color="auto"/>
          </w:divBdr>
        </w:div>
        <w:div w:id="2123497984">
          <w:marLeft w:val="0"/>
          <w:marRight w:val="0"/>
          <w:marTop w:val="0"/>
          <w:marBottom w:val="0"/>
          <w:divBdr>
            <w:top w:val="none" w:sz="0" w:space="0" w:color="auto"/>
            <w:left w:val="none" w:sz="0" w:space="0" w:color="auto"/>
            <w:bottom w:val="none" w:sz="0" w:space="0" w:color="auto"/>
            <w:right w:val="none" w:sz="0" w:space="0" w:color="auto"/>
          </w:divBdr>
        </w:div>
        <w:div w:id="500396477">
          <w:marLeft w:val="0"/>
          <w:marRight w:val="0"/>
          <w:marTop w:val="0"/>
          <w:marBottom w:val="0"/>
          <w:divBdr>
            <w:top w:val="none" w:sz="0" w:space="0" w:color="auto"/>
            <w:left w:val="none" w:sz="0" w:space="0" w:color="auto"/>
            <w:bottom w:val="none" w:sz="0" w:space="0" w:color="auto"/>
            <w:right w:val="none" w:sz="0" w:space="0" w:color="auto"/>
          </w:divBdr>
        </w:div>
        <w:div w:id="1340693168">
          <w:marLeft w:val="0"/>
          <w:marRight w:val="0"/>
          <w:marTop w:val="0"/>
          <w:marBottom w:val="0"/>
          <w:divBdr>
            <w:top w:val="none" w:sz="0" w:space="0" w:color="auto"/>
            <w:left w:val="none" w:sz="0" w:space="0" w:color="auto"/>
            <w:bottom w:val="none" w:sz="0" w:space="0" w:color="auto"/>
            <w:right w:val="none" w:sz="0" w:space="0" w:color="auto"/>
          </w:divBdr>
        </w:div>
      </w:divsChild>
    </w:div>
    <w:div w:id="1134297589">
      <w:bodyDiv w:val="1"/>
      <w:marLeft w:val="0"/>
      <w:marRight w:val="0"/>
      <w:marTop w:val="0"/>
      <w:marBottom w:val="0"/>
      <w:divBdr>
        <w:top w:val="none" w:sz="0" w:space="0" w:color="auto"/>
        <w:left w:val="none" w:sz="0" w:space="0" w:color="auto"/>
        <w:bottom w:val="none" w:sz="0" w:space="0" w:color="auto"/>
        <w:right w:val="none" w:sz="0" w:space="0" w:color="auto"/>
      </w:divBdr>
    </w:div>
    <w:div w:id="1159420410">
      <w:bodyDiv w:val="1"/>
      <w:marLeft w:val="0"/>
      <w:marRight w:val="0"/>
      <w:marTop w:val="0"/>
      <w:marBottom w:val="0"/>
      <w:divBdr>
        <w:top w:val="none" w:sz="0" w:space="0" w:color="auto"/>
        <w:left w:val="none" w:sz="0" w:space="0" w:color="auto"/>
        <w:bottom w:val="none" w:sz="0" w:space="0" w:color="auto"/>
        <w:right w:val="none" w:sz="0" w:space="0" w:color="auto"/>
      </w:divBdr>
    </w:div>
    <w:div w:id="1274895420">
      <w:bodyDiv w:val="1"/>
      <w:marLeft w:val="0"/>
      <w:marRight w:val="0"/>
      <w:marTop w:val="0"/>
      <w:marBottom w:val="0"/>
      <w:divBdr>
        <w:top w:val="none" w:sz="0" w:space="0" w:color="auto"/>
        <w:left w:val="none" w:sz="0" w:space="0" w:color="auto"/>
        <w:bottom w:val="none" w:sz="0" w:space="0" w:color="auto"/>
        <w:right w:val="none" w:sz="0" w:space="0" w:color="auto"/>
      </w:divBdr>
    </w:div>
    <w:div w:id="1293053249">
      <w:bodyDiv w:val="1"/>
      <w:marLeft w:val="0"/>
      <w:marRight w:val="0"/>
      <w:marTop w:val="0"/>
      <w:marBottom w:val="0"/>
      <w:divBdr>
        <w:top w:val="none" w:sz="0" w:space="0" w:color="auto"/>
        <w:left w:val="none" w:sz="0" w:space="0" w:color="auto"/>
        <w:bottom w:val="none" w:sz="0" w:space="0" w:color="auto"/>
        <w:right w:val="none" w:sz="0" w:space="0" w:color="auto"/>
      </w:divBdr>
    </w:div>
    <w:div w:id="1330645294">
      <w:bodyDiv w:val="1"/>
      <w:marLeft w:val="0"/>
      <w:marRight w:val="0"/>
      <w:marTop w:val="0"/>
      <w:marBottom w:val="0"/>
      <w:divBdr>
        <w:top w:val="none" w:sz="0" w:space="0" w:color="auto"/>
        <w:left w:val="none" w:sz="0" w:space="0" w:color="auto"/>
        <w:bottom w:val="none" w:sz="0" w:space="0" w:color="auto"/>
        <w:right w:val="none" w:sz="0" w:space="0" w:color="auto"/>
      </w:divBdr>
    </w:div>
    <w:div w:id="1350717167">
      <w:bodyDiv w:val="1"/>
      <w:marLeft w:val="0"/>
      <w:marRight w:val="0"/>
      <w:marTop w:val="0"/>
      <w:marBottom w:val="0"/>
      <w:divBdr>
        <w:top w:val="none" w:sz="0" w:space="0" w:color="auto"/>
        <w:left w:val="none" w:sz="0" w:space="0" w:color="auto"/>
        <w:bottom w:val="none" w:sz="0" w:space="0" w:color="auto"/>
        <w:right w:val="none" w:sz="0" w:space="0" w:color="auto"/>
      </w:divBdr>
    </w:div>
    <w:div w:id="1356005880">
      <w:bodyDiv w:val="1"/>
      <w:marLeft w:val="0"/>
      <w:marRight w:val="0"/>
      <w:marTop w:val="0"/>
      <w:marBottom w:val="0"/>
      <w:divBdr>
        <w:top w:val="none" w:sz="0" w:space="0" w:color="auto"/>
        <w:left w:val="none" w:sz="0" w:space="0" w:color="auto"/>
        <w:bottom w:val="none" w:sz="0" w:space="0" w:color="auto"/>
        <w:right w:val="none" w:sz="0" w:space="0" w:color="auto"/>
      </w:divBdr>
    </w:div>
    <w:div w:id="1366251682">
      <w:bodyDiv w:val="1"/>
      <w:marLeft w:val="0"/>
      <w:marRight w:val="0"/>
      <w:marTop w:val="0"/>
      <w:marBottom w:val="0"/>
      <w:divBdr>
        <w:top w:val="none" w:sz="0" w:space="0" w:color="auto"/>
        <w:left w:val="none" w:sz="0" w:space="0" w:color="auto"/>
        <w:bottom w:val="none" w:sz="0" w:space="0" w:color="auto"/>
        <w:right w:val="none" w:sz="0" w:space="0" w:color="auto"/>
      </w:divBdr>
    </w:div>
    <w:div w:id="1368140422">
      <w:bodyDiv w:val="1"/>
      <w:marLeft w:val="0"/>
      <w:marRight w:val="0"/>
      <w:marTop w:val="0"/>
      <w:marBottom w:val="0"/>
      <w:divBdr>
        <w:top w:val="none" w:sz="0" w:space="0" w:color="auto"/>
        <w:left w:val="none" w:sz="0" w:space="0" w:color="auto"/>
        <w:bottom w:val="none" w:sz="0" w:space="0" w:color="auto"/>
        <w:right w:val="none" w:sz="0" w:space="0" w:color="auto"/>
      </w:divBdr>
    </w:div>
    <w:div w:id="1415279963">
      <w:bodyDiv w:val="1"/>
      <w:marLeft w:val="0"/>
      <w:marRight w:val="0"/>
      <w:marTop w:val="0"/>
      <w:marBottom w:val="0"/>
      <w:divBdr>
        <w:top w:val="none" w:sz="0" w:space="0" w:color="auto"/>
        <w:left w:val="none" w:sz="0" w:space="0" w:color="auto"/>
        <w:bottom w:val="none" w:sz="0" w:space="0" w:color="auto"/>
        <w:right w:val="none" w:sz="0" w:space="0" w:color="auto"/>
      </w:divBdr>
      <w:divsChild>
        <w:div w:id="587808828">
          <w:marLeft w:val="0"/>
          <w:marRight w:val="0"/>
          <w:marTop w:val="0"/>
          <w:marBottom w:val="0"/>
          <w:divBdr>
            <w:top w:val="none" w:sz="0" w:space="0" w:color="auto"/>
            <w:left w:val="none" w:sz="0" w:space="0" w:color="auto"/>
            <w:bottom w:val="none" w:sz="0" w:space="0" w:color="auto"/>
            <w:right w:val="none" w:sz="0" w:space="0" w:color="auto"/>
          </w:divBdr>
        </w:div>
      </w:divsChild>
    </w:div>
    <w:div w:id="1450081637">
      <w:bodyDiv w:val="1"/>
      <w:marLeft w:val="0"/>
      <w:marRight w:val="0"/>
      <w:marTop w:val="0"/>
      <w:marBottom w:val="0"/>
      <w:divBdr>
        <w:top w:val="none" w:sz="0" w:space="0" w:color="auto"/>
        <w:left w:val="none" w:sz="0" w:space="0" w:color="auto"/>
        <w:bottom w:val="none" w:sz="0" w:space="0" w:color="auto"/>
        <w:right w:val="none" w:sz="0" w:space="0" w:color="auto"/>
      </w:divBdr>
    </w:div>
    <w:div w:id="1463305945">
      <w:bodyDiv w:val="1"/>
      <w:marLeft w:val="0"/>
      <w:marRight w:val="0"/>
      <w:marTop w:val="0"/>
      <w:marBottom w:val="0"/>
      <w:divBdr>
        <w:top w:val="none" w:sz="0" w:space="0" w:color="auto"/>
        <w:left w:val="none" w:sz="0" w:space="0" w:color="auto"/>
        <w:bottom w:val="none" w:sz="0" w:space="0" w:color="auto"/>
        <w:right w:val="none" w:sz="0" w:space="0" w:color="auto"/>
      </w:divBdr>
    </w:div>
    <w:div w:id="1466510795">
      <w:bodyDiv w:val="1"/>
      <w:marLeft w:val="0"/>
      <w:marRight w:val="0"/>
      <w:marTop w:val="0"/>
      <w:marBottom w:val="0"/>
      <w:divBdr>
        <w:top w:val="none" w:sz="0" w:space="0" w:color="auto"/>
        <w:left w:val="none" w:sz="0" w:space="0" w:color="auto"/>
        <w:bottom w:val="none" w:sz="0" w:space="0" w:color="auto"/>
        <w:right w:val="none" w:sz="0" w:space="0" w:color="auto"/>
      </w:divBdr>
    </w:div>
    <w:div w:id="1512066296">
      <w:bodyDiv w:val="1"/>
      <w:marLeft w:val="0"/>
      <w:marRight w:val="0"/>
      <w:marTop w:val="0"/>
      <w:marBottom w:val="0"/>
      <w:divBdr>
        <w:top w:val="none" w:sz="0" w:space="0" w:color="auto"/>
        <w:left w:val="none" w:sz="0" w:space="0" w:color="auto"/>
        <w:bottom w:val="none" w:sz="0" w:space="0" w:color="auto"/>
        <w:right w:val="none" w:sz="0" w:space="0" w:color="auto"/>
      </w:divBdr>
    </w:div>
    <w:div w:id="1520662401">
      <w:bodyDiv w:val="1"/>
      <w:marLeft w:val="0"/>
      <w:marRight w:val="0"/>
      <w:marTop w:val="0"/>
      <w:marBottom w:val="0"/>
      <w:divBdr>
        <w:top w:val="none" w:sz="0" w:space="0" w:color="auto"/>
        <w:left w:val="none" w:sz="0" w:space="0" w:color="auto"/>
        <w:bottom w:val="none" w:sz="0" w:space="0" w:color="auto"/>
        <w:right w:val="none" w:sz="0" w:space="0" w:color="auto"/>
      </w:divBdr>
    </w:div>
    <w:div w:id="1547331676">
      <w:bodyDiv w:val="1"/>
      <w:marLeft w:val="0"/>
      <w:marRight w:val="0"/>
      <w:marTop w:val="0"/>
      <w:marBottom w:val="0"/>
      <w:divBdr>
        <w:top w:val="none" w:sz="0" w:space="0" w:color="auto"/>
        <w:left w:val="none" w:sz="0" w:space="0" w:color="auto"/>
        <w:bottom w:val="none" w:sz="0" w:space="0" w:color="auto"/>
        <w:right w:val="none" w:sz="0" w:space="0" w:color="auto"/>
      </w:divBdr>
    </w:div>
    <w:div w:id="1607687482">
      <w:bodyDiv w:val="1"/>
      <w:marLeft w:val="0"/>
      <w:marRight w:val="0"/>
      <w:marTop w:val="0"/>
      <w:marBottom w:val="0"/>
      <w:divBdr>
        <w:top w:val="none" w:sz="0" w:space="0" w:color="auto"/>
        <w:left w:val="none" w:sz="0" w:space="0" w:color="auto"/>
        <w:bottom w:val="none" w:sz="0" w:space="0" w:color="auto"/>
        <w:right w:val="none" w:sz="0" w:space="0" w:color="auto"/>
      </w:divBdr>
    </w:div>
    <w:div w:id="1639187487">
      <w:bodyDiv w:val="1"/>
      <w:marLeft w:val="0"/>
      <w:marRight w:val="0"/>
      <w:marTop w:val="0"/>
      <w:marBottom w:val="0"/>
      <w:divBdr>
        <w:top w:val="none" w:sz="0" w:space="0" w:color="auto"/>
        <w:left w:val="none" w:sz="0" w:space="0" w:color="auto"/>
        <w:bottom w:val="none" w:sz="0" w:space="0" w:color="auto"/>
        <w:right w:val="none" w:sz="0" w:space="0" w:color="auto"/>
      </w:divBdr>
      <w:divsChild>
        <w:div w:id="1074283117">
          <w:marLeft w:val="0"/>
          <w:marRight w:val="0"/>
          <w:marTop w:val="0"/>
          <w:marBottom w:val="0"/>
          <w:divBdr>
            <w:top w:val="none" w:sz="0" w:space="0" w:color="auto"/>
            <w:left w:val="none" w:sz="0" w:space="0" w:color="auto"/>
            <w:bottom w:val="none" w:sz="0" w:space="0" w:color="auto"/>
            <w:right w:val="none" w:sz="0" w:space="0" w:color="auto"/>
          </w:divBdr>
        </w:div>
      </w:divsChild>
    </w:div>
    <w:div w:id="1643270842">
      <w:bodyDiv w:val="1"/>
      <w:marLeft w:val="0"/>
      <w:marRight w:val="0"/>
      <w:marTop w:val="0"/>
      <w:marBottom w:val="0"/>
      <w:divBdr>
        <w:top w:val="none" w:sz="0" w:space="0" w:color="auto"/>
        <w:left w:val="none" w:sz="0" w:space="0" w:color="auto"/>
        <w:bottom w:val="none" w:sz="0" w:space="0" w:color="auto"/>
        <w:right w:val="none" w:sz="0" w:space="0" w:color="auto"/>
      </w:divBdr>
    </w:div>
    <w:div w:id="1737774513">
      <w:bodyDiv w:val="1"/>
      <w:marLeft w:val="0"/>
      <w:marRight w:val="0"/>
      <w:marTop w:val="0"/>
      <w:marBottom w:val="0"/>
      <w:divBdr>
        <w:top w:val="none" w:sz="0" w:space="0" w:color="auto"/>
        <w:left w:val="none" w:sz="0" w:space="0" w:color="auto"/>
        <w:bottom w:val="none" w:sz="0" w:space="0" w:color="auto"/>
        <w:right w:val="none" w:sz="0" w:space="0" w:color="auto"/>
      </w:divBdr>
    </w:div>
    <w:div w:id="1751809878">
      <w:bodyDiv w:val="1"/>
      <w:marLeft w:val="0"/>
      <w:marRight w:val="0"/>
      <w:marTop w:val="0"/>
      <w:marBottom w:val="0"/>
      <w:divBdr>
        <w:top w:val="none" w:sz="0" w:space="0" w:color="auto"/>
        <w:left w:val="none" w:sz="0" w:space="0" w:color="auto"/>
        <w:bottom w:val="none" w:sz="0" w:space="0" w:color="auto"/>
        <w:right w:val="none" w:sz="0" w:space="0" w:color="auto"/>
      </w:divBdr>
    </w:div>
    <w:div w:id="1796560559">
      <w:bodyDiv w:val="1"/>
      <w:marLeft w:val="0"/>
      <w:marRight w:val="0"/>
      <w:marTop w:val="0"/>
      <w:marBottom w:val="0"/>
      <w:divBdr>
        <w:top w:val="none" w:sz="0" w:space="0" w:color="auto"/>
        <w:left w:val="none" w:sz="0" w:space="0" w:color="auto"/>
        <w:bottom w:val="none" w:sz="0" w:space="0" w:color="auto"/>
        <w:right w:val="none" w:sz="0" w:space="0" w:color="auto"/>
      </w:divBdr>
    </w:div>
    <w:div w:id="1805467184">
      <w:bodyDiv w:val="1"/>
      <w:marLeft w:val="0"/>
      <w:marRight w:val="0"/>
      <w:marTop w:val="0"/>
      <w:marBottom w:val="0"/>
      <w:divBdr>
        <w:top w:val="none" w:sz="0" w:space="0" w:color="auto"/>
        <w:left w:val="none" w:sz="0" w:space="0" w:color="auto"/>
        <w:bottom w:val="none" w:sz="0" w:space="0" w:color="auto"/>
        <w:right w:val="none" w:sz="0" w:space="0" w:color="auto"/>
      </w:divBdr>
    </w:div>
    <w:div w:id="1810787094">
      <w:bodyDiv w:val="1"/>
      <w:marLeft w:val="0"/>
      <w:marRight w:val="0"/>
      <w:marTop w:val="0"/>
      <w:marBottom w:val="0"/>
      <w:divBdr>
        <w:top w:val="none" w:sz="0" w:space="0" w:color="auto"/>
        <w:left w:val="none" w:sz="0" w:space="0" w:color="auto"/>
        <w:bottom w:val="none" w:sz="0" w:space="0" w:color="auto"/>
        <w:right w:val="none" w:sz="0" w:space="0" w:color="auto"/>
      </w:divBdr>
    </w:div>
    <w:div w:id="1850021530">
      <w:bodyDiv w:val="1"/>
      <w:marLeft w:val="0"/>
      <w:marRight w:val="0"/>
      <w:marTop w:val="0"/>
      <w:marBottom w:val="0"/>
      <w:divBdr>
        <w:top w:val="none" w:sz="0" w:space="0" w:color="auto"/>
        <w:left w:val="none" w:sz="0" w:space="0" w:color="auto"/>
        <w:bottom w:val="none" w:sz="0" w:space="0" w:color="auto"/>
        <w:right w:val="none" w:sz="0" w:space="0" w:color="auto"/>
      </w:divBdr>
    </w:div>
    <w:div w:id="1924796792">
      <w:bodyDiv w:val="1"/>
      <w:marLeft w:val="0"/>
      <w:marRight w:val="0"/>
      <w:marTop w:val="0"/>
      <w:marBottom w:val="0"/>
      <w:divBdr>
        <w:top w:val="none" w:sz="0" w:space="0" w:color="auto"/>
        <w:left w:val="none" w:sz="0" w:space="0" w:color="auto"/>
        <w:bottom w:val="none" w:sz="0" w:space="0" w:color="auto"/>
        <w:right w:val="none" w:sz="0" w:space="0" w:color="auto"/>
      </w:divBdr>
    </w:div>
    <w:div w:id="2029138446">
      <w:bodyDiv w:val="1"/>
      <w:marLeft w:val="0"/>
      <w:marRight w:val="0"/>
      <w:marTop w:val="0"/>
      <w:marBottom w:val="0"/>
      <w:divBdr>
        <w:top w:val="none" w:sz="0" w:space="0" w:color="auto"/>
        <w:left w:val="none" w:sz="0" w:space="0" w:color="auto"/>
        <w:bottom w:val="none" w:sz="0" w:space="0" w:color="auto"/>
        <w:right w:val="none" w:sz="0" w:space="0" w:color="auto"/>
      </w:divBdr>
    </w:div>
    <w:div w:id="2031832576">
      <w:bodyDiv w:val="1"/>
      <w:marLeft w:val="0"/>
      <w:marRight w:val="0"/>
      <w:marTop w:val="0"/>
      <w:marBottom w:val="0"/>
      <w:divBdr>
        <w:top w:val="none" w:sz="0" w:space="0" w:color="auto"/>
        <w:left w:val="none" w:sz="0" w:space="0" w:color="auto"/>
        <w:bottom w:val="none" w:sz="0" w:space="0" w:color="auto"/>
        <w:right w:val="none" w:sz="0" w:space="0" w:color="auto"/>
      </w:divBdr>
    </w:div>
    <w:div w:id="2037584437">
      <w:bodyDiv w:val="1"/>
      <w:marLeft w:val="0"/>
      <w:marRight w:val="0"/>
      <w:marTop w:val="0"/>
      <w:marBottom w:val="0"/>
      <w:divBdr>
        <w:top w:val="none" w:sz="0" w:space="0" w:color="auto"/>
        <w:left w:val="none" w:sz="0" w:space="0" w:color="auto"/>
        <w:bottom w:val="none" w:sz="0" w:space="0" w:color="auto"/>
        <w:right w:val="none" w:sz="0" w:space="0" w:color="auto"/>
      </w:divBdr>
    </w:div>
    <w:div w:id="2070152003">
      <w:bodyDiv w:val="1"/>
      <w:marLeft w:val="0"/>
      <w:marRight w:val="0"/>
      <w:marTop w:val="0"/>
      <w:marBottom w:val="0"/>
      <w:divBdr>
        <w:top w:val="none" w:sz="0" w:space="0" w:color="auto"/>
        <w:left w:val="none" w:sz="0" w:space="0" w:color="auto"/>
        <w:bottom w:val="none" w:sz="0" w:space="0" w:color="auto"/>
        <w:right w:val="none" w:sz="0" w:space="0" w:color="auto"/>
      </w:divBdr>
    </w:div>
    <w:div w:id="2144106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10</Pages>
  <Words>4637</Words>
  <Characters>26437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Alexandra</dc:creator>
  <cp:keywords/>
  <dc:description/>
  <cp:lastModifiedBy>Brown, Alexandra</cp:lastModifiedBy>
  <cp:revision>3</cp:revision>
  <dcterms:created xsi:type="dcterms:W3CDTF">2025-03-15T14:27:00Z</dcterms:created>
  <dcterms:modified xsi:type="dcterms:W3CDTF">2025-03-15T14:39:00Z</dcterms:modified>
</cp:coreProperties>
</file>