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28D" w:rsidRDefault="00A80C78">
      <w:r>
        <w:t>Quasi-experimental design research</w:t>
      </w:r>
    </w:p>
    <w:p w:rsidR="00A80C78" w:rsidRDefault="00A80C78"/>
    <w:p w:rsidR="00A80C78" w:rsidRDefault="00A80C78">
      <w:r>
        <w:t xml:space="preserve">Cohen and </w:t>
      </w:r>
      <w:proofErr w:type="spellStart"/>
      <w:r>
        <w:t>Manion</w:t>
      </w:r>
      <w:proofErr w:type="spellEnd"/>
      <w:r>
        <w:t xml:space="preserve"> – when not possible to undertake a ‘true experimental design’ – what is a true experimental design?</w:t>
      </w:r>
    </w:p>
    <w:p w:rsidR="00A80C78" w:rsidRDefault="00A80C78" w:rsidP="00A80C78">
      <w:pPr>
        <w:pStyle w:val="ListParagraph"/>
        <w:numPr>
          <w:ilvl w:val="0"/>
          <w:numId w:val="1"/>
        </w:numPr>
      </w:pPr>
      <w:r>
        <w:t xml:space="preserve">Usually involves field experimentation where all </w:t>
      </w:r>
      <w:r w:rsidR="00E96E34">
        <w:t>variables</w:t>
      </w:r>
      <w:r>
        <w:t xml:space="preserve"> cannot be controlled</w:t>
      </w:r>
    </w:p>
    <w:p w:rsidR="00A80C78" w:rsidRDefault="00A80C78" w:rsidP="00A80C78">
      <w:r>
        <w:t>Campbell and Stanley (1963) – define it as having the control over the ‘who and ‘to whom’ of measurement but not over the ‘when’ and ‘to whom’ of exposure. You can choose who you measure but not the level of their exposure – therefore cannot provide a true control group.</w:t>
      </w:r>
      <w:r w:rsidR="00EC739C">
        <w:t xml:space="preserve"> Often these are termed comparison groups instead, within </w:t>
      </w:r>
      <w:proofErr w:type="gramStart"/>
      <w:r w:rsidR="00EC739C">
        <w:t>education</w:t>
      </w:r>
      <w:proofErr w:type="gramEnd"/>
      <w:r w:rsidR="00EC739C">
        <w:t xml:space="preserve"> it is likely that schools or settings will volunteer for interventions or research and therefore you cannot randomly assign people to groups in order to have a random control group. It is also possible that the </w:t>
      </w:r>
      <w:proofErr w:type="spellStart"/>
      <w:r w:rsidR="00EC739C">
        <w:t>shole</w:t>
      </w:r>
      <w:proofErr w:type="spellEnd"/>
      <w:r w:rsidR="00EC739C">
        <w:t xml:space="preserve"> school class/setting will volunteer and be part of the experimental group preventing a ‘true’ control group. The control or comparison group may be from different school or circumstances or there may not be one at all (</w:t>
      </w:r>
      <w:proofErr w:type="spellStart"/>
      <w:r w:rsidR="00EC739C">
        <w:t>Muijs</w:t>
      </w:r>
      <w:proofErr w:type="spellEnd"/>
      <w:r w:rsidR="00EC739C">
        <w:t>, 2011). Not having a control or comparison group or one that is dissimilar to the experimental group can risk losing the advantages associated with an experimental design.</w:t>
      </w:r>
      <w:bookmarkStart w:id="0" w:name="_GoBack"/>
      <w:bookmarkEnd w:id="0"/>
    </w:p>
    <w:p w:rsidR="00A80C78" w:rsidRDefault="00A80C78" w:rsidP="00A80C78">
      <w:r>
        <w:t xml:space="preserve">Often used for pre and post intervention tests – such as Miller et al. (2018) where the effect of a writing intervention was tested for online degree nursing students through convenience sampling. Established standardised scales </w:t>
      </w:r>
      <w:proofErr w:type="gramStart"/>
      <w:r>
        <w:t>were used</w:t>
      </w:r>
      <w:proofErr w:type="gramEnd"/>
      <w:r>
        <w:t xml:space="preserve"> to measure writing competency pre and post intervention.</w:t>
      </w:r>
    </w:p>
    <w:p w:rsidR="00A80C78" w:rsidRDefault="00A80C78" w:rsidP="00A80C78">
      <w:r>
        <w:t xml:space="preserve">What impact does this have on research design – e.g. sample, measure, </w:t>
      </w:r>
      <w:proofErr w:type="gramStart"/>
      <w:r>
        <w:t>analysis</w:t>
      </w:r>
      <w:proofErr w:type="gramEnd"/>
    </w:p>
    <w:p w:rsidR="00A80C78" w:rsidRDefault="00EC739C" w:rsidP="00A80C78">
      <w:r>
        <w:t>Process very similar to exper</w:t>
      </w:r>
      <w:r w:rsidR="003B52D2">
        <w:t xml:space="preserve">imental design where there is a research objective and a </w:t>
      </w:r>
      <w:proofErr w:type="gramStart"/>
      <w:r>
        <w:t>hypothesis</w:t>
      </w:r>
      <w:r w:rsidR="003B52D2">
        <w:t>,</w:t>
      </w:r>
      <w:proofErr w:type="gramEnd"/>
      <w:r w:rsidR="003B52D2">
        <w:t xml:space="preserve"> this is followed by a pre-test, then intervention then post-test and analysis. It is important to ensure that the ‘measure’ tool is appropriate, relevant and is measuring what we need to know.</w:t>
      </w:r>
    </w:p>
    <w:p w:rsidR="003B52D2" w:rsidRDefault="003B52D2" w:rsidP="00A80C78">
      <w:r>
        <w:t xml:space="preserve">We cannot control the implementation of the intervention or experiment as meticulously as can be done in a pure experimental approach, therefore having an in-depth understanding of the contextual factors and situation of the location is important (Harris, 2001). </w:t>
      </w:r>
    </w:p>
    <w:p w:rsidR="003B52D2" w:rsidRDefault="003B52D2" w:rsidP="00A80C78">
      <w:r>
        <w:t xml:space="preserve">Having more than one measure can support identifying specific factors that have had more or less of an impact in a natural setting. For </w:t>
      </w:r>
      <w:proofErr w:type="gramStart"/>
      <w:r>
        <w:t>example</w:t>
      </w:r>
      <w:proofErr w:type="gramEnd"/>
      <w:r>
        <w:t xml:space="preserve"> a standardised test could be supplemented with an observational or survey tool to allow for triangulation of data and further analysis.</w:t>
      </w:r>
    </w:p>
    <w:p w:rsidR="00E96E34" w:rsidRDefault="00E96E34" w:rsidP="00E96E34">
      <w:r>
        <w:t>Why is this relevant for educational research?</w:t>
      </w:r>
    </w:p>
    <w:p w:rsidR="00E96E34" w:rsidRDefault="00E96E34" w:rsidP="00E96E34">
      <w:r>
        <w:t xml:space="preserve">A benefit of a quasi-experimental approach is the ability to undertake research within a natural environment and according to </w:t>
      </w:r>
      <w:proofErr w:type="spellStart"/>
      <w:r>
        <w:t>Muijs</w:t>
      </w:r>
      <w:proofErr w:type="spellEnd"/>
      <w:r>
        <w:t xml:space="preserve"> (2011) tis allows us to see if interventions will work in the real world.</w:t>
      </w:r>
    </w:p>
    <w:p w:rsidR="003B52D2" w:rsidRDefault="003B52D2" w:rsidP="00A80C78">
      <w:r>
        <w:t>Natural, real life classrooms are multifaceted and complex, this means that identifying a true cause and effect answer to a research aim or hypothesis is difficult. Using a comparison group can suggest</w:t>
      </w:r>
      <w:r w:rsidR="00E96E34">
        <w:t xml:space="preserve"> impact but not provide definitive cause and effect like a true experimental design.</w:t>
      </w:r>
      <w:r>
        <w:t xml:space="preserve"> </w:t>
      </w:r>
    </w:p>
    <w:p w:rsidR="00A80C78" w:rsidRDefault="00A80C78" w:rsidP="00A80C78"/>
    <w:p w:rsidR="00A80C78" w:rsidRDefault="00A80C78" w:rsidP="00A80C78">
      <w:pPr>
        <w:rPr>
          <w:rFonts w:ascii="Verdana" w:hAnsi="Verdana"/>
          <w:color w:val="555555"/>
          <w:sz w:val="18"/>
          <w:szCs w:val="18"/>
        </w:rPr>
      </w:pPr>
      <w:r>
        <w:rPr>
          <w:rFonts w:ascii="Verdana" w:hAnsi="Verdana"/>
          <w:color w:val="555555"/>
          <w:sz w:val="18"/>
          <w:szCs w:val="18"/>
        </w:rPr>
        <w:t xml:space="preserve">Miller, L. C., Russell, C. L., An-Lin, C., &amp; </w:t>
      </w:r>
      <w:proofErr w:type="spellStart"/>
      <w:r>
        <w:rPr>
          <w:rFonts w:ascii="Verdana" w:hAnsi="Verdana"/>
          <w:color w:val="555555"/>
          <w:sz w:val="18"/>
          <w:szCs w:val="18"/>
        </w:rPr>
        <w:t>Zembles</w:t>
      </w:r>
      <w:proofErr w:type="spellEnd"/>
      <w:r>
        <w:rPr>
          <w:rFonts w:ascii="Verdana" w:hAnsi="Verdana"/>
          <w:color w:val="555555"/>
          <w:sz w:val="18"/>
          <w:szCs w:val="18"/>
        </w:rPr>
        <w:t xml:space="preserve">, S. (2018). Testing the efficacy of a </w:t>
      </w:r>
      <w:proofErr w:type="spellStart"/>
      <w:r>
        <w:rPr>
          <w:rFonts w:ascii="Verdana" w:hAnsi="Verdana"/>
          <w:color w:val="555555"/>
          <w:sz w:val="18"/>
          <w:szCs w:val="18"/>
        </w:rPr>
        <w:t>scaffolded</w:t>
      </w:r>
      <w:proofErr w:type="spellEnd"/>
      <w:r>
        <w:rPr>
          <w:rFonts w:ascii="Verdana" w:hAnsi="Verdana"/>
          <w:color w:val="555555"/>
          <w:sz w:val="18"/>
          <w:szCs w:val="18"/>
        </w:rPr>
        <w:t xml:space="preserve"> writing intervention with online degree-completion nursing students: A quasi-experimental design.</w:t>
      </w:r>
      <w:r>
        <w:rPr>
          <w:rFonts w:ascii="Verdana" w:hAnsi="Verdana"/>
          <w:i/>
          <w:iCs/>
          <w:color w:val="555555"/>
          <w:sz w:val="18"/>
          <w:szCs w:val="18"/>
        </w:rPr>
        <w:t xml:space="preserve"> Nurse Education in Practice, 32</w:t>
      </w:r>
      <w:r>
        <w:rPr>
          <w:rFonts w:ascii="Verdana" w:hAnsi="Verdana"/>
          <w:color w:val="555555"/>
          <w:sz w:val="18"/>
          <w:szCs w:val="18"/>
        </w:rPr>
        <w:t xml:space="preserve">, 115-121. </w:t>
      </w:r>
      <w:proofErr w:type="spellStart"/>
      <w:r>
        <w:rPr>
          <w:rFonts w:ascii="Verdana" w:hAnsi="Verdana"/>
          <w:color w:val="555555"/>
          <w:sz w:val="18"/>
          <w:szCs w:val="18"/>
        </w:rPr>
        <w:t>doi:http</w:t>
      </w:r>
      <w:proofErr w:type="spellEnd"/>
      <w:r>
        <w:rPr>
          <w:rFonts w:ascii="Verdana" w:hAnsi="Verdana"/>
          <w:color w:val="555555"/>
          <w:sz w:val="18"/>
          <w:szCs w:val="18"/>
        </w:rPr>
        <w:t>://dx.doi.org/10.1016/j.nepr.2018.06.011</w:t>
      </w:r>
    </w:p>
    <w:p w:rsidR="00EC739C" w:rsidRDefault="00EC739C" w:rsidP="00A80C78">
      <w:proofErr w:type="spellStart"/>
      <w:r>
        <w:rPr>
          <w:rFonts w:ascii="Helvetica" w:hAnsi="Helvetica" w:cs="Helvetica"/>
          <w:color w:val="3A3A3A"/>
          <w:sz w:val="23"/>
          <w:szCs w:val="23"/>
        </w:rPr>
        <w:lastRenderedPageBreak/>
        <w:t>Muijs</w:t>
      </w:r>
      <w:proofErr w:type="spellEnd"/>
      <w:r>
        <w:rPr>
          <w:rFonts w:ascii="Helvetica" w:hAnsi="Helvetica" w:cs="Helvetica"/>
          <w:color w:val="3A3A3A"/>
          <w:sz w:val="23"/>
          <w:szCs w:val="23"/>
        </w:rPr>
        <w:t xml:space="preserve">, D. (2011). </w:t>
      </w:r>
      <w:r>
        <w:rPr>
          <w:rFonts w:ascii="Helvetica" w:hAnsi="Helvetica" w:cs="Helvetica"/>
          <w:i/>
          <w:iCs/>
          <w:color w:val="3A3A3A"/>
          <w:sz w:val="23"/>
          <w:szCs w:val="23"/>
        </w:rPr>
        <w:t>Doing quantitative research in education with SPSS</w:t>
      </w:r>
      <w:r>
        <w:rPr>
          <w:rFonts w:ascii="Helvetica" w:hAnsi="Helvetica" w:cs="Helvetica"/>
          <w:color w:val="3A3A3A"/>
          <w:sz w:val="23"/>
          <w:szCs w:val="23"/>
        </w:rPr>
        <w:t xml:space="preserve"> (</w:t>
      </w:r>
      <w:proofErr w:type="gramStart"/>
      <w:r>
        <w:rPr>
          <w:rFonts w:ascii="Helvetica" w:hAnsi="Helvetica" w:cs="Helvetica"/>
          <w:color w:val="3A3A3A"/>
          <w:sz w:val="23"/>
          <w:szCs w:val="23"/>
        </w:rPr>
        <w:t>2nd</w:t>
      </w:r>
      <w:proofErr w:type="gramEnd"/>
      <w:r>
        <w:rPr>
          <w:rFonts w:ascii="Helvetica" w:hAnsi="Helvetica" w:cs="Helvetica"/>
          <w:color w:val="3A3A3A"/>
          <w:sz w:val="23"/>
          <w:szCs w:val="23"/>
        </w:rPr>
        <w:t xml:space="preserve"> ed.). Los Angeles: Sage Publications.</w:t>
      </w:r>
    </w:p>
    <w:sectPr w:rsidR="00EC7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Helvetica">
    <w:panose1 w:val="020B05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FD34D62"/>
    <w:multiLevelType w:val="hybridMultilevel"/>
    <w:tmpl w:val="98E8683C"/>
    <w:lvl w:ilvl="0" w:tplc="2B0CCCC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C78"/>
    <w:rsid w:val="00002312"/>
    <w:rsid w:val="0008718C"/>
    <w:rsid w:val="000B642E"/>
    <w:rsid w:val="000C4CC4"/>
    <w:rsid w:val="000E1615"/>
    <w:rsid w:val="000F1E95"/>
    <w:rsid w:val="001122C8"/>
    <w:rsid w:val="00116A6D"/>
    <w:rsid w:val="0013008C"/>
    <w:rsid w:val="00133699"/>
    <w:rsid w:val="00141296"/>
    <w:rsid w:val="00144D65"/>
    <w:rsid w:val="00166FCD"/>
    <w:rsid w:val="001A7DFB"/>
    <w:rsid w:val="001E0527"/>
    <w:rsid w:val="00235A2A"/>
    <w:rsid w:val="0029140A"/>
    <w:rsid w:val="00291762"/>
    <w:rsid w:val="00293377"/>
    <w:rsid w:val="002935C6"/>
    <w:rsid w:val="002A6B3B"/>
    <w:rsid w:val="002C0ABE"/>
    <w:rsid w:val="002C1E05"/>
    <w:rsid w:val="002D717F"/>
    <w:rsid w:val="002D7E6C"/>
    <w:rsid w:val="00326610"/>
    <w:rsid w:val="00344E69"/>
    <w:rsid w:val="00357904"/>
    <w:rsid w:val="003B332C"/>
    <w:rsid w:val="003B52D2"/>
    <w:rsid w:val="003D5803"/>
    <w:rsid w:val="0040128D"/>
    <w:rsid w:val="00430144"/>
    <w:rsid w:val="00465597"/>
    <w:rsid w:val="004676C2"/>
    <w:rsid w:val="004846D0"/>
    <w:rsid w:val="004924A9"/>
    <w:rsid w:val="004A6BF3"/>
    <w:rsid w:val="004C647E"/>
    <w:rsid w:val="005023F9"/>
    <w:rsid w:val="00527449"/>
    <w:rsid w:val="00536428"/>
    <w:rsid w:val="00577D49"/>
    <w:rsid w:val="005A168C"/>
    <w:rsid w:val="005B61ED"/>
    <w:rsid w:val="005C59BE"/>
    <w:rsid w:val="006908B8"/>
    <w:rsid w:val="006C2E65"/>
    <w:rsid w:val="00704DBB"/>
    <w:rsid w:val="00771293"/>
    <w:rsid w:val="007A1A5F"/>
    <w:rsid w:val="007A2199"/>
    <w:rsid w:val="007A4128"/>
    <w:rsid w:val="007D3352"/>
    <w:rsid w:val="007D7B2F"/>
    <w:rsid w:val="007E70A6"/>
    <w:rsid w:val="007F0E43"/>
    <w:rsid w:val="007F77A1"/>
    <w:rsid w:val="008150B8"/>
    <w:rsid w:val="008175A6"/>
    <w:rsid w:val="0084080F"/>
    <w:rsid w:val="008721ED"/>
    <w:rsid w:val="00884E36"/>
    <w:rsid w:val="008A378D"/>
    <w:rsid w:val="00905ACC"/>
    <w:rsid w:val="00906E3E"/>
    <w:rsid w:val="00915E8E"/>
    <w:rsid w:val="00981E42"/>
    <w:rsid w:val="009B6D27"/>
    <w:rsid w:val="009C0FF4"/>
    <w:rsid w:val="00A1646A"/>
    <w:rsid w:val="00A4249C"/>
    <w:rsid w:val="00A5487F"/>
    <w:rsid w:val="00A71160"/>
    <w:rsid w:val="00A775C9"/>
    <w:rsid w:val="00A80C78"/>
    <w:rsid w:val="00A9174D"/>
    <w:rsid w:val="00B44E85"/>
    <w:rsid w:val="00B96928"/>
    <w:rsid w:val="00C356D3"/>
    <w:rsid w:val="00C54F93"/>
    <w:rsid w:val="00C75737"/>
    <w:rsid w:val="00C813FB"/>
    <w:rsid w:val="00C93B6A"/>
    <w:rsid w:val="00D26A15"/>
    <w:rsid w:val="00DB4C1E"/>
    <w:rsid w:val="00DD16C8"/>
    <w:rsid w:val="00DE1D9B"/>
    <w:rsid w:val="00DE754E"/>
    <w:rsid w:val="00E1266A"/>
    <w:rsid w:val="00E15C7C"/>
    <w:rsid w:val="00E271E3"/>
    <w:rsid w:val="00E33F24"/>
    <w:rsid w:val="00E53BCA"/>
    <w:rsid w:val="00E77805"/>
    <w:rsid w:val="00E96E34"/>
    <w:rsid w:val="00EA5FB0"/>
    <w:rsid w:val="00EC20D0"/>
    <w:rsid w:val="00EC739C"/>
    <w:rsid w:val="00F179CC"/>
    <w:rsid w:val="00F17DF7"/>
    <w:rsid w:val="00F46329"/>
    <w:rsid w:val="00F46A66"/>
    <w:rsid w:val="00F860CD"/>
    <w:rsid w:val="00FA6230"/>
    <w:rsid w:val="00FC04BC"/>
    <w:rsid w:val="00FC5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F6DD1"/>
  <w15:chartTrackingRefBased/>
  <w15:docId w15:val="{D3C815D5-972B-41B7-A2C0-9EF63B20B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0C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2</Pages>
  <Words>498</Words>
  <Characters>2842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1</cp:revision>
  <dcterms:created xsi:type="dcterms:W3CDTF">2019-02-18T11:54:00Z</dcterms:created>
  <dcterms:modified xsi:type="dcterms:W3CDTF">2019-02-18T12:39:00Z</dcterms:modified>
</cp:coreProperties>
</file>