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E13C0C">
      <w:pPr>
        <w:ind w:firstLine="1320" w:firstLineChars="300"/>
        <w:rPr>
          <w:rFonts w:hint="default" w:ascii="Comic Sans MS" w:hAnsi="Comic Sans MS" w:cs="Comic Sans MS"/>
          <w:b w:val="0"/>
          <w:bCs w:val="0"/>
          <w:sz w:val="44"/>
          <w:szCs w:val="44"/>
          <w:lang w:val="ro-RO"/>
        </w:rPr>
      </w:pPr>
    </w:p>
    <w:p w14:paraId="60DE4E8F">
      <w:pPr>
        <w:ind w:firstLine="1320" w:firstLineChars="300"/>
        <w:rPr>
          <w:rFonts w:hint="default" w:ascii="Comic Sans MS" w:hAnsi="Comic Sans MS" w:cs="Comic Sans MS"/>
          <w:b w:val="0"/>
          <w:bCs w:val="0"/>
          <w:color w:val="0000FF"/>
          <w:sz w:val="44"/>
          <w:szCs w:val="44"/>
          <w:lang w:val="ro-RO"/>
        </w:rPr>
      </w:pPr>
      <w:r>
        <w:rPr>
          <w:rFonts w:hint="default" w:ascii="Comic Sans MS" w:hAnsi="Comic Sans MS" w:cs="Comic Sans MS"/>
          <w:b w:val="0"/>
          <w:bCs w:val="0"/>
          <w:color w:val="0000FF"/>
          <w:sz w:val="44"/>
          <w:szCs w:val="44"/>
          <w:lang w:val="ro-RO"/>
        </w:rPr>
        <w:t xml:space="preserve">FINANCIAL ANALYSIS OF </w:t>
      </w:r>
    </w:p>
    <w:p w14:paraId="31A8EB31">
      <w:pPr>
        <w:ind w:left="880" w:leftChars="440" w:firstLine="2201" w:firstLineChars="500"/>
        <w:rPr>
          <w:rFonts w:hint="default"/>
          <w:b/>
          <w:bCs/>
          <w:sz w:val="32"/>
          <w:szCs w:val="32"/>
          <w:lang w:val="ro-RO"/>
        </w:rPr>
      </w:pPr>
      <w:r>
        <w:rPr>
          <w:rFonts w:hint="default" w:ascii="Comic Sans MS" w:hAnsi="Comic Sans MS" w:cs="Comic Sans MS"/>
          <w:b/>
          <w:bCs/>
          <w:color w:val="0000FF"/>
          <w:sz w:val="44"/>
          <w:szCs w:val="44"/>
          <w:lang w:val="ro-RO"/>
        </w:rPr>
        <w:t>BMW GROUP</w:t>
      </w:r>
      <w:r>
        <w:rPr>
          <w:rFonts w:hint="default"/>
          <w:b/>
          <w:bCs/>
          <w:color w:val="0000FF"/>
          <w:sz w:val="32"/>
          <w:szCs w:val="32"/>
          <w:lang w:val="ro-RO"/>
        </w:rPr>
        <w:t xml:space="preserve"> </w:t>
      </w:r>
    </w:p>
    <w:p w14:paraId="23C308B5">
      <w:pPr>
        <w:ind w:left="880" w:leftChars="440" w:firstLine="1601" w:firstLineChars="500"/>
        <w:rPr>
          <w:rFonts w:hint="default"/>
          <w:b/>
          <w:bCs/>
          <w:sz w:val="32"/>
          <w:szCs w:val="32"/>
          <w:lang w:val="ro-RO"/>
        </w:rPr>
      </w:pPr>
    </w:p>
    <w:p w14:paraId="02AB3C4D">
      <w:pPr>
        <w:rPr>
          <w:rFonts w:hint="default"/>
          <w:b/>
          <w:bCs/>
          <w:sz w:val="21"/>
          <w:szCs w:val="21"/>
          <w:lang w:val="ro-RO"/>
        </w:rPr>
      </w:pPr>
    </w:p>
    <w:p w14:paraId="7FFB27F9">
      <w:pPr>
        <w:ind w:firstLine="525" w:firstLineChars="25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 xml:space="preserve">For my presentation, I have chosen to carry out a </w:t>
      </w:r>
      <w:r>
        <w:rPr>
          <w:rFonts w:hint="default" w:asciiTheme="majorEastAsia" w:hAnsiTheme="majorEastAsia" w:cstheme="majorEastAsia"/>
          <w:b/>
          <w:bCs/>
          <w:color w:val="0000FF"/>
          <w:sz w:val="21"/>
          <w:szCs w:val="21"/>
          <w:lang w:val="ro-RO"/>
        </w:rPr>
        <w:t>financial analysis</w:t>
      </w:r>
      <w:r>
        <w:rPr>
          <w:rFonts w:hint="default" w:asciiTheme="majorEastAsia" w:hAnsiTheme="majorEastAsia" w:cstheme="majorEastAsia"/>
          <w:b/>
          <w:bCs/>
          <w:sz w:val="21"/>
          <w:szCs w:val="21"/>
          <w:lang w:val="ro-RO"/>
        </w:rPr>
        <w:t xml:space="preserve"> of the company BMW GROUP over a period of two years, using the method of ratio analysis.</w:t>
      </w:r>
    </w:p>
    <w:p w14:paraId="12104F63">
      <w:pPr>
        <w:ind w:firstLine="525" w:firstLineChars="250"/>
        <w:rPr>
          <w:rFonts w:hint="default" w:asciiTheme="majorEastAsia" w:hAnsiTheme="majorEastAsia" w:cstheme="majorEastAsia"/>
          <w:b/>
          <w:bCs/>
          <w:sz w:val="21"/>
          <w:szCs w:val="21"/>
          <w:lang w:val="ro-RO"/>
        </w:rPr>
      </w:pPr>
    </w:p>
    <w:p w14:paraId="2CD52598">
      <w:pPr>
        <w:ind w:firstLine="735" w:firstLineChars="350"/>
        <w:rPr>
          <w:rFonts w:hint="default" w:asciiTheme="majorEastAsia" w:hAnsiTheme="majorEastAsia" w:cstheme="majorEastAsia"/>
          <w:b/>
          <w:bCs/>
          <w:sz w:val="21"/>
          <w:szCs w:val="21"/>
          <w:lang w:val="ro-RO"/>
        </w:rPr>
      </w:pPr>
      <w:r>
        <w:rPr>
          <w:rFonts w:hint="default" w:asciiTheme="majorEastAsia" w:hAnsiTheme="majorEastAsia" w:cstheme="majorEastAsia"/>
          <w:b/>
          <w:bCs/>
          <w:color w:val="0000FF"/>
          <w:sz w:val="21"/>
          <w:szCs w:val="21"/>
          <w:lang w:val="ro-RO"/>
        </w:rPr>
        <w:t xml:space="preserve">Financial analysis </w:t>
      </w:r>
      <w:r>
        <w:rPr>
          <w:rFonts w:hint="default" w:asciiTheme="majorEastAsia" w:hAnsiTheme="majorEastAsia" w:cstheme="majorEastAsia"/>
          <w:b/>
          <w:bCs/>
          <w:sz w:val="21"/>
          <w:szCs w:val="21"/>
          <w:lang w:val="ro-RO"/>
        </w:rPr>
        <w:t>is important for evaluating the efficiency, stability and performance of a company.</w:t>
      </w:r>
    </w:p>
    <w:p w14:paraId="103A8959">
      <w:pPr>
        <w:rPr>
          <w:rFonts w:hint="default" w:asciiTheme="majorEastAsia" w:hAnsiTheme="majorEastAsia" w:cstheme="majorEastAsia"/>
          <w:b/>
          <w:bCs/>
          <w:sz w:val="21"/>
          <w:szCs w:val="21"/>
          <w:lang w:val="ro-RO"/>
        </w:rPr>
      </w:pPr>
    </w:p>
    <w:p w14:paraId="13F6ACBA">
      <w:p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In this report, I will calculate the main financial indicators for BMW, using data from the years 2024-2025.</w:t>
      </w:r>
    </w:p>
    <w:p w14:paraId="7A5BBA47">
      <w:pPr>
        <w:rPr>
          <w:rFonts w:hint="default" w:asciiTheme="majorEastAsia" w:hAnsiTheme="majorEastAsia" w:cstheme="majorEastAsia"/>
          <w:b/>
          <w:bCs/>
          <w:sz w:val="21"/>
          <w:szCs w:val="21"/>
          <w:lang w:val="ro-RO"/>
        </w:rPr>
      </w:pPr>
    </w:p>
    <w:p w14:paraId="46511FB3">
      <w:p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 xml:space="preserve">          </w:t>
      </w:r>
      <w:r>
        <w:rPr>
          <w:rFonts w:hint="default" w:asciiTheme="majorEastAsia" w:hAnsiTheme="majorEastAsia" w:cstheme="majorEastAsia"/>
          <w:b/>
          <w:bCs/>
          <w:color w:val="0000FF"/>
          <w:sz w:val="21"/>
          <w:szCs w:val="21"/>
          <w:lang w:val="ro-RO"/>
        </w:rPr>
        <w:t>BMW Group</w:t>
      </w:r>
      <w:r>
        <w:rPr>
          <w:rFonts w:hint="default" w:asciiTheme="majorEastAsia" w:hAnsiTheme="majorEastAsia" w:cstheme="majorEastAsia"/>
          <w:b/>
          <w:bCs/>
          <w:sz w:val="21"/>
          <w:szCs w:val="21"/>
          <w:lang w:val="ro-RO"/>
        </w:rPr>
        <w:t xml:space="preserve"> is one of the most important global manufactures of premium automobiles and motorcycles. The company operates at an international level and owns brands such as BMW, MINI and Rolls-Royce.</w:t>
      </w:r>
    </w:p>
    <w:p w14:paraId="5510FB31">
      <w:pPr>
        <w:rPr>
          <w:rFonts w:hint="default" w:asciiTheme="majorEastAsia" w:hAnsiTheme="majorEastAsia" w:cstheme="majorEastAsia"/>
          <w:b/>
          <w:bCs/>
          <w:sz w:val="21"/>
          <w:szCs w:val="21"/>
          <w:lang w:val="ro-RO"/>
        </w:rPr>
      </w:pPr>
    </w:p>
    <w:p w14:paraId="4085A473">
      <w:p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In recent years, BMW has focused an the development of electric vehicles, sustainability nd digitalization.</w:t>
      </w:r>
    </w:p>
    <w:p w14:paraId="1EA722EB">
      <w:pPr>
        <w:rPr>
          <w:rFonts w:hint="default" w:asciiTheme="majorEastAsia" w:hAnsiTheme="majorEastAsia" w:cstheme="majorEastAsia"/>
          <w:b/>
          <w:bCs/>
          <w:sz w:val="21"/>
          <w:szCs w:val="21"/>
          <w:lang w:val="ro-RO"/>
        </w:rPr>
      </w:pPr>
    </w:p>
    <w:p w14:paraId="463CAEA7">
      <w:p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As an any other companies, high energy costs, inflation and supply issues have influenced financial performance.</w:t>
      </w:r>
    </w:p>
    <w:p w14:paraId="05ED25EF">
      <w:pPr>
        <w:rPr>
          <w:rFonts w:hint="default" w:asciiTheme="majorEastAsia" w:hAnsiTheme="majorEastAsia" w:cstheme="majorEastAsia"/>
          <w:b/>
          <w:bCs/>
          <w:sz w:val="21"/>
          <w:szCs w:val="21"/>
          <w:lang w:val="ro-RO"/>
        </w:rPr>
      </w:pPr>
    </w:p>
    <w:p w14:paraId="3377A7A6">
      <w:p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 xml:space="preserve">     In order to evaluate and analyze the financial situation an ferformance of BMW Group, I will use the following indicators.</w:t>
      </w:r>
    </w:p>
    <w:p w14:paraId="1A87C640">
      <w:pPr>
        <w:rPr>
          <w:rFonts w:hint="default" w:asciiTheme="majorEastAsia" w:hAnsiTheme="majorEastAsia" w:cstheme="majorEastAsia"/>
          <w:b/>
          <w:bCs/>
          <w:sz w:val="21"/>
          <w:szCs w:val="21"/>
          <w:lang w:val="ro-RO"/>
        </w:rPr>
      </w:pPr>
    </w:p>
    <w:p w14:paraId="4C1BF20C">
      <w:p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 xml:space="preserve">      </w:t>
      </w:r>
      <w:r>
        <w:rPr>
          <w:rFonts w:hint="default" w:asciiTheme="majorEastAsia" w:hAnsiTheme="majorEastAsia" w:cstheme="majorEastAsia"/>
          <w:b/>
          <w:bCs/>
          <w:sz w:val="21"/>
          <w:szCs w:val="21"/>
          <w:lang w:val="ro-RO"/>
          <w14:textFill>
            <w14:gradFill>
              <w14:gsLst>
                <w14:gs w14:pos="42000">
                  <w14:srgbClr w14:val="EE6E6B"/>
                </w14:gs>
                <w14:gs w14:pos="0">
                  <w14:srgbClr w14:val="F19D9C"/>
                </w14:gs>
                <w14:gs w14:pos="100000">
                  <w14:srgbClr w14:val="EB3F3A"/>
                </w14:gs>
              </w14:gsLst>
              <w14:lin w14:scaled="1"/>
            </w14:gradFill>
          </w14:textFill>
        </w:rPr>
        <w:t xml:space="preserve"> </w:t>
      </w:r>
      <w:r>
        <w:rPr>
          <w:rFonts w:hint="default" w:asciiTheme="majorEastAsia" w:hAnsiTheme="majorEastAsia" w:cstheme="majorEastAsia"/>
          <w:b/>
          <w:bCs/>
          <w:color w:val="ED7D31" w:themeColor="accent2"/>
          <w:sz w:val="21"/>
          <w:szCs w:val="21"/>
          <w:lang w:val="ro-RO"/>
          <w14:textFill>
            <w14:gradFill>
              <w14:gsLst>
                <w14:gs w14:pos="42000">
                  <w14:srgbClr w14:val="EE6E6B"/>
                </w14:gs>
                <w14:gs w14:pos="0">
                  <w14:srgbClr w14:val="F19D9C"/>
                </w14:gs>
                <w14:gs w14:pos="100000">
                  <w14:srgbClr w14:val="EB3F3A"/>
                </w14:gs>
              </w14:gsLst>
              <w14:lin w14:scaled="1"/>
            </w14:gradFill>
          </w14:textFill>
        </w:rPr>
        <w:t>Profitability indicators</w:t>
      </w:r>
      <w:r>
        <w:rPr>
          <w:rFonts w:hint="default" w:asciiTheme="majorEastAsia" w:hAnsiTheme="majorEastAsia" w:cstheme="majorEastAsia"/>
          <w:b/>
          <w:bCs/>
          <w:sz w:val="21"/>
          <w:szCs w:val="21"/>
          <w:lang w:val="ro-RO"/>
        </w:rPr>
        <w:t>, wich measure the company’s ability to generate profit</w:t>
      </w:r>
    </w:p>
    <w:p w14:paraId="22C03413">
      <w:pPr>
        <w:numPr>
          <w:ilvl w:val="0"/>
          <w:numId w:val="1"/>
        </w:numPr>
        <w:ind w:left="420" w:leftChars="0" w:hanging="420" w:firstLineChars="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Gross profit margin</w:t>
      </w:r>
    </w:p>
    <w:p w14:paraId="791AE50F">
      <w:pPr>
        <w:numPr>
          <w:ilvl w:val="0"/>
          <w:numId w:val="1"/>
        </w:numPr>
        <w:ind w:left="420" w:leftChars="0" w:hanging="420" w:firstLineChars="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Net profit margin</w:t>
      </w:r>
    </w:p>
    <w:p w14:paraId="62E99C6A">
      <w:pPr>
        <w:numPr>
          <w:ilvl w:val="0"/>
          <w:numId w:val="1"/>
        </w:numPr>
        <w:ind w:left="420" w:leftChars="0" w:hanging="420" w:firstLineChars="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ROCE</w:t>
      </w:r>
    </w:p>
    <w:p w14:paraId="38F1238E">
      <w:p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 xml:space="preserve">      </w:t>
      </w:r>
      <w:r>
        <w:rPr>
          <w:rFonts w:hint="default" w:asciiTheme="majorEastAsia" w:hAnsiTheme="majorEastAsia" w:cstheme="majorEastAsia"/>
          <w:b/>
          <w:bCs/>
          <w:color w:val="ED7D31" w:themeColor="accent2"/>
          <w:sz w:val="21"/>
          <w:szCs w:val="21"/>
          <w:lang w:val="ro-RO"/>
          <w14:textFill>
            <w14:gradFill>
              <w14:gsLst>
                <w14:gs w14:pos="42000">
                  <w14:srgbClr w14:val="EE6E6B"/>
                </w14:gs>
                <w14:gs w14:pos="0">
                  <w14:srgbClr w14:val="F19D9C"/>
                </w14:gs>
                <w14:gs w14:pos="100000">
                  <w14:srgbClr w14:val="EB3F3A"/>
                </w14:gs>
              </w14:gsLst>
              <w14:lin w14:scaled="1"/>
            </w14:gradFill>
          </w14:textFill>
        </w:rPr>
        <w:t>Profitability</w:t>
      </w:r>
      <w:r>
        <w:rPr>
          <w:rFonts w:hint="default" w:asciiTheme="majorEastAsia" w:hAnsiTheme="majorEastAsia" w:cstheme="majorEastAsia"/>
          <w:b/>
          <w:bCs/>
          <w:sz w:val="21"/>
          <w:szCs w:val="21"/>
          <w:lang w:val="ro-RO"/>
        </w:rPr>
        <w:t xml:space="preserve"> is one of the forms of expressing economic efficiency with editing synthesis power so that it incldes all economic and financial aspects of companies(Bujyo,2020)</w:t>
      </w:r>
    </w:p>
    <w:p w14:paraId="6499EAF1">
      <w:pPr>
        <w:rPr>
          <w:rFonts w:hint="default" w:asciiTheme="majorEastAsia" w:hAnsiTheme="majorEastAsia" w:cstheme="majorEastAsia"/>
          <w:b/>
          <w:bCs/>
          <w:sz w:val="21"/>
          <w:szCs w:val="21"/>
          <w:lang w:val="ro-RO"/>
        </w:rPr>
      </w:pPr>
    </w:p>
    <w:p w14:paraId="59AA4587">
      <w:p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 xml:space="preserve">      </w:t>
      </w:r>
      <w:r>
        <w:rPr>
          <w:rFonts w:hint="default" w:asciiTheme="majorEastAsia" w:hAnsiTheme="majorEastAsia" w:cstheme="majorEastAsia"/>
          <w:b/>
          <w:bCs/>
          <w:sz w:val="21"/>
          <w:szCs w:val="21"/>
          <w:lang w:val="ro-RO"/>
          <w14:textFill>
            <w14:gradFill>
              <w14:gsLst>
                <w14:gs w14:pos="42000">
                  <w14:srgbClr w14:val="445F83"/>
                </w14:gs>
                <w14:gs w14:pos="0">
                  <w14:srgbClr w14:val="8093AC"/>
                </w14:gs>
                <w14:gs w14:pos="100000">
                  <w14:srgbClr w14:val="082B5A"/>
                </w14:gs>
              </w14:gsLst>
              <w14:lin w14:scaled="1"/>
            </w14:gradFill>
          </w14:textFill>
        </w:rPr>
        <w:t xml:space="preserve"> Liquidity indicators  </w:t>
      </w:r>
      <w:r>
        <w:rPr>
          <w:rFonts w:hint="default" w:asciiTheme="majorEastAsia" w:hAnsiTheme="majorEastAsia" w:cstheme="majorEastAsia"/>
          <w:b/>
          <w:bCs/>
          <w:sz w:val="21"/>
          <w:szCs w:val="21"/>
          <w:lang w:val="ro-RO"/>
        </w:rPr>
        <w:t>Are a class of financial metrics used to determinate a debtor’s ability to pay off current debt obligation without raising external capital.</w:t>
      </w:r>
    </w:p>
    <w:p w14:paraId="59BF496D">
      <w:pPr>
        <w:numPr>
          <w:ilvl w:val="0"/>
          <w:numId w:val="2"/>
        </w:numPr>
        <w:ind w:left="420" w:leftChars="0" w:hanging="420" w:firstLineChars="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Current Ratio</w:t>
      </w:r>
    </w:p>
    <w:p w14:paraId="36BCD187">
      <w:pPr>
        <w:numPr>
          <w:ilvl w:val="0"/>
          <w:numId w:val="2"/>
        </w:numPr>
        <w:ind w:left="420" w:leftChars="0" w:hanging="420" w:firstLineChars="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Quick Ratio</w:t>
      </w:r>
    </w:p>
    <w:p w14:paraId="76D90DA2">
      <w:pPr>
        <w:rPr>
          <w:rFonts w:hint="default" w:asciiTheme="majorEastAsia" w:hAnsiTheme="majorEastAsia" w:cstheme="majorEastAsia"/>
          <w:b/>
          <w:bCs/>
          <w:sz w:val="21"/>
          <w:szCs w:val="21"/>
          <w:lang w:val="ro-RO"/>
        </w:rPr>
      </w:pPr>
    </w:p>
    <w:p w14:paraId="060BB118">
      <w:pPr>
        <w:rPr>
          <w:rFonts w:hint="default" w:asciiTheme="majorEastAsia" w:hAnsiTheme="majorEastAsia" w:cstheme="majorEastAsia"/>
          <w:b/>
          <w:bCs/>
          <w:sz w:val="21"/>
          <w:szCs w:val="21"/>
          <w:lang w:val="ro-RO"/>
          <w14:textFill>
            <w14:gradFill>
              <w14:gsLst>
                <w14:gs w14:pos="42000">
                  <w14:srgbClr w14:val="B05790"/>
                </w14:gs>
                <w14:gs w14:pos="0">
                  <w14:srgbClr w14:val="C88DB4"/>
                </w14:gs>
                <w14:gs w14:pos="100000">
                  <w14:srgbClr w14:val="98206B"/>
                </w14:gs>
              </w14:gsLst>
              <w14:lin w14:scaled="1"/>
            </w14:gradFill>
          </w14:textFill>
        </w:rPr>
      </w:pPr>
      <w:r>
        <w:rPr>
          <w:rFonts w:hint="default" w:asciiTheme="majorEastAsia" w:hAnsiTheme="majorEastAsia" w:cstheme="majorEastAsia"/>
          <w:b/>
          <w:bCs/>
          <w:sz w:val="21"/>
          <w:szCs w:val="21"/>
          <w:lang w:val="ro-RO"/>
        </w:rPr>
        <w:t xml:space="preserve">      </w:t>
      </w:r>
      <w:r>
        <w:rPr>
          <w:rFonts w:hint="default" w:asciiTheme="majorEastAsia" w:hAnsiTheme="majorEastAsia" w:cstheme="majorEastAsia"/>
          <w:b/>
          <w:bCs/>
          <w:sz w:val="21"/>
          <w:szCs w:val="21"/>
          <w:lang w:val="ro-RO"/>
          <w14:textFill>
            <w14:gradFill>
              <w14:gsLst>
                <w14:gs w14:pos="42000">
                  <w14:srgbClr w14:val="B05790"/>
                </w14:gs>
                <w14:gs w14:pos="0">
                  <w14:srgbClr w14:val="C88DB4"/>
                </w14:gs>
                <w14:gs w14:pos="100000">
                  <w14:srgbClr w14:val="98206B"/>
                </w14:gs>
              </w14:gsLst>
              <w14:lin w14:scaled="1"/>
            </w14:gradFill>
          </w14:textFill>
        </w:rPr>
        <w:t>Efficiency indicators</w:t>
      </w:r>
    </w:p>
    <w:p w14:paraId="00FD1780">
      <w:p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Measure how efficiently resources are used.</w:t>
      </w:r>
    </w:p>
    <w:p w14:paraId="00E5A255">
      <w:pPr>
        <w:numPr>
          <w:ilvl w:val="0"/>
          <w:numId w:val="3"/>
        </w:numPr>
        <w:ind w:left="420" w:leftChars="0" w:hanging="420" w:firstLineChars="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Receivables Days.</w:t>
      </w:r>
    </w:p>
    <w:p w14:paraId="2EA9C58E">
      <w:pPr>
        <w:rPr>
          <w:rFonts w:hint="default" w:asciiTheme="majorEastAsia" w:hAnsiTheme="majorEastAsia" w:cstheme="majorEastAsia"/>
          <w:b/>
          <w:bCs/>
          <w:sz w:val="21"/>
          <w:szCs w:val="21"/>
          <w:lang w:val="ro-RO"/>
        </w:rPr>
      </w:pPr>
    </w:p>
    <w:p w14:paraId="3C85D5CA">
      <w:pPr>
        <w:rPr>
          <w:rFonts w:hint="default" w:asciiTheme="majorEastAsia" w:hAnsiTheme="majorEastAsia" w:cstheme="majorEastAsia"/>
          <w:b/>
          <w:bCs/>
          <w:sz w:val="21"/>
          <w:szCs w:val="21"/>
          <w:lang w:val="ro-RO"/>
          <w14:textFill>
            <w14:gradFill>
              <w14:gsLst>
                <w14:gs w14:pos="42000">
                  <w14:srgbClr w14:val="445F83"/>
                </w14:gs>
                <w14:gs w14:pos="0">
                  <w14:srgbClr w14:val="8093AC"/>
                </w14:gs>
                <w14:gs w14:pos="100000">
                  <w14:srgbClr w14:val="082B5A"/>
                </w14:gs>
              </w14:gsLst>
              <w14:lin w14:scaled="1"/>
            </w14:gradFill>
          </w14:textFill>
        </w:rPr>
      </w:pPr>
      <w:r>
        <w:rPr>
          <w:rFonts w:hint="default" w:asciiTheme="majorEastAsia" w:hAnsiTheme="majorEastAsia" w:cstheme="majorEastAsia"/>
          <w:b/>
          <w:bCs/>
          <w:sz w:val="21"/>
          <w:szCs w:val="21"/>
          <w:lang w:val="ro-RO"/>
        </w:rPr>
        <w:t xml:space="preserve">      </w:t>
      </w:r>
      <w:r>
        <w:rPr>
          <w:rFonts w:hint="default" w:asciiTheme="majorEastAsia" w:hAnsiTheme="majorEastAsia" w:cstheme="majorEastAsia"/>
          <w:b/>
          <w:bCs/>
          <w:sz w:val="21"/>
          <w:szCs w:val="21"/>
          <w:lang w:val="ro-RO"/>
          <w14:textFill>
            <w14:gradFill>
              <w14:gsLst>
                <w14:gs w14:pos="42000">
                  <w14:srgbClr w14:val="445F83"/>
                </w14:gs>
                <w14:gs w14:pos="0">
                  <w14:srgbClr w14:val="8093AC"/>
                </w14:gs>
                <w14:gs w14:pos="100000">
                  <w14:srgbClr w14:val="082B5A"/>
                </w14:gs>
              </w14:gsLst>
              <w14:lin w14:scaled="1"/>
            </w14:gradFill>
          </w14:textFill>
        </w:rPr>
        <w:t>Gearing indicators</w:t>
      </w:r>
    </w:p>
    <w:p w14:paraId="04658502">
      <w:p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Evaluate the level of financial risk.</w:t>
      </w:r>
    </w:p>
    <w:p w14:paraId="2B7B52CE">
      <w:pPr>
        <w:numPr>
          <w:ilvl w:val="0"/>
          <w:numId w:val="4"/>
        </w:numPr>
        <w:ind w:left="420" w:leftChars="0" w:hanging="420" w:firstLineChars="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Debt to Equity.</w:t>
      </w:r>
    </w:p>
    <w:p w14:paraId="1DAD24B3">
      <w:pPr>
        <w:rPr>
          <w:rFonts w:hint="default" w:asciiTheme="majorEastAsia" w:hAnsiTheme="majorEastAsia" w:cstheme="majorEastAsia"/>
          <w:b/>
          <w:bCs/>
          <w:sz w:val="21"/>
          <w:szCs w:val="21"/>
          <w:lang w:val="ro-RO"/>
        </w:rPr>
      </w:pPr>
    </w:p>
    <w:p w14:paraId="6F0CA32A">
      <w:pPr>
        <w:rPr>
          <w:rFonts w:hint="default" w:asciiTheme="majorEastAsia" w:hAnsiTheme="majorEastAsia" w:cstheme="majorEastAsia"/>
          <w:b/>
          <w:bCs/>
          <w:color w:val="4472C4" w:themeColor="accent5"/>
          <w:sz w:val="21"/>
          <w:szCs w:val="21"/>
          <w:highlight w:val="lightGray"/>
          <w:u w:val="single"/>
          <w:lang w:val="ro-RO"/>
          <w14:textFill>
            <w14:solidFill>
              <w14:schemeClr w14:val="accent5"/>
            </w14:solidFill>
          </w14:textFill>
        </w:rPr>
      </w:pPr>
      <w:r>
        <w:rPr>
          <w:rFonts w:hint="default" w:asciiTheme="majorEastAsia" w:hAnsiTheme="majorEastAsia" w:cstheme="majorEastAsia"/>
          <w:b/>
          <w:bCs/>
          <w:color w:val="4472C4" w:themeColor="accent5"/>
          <w:sz w:val="21"/>
          <w:szCs w:val="21"/>
          <w:highlight w:val="lightGray"/>
          <w:u w:val="single"/>
          <w:lang w:val="ro-RO"/>
          <w14:textFill>
            <w14:solidFill>
              <w14:schemeClr w14:val="accent5"/>
            </w14:solidFill>
          </w14:textFill>
        </w:rPr>
        <w:t>INCOME STATEMENT</w:t>
      </w:r>
    </w:p>
    <w:p w14:paraId="5707F633">
      <w:pPr>
        <w:rPr>
          <w:rFonts w:hint="default" w:asciiTheme="majorEastAsia" w:hAnsiTheme="majorEastAsia" w:cstheme="majorEastAsia"/>
          <w:b/>
          <w:bCs/>
          <w:sz w:val="21"/>
          <w:szCs w:val="21"/>
          <w:lang w:val="ro-RO"/>
        </w:rPr>
      </w:pPr>
    </w:p>
    <w:p w14:paraId="193BE1BE">
      <w:pPr>
        <w:ind w:firstLine="525" w:firstLineChars="25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The following Financial data has been extracted from the Income Statement of BMW Group and will be used to calculate the financial ratios.</w:t>
      </w:r>
    </w:p>
    <w:p w14:paraId="2FEC7AC9">
      <w:pPr>
        <w:numPr>
          <w:ilvl w:val="0"/>
          <w:numId w:val="5"/>
        </w:numPr>
        <w:ind w:left="420" w:leftChars="0" w:hanging="420" w:firstLineChars="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 xml:space="preserve">Revenues </w:t>
      </w:r>
    </w:p>
    <w:p w14:paraId="3B7796FC">
      <w:pPr>
        <w:numPr>
          <w:ilvl w:val="0"/>
          <w:numId w:val="6"/>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-142,380</w:t>
      </w:r>
    </w:p>
    <w:p w14:paraId="4B3EAD83">
      <w:pPr>
        <w:numPr>
          <w:ilvl w:val="0"/>
          <w:numId w:val="6"/>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 xml:space="preserve">-133,451 </w:t>
      </w:r>
    </w:p>
    <w:p w14:paraId="1E41DF72">
      <w:pPr>
        <w:numPr>
          <w:ilvl w:val="0"/>
          <w:numId w:val="7"/>
        </w:numPr>
        <w:ind w:left="420" w:leftChars="0" w:hanging="420" w:firstLineChars="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Gross Profit</w:t>
      </w:r>
    </w:p>
    <w:p w14:paraId="35D834B2">
      <w:pPr>
        <w:numPr>
          <w:ilvl w:val="0"/>
          <w:numId w:val="8"/>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- 22,895</w:t>
      </w:r>
    </w:p>
    <w:p w14:paraId="5353A6E4">
      <w:pPr>
        <w:numPr>
          <w:ilvl w:val="0"/>
          <w:numId w:val="8"/>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-20,595</w:t>
      </w:r>
    </w:p>
    <w:p w14:paraId="68E38454">
      <w:pPr>
        <w:numPr>
          <w:ilvl w:val="0"/>
          <w:numId w:val="9"/>
        </w:numPr>
        <w:ind w:left="420" w:leftChars="0" w:hanging="420" w:firstLineChars="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Net profit</w:t>
      </w:r>
    </w:p>
    <w:p w14:paraId="1BF86B39">
      <w:pPr>
        <w:numPr>
          <w:ilvl w:val="0"/>
          <w:numId w:val="1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-7,678</w:t>
      </w:r>
    </w:p>
    <w:p w14:paraId="6449B33D">
      <w:pPr>
        <w:numPr>
          <w:ilvl w:val="0"/>
          <w:numId w:val="1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-7,451</w:t>
      </w:r>
    </w:p>
    <w:p w14:paraId="62865DB3">
      <w:pPr>
        <w:numPr>
          <w:numId w:val="0"/>
        </w:numPr>
        <w:ind w:leftChars="0"/>
        <w:rPr>
          <w:rFonts w:hint="default" w:asciiTheme="majorEastAsia" w:hAnsiTheme="majorEastAsia" w:cstheme="majorEastAsia"/>
          <w:b/>
          <w:bCs/>
          <w:sz w:val="21"/>
          <w:szCs w:val="21"/>
          <w:u w:val="single"/>
          <w:lang w:val="ro-RO"/>
          <w14:textFill>
            <w14:gradFill>
              <w14:gsLst>
                <w14:gs w14:pos="42000">
                  <w14:srgbClr w14:val="546D9A"/>
                </w14:gs>
                <w14:gs w14:pos="0">
                  <w14:srgbClr w14:val="8A9CBB"/>
                </w14:gs>
                <w14:gs w14:pos="100000">
                  <w14:srgbClr w14:val="1D3D79"/>
                </w14:gs>
              </w14:gsLst>
              <w14:lin w14:scaled="1"/>
            </w14:gradFill>
          </w14:textFill>
        </w:rPr>
      </w:pPr>
      <w:r>
        <w:rPr>
          <w:rFonts w:hint="default" w:asciiTheme="majorEastAsia" w:hAnsiTheme="majorEastAsia" w:cstheme="majorEastAsia"/>
          <w:b/>
          <w:bCs/>
          <w:sz w:val="21"/>
          <w:szCs w:val="21"/>
          <w:u w:val="single"/>
          <w:lang w:val="ro-RO"/>
          <w14:textFill>
            <w14:gradFill>
              <w14:gsLst>
                <w14:gs w14:pos="42000">
                  <w14:srgbClr w14:val="546D9A"/>
                </w14:gs>
                <w14:gs w14:pos="0">
                  <w14:srgbClr w14:val="8A9CBB"/>
                </w14:gs>
                <w14:gs w14:pos="100000">
                  <w14:srgbClr w14:val="1D3D79"/>
                </w14:gs>
              </w14:gsLst>
              <w14:lin w14:scaled="1"/>
            </w14:gradFill>
          </w14:textFill>
        </w:rPr>
        <w:t>Balance Sheet</w:t>
      </w:r>
    </w:p>
    <w:p w14:paraId="34B00ECB">
      <w:pPr>
        <w:numPr>
          <w:ilvl w:val="0"/>
          <w:numId w:val="11"/>
        </w:numPr>
        <w:ind w:left="420" w:leftChars="0" w:hanging="420" w:firstLineChars="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Current Assets</w:t>
      </w:r>
    </w:p>
    <w:p w14:paraId="1B849CAF">
      <w:pPr>
        <w:numPr>
          <w:ilvl w:val="0"/>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2024 - 96,387</w:t>
      </w:r>
    </w:p>
    <w:p w14:paraId="1E35483C">
      <w:pPr>
        <w:numPr>
          <w:ilvl w:val="0"/>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2025 - 97,648</w:t>
      </w:r>
    </w:p>
    <w:p w14:paraId="38C0461F">
      <w:pPr>
        <w:numPr>
          <w:ilvl w:val="0"/>
          <w:numId w:val="12"/>
        </w:numPr>
        <w:ind w:left="420" w:leftChars="0" w:hanging="420" w:firstLineChars="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Inventory</w:t>
      </w:r>
    </w:p>
    <w:p w14:paraId="443C1189">
      <w:pPr>
        <w:numPr>
          <w:ilvl w:val="0"/>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2024 - 24,387</w:t>
      </w:r>
    </w:p>
    <w:p w14:paraId="274F4FD8">
      <w:pPr>
        <w:numPr>
          <w:ilvl w:val="0"/>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2025 - 21,281</w:t>
      </w:r>
    </w:p>
    <w:p w14:paraId="5809E470">
      <w:pPr>
        <w:numPr>
          <w:ilvl w:val="0"/>
          <w:numId w:val="13"/>
        </w:numPr>
        <w:ind w:left="420" w:leftChars="0" w:hanging="420" w:firstLineChars="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Curent Liabilities</w:t>
      </w:r>
    </w:p>
    <w:p w14:paraId="7BD97DFD">
      <w:pPr>
        <w:numPr>
          <w:ilvl w:val="0"/>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2024 - 87,689</w:t>
      </w:r>
    </w:p>
    <w:p w14:paraId="052506D9">
      <w:pPr>
        <w:numPr>
          <w:ilvl w:val="0"/>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2025 - 81,724</w:t>
      </w:r>
    </w:p>
    <w:p w14:paraId="5E957D1D">
      <w:pPr>
        <w:numPr>
          <w:ilvl w:val="0"/>
          <w:numId w:val="14"/>
        </w:numPr>
        <w:ind w:left="420" w:leftChars="0" w:hanging="420" w:firstLineChars="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Equity</w:t>
      </w:r>
    </w:p>
    <w:p w14:paraId="522CF0F6">
      <w:pPr>
        <w:numPr>
          <w:ilvl w:val="0"/>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2024 - 95,003</w:t>
      </w:r>
    </w:p>
    <w:p w14:paraId="59528846">
      <w:pPr>
        <w:numPr>
          <w:ilvl w:val="0"/>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2025 - 97,906</w:t>
      </w:r>
    </w:p>
    <w:p w14:paraId="1DCE2EA0">
      <w:pPr>
        <w:numPr>
          <w:ilvl w:val="0"/>
          <w:numId w:val="15"/>
        </w:numPr>
        <w:ind w:left="420" w:leftChars="0" w:hanging="420" w:firstLineChars="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Total Assets</w:t>
      </w:r>
      <w:bookmarkStart w:id="0" w:name="_GoBack"/>
      <w:bookmarkEnd w:id="0"/>
    </w:p>
    <w:p w14:paraId="1F3CF7F1">
      <w:pPr>
        <w:numPr>
          <w:ilvl w:val="0"/>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2024 - 267,732</w:t>
      </w:r>
    </w:p>
    <w:p w14:paraId="4A3A78B9">
      <w:pPr>
        <w:numPr>
          <w:ilvl w:val="0"/>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2025 - 265,967</w:t>
      </w:r>
    </w:p>
    <w:p w14:paraId="40FE23FB">
      <w:pPr>
        <w:numPr>
          <w:ilvl w:val="0"/>
          <w:numId w:val="16"/>
        </w:numPr>
        <w:ind w:left="420" w:leftChars="0" w:hanging="420" w:firstLineChars="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Total Liabilities</w:t>
      </w:r>
    </w:p>
    <w:p w14:paraId="3EAC5B87">
      <w:pPr>
        <w:numPr>
          <w:ilvl w:val="0"/>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2024 - 172,729</w:t>
      </w:r>
    </w:p>
    <w:p w14:paraId="238697AF">
      <w:pPr>
        <w:numPr>
          <w:ilvl w:val="0"/>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2025 - 168,061</w:t>
      </w:r>
    </w:p>
    <w:p w14:paraId="529D112C">
      <w:p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 xml:space="preserve">       The following table present the key financial ratios calculated for BMW Group using financial data from 2024-2025.</w:t>
      </w:r>
    </w:p>
    <w:p w14:paraId="31EC4C4A">
      <w:pPr>
        <w:rPr>
          <w:rFonts w:hint="default" w:asciiTheme="majorEastAsia" w:hAnsiTheme="majorEastAsia" w:cstheme="majorEastAsia"/>
          <w:b/>
          <w:bCs/>
          <w:sz w:val="21"/>
          <w:szCs w:val="21"/>
          <w:lang w:val="ro-RO"/>
        </w:rPr>
      </w:pPr>
    </w:p>
    <w:tbl>
      <w:tblPr>
        <w:tblStyle w:val="5"/>
        <w:tblW w:w="89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1825"/>
        <w:gridCol w:w="2028"/>
        <w:gridCol w:w="1308"/>
        <w:gridCol w:w="912"/>
        <w:gridCol w:w="1609"/>
        <w:gridCol w:w="1307"/>
      </w:tblGrid>
      <w:tr w14:paraId="7B1E5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825" w:type="dxa"/>
          </w:tcPr>
          <w:p w14:paraId="0288C1AF">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Indicators</w:t>
            </w:r>
          </w:p>
        </w:tc>
        <w:tc>
          <w:tcPr>
            <w:tcW w:w="2028" w:type="dxa"/>
          </w:tcPr>
          <w:p w14:paraId="3D3BFDC8">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Formula</w:t>
            </w:r>
          </w:p>
        </w:tc>
        <w:tc>
          <w:tcPr>
            <w:tcW w:w="1308" w:type="dxa"/>
          </w:tcPr>
          <w:p w14:paraId="42349A5D">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2024(values)</w:t>
            </w:r>
          </w:p>
        </w:tc>
        <w:tc>
          <w:tcPr>
            <w:tcW w:w="912" w:type="dxa"/>
          </w:tcPr>
          <w:p w14:paraId="2BC1D5FB">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2024</w:t>
            </w:r>
          </w:p>
        </w:tc>
        <w:tc>
          <w:tcPr>
            <w:tcW w:w="1609" w:type="dxa"/>
          </w:tcPr>
          <w:p w14:paraId="6C038CA2">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2025(values)</w:t>
            </w:r>
          </w:p>
        </w:tc>
        <w:tc>
          <w:tcPr>
            <w:tcW w:w="1307" w:type="dxa"/>
          </w:tcPr>
          <w:p w14:paraId="4A98E1C5">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2025</w:t>
            </w:r>
          </w:p>
        </w:tc>
      </w:tr>
      <w:tr w14:paraId="446C0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825" w:type="dxa"/>
          </w:tcPr>
          <w:p w14:paraId="2A4AD3D0">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Gross Profit Margin</w:t>
            </w:r>
          </w:p>
        </w:tc>
        <w:tc>
          <w:tcPr>
            <w:tcW w:w="2028" w:type="dxa"/>
          </w:tcPr>
          <w:p w14:paraId="467805EA">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Gross profit/</w:t>
            </w:r>
          </w:p>
          <w:p w14:paraId="1E6E6800">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Revenue x 100</w:t>
            </w:r>
          </w:p>
        </w:tc>
        <w:tc>
          <w:tcPr>
            <w:tcW w:w="1308" w:type="dxa"/>
          </w:tcPr>
          <w:p w14:paraId="557EB2E1">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22,895/</w:t>
            </w:r>
          </w:p>
          <w:p w14:paraId="75663FF5">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142,380</w:t>
            </w:r>
          </w:p>
        </w:tc>
        <w:tc>
          <w:tcPr>
            <w:tcW w:w="912" w:type="dxa"/>
          </w:tcPr>
          <w:p w14:paraId="156122E0">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16,1%</w:t>
            </w:r>
          </w:p>
        </w:tc>
        <w:tc>
          <w:tcPr>
            <w:tcW w:w="1609" w:type="dxa"/>
          </w:tcPr>
          <w:p w14:paraId="5CD97A89">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20,595/</w:t>
            </w:r>
          </w:p>
          <w:p w14:paraId="74595D56">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133,451</w:t>
            </w:r>
          </w:p>
        </w:tc>
        <w:tc>
          <w:tcPr>
            <w:tcW w:w="1307" w:type="dxa"/>
          </w:tcPr>
          <w:p w14:paraId="70DC0300">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15,4%</w:t>
            </w:r>
          </w:p>
        </w:tc>
      </w:tr>
      <w:tr w14:paraId="2CABA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825" w:type="dxa"/>
          </w:tcPr>
          <w:p w14:paraId="2DBE1768">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Net Profit Margin</w:t>
            </w:r>
          </w:p>
        </w:tc>
        <w:tc>
          <w:tcPr>
            <w:tcW w:w="2028" w:type="dxa"/>
          </w:tcPr>
          <w:p w14:paraId="6BF39CF3">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Net profit</w:t>
            </w:r>
          </w:p>
          <w:p w14:paraId="3E78BBF5">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/Revenue x 100</w:t>
            </w:r>
          </w:p>
        </w:tc>
        <w:tc>
          <w:tcPr>
            <w:tcW w:w="1308" w:type="dxa"/>
          </w:tcPr>
          <w:p w14:paraId="75020FF9">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7,678/</w:t>
            </w:r>
          </w:p>
          <w:p w14:paraId="466BFD91">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142,380</w:t>
            </w:r>
          </w:p>
        </w:tc>
        <w:tc>
          <w:tcPr>
            <w:tcW w:w="912" w:type="dxa"/>
          </w:tcPr>
          <w:p w14:paraId="4A90809A">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5,4%</w:t>
            </w:r>
          </w:p>
        </w:tc>
        <w:tc>
          <w:tcPr>
            <w:tcW w:w="1609" w:type="dxa"/>
          </w:tcPr>
          <w:p w14:paraId="65AF2C3A">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7,451</w:t>
            </w:r>
          </w:p>
          <w:p w14:paraId="7F729B42">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/133,451</w:t>
            </w:r>
          </w:p>
        </w:tc>
        <w:tc>
          <w:tcPr>
            <w:tcW w:w="1307" w:type="dxa"/>
          </w:tcPr>
          <w:p w14:paraId="2511A099">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5,6%</w:t>
            </w:r>
          </w:p>
        </w:tc>
      </w:tr>
      <w:tr w14:paraId="241A9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825" w:type="dxa"/>
          </w:tcPr>
          <w:p w14:paraId="28DD6218">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ROCE</w:t>
            </w:r>
          </w:p>
        </w:tc>
        <w:tc>
          <w:tcPr>
            <w:tcW w:w="2028" w:type="dxa"/>
          </w:tcPr>
          <w:p w14:paraId="12C0F2E9">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Operating</w:t>
            </w:r>
          </w:p>
          <w:p w14:paraId="67E7386D">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Profit/Capital Employed</w:t>
            </w:r>
          </w:p>
        </w:tc>
        <w:tc>
          <w:tcPr>
            <w:tcW w:w="1308" w:type="dxa"/>
          </w:tcPr>
          <w:p w14:paraId="76206271">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10,971/180,043</w:t>
            </w:r>
          </w:p>
        </w:tc>
        <w:tc>
          <w:tcPr>
            <w:tcW w:w="912" w:type="dxa"/>
          </w:tcPr>
          <w:p w14:paraId="67F84F67">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6,1%</w:t>
            </w:r>
          </w:p>
        </w:tc>
        <w:tc>
          <w:tcPr>
            <w:tcW w:w="1609" w:type="dxa"/>
          </w:tcPr>
          <w:p w14:paraId="70E31DE7">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10,236/</w:t>
            </w:r>
          </w:p>
          <w:p w14:paraId="3F1293DB">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184,243</w:t>
            </w:r>
          </w:p>
        </w:tc>
        <w:tc>
          <w:tcPr>
            <w:tcW w:w="1307" w:type="dxa"/>
          </w:tcPr>
          <w:p w14:paraId="50E947A3">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5,6%</w:t>
            </w:r>
          </w:p>
        </w:tc>
      </w:tr>
      <w:tr w14:paraId="63BC0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825" w:type="dxa"/>
          </w:tcPr>
          <w:p w14:paraId="4A179ECA">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Current Ratio</w:t>
            </w:r>
          </w:p>
        </w:tc>
        <w:tc>
          <w:tcPr>
            <w:tcW w:w="2028" w:type="dxa"/>
          </w:tcPr>
          <w:p w14:paraId="53BAF3E5">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Current Assets/</w:t>
            </w:r>
          </w:p>
          <w:p w14:paraId="32295B79">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Current Liabilities</w:t>
            </w:r>
          </w:p>
        </w:tc>
        <w:tc>
          <w:tcPr>
            <w:tcW w:w="1308" w:type="dxa"/>
          </w:tcPr>
          <w:p w14:paraId="33DE42D7">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94,387/</w:t>
            </w:r>
          </w:p>
          <w:p w14:paraId="11FC72D4">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87,689</w:t>
            </w:r>
          </w:p>
        </w:tc>
        <w:tc>
          <w:tcPr>
            <w:tcW w:w="912" w:type="dxa"/>
          </w:tcPr>
          <w:p w14:paraId="701F57CB">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1,10</w:t>
            </w:r>
          </w:p>
        </w:tc>
        <w:tc>
          <w:tcPr>
            <w:tcW w:w="1609" w:type="dxa"/>
          </w:tcPr>
          <w:p w14:paraId="211FB4D8">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91,648/</w:t>
            </w:r>
          </w:p>
          <w:p w14:paraId="270C679B">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81,724</w:t>
            </w:r>
          </w:p>
        </w:tc>
        <w:tc>
          <w:tcPr>
            <w:tcW w:w="1307" w:type="dxa"/>
          </w:tcPr>
          <w:p w14:paraId="576C8153">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1,12</w:t>
            </w:r>
          </w:p>
        </w:tc>
      </w:tr>
      <w:tr w14:paraId="114E1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825" w:type="dxa"/>
          </w:tcPr>
          <w:p w14:paraId="73D06B0C">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Quick Ratio</w:t>
            </w:r>
          </w:p>
        </w:tc>
        <w:tc>
          <w:tcPr>
            <w:tcW w:w="2028" w:type="dxa"/>
          </w:tcPr>
          <w:p w14:paraId="5074B747">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(CA-inventory/CL)</w:t>
            </w:r>
          </w:p>
        </w:tc>
        <w:tc>
          <w:tcPr>
            <w:tcW w:w="1308" w:type="dxa"/>
          </w:tcPr>
          <w:p w14:paraId="72F811D5">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(96,387-24,387)/</w:t>
            </w:r>
          </w:p>
          <w:p w14:paraId="0511A195">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87,689</w:t>
            </w:r>
          </w:p>
        </w:tc>
        <w:tc>
          <w:tcPr>
            <w:tcW w:w="912" w:type="dxa"/>
          </w:tcPr>
          <w:p w14:paraId="0DD23072">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0,82</w:t>
            </w:r>
          </w:p>
        </w:tc>
        <w:tc>
          <w:tcPr>
            <w:tcW w:w="1609" w:type="dxa"/>
          </w:tcPr>
          <w:p w14:paraId="0D5E01E8">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(91,648-</w:t>
            </w:r>
          </w:p>
          <w:p w14:paraId="2CC0B4CE">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21,281)/</w:t>
            </w:r>
          </w:p>
          <w:p w14:paraId="2D3BD0F6">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81,724</w:t>
            </w:r>
          </w:p>
        </w:tc>
        <w:tc>
          <w:tcPr>
            <w:tcW w:w="1307" w:type="dxa"/>
          </w:tcPr>
          <w:p w14:paraId="02555037">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0,86</w:t>
            </w:r>
          </w:p>
        </w:tc>
      </w:tr>
      <w:tr w14:paraId="1B2EB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825" w:type="dxa"/>
          </w:tcPr>
          <w:p w14:paraId="44E69FBB">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Inventory Turnover</w:t>
            </w:r>
          </w:p>
        </w:tc>
        <w:tc>
          <w:tcPr>
            <w:tcW w:w="2028" w:type="dxa"/>
          </w:tcPr>
          <w:p w14:paraId="5EE4CC58">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COGS/</w:t>
            </w:r>
          </w:p>
          <w:p w14:paraId="18B807A6">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Inventory</w:t>
            </w:r>
          </w:p>
        </w:tc>
        <w:tc>
          <w:tcPr>
            <w:tcW w:w="1308" w:type="dxa"/>
          </w:tcPr>
          <w:p w14:paraId="61DE19E2">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119,485/</w:t>
            </w:r>
          </w:p>
          <w:p w14:paraId="059972B1">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24,387</w:t>
            </w:r>
          </w:p>
        </w:tc>
        <w:tc>
          <w:tcPr>
            <w:tcW w:w="912" w:type="dxa"/>
          </w:tcPr>
          <w:p w14:paraId="321948FB">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4,90</w:t>
            </w:r>
          </w:p>
        </w:tc>
        <w:tc>
          <w:tcPr>
            <w:tcW w:w="1609" w:type="dxa"/>
          </w:tcPr>
          <w:p w14:paraId="565AE748">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111,858/</w:t>
            </w:r>
          </w:p>
          <w:p w14:paraId="5550F442">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21,281</w:t>
            </w:r>
          </w:p>
        </w:tc>
        <w:tc>
          <w:tcPr>
            <w:tcW w:w="1307" w:type="dxa"/>
          </w:tcPr>
          <w:p w14:paraId="3A7F511A">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5,25</w:t>
            </w:r>
          </w:p>
        </w:tc>
      </w:tr>
      <w:tr w14:paraId="4F340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825" w:type="dxa"/>
          </w:tcPr>
          <w:p w14:paraId="2C2E835D">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Receivables Days</w:t>
            </w:r>
          </w:p>
        </w:tc>
        <w:tc>
          <w:tcPr>
            <w:tcW w:w="2028" w:type="dxa"/>
          </w:tcPr>
          <w:p w14:paraId="7DAFD7A0">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Receivables/Revenue x 365</w:t>
            </w:r>
          </w:p>
        </w:tc>
        <w:tc>
          <w:tcPr>
            <w:tcW w:w="1308" w:type="dxa"/>
          </w:tcPr>
          <w:p w14:paraId="08E9CCEC">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2,834/</w:t>
            </w:r>
          </w:p>
          <w:p w14:paraId="6F3F59CA">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142,380 x365</w:t>
            </w:r>
          </w:p>
        </w:tc>
        <w:tc>
          <w:tcPr>
            <w:tcW w:w="912" w:type="dxa"/>
          </w:tcPr>
          <w:p w14:paraId="2D5642C8">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7,26 days</w:t>
            </w:r>
          </w:p>
        </w:tc>
        <w:tc>
          <w:tcPr>
            <w:tcW w:w="1609" w:type="dxa"/>
          </w:tcPr>
          <w:p w14:paraId="6D0EA890">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2,946/</w:t>
            </w:r>
          </w:p>
          <w:p w14:paraId="2F41A6CF">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133,451</w:t>
            </w:r>
          </w:p>
          <w:p w14:paraId="5F51E460">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x365</w:t>
            </w:r>
          </w:p>
        </w:tc>
        <w:tc>
          <w:tcPr>
            <w:tcW w:w="1307" w:type="dxa"/>
          </w:tcPr>
          <w:p w14:paraId="156E2E7C">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8,05 days</w:t>
            </w:r>
          </w:p>
        </w:tc>
      </w:tr>
      <w:tr w14:paraId="423D6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825" w:type="dxa"/>
          </w:tcPr>
          <w:p w14:paraId="3D5C7FDA">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Debt to Equity</w:t>
            </w:r>
          </w:p>
        </w:tc>
        <w:tc>
          <w:tcPr>
            <w:tcW w:w="2028" w:type="dxa"/>
          </w:tcPr>
          <w:p w14:paraId="341B9D01">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Total Liabilities/</w:t>
            </w:r>
          </w:p>
          <w:p w14:paraId="1A0F0140">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Equity</w:t>
            </w:r>
          </w:p>
        </w:tc>
        <w:tc>
          <w:tcPr>
            <w:tcW w:w="1308" w:type="dxa"/>
          </w:tcPr>
          <w:p w14:paraId="5303A80B">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172,729/</w:t>
            </w:r>
          </w:p>
          <w:p w14:paraId="37631AFC">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95,003</w:t>
            </w:r>
          </w:p>
        </w:tc>
        <w:tc>
          <w:tcPr>
            <w:tcW w:w="912" w:type="dxa"/>
          </w:tcPr>
          <w:p w14:paraId="3334B505">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1,82</w:t>
            </w:r>
          </w:p>
        </w:tc>
        <w:tc>
          <w:tcPr>
            <w:tcW w:w="1609" w:type="dxa"/>
          </w:tcPr>
          <w:p w14:paraId="6F1DFED7">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168,061/</w:t>
            </w:r>
          </w:p>
          <w:p w14:paraId="77F4CDB5">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97,906</w:t>
            </w:r>
          </w:p>
        </w:tc>
        <w:tc>
          <w:tcPr>
            <w:tcW w:w="1307" w:type="dxa"/>
          </w:tcPr>
          <w:p w14:paraId="66604694">
            <w:pPr>
              <w:rPr>
                <w:rFonts w:hint="default" w:asciiTheme="majorEastAsia" w:hAnsiTheme="majorEastAsia" w:cstheme="majorEastAsia"/>
                <w:b/>
                <w:bCs/>
                <w:sz w:val="21"/>
                <w:szCs w:val="21"/>
                <w:vertAlign w:val="baseline"/>
                <w:lang w:val="ro-RO"/>
              </w:rPr>
            </w:pPr>
            <w:r>
              <w:rPr>
                <w:rFonts w:hint="default" w:asciiTheme="majorEastAsia" w:hAnsiTheme="majorEastAsia" w:cstheme="majorEastAsia"/>
                <w:b/>
                <w:bCs/>
                <w:sz w:val="21"/>
                <w:szCs w:val="21"/>
                <w:vertAlign w:val="baseline"/>
                <w:lang w:val="ro-RO"/>
              </w:rPr>
              <w:t>1,72</w:t>
            </w:r>
          </w:p>
        </w:tc>
      </w:tr>
      <w:tr w14:paraId="65C55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90" w:hRule="atLeast"/>
        </w:trPr>
        <w:tc>
          <w:tcPr>
            <w:tcW w:w="1825" w:type="dxa"/>
          </w:tcPr>
          <w:p w14:paraId="11089C15">
            <w:pPr>
              <w:rPr>
                <w:rFonts w:hint="default" w:asciiTheme="majorEastAsia" w:hAnsiTheme="majorEastAsia" w:cstheme="majorEastAsia"/>
                <w:b/>
                <w:bCs/>
                <w:sz w:val="21"/>
                <w:szCs w:val="21"/>
                <w:vertAlign w:val="baseline"/>
                <w:lang w:val="ro-RO"/>
              </w:rPr>
            </w:pPr>
          </w:p>
        </w:tc>
        <w:tc>
          <w:tcPr>
            <w:tcW w:w="2028" w:type="dxa"/>
          </w:tcPr>
          <w:p w14:paraId="1473719E">
            <w:pPr>
              <w:rPr>
                <w:rFonts w:hint="default" w:asciiTheme="majorEastAsia" w:hAnsiTheme="majorEastAsia" w:cstheme="majorEastAsia"/>
                <w:b/>
                <w:bCs/>
                <w:sz w:val="21"/>
                <w:szCs w:val="21"/>
                <w:vertAlign w:val="baseline"/>
                <w:lang w:val="ro-RO"/>
              </w:rPr>
            </w:pPr>
          </w:p>
        </w:tc>
        <w:tc>
          <w:tcPr>
            <w:tcW w:w="1308" w:type="dxa"/>
          </w:tcPr>
          <w:p w14:paraId="332D21BA">
            <w:pPr>
              <w:rPr>
                <w:rFonts w:hint="default" w:asciiTheme="majorEastAsia" w:hAnsiTheme="majorEastAsia" w:cstheme="majorEastAsia"/>
                <w:b/>
                <w:bCs/>
                <w:sz w:val="21"/>
                <w:szCs w:val="21"/>
                <w:vertAlign w:val="baseline"/>
                <w:lang w:val="ro-RO"/>
              </w:rPr>
            </w:pPr>
          </w:p>
        </w:tc>
        <w:tc>
          <w:tcPr>
            <w:tcW w:w="912" w:type="dxa"/>
          </w:tcPr>
          <w:p w14:paraId="211440CA">
            <w:pPr>
              <w:rPr>
                <w:rFonts w:hint="default" w:asciiTheme="majorEastAsia" w:hAnsiTheme="majorEastAsia" w:cstheme="majorEastAsia"/>
                <w:b/>
                <w:bCs/>
                <w:sz w:val="21"/>
                <w:szCs w:val="21"/>
                <w:vertAlign w:val="baseline"/>
                <w:lang w:val="ro-RO"/>
              </w:rPr>
            </w:pPr>
          </w:p>
        </w:tc>
        <w:tc>
          <w:tcPr>
            <w:tcW w:w="1609" w:type="dxa"/>
          </w:tcPr>
          <w:p w14:paraId="412BDC3B">
            <w:pPr>
              <w:rPr>
                <w:rFonts w:hint="default" w:asciiTheme="majorEastAsia" w:hAnsiTheme="majorEastAsia" w:cstheme="majorEastAsia"/>
                <w:b/>
                <w:bCs/>
                <w:sz w:val="21"/>
                <w:szCs w:val="21"/>
                <w:vertAlign w:val="baseline"/>
                <w:lang w:val="ro-RO"/>
              </w:rPr>
            </w:pPr>
          </w:p>
        </w:tc>
        <w:tc>
          <w:tcPr>
            <w:tcW w:w="1307" w:type="dxa"/>
          </w:tcPr>
          <w:p w14:paraId="2DC748F8">
            <w:pPr>
              <w:rPr>
                <w:rFonts w:hint="default" w:asciiTheme="majorEastAsia" w:hAnsiTheme="majorEastAsia" w:cstheme="majorEastAsia"/>
                <w:b/>
                <w:bCs/>
                <w:sz w:val="21"/>
                <w:szCs w:val="21"/>
                <w:vertAlign w:val="baseline"/>
                <w:lang w:val="ro-RO"/>
              </w:rPr>
            </w:pPr>
          </w:p>
        </w:tc>
      </w:tr>
    </w:tbl>
    <w:p w14:paraId="2851E615">
      <w:pPr>
        <w:rPr>
          <w:rFonts w:hint="default" w:asciiTheme="majorEastAsia" w:hAnsiTheme="majorEastAsia" w:cstheme="majorEastAsia"/>
          <w:b/>
          <w:bCs/>
          <w:sz w:val="21"/>
          <w:szCs w:val="21"/>
          <w:lang w:val="ro-RO"/>
        </w:rPr>
      </w:pPr>
    </w:p>
    <w:p w14:paraId="1F1513D2">
      <w:pPr>
        <w:rPr>
          <w:rFonts w:hint="default" w:asciiTheme="majorEastAsia" w:hAnsiTheme="majorEastAsia" w:cstheme="majorEastAsia"/>
          <w:b/>
          <w:bCs/>
          <w:sz w:val="21"/>
          <w:szCs w:val="21"/>
          <w:lang w:val="ro-RO"/>
        </w:rPr>
      </w:pPr>
    </w:p>
    <w:p w14:paraId="2A1FD5CC">
      <w:pPr>
        <w:numPr>
          <w:numId w:val="0"/>
        </w:numPr>
        <w:rPr>
          <w:rFonts w:hint="default" w:asciiTheme="majorEastAsia" w:hAnsiTheme="majorEastAsia" w:cstheme="majorEastAsia"/>
          <w:b/>
          <w:bCs/>
          <w:color w:val="002060"/>
          <w:sz w:val="21"/>
          <w:szCs w:val="21"/>
          <w:u w:val="single"/>
          <w:lang w:val="ro-RO"/>
        </w:rPr>
      </w:pPr>
      <w:r>
        <w:rPr>
          <w:rFonts w:hint="default" w:asciiTheme="majorEastAsia" w:hAnsiTheme="majorEastAsia" w:cstheme="majorEastAsia"/>
          <w:b/>
          <w:bCs/>
          <w:color w:val="002060"/>
          <w:sz w:val="21"/>
          <w:szCs w:val="21"/>
          <w:u w:val="single"/>
          <w:lang w:val="ro-RO"/>
        </w:rPr>
        <w:t>ANALYSIS</w:t>
      </w:r>
    </w:p>
    <w:p w14:paraId="77EA35A1">
      <w:pPr>
        <w:numPr>
          <w:numId w:val="0"/>
        </w:numPr>
        <w:rPr>
          <w:rFonts w:hint="default" w:asciiTheme="majorEastAsia" w:hAnsiTheme="majorEastAsia" w:cstheme="majorEastAsia"/>
          <w:b/>
          <w:bCs/>
          <w:sz w:val="21"/>
          <w:szCs w:val="21"/>
          <w:lang w:val="ro-RO"/>
        </w:rPr>
      </w:pPr>
    </w:p>
    <w:p w14:paraId="1BE03B3D">
      <w:pPr>
        <w:numPr>
          <w:numId w:val="0"/>
        </w:numPr>
        <w:ind w:firstLine="630" w:firstLineChars="30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Profitability(gross margin) decreased from 16,1% in 2024 to 15,4% in 2025, wich means a decrease resulting from increase in production costs, raw materials and energy.</w:t>
      </w:r>
    </w:p>
    <w:p w14:paraId="39B5F859">
      <w:pPr>
        <w:numPr>
          <w:numId w:val="0"/>
        </w:numPr>
        <w:ind w:firstLine="735" w:firstLineChars="35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 xml:space="preserve">Et margin increased from 5,4 to 5,6 , wich shows that BMW managed to control other categories of costs, administrative or financial expenses. </w:t>
      </w:r>
    </w:p>
    <w:p w14:paraId="004ED688">
      <w:pPr>
        <w:numPr>
          <w:numId w:val="0"/>
        </w:numPr>
        <w:ind w:firstLine="735" w:firstLineChars="35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The Curent Ratio increased from 1,10 to 1,12 and the Quick Ratio from 0,82 to 0,86 , wich shows a moderate improvement.</w:t>
      </w:r>
    </w:p>
    <w:p w14:paraId="467D3E50">
      <w:pPr>
        <w:numPr>
          <w:numId w:val="0"/>
        </w:numPr>
        <w:ind w:firstLine="735" w:firstLineChars="35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The Gearing ratio decreased from 1,82 to 1,72, wich means a strengthening of equity.</w:t>
      </w:r>
    </w:p>
    <w:p w14:paraId="438898D3">
      <w:pPr>
        <w:numPr>
          <w:numId w:val="0"/>
        </w:numPr>
        <w:ind w:firstLine="735" w:firstLineChars="35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The analysis of BMW shows that it is in a stable financial situation, but alo facing pressure on costs.</w:t>
      </w:r>
    </w:p>
    <w:p w14:paraId="003D32C0">
      <w:pPr>
        <w:numPr>
          <w:numId w:val="0"/>
        </w:numPr>
        <w:rPr>
          <w:rFonts w:hint="default" w:asciiTheme="majorEastAsia" w:hAnsiTheme="majorEastAsia" w:cstheme="majorEastAsia"/>
          <w:b/>
          <w:bCs/>
          <w:sz w:val="21"/>
          <w:szCs w:val="21"/>
          <w:lang w:val="ro-RO"/>
        </w:rPr>
      </w:pPr>
    </w:p>
    <w:p w14:paraId="09CCCE78">
      <w:pPr>
        <w:numPr>
          <w:numId w:val="0"/>
        </w:numPr>
        <w:rPr>
          <w:rFonts w:hint="default" w:asciiTheme="majorEastAsia" w:hAnsiTheme="majorEastAsia" w:cstheme="majorEastAsia"/>
          <w:b/>
          <w:bCs/>
          <w:color w:val="002060"/>
          <w:sz w:val="21"/>
          <w:szCs w:val="21"/>
          <w:u w:val="single"/>
          <w:lang w:val="ro-RO"/>
        </w:rPr>
      </w:pPr>
      <w:r>
        <w:rPr>
          <w:rFonts w:hint="default" w:asciiTheme="majorEastAsia" w:hAnsiTheme="majorEastAsia" w:cstheme="majorEastAsia"/>
          <w:b/>
          <w:bCs/>
          <w:color w:val="002060"/>
          <w:sz w:val="21"/>
          <w:szCs w:val="21"/>
          <w:u w:val="single"/>
          <w:lang w:val="ro-RO"/>
        </w:rPr>
        <w:t>RECOMMENDATIONS</w:t>
      </w:r>
    </w:p>
    <w:p w14:paraId="66A48AEF">
      <w:pPr>
        <w:numPr>
          <w:numId w:val="0"/>
        </w:numPr>
        <w:rPr>
          <w:rFonts w:hint="default" w:asciiTheme="majorEastAsia" w:hAnsiTheme="majorEastAsia" w:cstheme="majorEastAsia"/>
          <w:b/>
          <w:bCs/>
          <w:sz w:val="21"/>
          <w:szCs w:val="21"/>
          <w:lang w:val="ro-RO"/>
        </w:rPr>
      </w:pPr>
    </w:p>
    <w:p w14:paraId="6BA6FAC5">
      <w:pPr>
        <w:numPr>
          <w:numId w:val="0"/>
        </w:numPr>
        <w:ind w:firstLine="630" w:firstLineChars="30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 xml:space="preserve">Based on the analysis carried out, BMW Group should reduce production costs, raw materials, energy costs and focus on investements in electric and sustainable vehicles, as this market is growing, offering significant opportunities. </w:t>
      </w:r>
    </w:p>
    <w:p w14:paraId="42B4D51F">
      <w:pPr>
        <w:numPr>
          <w:numId w:val="0"/>
        </w:numPr>
        <w:rPr>
          <w:rFonts w:hint="default" w:asciiTheme="majorEastAsia" w:hAnsiTheme="majorEastAsia" w:cstheme="majorEastAsia"/>
          <w:b/>
          <w:bCs/>
          <w:sz w:val="21"/>
          <w:szCs w:val="21"/>
          <w:lang w:val="ro-RO"/>
        </w:rPr>
      </w:pPr>
    </w:p>
    <w:p w14:paraId="6B84D65F">
      <w:pPr>
        <w:numPr>
          <w:numId w:val="0"/>
        </w:numPr>
        <w:ind w:firstLine="630" w:firstLineChars="300"/>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Maintaining a level of debt is essential to reduce financial risk, it should also continue to finance its activity in a balanced way between debt and equity.</w:t>
      </w:r>
    </w:p>
    <w:p w14:paraId="6408AA75">
      <w:pPr>
        <w:numPr>
          <w:numId w:val="0"/>
        </w:numPr>
        <w:rPr>
          <w:rFonts w:hint="default" w:asciiTheme="majorEastAsia" w:hAnsiTheme="majorEastAsia" w:cstheme="majorEastAsia"/>
          <w:b/>
          <w:bCs/>
          <w:sz w:val="21"/>
          <w:szCs w:val="21"/>
          <w:lang w:val="ro-RO"/>
        </w:rPr>
      </w:pPr>
    </w:p>
    <w:p w14:paraId="69EDE895">
      <w:pPr>
        <w:numPr>
          <w:numId w:val="0"/>
        </w:numPr>
        <w:rPr>
          <w:rFonts w:hint="default" w:asciiTheme="majorEastAsia" w:hAnsiTheme="majorEastAsia" w:cstheme="majorEastAsia"/>
          <w:b/>
          <w:bCs/>
          <w:color w:val="002060"/>
          <w:sz w:val="21"/>
          <w:szCs w:val="21"/>
          <w:u w:val="single"/>
          <w:lang w:val="ro-RO"/>
        </w:rPr>
      </w:pPr>
      <w:r>
        <w:rPr>
          <w:rFonts w:hint="default" w:asciiTheme="majorEastAsia" w:hAnsiTheme="majorEastAsia" w:cstheme="majorEastAsia"/>
          <w:b/>
          <w:bCs/>
          <w:color w:val="002060"/>
          <w:sz w:val="21"/>
          <w:szCs w:val="21"/>
          <w:u w:val="single"/>
          <w:lang w:val="ro-RO"/>
        </w:rPr>
        <w:t>CONCLUSION</w:t>
      </w:r>
    </w:p>
    <w:p w14:paraId="072CB18F">
      <w:pPr>
        <w:numPr>
          <w:numId w:val="0"/>
        </w:numPr>
        <w:rPr>
          <w:rFonts w:hint="default" w:asciiTheme="majorEastAsia" w:hAnsiTheme="majorEastAsia" w:cstheme="majorEastAsia"/>
          <w:b/>
          <w:bCs/>
          <w:sz w:val="21"/>
          <w:szCs w:val="21"/>
          <w:lang w:val="ro-RO"/>
        </w:rPr>
      </w:pPr>
    </w:p>
    <w:p w14:paraId="59263E36">
      <w:pPr>
        <w:numPr>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The analysis of financial indicators shows that BMW Group has recorded a relatively stable financial performance and has managed to improve its net margin and liquidity position.</w:t>
      </w:r>
    </w:p>
    <w:p w14:paraId="7CB6BB52">
      <w:pPr>
        <w:numPr>
          <w:numId w:val="0"/>
        </w:numPr>
        <w:rPr>
          <w:rFonts w:hint="default" w:asciiTheme="majorEastAsia" w:hAnsiTheme="majorEastAsia" w:cstheme="majorEastAsia"/>
          <w:b/>
          <w:bCs/>
          <w:sz w:val="21"/>
          <w:szCs w:val="21"/>
          <w:lang w:val="ro-RO"/>
        </w:rPr>
      </w:pPr>
    </w:p>
    <w:p w14:paraId="5AE07C35">
      <w:pPr>
        <w:numPr>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In conclusion, the analysis based on financial indicators has proven to be a useful tool for evaluating performance and identifying strengths, but also the aspects that need to be improved.</w:t>
      </w:r>
    </w:p>
    <w:p w14:paraId="6CB6453B">
      <w:pPr>
        <w:numPr>
          <w:numId w:val="0"/>
        </w:numPr>
        <w:rPr>
          <w:rFonts w:hint="default" w:asciiTheme="majorEastAsia" w:hAnsiTheme="majorEastAsia" w:cstheme="majorEastAsia"/>
          <w:b/>
          <w:bCs/>
          <w:sz w:val="21"/>
          <w:szCs w:val="21"/>
          <w:lang w:val="ro-RO"/>
        </w:rPr>
      </w:pPr>
    </w:p>
    <w:p w14:paraId="60D0D72D">
      <w:pPr>
        <w:numPr>
          <w:numId w:val="0"/>
        </w:numPr>
        <w:rPr>
          <w:rFonts w:hint="default" w:asciiTheme="majorEastAsia" w:hAnsiTheme="majorEastAsia" w:cstheme="majorEastAsia"/>
          <w:b/>
          <w:bCs/>
          <w:sz w:val="21"/>
          <w:szCs w:val="21"/>
          <w:lang w:val="ro-RO"/>
        </w:rPr>
      </w:pPr>
    </w:p>
    <w:p w14:paraId="6C0298CD">
      <w:pPr>
        <w:numPr>
          <w:numId w:val="0"/>
        </w:numPr>
        <w:rPr>
          <w:rFonts w:hint="default" w:asciiTheme="majorEastAsia" w:hAnsiTheme="majorEastAsia" w:cstheme="majorEastAsia"/>
          <w:b/>
          <w:bCs/>
          <w:sz w:val="21"/>
          <w:szCs w:val="21"/>
          <w:lang w:val="ro-RO"/>
        </w:rPr>
      </w:pPr>
    </w:p>
    <w:p w14:paraId="1AC19987">
      <w:pPr>
        <w:numPr>
          <w:numId w:val="0"/>
        </w:numPr>
        <w:rPr>
          <w:rFonts w:hint="default" w:asciiTheme="majorEastAsia" w:hAnsiTheme="majorEastAsia" w:cstheme="majorEastAsia"/>
          <w:b/>
          <w:bCs/>
          <w:color w:val="002060"/>
          <w:sz w:val="21"/>
          <w:szCs w:val="21"/>
          <w:u w:val="single"/>
          <w:lang w:val="ro-RO"/>
        </w:rPr>
      </w:pPr>
      <w:r>
        <w:rPr>
          <w:rFonts w:hint="default" w:asciiTheme="majorEastAsia" w:hAnsiTheme="majorEastAsia" w:cstheme="majorEastAsia"/>
          <w:b/>
          <w:bCs/>
          <w:color w:val="002060"/>
          <w:sz w:val="21"/>
          <w:szCs w:val="21"/>
          <w:u w:val="single"/>
          <w:lang w:val="ro-RO"/>
        </w:rPr>
        <w:t>REFERENCES</w:t>
      </w:r>
    </w:p>
    <w:p w14:paraId="70A8827D">
      <w:pPr>
        <w:numPr>
          <w:numId w:val="0"/>
        </w:numPr>
        <w:rPr>
          <w:rFonts w:hint="default" w:asciiTheme="majorEastAsia" w:hAnsiTheme="majorEastAsia" w:cstheme="majorEastAsia"/>
          <w:b/>
          <w:bCs/>
          <w:sz w:val="21"/>
          <w:szCs w:val="21"/>
          <w:lang w:val="ro-RO"/>
        </w:rPr>
      </w:pPr>
    </w:p>
    <w:p w14:paraId="2E862E62">
      <w:pPr>
        <w:keepNext w:val="0"/>
        <w:keepLines w:val="0"/>
        <w:widowControl/>
        <w:suppressLineNumbers w:val="0"/>
        <w:shd w:val="clear" w:fill="FFFFFF"/>
        <w:bidi w:val="0"/>
        <w:spacing w:line="12" w:lineRule="atLeast"/>
        <w:ind w:left="0" w:firstLine="0"/>
        <w:jc w:val="left"/>
        <w:rPr>
          <w:rFonts w:hint="default" w:eastAsia="Helvetica" w:asciiTheme="majorEastAsia" w:hAnsiTheme="majorEastAsia" w:cstheme="majorEastAsia"/>
          <w:i w:val="0"/>
          <w:iCs w:val="0"/>
          <w:caps w:val="0"/>
          <w:color w:val="1D1D1D"/>
          <w:spacing w:val="0"/>
          <w:sz w:val="21"/>
          <w:szCs w:val="21"/>
        </w:rPr>
      </w:pPr>
      <w:r>
        <w:rPr>
          <w:rFonts w:hint="default" w:eastAsia="Helvetica" w:asciiTheme="majorEastAsia" w:hAnsiTheme="majorEastAsia" w:cstheme="majorEastAsia"/>
          <w:i w:val="0"/>
          <w:iCs w:val="0"/>
          <w:caps w:val="0"/>
          <w:color w:val="1D1D1D"/>
          <w:spacing w:val="0"/>
          <w:kern w:val="0"/>
          <w:sz w:val="21"/>
          <w:szCs w:val="21"/>
          <w:shd w:val="clear" w:fill="FFFFFF"/>
          <w:lang w:val="en-US" w:eastAsia="zh-CN" w:bidi="ar"/>
        </w:rPr>
        <w:t>chrome-extension://efaidnbmnnnibpcajpcglclefindmkaj/https://www.bmwgroup.com/en/report/2024/downloads/BMW-AG-Financial-Statements-2024-en.pdf</w:t>
      </w:r>
    </w:p>
    <w:p w14:paraId="4E0D286E">
      <w:pPr>
        <w:keepNext w:val="0"/>
        <w:keepLines w:val="0"/>
        <w:widowControl/>
        <w:suppressLineNumbers w:val="0"/>
        <w:shd w:val="clear" w:fill="FFFFFF"/>
        <w:bidi w:val="0"/>
        <w:spacing w:line="12" w:lineRule="atLeast"/>
        <w:ind w:left="0" w:firstLine="0"/>
        <w:jc w:val="left"/>
        <w:rPr>
          <w:rFonts w:hint="default" w:eastAsia="Helvetica" w:asciiTheme="majorEastAsia" w:hAnsiTheme="majorEastAsia" w:cstheme="majorEastAsia"/>
          <w:i w:val="0"/>
          <w:iCs w:val="0"/>
          <w:caps w:val="0"/>
          <w:color w:val="1D1D1D"/>
          <w:spacing w:val="0"/>
          <w:sz w:val="21"/>
          <w:szCs w:val="21"/>
        </w:rPr>
      </w:pPr>
    </w:p>
    <w:p w14:paraId="65F669D6">
      <w:pPr>
        <w:keepNext w:val="0"/>
        <w:keepLines w:val="0"/>
        <w:widowControl/>
        <w:suppressLineNumbers w:val="0"/>
        <w:shd w:val="clear" w:fill="FFFFFF"/>
        <w:bidi w:val="0"/>
        <w:spacing w:line="12" w:lineRule="atLeast"/>
        <w:ind w:left="0" w:firstLine="0"/>
        <w:jc w:val="left"/>
        <w:rPr>
          <w:rFonts w:hint="default" w:eastAsia="Helvetica" w:asciiTheme="majorEastAsia" w:hAnsiTheme="majorEastAsia" w:cstheme="majorEastAsia"/>
          <w:i w:val="0"/>
          <w:iCs w:val="0"/>
          <w:caps w:val="0"/>
          <w:color w:val="1D1D1D"/>
          <w:spacing w:val="0"/>
          <w:sz w:val="21"/>
          <w:szCs w:val="21"/>
        </w:rPr>
      </w:pPr>
      <w:r>
        <w:rPr>
          <w:rFonts w:hint="default" w:eastAsia="Helvetica" w:asciiTheme="majorEastAsia" w:hAnsiTheme="majorEastAsia" w:cstheme="majorEastAsia"/>
          <w:i w:val="0"/>
          <w:iCs w:val="0"/>
          <w:caps w:val="0"/>
          <w:color w:val="6425CC"/>
          <w:spacing w:val="0"/>
          <w:kern w:val="0"/>
          <w:sz w:val="21"/>
          <w:szCs w:val="21"/>
          <w:u w:val="none"/>
          <w:shd w:val="clear" w:fill="FFFFFF"/>
          <w:lang w:val="en-US" w:eastAsia="zh-CN" w:bidi="ar"/>
        </w:rPr>
        <w:fldChar w:fldCharType="begin"/>
      </w:r>
      <w:r>
        <w:rPr>
          <w:rFonts w:hint="default" w:eastAsia="Helvetica" w:asciiTheme="majorEastAsia" w:hAnsiTheme="majorEastAsia" w:cstheme="majorEastAsia"/>
          <w:i w:val="0"/>
          <w:iCs w:val="0"/>
          <w:caps w:val="0"/>
          <w:color w:val="6425CC"/>
          <w:spacing w:val="0"/>
          <w:kern w:val="0"/>
          <w:sz w:val="21"/>
          <w:szCs w:val="21"/>
          <w:u w:val="none"/>
          <w:shd w:val="clear" w:fill="FFFFFF"/>
          <w:lang w:val="en-US" w:eastAsia="zh-CN" w:bidi="ar"/>
        </w:rPr>
        <w:instrText xml:space="preserve"> HYPERLINK "https://www.bmw.ro/ro/index.html" \l ":~:text=Bine ai venit pe site-ul oficial BMW,oferte exclusive, tehnologii inovatoare %C8%99i servicii personalizate." \t "https://mail.yahoo.com/n/search/name=mrjeffbacau%2540yahoo.com&amp;emailAddresses=mrjeffbacau%2540yahoo.com&amp;listFilter=ALL&amp;contactIds=a100.c6c6/messages/_blank" </w:instrText>
      </w:r>
      <w:r>
        <w:rPr>
          <w:rFonts w:hint="default" w:eastAsia="Helvetica" w:asciiTheme="majorEastAsia" w:hAnsiTheme="majorEastAsia" w:cstheme="majorEastAsia"/>
          <w:i w:val="0"/>
          <w:iCs w:val="0"/>
          <w:caps w:val="0"/>
          <w:color w:val="6425CC"/>
          <w:spacing w:val="0"/>
          <w:kern w:val="0"/>
          <w:sz w:val="21"/>
          <w:szCs w:val="21"/>
          <w:u w:val="none"/>
          <w:shd w:val="clear" w:fill="FFFFFF"/>
          <w:lang w:val="en-US" w:eastAsia="zh-CN" w:bidi="ar"/>
        </w:rPr>
        <w:fldChar w:fldCharType="separate"/>
      </w:r>
      <w:r>
        <w:rPr>
          <w:rStyle w:val="4"/>
          <w:rFonts w:hint="default" w:eastAsia="Helvetica" w:asciiTheme="majorEastAsia" w:hAnsiTheme="majorEastAsia" w:cstheme="majorEastAsia"/>
          <w:i w:val="0"/>
          <w:iCs w:val="0"/>
          <w:caps w:val="0"/>
          <w:color w:val="6425CC"/>
          <w:spacing w:val="0"/>
          <w:sz w:val="21"/>
          <w:szCs w:val="21"/>
          <w:u w:val="none"/>
          <w:shd w:val="clear" w:fill="FFFFFF"/>
        </w:rPr>
        <w:t>https://www.bmw.ro/ro/index.html#:~:text=Bine%20ai%20venit%20pe%20site%2Dul%20oficial%20BMW,oferte%20exclusive%2C%20tehnologii%20inovatoare%20%C8%99i%20servicii%20personalizate.</w:t>
      </w:r>
      <w:r>
        <w:rPr>
          <w:rFonts w:hint="default" w:eastAsia="Helvetica" w:asciiTheme="majorEastAsia" w:hAnsiTheme="majorEastAsia" w:cstheme="majorEastAsia"/>
          <w:i w:val="0"/>
          <w:iCs w:val="0"/>
          <w:caps w:val="0"/>
          <w:color w:val="6425CC"/>
          <w:spacing w:val="0"/>
          <w:kern w:val="0"/>
          <w:sz w:val="21"/>
          <w:szCs w:val="21"/>
          <w:u w:val="none"/>
          <w:shd w:val="clear" w:fill="FFFFFF"/>
          <w:lang w:val="en-US" w:eastAsia="zh-CN" w:bidi="ar"/>
        </w:rPr>
        <w:fldChar w:fldCharType="end"/>
      </w:r>
    </w:p>
    <w:p w14:paraId="0910503C">
      <w:pPr>
        <w:numPr>
          <w:numId w:val="0"/>
        </w:numPr>
        <w:rPr>
          <w:rFonts w:hint="default" w:asciiTheme="majorEastAsia" w:hAnsiTheme="majorEastAsia" w:cstheme="majorEastAsia"/>
          <w:b/>
          <w:bCs/>
          <w:sz w:val="21"/>
          <w:szCs w:val="21"/>
          <w:lang w:val="ro-RO"/>
        </w:rPr>
      </w:pPr>
    </w:p>
    <w:p w14:paraId="4FA78A54">
      <w:pPr>
        <w:numPr>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https://www.bmwgroup.com/en/report/2025/to-our-stakeholders/statement-chairman-board-of-management/index.html</w:t>
      </w:r>
    </w:p>
    <w:p w14:paraId="2422FA80">
      <w:pPr>
        <w:numPr>
          <w:numId w:val="0"/>
        </w:numPr>
        <w:rPr>
          <w:rFonts w:hint="default" w:asciiTheme="majorEastAsia" w:hAnsiTheme="majorEastAsia" w:cstheme="majorEastAsia"/>
          <w:b/>
          <w:bCs/>
          <w:sz w:val="21"/>
          <w:szCs w:val="21"/>
          <w:lang w:val="ro-RO"/>
        </w:rPr>
      </w:pPr>
    </w:p>
    <w:p w14:paraId="56ADF0D8">
      <w:pPr>
        <w:numPr>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fldChar w:fldCharType="begin"/>
      </w:r>
      <w:r>
        <w:rPr>
          <w:rFonts w:hint="default" w:asciiTheme="majorEastAsia" w:hAnsiTheme="majorEastAsia" w:cstheme="majorEastAsia"/>
          <w:b/>
          <w:bCs/>
          <w:sz w:val="21"/>
          <w:szCs w:val="21"/>
          <w:lang w:val="ro-RO"/>
        </w:rPr>
        <w:instrText xml:space="preserve"> HYPERLINK "https://www.bmwgroup.com/en.html" </w:instrText>
      </w:r>
      <w:r>
        <w:rPr>
          <w:rFonts w:hint="default" w:asciiTheme="majorEastAsia" w:hAnsiTheme="majorEastAsia" w:cstheme="majorEastAsia"/>
          <w:b/>
          <w:bCs/>
          <w:sz w:val="21"/>
          <w:szCs w:val="21"/>
          <w:lang w:val="ro-RO"/>
        </w:rPr>
        <w:fldChar w:fldCharType="separate"/>
      </w:r>
      <w:r>
        <w:rPr>
          <w:rStyle w:val="4"/>
          <w:rFonts w:hint="default" w:asciiTheme="majorEastAsia" w:hAnsiTheme="majorEastAsia" w:cstheme="majorEastAsia"/>
          <w:b/>
          <w:bCs/>
          <w:sz w:val="21"/>
          <w:szCs w:val="21"/>
          <w:lang w:val="ro-RO"/>
        </w:rPr>
        <w:t>https://www.bmwgroup.com/en.html</w:t>
      </w:r>
      <w:r>
        <w:rPr>
          <w:rFonts w:hint="default" w:asciiTheme="majorEastAsia" w:hAnsiTheme="majorEastAsia" w:cstheme="majorEastAsia"/>
          <w:b/>
          <w:bCs/>
          <w:sz w:val="21"/>
          <w:szCs w:val="21"/>
          <w:lang w:val="ro-RO"/>
        </w:rPr>
        <w:fldChar w:fldCharType="end"/>
      </w:r>
    </w:p>
    <w:p w14:paraId="73756DFA">
      <w:pPr>
        <w:numPr>
          <w:numId w:val="0"/>
        </w:numPr>
        <w:rPr>
          <w:rFonts w:hint="default" w:asciiTheme="majorEastAsia" w:hAnsiTheme="majorEastAsia" w:cstheme="majorEastAsia"/>
          <w:b/>
          <w:bCs/>
          <w:sz w:val="21"/>
          <w:szCs w:val="21"/>
          <w:lang w:val="ro-RO"/>
        </w:rPr>
      </w:pPr>
    </w:p>
    <w:p w14:paraId="57240FA6">
      <w:pPr>
        <w:numPr>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fldChar w:fldCharType="begin"/>
      </w:r>
      <w:r>
        <w:rPr>
          <w:rFonts w:hint="default" w:asciiTheme="majorEastAsia" w:hAnsiTheme="majorEastAsia" w:cstheme="majorEastAsia"/>
          <w:b/>
          <w:bCs/>
          <w:sz w:val="21"/>
          <w:szCs w:val="21"/>
          <w:lang w:val="ro-RO"/>
        </w:rPr>
        <w:instrText xml:space="preserve"> HYPERLINK "https://www.bmwgroup.com/en/company.html" </w:instrText>
      </w:r>
      <w:r>
        <w:rPr>
          <w:rFonts w:hint="default" w:asciiTheme="majorEastAsia" w:hAnsiTheme="majorEastAsia" w:cstheme="majorEastAsia"/>
          <w:b/>
          <w:bCs/>
          <w:sz w:val="21"/>
          <w:szCs w:val="21"/>
          <w:lang w:val="ro-RO"/>
        </w:rPr>
        <w:fldChar w:fldCharType="separate"/>
      </w:r>
      <w:r>
        <w:rPr>
          <w:rStyle w:val="4"/>
          <w:rFonts w:hint="default" w:asciiTheme="majorEastAsia" w:hAnsiTheme="majorEastAsia" w:cstheme="majorEastAsia"/>
          <w:b/>
          <w:bCs/>
          <w:sz w:val="21"/>
          <w:szCs w:val="21"/>
          <w:lang w:val="ro-RO"/>
        </w:rPr>
        <w:t>https://www.bmwgroup.com/en/company.html</w:t>
      </w:r>
      <w:r>
        <w:rPr>
          <w:rFonts w:hint="default" w:asciiTheme="majorEastAsia" w:hAnsiTheme="majorEastAsia" w:cstheme="majorEastAsia"/>
          <w:b/>
          <w:bCs/>
          <w:sz w:val="21"/>
          <w:szCs w:val="21"/>
          <w:lang w:val="ro-RO"/>
        </w:rPr>
        <w:fldChar w:fldCharType="end"/>
      </w:r>
    </w:p>
    <w:p w14:paraId="1419CCE4">
      <w:pPr>
        <w:numPr>
          <w:numId w:val="0"/>
        </w:numPr>
        <w:rPr>
          <w:rFonts w:hint="default" w:asciiTheme="majorEastAsia" w:hAnsiTheme="majorEastAsia" w:cstheme="majorEastAsia"/>
          <w:b/>
          <w:bCs/>
          <w:sz w:val="21"/>
          <w:szCs w:val="21"/>
          <w:lang w:val="ro-RO"/>
        </w:rPr>
      </w:pPr>
    </w:p>
    <w:p w14:paraId="3EB8EB90">
      <w:pPr>
        <w:numPr>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fldChar w:fldCharType="begin"/>
      </w:r>
      <w:r>
        <w:rPr>
          <w:rFonts w:hint="default" w:asciiTheme="majorEastAsia" w:hAnsiTheme="majorEastAsia" w:cstheme="majorEastAsia"/>
          <w:b/>
          <w:bCs/>
          <w:sz w:val="21"/>
          <w:szCs w:val="21"/>
          <w:lang w:val="ro-RO"/>
        </w:rPr>
        <w:instrText xml:space="preserve"> HYPERLINK "https://www.bmwgroup.com/en/sustainability.html" </w:instrText>
      </w:r>
      <w:r>
        <w:rPr>
          <w:rFonts w:hint="default" w:asciiTheme="majorEastAsia" w:hAnsiTheme="majorEastAsia" w:cstheme="majorEastAsia"/>
          <w:b/>
          <w:bCs/>
          <w:sz w:val="21"/>
          <w:szCs w:val="21"/>
          <w:lang w:val="ro-RO"/>
        </w:rPr>
        <w:fldChar w:fldCharType="separate"/>
      </w:r>
      <w:r>
        <w:rPr>
          <w:rStyle w:val="4"/>
          <w:rFonts w:hint="default" w:asciiTheme="majorEastAsia" w:hAnsiTheme="majorEastAsia" w:cstheme="majorEastAsia"/>
          <w:b/>
          <w:bCs/>
          <w:sz w:val="21"/>
          <w:szCs w:val="21"/>
          <w:lang w:val="ro-RO"/>
        </w:rPr>
        <w:t>https://www.bmwgroup.com/en/sustainability.html</w:t>
      </w:r>
      <w:r>
        <w:rPr>
          <w:rFonts w:hint="default" w:asciiTheme="majorEastAsia" w:hAnsiTheme="majorEastAsia" w:cstheme="majorEastAsia"/>
          <w:b/>
          <w:bCs/>
          <w:sz w:val="21"/>
          <w:szCs w:val="21"/>
          <w:lang w:val="ro-RO"/>
        </w:rPr>
        <w:fldChar w:fldCharType="end"/>
      </w:r>
    </w:p>
    <w:p w14:paraId="7C33654B">
      <w:pPr>
        <w:numPr>
          <w:numId w:val="0"/>
        </w:numPr>
        <w:rPr>
          <w:rFonts w:hint="default" w:asciiTheme="majorEastAsia" w:hAnsiTheme="majorEastAsia" w:cstheme="majorEastAsia"/>
          <w:b/>
          <w:bCs/>
          <w:sz w:val="21"/>
          <w:szCs w:val="21"/>
          <w:lang w:val="ro-RO"/>
        </w:rPr>
      </w:pPr>
    </w:p>
    <w:p w14:paraId="259CC698">
      <w:pPr>
        <w:numPr>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fldChar w:fldCharType="begin"/>
      </w:r>
      <w:r>
        <w:rPr>
          <w:rFonts w:hint="default" w:asciiTheme="majorEastAsia" w:hAnsiTheme="majorEastAsia" w:cstheme="majorEastAsia"/>
          <w:b/>
          <w:bCs/>
          <w:sz w:val="21"/>
          <w:szCs w:val="21"/>
          <w:lang w:val="ro-RO"/>
        </w:rPr>
        <w:instrText xml:space="preserve"> HYPERLINK "https://www.bmwgroup.com/content/dam/grpw/websites/bmwgroup_com/ir/downloads/en/2025/emtn/BMW-International-Investment-B.V._Annual-Report-2024.pdf?#page=12" </w:instrText>
      </w:r>
      <w:r>
        <w:rPr>
          <w:rFonts w:hint="default" w:asciiTheme="majorEastAsia" w:hAnsiTheme="majorEastAsia" w:cstheme="majorEastAsia"/>
          <w:b/>
          <w:bCs/>
          <w:sz w:val="21"/>
          <w:szCs w:val="21"/>
          <w:lang w:val="ro-RO"/>
        </w:rPr>
        <w:fldChar w:fldCharType="separate"/>
      </w:r>
      <w:r>
        <w:rPr>
          <w:rStyle w:val="4"/>
          <w:rFonts w:hint="default" w:asciiTheme="majorEastAsia" w:hAnsiTheme="majorEastAsia" w:cstheme="majorEastAsia"/>
          <w:b/>
          <w:bCs/>
          <w:sz w:val="21"/>
          <w:szCs w:val="21"/>
          <w:lang w:val="ro-RO"/>
        </w:rPr>
        <w:t>https://www.bmwgroup.com/content/dam/grpw/websites/bmwgroup_com/ir/downloads/en/2025/emtn/BMW-International-Investment-B.V._Annual-Report-2024.pdf?#page=12</w:t>
      </w:r>
      <w:r>
        <w:rPr>
          <w:rFonts w:hint="default" w:asciiTheme="majorEastAsia" w:hAnsiTheme="majorEastAsia" w:cstheme="majorEastAsia"/>
          <w:b/>
          <w:bCs/>
          <w:sz w:val="21"/>
          <w:szCs w:val="21"/>
          <w:lang w:val="ro-RO"/>
        </w:rPr>
        <w:fldChar w:fldCharType="end"/>
      </w:r>
    </w:p>
    <w:p w14:paraId="36656473">
      <w:pPr>
        <w:numPr>
          <w:numId w:val="0"/>
        </w:numPr>
        <w:rPr>
          <w:rFonts w:hint="default" w:asciiTheme="majorEastAsia" w:hAnsiTheme="majorEastAsia" w:cstheme="majorEastAsia"/>
          <w:b/>
          <w:bCs/>
          <w:sz w:val="21"/>
          <w:szCs w:val="21"/>
          <w:lang w:val="ro-RO"/>
        </w:rPr>
      </w:pPr>
    </w:p>
    <w:p w14:paraId="7F4921FB">
      <w:pPr>
        <w:numPr>
          <w:numId w:val="0"/>
        </w:numPr>
        <w:rPr>
          <w:rFonts w:hint="default" w:eastAsia="Helvetica" w:asciiTheme="majorEastAsia" w:hAnsiTheme="majorEastAsia" w:cstheme="majorEastAsia"/>
          <w:i w:val="0"/>
          <w:iCs w:val="0"/>
          <w:caps w:val="0"/>
          <w:color w:val="6425CC"/>
          <w:spacing w:val="0"/>
          <w:sz w:val="21"/>
          <w:szCs w:val="21"/>
          <w:u w:val="none"/>
          <w:shd w:val="clear" w:fill="FFFFFF"/>
        </w:rPr>
      </w:pPr>
      <w:r>
        <w:rPr>
          <w:rFonts w:hint="default" w:eastAsia="Helvetica" w:asciiTheme="majorEastAsia" w:hAnsiTheme="majorEastAsia" w:cstheme="majorEastAsia"/>
          <w:i w:val="0"/>
          <w:iCs w:val="0"/>
          <w:caps w:val="0"/>
          <w:color w:val="6425CC"/>
          <w:spacing w:val="0"/>
          <w:sz w:val="21"/>
          <w:szCs w:val="21"/>
          <w:u w:val="none"/>
          <w:shd w:val="clear" w:fill="FFFFFF"/>
        </w:rPr>
        <w:fldChar w:fldCharType="begin"/>
      </w:r>
      <w:r>
        <w:rPr>
          <w:rFonts w:hint="default" w:eastAsia="Helvetica" w:asciiTheme="majorEastAsia" w:hAnsiTheme="majorEastAsia" w:cstheme="majorEastAsia"/>
          <w:i w:val="0"/>
          <w:iCs w:val="0"/>
          <w:caps w:val="0"/>
          <w:color w:val="6425CC"/>
          <w:spacing w:val="0"/>
          <w:sz w:val="21"/>
          <w:szCs w:val="21"/>
          <w:u w:val="none"/>
          <w:shd w:val="clear" w:fill="FFFFFF"/>
        </w:rPr>
        <w:instrText xml:space="preserve"> HYPERLINK "https://anale.steconomiceuoradea.ro/volume/2020/n1/020.pdf" \t "https://mail.yahoo.com/n/folders/1/messages/_blank" </w:instrText>
      </w:r>
      <w:r>
        <w:rPr>
          <w:rFonts w:hint="default" w:eastAsia="Helvetica" w:asciiTheme="majorEastAsia" w:hAnsiTheme="majorEastAsia" w:cstheme="majorEastAsia"/>
          <w:i w:val="0"/>
          <w:iCs w:val="0"/>
          <w:caps w:val="0"/>
          <w:color w:val="6425CC"/>
          <w:spacing w:val="0"/>
          <w:sz w:val="21"/>
          <w:szCs w:val="21"/>
          <w:u w:val="none"/>
          <w:shd w:val="clear" w:fill="FFFFFF"/>
        </w:rPr>
        <w:fldChar w:fldCharType="separate"/>
      </w:r>
      <w:r>
        <w:rPr>
          <w:rStyle w:val="4"/>
          <w:rFonts w:hint="default" w:eastAsia="Helvetica" w:asciiTheme="majorEastAsia" w:hAnsiTheme="majorEastAsia" w:cstheme="majorEastAsia"/>
          <w:i w:val="0"/>
          <w:iCs w:val="0"/>
          <w:caps w:val="0"/>
          <w:color w:val="6425CC"/>
          <w:spacing w:val="0"/>
          <w:sz w:val="21"/>
          <w:szCs w:val="21"/>
          <w:u w:val="none"/>
          <w:shd w:val="clear" w:fill="FFFFFF"/>
        </w:rPr>
        <w:t>https://anale.steconomiceuoradea.ro/volume/2020/n1/020.pdf</w:t>
      </w:r>
      <w:r>
        <w:rPr>
          <w:rFonts w:hint="default" w:eastAsia="Helvetica" w:asciiTheme="majorEastAsia" w:hAnsiTheme="majorEastAsia" w:cstheme="majorEastAsia"/>
          <w:i w:val="0"/>
          <w:iCs w:val="0"/>
          <w:caps w:val="0"/>
          <w:color w:val="6425CC"/>
          <w:spacing w:val="0"/>
          <w:sz w:val="21"/>
          <w:szCs w:val="21"/>
          <w:u w:val="none"/>
          <w:shd w:val="clear" w:fill="FFFFFF"/>
        </w:rPr>
        <w:fldChar w:fldCharType="end"/>
      </w:r>
    </w:p>
    <w:p w14:paraId="488B79D0">
      <w:pPr>
        <w:numPr>
          <w:numId w:val="0"/>
        </w:numPr>
        <w:rPr>
          <w:rFonts w:hint="default" w:eastAsia="Helvetica" w:asciiTheme="majorEastAsia" w:hAnsiTheme="majorEastAsia" w:cstheme="majorEastAsia"/>
          <w:i w:val="0"/>
          <w:iCs w:val="0"/>
          <w:caps w:val="0"/>
          <w:color w:val="6425CC"/>
          <w:spacing w:val="0"/>
          <w:sz w:val="21"/>
          <w:szCs w:val="21"/>
          <w:u w:val="none"/>
          <w:shd w:val="clear" w:fill="FFFFFF"/>
          <w:lang w:val="ro-RO"/>
        </w:rPr>
      </w:pPr>
      <w:r>
        <w:rPr>
          <w:rFonts w:hint="default" w:eastAsia="Helvetica" w:asciiTheme="majorEastAsia" w:hAnsiTheme="majorEastAsia" w:cstheme="majorEastAsia"/>
          <w:i w:val="0"/>
          <w:iCs w:val="0"/>
          <w:caps w:val="0"/>
          <w:color w:val="6425CC"/>
          <w:spacing w:val="0"/>
          <w:sz w:val="21"/>
          <w:szCs w:val="21"/>
          <w:u w:val="none"/>
          <w:shd w:val="clear" w:fill="FFFFFF"/>
          <w:lang w:val="ro-RO"/>
        </w:rPr>
        <w:t>The Annals of the University of Oradea Economic Sciences</w:t>
      </w:r>
    </w:p>
    <w:p w14:paraId="5BE13B45">
      <w:pPr>
        <w:numPr>
          <w:numId w:val="0"/>
        </w:numPr>
        <w:rPr>
          <w:rFonts w:hint="default" w:eastAsia="Helvetica" w:asciiTheme="majorEastAsia" w:hAnsiTheme="majorEastAsia" w:cstheme="majorEastAsia"/>
          <w:i w:val="0"/>
          <w:iCs w:val="0"/>
          <w:caps w:val="0"/>
          <w:color w:val="6425CC"/>
          <w:spacing w:val="0"/>
          <w:sz w:val="21"/>
          <w:szCs w:val="21"/>
          <w:u w:val="none"/>
          <w:shd w:val="clear" w:fill="FFFFFF"/>
          <w:lang w:val="ro-RO"/>
        </w:rPr>
      </w:pPr>
      <w:r>
        <w:rPr>
          <w:rFonts w:hint="default" w:eastAsia="Helvetica" w:asciiTheme="majorEastAsia" w:hAnsiTheme="majorEastAsia" w:cstheme="majorEastAsia"/>
          <w:i w:val="0"/>
          <w:iCs w:val="0"/>
          <w:caps w:val="0"/>
          <w:color w:val="6425CC"/>
          <w:spacing w:val="0"/>
          <w:sz w:val="21"/>
          <w:szCs w:val="21"/>
          <w:u w:val="none"/>
          <w:shd w:val="clear" w:fill="FFFFFF"/>
          <w:lang w:val="ro-RO"/>
        </w:rPr>
        <w:t>Tom XXIX 2020, issue 1 (July 2020)</w:t>
      </w:r>
    </w:p>
    <w:p w14:paraId="58A48E05">
      <w:pPr>
        <w:numPr>
          <w:numId w:val="0"/>
        </w:numPr>
        <w:rPr>
          <w:rFonts w:hint="default" w:eastAsia="Helvetica" w:asciiTheme="majorEastAsia" w:hAnsiTheme="majorEastAsia" w:cstheme="majorEastAsia"/>
          <w:i w:val="0"/>
          <w:iCs w:val="0"/>
          <w:caps w:val="0"/>
          <w:color w:val="6425CC"/>
          <w:spacing w:val="0"/>
          <w:sz w:val="21"/>
          <w:szCs w:val="21"/>
          <w:u w:val="none"/>
          <w:shd w:val="clear" w:fill="FFFFFF"/>
          <w:lang w:val="ro-RO"/>
        </w:rPr>
      </w:pPr>
      <w:r>
        <w:rPr>
          <w:rFonts w:hint="default" w:eastAsia="Helvetica" w:asciiTheme="majorEastAsia" w:hAnsiTheme="majorEastAsia" w:cstheme="majorEastAsia"/>
          <w:i w:val="0"/>
          <w:iCs w:val="0"/>
          <w:caps w:val="0"/>
          <w:color w:val="6425CC"/>
          <w:spacing w:val="0"/>
          <w:sz w:val="21"/>
          <w:szCs w:val="21"/>
          <w:u w:val="none"/>
          <w:shd w:val="clear" w:fill="FFFFFF"/>
          <w:lang w:val="ro-RO"/>
        </w:rPr>
        <w:t>ISSN 1222-569X eISSN 1582-5450</w:t>
      </w:r>
    </w:p>
    <w:p w14:paraId="413193F0">
      <w:pPr>
        <w:numPr>
          <w:numId w:val="0"/>
        </w:numPr>
        <w:rPr>
          <w:rFonts w:hint="default" w:eastAsia="Helvetica" w:asciiTheme="majorEastAsia" w:hAnsiTheme="majorEastAsia" w:cstheme="majorEastAsia"/>
          <w:i w:val="0"/>
          <w:iCs w:val="0"/>
          <w:caps w:val="0"/>
          <w:color w:val="6425CC"/>
          <w:spacing w:val="0"/>
          <w:sz w:val="21"/>
          <w:szCs w:val="21"/>
          <w:u w:val="none"/>
          <w:shd w:val="clear" w:fill="FFFFFF"/>
        </w:rPr>
      </w:pPr>
    </w:p>
    <w:p w14:paraId="2CA726ED">
      <w:pPr>
        <w:numPr>
          <w:numId w:val="0"/>
        </w:numPr>
        <w:rPr>
          <w:rFonts w:hint="default" w:eastAsia="Helvetica" w:asciiTheme="majorEastAsia" w:hAnsiTheme="majorEastAsia" w:cstheme="majorEastAsia"/>
          <w:i w:val="0"/>
          <w:iCs w:val="0"/>
          <w:caps w:val="0"/>
          <w:color w:val="6425CC"/>
          <w:spacing w:val="0"/>
          <w:sz w:val="21"/>
          <w:szCs w:val="21"/>
          <w:u w:val="none"/>
          <w:shd w:val="clear" w:fill="FFFFFF"/>
          <w:lang w:val="ro-RO"/>
        </w:rPr>
      </w:pPr>
      <w:r>
        <w:rPr>
          <w:rFonts w:hint="default" w:eastAsia="Helvetica" w:asciiTheme="majorEastAsia" w:hAnsiTheme="majorEastAsia" w:cstheme="majorEastAsia"/>
          <w:i w:val="0"/>
          <w:iCs w:val="0"/>
          <w:caps w:val="0"/>
          <w:color w:val="7D2EFF"/>
          <w:spacing w:val="0"/>
          <w:sz w:val="21"/>
          <w:szCs w:val="21"/>
          <w:u w:val="none"/>
          <w:shd w:val="clear" w:fill="FFFFFF"/>
        </w:rPr>
        <w:fldChar w:fldCharType="begin"/>
      </w:r>
      <w:r>
        <w:rPr>
          <w:rFonts w:hint="default" w:eastAsia="Helvetica" w:asciiTheme="majorEastAsia" w:hAnsiTheme="majorEastAsia" w:cstheme="majorEastAsia"/>
          <w:i w:val="0"/>
          <w:iCs w:val="0"/>
          <w:caps w:val="0"/>
          <w:color w:val="7D2EFF"/>
          <w:spacing w:val="0"/>
          <w:sz w:val="21"/>
          <w:szCs w:val="21"/>
          <w:u w:val="none"/>
          <w:shd w:val="clear" w:fill="FFFFFF"/>
        </w:rPr>
        <w:instrText xml:space="preserve"> HYPERLINK "https://www.investopedia.com/terms/l/liquidityratios.asp" \t "https://mail.yahoo.com/n/folders/1/messages/_blank" </w:instrText>
      </w:r>
      <w:r>
        <w:rPr>
          <w:rFonts w:hint="default" w:eastAsia="Helvetica" w:asciiTheme="majorEastAsia" w:hAnsiTheme="majorEastAsia" w:cstheme="majorEastAsia"/>
          <w:i w:val="0"/>
          <w:iCs w:val="0"/>
          <w:caps w:val="0"/>
          <w:color w:val="7D2EFF"/>
          <w:spacing w:val="0"/>
          <w:sz w:val="21"/>
          <w:szCs w:val="21"/>
          <w:u w:val="none"/>
          <w:shd w:val="clear" w:fill="FFFFFF"/>
        </w:rPr>
        <w:fldChar w:fldCharType="separate"/>
      </w:r>
      <w:r>
        <w:rPr>
          <w:rStyle w:val="4"/>
          <w:rFonts w:hint="default" w:eastAsia="Helvetica" w:asciiTheme="majorEastAsia" w:hAnsiTheme="majorEastAsia" w:cstheme="majorEastAsia"/>
          <w:i w:val="0"/>
          <w:iCs w:val="0"/>
          <w:caps w:val="0"/>
          <w:color w:val="7D2EFF"/>
          <w:spacing w:val="0"/>
          <w:sz w:val="21"/>
          <w:szCs w:val="21"/>
          <w:u w:val="none"/>
          <w:shd w:val="clear" w:fill="FFFFFF"/>
        </w:rPr>
        <w:t>https://www.investopedia.com/terms/l/liquidityratios.asp</w:t>
      </w:r>
      <w:r>
        <w:rPr>
          <w:rFonts w:hint="default" w:eastAsia="Helvetica" w:asciiTheme="majorEastAsia" w:hAnsiTheme="majorEastAsia" w:cstheme="majorEastAsia"/>
          <w:i w:val="0"/>
          <w:iCs w:val="0"/>
          <w:caps w:val="0"/>
          <w:color w:val="7D2EFF"/>
          <w:spacing w:val="0"/>
          <w:sz w:val="21"/>
          <w:szCs w:val="21"/>
          <w:u w:val="none"/>
          <w:shd w:val="clear" w:fill="FFFFFF"/>
        </w:rPr>
        <w:fldChar w:fldCharType="end"/>
      </w:r>
      <w:r>
        <w:rPr>
          <w:rFonts w:hint="default" w:eastAsia="Helvetica" w:asciiTheme="majorEastAsia" w:hAnsiTheme="majorEastAsia" w:cstheme="majorEastAsia"/>
          <w:i w:val="0"/>
          <w:iCs w:val="0"/>
          <w:caps w:val="0"/>
          <w:color w:val="7D2EFF"/>
          <w:spacing w:val="0"/>
          <w:sz w:val="21"/>
          <w:szCs w:val="21"/>
          <w:u w:val="none"/>
          <w:shd w:val="clear" w:fill="FFFFFF"/>
        </w:rPr>
        <w:fldChar w:fldCharType="begin"/>
      </w:r>
      <w:r>
        <w:rPr>
          <w:rFonts w:hint="default" w:eastAsia="Helvetica" w:asciiTheme="majorEastAsia" w:hAnsiTheme="majorEastAsia" w:cstheme="majorEastAsia"/>
          <w:i w:val="0"/>
          <w:iCs w:val="0"/>
          <w:caps w:val="0"/>
          <w:color w:val="7D2EFF"/>
          <w:spacing w:val="0"/>
          <w:sz w:val="21"/>
          <w:szCs w:val="21"/>
          <w:u w:val="none"/>
          <w:shd w:val="clear" w:fill="FFFFFF"/>
        </w:rPr>
        <w:instrText xml:space="preserve"> HYPERLINK "https://www.investopedia.com/terms/l/liquidityratios.asp" \t "https://mail.yahoo.com/n/folders/1/messages/_blank" </w:instrText>
      </w:r>
      <w:r>
        <w:rPr>
          <w:rFonts w:hint="default" w:eastAsia="Helvetica" w:asciiTheme="majorEastAsia" w:hAnsiTheme="majorEastAsia" w:cstheme="majorEastAsia"/>
          <w:i w:val="0"/>
          <w:iCs w:val="0"/>
          <w:caps w:val="0"/>
          <w:color w:val="7D2EFF"/>
          <w:spacing w:val="0"/>
          <w:sz w:val="21"/>
          <w:szCs w:val="21"/>
          <w:u w:val="none"/>
          <w:shd w:val="clear" w:fill="FFFFFF"/>
        </w:rPr>
        <w:fldChar w:fldCharType="separate"/>
      </w:r>
      <w:r>
        <w:rPr>
          <w:rStyle w:val="4"/>
          <w:rFonts w:hint="default" w:eastAsia="Helvetica" w:asciiTheme="majorEastAsia" w:hAnsiTheme="majorEastAsia" w:cstheme="majorEastAsia"/>
          <w:i w:val="0"/>
          <w:iCs w:val="0"/>
          <w:caps w:val="0"/>
          <w:color w:val="7D2EFF"/>
          <w:spacing w:val="0"/>
          <w:sz w:val="21"/>
          <w:szCs w:val="21"/>
          <w:u w:val="none"/>
          <w:shd w:val="clear" w:fill="FFFFFF"/>
        </w:rPr>
        <w:t>https://www.investopedia.com/terms/l/liquidityratios.asp</w:t>
      </w:r>
      <w:r>
        <w:rPr>
          <w:rFonts w:hint="default" w:eastAsia="Helvetica" w:asciiTheme="majorEastAsia" w:hAnsiTheme="majorEastAsia" w:cstheme="majorEastAsia"/>
          <w:i w:val="0"/>
          <w:iCs w:val="0"/>
          <w:caps w:val="0"/>
          <w:color w:val="7D2EFF"/>
          <w:spacing w:val="0"/>
          <w:sz w:val="21"/>
          <w:szCs w:val="21"/>
          <w:u w:val="none"/>
          <w:shd w:val="clear" w:fill="FFFFFF"/>
        </w:rPr>
        <w:fldChar w:fldCharType="end"/>
      </w:r>
    </w:p>
    <w:p w14:paraId="5F145C13">
      <w:pPr>
        <w:numPr>
          <w:numId w:val="0"/>
        </w:numPr>
        <w:rPr>
          <w:rFonts w:hint="default" w:asciiTheme="majorEastAsia" w:hAnsiTheme="majorEastAsia" w:cstheme="majorEastAsia"/>
          <w:b/>
          <w:bCs/>
          <w:sz w:val="21"/>
          <w:szCs w:val="21"/>
          <w:lang w:val="ro-RO"/>
        </w:rPr>
      </w:pPr>
    </w:p>
    <w:p w14:paraId="7228F329">
      <w:pPr>
        <w:numPr>
          <w:numId w:val="0"/>
        </w:numPr>
        <w:rPr>
          <w:rFonts w:hint="default" w:asciiTheme="majorEastAsia" w:hAnsiTheme="majorEastAsia" w:cstheme="majorEastAsia"/>
          <w:b/>
          <w:bCs/>
          <w:sz w:val="21"/>
          <w:szCs w:val="21"/>
          <w:lang w:val="ro-RO"/>
        </w:rPr>
      </w:pPr>
      <w:r>
        <w:rPr>
          <w:rFonts w:hint="default" w:eastAsia="Helvetica" w:asciiTheme="majorEastAsia" w:hAnsiTheme="majorEastAsia" w:cstheme="majorEastAsia"/>
          <w:i w:val="0"/>
          <w:iCs w:val="0"/>
          <w:caps w:val="0"/>
          <w:color w:val="1D1D1D"/>
          <w:spacing w:val="0"/>
          <w:sz w:val="21"/>
          <w:szCs w:val="21"/>
          <w:shd w:val="clear" w:fill="FFFFFF"/>
        </w:rPr>
        <w:t>https://real.mtak.hu/6949/1/1195039.pdf#:~:text=In%20the</w:t>
      </w:r>
      <w:r>
        <w:rPr>
          <w:rFonts w:hint="default" w:eastAsia="Helvetica" w:asciiTheme="majorEastAsia" w:hAnsiTheme="majorEastAsia" w:cstheme="majorEastAsia"/>
          <w:i w:val="0"/>
          <w:iCs w:val="0"/>
          <w:caps w:val="0"/>
          <w:color w:val="7D2EFF"/>
          <w:spacing w:val="0"/>
          <w:sz w:val="21"/>
          <w:szCs w:val="21"/>
          <w:u w:val="none"/>
          <w:shd w:val="clear" w:fill="FFFFFF"/>
        </w:rPr>
        <w:fldChar w:fldCharType="begin"/>
      </w:r>
      <w:r>
        <w:rPr>
          <w:rFonts w:hint="default" w:eastAsia="Helvetica" w:asciiTheme="majorEastAsia" w:hAnsiTheme="majorEastAsia" w:cstheme="majorEastAsia"/>
          <w:i w:val="0"/>
          <w:iCs w:val="0"/>
          <w:caps w:val="0"/>
          <w:color w:val="7D2EFF"/>
          <w:spacing w:val="0"/>
          <w:sz w:val="21"/>
          <w:szCs w:val="21"/>
          <w:u w:val="none"/>
          <w:shd w:val="clear" w:fill="FFFFFF"/>
        </w:rPr>
        <w:instrText xml:space="preserve"> HYPERLINK "https://real.mtak.hu/6949/1/1195039.pdf" \l ":~:text=In the" \t "https://mail.yahoo.com/n/folders/1/messages/_blank" </w:instrText>
      </w:r>
      <w:r>
        <w:rPr>
          <w:rFonts w:hint="default" w:eastAsia="Helvetica" w:asciiTheme="majorEastAsia" w:hAnsiTheme="majorEastAsia" w:cstheme="majorEastAsia"/>
          <w:i w:val="0"/>
          <w:iCs w:val="0"/>
          <w:caps w:val="0"/>
          <w:color w:val="7D2EFF"/>
          <w:spacing w:val="0"/>
          <w:sz w:val="21"/>
          <w:szCs w:val="21"/>
          <w:u w:val="none"/>
          <w:shd w:val="clear" w:fill="FFFFFF"/>
        </w:rPr>
        <w:fldChar w:fldCharType="separate"/>
      </w:r>
      <w:r>
        <w:rPr>
          <w:rStyle w:val="4"/>
          <w:rFonts w:hint="default" w:eastAsia="Helvetica" w:asciiTheme="majorEastAsia" w:hAnsiTheme="majorEastAsia" w:cstheme="majorEastAsia"/>
          <w:i w:val="0"/>
          <w:iCs w:val="0"/>
          <w:caps w:val="0"/>
          <w:color w:val="7D2EFF"/>
          <w:spacing w:val="0"/>
          <w:sz w:val="21"/>
          <w:szCs w:val="21"/>
          <w:u w:val="none"/>
          <w:shd w:val="clear" w:fill="FFFFFF"/>
        </w:rPr>
        <w:t>https://real.mtak.hu/6949/1/1195039.pdf#:~:text=In%20the</w:t>
      </w:r>
      <w:r>
        <w:rPr>
          <w:rFonts w:hint="default" w:eastAsia="Helvetica" w:asciiTheme="majorEastAsia" w:hAnsiTheme="majorEastAsia" w:cstheme="majorEastAsia"/>
          <w:i w:val="0"/>
          <w:iCs w:val="0"/>
          <w:caps w:val="0"/>
          <w:color w:val="7D2EFF"/>
          <w:spacing w:val="0"/>
          <w:sz w:val="21"/>
          <w:szCs w:val="21"/>
          <w:u w:val="none"/>
          <w:shd w:val="clear" w:fill="FFFFFF"/>
        </w:rPr>
        <w:fldChar w:fldCharType="end"/>
      </w:r>
      <w:r>
        <w:rPr>
          <w:rFonts w:hint="default" w:eastAsia="Helvetica" w:asciiTheme="majorEastAsia" w:hAnsiTheme="majorEastAsia" w:cstheme="majorEastAsia"/>
          <w:i w:val="0"/>
          <w:iCs w:val="0"/>
          <w:caps w:val="0"/>
          <w:color w:val="7D2EFF"/>
          <w:spacing w:val="0"/>
          <w:sz w:val="21"/>
          <w:szCs w:val="21"/>
          <w:u w:val="none"/>
          <w:shd w:val="clear" w:fill="FFFFFF"/>
        </w:rPr>
        <w:fldChar w:fldCharType="begin"/>
      </w:r>
      <w:r>
        <w:rPr>
          <w:rFonts w:hint="default" w:eastAsia="Helvetica" w:asciiTheme="majorEastAsia" w:hAnsiTheme="majorEastAsia" w:cstheme="majorEastAsia"/>
          <w:i w:val="0"/>
          <w:iCs w:val="0"/>
          <w:caps w:val="0"/>
          <w:color w:val="7D2EFF"/>
          <w:spacing w:val="0"/>
          <w:sz w:val="21"/>
          <w:szCs w:val="21"/>
          <w:u w:val="none"/>
          <w:shd w:val="clear" w:fill="FFFFFF"/>
        </w:rPr>
        <w:instrText xml:space="preserve"> HYPERLINK "https://real.mtak.hu/6949/1/1195039.pdf" \l ":~:text=In the two basic category of efficiency,which are the quotients of output/output values." \t "https://mail.yahoo.com/n/folders/1/messages/_blank" </w:instrText>
      </w:r>
      <w:r>
        <w:rPr>
          <w:rFonts w:hint="default" w:eastAsia="Helvetica" w:asciiTheme="majorEastAsia" w:hAnsiTheme="majorEastAsia" w:cstheme="majorEastAsia"/>
          <w:i w:val="0"/>
          <w:iCs w:val="0"/>
          <w:caps w:val="0"/>
          <w:color w:val="7D2EFF"/>
          <w:spacing w:val="0"/>
          <w:sz w:val="21"/>
          <w:szCs w:val="21"/>
          <w:u w:val="none"/>
          <w:shd w:val="clear" w:fill="FFFFFF"/>
        </w:rPr>
        <w:fldChar w:fldCharType="separate"/>
      </w:r>
      <w:r>
        <w:rPr>
          <w:rStyle w:val="4"/>
          <w:rFonts w:hint="default" w:eastAsia="Helvetica" w:asciiTheme="majorEastAsia" w:hAnsiTheme="majorEastAsia" w:cstheme="majorEastAsia"/>
          <w:i w:val="0"/>
          <w:iCs w:val="0"/>
          <w:caps w:val="0"/>
          <w:color w:val="7D2EFF"/>
          <w:spacing w:val="0"/>
          <w:sz w:val="21"/>
          <w:szCs w:val="21"/>
          <w:u w:val="none"/>
          <w:shd w:val="clear" w:fill="FFFFFF"/>
        </w:rPr>
        <w:t>https://real.mtak.hu/6949/1/1195039.pdf#:~:text=In%20the%20two%20basic%20category%20of%20efficiency,which%20are%20the%20quotients%20of%20output/output%20values.</w:t>
      </w:r>
      <w:r>
        <w:rPr>
          <w:rFonts w:hint="default" w:eastAsia="Helvetica" w:asciiTheme="majorEastAsia" w:hAnsiTheme="majorEastAsia" w:cstheme="majorEastAsia"/>
          <w:i w:val="0"/>
          <w:iCs w:val="0"/>
          <w:caps w:val="0"/>
          <w:color w:val="7D2EFF"/>
          <w:spacing w:val="0"/>
          <w:sz w:val="21"/>
          <w:szCs w:val="21"/>
          <w:u w:val="none"/>
          <w:shd w:val="clear" w:fill="FFFFFF"/>
        </w:rPr>
        <w:fldChar w:fldCharType="end"/>
      </w:r>
    </w:p>
    <w:p w14:paraId="085E073A">
      <w:pPr>
        <w:numPr>
          <w:numId w:val="0"/>
        </w:numPr>
        <w:rPr>
          <w:rFonts w:hint="default" w:asciiTheme="majorEastAsia" w:hAnsiTheme="majorEastAsia" w:cstheme="majorEastAsia"/>
          <w:b/>
          <w:bCs/>
          <w:sz w:val="21"/>
          <w:szCs w:val="21"/>
          <w:lang w:val="ro-RO"/>
        </w:rPr>
      </w:pPr>
    </w:p>
    <w:p w14:paraId="37292A16">
      <w:pPr>
        <w:numPr>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Analysis of efficiency indicator</w:t>
      </w:r>
    </w:p>
    <w:p w14:paraId="77C16344">
      <w:pPr>
        <w:numPr>
          <w:numId w:val="0"/>
        </w:numPr>
        <w:rPr>
          <w:rFonts w:hint="default" w:asciiTheme="majorEastAsia" w:hAnsiTheme="majorEastAsia" w:cstheme="majorEastAsia"/>
          <w:b/>
          <w:bCs/>
          <w:sz w:val="21"/>
          <w:szCs w:val="21"/>
          <w:lang w:val="ro-RO"/>
        </w:rPr>
      </w:pPr>
      <w:r>
        <w:rPr>
          <w:rFonts w:hint="default" w:asciiTheme="majorEastAsia" w:hAnsiTheme="majorEastAsia" w:cstheme="majorEastAsia"/>
          <w:b/>
          <w:bCs/>
          <w:sz w:val="21"/>
          <w:szCs w:val="21"/>
          <w:lang w:val="ro-RO"/>
        </w:rPr>
        <w:t>Andras nabradi, kaloly Peto, Ildiko Orban University of Debrecen, Faculty of Agricultural Economics and Rural Development 138 Boszormenyl Street, Debrecen, H-4032, Hungary</w:t>
      </w:r>
    </w:p>
    <w:p w14:paraId="18E8BC97">
      <w:pPr>
        <w:numPr>
          <w:numId w:val="0"/>
        </w:numPr>
        <w:rPr>
          <w:rFonts w:hint="default" w:ascii="Comic Sans MS" w:hAnsi="Comic Sans MS" w:cs="Comic Sans MS"/>
          <w:b/>
          <w:bCs/>
          <w:sz w:val="32"/>
          <w:szCs w:val="32"/>
          <w:lang w:val="ro-RO"/>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Arial Narrow">
    <w:panose1 w:val="020B0606020202030204"/>
    <w:charset w:val="00"/>
    <w:family w:val="auto"/>
    <w:pitch w:val="default"/>
    <w:sig w:usb0="00000287" w:usb1="00000800" w:usb2="00000000" w:usb3="00000000" w:csb0="2000009F" w:csb1="DFD70000"/>
  </w:font>
  <w:font w:name="Bahnschrift Light">
    <w:panose1 w:val="020B0502040204020203"/>
    <w:charset w:val="00"/>
    <w:family w:val="auto"/>
    <w:pitch w:val="default"/>
    <w:sig w:usb0="A00002C7" w:usb1="00000002" w:usb2="00000000" w:usb3="00000000" w:csb0="2000019F" w:csb1="00000000"/>
  </w:font>
  <w:font w:name="Bahnschrift Condensed">
    <w:panose1 w:val="020B0502040204020203"/>
    <w:charset w:val="00"/>
    <w:family w:val="auto"/>
    <w:pitch w:val="default"/>
    <w:sig w:usb0="A00002C7" w:usb1="00000002" w:usb2="00000000" w:usb3="00000000" w:csb0="2000019F" w:csb1="00000000"/>
  </w:font>
  <w:font w:name="Bahnschrift Light Condensed">
    <w:panose1 w:val="020B0502040204020203"/>
    <w:charset w:val="00"/>
    <w:family w:val="auto"/>
    <w:pitch w:val="default"/>
    <w:sig w:usb0="A00002C7" w:usb1="00000002" w:usb2="00000000" w:usb3="00000000" w:csb0="2000019F" w:csb1="00000000"/>
  </w:font>
  <w:font w:name="Bahnschrift SemiBold">
    <w:panose1 w:val="020B0502040204020203"/>
    <w:charset w:val="00"/>
    <w:family w:val="auto"/>
    <w:pitch w:val="default"/>
    <w:sig w:usb0="A00002C7" w:usb1="00000002" w:usb2="00000000" w:usb3="00000000" w:csb0="2000019F" w:csb1="00000000"/>
  </w:font>
  <w:font w:name="Bauhaus 93">
    <w:panose1 w:val="04030905020B02020C02"/>
    <w:charset w:val="00"/>
    <w:family w:val="auto"/>
    <w:pitch w:val="default"/>
    <w:sig w:usb0="00000003" w:usb1="00000000" w:usb2="00000000" w:usb3="00000000" w:csb0="20000001" w:csb1="00000000"/>
  </w:font>
  <w:font w:name="Baskerville Old Face">
    <w:panose1 w:val="02020602080505020303"/>
    <w:charset w:val="00"/>
    <w:family w:val="auto"/>
    <w:pitch w:val="default"/>
    <w:sig w:usb0="00000003" w:usb1="00000000" w:usb2="00000000" w:usb3="00000000" w:csb0="20000001" w:csb1="00000000"/>
  </w:font>
  <w:font w:name="Bernard MT Condensed">
    <w:panose1 w:val="02050806060905020404"/>
    <w:charset w:val="00"/>
    <w:family w:val="auto"/>
    <w:pitch w:val="default"/>
    <w:sig w:usb0="00000003" w:usb1="00000000" w:usb2="00000000" w:usb3="00000000" w:csb0="20000001" w:csb1="00000000"/>
  </w:font>
  <w:font w:name="Book Antiqua">
    <w:panose1 w:val="02040602050305030304"/>
    <w:charset w:val="00"/>
    <w:family w:val="auto"/>
    <w:pitch w:val="default"/>
    <w:sig w:usb0="00000287" w:usb1="00000000" w:usb2="00000000" w:usb3="00000000" w:csb0="2000009F" w:csb1="DFD70000"/>
  </w:font>
  <w:font w:name="Bookman Old Style">
    <w:panose1 w:val="02050604050505020204"/>
    <w:charset w:val="00"/>
    <w:family w:val="auto"/>
    <w:pitch w:val="default"/>
    <w:sig w:usb0="00000287" w:usb1="00000000" w:usb2="00000000" w:usb3="00000000" w:csb0="2000009F" w:csb1="DFD70000"/>
  </w:font>
  <w:font w:name="Broadway">
    <w:panose1 w:val="04040905080B02020502"/>
    <w:charset w:val="00"/>
    <w:family w:val="auto"/>
    <w:pitch w:val="default"/>
    <w:sig w:usb0="00000003" w:usb1="00000000" w:usb2="00000000" w:usb3="00000000" w:csb0="20000001" w:csb1="00000000"/>
  </w:font>
  <w:font w:name="Brush Script MT">
    <w:panose1 w:val="03060802040406070304"/>
    <w:charset w:val="00"/>
    <w:family w:val="auto"/>
    <w:pitch w:val="default"/>
    <w:sig w:usb0="00000003" w:usb1="00000000" w:usb2="00000000" w:usb3="00000000" w:csb0="20000001" w:csb1="00000000"/>
  </w:font>
  <w:font w:name="Colonna MT">
    <w:panose1 w:val="04020805060202030203"/>
    <w:charset w:val="00"/>
    <w:family w:val="auto"/>
    <w:pitch w:val="default"/>
    <w:sig w:usb0="00000003" w:usb1="00000000" w:usb2="00000000" w:usb3="00000000" w:csb0="20000001" w:csb1="00000000"/>
  </w:font>
  <w:font w:name="Comic Sans MS">
    <w:panose1 w:val="030F0702030302020204"/>
    <w:charset w:val="00"/>
    <w:family w:val="auto"/>
    <w:pitch w:val="default"/>
    <w:sig w:usb0="00000287" w:usb1="00000013" w:usb2="00000000" w:usb3="00000000" w:csb0="2000009F" w:csb1="00000000"/>
  </w:font>
  <w:font w:name="Helvetica">
    <w:altName w:val="Arial"/>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F899D6"/>
    <w:multiLevelType w:val="singleLevel"/>
    <w:tmpl w:val="99F899D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A5A55B75"/>
    <w:multiLevelType w:val="singleLevel"/>
    <w:tmpl w:val="A5A55B7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B9F31E14"/>
    <w:multiLevelType w:val="singleLevel"/>
    <w:tmpl w:val="B9F31E1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BC9CDD88"/>
    <w:multiLevelType w:val="singleLevel"/>
    <w:tmpl w:val="BC9CDD88"/>
    <w:lvl w:ilvl="0" w:tentative="0">
      <w:start w:val="2024"/>
      <w:numFmt w:val="decimal"/>
      <w:lvlText w:val="(%1)"/>
      <w:lvlJc w:val="left"/>
      <w:pPr>
        <w:tabs>
          <w:tab w:val="left" w:pos="312"/>
        </w:tabs>
      </w:pPr>
    </w:lvl>
  </w:abstractNum>
  <w:abstractNum w:abstractNumId="4">
    <w:nsid w:val="C216CF5F"/>
    <w:multiLevelType w:val="singleLevel"/>
    <w:tmpl w:val="C216CF5F"/>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
    <w:nsid w:val="D5E5E370"/>
    <w:multiLevelType w:val="singleLevel"/>
    <w:tmpl w:val="D5E5E37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
    <w:nsid w:val="D61343D9"/>
    <w:multiLevelType w:val="singleLevel"/>
    <w:tmpl w:val="D61343D9"/>
    <w:lvl w:ilvl="0" w:tentative="0">
      <w:start w:val="2024"/>
      <w:numFmt w:val="decimal"/>
      <w:lvlText w:val="(%1)"/>
      <w:lvlJc w:val="left"/>
      <w:pPr>
        <w:tabs>
          <w:tab w:val="left" w:pos="312"/>
        </w:tabs>
      </w:pPr>
    </w:lvl>
  </w:abstractNum>
  <w:abstractNum w:abstractNumId="7">
    <w:nsid w:val="FC1167E9"/>
    <w:multiLevelType w:val="singleLevel"/>
    <w:tmpl w:val="FC1167E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8">
    <w:nsid w:val="009CCAC8"/>
    <w:multiLevelType w:val="singleLevel"/>
    <w:tmpl w:val="009CCAC8"/>
    <w:lvl w:ilvl="0" w:tentative="0">
      <w:start w:val="2024"/>
      <w:numFmt w:val="decimal"/>
      <w:suff w:val="space"/>
      <w:lvlText w:val="(%1)"/>
      <w:lvlJc w:val="left"/>
    </w:lvl>
  </w:abstractNum>
  <w:abstractNum w:abstractNumId="9">
    <w:nsid w:val="213172F2"/>
    <w:multiLevelType w:val="singleLevel"/>
    <w:tmpl w:val="213172F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0">
    <w:nsid w:val="269B4A0A"/>
    <w:multiLevelType w:val="singleLevel"/>
    <w:tmpl w:val="269B4A0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1">
    <w:nsid w:val="405ED45A"/>
    <w:multiLevelType w:val="singleLevel"/>
    <w:tmpl w:val="405ED45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2">
    <w:nsid w:val="448E1C21"/>
    <w:multiLevelType w:val="singleLevel"/>
    <w:tmpl w:val="448E1C21"/>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3">
    <w:nsid w:val="55F32495"/>
    <w:multiLevelType w:val="singleLevel"/>
    <w:tmpl w:val="55F3249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4">
    <w:nsid w:val="79294ED4"/>
    <w:multiLevelType w:val="singleLevel"/>
    <w:tmpl w:val="79294ED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5">
    <w:nsid w:val="7A2515C7"/>
    <w:multiLevelType w:val="singleLevel"/>
    <w:tmpl w:val="7A2515C7"/>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15"/>
  </w:num>
  <w:num w:numId="2">
    <w:abstractNumId w:val="9"/>
  </w:num>
  <w:num w:numId="3">
    <w:abstractNumId w:val="13"/>
  </w:num>
  <w:num w:numId="4">
    <w:abstractNumId w:val="4"/>
  </w:num>
  <w:num w:numId="5">
    <w:abstractNumId w:val="2"/>
  </w:num>
  <w:num w:numId="6">
    <w:abstractNumId w:val="3"/>
  </w:num>
  <w:num w:numId="7">
    <w:abstractNumId w:val="0"/>
  </w:num>
  <w:num w:numId="8">
    <w:abstractNumId w:val="8"/>
  </w:num>
  <w:num w:numId="9">
    <w:abstractNumId w:val="7"/>
  </w:num>
  <w:num w:numId="10">
    <w:abstractNumId w:val="6"/>
  </w:num>
  <w:num w:numId="11">
    <w:abstractNumId w:val="14"/>
  </w:num>
  <w:num w:numId="12">
    <w:abstractNumId w:val="10"/>
  </w:num>
  <w:num w:numId="13">
    <w:abstractNumId w:val="11"/>
  </w:num>
  <w:num w:numId="14">
    <w:abstractNumId w:val="12"/>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4357B2"/>
    <w:rsid w:val="0F4357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Hyperlink"/>
    <w:basedOn w:val="2"/>
    <w:uiPriority w:val="0"/>
    <w:rPr>
      <w:color w:val="0000FF"/>
      <w:u w:val="single"/>
    </w:rPr>
  </w:style>
  <w:style w:type="table" w:styleId="5">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190</TotalTime>
  <ScaleCrop>false</ScaleCrop>
  <LinksUpToDate>false</LinksUpToDate>
  <CharactersWithSpaces>0</CharactersWithSpaces>
  <Application>WPS Office_12.9.0.21549_F1E327BC-269C-435d-A152-05C5408002CA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2026-04-22T18:14:00Z</dcterms:created>
  <dc:creator>WPS_1776881221</dc:creator>
  <cp:lastModifiedBy>WPS_1776881221</cp:lastModifiedBy>
  <dcterms:modified xsi:type="dcterms:W3CDTF">2026-04-22T21:24:30Z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1033-12.9.0.21549</vt:lpwstr>
  </property>
  <property fmtid="{D5CDD505-2E9C-101B-9397-08002B2CF9AE}" pid="3" name="ICV">
    <vt:lpwstr>9F91D0677E254997AC99101D445EB8BF_11</vt:lpwstr>
  </property>
</Properties>
</file>