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center"/>
        <w:rPr>
          <w:rFonts w:ascii="Tahoma" w:hAnsi="Tahoma" w:cs="Tahoma" w:eastAsia="Tahoma"/>
          <w:b/>
          <w:color w:val="auto"/>
          <w:spacing w:val="0"/>
          <w:position w:val="0"/>
          <w:sz w:val="24"/>
          <w:u w:val="single"/>
          <w:shd w:fill="auto" w:val="clear"/>
        </w:rPr>
      </w:pPr>
    </w:p>
    <w:p>
      <w:pPr>
        <w:spacing w:before="0" w:after="0" w:line="240"/>
        <w:ind w:right="0" w:left="0" w:firstLine="0"/>
        <w:jc w:val="both"/>
        <w:rPr>
          <w:rFonts w:ascii="Tahoma" w:hAnsi="Tahoma" w:cs="Tahoma" w:eastAsia="Tahoma"/>
          <w:b/>
          <w:color w:val="auto"/>
          <w:spacing w:val="0"/>
          <w:position w:val="0"/>
          <w:sz w:val="24"/>
          <w:u w:val="single"/>
          <w:shd w:fill="auto" w:val="clear"/>
        </w:rPr>
      </w:pPr>
    </w:p>
    <w:p>
      <w:pPr>
        <w:spacing w:before="0" w:after="0" w:line="240"/>
        <w:ind w:right="0" w:left="0" w:firstLine="0"/>
        <w:jc w:val="both"/>
        <w:rPr>
          <w:rFonts w:ascii="Tahoma" w:hAnsi="Tahoma" w:cs="Tahoma" w:eastAsia="Tahoma"/>
          <w:b/>
          <w:color w:val="auto"/>
          <w:spacing w:val="0"/>
          <w:position w:val="0"/>
          <w:sz w:val="24"/>
          <w:u w:val="single"/>
          <w:shd w:fill="auto" w:val="clear"/>
        </w:rPr>
      </w:pPr>
    </w:p>
    <w:p>
      <w:pPr>
        <w:spacing w:before="0" w:after="0" w:line="240"/>
        <w:ind w:right="0" w:left="0" w:firstLine="0"/>
        <w:jc w:val="both"/>
        <w:rPr>
          <w:rFonts w:ascii="Tahoma" w:hAnsi="Tahoma" w:cs="Tahoma" w:eastAsia="Tahoma"/>
          <w:b/>
          <w:color w:val="auto"/>
          <w:spacing w:val="0"/>
          <w:position w:val="0"/>
          <w:sz w:val="24"/>
          <w:u w:val="single"/>
          <w:shd w:fill="auto" w:val="clear"/>
        </w:rPr>
      </w:pPr>
      <w:r>
        <w:rPr>
          <w:rFonts w:ascii="Tahoma" w:hAnsi="Tahoma" w:cs="Tahoma" w:eastAsia="Tahoma"/>
          <w:b/>
          <w:color w:val="auto"/>
          <w:spacing w:val="0"/>
          <w:position w:val="0"/>
          <w:sz w:val="24"/>
          <w:u w:val="single"/>
          <w:shd w:fill="auto" w:val="clear"/>
        </w:rPr>
        <w:t xml:space="preserve">LEVEL 4 </w:t>
      </w:r>
      <w:r>
        <w:rPr>
          <w:rFonts w:ascii="Tahoma" w:hAnsi="Tahoma" w:cs="Tahoma" w:eastAsia="Tahoma"/>
          <w:b/>
          <w:color w:val="auto"/>
          <w:spacing w:val="0"/>
          <w:position w:val="0"/>
          <w:sz w:val="24"/>
          <w:u w:val="single"/>
          <w:shd w:fill="auto" w:val="clear"/>
        </w:rPr>
        <w:t xml:space="preserve">–</w:t>
      </w:r>
      <w:r>
        <w:rPr>
          <w:rFonts w:ascii="Tahoma" w:hAnsi="Tahoma" w:cs="Tahoma" w:eastAsia="Tahoma"/>
          <w:b/>
          <w:color w:val="auto"/>
          <w:spacing w:val="0"/>
          <w:position w:val="0"/>
          <w:sz w:val="24"/>
          <w:u w:val="single"/>
          <w:shd w:fill="auto" w:val="clear"/>
        </w:rPr>
        <w:t xml:space="preserve"> Student Journal (750 words)</w:t>
      </w:r>
    </w:p>
    <w:p>
      <w:pPr>
        <w:spacing w:before="0" w:after="0" w:line="240"/>
        <w:ind w:right="0" w:left="0" w:firstLine="0"/>
        <w:jc w:val="both"/>
        <w:rPr>
          <w:rFonts w:ascii="Tahoma" w:hAnsi="Tahoma" w:cs="Tahoma" w:eastAsia="Tahoma"/>
          <w:b/>
          <w:color w:val="auto"/>
          <w:spacing w:val="0"/>
          <w:position w:val="0"/>
          <w:sz w:val="24"/>
          <w:u w:val="single"/>
          <w:shd w:fill="auto" w:val="clear"/>
        </w:rPr>
      </w:pPr>
    </w:p>
    <w:p>
      <w:pPr>
        <w:spacing w:before="0" w:after="0" w:line="240"/>
        <w:ind w:right="0" w:left="0" w:firstLine="0"/>
        <w:jc w:val="both"/>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tbl>
      <w:tblPr/>
      <w:tblGrid>
        <w:gridCol w:w="3987"/>
        <w:gridCol w:w="7195"/>
      </w:tblGrid>
      <w:tr>
        <w:trPr>
          <w:trHeight w:val="1" w:hRule="atLeast"/>
          <w:jc w:val="left"/>
        </w:trPr>
        <w:tc>
          <w:tcPr>
            <w:tcW w:w="3987"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0"/>
                <w:shd w:fill="auto" w:val="clear"/>
              </w:rPr>
            </w:pPr>
            <w:r>
              <w:rPr>
                <w:rFonts w:ascii="Tahoma" w:hAnsi="Tahoma" w:cs="Tahoma" w:eastAsia="Tahoma"/>
                <w:b/>
                <w:color w:val="auto"/>
                <w:spacing w:val="0"/>
                <w:position w:val="0"/>
                <w:sz w:val="20"/>
                <w:shd w:fill="auto" w:val="clear"/>
              </w:rPr>
              <w:t xml:space="preserve">Student Name: Shabanu Dar</w:t>
            </w:r>
          </w:p>
          <w:p>
            <w:pPr>
              <w:spacing w:before="0" w:after="0" w:line="240"/>
              <w:ind w:right="0" w:left="0" w:firstLine="0"/>
              <w:jc w:val="left"/>
              <w:rPr>
                <w:rFonts w:ascii="Tahoma" w:hAnsi="Tahoma" w:cs="Tahoma" w:eastAsia="Tahoma"/>
                <w:b/>
                <w:color w:val="auto"/>
                <w:spacing w:val="0"/>
                <w:position w:val="0"/>
                <w:sz w:val="20"/>
                <w:shd w:fill="auto" w:val="clear"/>
              </w:rPr>
            </w:pPr>
          </w:p>
          <w:p>
            <w:pPr>
              <w:spacing w:before="0" w:after="0" w:line="240"/>
              <w:ind w:right="0" w:left="0" w:firstLine="0"/>
              <w:jc w:val="left"/>
              <w:rPr>
                <w:rFonts w:ascii="Tahoma" w:hAnsi="Tahoma" w:cs="Tahoma" w:eastAsia="Tahoma"/>
                <w:b/>
                <w:color w:val="auto"/>
                <w:spacing w:val="0"/>
                <w:position w:val="0"/>
                <w:sz w:val="20"/>
                <w:shd w:fill="auto" w:val="clear"/>
              </w:rPr>
            </w:pPr>
            <w:r>
              <w:rPr>
                <w:rFonts w:ascii="Tahoma" w:hAnsi="Tahoma" w:cs="Tahoma" w:eastAsia="Tahoma"/>
                <w:b/>
                <w:color w:val="auto"/>
                <w:spacing w:val="0"/>
                <w:position w:val="0"/>
                <w:sz w:val="20"/>
                <w:shd w:fill="auto" w:val="clear"/>
              </w:rPr>
              <w:t xml:space="preserve">Student Number: 2027189</w:t>
            </w:r>
          </w:p>
          <w:p>
            <w:pPr>
              <w:spacing w:before="0" w:after="0" w:line="240"/>
              <w:ind w:right="0" w:left="0" w:firstLine="0"/>
              <w:jc w:val="left"/>
              <w:rPr>
                <w:color w:val="auto"/>
                <w:spacing w:val="0"/>
                <w:position w:val="0"/>
                <w:shd w:fill="auto" w:val="clear"/>
              </w:rPr>
            </w:pPr>
          </w:p>
        </w:tc>
        <w:tc>
          <w:tcPr>
            <w:tcW w:w="7195"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0"/>
                <w:shd w:fill="auto" w:val="clear"/>
              </w:rPr>
            </w:pPr>
            <w:r>
              <w:rPr>
                <w:rFonts w:ascii="Tahoma" w:hAnsi="Tahoma" w:cs="Tahoma" w:eastAsia="Tahoma"/>
                <w:b/>
                <w:color w:val="auto"/>
                <w:spacing w:val="0"/>
                <w:position w:val="0"/>
                <w:sz w:val="20"/>
                <w:shd w:fill="auto" w:val="clear"/>
              </w:rPr>
              <w:t xml:space="preserve">Module: BMIH4002</w:t>
            </w:r>
          </w:p>
          <w:p>
            <w:pPr>
              <w:spacing w:before="0" w:after="0" w:line="240"/>
              <w:ind w:right="0" w:left="0" w:firstLine="0"/>
              <w:jc w:val="left"/>
              <w:rPr>
                <w:rFonts w:ascii="Tahoma" w:hAnsi="Tahoma" w:cs="Tahoma" w:eastAsia="Tahoma"/>
                <w:b/>
                <w:color w:val="auto"/>
                <w:spacing w:val="0"/>
                <w:position w:val="0"/>
                <w:sz w:val="20"/>
                <w:shd w:fill="auto" w:val="clear"/>
              </w:rPr>
            </w:pPr>
          </w:p>
          <w:p>
            <w:pPr>
              <w:spacing w:before="0" w:after="0" w:line="240"/>
              <w:ind w:right="0" w:left="0" w:firstLine="0"/>
              <w:jc w:val="left"/>
              <w:rPr>
                <w:color w:val="auto"/>
                <w:spacing w:val="0"/>
                <w:position w:val="0"/>
                <w:shd w:fill="auto" w:val="clear"/>
              </w:rPr>
            </w:pPr>
            <w:r>
              <w:rPr>
                <w:rFonts w:ascii="Tahoma" w:hAnsi="Tahoma" w:cs="Tahoma" w:eastAsia="Tahoma"/>
                <w:b/>
                <w:color w:val="auto"/>
                <w:spacing w:val="0"/>
                <w:position w:val="0"/>
                <w:sz w:val="20"/>
                <w:shd w:fill="auto" w:val="clear"/>
              </w:rPr>
              <w:t xml:space="preserve">Lecturer: Lola Villard</w:t>
            </w:r>
          </w:p>
        </w:tc>
      </w:tr>
    </w:tbl>
    <w:p>
      <w:pPr>
        <w:spacing w:before="0" w:after="0" w:line="240"/>
        <w:ind w:right="0" w:left="0" w:firstLine="0"/>
        <w:jc w:val="left"/>
        <w:rPr>
          <w:rFonts w:ascii="Tahoma" w:hAnsi="Tahoma" w:cs="Tahoma" w:eastAsia="Tahoma"/>
          <w:color w:val="auto"/>
          <w:spacing w:val="0"/>
          <w:position w:val="0"/>
          <w:sz w:val="20"/>
          <w:shd w:fill="auto" w:val="clear"/>
        </w:rPr>
      </w:pPr>
    </w:p>
    <w:tbl>
      <w:tblPr/>
      <w:tblGrid>
        <w:gridCol w:w="3983"/>
        <w:gridCol w:w="7199"/>
      </w:tblGrid>
      <w:tr>
        <w:trPr>
          <w:trHeight w:val="1" w:hRule="atLeast"/>
          <w:jc w:val="left"/>
        </w:trPr>
        <w:tc>
          <w:tcPr>
            <w:tcW w:w="3983"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ahoma" w:hAnsi="Tahoma" w:cs="Tahoma" w:eastAsia="Tahoma"/>
                <w:b/>
                <w:color w:val="auto"/>
                <w:spacing w:val="0"/>
                <w:position w:val="0"/>
                <w:sz w:val="20"/>
                <w:shd w:fill="auto" w:val="clear"/>
              </w:rPr>
              <w:t xml:space="preserve">Topic of choice: </w:t>
            </w:r>
          </w:p>
        </w:tc>
        <w:tc>
          <w:tcPr>
            <w:tcW w:w="7199"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0"/>
                <w:shd w:fill="auto" w:val="clear"/>
              </w:rPr>
            </w:pPr>
            <w:r>
              <w:rPr>
                <w:rFonts w:ascii="Tahoma" w:hAnsi="Tahoma" w:cs="Tahoma" w:eastAsia="Tahoma"/>
                <w:b/>
                <w:color w:val="auto"/>
                <w:spacing w:val="0"/>
                <w:position w:val="0"/>
                <w:sz w:val="20"/>
                <w:shd w:fill="auto" w:val="clear"/>
              </w:rPr>
              <w:t xml:space="preserve">Ratings, Inspections and Reporting Procedures in Hospitality</w:t>
            </w:r>
          </w:p>
          <w:p>
            <w:pPr>
              <w:spacing w:before="0" w:after="0" w:line="240"/>
              <w:ind w:right="0" w:left="0" w:firstLine="0"/>
              <w:jc w:val="center"/>
              <w:rPr>
                <w:rFonts w:ascii="Tahoma" w:hAnsi="Tahoma" w:cs="Tahoma" w:eastAsia="Tahoma"/>
                <w:b/>
                <w:color w:val="auto"/>
                <w:spacing w:val="0"/>
                <w:position w:val="0"/>
                <w:sz w:val="20"/>
                <w:shd w:fill="auto" w:val="clear"/>
              </w:rPr>
            </w:pPr>
          </w:p>
          <w:p>
            <w:pPr>
              <w:spacing w:before="0" w:after="0" w:line="240"/>
              <w:ind w:right="0" w:left="0" w:firstLine="0"/>
              <w:jc w:val="center"/>
              <w:rPr>
                <w:color w:val="auto"/>
                <w:spacing w:val="0"/>
                <w:position w:val="0"/>
                <w:shd w:fill="auto" w:val="clear"/>
              </w:rPr>
            </w:pPr>
          </w:p>
        </w:tc>
      </w:tr>
      <w:tr>
        <w:trPr>
          <w:trHeight w:val="2494" w:hRule="auto"/>
          <w:jc w:val="left"/>
        </w:trPr>
        <w:tc>
          <w:tcPr>
            <w:tcW w:w="11182"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16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Ratings, Inspection and Reporting Procedures in Hospitality</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Visiting a hotel or other facility to evaluate it is what the Travel Industry Dictionary calls a “site inspection,” according to the dictionary (Razalli, 2020). Depending on the standards and facilities necessary for your event, the site inspection check-list would be different from venue to venue. For a successful site visit, you need to have a clear idea of what you want to accomplish.</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An important component of running a company is ensuring that employees are safe and healthy. Businesses must conduct a risk assessment to learn about the dangers and risks that exist in their workplaces and implement strategies to effectively control such dangers and risks.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It is the employer’s responsibility to ensure that their employees are safe and healthy at work, including adhering to national laws and regulations on occupational safety and health. An OSH management system should be put in place by the employer, who should demonstrate strong leadership and dedication to the activities of the firm. As a rule, the system should have the following elements: policy, planning/implementation and evaluation/improvement;</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By “inspect,” we mean “examine with attention.” An inspection’s most important goal is to ensure that the product meets the customer’s specifications. The goal is to keep defective products from leaking down the production line and resulting in a financial loss for the company. It is impossible to check all of the product’s features at the end of the process.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 health and safety compliance checklist serves as a reminder of recommended practises and a guide for ensuring compliance with regulations. Using safety checklist templates on a regular basis helps prevent accidents at work, as well as ensuring that your organisation is protected in the event of an inspection.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following should be included in your health and safety checklist:</w:t>
            </w:r>
          </w:p>
          <w:p>
            <w:pPr>
              <w:numPr>
                <w:ilvl w:val="0"/>
                <w:numId w:val="15"/>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Inspecting doors for bugs after they've been unlocked</w:t>
            </w:r>
          </w:p>
          <w:p>
            <w:pPr>
              <w:numPr>
                <w:ilvl w:val="0"/>
                <w:numId w:val="15"/>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Ensuring that employees are fit to perform their duties</w:t>
            </w:r>
          </w:p>
          <w:p>
            <w:pPr>
              <w:numPr>
                <w:ilvl w:val="0"/>
                <w:numId w:val="15"/>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hazard assessment</w:t>
            </w:r>
          </w:p>
          <w:p>
            <w:pPr>
              <w:numPr>
                <w:ilvl w:val="0"/>
                <w:numId w:val="15"/>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Proper airflow is essential.</w:t>
            </w:r>
          </w:p>
          <w:p>
            <w:pPr>
              <w:numPr>
                <w:ilvl w:val="0"/>
                <w:numId w:val="15"/>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Displayed a health and safety poster</w:t>
            </w:r>
          </w:p>
          <w:p>
            <w:pPr>
              <w:numPr>
                <w:ilvl w:val="0"/>
                <w:numId w:val="15"/>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Procedure for evacuating a building in the event of a</w:t>
            </w:r>
          </w:p>
          <w:p>
            <w:pPr>
              <w:numPr>
                <w:ilvl w:val="0"/>
                <w:numId w:val="15"/>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Checks on the water and the sink.</w:t>
            </w:r>
          </w:p>
          <w:p>
            <w:pPr>
              <w:numPr>
                <w:ilvl w:val="0"/>
                <w:numId w:val="15"/>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Discrimination between allergens</w:t>
            </w:r>
          </w:p>
          <w:p>
            <w:pPr>
              <w:numPr>
                <w:ilvl w:val="0"/>
                <w:numId w:val="15"/>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Temperature checks in the refrigerator and freezer</w:t>
            </w:r>
          </w:p>
          <w:p>
            <w:pPr>
              <w:numPr>
                <w:ilvl w:val="0"/>
                <w:numId w:val="15"/>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Make sure the first aid kit is accessible.</w:t>
            </w:r>
          </w:p>
          <w:p>
            <w:pPr>
              <w:numPr>
                <w:ilvl w:val="0"/>
                <w:numId w:val="15"/>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Turning off all the lights and appliances, and keeping food in a safe place</w:t>
            </w:r>
          </w:p>
          <w:p>
            <w:pPr>
              <w:numPr>
                <w:ilvl w:val="0"/>
                <w:numId w:val="15"/>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Tasks related to cleaning</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An audit helps you discover hazards and determine if your practises are in compliance with applicable laws. Safety audits consist of the following components:</w:t>
            </w:r>
          </w:p>
          <w:p>
            <w:pPr>
              <w:numPr>
                <w:ilvl w:val="0"/>
                <w:numId w:val="17"/>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Identification of potential dangers</w:t>
            </w:r>
          </w:p>
          <w:p>
            <w:pPr>
              <w:numPr>
                <w:ilvl w:val="0"/>
                <w:numId w:val="17"/>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Staff education</w:t>
            </w:r>
          </w:p>
          <w:p>
            <w:pPr>
              <w:numPr>
                <w:ilvl w:val="0"/>
                <w:numId w:val="17"/>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Identifying your strengths and weaknesses and suggesting ways to improve.</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When you've completed the risk assessment, you'll know exactly what needs to be addressed and what safety measures need to be implemented.</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Good health and safety compliance audits include a wide variety of issues and should include everything from dangers to cleanliness.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Each and every day, you must cover everything from an inspection to an emergency repair. And to keep track of everything that's going on in the shop via a maintenance journal.</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Identifying hazards, checking equipment, and assessing the working environment should be the top priorities of your checklist.</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 few examples of potential dangers:</w:t>
            </w:r>
          </w:p>
          <w:p>
            <w:pPr>
              <w:numPr>
                <w:ilvl w:val="0"/>
                <w:numId w:val="19"/>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Slip and fall hazards, such as cables on the floor, sagging or broken carpeting, and steps, should be avoided at all costs.</w:t>
            </w:r>
          </w:p>
          <w:p>
            <w:pPr>
              <w:numPr>
                <w:ilvl w:val="0"/>
                <w:numId w:val="19"/>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Machinery, appliances, tools, and other equipment that has malfunctioned.</w:t>
            </w:r>
          </w:p>
          <w:p>
            <w:pPr>
              <w:numPr>
                <w:ilvl w:val="0"/>
                <w:numId w:val="19"/>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Materials that pose a risk</w:t>
            </w:r>
          </w:p>
          <w:p>
            <w:pPr>
              <w:numPr>
                <w:ilvl w:val="0"/>
                <w:numId w:val="19"/>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Exposure of wiring</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There are numerous health and safety concerns associated with food, ranging from allergens to use-by dates. Avoid it by:</w:t>
            </w:r>
          </w:p>
          <w:p>
            <w:pPr>
              <w:spacing w:before="0" w:after="160" w:line="360"/>
              <w:ind w:right="0" w:left="0" w:firstLine="0"/>
              <w:jc w:val="both"/>
              <w:rPr>
                <w:rFonts w:ascii="Arial" w:hAnsi="Arial" w:cs="Arial" w:eastAsia="Arial"/>
                <w:color w:val="auto"/>
                <w:spacing w:val="0"/>
                <w:position w:val="0"/>
                <w:sz w:val="24"/>
                <w:shd w:fill="auto" w:val="clear"/>
              </w:rPr>
            </w:pPr>
          </w:p>
          <w:p>
            <w:pPr>
              <w:numPr>
                <w:ilvl w:val="0"/>
                <w:numId w:val="21"/>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Proper date stamping of food labels</w:t>
            </w:r>
          </w:p>
          <w:p>
            <w:pPr>
              <w:numPr>
                <w:ilvl w:val="0"/>
                <w:numId w:val="21"/>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Refrigerated food should be covered with a plastic bag.</w:t>
            </w:r>
          </w:p>
          <w:p>
            <w:pPr>
              <w:numPr>
                <w:ilvl w:val="0"/>
                <w:numId w:val="21"/>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Getting rid of expired food</w:t>
            </w:r>
          </w:p>
          <w:p>
            <w:pPr>
              <w:numPr>
                <w:ilvl w:val="0"/>
                <w:numId w:val="21"/>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Logging food temperatures on a daily basis</w:t>
            </w:r>
          </w:p>
          <w:p>
            <w:pPr>
              <w:numPr>
                <w:ilvl w:val="0"/>
                <w:numId w:val="21"/>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Making sure there is no cross-contamination in the meal</w:t>
            </w:r>
          </w:p>
          <w:p>
            <w:pPr>
              <w:numPr>
                <w:ilvl w:val="0"/>
                <w:numId w:val="21"/>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Proper food storage</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When the pandemic is raging, health and safety requirements must be followed in order to protect your organisation, staff and customers.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comply with government recommendations, the following inspections should be made:</w:t>
            </w:r>
          </w:p>
          <w:p>
            <w:pPr>
              <w:numPr>
                <w:ilvl w:val="0"/>
                <w:numId w:val="23"/>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Checks on the customer's registration</w:t>
            </w:r>
          </w:p>
          <w:p>
            <w:pPr>
              <w:numPr>
                <w:ilvl w:val="0"/>
                <w:numId w:val="23"/>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Distancing checks in the social realm</w:t>
            </w:r>
          </w:p>
          <w:p>
            <w:pPr>
              <w:numPr>
                <w:ilvl w:val="0"/>
                <w:numId w:val="23"/>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Hourly cleaning audits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Inspections must be performed consistently in order for formal food control to function. Confidence in the government’s ability to keep food safe can be eroded through inconsistency. As a result, understanding the causes of and methods for reducing inconsistency are critical.</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Most hospitality companies place a high value on inspections, which are critical to the quality of service and serve as a way to communicate regulations, standards, and specifications to customers. Thus, an effective inspection system based on clearly defined criteria contributes to the improvement of service quality and client satisfaction. </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color w:val="auto"/>
                <w:spacing w:val="0"/>
                <w:position w:val="0"/>
                <w:shd w:fill="auto" w:val="clear"/>
              </w:rPr>
            </w:pPr>
          </w:p>
        </w:tc>
      </w:tr>
    </w:tbl>
    <w:p>
      <w:pPr>
        <w:spacing w:before="0" w:after="0" w:line="240"/>
        <w:ind w:right="0" w:left="0" w:firstLine="0"/>
        <w:jc w:val="left"/>
        <w:rPr>
          <w:rFonts w:ascii="Tahoma" w:hAnsi="Tahoma" w:cs="Tahoma" w:eastAsia="Tahoma"/>
          <w:b/>
          <w:color w:val="auto"/>
          <w:spacing w:val="0"/>
          <w:position w:val="0"/>
          <w:sz w:val="24"/>
          <w:shd w:fill="auto" w:val="clear"/>
        </w:rPr>
      </w:pPr>
    </w:p>
    <w:tbl>
      <w:tblPr/>
      <w:tblGrid>
        <w:gridCol w:w="10910"/>
        <w:gridCol w:w="272"/>
      </w:tblGrid>
      <w:tr>
        <w:trPr>
          <w:trHeight w:val="1" w:hRule="atLeast"/>
          <w:jc w:val="left"/>
        </w:trPr>
        <w:tc>
          <w:tcPr>
            <w:tcW w:w="10910"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ahoma" w:hAnsi="Tahoma" w:cs="Tahoma" w:eastAsia="Tahoma"/>
                <w:b/>
                <w:color w:val="auto"/>
                <w:spacing w:val="0"/>
                <w:position w:val="0"/>
                <w:sz w:val="20"/>
                <w:shd w:fill="auto" w:val="clear"/>
              </w:rPr>
              <w:t xml:space="preserve">REFERENCE LIST (not included in word count)</w:t>
            </w:r>
          </w:p>
        </w:tc>
        <w:tc>
          <w:tcPr>
            <w:tcW w:w="272"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center"/>
              <w:rPr>
                <w:rFonts w:ascii="Tahoma" w:hAnsi="Tahoma" w:cs="Tahoma" w:eastAsia="Tahoma"/>
                <w:b/>
                <w:color w:val="auto"/>
                <w:spacing w:val="0"/>
                <w:position w:val="0"/>
                <w:sz w:val="20"/>
                <w:shd w:fill="auto" w:val="clear"/>
              </w:rPr>
            </w:pPr>
          </w:p>
          <w:p>
            <w:pPr>
              <w:spacing w:before="0" w:after="0" w:line="240"/>
              <w:ind w:right="0" w:left="0" w:firstLine="0"/>
              <w:jc w:val="center"/>
              <w:rPr>
                <w:color w:val="auto"/>
                <w:spacing w:val="0"/>
                <w:position w:val="0"/>
                <w:shd w:fill="auto" w:val="clear"/>
              </w:rPr>
            </w:pPr>
          </w:p>
        </w:tc>
      </w:tr>
      <w:tr>
        <w:trPr>
          <w:trHeight w:val="2494" w:hRule="auto"/>
          <w:jc w:val="left"/>
        </w:trPr>
        <w:tc>
          <w:tcPr>
            <w:tcW w:w="11182"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References</w:t>
            </w: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Lundén, J., Kosola, M., Kiuru, J., Kaskela, J. and Inkinen, T. (2021). Disclosed restaurant inspection results on food safety show regional and local differences in Finland. </w:t>
            </w:r>
            <w:r>
              <w:rPr>
                <w:rFonts w:ascii="Arial" w:hAnsi="Arial" w:cs="Arial" w:eastAsia="Arial"/>
                <w:i/>
                <w:color w:val="000000"/>
                <w:spacing w:val="0"/>
                <w:position w:val="0"/>
                <w:sz w:val="24"/>
                <w:shd w:fill="auto" w:val="clear"/>
              </w:rPr>
              <w:t xml:space="preserve">Food Control</w:t>
            </w:r>
            <w:r>
              <w:rPr>
                <w:rFonts w:ascii="Arial" w:hAnsi="Arial" w:cs="Arial" w:eastAsia="Arial"/>
                <w:color w:val="000000"/>
                <w:spacing w:val="0"/>
                <w:position w:val="0"/>
                <w:sz w:val="24"/>
                <w:shd w:fill="auto" w:val="clear"/>
              </w:rPr>
              <w:t xml:space="preserve">, 119, p.107462.</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w:t>
            </w: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Razalli, M.R. (2020). Service Delivery System Practices in Malaysian Hotel Operations: An Exploratory Study. </w:t>
            </w:r>
            <w:r>
              <w:rPr>
                <w:rFonts w:ascii="Arial" w:hAnsi="Arial" w:cs="Arial" w:eastAsia="Arial"/>
                <w:i/>
                <w:color w:val="000000"/>
                <w:spacing w:val="0"/>
                <w:position w:val="0"/>
                <w:sz w:val="24"/>
                <w:shd w:fill="auto" w:val="clear"/>
              </w:rPr>
              <w:t xml:space="preserve">Malaysian Management Journal</w:t>
            </w:r>
            <w:r>
              <w:rPr>
                <w:rFonts w:ascii="Arial" w:hAnsi="Arial" w:cs="Arial" w:eastAsia="Arial"/>
                <w:color w:val="000000"/>
                <w:spacing w:val="0"/>
                <w:position w:val="0"/>
                <w:sz w:val="24"/>
                <w:shd w:fill="auto" w:val="clear"/>
              </w:rPr>
              <w:t xml:space="preserve">.</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trailapp.com. (n.d.). </w:t>
            </w:r>
            <w:r>
              <w:rPr>
                <w:rFonts w:ascii="Arial" w:hAnsi="Arial" w:cs="Arial" w:eastAsia="Arial"/>
                <w:i/>
                <w:color w:val="000000"/>
                <w:spacing w:val="0"/>
                <w:position w:val="0"/>
                <w:sz w:val="24"/>
                <w:shd w:fill="auto" w:val="clear"/>
              </w:rPr>
              <w:t xml:space="preserve">Health and Safety Checklist: The Ultimate Guide for Hospitality | Trail</w:t>
            </w:r>
            <w:r>
              <w:rPr>
                <w:rFonts w:ascii="Arial" w:hAnsi="Arial" w:cs="Arial" w:eastAsia="Arial"/>
                <w:color w:val="000000"/>
                <w:spacing w:val="0"/>
                <w:position w:val="0"/>
                <w:sz w:val="24"/>
                <w:shd w:fill="auto" w:val="clear"/>
              </w:rPr>
              <w:t xml:space="preserve">. [online] Available at: </w:t>
            </w:r>
            <w:hyperlink xmlns:r="http://schemas.openxmlformats.org/officeDocument/2006/relationships" r:id="docRId0">
              <w:r>
                <w:rPr>
                  <w:rFonts w:ascii="Arial" w:hAnsi="Arial" w:cs="Arial" w:eastAsia="Arial"/>
                  <w:color w:val="0000FF"/>
                  <w:spacing w:val="0"/>
                  <w:position w:val="0"/>
                  <w:sz w:val="24"/>
                  <w:u w:val="single"/>
                  <w:shd w:fill="auto" w:val="clear"/>
                </w:rPr>
                <w:t xml:space="preserve">https://trailapp.com/blog/health-safety-checklist</w:t>
              </w:r>
            </w:hyperlink>
            <w:r>
              <w:rPr>
                <w:rFonts w:ascii="Arial" w:hAnsi="Arial" w:cs="Arial" w:eastAsia="Arial"/>
                <w:color w:val="000000"/>
                <w:spacing w:val="0"/>
                <w:position w:val="0"/>
                <w:sz w:val="24"/>
                <w:shd w:fill="auto" w:val="clear"/>
              </w:rPr>
              <w:t xml:space="preserve"> [Accessed 11 Feb. 2022].</w:t>
            </w:r>
          </w:p>
          <w:p>
            <w:pPr>
              <w:spacing w:before="0" w:after="160" w:line="360"/>
              <w:ind w:right="0" w:left="0" w:firstLine="0"/>
              <w:jc w:val="both"/>
              <w:rPr>
                <w:rFonts w:ascii="Arial" w:hAnsi="Arial" w:cs="Arial" w:eastAsia="Arial"/>
                <w:color w:val="000000"/>
                <w:spacing w:val="0"/>
                <w:position w:val="0"/>
                <w:sz w:val="24"/>
                <w:shd w:fill="auto" w:val="clear"/>
              </w:rPr>
            </w:pP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venuesworld.com. (2015). </w:t>
            </w:r>
            <w:r>
              <w:rPr>
                <w:rFonts w:ascii="Arial" w:hAnsi="Arial" w:cs="Arial" w:eastAsia="Arial"/>
                <w:i/>
                <w:color w:val="000000"/>
                <w:spacing w:val="0"/>
                <w:position w:val="0"/>
                <w:sz w:val="24"/>
                <w:shd w:fill="auto" w:val="clear"/>
              </w:rPr>
              <w:t xml:space="preserve">Hotel Site Inspection Checklist</w:t>
            </w:r>
            <w:r>
              <w:rPr>
                <w:rFonts w:ascii="Arial" w:hAnsi="Arial" w:cs="Arial" w:eastAsia="Arial"/>
                <w:color w:val="000000"/>
                <w:spacing w:val="0"/>
                <w:position w:val="0"/>
                <w:sz w:val="24"/>
                <w:shd w:fill="auto" w:val="clear"/>
              </w:rPr>
              <w:t xml:space="preserve">. [online] Available at: </w:t>
            </w:r>
            <w:hyperlink xmlns:r="http://schemas.openxmlformats.org/officeDocument/2006/relationships" r:id="docRId1">
              <w:r>
                <w:rPr>
                  <w:rFonts w:ascii="Arial" w:hAnsi="Arial" w:cs="Arial" w:eastAsia="Arial"/>
                  <w:color w:val="0000FF"/>
                  <w:spacing w:val="0"/>
                  <w:position w:val="0"/>
                  <w:sz w:val="24"/>
                  <w:u w:val="single"/>
                  <w:shd w:fill="auto" w:val="clear"/>
                </w:rPr>
                <w:t xml:space="preserve">https://venuesworld.com/hotel-site-inspection-check-list/</w:t>
              </w:r>
            </w:hyperlink>
            <w:r>
              <w:rPr>
                <w:rFonts w:ascii="Arial" w:hAnsi="Arial" w:cs="Arial" w:eastAsia="Arial"/>
                <w:color w:val="000000"/>
                <w:spacing w:val="0"/>
                <w:position w:val="0"/>
                <w:sz w:val="24"/>
                <w:shd w:fill="auto" w:val="clear"/>
              </w:rPr>
              <w:t xml:space="preserve"> [Accessed 11 Feb. 2022].</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w:t>
            </w: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VibeThemes (n.d.). </w:t>
            </w:r>
            <w:r>
              <w:rPr>
                <w:rFonts w:ascii="Arial" w:hAnsi="Arial" w:cs="Arial" w:eastAsia="Arial"/>
                <w:i/>
                <w:color w:val="000000"/>
                <w:spacing w:val="0"/>
                <w:position w:val="0"/>
                <w:sz w:val="24"/>
                <w:shd w:fill="auto" w:val="clear"/>
              </w:rPr>
              <w:t xml:space="preserve">UNIT 1: INSPECTION AND REPORTING PROCEDURES </w:t>
            </w:r>
            <w:r>
              <w:rPr>
                <w:rFonts w:ascii="Arial" w:hAnsi="Arial" w:cs="Arial" w:eastAsia="Arial"/>
                <w:i/>
                <w:color w:val="000000"/>
                <w:spacing w:val="0"/>
                <w:position w:val="0"/>
                <w:sz w:val="24"/>
                <w:shd w:fill="auto" w:val="clear"/>
              </w:rPr>
              <w:t xml:space="preserve">–</w:t>
            </w:r>
            <w:r>
              <w:rPr>
                <w:rFonts w:ascii="Arial" w:hAnsi="Arial" w:cs="Arial" w:eastAsia="Arial"/>
                <w:i/>
                <w:color w:val="000000"/>
                <w:spacing w:val="0"/>
                <w:position w:val="0"/>
                <w:sz w:val="24"/>
                <w:shd w:fill="auto" w:val="clear"/>
              </w:rPr>
              <w:t xml:space="preserve"> KIHSER</w:t>
            </w:r>
            <w:r>
              <w:rPr>
                <w:rFonts w:ascii="Arial" w:hAnsi="Arial" w:cs="Arial" w:eastAsia="Arial"/>
                <w:color w:val="000000"/>
                <w:spacing w:val="0"/>
                <w:position w:val="0"/>
                <w:sz w:val="24"/>
                <w:shd w:fill="auto" w:val="clear"/>
              </w:rPr>
              <w:t xml:space="preserve">. [online] Available at: </w:t>
            </w:r>
            <w:hyperlink xmlns:r="http://schemas.openxmlformats.org/officeDocument/2006/relationships" r:id="docRId2">
              <w:r>
                <w:rPr>
                  <w:rFonts w:ascii="Arial" w:hAnsi="Arial" w:cs="Arial" w:eastAsia="Arial"/>
                  <w:color w:val="0000FF"/>
                  <w:spacing w:val="0"/>
                  <w:position w:val="0"/>
                  <w:sz w:val="24"/>
                  <w:u w:val="single"/>
                  <w:shd w:fill="auto" w:val="clear"/>
                </w:rPr>
                <w:t xml:space="preserve">http://kihser.com/unit/unit-1-inspection-and-reporting-procedures-4/</w:t>
              </w:r>
            </w:hyperlink>
            <w:r>
              <w:rPr>
                <w:rFonts w:ascii="Arial" w:hAnsi="Arial" w:cs="Arial" w:eastAsia="Arial"/>
                <w:color w:val="000000"/>
                <w:spacing w:val="0"/>
                <w:position w:val="0"/>
                <w:sz w:val="24"/>
                <w:shd w:fill="auto" w:val="clear"/>
              </w:rPr>
              <w:t xml:space="preserve"> [Accessed 11 Feb. 2022].</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w:t>
            </w:r>
          </w:p>
          <w:p>
            <w:pPr>
              <w:spacing w:before="0" w:after="160" w:line="360"/>
              <w:ind w:right="0" w:left="0" w:firstLine="0"/>
              <w:jc w:val="both"/>
              <w:rPr>
                <w:rFonts w:ascii="Arial" w:hAnsi="Arial" w:cs="Arial" w:eastAsia="Arial"/>
                <w:b/>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left"/>
              <w:rPr>
                <w:spacing w:val="0"/>
                <w:position w:val="0"/>
                <w:shd w:fill="auto" w:val="clear"/>
              </w:rPr>
            </w:pPr>
          </w:p>
        </w:tc>
      </w:tr>
    </w:tbl>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num w:numId="15">
    <w:abstractNumId w:val="24"/>
  </w:num>
  <w:num w:numId="17">
    <w:abstractNumId w:val="18"/>
  </w:num>
  <w:num w:numId="19">
    <w:abstractNumId w:val="12"/>
  </w:num>
  <w:num w:numId="21">
    <w:abstractNumId w:val="6"/>
  </w:num>
  <w:num w:numId="23">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venuesworld.com/hotel-site-inspection-check-list/" Id="docRId1" Type="http://schemas.openxmlformats.org/officeDocument/2006/relationships/hyperlink" /><Relationship Target="numbering.xml" Id="docRId3" Type="http://schemas.openxmlformats.org/officeDocument/2006/relationships/numbering" /><Relationship TargetMode="External" Target="https://trailapp.com/blog/health-safety-checklist" Id="docRId0" Type="http://schemas.openxmlformats.org/officeDocument/2006/relationships/hyperlink" /><Relationship TargetMode="External" Target="http://kihser.com/unit/unit-1-inspection-and-reporting-procedures-4/" Id="docRId2" Type="http://schemas.openxmlformats.org/officeDocument/2006/relationships/hyperlink" /><Relationship Target="styles.xml" Id="docRId4" Type="http://schemas.openxmlformats.org/officeDocument/2006/relationships/styles" /></Relationships>
</file>