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F4BBF" w:rsidRDefault="00516F1C">
      <w:pPr>
        <w:spacing w:before="240"/>
        <w:jc w:val="left"/>
        <w:rPr>
          <w:rFonts w:ascii="Arial" w:hAnsi="Arial" w:cs="Arial"/>
        </w:rPr>
      </w:pPr>
      <w:r>
        <w:rPr>
          <w:rFonts w:ascii="Arial" w:hAnsi="Arial" w:cs="Arial"/>
        </w:rPr>
        <w:t xml:space="preserve">                                                 </w:t>
      </w:r>
      <w:bookmarkStart w:id="0" w:name="_GoBack"/>
      <w:bookmarkEnd w:id="0"/>
      <w:r w:rsidR="00BA2738">
        <w:rPr>
          <w:rFonts w:ascii="Arial" w:hAnsi="Arial" w:cs="Arial"/>
          <w:noProof/>
          <w:sz w:val="20"/>
          <w:lang w:val="en-IN" w:eastAsia="en-IN"/>
        </w:rPr>
        <w:drawing>
          <wp:inline distT="0" distB="0" distL="0" distR="0">
            <wp:extent cx="1819275" cy="600075"/>
            <wp:effectExtent l="0" t="0" r="0" b="0"/>
            <wp:docPr id="2" name="Imag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19565" cy="600075"/>
                    </a:xfrm>
                    <a:prstGeom prst="rect">
                      <a:avLst/>
                    </a:prstGeom>
                  </pic:spPr>
                </pic:pic>
              </a:graphicData>
            </a:graphic>
          </wp:inline>
        </w:drawing>
      </w:r>
      <w:r w:rsidR="00BA2738">
        <w:rPr>
          <w:rFonts w:ascii="Arial" w:hAnsi="Arial" w:cs="Arial"/>
          <w:sz w:val="20"/>
          <w:lang w:val="en-GB"/>
        </w:rPr>
        <w:br/>
      </w:r>
    </w:p>
    <w:p w:rsidR="003F4BBF" w:rsidRDefault="00BA2738" w:rsidP="00FE1C56">
      <w:pPr>
        <w:spacing w:before="240"/>
        <w:ind w:left="720"/>
        <w:jc w:val="left"/>
        <w:rPr>
          <w:rFonts w:ascii="Arial" w:hAnsi="Arial" w:cs="Arial"/>
          <w:b/>
          <w:bCs/>
          <w:sz w:val="32"/>
          <w:szCs w:val="32"/>
        </w:rPr>
      </w:pPr>
      <w:proofErr w:type="spellStart"/>
      <w:r>
        <w:rPr>
          <w:rFonts w:ascii="Arial" w:hAnsi="Arial" w:cs="Arial"/>
          <w:b/>
          <w:bCs/>
          <w:sz w:val="32"/>
          <w:szCs w:val="32"/>
        </w:rPr>
        <w:t>Programme</w:t>
      </w:r>
      <w:proofErr w:type="spellEnd"/>
      <w:r>
        <w:rPr>
          <w:rFonts w:ascii="Arial" w:hAnsi="Arial" w:cs="Arial"/>
          <w:b/>
          <w:bCs/>
          <w:sz w:val="32"/>
          <w:szCs w:val="32"/>
        </w:rPr>
        <w:t xml:space="preserve"> Name:</w:t>
      </w:r>
      <w:r w:rsidR="00FE1C56">
        <w:rPr>
          <w:rFonts w:ascii="Arial" w:hAnsi="Arial" w:cs="Arial"/>
          <w:b/>
          <w:bCs/>
          <w:sz w:val="32"/>
          <w:szCs w:val="32"/>
        </w:rPr>
        <w:t xml:space="preserve">  Master of Business Administration</w:t>
      </w:r>
      <w:r w:rsidR="00BD5A3B">
        <w:rPr>
          <w:rFonts w:ascii="Arial" w:hAnsi="Arial" w:cs="Arial"/>
          <w:b/>
          <w:bCs/>
          <w:sz w:val="32"/>
          <w:szCs w:val="32"/>
        </w:rPr>
        <w:br/>
        <w:t xml:space="preserve"> </w:t>
      </w:r>
      <w:r w:rsidR="00FE1C56">
        <w:rPr>
          <w:rFonts w:ascii="Arial" w:hAnsi="Arial" w:cs="Arial"/>
          <w:b/>
          <w:bCs/>
          <w:sz w:val="32"/>
          <w:szCs w:val="32"/>
        </w:rPr>
        <w:t xml:space="preserve">   </w:t>
      </w:r>
      <w:r>
        <w:rPr>
          <w:rFonts w:ascii="Arial" w:hAnsi="Arial" w:cs="Arial"/>
          <w:b/>
          <w:bCs/>
          <w:sz w:val="32"/>
          <w:szCs w:val="32"/>
        </w:rPr>
        <w:t>Module Name:</w:t>
      </w:r>
      <w:r w:rsidR="00FE1C56">
        <w:rPr>
          <w:rFonts w:ascii="Arial" w:hAnsi="Arial" w:cs="Arial"/>
          <w:b/>
          <w:bCs/>
          <w:sz w:val="32"/>
          <w:szCs w:val="32"/>
        </w:rPr>
        <w:t xml:space="preserve"> Strategic Management</w:t>
      </w:r>
    </w:p>
    <w:p w:rsidR="003F4BBF" w:rsidRDefault="00BD5A3B">
      <w:pPr>
        <w:spacing w:before="240"/>
        <w:ind w:left="720" w:firstLine="720"/>
        <w:jc w:val="left"/>
        <w:rPr>
          <w:rFonts w:ascii="Arial" w:hAnsi="Arial" w:cs="Arial"/>
          <w:b/>
          <w:bCs/>
          <w:sz w:val="32"/>
          <w:szCs w:val="32"/>
          <w:lang w:val="en-GB"/>
        </w:rPr>
      </w:pPr>
      <w:r>
        <w:rPr>
          <w:rFonts w:ascii="Arial" w:hAnsi="Arial" w:cs="Arial"/>
          <w:b/>
          <w:bCs/>
          <w:sz w:val="32"/>
          <w:szCs w:val="32"/>
        </w:rPr>
        <w:t xml:space="preserve">        </w:t>
      </w:r>
      <w:r w:rsidR="00FE1C56">
        <w:rPr>
          <w:rFonts w:ascii="Arial" w:hAnsi="Arial" w:cs="Arial"/>
          <w:b/>
          <w:bCs/>
          <w:sz w:val="32"/>
          <w:szCs w:val="32"/>
        </w:rPr>
        <w:t xml:space="preserve">  </w:t>
      </w:r>
      <w:r w:rsidR="00BA2738">
        <w:rPr>
          <w:rFonts w:ascii="Arial" w:hAnsi="Arial" w:cs="Arial"/>
          <w:b/>
          <w:bCs/>
          <w:sz w:val="32"/>
          <w:szCs w:val="32"/>
        </w:rPr>
        <w:t>Module Code:</w:t>
      </w:r>
      <w:r w:rsidR="00FE1C56">
        <w:rPr>
          <w:rFonts w:ascii="Arial" w:hAnsi="Arial" w:cs="Arial"/>
          <w:b/>
          <w:bCs/>
          <w:sz w:val="32"/>
          <w:szCs w:val="32"/>
        </w:rPr>
        <w:t xml:space="preserve"> LCMB7003</w:t>
      </w:r>
      <w:r w:rsidR="00BA2738">
        <w:rPr>
          <w:rFonts w:ascii="Arial" w:hAnsi="Arial" w:cs="Arial"/>
          <w:b/>
          <w:bCs/>
          <w:sz w:val="32"/>
          <w:szCs w:val="32"/>
        </w:rPr>
        <w:br/>
        <w:t xml:space="preserve">   </w:t>
      </w:r>
      <w:r>
        <w:rPr>
          <w:rFonts w:ascii="Arial" w:hAnsi="Arial" w:cs="Arial"/>
          <w:b/>
          <w:bCs/>
          <w:sz w:val="32"/>
          <w:szCs w:val="32"/>
        </w:rPr>
        <w:t xml:space="preserve">        </w:t>
      </w:r>
      <w:r w:rsidR="00BA2738">
        <w:rPr>
          <w:rFonts w:ascii="Arial" w:hAnsi="Arial" w:cs="Arial"/>
          <w:b/>
          <w:bCs/>
          <w:sz w:val="32"/>
          <w:szCs w:val="32"/>
        </w:rPr>
        <w:t xml:space="preserve">  Lecturer Name:</w:t>
      </w:r>
      <w:r w:rsidR="00FE1C56">
        <w:rPr>
          <w:rFonts w:ascii="Arial" w:hAnsi="Arial" w:cs="Arial"/>
          <w:b/>
          <w:bCs/>
          <w:sz w:val="32"/>
          <w:szCs w:val="32"/>
        </w:rPr>
        <w:t xml:space="preserve">  </w:t>
      </w:r>
      <w:proofErr w:type="spellStart"/>
      <w:r w:rsidR="002F6F93">
        <w:rPr>
          <w:rFonts w:ascii="Arial" w:hAnsi="Arial" w:cs="Arial"/>
          <w:b/>
          <w:bCs/>
          <w:sz w:val="32"/>
          <w:szCs w:val="32"/>
        </w:rPr>
        <w:t>Ama</w:t>
      </w:r>
      <w:r w:rsidR="00FE1C56">
        <w:rPr>
          <w:rFonts w:ascii="Arial" w:hAnsi="Arial" w:cs="Arial"/>
          <w:b/>
          <w:bCs/>
          <w:sz w:val="32"/>
          <w:szCs w:val="32"/>
        </w:rPr>
        <w:t>re</w:t>
      </w:r>
      <w:proofErr w:type="spellEnd"/>
      <w:r w:rsidR="00FE1C56">
        <w:rPr>
          <w:rFonts w:ascii="Arial" w:hAnsi="Arial" w:cs="Arial"/>
          <w:b/>
          <w:bCs/>
          <w:sz w:val="32"/>
          <w:szCs w:val="32"/>
        </w:rPr>
        <w:t xml:space="preserve"> </w:t>
      </w:r>
      <w:proofErr w:type="spellStart"/>
      <w:r w:rsidR="00FE1C56">
        <w:rPr>
          <w:rFonts w:ascii="Arial" w:hAnsi="Arial" w:cs="Arial"/>
          <w:b/>
          <w:bCs/>
          <w:sz w:val="32"/>
          <w:szCs w:val="32"/>
        </w:rPr>
        <w:t>Desta</w:t>
      </w:r>
      <w:proofErr w:type="spellEnd"/>
      <w:r w:rsidR="00BA2738">
        <w:rPr>
          <w:rFonts w:ascii="Arial" w:hAnsi="Arial" w:cs="Arial"/>
          <w:b/>
          <w:bCs/>
          <w:sz w:val="32"/>
          <w:szCs w:val="32"/>
        </w:rPr>
        <w:br/>
      </w:r>
    </w:p>
    <w:p w:rsidR="00FE1C56" w:rsidRDefault="00FE1C56">
      <w:pPr>
        <w:spacing w:before="240"/>
        <w:jc w:val="center"/>
        <w:rPr>
          <w:rFonts w:ascii="Arial" w:hAnsi="Arial" w:cs="Arial"/>
          <w:b/>
          <w:bCs/>
          <w:sz w:val="32"/>
          <w:szCs w:val="32"/>
        </w:rPr>
      </w:pPr>
      <w:proofErr w:type="gramStart"/>
      <w:r>
        <w:rPr>
          <w:rFonts w:ascii="Arial" w:hAnsi="Arial" w:cs="Arial"/>
          <w:b/>
          <w:bCs/>
          <w:sz w:val="32"/>
          <w:szCs w:val="32"/>
        </w:rPr>
        <w:t xml:space="preserve">TITLE </w:t>
      </w:r>
      <w:r w:rsidR="00BA2738">
        <w:rPr>
          <w:rFonts w:ascii="Arial" w:hAnsi="Arial" w:cs="Arial"/>
          <w:b/>
          <w:bCs/>
          <w:sz w:val="32"/>
          <w:szCs w:val="32"/>
        </w:rPr>
        <w:t>:</w:t>
      </w:r>
      <w:proofErr w:type="gramEnd"/>
      <w:r w:rsidR="00BA2738">
        <w:rPr>
          <w:rFonts w:ascii="Arial" w:hAnsi="Arial" w:cs="Arial"/>
          <w:b/>
          <w:bCs/>
          <w:sz w:val="32"/>
          <w:szCs w:val="32"/>
        </w:rPr>
        <w:t xml:space="preserve"> </w:t>
      </w:r>
      <w:r w:rsidR="00BA2738">
        <w:rPr>
          <w:rFonts w:ascii="Arial" w:hAnsi="Arial" w:cs="Arial"/>
          <w:b/>
          <w:bCs/>
          <w:sz w:val="32"/>
          <w:szCs w:val="32"/>
          <w:lang w:val="en-GB"/>
        </w:rPr>
        <w:t>STRATEGIC EXPANSION OF VOLVO GROUP INTO THE INDIAN MARKET: A COMPREHENSIVE ANALYSIS AND MARKET ENTRY PLAN</w:t>
      </w:r>
      <w:r w:rsidR="00BA2738">
        <w:rPr>
          <w:rFonts w:ascii="Arial" w:hAnsi="Arial" w:cs="Arial"/>
          <w:b/>
          <w:bCs/>
          <w:sz w:val="32"/>
          <w:szCs w:val="32"/>
        </w:rPr>
        <w:t xml:space="preserve"> </w:t>
      </w:r>
      <w:r w:rsidR="00BA2738">
        <w:rPr>
          <w:rFonts w:ascii="Arial" w:hAnsi="Arial" w:cs="Arial"/>
          <w:b/>
          <w:bCs/>
          <w:sz w:val="32"/>
          <w:szCs w:val="32"/>
        </w:rPr>
        <w:br/>
      </w:r>
      <w:r w:rsidR="00BA2738">
        <w:rPr>
          <w:rFonts w:ascii="Arial" w:hAnsi="Arial" w:cs="Arial"/>
          <w:b/>
          <w:bCs/>
          <w:sz w:val="32"/>
          <w:szCs w:val="32"/>
        </w:rPr>
        <w:br/>
        <w:t>Student Name:</w:t>
      </w:r>
      <w:r>
        <w:rPr>
          <w:rFonts w:ascii="Arial" w:hAnsi="Arial" w:cs="Arial"/>
          <w:b/>
          <w:bCs/>
          <w:sz w:val="32"/>
          <w:szCs w:val="32"/>
        </w:rPr>
        <w:t xml:space="preserve"> </w:t>
      </w:r>
      <w:proofErr w:type="spellStart"/>
      <w:r>
        <w:rPr>
          <w:rFonts w:ascii="Arial" w:hAnsi="Arial" w:cs="Arial"/>
          <w:b/>
          <w:bCs/>
          <w:sz w:val="32"/>
          <w:szCs w:val="32"/>
        </w:rPr>
        <w:t>Rishith</w:t>
      </w:r>
      <w:proofErr w:type="spellEnd"/>
      <w:r>
        <w:rPr>
          <w:rFonts w:ascii="Arial" w:hAnsi="Arial" w:cs="Arial"/>
          <w:b/>
          <w:bCs/>
          <w:sz w:val="32"/>
          <w:szCs w:val="32"/>
        </w:rPr>
        <w:t xml:space="preserve"> Reddy </w:t>
      </w:r>
      <w:proofErr w:type="spellStart"/>
      <w:r>
        <w:rPr>
          <w:rFonts w:ascii="Arial" w:hAnsi="Arial" w:cs="Arial"/>
          <w:b/>
          <w:bCs/>
          <w:sz w:val="32"/>
          <w:szCs w:val="32"/>
        </w:rPr>
        <w:t>Jammidi</w:t>
      </w:r>
      <w:proofErr w:type="spellEnd"/>
    </w:p>
    <w:p w:rsidR="003F4BBF" w:rsidRDefault="00BA2738">
      <w:pPr>
        <w:spacing w:before="240"/>
        <w:jc w:val="center"/>
        <w:rPr>
          <w:rFonts w:ascii="Arial" w:eastAsiaTheme="majorEastAsia" w:hAnsi="Arial" w:cs="Arial"/>
          <w:b/>
          <w:bCs/>
          <w:sz w:val="32"/>
          <w:szCs w:val="32"/>
          <w:lang w:val="en-GB"/>
        </w:rPr>
      </w:pPr>
      <w:r>
        <w:rPr>
          <w:rFonts w:ascii="Arial" w:hAnsi="Arial" w:cs="Arial"/>
          <w:b/>
          <w:bCs/>
          <w:sz w:val="32"/>
          <w:szCs w:val="32"/>
        </w:rPr>
        <w:t>Student Id:</w:t>
      </w:r>
      <w:r w:rsidR="00FE1C56">
        <w:rPr>
          <w:rFonts w:ascii="Arial" w:hAnsi="Arial" w:cs="Arial"/>
          <w:b/>
          <w:bCs/>
          <w:sz w:val="32"/>
          <w:szCs w:val="32"/>
        </w:rPr>
        <w:t xml:space="preserve"> 2429155</w:t>
      </w:r>
      <w:r w:rsidR="00FE1C56">
        <w:rPr>
          <w:rFonts w:ascii="Arial" w:hAnsi="Arial" w:cs="Arial"/>
          <w:b/>
          <w:bCs/>
          <w:sz w:val="32"/>
          <w:szCs w:val="32"/>
        </w:rPr>
        <w:br/>
        <w:t>Word Count</w:t>
      </w:r>
      <w:r>
        <w:rPr>
          <w:rFonts w:ascii="Arial" w:hAnsi="Arial" w:cs="Arial"/>
          <w:b/>
          <w:bCs/>
          <w:sz w:val="32"/>
          <w:szCs w:val="32"/>
        </w:rPr>
        <w:t>:</w:t>
      </w:r>
      <w:r w:rsidR="00FE1C56">
        <w:rPr>
          <w:rFonts w:ascii="Arial" w:hAnsi="Arial" w:cs="Arial"/>
          <w:b/>
          <w:bCs/>
          <w:sz w:val="32"/>
          <w:szCs w:val="32"/>
        </w:rPr>
        <w:t xml:space="preserve"> </w:t>
      </w:r>
      <w:r>
        <w:rPr>
          <w:rFonts w:ascii="Arial" w:hAnsi="Arial" w:cs="Arial"/>
          <w:b/>
          <w:bCs/>
          <w:sz w:val="32"/>
          <w:szCs w:val="32"/>
        </w:rPr>
        <w:t>5237</w:t>
      </w:r>
      <w:r>
        <w:rPr>
          <w:rFonts w:ascii="Arial" w:hAnsi="Arial" w:cs="Arial"/>
          <w:b/>
          <w:bCs/>
          <w:sz w:val="32"/>
          <w:szCs w:val="32"/>
        </w:rPr>
        <w:br/>
      </w:r>
      <w:r>
        <w:rPr>
          <w:rFonts w:ascii="Arial" w:hAnsi="Arial" w:cs="Arial"/>
          <w:b/>
          <w:bCs/>
          <w:sz w:val="32"/>
          <w:szCs w:val="32"/>
          <w:lang w:val="en-GB"/>
        </w:rPr>
        <w:br w:type="page"/>
      </w:r>
    </w:p>
    <w:p w:rsidR="003F4BBF" w:rsidRDefault="00BA2738">
      <w:pPr>
        <w:spacing w:before="240"/>
        <w:jc w:val="center"/>
        <w:rPr>
          <w:rFonts w:ascii="Arial" w:hAnsi="Arial" w:cs="Arial"/>
          <w:b/>
          <w:bCs/>
          <w:lang w:val="en-GB"/>
        </w:rPr>
      </w:pPr>
      <w:r>
        <w:rPr>
          <w:rFonts w:ascii="Arial" w:hAnsi="Arial" w:cs="Arial"/>
          <w:b/>
          <w:bCs/>
          <w:lang w:val="en-GB"/>
        </w:rPr>
        <w:lastRenderedPageBreak/>
        <w:t>Executive Summary</w:t>
      </w:r>
    </w:p>
    <w:p w:rsidR="003F4BBF" w:rsidRDefault="00BA2738">
      <w:pPr>
        <w:spacing w:before="240"/>
        <w:rPr>
          <w:rFonts w:ascii="Arial" w:hAnsi="Arial" w:cs="Arial"/>
          <w:lang w:val="en-GB"/>
        </w:rPr>
      </w:pPr>
      <w:r>
        <w:rPr>
          <w:rFonts w:ascii="Arial" w:hAnsi="Arial" w:cs="Arial"/>
          <w:lang w:val="en-GB"/>
        </w:rPr>
        <w:t>The Volvo Group is a multi-national based company that manufactures trucks, buses, construction machinery and marine systems that have been known to engineer reliability, safety innovations and expanding dominance in electrified transport options. With the world market trending into decarbonisation, digitalisation and increased efficiency demands, Volvo is being strategically pressured to go into markets that have a high number of long-term demand and sustainability supportive policies. India has been selected as the market of choice because it is a fast-growing economy, a vast base of commercial vehicles that have experienced great infrastructure development and are gaining attention towards cleaner mobility solutions. An extensive external analysis indicates the positive macroeconomic climate in India, the growing need in logistics and high investments in highways, ports and industrial corridors. On the internal level, Volvo safety, electrification, and lifecycle performance are strengths that are corresponding to the demands of the premium segments of customers. Competitive analysis reveals strong competition in the low-price segments and a significant opportunity in the high-technological vehicle segments in which Volvo can develop differentiation.</w:t>
      </w:r>
    </w:p>
    <w:p w:rsidR="003F4BBF" w:rsidRDefault="00BA2738">
      <w:pPr>
        <w:spacing w:before="240"/>
        <w:rPr>
          <w:rFonts w:ascii="Arial" w:hAnsi="Arial" w:cs="Arial"/>
          <w:lang w:val="en-GB"/>
        </w:rPr>
      </w:pPr>
      <w:r>
        <w:rPr>
          <w:rFonts w:ascii="Arial" w:hAnsi="Arial" w:cs="Arial"/>
          <w:lang w:val="en-GB"/>
        </w:rPr>
        <w:t>The suggested solution can be a gradual market development model with a CKD/SKD assembly facility to ensure the balance between cost-effectiveness, localisation needs and technology security. This will be supplemented by strategic alliances, specific product launches and growth of digital fleet management solutions which are electrified. To measure performance, Balanced Scorecard KPIs will be used in financial objectives, customer satisfaction, internal processes efficiency and workforce capability development. The anticipated results will be long term competitive advantage and strong brand positioning due to technology leadership and alignment with national sustainability goals, and sustainable growth in market share. Altogether, Volvo expansion to India is a workable and logically consistent opportunity that plays on the main resources, promotes global competitiveness and the ultimate sustainability of the organisation in transportation.</w:t>
      </w:r>
    </w:p>
    <w:p w:rsidR="003F4BBF" w:rsidRDefault="003F4BBF">
      <w:pPr>
        <w:spacing w:before="240"/>
        <w:jc w:val="left"/>
        <w:rPr>
          <w:rFonts w:ascii="Arial" w:eastAsiaTheme="majorEastAsia" w:hAnsi="Arial" w:cs="Arial"/>
          <w:b/>
          <w:szCs w:val="40"/>
          <w:lang w:val="en-GB"/>
        </w:rPr>
      </w:pPr>
    </w:p>
    <w:sdt>
      <w:sdtPr>
        <w:rPr>
          <w:rFonts w:ascii="Arial" w:eastAsiaTheme="minorHAnsi" w:hAnsi="Arial" w:cs="Arial"/>
          <w:color w:val="000000" w:themeColor="text1"/>
          <w:kern w:val="2"/>
          <w:sz w:val="24"/>
          <w:szCs w:val="22"/>
          <w:lang w:val="en-GB"/>
          <w14:ligatures w14:val="standardContextual"/>
        </w:rPr>
        <w:id w:val="-1817636732"/>
        <w:docPartObj>
          <w:docPartGallery w:val="Table of Contents"/>
          <w:docPartUnique/>
        </w:docPartObj>
      </w:sdtPr>
      <w:sdtEndPr>
        <w:rPr>
          <w:b/>
          <w:bCs/>
        </w:rPr>
      </w:sdtEndPr>
      <w:sdtContent>
        <w:p w:rsidR="003F4BBF" w:rsidRDefault="00BA2738">
          <w:pPr>
            <w:pStyle w:val="TOCHeading1"/>
            <w:spacing w:after="240" w:line="360" w:lineRule="auto"/>
            <w:jc w:val="center"/>
            <w:rPr>
              <w:rFonts w:ascii="Arial" w:hAnsi="Arial" w:cs="Arial"/>
              <w:b/>
              <w:bCs/>
              <w:color w:val="000000" w:themeColor="text1"/>
              <w:sz w:val="24"/>
              <w:szCs w:val="24"/>
              <w:lang w:val="en-GB"/>
            </w:rPr>
          </w:pPr>
          <w:r>
            <w:rPr>
              <w:rFonts w:ascii="Arial" w:hAnsi="Arial" w:cs="Arial"/>
              <w:b/>
              <w:bCs/>
              <w:color w:val="000000" w:themeColor="text1"/>
              <w:sz w:val="24"/>
              <w:szCs w:val="24"/>
              <w:lang w:val="en-GB"/>
            </w:rPr>
            <w:t>Table of Contents</w:t>
          </w:r>
        </w:p>
        <w:p w:rsidR="003F4BBF" w:rsidRDefault="00BA2738">
          <w:pPr>
            <w:pStyle w:val="TOC1"/>
            <w:tabs>
              <w:tab w:val="right" w:leader="dot" w:pos="9350"/>
            </w:tabs>
            <w:spacing w:before="240" w:after="240"/>
            <w:rPr>
              <w:rFonts w:ascii="Arial" w:hAnsi="Arial" w:cs="Arial"/>
              <w:noProof/>
              <w:szCs w:val="24"/>
              <w:lang w:val="en-GB"/>
            </w:rPr>
          </w:pPr>
          <w:r>
            <w:rPr>
              <w:rFonts w:ascii="Arial" w:hAnsi="Arial" w:cs="Arial"/>
              <w:szCs w:val="24"/>
              <w:lang w:val="en-GB"/>
            </w:rPr>
            <w:fldChar w:fldCharType="begin"/>
          </w:r>
          <w:r>
            <w:rPr>
              <w:rFonts w:ascii="Arial" w:hAnsi="Arial" w:cs="Arial"/>
              <w:szCs w:val="24"/>
              <w:lang w:val="en-GB"/>
            </w:rPr>
            <w:instrText xml:space="preserve"> TOC \o "1-3" \h \z \u </w:instrText>
          </w:r>
          <w:r>
            <w:rPr>
              <w:rFonts w:ascii="Arial" w:hAnsi="Arial" w:cs="Arial"/>
              <w:szCs w:val="24"/>
              <w:lang w:val="en-GB"/>
            </w:rPr>
            <w:fldChar w:fldCharType="separate"/>
          </w:r>
          <w:hyperlink w:anchor="_Toc215479969" w:history="1">
            <w:r>
              <w:rPr>
                <w:rStyle w:val="Hyperlink"/>
                <w:rFonts w:ascii="Arial" w:hAnsi="Arial" w:cs="Arial"/>
                <w:noProof/>
                <w:color w:val="000000" w:themeColor="text1"/>
                <w:szCs w:val="24"/>
                <w:lang w:val="en-GB"/>
              </w:rPr>
              <w:t>1. Introduction &amp; Company Selection</w:t>
            </w:r>
            <w:r>
              <w:rPr>
                <w:rFonts w:ascii="Arial" w:hAnsi="Arial" w:cs="Arial"/>
                <w:noProof/>
                <w:szCs w:val="24"/>
                <w:lang w:val="en-GB"/>
              </w:rPr>
              <w:tab/>
            </w:r>
            <w:r>
              <w:rPr>
                <w:rFonts w:ascii="Arial" w:hAnsi="Arial" w:cs="Arial"/>
                <w:noProof/>
                <w:szCs w:val="24"/>
                <w:lang w:val="en-GB"/>
              </w:rPr>
              <w:fldChar w:fldCharType="begin"/>
            </w:r>
            <w:r>
              <w:rPr>
                <w:rFonts w:ascii="Arial" w:hAnsi="Arial" w:cs="Arial"/>
                <w:noProof/>
                <w:szCs w:val="24"/>
                <w:lang w:val="en-GB"/>
              </w:rPr>
              <w:instrText xml:space="preserve"> PAGEREF _Toc215479969 \h </w:instrText>
            </w:r>
            <w:r>
              <w:rPr>
                <w:rFonts w:ascii="Arial" w:hAnsi="Arial" w:cs="Arial"/>
                <w:noProof/>
                <w:szCs w:val="24"/>
                <w:lang w:val="en-GB"/>
              </w:rPr>
            </w:r>
            <w:r>
              <w:rPr>
                <w:rFonts w:ascii="Arial" w:hAnsi="Arial" w:cs="Arial"/>
                <w:noProof/>
                <w:szCs w:val="24"/>
                <w:lang w:val="en-GB"/>
              </w:rPr>
              <w:fldChar w:fldCharType="separate"/>
            </w:r>
            <w:r w:rsidR="002F6F93">
              <w:rPr>
                <w:rFonts w:ascii="Arial" w:hAnsi="Arial" w:cs="Arial"/>
                <w:noProof/>
                <w:szCs w:val="24"/>
                <w:lang w:val="en-GB"/>
              </w:rPr>
              <w:t>4</w:t>
            </w:r>
            <w:r>
              <w:rPr>
                <w:rFonts w:ascii="Arial" w:hAnsi="Arial" w:cs="Arial"/>
                <w:noProof/>
                <w:szCs w:val="24"/>
                <w:lang w:val="en-GB"/>
              </w:rPr>
              <w:fldChar w:fldCharType="end"/>
            </w:r>
          </w:hyperlink>
        </w:p>
        <w:p w:rsidR="003F4BBF" w:rsidRDefault="00726B71">
          <w:pPr>
            <w:pStyle w:val="TOC1"/>
            <w:tabs>
              <w:tab w:val="right" w:leader="dot" w:pos="9350"/>
            </w:tabs>
            <w:spacing w:before="240" w:after="240"/>
            <w:rPr>
              <w:rFonts w:ascii="Arial" w:hAnsi="Arial" w:cs="Arial"/>
              <w:noProof/>
              <w:szCs w:val="24"/>
              <w:lang w:val="en-GB"/>
            </w:rPr>
          </w:pPr>
          <w:hyperlink w:anchor="_Toc215479970" w:history="1">
            <w:r w:rsidR="00BA2738">
              <w:rPr>
                <w:rStyle w:val="Hyperlink"/>
                <w:rFonts w:ascii="Arial" w:hAnsi="Arial" w:cs="Arial"/>
                <w:noProof/>
                <w:color w:val="000000" w:themeColor="text1"/>
                <w:szCs w:val="24"/>
                <w:lang w:val="en-GB"/>
              </w:rPr>
              <w:t>2. Target Market Selection &amp; Justification</w:t>
            </w:r>
            <w:r w:rsidR="00BA2738">
              <w:rPr>
                <w:rFonts w:ascii="Arial" w:hAnsi="Arial" w:cs="Arial"/>
                <w:noProof/>
                <w:szCs w:val="24"/>
                <w:lang w:val="en-GB"/>
              </w:rPr>
              <w:tab/>
            </w:r>
            <w:r w:rsidR="00BA2738">
              <w:rPr>
                <w:rFonts w:ascii="Arial" w:hAnsi="Arial" w:cs="Arial"/>
                <w:noProof/>
                <w:szCs w:val="24"/>
                <w:lang w:val="en-GB"/>
              </w:rPr>
              <w:fldChar w:fldCharType="begin"/>
            </w:r>
            <w:r w:rsidR="00BA2738">
              <w:rPr>
                <w:rFonts w:ascii="Arial" w:hAnsi="Arial" w:cs="Arial"/>
                <w:noProof/>
                <w:szCs w:val="24"/>
                <w:lang w:val="en-GB"/>
              </w:rPr>
              <w:instrText xml:space="preserve"> PAGEREF _Toc215479970 \h </w:instrText>
            </w:r>
            <w:r w:rsidR="00BA2738">
              <w:rPr>
                <w:rFonts w:ascii="Arial" w:hAnsi="Arial" w:cs="Arial"/>
                <w:noProof/>
                <w:szCs w:val="24"/>
                <w:lang w:val="en-GB"/>
              </w:rPr>
            </w:r>
            <w:r w:rsidR="00BA2738">
              <w:rPr>
                <w:rFonts w:ascii="Arial" w:hAnsi="Arial" w:cs="Arial"/>
                <w:noProof/>
                <w:szCs w:val="24"/>
                <w:lang w:val="en-GB"/>
              </w:rPr>
              <w:fldChar w:fldCharType="separate"/>
            </w:r>
            <w:r w:rsidR="002F6F93">
              <w:rPr>
                <w:rFonts w:ascii="Arial" w:hAnsi="Arial" w:cs="Arial"/>
                <w:noProof/>
                <w:szCs w:val="24"/>
                <w:lang w:val="en-GB"/>
              </w:rPr>
              <w:t>5</w:t>
            </w:r>
            <w:r w:rsidR="00BA2738">
              <w:rPr>
                <w:rFonts w:ascii="Arial" w:hAnsi="Arial" w:cs="Arial"/>
                <w:noProof/>
                <w:szCs w:val="24"/>
                <w:lang w:val="en-GB"/>
              </w:rPr>
              <w:fldChar w:fldCharType="end"/>
            </w:r>
          </w:hyperlink>
        </w:p>
        <w:p w:rsidR="003F4BBF" w:rsidRDefault="00726B71">
          <w:pPr>
            <w:pStyle w:val="TOC1"/>
            <w:tabs>
              <w:tab w:val="right" w:leader="dot" w:pos="9350"/>
            </w:tabs>
            <w:spacing w:before="240" w:after="240"/>
            <w:rPr>
              <w:rFonts w:ascii="Arial" w:hAnsi="Arial" w:cs="Arial"/>
              <w:noProof/>
              <w:szCs w:val="24"/>
              <w:lang w:val="en-GB"/>
            </w:rPr>
          </w:pPr>
          <w:hyperlink w:anchor="_Toc215479971" w:history="1">
            <w:r w:rsidR="00BA2738">
              <w:rPr>
                <w:rStyle w:val="Hyperlink"/>
                <w:rFonts w:ascii="Arial" w:hAnsi="Arial" w:cs="Arial"/>
                <w:noProof/>
                <w:color w:val="000000" w:themeColor="text1"/>
                <w:szCs w:val="24"/>
                <w:lang w:val="en-GB"/>
              </w:rPr>
              <w:t>3. Comprehensive Strategic Analysis</w:t>
            </w:r>
            <w:r w:rsidR="00BA2738">
              <w:rPr>
                <w:rFonts w:ascii="Arial" w:hAnsi="Arial" w:cs="Arial"/>
                <w:noProof/>
                <w:szCs w:val="24"/>
                <w:lang w:val="en-GB"/>
              </w:rPr>
              <w:tab/>
            </w:r>
            <w:r w:rsidR="00BA2738">
              <w:rPr>
                <w:rFonts w:ascii="Arial" w:hAnsi="Arial" w:cs="Arial"/>
                <w:noProof/>
                <w:szCs w:val="24"/>
                <w:lang w:val="en-GB"/>
              </w:rPr>
              <w:fldChar w:fldCharType="begin"/>
            </w:r>
            <w:r w:rsidR="00BA2738">
              <w:rPr>
                <w:rFonts w:ascii="Arial" w:hAnsi="Arial" w:cs="Arial"/>
                <w:noProof/>
                <w:szCs w:val="24"/>
                <w:lang w:val="en-GB"/>
              </w:rPr>
              <w:instrText xml:space="preserve"> PAGEREF _Toc215479971 \h </w:instrText>
            </w:r>
            <w:r w:rsidR="00BA2738">
              <w:rPr>
                <w:rFonts w:ascii="Arial" w:hAnsi="Arial" w:cs="Arial"/>
                <w:noProof/>
                <w:szCs w:val="24"/>
                <w:lang w:val="en-GB"/>
              </w:rPr>
            </w:r>
            <w:r w:rsidR="00BA2738">
              <w:rPr>
                <w:rFonts w:ascii="Arial" w:hAnsi="Arial" w:cs="Arial"/>
                <w:noProof/>
                <w:szCs w:val="24"/>
                <w:lang w:val="en-GB"/>
              </w:rPr>
              <w:fldChar w:fldCharType="separate"/>
            </w:r>
            <w:r w:rsidR="002F6F93">
              <w:rPr>
                <w:rFonts w:ascii="Arial" w:hAnsi="Arial" w:cs="Arial"/>
                <w:noProof/>
                <w:szCs w:val="24"/>
                <w:lang w:val="en-GB"/>
              </w:rPr>
              <w:t>8</w:t>
            </w:r>
            <w:r w:rsidR="00BA2738">
              <w:rPr>
                <w:rFonts w:ascii="Arial" w:hAnsi="Arial" w:cs="Arial"/>
                <w:noProof/>
                <w:szCs w:val="24"/>
                <w:lang w:val="en-GB"/>
              </w:rPr>
              <w:fldChar w:fldCharType="end"/>
            </w:r>
          </w:hyperlink>
        </w:p>
        <w:p w:rsidR="003F4BBF" w:rsidRDefault="00726B71">
          <w:pPr>
            <w:pStyle w:val="TOC1"/>
            <w:tabs>
              <w:tab w:val="right" w:leader="dot" w:pos="9350"/>
            </w:tabs>
            <w:spacing w:before="240" w:after="240"/>
            <w:rPr>
              <w:rFonts w:ascii="Arial" w:hAnsi="Arial" w:cs="Arial"/>
              <w:noProof/>
              <w:szCs w:val="24"/>
              <w:lang w:val="en-GB"/>
            </w:rPr>
          </w:pPr>
          <w:hyperlink w:anchor="_Toc215479972" w:history="1">
            <w:r w:rsidR="00BA2738">
              <w:rPr>
                <w:rStyle w:val="Hyperlink"/>
                <w:rFonts w:ascii="Arial" w:hAnsi="Arial" w:cs="Arial"/>
                <w:noProof/>
                <w:color w:val="000000" w:themeColor="text1"/>
                <w:szCs w:val="24"/>
                <w:lang w:val="en-GB"/>
              </w:rPr>
              <w:t>4. Strategy Development &amp; Market Entry Formulation</w:t>
            </w:r>
            <w:r w:rsidR="00BA2738">
              <w:rPr>
                <w:rFonts w:ascii="Arial" w:hAnsi="Arial" w:cs="Arial"/>
                <w:noProof/>
                <w:szCs w:val="24"/>
                <w:lang w:val="en-GB"/>
              </w:rPr>
              <w:tab/>
            </w:r>
            <w:r w:rsidR="00BA2738">
              <w:rPr>
                <w:rFonts w:ascii="Arial" w:hAnsi="Arial" w:cs="Arial"/>
                <w:noProof/>
                <w:szCs w:val="24"/>
                <w:lang w:val="en-GB"/>
              </w:rPr>
              <w:fldChar w:fldCharType="begin"/>
            </w:r>
            <w:r w:rsidR="00BA2738">
              <w:rPr>
                <w:rFonts w:ascii="Arial" w:hAnsi="Arial" w:cs="Arial"/>
                <w:noProof/>
                <w:szCs w:val="24"/>
                <w:lang w:val="en-GB"/>
              </w:rPr>
              <w:instrText xml:space="preserve"> PAGEREF _Toc215479972 \h </w:instrText>
            </w:r>
            <w:r w:rsidR="00BA2738">
              <w:rPr>
                <w:rFonts w:ascii="Arial" w:hAnsi="Arial" w:cs="Arial"/>
                <w:noProof/>
                <w:szCs w:val="24"/>
                <w:lang w:val="en-GB"/>
              </w:rPr>
            </w:r>
            <w:r w:rsidR="00BA2738">
              <w:rPr>
                <w:rFonts w:ascii="Arial" w:hAnsi="Arial" w:cs="Arial"/>
                <w:noProof/>
                <w:szCs w:val="24"/>
                <w:lang w:val="en-GB"/>
              </w:rPr>
              <w:fldChar w:fldCharType="separate"/>
            </w:r>
            <w:r w:rsidR="002F6F93">
              <w:rPr>
                <w:rFonts w:ascii="Arial" w:hAnsi="Arial" w:cs="Arial"/>
                <w:noProof/>
                <w:szCs w:val="24"/>
                <w:lang w:val="en-GB"/>
              </w:rPr>
              <w:t>16</w:t>
            </w:r>
            <w:r w:rsidR="00BA2738">
              <w:rPr>
                <w:rFonts w:ascii="Arial" w:hAnsi="Arial" w:cs="Arial"/>
                <w:noProof/>
                <w:szCs w:val="24"/>
                <w:lang w:val="en-GB"/>
              </w:rPr>
              <w:fldChar w:fldCharType="end"/>
            </w:r>
          </w:hyperlink>
        </w:p>
        <w:p w:rsidR="003F4BBF" w:rsidRDefault="00726B71">
          <w:pPr>
            <w:pStyle w:val="TOC1"/>
            <w:tabs>
              <w:tab w:val="right" w:leader="dot" w:pos="9350"/>
            </w:tabs>
            <w:spacing w:before="240" w:after="240"/>
            <w:rPr>
              <w:rFonts w:ascii="Arial" w:hAnsi="Arial" w:cs="Arial"/>
              <w:noProof/>
              <w:szCs w:val="24"/>
              <w:lang w:val="en-GB"/>
            </w:rPr>
          </w:pPr>
          <w:hyperlink w:anchor="_Toc215479973" w:history="1">
            <w:r w:rsidR="00BA2738">
              <w:rPr>
                <w:rStyle w:val="Hyperlink"/>
                <w:rFonts w:ascii="Arial" w:hAnsi="Arial" w:cs="Arial"/>
                <w:noProof/>
                <w:color w:val="000000" w:themeColor="text1"/>
                <w:szCs w:val="24"/>
                <w:lang w:val="en-GB"/>
              </w:rPr>
              <w:t>5. Performance Evaluation Framework</w:t>
            </w:r>
            <w:r w:rsidR="00BA2738">
              <w:rPr>
                <w:rFonts w:ascii="Arial" w:hAnsi="Arial" w:cs="Arial"/>
                <w:noProof/>
                <w:szCs w:val="24"/>
                <w:lang w:val="en-GB"/>
              </w:rPr>
              <w:tab/>
            </w:r>
            <w:r w:rsidR="00BA2738">
              <w:rPr>
                <w:rFonts w:ascii="Arial" w:hAnsi="Arial" w:cs="Arial"/>
                <w:noProof/>
                <w:szCs w:val="24"/>
                <w:lang w:val="en-GB"/>
              </w:rPr>
              <w:fldChar w:fldCharType="begin"/>
            </w:r>
            <w:r w:rsidR="00BA2738">
              <w:rPr>
                <w:rFonts w:ascii="Arial" w:hAnsi="Arial" w:cs="Arial"/>
                <w:noProof/>
                <w:szCs w:val="24"/>
                <w:lang w:val="en-GB"/>
              </w:rPr>
              <w:instrText xml:space="preserve"> PAGEREF _Toc215479973 \h </w:instrText>
            </w:r>
            <w:r w:rsidR="00BA2738">
              <w:rPr>
                <w:rFonts w:ascii="Arial" w:hAnsi="Arial" w:cs="Arial"/>
                <w:noProof/>
                <w:szCs w:val="24"/>
                <w:lang w:val="en-GB"/>
              </w:rPr>
            </w:r>
            <w:r w:rsidR="00BA2738">
              <w:rPr>
                <w:rFonts w:ascii="Arial" w:hAnsi="Arial" w:cs="Arial"/>
                <w:noProof/>
                <w:szCs w:val="24"/>
                <w:lang w:val="en-GB"/>
              </w:rPr>
              <w:fldChar w:fldCharType="separate"/>
            </w:r>
            <w:r w:rsidR="002F6F93">
              <w:rPr>
                <w:rFonts w:ascii="Arial" w:hAnsi="Arial" w:cs="Arial"/>
                <w:noProof/>
                <w:szCs w:val="24"/>
                <w:lang w:val="en-GB"/>
              </w:rPr>
              <w:t>20</w:t>
            </w:r>
            <w:r w:rsidR="00BA2738">
              <w:rPr>
                <w:rFonts w:ascii="Arial" w:hAnsi="Arial" w:cs="Arial"/>
                <w:noProof/>
                <w:szCs w:val="24"/>
                <w:lang w:val="en-GB"/>
              </w:rPr>
              <w:fldChar w:fldCharType="end"/>
            </w:r>
          </w:hyperlink>
        </w:p>
        <w:p w:rsidR="003F4BBF" w:rsidRDefault="00726B71">
          <w:pPr>
            <w:pStyle w:val="TOC1"/>
            <w:tabs>
              <w:tab w:val="right" w:leader="dot" w:pos="9350"/>
            </w:tabs>
            <w:spacing w:before="240" w:after="240"/>
            <w:rPr>
              <w:rFonts w:ascii="Arial" w:hAnsi="Arial" w:cs="Arial"/>
              <w:noProof/>
              <w:szCs w:val="24"/>
              <w:lang w:val="en-GB"/>
            </w:rPr>
          </w:pPr>
          <w:hyperlink w:anchor="_Toc215479974" w:history="1">
            <w:r w:rsidR="00BA2738">
              <w:rPr>
                <w:rStyle w:val="Hyperlink"/>
                <w:rFonts w:ascii="Arial" w:hAnsi="Arial" w:cs="Arial"/>
                <w:noProof/>
                <w:color w:val="000000" w:themeColor="text1"/>
                <w:szCs w:val="24"/>
                <w:lang w:val="en-GB"/>
              </w:rPr>
              <w:t>6. Conclusion &amp; Strategic Implications</w:t>
            </w:r>
            <w:r w:rsidR="00BA2738">
              <w:rPr>
                <w:rFonts w:ascii="Arial" w:hAnsi="Arial" w:cs="Arial"/>
                <w:noProof/>
                <w:szCs w:val="24"/>
                <w:lang w:val="en-GB"/>
              </w:rPr>
              <w:tab/>
            </w:r>
            <w:r w:rsidR="00BA2738">
              <w:rPr>
                <w:rFonts w:ascii="Arial" w:hAnsi="Arial" w:cs="Arial"/>
                <w:noProof/>
                <w:szCs w:val="24"/>
                <w:lang w:val="en-GB"/>
              </w:rPr>
              <w:fldChar w:fldCharType="begin"/>
            </w:r>
            <w:r w:rsidR="00BA2738">
              <w:rPr>
                <w:rFonts w:ascii="Arial" w:hAnsi="Arial" w:cs="Arial"/>
                <w:noProof/>
                <w:szCs w:val="24"/>
                <w:lang w:val="en-GB"/>
              </w:rPr>
              <w:instrText xml:space="preserve"> PAGEREF _Toc215479974 \h </w:instrText>
            </w:r>
            <w:r w:rsidR="00BA2738">
              <w:rPr>
                <w:rFonts w:ascii="Arial" w:hAnsi="Arial" w:cs="Arial"/>
                <w:noProof/>
                <w:szCs w:val="24"/>
                <w:lang w:val="en-GB"/>
              </w:rPr>
            </w:r>
            <w:r w:rsidR="00BA2738">
              <w:rPr>
                <w:rFonts w:ascii="Arial" w:hAnsi="Arial" w:cs="Arial"/>
                <w:noProof/>
                <w:szCs w:val="24"/>
                <w:lang w:val="en-GB"/>
              </w:rPr>
              <w:fldChar w:fldCharType="separate"/>
            </w:r>
            <w:r w:rsidR="002F6F93">
              <w:rPr>
                <w:rFonts w:ascii="Arial" w:hAnsi="Arial" w:cs="Arial"/>
                <w:noProof/>
                <w:szCs w:val="24"/>
                <w:lang w:val="en-GB"/>
              </w:rPr>
              <w:t>23</w:t>
            </w:r>
            <w:r w:rsidR="00BA2738">
              <w:rPr>
                <w:rFonts w:ascii="Arial" w:hAnsi="Arial" w:cs="Arial"/>
                <w:noProof/>
                <w:szCs w:val="24"/>
                <w:lang w:val="en-GB"/>
              </w:rPr>
              <w:fldChar w:fldCharType="end"/>
            </w:r>
          </w:hyperlink>
        </w:p>
        <w:p w:rsidR="003F4BBF" w:rsidRDefault="00726B71">
          <w:pPr>
            <w:pStyle w:val="TOC1"/>
            <w:tabs>
              <w:tab w:val="right" w:leader="dot" w:pos="9350"/>
            </w:tabs>
            <w:spacing w:before="240" w:after="240"/>
            <w:rPr>
              <w:rFonts w:ascii="Arial" w:hAnsi="Arial" w:cs="Arial"/>
              <w:noProof/>
              <w:szCs w:val="24"/>
              <w:lang w:val="en-GB"/>
            </w:rPr>
          </w:pPr>
          <w:hyperlink w:anchor="_Toc215479975" w:history="1">
            <w:r w:rsidR="00BA2738">
              <w:rPr>
                <w:rStyle w:val="Hyperlink"/>
                <w:rFonts w:ascii="Arial" w:hAnsi="Arial" w:cs="Arial"/>
                <w:noProof/>
                <w:color w:val="000000" w:themeColor="text1"/>
                <w:szCs w:val="24"/>
                <w:lang w:val="en-GB"/>
              </w:rPr>
              <w:t>References</w:t>
            </w:r>
            <w:r w:rsidR="00BA2738">
              <w:rPr>
                <w:rFonts w:ascii="Arial" w:hAnsi="Arial" w:cs="Arial"/>
                <w:noProof/>
                <w:szCs w:val="24"/>
                <w:lang w:val="en-GB"/>
              </w:rPr>
              <w:tab/>
            </w:r>
            <w:r w:rsidR="00BA2738">
              <w:rPr>
                <w:rFonts w:ascii="Arial" w:hAnsi="Arial" w:cs="Arial"/>
                <w:noProof/>
                <w:szCs w:val="24"/>
                <w:lang w:val="en-GB"/>
              </w:rPr>
              <w:fldChar w:fldCharType="begin"/>
            </w:r>
            <w:r w:rsidR="00BA2738">
              <w:rPr>
                <w:rFonts w:ascii="Arial" w:hAnsi="Arial" w:cs="Arial"/>
                <w:noProof/>
                <w:szCs w:val="24"/>
                <w:lang w:val="en-GB"/>
              </w:rPr>
              <w:instrText xml:space="preserve"> PAGEREF _Toc215479975 \h </w:instrText>
            </w:r>
            <w:r w:rsidR="00BA2738">
              <w:rPr>
                <w:rFonts w:ascii="Arial" w:hAnsi="Arial" w:cs="Arial"/>
                <w:noProof/>
                <w:szCs w:val="24"/>
                <w:lang w:val="en-GB"/>
              </w:rPr>
            </w:r>
            <w:r w:rsidR="00BA2738">
              <w:rPr>
                <w:rFonts w:ascii="Arial" w:hAnsi="Arial" w:cs="Arial"/>
                <w:noProof/>
                <w:szCs w:val="24"/>
                <w:lang w:val="en-GB"/>
              </w:rPr>
              <w:fldChar w:fldCharType="separate"/>
            </w:r>
            <w:r w:rsidR="002F6F93">
              <w:rPr>
                <w:rFonts w:ascii="Arial" w:hAnsi="Arial" w:cs="Arial"/>
                <w:noProof/>
                <w:szCs w:val="24"/>
                <w:lang w:val="en-GB"/>
              </w:rPr>
              <w:t>25</w:t>
            </w:r>
            <w:r w:rsidR="00BA2738">
              <w:rPr>
                <w:rFonts w:ascii="Arial" w:hAnsi="Arial" w:cs="Arial"/>
                <w:noProof/>
                <w:szCs w:val="24"/>
                <w:lang w:val="en-GB"/>
              </w:rPr>
              <w:fldChar w:fldCharType="end"/>
            </w:r>
          </w:hyperlink>
        </w:p>
        <w:p w:rsidR="003F4BBF" w:rsidRDefault="00BA2738">
          <w:pPr>
            <w:spacing w:before="240" w:after="240"/>
            <w:rPr>
              <w:rFonts w:ascii="Arial" w:hAnsi="Arial" w:cs="Arial"/>
              <w:lang w:val="en-GB"/>
            </w:rPr>
          </w:pPr>
          <w:r>
            <w:rPr>
              <w:rFonts w:ascii="Arial" w:hAnsi="Arial" w:cs="Arial"/>
              <w:b/>
              <w:bCs/>
              <w:szCs w:val="24"/>
              <w:lang w:val="en-GB"/>
            </w:rPr>
            <w:fldChar w:fldCharType="end"/>
          </w:r>
        </w:p>
      </w:sdtContent>
    </w:sdt>
    <w:p w:rsidR="003F4BBF" w:rsidRDefault="00BA2738">
      <w:pPr>
        <w:spacing w:before="240"/>
        <w:jc w:val="left"/>
        <w:rPr>
          <w:rFonts w:ascii="Arial" w:eastAsiaTheme="majorEastAsia" w:hAnsi="Arial" w:cs="Arial"/>
          <w:b/>
          <w:szCs w:val="40"/>
          <w:lang w:val="en-GB"/>
        </w:rPr>
      </w:pPr>
      <w:r>
        <w:rPr>
          <w:rFonts w:ascii="Arial" w:hAnsi="Arial" w:cs="Arial"/>
          <w:lang w:val="en-GB"/>
        </w:rPr>
        <w:br w:type="page"/>
      </w:r>
    </w:p>
    <w:p w:rsidR="003F4BBF" w:rsidRDefault="00BA2738">
      <w:pPr>
        <w:pStyle w:val="Heading1"/>
        <w:spacing w:before="240"/>
        <w:rPr>
          <w:rFonts w:ascii="Arial" w:hAnsi="Arial" w:cs="Arial"/>
          <w:lang w:val="en-GB"/>
        </w:rPr>
      </w:pPr>
      <w:bookmarkStart w:id="1" w:name="_Toc215479969"/>
      <w:r>
        <w:rPr>
          <w:rFonts w:ascii="Arial" w:hAnsi="Arial" w:cs="Arial"/>
          <w:lang w:val="en-GB"/>
        </w:rPr>
        <w:lastRenderedPageBreak/>
        <w:t>1. Introduction &amp; Company Selection</w:t>
      </w:r>
      <w:bookmarkEnd w:id="1"/>
      <w:r>
        <w:rPr>
          <w:rFonts w:ascii="Arial" w:hAnsi="Arial" w:cs="Arial"/>
          <w:lang w:val="en-GB"/>
        </w:rPr>
        <w:t xml:space="preserve"> </w:t>
      </w:r>
    </w:p>
    <w:p w:rsidR="003F4BBF" w:rsidRDefault="00BA2738">
      <w:pPr>
        <w:spacing w:before="240"/>
        <w:rPr>
          <w:rFonts w:ascii="Arial" w:hAnsi="Arial" w:cs="Arial"/>
          <w:b/>
          <w:bCs/>
          <w:lang w:val="en-GB"/>
        </w:rPr>
      </w:pPr>
      <w:r>
        <w:rPr>
          <w:rFonts w:ascii="Arial" w:hAnsi="Arial" w:cs="Arial"/>
          <w:b/>
          <w:bCs/>
          <w:lang w:val="en-GB"/>
        </w:rPr>
        <w:t>1.1 Overview of Volvo Group</w:t>
      </w:r>
    </w:p>
    <w:p w:rsidR="003F4BBF" w:rsidRDefault="00BA2738">
      <w:pPr>
        <w:spacing w:before="240"/>
        <w:rPr>
          <w:rFonts w:ascii="Arial" w:hAnsi="Arial" w:cs="Arial"/>
          <w:lang w:val="en-GB"/>
        </w:rPr>
      </w:pPr>
      <w:r>
        <w:rPr>
          <w:rFonts w:ascii="Arial" w:hAnsi="Arial" w:cs="Arial"/>
          <w:lang w:val="en-GB"/>
        </w:rPr>
        <w:t xml:space="preserve">Volvo Group is an internationally known company that deals in the truck, bus as well as construction machinery industry; this company deals with a wide range of products with diverse products such as trucks, buses, construction machinery, marine propulsion systems, and financial service solutions. The organisation operates in a number of distinct business segments, helping it to achieve a wide spread in the commercial transportation as well as in the industrial application. Its truck unit, which encompasses Volvo Trucks, Renault Trucks and Mack Trucks, has a large portion of the world heavy-duty trucks sales and Volvo Construction Equipment is strongly established among the world leaders in the manufacturing of earth-moving and road-build machinery. </w:t>
      </w:r>
    </w:p>
    <w:p w:rsidR="003F4BBF" w:rsidRDefault="00BA2738">
      <w:pPr>
        <w:spacing w:before="240"/>
        <w:rPr>
          <w:rFonts w:ascii="Arial" w:hAnsi="Arial" w:cs="Arial"/>
          <w:lang w:val="en-GB"/>
        </w:rPr>
      </w:pPr>
      <w:r>
        <w:rPr>
          <w:rFonts w:ascii="Arial" w:hAnsi="Arial" w:cs="Arial"/>
          <w:lang w:val="en-GB"/>
        </w:rPr>
        <w:t xml:space="preserve">The Group has a wide global presence, covering over 180 markets and having manufacturing plants in Europe, Asia, North America and South America. Its presence in different parts of the world is facilitated by a well-linked supply chain, ample dealer networks and </w:t>
      </w:r>
      <w:proofErr w:type="gramStart"/>
      <w:r>
        <w:rPr>
          <w:rFonts w:ascii="Arial" w:hAnsi="Arial" w:cs="Arial"/>
          <w:lang w:val="en-GB"/>
        </w:rPr>
        <w:t>a well-established after-sales service systems</w:t>
      </w:r>
      <w:proofErr w:type="gramEnd"/>
      <w:r>
        <w:rPr>
          <w:rFonts w:ascii="Arial" w:hAnsi="Arial" w:cs="Arial"/>
          <w:lang w:val="en-GB"/>
        </w:rPr>
        <w:t xml:space="preserve">. Volvo has a long tradition of focusing on quality, safety as well as engineering reliability that has earned it a competitive edge both in developed and developing economies. The strong presence of publicly published information, the annual reports about the performance and the insights into the industry makes Volvo a good organisation to conduct advanced strategic expansion research. </w:t>
      </w:r>
    </w:p>
    <w:p w:rsidR="003F4BBF" w:rsidRDefault="00BA2738">
      <w:pPr>
        <w:spacing w:before="240"/>
        <w:rPr>
          <w:rFonts w:ascii="Arial" w:hAnsi="Arial" w:cs="Arial"/>
          <w:b/>
          <w:bCs/>
          <w:lang w:val="en-GB"/>
        </w:rPr>
      </w:pPr>
      <w:r>
        <w:rPr>
          <w:rFonts w:ascii="Arial" w:hAnsi="Arial" w:cs="Arial"/>
          <w:b/>
          <w:bCs/>
          <w:lang w:val="en-GB"/>
        </w:rPr>
        <w:t>1.2 Rationale for International Expansion</w:t>
      </w:r>
    </w:p>
    <w:p w:rsidR="003F4BBF" w:rsidRDefault="00BA2738">
      <w:pPr>
        <w:spacing w:before="240"/>
        <w:rPr>
          <w:rFonts w:ascii="Arial" w:hAnsi="Arial" w:cs="Arial"/>
          <w:lang w:val="en-GB"/>
        </w:rPr>
      </w:pPr>
      <w:r>
        <w:rPr>
          <w:rFonts w:ascii="Arial" w:hAnsi="Arial" w:cs="Arial"/>
          <w:lang w:val="en-GB"/>
        </w:rPr>
        <w:t>The strategic environment facing Volvo is undergoing rapid transformation. The trends in electrification around the globe are transforming the commercial transport markets, where the regulatory pressures are increasing the shift towards zero-emission heavy-duty cars. Most of the governments at the national scale have declared decarbonisation through 2030 and 2050 challenges, compelling manufacturers to invest in electric platforms, battery technologies, and alternative powertrains. Being a big player in the industry, Volvo will have to increase into markets where the policy structures and long-</w:t>
      </w:r>
      <w:r>
        <w:rPr>
          <w:rFonts w:ascii="Arial" w:hAnsi="Arial" w:cs="Arial"/>
          <w:lang w:val="en-GB"/>
        </w:rPr>
        <w:lastRenderedPageBreak/>
        <w:t>term sustainability interests will be favourable to the technological strengths of the organisation.</w:t>
      </w:r>
    </w:p>
    <w:p w:rsidR="003F4BBF" w:rsidRDefault="00BA2738">
      <w:pPr>
        <w:spacing w:before="240"/>
        <w:rPr>
          <w:rFonts w:ascii="Arial" w:hAnsi="Arial" w:cs="Arial"/>
          <w:lang w:val="en-GB"/>
        </w:rPr>
      </w:pPr>
      <w:r>
        <w:rPr>
          <w:rFonts w:ascii="Arial" w:hAnsi="Arial" w:cs="Arial"/>
          <w:lang w:val="en-GB"/>
        </w:rPr>
        <w:t xml:space="preserve">The expansion driver is the need to have diversified revenues streams. The need of traditional diesel platforms is expected to level in many developed economies, making Volvo enhance its sectors in growing economies where industrialisation, development of infrastructure and expansion of logistics still thrives. </w:t>
      </w:r>
    </w:p>
    <w:p w:rsidR="003F4BBF" w:rsidRDefault="00BA2738">
      <w:pPr>
        <w:spacing w:before="240"/>
        <w:rPr>
          <w:rFonts w:ascii="Arial" w:hAnsi="Arial" w:cs="Arial"/>
          <w:lang w:val="en-GB"/>
        </w:rPr>
      </w:pPr>
      <w:r>
        <w:rPr>
          <w:rFonts w:ascii="Arial" w:hAnsi="Arial" w:cs="Arial"/>
          <w:lang w:val="en-GB"/>
        </w:rPr>
        <w:t xml:space="preserve">This is enhanced by competitive pressures. The entry of new competitors and businesses that are aggressively growing, such as Tesla Semi, BYD and Daimler Truck, are altering customer demand in terms of fuel efficiency, self-driving features and lifecycle cost management. To maintain its leadership, Volvo has to gain early-mover positions in the markets where the uptake of electrified transport and construction equipment is gaining momentum. Meanwhile, agility is becoming a more strategic imperative because of globalisation. The organisations have to examine opportunities fast, mobilise resources efficiently and match corporate approach with changing industry forces. </w:t>
      </w:r>
    </w:p>
    <w:p w:rsidR="003F4BBF" w:rsidRDefault="00BA2738">
      <w:pPr>
        <w:spacing w:before="240"/>
        <w:rPr>
          <w:rFonts w:ascii="Arial" w:hAnsi="Arial" w:cs="Arial"/>
          <w:b/>
          <w:bCs/>
          <w:lang w:val="en-GB"/>
        </w:rPr>
      </w:pPr>
      <w:r>
        <w:rPr>
          <w:rFonts w:ascii="Arial" w:hAnsi="Arial" w:cs="Arial"/>
          <w:b/>
          <w:bCs/>
          <w:lang w:val="en-GB"/>
        </w:rPr>
        <w:t>1.3 Strategic Aim of the Report</w:t>
      </w:r>
    </w:p>
    <w:p w:rsidR="003F4BBF" w:rsidRDefault="00BA2738">
      <w:pPr>
        <w:spacing w:before="240"/>
        <w:rPr>
          <w:rFonts w:ascii="Arial" w:hAnsi="Arial" w:cs="Arial"/>
          <w:lang w:val="en-GB"/>
        </w:rPr>
      </w:pPr>
      <w:r>
        <w:rPr>
          <w:rFonts w:ascii="Arial" w:hAnsi="Arial" w:cs="Arial"/>
          <w:lang w:val="en-GB"/>
        </w:rPr>
        <w:t xml:space="preserve">This report will target formulating a rigorous, evidence based international expansion plan of Volvo Group. It aims to use the sophisticated strategic models to determine the appeal of a chosen target market, analyse Volvo internal strengths and weaknesses, and find the potential sources of sustainable competitive advantage. The analysis will be based on both macro-environmental and industry-specific information to identify an appropriate market entry strategy and create a system of measuring performance. </w:t>
      </w:r>
    </w:p>
    <w:p w:rsidR="003F4BBF" w:rsidRDefault="00BA2738">
      <w:pPr>
        <w:pStyle w:val="Heading1"/>
        <w:spacing w:before="240"/>
        <w:rPr>
          <w:rFonts w:ascii="Arial" w:hAnsi="Arial" w:cs="Arial"/>
          <w:lang w:val="en-GB"/>
        </w:rPr>
      </w:pPr>
      <w:bookmarkStart w:id="2" w:name="_Toc215479970"/>
      <w:r>
        <w:rPr>
          <w:rFonts w:ascii="Arial" w:hAnsi="Arial" w:cs="Arial"/>
          <w:lang w:val="en-GB"/>
        </w:rPr>
        <w:t>2. Target Market Selection &amp; Justification</w:t>
      </w:r>
      <w:bookmarkEnd w:id="2"/>
      <w:r>
        <w:rPr>
          <w:rFonts w:ascii="Arial" w:hAnsi="Arial" w:cs="Arial"/>
          <w:lang w:val="en-GB"/>
        </w:rPr>
        <w:t xml:space="preserve"> </w:t>
      </w:r>
    </w:p>
    <w:p w:rsidR="003F4BBF" w:rsidRDefault="00BA2738">
      <w:pPr>
        <w:spacing w:before="240"/>
        <w:rPr>
          <w:rFonts w:ascii="Arial" w:hAnsi="Arial" w:cs="Arial"/>
          <w:b/>
          <w:bCs/>
          <w:lang w:val="en-GB"/>
        </w:rPr>
      </w:pPr>
      <w:r>
        <w:rPr>
          <w:rFonts w:ascii="Arial" w:hAnsi="Arial" w:cs="Arial"/>
          <w:b/>
          <w:bCs/>
          <w:lang w:val="en-GB"/>
        </w:rPr>
        <w:t>2.1 Market Options Considered</w:t>
      </w:r>
    </w:p>
    <w:p w:rsidR="003F4BBF" w:rsidRDefault="00BA2738">
      <w:pPr>
        <w:spacing w:before="240"/>
        <w:rPr>
          <w:rFonts w:ascii="Arial" w:hAnsi="Arial" w:cs="Arial"/>
          <w:lang w:val="en-GB"/>
        </w:rPr>
      </w:pPr>
      <w:r>
        <w:rPr>
          <w:rFonts w:ascii="Arial" w:hAnsi="Arial" w:cs="Arial"/>
          <w:lang w:val="en-GB"/>
        </w:rPr>
        <w:t xml:space="preserve">Considering the prospects of Volvo to go international, various markets that have strategic relevance can be identified depending on the growth of the economy, the industrialisation state, the electrification level and the requirements on sophisticated </w:t>
      </w:r>
      <w:r>
        <w:rPr>
          <w:rFonts w:ascii="Arial" w:hAnsi="Arial" w:cs="Arial"/>
          <w:lang w:val="en-GB"/>
        </w:rPr>
        <w:lastRenderedPageBreak/>
        <w:t xml:space="preserve">transport systems. Each of India, Brazil, </w:t>
      </w:r>
      <w:proofErr w:type="gramStart"/>
      <w:r>
        <w:rPr>
          <w:rFonts w:ascii="Arial" w:hAnsi="Arial" w:cs="Arial"/>
          <w:lang w:val="en-GB"/>
        </w:rPr>
        <w:t>Vietnam</w:t>
      </w:r>
      <w:proofErr w:type="gramEnd"/>
      <w:r>
        <w:rPr>
          <w:rFonts w:ascii="Arial" w:hAnsi="Arial" w:cs="Arial"/>
          <w:lang w:val="en-GB"/>
        </w:rPr>
        <w:t>, the Gulf region and Eastern Europe have its own opportunities, which are conditioned by the market force, the level of infrastructure development and regulation (</w:t>
      </w:r>
      <w:proofErr w:type="spellStart"/>
      <w:r>
        <w:rPr>
          <w:rFonts w:ascii="Arial" w:hAnsi="Arial" w:cs="Arial"/>
          <w:lang w:val="en-GB"/>
        </w:rPr>
        <w:t>Volvocars</w:t>
      </w:r>
      <w:proofErr w:type="spellEnd"/>
      <w:r>
        <w:rPr>
          <w:rFonts w:ascii="Arial" w:hAnsi="Arial" w:cs="Arial"/>
          <w:lang w:val="en-GB"/>
        </w:rPr>
        <w:t>, 2025). The evaluation is based on the major parameters of market growth potential, EV preparedness, logistics development, policy stimulant and the rivalry in the commercial vehicles and construction equipment.</w:t>
      </w:r>
    </w:p>
    <w:p w:rsidR="003F4BBF" w:rsidRDefault="00BA2738">
      <w:pPr>
        <w:spacing w:before="240"/>
        <w:rPr>
          <w:rFonts w:ascii="Arial" w:hAnsi="Arial" w:cs="Arial"/>
          <w:lang w:val="en-GB"/>
        </w:rPr>
      </w:pPr>
      <w:r>
        <w:rPr>
          <w:rFonts w:ascii="Arial" w:hAnsi="Arial" w:cs="Arial"/>
          <w:lang w:val="en-GB"/>
        </w:rPr>
        <w:t xml:space="preserve">India is unique because of its booming logistics industry that has a major focus on infrastructure investment and it has a market of more than 900,000 commercial vehicles a year. The government is also targeted to cut logistics expenses to less than 10 </w:t>
      </w:r>
      <w:proofErr w:type="spellStart"/>
      <w:r>
        <w:rPr>
          <w:rFonts w:ascii="Arial" w:hAnsi="Arial" w:cs="Arial"/>
          <w:lang w:val="en-GB"/>
        </w:rPr>
        <w:t>percent</w:t>
      </w:r>
      <w:proofErr w:type="spellEnd"/>
      <w:r>
        <w:rPr>
          <w:rFonts w:ascii="Arial" w:hAnsi="Arial" w:cs="Arial"/>
          <w:lang w:val="en-GB"/>
        </w:rPr>
        <w:t xml:space="preserve"> of GDP which is driving the desire to have effective transportations. EV charging is in development, but it is not evenly spread across regions.</w:t>
      </w:r>
    </w:p>
    <w:p w:rsidR="003F4BBF" w:rsidRDefault="00BA2738">
      <w:pPr>
        <w:spacing w:before="240"/>
        <w:rPr>
          <w:rFonts w:ascii="Arial" w:hAnsi="Arial" w:cs="Arial"/>
          <w:lang w:val="en-GB"/>
        </w:rPr>
      </w:pPr>
      <w:r>
        <w:rPr>
          <w:rFonts w:ascii="Arial" w:hAnsi="Arial" w:cs="Arial"/>
          <w:lang w:val="en-GB"/>
        </w:rPr>
        <w:t xml:space="preserve">Brazil offers access to large South American production base, and high requirements in the fields of agriculture and mining support vehicles (Mehta and </w:t>
      </w:r>
      <w:proofErr w:type="spellStart"/>
      <w:r>
        <w:rPr>
          <w:rFonts w:ascii="Arial" w:hAnsi="Arial" w:cs="Arial"/>
          <w:lang w:val="en-GB"/>
        </w:rPr>
        <w:t>Leras</w:t>
      </w:r>
      <w:proofErr w:type="spellEnd"/>
      <w:r>
        <w:rPr>
          <w:rFonts w:ascii="Arial" w:hAnsi="Arial" w:cs="Arial"/>
          <w:lang w:val="en-GB"/>
        </w:rPr>
        <w:t>, 2025). Nevertheless, the economic instability and policy changes are sources of uncertainty, and the incentives of heavy-duty electrification are few.</w:t>
      </w:r>
    </w:p>
    <w:p w:rsidR="003F4BBF" w:rsidRDefault="00BA2738">
      <w:pPr>
        <w:spacing w:before="240"/>
        <w:rPr>
          <w:rFonts w:ascii="Arial" w:hAnsi="Arial" w:cs="Arial"/>
          <w:lang w:val="en-GB"/>
        </w:rPr>
      </w:pPr>
      <w:r>
        <w:rPr>
          <w:rFonts w:ascii="Arial" w:hAnsi="Arial" w:cs="Arial"/>
          <w:lang w:val="en-GB"/>
        </w:rPr>
        <w:t xml:space="preserve">Vietnam is evidenced of sound industrial expansion, which is buttressed by the Chinese manufacturing relocation, fast urbanisation, and an increase in construction demand. Rates of growth in commercial transport industry are over 10 </w:t>
      </w:r>
      <w:proofErr w:type="spellStart"/>
      <w:r>
        <w:rPr>
          <w:rFonts w:ascii="Arial" w:hAnsi="Arial" w:cs="Arial"/>
          <w:lang w:val="en-GB"/>
        </w:rPr>
        <w:t>percent</w:t>
      </w:r>
      <w:proofErr w:type="spellEnd"/>
      <w:r>
        <w:rPr>
          <w:rFonts w:ascii="Arial" w:hAnsi="Arial" w:cs="Arial"/>
          <w:lang w:val="en-GB"/>
        </w:rPr>
        <w:t xml:space="preserve"> per year. EV usage is in its infancy, but the sustainability programmes by the government are an opportunity in the long run.</w:t>
      </w:r>
    </w:p>
    <w:p w:rsidR="003F4BBF" w:rsidRDefault="00BA2738">
      <w:pPr>
        <w:spacing w:before="240"/>
        <w:rPr>
          <w:rFonts w:ascii="Arial" w:hAnsi="Arial" w:cs="Arial"/>
          <w:lang w:val="en-GB"/>
        </w:rPr>
      </w:pPr>
      <w:r>
        <w:rPr>
          <w:rFonts w:ascii="Arial" w:hAnsi="Arial" w:cs="Arial"/>
          <w:lang w:val="en-GB"/>
        </w:rPr>
        <w:t>The Gulf region has been characterised by high buying power, big infrastructure megaprojects and preference to premium brands, yet the future diversification is limited by oil transportation and insufficient electrification incentives.</w:t>
      </w:r>
    </w:p>
    <w:p w:rsidR="003F4BBF" w:rsidRDefault="00BA2738">
      <w:pPr>
        <w:spacing w:before="240"/>
        <w:rPr>
          <w:rFonts w:ascii="Arial" w:hAnsi="Arial" w:cs="Arial"/>
          <w:lang w:val="en-GB"/>
        </w:rPr>
      </w:pPr>
      <w:r>
        <w:rPr>
          <w:rFonts w:ascii="Arial" w:hAnsi="Arial" w:cs="Arial"/>
          <w:lang w:val="en-GB"/>
        </w:rPr>
        <w:t xml:space="preserve">Eastern Europe is enjoying the fruits of integration in the EU, along with the development of logistics corridors and the infrastructure of EVs. The existence of old European truck manufacturers, however, increases the intensity of </w:t>
      </w:r>
      <w:proofErr w:type="gramStart"/>
      <w:r>
        <w:rPr>
          <w:rFonts w:ascii="Arial" w:hAnsi="Arial" w:cs="Arial"/>
          <w:lang w:val="en-GB"/>
        </w:rPr>
        <w:t>competition,</w:t>
      </w:r>
      <w:proofErr w:type="gramEnd"/>
      <w:r>
        <w:rPr>
          <w:rFonts w:ascii="Arial" w:hAnsi="Arial" w:cs="Arial"/>
          <w:lang w:val="en-GB"/>
        </w:rPr>
        <w:t xml:space="preserve"> and the whitespace to entry is limited (</w:t>
      </w:r>
      <w:proofErr w:type="spellStart"/>
      <w:r>
        <w:rPr>
          <w:rFonts w:ascii="Arial" w:hAnsi="Arial" w:cs="Arial"/>
          <w:lang w:val="en-GB"/>
        </w:rPr>
        <w:t>Norrby</w:t>
      </w:r>
      <w:proofErr w:type="spellEnd"/>
      <w:r>
        <w:rPr>
          <w:rFonts w:ascii="Arial" w:hAnsi="Arial" w:cs="Arial"/>
          <w:lang w:val="en-GB"/>
        </w:rPr>
        <w:t xml:space="preserve"> and </w:t>
      </w:r>
      <w:proofErr w:type="spellStart"/>
      <w:r>
        <w:rPr>
          <w:rFonts w:ascii="Arial" w:hAnsi="Arial" w:cs="Arial"/>
          <w:lang w:val="en-GB"/>
        </w:rPr>
        <w:t>Åslund</w:t>
      </w:r>
      <w:proofErr w:type="spellEnd"/>
      <w:r>
        <w:rPr>
          <w:rFonts w:ascii="Arial" w:hAnsi="Arial" w:cs="Arial"/>
          <w:lang w:val="en-GB"/>
        </w:rPr>
        <w:t>, 2021).</w:t>
      </w:r>
    </w:p>
    <w:p w:rsidR="003F4BBF" w:rsidRDefault="00BA2738">
      <w:pPr>
        <w:spacing w:before="240"/>
        <w:rPr>
          <w:rFonts w:ascii="Arial" w:hAnsi="Arial" w:cs="Arial"/>
          <w:lang w:val="en-GB"/>
        </w:rPr>
      </w:pPr>
      <w:r>
        <w:rPr>
          <w:rFonts w:ascii="Arial" w:hAnsi="Arial" w:cs="Arial"/>
          <w:lang w:val="en-GB"/>
        </w:rPr>
        <w:lastRenderedPageBreak/>
        <w:t>On this assessment, India and Vietnam would be the best candidates based on their size, economic impetus and infrastructure-based growth. The two markets are highly consistent with what Volvo can do in the heavy-duty vehicles and construction equipment and India has a greater long-term strategic potential.</w:t>
      </w:r>
    </w:p>
    <w:p w:rsidR="003F4BBF" w:rsidRDefault="00BA2738">
      <w:pPr>
        <w:spacing w:before="240"/>
        <w:rPr>
          <w:rFonts w:ascii="Arial" w:hAnsi="Arial" w:cs="Arial"/>
          <w:b/>
          <w:bCs/>
          <w:lang w:val="en-GB"/>
        </w:rPr>
      </w:pPr>
      <w:r>
        <w:rPr>
          <w:rFonts w:ascii="Arial" w:hAnsi="Arial" w:cs="Arial"/>
          <w:b/>
          <w:bCs/>
          <w:lang w:val="en-GB"/>
        </w:rPr>
        <w:t>2.2 Selected Target Market: India</w:t>
      </w:r>
    </w:p>
    <w:p w:rsidR="003F4BBF" w:rsidRDefault="00BA2738">
      <w:pPr>
        <w:spacing w:before="240"/>
        <w:rPr>
          <w:rFonts w:ascii="Arial" w:hAnsi="Arial" w:cs="Arial"/>
          <w:lang w:val="en-GB"/>
        </w:rPr>
      </w:pPr>
      <w:r>
        <w:rPr>
          <w:rFonts w:ascii="Arial" w:hAnsi="Arial" w:cs="Arial"/>
          <w:lang w:val="en-GB"/>
        </w:rPr>
        <w:t xml:space="preserve">India is chosen as a preferred market because of its size, direction of its policy, and investment in infrastructure and changing sustainability environment. The company has one of the biggest commercial vehicle markets in the world which is backed by the logistics requirements of the manufacturing, retail, agriculture as well as the e-commerce industry. </w:t>
      </w:r>
    </w:p>
    <w:p w:rsidR="003F4BBF" w:rsidRDefault="00BA2738">
      <w:pPr>
        <w:spacing w:before="240"/>
        <w:rPr>
          <w:rFonts w:ascii="Arial" w:hAnsi="Arial" w:cs="Arial"/>
          <w:lang w:val="en-GB"/>
        </w:rPr>
      </w:pPr>
      <w:r>
        <w:rPr>
          <w:rFonts w:ascii="Arial" w:hAnsi="Arial" w:cs="Arial"/>
          <w:lang w:val="en-GB"/>
        </w:rPr>
        <w:t>The shift to alternative fuel cars is gaining pace, and the regulatory environment is assisted by the focus on limited emissions, electric buses and the encouragement of the fleet electrification (</w:t>
      </w:r>
      <w:proofErr w:type="spellStart"/>
      <w:r>
        <w:rPr>
          <w:rFonts w:ascii="Arial" w:hAnsi="Arial" w:cs="Arial"/>
          <w:lang w:val="en-GB"/>
        </w:rPr>
        <w:t>Salehi</w:t>
      </w:r>
      <w:proofErr w:type="spellEnd"/>
      <w:r>
        <w:rPr>
          <w:rFonts w:ascii="Arial" w:hAnsi="Arial" w:cs="Arial"/>
          <w:lang w:val="en-GB"/>
        </w:rPr>
        <w:t xml:space="preserve">, 2023). The intended transformation of the transport and logistics system to more efficient and technological solutions is consistent with the strengths of Volvo, such as electrified platforms, connected fleet services, and high-performance construction machinery. </w:t>
      </w:r>
    </w:p>
    <w:p w:rsidR="003F4BBF" w:rsidRDefault="00BA2738">
      <w:pPr>
        <w:spacing w:before="240"/>
        <w:rPr>
          <w:rFonts w:ascii="Arial" w:hAnsi="Arial" w:cs="Arial"/>
          <w:b/>
          <w:bCs/>
          <w:lang w:val="en-GB"/>
        </w:rPr>
      </w:pPr>
      <w:r>
        <w:rPr>
          <w:rFonts w:ascii="Arial" w:hAnsi="Arial" w:cs="Arial"/>
          <w:b/>
          <w:bCs/>
          <w:lang w:val="en-GB"/>
        </w:rPr>
        <w:t>2.3 Data-Driven Justification</w:t>
      </w:r>
    </w:p>
    <w:p w:rsidR="003F4BBF" w:rsidRDefault="00BA2738">
      <w:pPr>
        <w:spacing w:before="240"/>
        <w:rPr>
          <w:rFonts w:ascii="Arial" w:hAnsi="Arial" w:cs="Arial"/>
          <w:lang w:val="en-GB"/>
        </w:rPr>
      </w:pPr>
      <w:r>
        <w:rPr>
          <w:rFonts w:ascii="Arial" w:hAnsi="Arial" w:cs="Arial"/>
          <w:lang w:val="en-GB"/>
        </w:rPr>
        <w:t xml:space="preserve">Macroeconomic pointers depict long-term growth of the GDP with the projections averaging above 6 </w:t>
      </w:r>
      <w:proofErr w:type="spellStart"/>
      <w:r>
        <w:rPr>
          <w:rFonts w:ascii="Arial" w:hAnsi="Arial" w:cs="Arial"/>
          <w:lang w:val="en-GB"/>
        </w:rPr>
        <w:t>percent</w:t>
      </w:r>
      <w:proofErr w:type="spellEnd"/>
      <w:r>
        <w:rPr>
          <w:rFonts w:ascii="Arial" w:hAnsi="Arial" w:cs="Arial"/>
          <w:lang w:val="en-GB"/>
        </w:rPr>
        <w:t xml:space="preserve"> per annum, which has led to increased freight movement and growth in construction operations. In the coming years, the manufacturing growth, industrial belts and increased penetration of e-commerce are likely to see the logistics industry expand to over USD 380 billion. Increased demand of commercial vehicles is expected to occur gradually, with heavy-duty trucks assuming an increased percentage as the supply chains increase their size in both intercity and interstate routes.</w:t>
      </w:r>
    </w:p>
    <w:p w:rsidR="003F4BBF" w:rsidRDefault="00BA2738">
      <w:pPr>
        <w:spacing w:before="240"/>
        <w:rPr>
          <w:rFonts w:ascii="Arial" w:hAnsi="Arial" w:cs="Arial"/>
          <w:lang w:val="en-GB"/>
        </w:rPr>
      </w:pPr>
      <w:r>
        <w:rPr>
          <w:rFonts w:ascii="Arial" w:hAnsi="Arial" w:cs="Arial"/>
          <w:lang w:val="en-GB"/>
        </w:rPr>
        <w:t xml:space="preserve">The infrastructure investment is very </w:t>
      </w:r>
      <w:proofErr w:type="gramStart"/>
      <w:r>
        <w:rPr>
          <w:rFonts w:ascii="Arial" w:hAnsi="Arial" w:cs="Arial"/>
          <w:lang w:val="en-GB"/>
        </w:rPr>
        <w:t>key</w:t>
      </w:r>
      <w:proofErr w:type="gramEnd"/>
      <w:r>
        <w:rPr>
          <w:rFonts w:ascii="Arial" w:hAnsi="Arial" w:cs="Arial"/>
          <w:lang w:val="en-GB"/>
        </w:rPr>
        <w:t>. Government highway, port, airport and metro network programmes produce continuous demands of excavators, loaders and road-construction machinery. New highway projects of more than 80,000 km are planned, and construction companies are growing more interested in high-quality and fuel-</w:t>
      </w:r>
      <w:r>
        <w:rPr>
          <w:rFonts w:ascii="Arial" w:hAnsi="Arial" w:cs="Arial"/>
          <w:lang w:val="en-GB"/>
        </w:rPr>
        <w:lastRenderedPageBreak/>
        <w:t>efficient equipment, which provides them with performance and lifecycle durability: the same qualities that Volvo focuses on in its core value proposal.</w:t>
      </w:r>
    </w:p>
    <w:p w:rsidR="003F4BBF" w:rsidRDefault="00BA2738">
      <w:pPr>
        <w:spacing w:before="240"/>
        <w:rPr>
          <w:rFonts w:ascii="Arial" w:hAnsi="Arial" w:cs="Arial"/>
          <w:lang w:val="en-GB"/>
        </w:rPr>
      </w:pPr>
      <w:r>
        <w:rPr>
          <w:rFonts w:ascii="Arial" w:hAnsi="Arial" w:cs="Arial"/>
          <w:lang w:val="en-GB"/>
        </w:rPr>
        <w:t>The strategic case is also upheld by electrification trends. Despite the skewed development of EV infrastructure, the government intends to install thousands of charging stations in the country and promote the implementation of electric commercial vehicles on the state level (Fernando, 2025). This progressive change generates a competitive niche of Volvo electric truck technology and networked fleet solutions, especially in the logistics operator group in search of lower operating expenses and better regulatory compliance.</w:t>
      </w:r>
    </w:p>
    <w:p w:rsidR="003F4BBF" w:rsidRDefault="00BA2738">
      <w:pPr>
        <w:spacing w:before="240"/>
        <w:rPr>
          <w:rFonts w:ascii="Arial" w:hAnsi="Arial" w:cs="Arial"/>
          <w:lang w:val="en-GB"/>
        </w:rPr>
      </w:pPr>
      <w:r>
        <w:rPr>
          <w:rFonts w:ascii="Arial" w:hAnsi="Arial" w:cs="Arial"/>
          <w:lang w:val="en-GB"/>
        </w:rPr>
        <w:t>The competition in the heavy-duty vehicle segment is also intense with the domestic companies controlling the lower-cost segments. But the categories of premium and technologically advanced vehicles are less saturated, so Volvo can differentiate based on the concepts of safety, performance, sustainability and advanced telematics.</w:t>
      </w:r>
    </w:p>
    <w:p w:rsidR="003F4BBF" w:rsidRDefault="00BA2738">
      <w:pPr>
        <w:pStyle w:val="Heading1"/>
        <w:spacing w:before="240"/>
        <w:rPr>
          <w:rFonts w:ascii="Arial" w:hAnsi="Arial" w:cs="Arial"/>
          <w:lang w:val="en-GB"/>
        </w:rPr>
      </w:pPr>
      <w:bookmarkStart w:id="3" w:name="_Toc215479971"/>
      <w:r>
        <w:rPr>
          <w:rFonts w:ascii="Arial" w:hAnsi="Arial" w:cs="Arial"/>
          <w:lang w:val="en-GB"/>
        </w:rPr>
        <w:t>3. Comprehensive Strategic Analysis</w:t>
      </w:r>
      <w:bookmarkEnd w:id="3"/>
      <w:r>
        <w:rPr>
          <w:rFonts w:ascii="Arial" w:hAnsi="Arial" w:cs="Arial"/>
          <w:lang w:val="en-GB"/>
        </w:rPr>
        <w:t xml:space="preserve"> </w:t>
      </w:r>
    </w:p>
    <w:p w:rsidR="003F4BBF" w:rsidRDefault="00BA2738">
      <w:pPr>
        <w:spacing w:before="240"/>
        <w:rPr>
          <w:rFonts w:ascii="Arial" w:hAnsi="Arial" w:cs="Arial"/>
          <w:b/>
          <w:bCs/>
          <w:lang w:val="en-GB"/>
        </w:rPr>
      </w:pPr>
      <w:r>
        <w:rPr>
          <w:rFonts w:ascii="Arial" w:hAnsi="Arial" w:cs="Arial"/>
          <w:b/>
          <w:bCs/>
          <w:lang w:val="en-GB"/>
        </w:rPr>
        <w:t xml:space="preserve">3.1 PESTLE Analysis of the Target Market </w:t>
      </w:r>
    </w:p>
    <w:p w:rsidR="003F4BBF" w:rsidRDefault="00BA2738">
      <w:pPr>
        <w:spacing w:before="240"/>
        <w:rPr>
          <w:rFonts w:ascii="Arial" w:hAnsi="Arial" w:cs="Arial"/>
          <w:lang w:val="en-GB"/>
        </w:rPr>
      </w:pPr>
      <w:r>
        <w:rPr>
          <w:rFonts w:ascii="Arial" w:hAnsi="Arial" w:cs="Arial"/>
          <w:lang w:val="en-GB"/>
        </w:rPr>
        <w:t xml:space="preserve"> </w:t>
      </w:r>
    </w:p>
    <w:p w:rsidR="003F4BBF" w:rsidRDefault="00BA2738">
      <w:pPr>
        <w:spacing w:before="240"/>
        <w:jc w:val="center"/>
        <w:rPr>
          <w:rFonts w:ascii="Arial" w:hAnsi="Arial" w:cs="Arial"/>
          <w:b/>
          <w:bCs/>
          <w:lang w:val="en-GB"/>
        </w:rPr>
      </w:pPr>
      <w:r>
        <w:rPr>
          <w:rFonts w:ascii="Arial" w:hAnsi="Arial" w:cs="Arial"/>
          <w:noProof/>
          <w:lang w:val="en-IN" w:eastAsia="en-IN"/>
        </w:rPr>
        <w:drawing>
          <wp:inline distT="0" distB="0" distL="0" distR="0">
            <wp:extent cx="3467100" cy="2638425"/>
            <wp:effectExtent l="0" t="0" r="0" b="9525"/>
            <wp:docPr id="1684628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628604" name="Picture 1"/>
                    <pic:cNvPicPr>
                      <a:picLocks noChangeAspect="1"/>
                    </pic:cNvPicPr>
                  </pic:nvPicPr>
                  <pic:blipFill>
                    <a:blip r:embed="rId9"/>
                    <a:stretch>
                      <a:fillRect/>
                    </a:stretch>
                  </pic:blipFill>
                  <pic:spPr>
                    <a:xfrm>
                      <a:off x="0" y="0"/>
                      <a:ext cx="3468485" cy="2639670"/>
                    </a:xfrm>
                    <a:prstGeom prst="rect">
                      <a:avLst/>
                    </a:prstGeom>
                  </pic:spPr>
                </pic:pic>
              </a:graphicData>
            </a:graphic>
          </wp:inline>
        </w:drawing>
      </w:r>
    </w:p>
    <w:p w:rsidR="003F4BBF" w:rsidRDefault="00BA2738">
      <w:pPr>
        <w:spacing w:before="240"/>
        <w:jc w:val="center"/>
        <w:rPr>
          <w:rFonts w:ascii="Arial" w:hAnsi="Arial" w:cs="Arial"/>
          <w:b/>
          <w:bCs/>
          <w:lang w:val="en-GB"/>
        </w:rPr>
      </w:pPr>
      <w:r>
        <w:rPr>
          <w:rFonts w:ascii="Arial" w:hAnsi="Arial" w:cs="Arial"/>
          <w:b/>
          <w:bCs/>
          <w:lang w:val="en-GB"/>
        </w:rPr>
        <w:t xml:space="preserve">Figure 1: </w:t>
      </w:r>
      <w:bookmarkStart w:id="4" w:name="_Hlk215479043"/>
      <w:r>
        <w:rPr>
          <w:rFonts w:ascii="Arial" w:hAnsi="Arial" w:cs="Arial"/>
          <w:b/>
          <w:bCs/>
          <w:lang w:val="en-GB"/>
        </w:rPr>
        <w:t>PESTLE Analysis</w:t>
      </w:r>
      <w:bookmarkEnd w:id="4"/>
    </w:p>
    <w:p w:rsidR="003F4BBF" w:rsidRDefault="00BA2738">
      <w:pPr>
        <w:spacing w:before="240"/>
        <w:jc w:val="center"/>
        <w:rPr>
          <w:rFonts w:ascii="Arial" w:hAnsi="Arial" w:cs="Arial"/>
          <w:lang w:val="en-GB"/>
        </w:rPr>
      </w:pPr>
      <w:r>
        <w:rPr>
          <w:rFonts w:ascii="Arial" w:hAnsi="Arial" w:cs="Arial"/>
          <w:lang w:val="en-GB"/>
        </w:rPr>
        <w:lastRenderedPageBreak/>
        <w:t xml:space="preserve">(Source: </w:t>
      </w:r>
      <w:proofErr w:type="spellStart"/>
      <w:r>
        <w:rPr>
          <w:rFonts w:ascii="Arial" w:hAnsi="Arial" w:cs="Arial"/>
          <w:lang w:val="en-GB"/>
        </w:rPr>
        <w:t>Canvasbusinessmodel</w:t>
      </w:r>
      <w:proofErr w:type="spellEnd"/>
      <w:r>
        <w:rPr>
          <w:rFonts w:ascii="Arial" w:hAnsi="Arial" w:cs="Arial"/>
          <w:lang w:val="en-GB"/>
        </w:rPr>
        <w:t>, 2025)</w:t>
      </w:r>
    </w:p>
    <w:p w:rsidR="003F4BBF" w:rsidRDefault="00BA2738">
      <w:pPr>
        <w:spacing w:before="240"/>
        <w:rPr>
          <w:rFonts w:ascii="Arial" w:hAnsi="Arial" w:cs="Arial"/>
          <w:lang w:val="en-GB"/>
        </w:rPr>
      </w:pPr>
      <w:r>
        <w:rPr>
          <w:rFonts w:ascii="Arial" w:hAnsi="Arial" w:cs="Arial"/>
          <w:lang w:val="en-GB"/>
        </w:rPr>
        <w:t xml:space="preserve">The political climate in India is relatively stable to ensure long term strategic investment based on policies that promote industrialisation, modernisation of the infrastructure and foreign investment in the manufacturing industry. Massive projects focused on roadway construction, port development and </w:t>
      </w:r>
      <w:proofErr w:type="gramStart"/>
      <w:r>
        <w:rPr>
          <w:rFonts w:ascii="Arial" w:hAnsi="Arial" w:cs="Arial"/>
          <w:lang w:val="en-GB"/>
        </w:rPr>
        <w:t>logistics hubs is</w:t>
      </w:r>
      <w:proofErr w:type="gramEnd"/>
      <w:r>
        <w:rPr>
          <w:rFonts w:ascii="Arial" w:hAnsi="Arial" w:cs="Arial"/>
          <w:lang w:val="en-GB"/>
        </w:rPr>
        <w:t xml:space="preserve"> an indication of a national interest in ensuring that the transportation infrastructure is robust. Trade policies have been slowly being liberalised, and the import tax on certain parts of the parts has been cut down in favour of localisation. </w:t>
      </w:r>
    </w:p>
    <w:p w:rsidR="003F4BBF" w:rsidRDefault="00BA2738">
      <w:pPr>
        <w:spacing w:before="240"/>
        <w:rPr>
          <w:rFonts w:ascii="Arial" w:hAnsi="Arial" w:cs="Arial"/>
          <w:lang w:val="en-GB"/>
        </w:rPr>
      </w:pPr>
      <w:r>
        <w:rPr>
          <w:rFonts w:ascii="Arial" w:hAnsi="Arial" w:cs="Arial"/>
          <w:lang w:val="en-GB"/>
        </w:rPr>
        <w:t xml:space="preserve">The economic situation is yet </w:t>
      </w:r>
      <w:proofErr w:type="gramStart"/>
      <w:r>
        <w:rPr>
          <w:rFonts w:ascii="Arial" w:hAnsi="Arial" w:cs="Arial"/>
          <w:lang w:val="en-GB"/>
        </w:rPr>
        <w:t>another strength</w:t>
      </w:r>
      <w:proofErr w:type="gramEnd"/>
      <w:r>
        <w:rPr>
          <w:rFonts w:ascii="Arial" w:hAnsi="Arial" w:cs="Arial"/>
          <w:lang w:val="en-GB"/>
        </w:rPr>
        <w:t xml:space="preserve"> of India as a high growth market. The growth of GDP has regularly been more than 6 </w:t>
      </w:r>
      <w:proofErr w:type="spellStart"/>
      <w:r>
        <w:rPr>
          <w:rFonts w:ascii="Arial" w:hAnsi="Arial" w:cs="Arial"/>
          <w:lang w:val="en-GB"/>
        </w:rPr>
        <w:t>percent</w:t>
      </w:r>
      <w:proofErr w:type="spellEnd"/>
      <w:r>
        <w:rPr>
          <w:rFonts w:ascii="Arial" w:hAnsi="Arial" w:cs="Arial"/>
          <w:lang w:val="en-GB"/>
        </w:rPr>
        <w:t xml:space="preserve"> over a number of years and increasing domestic consumption drives the growth in logistics, construction and industrial action (</w:t>
      </w:r>
      <w:proofErr w:type="spellStart"/>
      <w:r>
        <w:rPr>
          <w:rFonts w:ascii="Arial" w:hAnsi="Arial" w:cs="Arial"/>
          <w:lang w:val="en-GB"/>
        </w:rPr>
        <w:t>Hertenstein</w:t>
      </w:r>
      <w:proofErr w:type="spellEnd"/>
      <w:r>
        <w:rPr>
          <w:rFonts w:ascii="Arial" w:hAnsi="Arial" w:cs="Arial"/>
          <w:lang w:val="en-GB"/>
        </w:rPr>
        <w:t xml:space="preserve"> and </w:t>
      </w:r>
      <w:proofErr w:type="spellStart"/>
      <w:r>
        <w:rPr>
          <w:rFonts w:ascii="Arial" w:hAnsi="Arial" w:cs="Arial"/>
          <w:lang w:val="en-GB"/>
        </w:rPr>
        <w:t>Alon</w:t>
      </w:r>
      <w:proofErr w:type="spellEnd"/>
      <w:r>
        <w:rPr>
          <w:rFonts w:ascii="Arial" w:hAnsi="Arial" w:cs="Arial"/>
          <w:lang w:val="en-GB"/>
        </w:rPr>
        <w:t xml:space="preserve">, 2022). The rate of inflation is not very high but the price movements of fuel and commodities may affect the operating costs of transport operators. The investment in infrastructure, both public and private, is still on the rise and the projections of investment exceed USD 1 trillion over a period exceeding year, which promotes the demand of the commercial vehicles and construction machine. </w:t>
      </w:r>
    </w:p>
    <w:p w:rsidR="003F4BBF" w:rsidRDefault="00BA2738">
      <w:pPr>
        <w:spacing w:before="240"/>
        <w:rPr>
          <w:rFonts w:ascii="Arial" w:hAnsi="Arial" w:cs="Arial"/>
          <w:lang w:val="en-GB"/>
        </w:rPr>
      </w:pPr>
      <w:r>
        <w:rPr>
          <w:rFonts w:ascii="Arial" w:hAnsi="Arial" w:cs="Arial"/>
          <w:lang w:val="en-GB"/>
        </w:rPr>
        <w:t xml:space="preserve">There are also sociocultural trends in favour of market development in the long term. </w:t>
      </w:r>
      <w:proofErr w:type="gramStart"/>
      <w:r>
        <w:rPr>
          <w:rFonts w:ascii="Arial" w:hAnsi="Arial" w:cs="Arial"/>
          <w:lang w:val="en-GB"/>
        </w:rPr>
        <w:t xml:space="preserve">The high rate of urbanisation that is expected to reach more than 40 </w:t>
      </w:r>
      <w:proofErr w:type="spellStart"/>
      <w:r>
        <w:rPr>
          <w:rFonts w:ascii="Arial" w:hAnsi="Arial" w:cs="Arial"/>
          <w:lang w:val="en-GB"/>
        </w:rPr>
        <w:t>percent</w:t>
      </w:r>
      <w:proofErr w:type="spellEnd"/>
      <w:r>
        <w:rPr>
          <w:rFonts w:ascii="Arial" w:hAnsi="Arial" w:cs="Arial"/>
          <w:lang w:val="en-GB"/>
        </w:rPr>
        <w:t xml:space="preserve"> in the coming decade puts pressure on transport and building projects.</w:t>
      </w:r>
      <w:proofErr w:type="gramEnd"/>
      <w:r>
        <w:rPr>
          <w:rFonts w:ascii="Arial" w:hAnsi="Arial" w:cs="Arial"/>
          <w:lang w:val="en-GB"/>
        </w:rPr>
        <w:t xml:space="preserve"> The labour mobility is also very high, which helps to increase the logistic chains and promotes the need to bring efficient long-haul trucking solutions. A youthful labour force and a large and fast expanding middle classes pose a good environment that supports industrial growth though skills available in different regions are not the same and therefore poses a challenge in regions that have high technical skills.</w:t>
      </w:r>
    </w:p>
    <w:p w:rsidR="003F4BBF" w:rsidRDefault="00BA2738">
      <w:pPr>
        <w:spacing w:before="240"/>
        <w:rPr>
          <w:rFonts w:ascii="Arial" w:hAnsi="Arial" w:cs="Arial"/>
          <w:lang w:val="en-GB"/>
        </w:rPr>
      </w:pPr>
      <w:r>
        <w:rPr>
          <w:rFonts w:ascii="Arial" w:hAnsi="Arial" w:cs="Arial"/>
          <w:lang w:val="en-GB"/>
        </w:rPr>
        <w:t xml:space="preserve">India is unevenly developing technologically. The use of EVs is not very popular compared to the total vehicle sales, but the government aims to achieve high electrification by 2030. The charging infrastructure is increasing, and thousands of public charging points are planned, but they are distributed in large cities (Huang, </w:t>
      </w:r>
      <w:r>
        <w:rPr>
          <w:rFonts w:ascii="Arial" w:hAnsi="Arial" w:cs="Arial"/>
          <w:lang w:val="en-GB"/>
        </w:rPr>
        <w:lastRenderedPageBreak/>
        <w:t>2023). Telematics and automation as part of Industry 4.0 are increasingly being adopted by logistics companies and construction businesses, which matches the strengths of connected fleet services and high-precision machines owned by Volvo.</w:t>
      </w:r>
    </w:p>
    <w:p w:rsidR="003F4BBF" w:rsidRDefault="00BA2738">
      <w:pPr>
        <w:spacing w:before="240"/>
        <w:rPr>
          <w:rFonts w:ascii="Arial" w:hAnsi="Arial" w:cs="Arial"/>
          <w:lang w:val="en-GB"/>
        </w:rPr>
      </w:pPr>
      <w:r>
        <w:rPr>
          <w:rFonts w:ascii="Arial" w:hAnsi="Arial" w:cs="Arial"/>
          <w:lang w:val="en-GB"/>
        </w:rPr>
        <w:t xml:space="preserve">There has been an increase in the legal requirements of the emissions and safety of vehicles. The Bharat Stage VI standards established lower emissions levels on the heavy-duty vehicles and an immediate interest in cleaner technologies. The compliance requirements raise operational expenses among the manufacturers and favour companies with highly developed engineering skills. The aspect of environmental concerns also has an increasing role. </w:t>
      </w:r>
    </w:p>
    <w:p w:rsidR="003F4BBF" w:rsidRDefault="00BA2738">
      <w:pPr>
        <w:spacing w:before="240"/>
        <w:rPr>
          <w:rFonts w:ascii="Arial" w:hAnsi="Arial" w:cs="Arial"/>
          <w:lang w:val="en-GB"/>
        </w:rPr>
      </w:pPr>
      <w:r>
        <w:rPr>
          <w:rFonts w:ascii="Arial" w:hAnsi="Arial" w:cs="Arial"/>
          <w:lang w:val="en-GB"/>
        </w:rPr>
        <w:t>The weaknesses of the PESTLE framework are that it is a static model. It gives an orderly summary and is not able to anticipate unforeseen regulatory modifications, technology upheavals or fluctuations in market mood. It also makes complicated interactions between political, economic and technological forces simpler that can change very fast in a dynamic emergent economy.</w:t>
      </w:r>
    </w:p>
    <w:p w:rsidR="003F4BBF" w:rsidRDefault="00BA2738">
      <w:pPr>
        <w:spacing w:before="240"/>
        <w:rPr>
          <w:rFonts w:ascii="Arial" w:hAnsi="Arial" w:cs="Arial"/>
          <w:b/>
          <w:bCs/>
          <w:lang w:val="en-GB"/>
        </w:rPr>
      </w:pPr>
      <w:r>
        <w:rPr>
          <w:rFonts w:ascii="Arial" w:hAnsi="Arial" w:cs="Arial"/>
          <w:b/>
          <w:bCs/>
          <w:lang w:val="en-GB"/>
        </w:rPr>
        <w:t xml:space="preserve">3.2 Porter’s Five Forces Analysis </w:t>
      </w:r>
    </w:p>
    <w:p w:rsidR="003F4BBF" w:rsidRDefault="00BA2738">
      <w:pPr>
        <w:spacing w:before="240"/>
        <w:jc w:val="center"/>
        <w:rPr>
          <w:rFonts w:ascii="Arial" w:hAnsi="Arial" w:cs="Arial"/>
          <w:b/>
          <w:bCs/>
          <w:lang w:val="en-GB"/>
        </w:rPr>
      </w:pPr>
      <w:r>
        <w:rPr>
          <w:rFonts w:ascii="Arial" w:hAnsi="Arial" w:cs="Arial"/>
          <w:noProof/>
          <w:lang w:val="en-IN" w:eastAsia="en-IN"/>
        </w:rPr>
        <w:drawing>
          <wp:inline distT="0" distB="0" distL="0" distR="0">
            <wp:extent cx="4667250" cy="3514725"/>
            <wp:effectExtent l="0" t="0" r="0" b="9525"/>
            <wp:docPr id="525890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890960" name="Picture 1"/>
                    <pic:cNvPicPr>
                      <a:picLocks noChangeAspect="1"/>
                    </pic:cNvPicPr>
                  </pic:nvPicPr>
                  <pic:blipFill>
                    <a:blip r:embed="rId10"/>
                    <a:stretch>
                      <a:fillRect/>
                    </a:stretch>
                  </pic:blipFill>
                  <pic:spPr>
                    <a:xfrm>
                      <a:off x="0" y="0"/>
                      <a:ext cx="4667250" cy="3514725"/>
                    </a:xfrm>
                    <a:prstGeom prst="rect">
                      <a:avLst/>
                    </a:prstGeom>
                  </pic:spPr>
                </pic:pic>
              </a:graphicData>
            </a:graphic>
          </wp:inline>
        </w:drawing>
      </w:r>
    </w:p>
    <w:p w:rsidR="003F4BBF" w:rsidRDefault="00BA2738">
      <w:pPr>
        <w:spacing w:before="240"/>
        <w:jc w:val="center"/>
        <w:rPr>
          <w:rFonts w:ascii="Arial" w:hAnsi="Arial" w:cs="Arial"/>
          <w:b/>
          <w:bCs/>
          <w:lang w:val="en-GB"/>
        </w:rPr>
      </w:pPr>
      <w:r>
        <w:rPr>
          <w:rFonts w:ascii="Arial" w:hAnsi="Arial" w:cs="Arial"/>
          <w:b/>
          <w:bCs/>
          <w:lang w:val="en-GB"/>
        </w:rPr>
        <w:lastRenderedPageBreak/>
        <w:t>Figure 2: Porter’s Five Forces Analysis</w:t>
      </w:r>
    </w:p>
    <w:p w:rsidR="003F4BBF" w:rsidRDefault="00BA2738">
      <w:pPr>
        <w:spacing w:before="240"/>
        <w:jc w:val="center"/>
        <w:rPr>
          <w:rFonts w:ascii="Arial" w:hAnsi="Arial" w:cs="Arial"/>
          <w:lang w:val="en-GB"/>
        </w:rPr>
      </w:pPr>
      <w:r>
        <w:rPr>
          <w:rFonts w:ascii="Arial" w:hAnsi="Arial" w:cs="Arial"/>
          <w:lang w:val="en-GB"/>
        </w:rPr>
        <w:t xml:space="preserve">(Source: </w:t>
      </w:r>
      <w:proofErr w:type="spellStart"/>
      <w:r>
        <w:rPr>
          <w:rFonts w:ascii="Arial" w:hAnsi="Arial" w:cs="Arial"/>
          <w:lang w:val="en-GB"/>
        </w:rPr>
        <w:t>Matrixbcg</w:t>
      </w:r>
      <w:proofErr w:type="spellEnd"/>
      <w:r>
        <w:rPr>
          <w:rFonts w:ascii="Arial" w:hAnsi="Arial" w:cs="Arial"/>
          <w:lang w:val="en-GB"/>
        </w:rPr>
        <w:t>, 2025)</w:t>
      </w:r>
    </w:p>
    <w:p w:rsidR="003F4BBF" w:rsidRDefault="00BA2738">
      <w:pPr>
        <w:spacing w:before="240"/>
        <w:rPr>
          <w:rFonts w:ascii="Arial" w:hAnsi="Arial" w:cs="Arial"/>
          <w:lang w:val="en-GB"/>
        </w:rPr>
      </w:pPr>
      <w:r>
        <w:rPr>
          <w:rFonts w:ascii="Arial" w:hAnsi="Arial" w:cs="Arial"/>
          <w:lang w:val="en-GB"/>
        </w:rPr>
        <w:t xml:space="preserve">The Indian markets of commercial vehicle and construction equipment, the competitive rivalry is high. The truck market is characterised by already existing domestic companies that cater to price-sensitive consumers and international players take up the high-end market segments. The same situation is observed in the construction equipment market, and the local companies are very aggressive in price competition. </w:t>
      </w:r>
    </w:p>
    <w:p w:rsidR="003F4BBF" w:rsidRDefault="00BA2738">
      <w:pPr>
        <w:spacing w:before="240"/>
        <w:rPr>
          <w:rFonts w:ascii="Arial" w:hAnsi="Arial" w:cs="Arial"/>
          <w:lang w:val="en-GB"/>
        </w:rPr>
      </w:pPr>
      <w:r>
        <w:rPr>
          <w:rFonts w:ascii="Arial" w:hAnsi="Arial" w:cs="Arial"/>
          <w:lang w:val="en-GB"/>
        </w:rPr>
        <w:t xml:space="preserve">The buyer power is moderate and high. Fleet operators, logistics and construction contractors have large buying volumes and thus are able to bargain in the pricing and service contracts. Operating costs, fuel efficiency and maintenance costs are of primary interest to many customers, and they put a strain on manufacturers to maximise the value propositions (Alex, 2024). </w:t>
      </w:r>
    </w:p>
    <w:p w:rsidR="003F4BBF" w:rsidRDefault="00BA2738">
      <w:pPr>
        <w:spacing w:before="240"/>
        <w:rPr>
          <w:rFonts w:ascii="Arial" w:hAnsi="Arial" w:cs="Arial"/>
          <w:lang w:val="en-GB"/>
        </w:rPr>
      </w:pPr>
      <w:r>
        <w:rPr>
          <w:rFonts w:ascii="Arial" w:hAnsi="Arial" w:cs="Arial"/>
          <w:lang w:val="en-GB"/>
        </w:rPr>
        <w:t xml:space="preserve">The power of suppliers is determined by the degrees of localisation. Raw materials, electronics and battery materials may need to be imported, exposing the company to an exchange risk. Nonetheless, the growing environment of suppliers in India and the governmental support of local production </w:t>
      </w:r>
      <w:proofErr w:type="gramStart"/>
      <w:r>
        <w:rPr>
          <w:rFonts w:ascii="Arial" w:hAnsi="Arial" w:cs="Arial"/>
          <w:lang w:val="en-GB"/>
        </w:rPr>
        <w:t>has</w:t>
      </w:r>
      <w:proofErr w:type="gramEnd"/>
      <w:r>
        <w:rPr>
          <w:rFonts w:ascii="Arial" w:hAnsi="Arial" w:cs="Arial"/>
          <w:lang w:val="en-GB"/>
        </w:rPr>
        <w:t xml:space="preserve"> started decreasing the reliance on imports. </w:t>
      </w:r>
    </w:p>
    <w:p w:rsidR="003F4BBF" w:rsidRDefault="00BA2738">
      <w:pPr>
        <w:spacing w:before="240"/>
        <w:rPr>
          <w:rFonts w:ascii="Arial" w:hAnsi="Arial" w:cs="Arial"/>
          <w:lang w:val="en-GB"/>
        </w:rPr>
      </w:pPr>
      <w:r>
        <w:rPr>
          <w:rFonts w:ascii="Arial" w:hAnsi="Arial" w:cs="Arial"/>
          <w:lang w:val="en-GB"/>
        </w:rPr>
        <w:t>The threat of substitutes is moderate. Rail transport offers a substitute to long distance freight transport, but the lack of network capacity and flexibility makes it uncompetitive. Through building, manual labour is not able to replace high-performance tools that are used in large infrastructural projects.</w:t>
      </w:r>
    </w:p>
    <w:p w:rsidR="003F4BBF" w:rsidRDefault="00BA2738">
      <w:pPr>
        <w:spacing w:before="240"/>
        <w:rPr>
          <w:rFonts w:ascii="Arial" w:hAnsi="Arial" w:cs="Arial"/>
          <w:lang w:val="en-GB"/>
        </w:rPr>
      </w:pPr>
      <w:r>
        <w:rPr>
          <w:rFonts w:ascii="Arial" w:hAnsi="Arial" w:cs="Arial"/>
          <w:lang w:val="en-GB"/>
        </w:rPr>
        <w:t xml:space="preserve">The entrants in the heavy-duty automotive industry are not threatened by the industry since it requires a significant amount of capital, is technologically advanced, and needs distribution channels and meets regulatory obligations. Nevertheless, the entry of EV-oriented start-ups into the light weight commercial markets illustrates how the changing technology paradigm can reduce the barriers to entry. </w:t>
      </w:r>
    </w:p>
    <w:p w:rsidR="003F4BBF" w:rsidRDefault="00BA2738">
      <w:pPr>
        <w:spacing w:before="240"/>
        <w:rPr>
          <w:rFonts w:ascii="Arial" w:hAnsi="Arial" w:cs="Arial"/>
          <w:lang w:val="en-GB"/>
        </w:rPr>
      </w:pPr>
      <w:r>
        <w:rPr>
          <w:rFonts w:ascii="Arial" w:hAnsi="Arial" w:cs="Arial"/>
          <w:lang w:val="en-GB"/>
        </w:rPr>
        <w:lastRenderedPageBreak/>
        <w:t xml:space="preserve">The key weakness of Porters model is that it assumes that the competitive structures remain constant. Markets with a fast rate of electrification have boundaries between segments that are less clear as companies develop new business models, digital services and battery-as-a-service platforms. </w:t>
      </w:r>
    </w:p>
    <w:p w:rsidR="003F4BBF" w:rsidRDefault="00BA2738">
      <w:pPr>
        <w:spacing w:before="240"/>
        <w:rPr>
          <w:rFonts w:ascii="Arial" w:hAnsi="Arial" w:cs="Arial"/>
          <w:b/>
          <w:bCs/>
          <w:lang w:val="en-GB"/>
        </w:rPr>
      </w:pPr>
      <w:r>
        <w:rPr>
          <w:rFonts w:ascii="Arial" w:hAnsi="Arial" w:cs="Arial"/>
          <w:b/>
          <w:bCs/>
          <w:lang w:val="en-GB"/>
        </w:rPr>
        <w:t xml:space="preserve">3.3 VRIO Analysis of Volvo’s Internal Competencies </w:t>
      </w:r>
    </w:p>
    <w:p w:rsidR="003F4BBF" w:rsidRDefault="00BA2738">
      <w:pPr>
        <w:spacing w:before="240"/>
        <w:jc w:val="center"/>
        <w:rPr>
          <w:rFonts w:ascii="Arial" w:hAnsi="Arial" w:cs="Arial"/>
          <w:b/>
          <w:bCs/>
          <w:lang w:val="en-GB"/>
        </w:rPr>
      </w:pPr>
      <w:r>
        <w:rPr>
          <w:rFonts w:ascii="Arial" w:hAnsi="Arial" w:cs="Arial"/>
          <w:noProof/>
          <w:lang w:val="en-IN" w:eastAsia="en-IN"/>
        </w:rPr>
        <w:drawing>
          <wp:inline distT="0" distB="0" distL="0" distR="0">
            <wp:extent cx="3867150" cy="2283460"/>
            <wp:effectExtent l="0" t="0" r="0" b="2540"/>
            <wp:docPr id="1380825003" name="Picture 3" descr="VRIO Framework, Components, Advantages, Challen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825003" name="Picture 3" descr="VRIO Framework, Components, Advantages, Challeng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3873816" cy="2287869"/>
                    </a:xfrm>
                    <a:prstGeom prst="rect">
                      <a:avLst/>
                    </a:prstGeom>
                    <a:noFill/>
                    <a:ln>
                      <a:noFill/>
                    </a:ln>
                  </pic:spPr>
                </pic:pic>
              </a:graphicData>
            </a:graphic>
          </wp:inline>
        </w:drawing>
      </w:r>
    </w:p>
    <w:p w:rsidR="003F4BBF" w:rsidRDefault="00BA2738">
      <w:pPr>
        <w:spacing w:before="240"/>
        <w:jc w:val="center"/>
        <w:rPr>
          <w:rFonts w:ascii="Arial" w:hAnsi="Arial" w:cs="Arial"/>
          <w:b/>
          <w:bCs/>
          <w:lang w:val="en-GB"/>
        </w:rPr>
      </w:pPr>
      <w:r>
        <w:rPr>
          <w:rFonts w:ascii="Arial" w:hAnsi="Arial" w:cs="Arial"/>
          <w:b/>
          <w:bCs/>
          <w:lang w:val="en-GB"/>
        </w:rPr>
        <w:t>Figure 3: VRIO Analysis</w:t>
      </w:r>
    </w:p>
    <w:p w:rsidR="003F4BBF" w:rsidRDefault="00BA2738">
      <w:pPr>
        <w:spacing w:before="240"/>
        <w:jc w:val="center"/>
        <w:rPr>
          <w:rFonts w:ascii="Arial" w:hAnsi="Arial" w:cs="Arial"/>
          <w:lang w:val="en-GB"/>
        </w:rPr>
      </w:pPr>
      <w:r>
        <w:rPr>
          <w:rFonts w:ascii="Arial" w:hAnsi="Arial" w:cs="Arial"/>
          <w:lang w:val="en-GB"/>
        </w:rPr>
        <w:t xml:space="preserve">(Source: </w:t>
      </w:r>
      <w:proofErr w:type="spellStart"/>
      <w:r>
        <w:rPr>
          <w:rFonts w:ascii="Arial" w:hAnsi="Arial" w:cs="Arial"/>
          <w:lang w:val="en-GB"/>
        </w:rPr>
        <w:t>Theintactone</w:t>
      </w:r>
      <w:proofErr w:type="spellEnd"/>
      <w:r>
        <w:rPr>
          <w:rFonts w:ascii="Arial" w:hAnsi="Arial" w:cs="Arial"/>
          <w:lang w:val="en-GB"/>
        </w:rPr>
        <w:t>, 2025)</w:t>
      </w:r>
    </w:p>
    <w:p w:rsidR="003F4BBF" w:rsidRDefault="00BA2738">
      <w:pPr>
        <w:spacing w:before="240"/>
        <w:rPr>
          <w:rFonts w:ascii="Arial" w:hAnsi="Arial" w:cs="Arial"/>
          <w:lang w:val="en-GB"/>
        </w:rPr>
      </w:pPr>
      <w:r>
        <w:rPr>
          <w:rFonts w:ascii="Arial" w:hAnsi="Arial" w:cs="Arial"/>
          <w:lang w:val="en-GB"/>
        </w:rPr>
        <w:t xml:space="preserve">Volvo has collaborative agreements with EV battery technology, such as with third-party manufacturer of cells, which allow it access to advanced energy systems necessary in electrified heavy-duty vehicles. These are capabilities that would have been useful and that are becoming very rare in a rapidly electrifying industry. They contribute to long-term competitiveness and less reliance on third technology providers. </w:t>
      </w:r>
    </w:p>
    <w:p w:rsidR="003F4BBF" w:rsidRDefault="00BA2738">
      <w:pPr>
        <w:spacing w:before="240"/>
        <w:rPr>
          <w:rFonts w:ascii="Arial" w:hAnsi="Arial" w:cs="Arial"/>
          <w:lang w:val="en-GB"/>
        </w:rPr>
      </w:pPr>
      <w:r>
        <w:rPr>
          <w:rFonts w:ascii="Arial" w:hAnsi="Arial" w:cs="Arial"/>
          <w:lang w:val="en-GB"/>
        </w:rPr>
        <w:t xml:space="preserve">The good brand name of the company, especially on safety and engineering perfection, is a considerable differentiator in the high-end truck and construction equipment markets. Volvo is prone to be linked to a durable service life, cost-effective and reliable lifecycle, which create trust that competitors struggle to </w:t>
      </w:r>
      <w:proofErr w:type="spellStart"/>
      <w:r>
        <w:rPr>
          <w:rFonts w:ascii="Arial" w:hAnsi="Arial" w:cs="Arial"/>
          <w:lang w:val="en-GB"/>
        </w:rPr>
        <w:t>rejoin</w:t>
      </w:r>
      <w:proofErr w:type="spellEnd"/>
      <w:r>
        <w:rPr>
          <w:rFonts w:ascii="Arial" w:hAnsi="Arial" w:cs="Arial"/>
          <w:lang w:val="en-GB"/>
        </w:rPr>
        <w:t xml:space="preserve"> (</w:t>
      </w:r>
      <w:proofErr w:type="spellStart"/>
      <w:r>
        <w:rPr>
          <w:rFonts w:ascii="Arial" w:hAnsi="Arial" w:cs="Arial"/>
          <w:lang w:val="en-GB"/>
        </w:rPr>
        <w:t>Micek</w:t>
      </w:r>
      <w:proofErr w:type="spellEnd"/>
      <w:r>
        <w:rPr>
          <w:rFonts w:ascii="Arial" w:hAnsi="Arial" w:cs="Arial"/>
          <w:lang w:val="en-GB"/>
        </w:rPr>
        <w:t xml:space="preserve"> et al., 2021). This brand equity will improve customer loyalty in any market that requires high operating uptime.</w:t>
      </w:r>
    </w:p>
    <w:p w:rsidR="003F4BBF" w:rsidRDefault="00BA2738">
      <w:pPr>
        <w:spacing w:before="240"/>
        <w:rPr>
          <w:rFonts w:ascii="Arial" w:hAnsi="Arial" w:cs="Arial"/>
          <w:lang w:val="en-GB"/>
        </w:rPr>
      </w:pPr>
      <w:r>
        <w:rPr>
          <w:rFonts w:ascii="Arial" w:hAnsi="Arial" w:cs="Arial"/>
          <w:lang w:val="en-GB"/>
        </w:rPr>
        <w:lastRenderedPageBreak/>
        <w:t>The global supply chain network enables Volvo to control production flexibility, efficiency of sourcing and delivery of components in various continents. Its availability in various locations increases resilience and scale capabilities based on local variations in demand. Nonetheless, optimisation of supply chain in emerging market is sometimes difficult because infrastructure and regulatory differences are variable.</w:t>
      </w:r>
    </w:p>
    <w:p w:rsidR="003F4BBF" w:rsidRDefault="00BA2738">
      <w:pPr>
        <w:spacing w:before="240"/>
        <w:rPr>
          <w:rFonts w:ascii="Arial" w:hAnsi="Arial" w:cs="Arial"/>
          <w:lang w:val="en-GB"/>
        </w:rPr>
      </w:pPr>
      <w:r>
        <w:rPr>
          <w:rFonts w:ascii="Arial" w:hAnsi="Arial" w:cs="Arial"/>
          <w:lang w:val="en-GB"/>
        </w:rPr>
        <w:t>The organisational financial competence helps to invest on massive scale in technology, manufacturing plants and market expansion ventures. Capitalisation will also allow Volvo to absorb the initial investment in market entry, capitalise on localisation and build after-sales service networks which are very important in retaining customers.</w:t>
      </w:r>
    </w:p>
    <w:p w:rsidR="003F4BBF" w:rsidRDefault="00BA2738">
      <w:pPr>
        <w:spacing w:before="240"/>
        <w:rPr>
          <w:rFonts w:ascii="Arial" w:hAnsi="Arial" w:cs="Arial"/>
          <w:lang w:val="en-GB"/>
        </w:rPr>
      </w:pPr>
      <w:r>
        <w:rPr>
          <w:rFonts w:ascii="Arial" w:hAnsi="Arial" w:cs="Arial"/>
          <w:lang w:val="en-GB"/>
        </w:rPr>
        <w:t>One of the historical competencies is safety innovation. Volvo has a long history of dominance in the realm of vehicle security systems and innovative driver assistance technologies, which still have an effect on consumer decision making, particularly in the markets where the issue of road safety is still an important one.</w:t>
      </w:r>
    </w:p>
    <w:p w:rsidR="003F4BBF" w:rsidRDefault="00BA2738">
      <w:pPr>
        <w:spacing w:before="240"/>
        <w:rPr>
          <w:rFonts w:ascii="Arial" w:hAnsi="Arial" w:cs="Arial"/>
          <w:lang w:val="en-GB"/>
        </w:rPr>
      </w:pPr>
      <w:r>
        <w:rPr>
          <w:rFonts w:ascii="Arial" w:hAnsi="Arial" w:cs="Arial"/>
          <w:lang w:val="en-GB"/>
        </w:rPr>
        <w:t>But there exist limitations of VRIO framework. It is also more internally oriented and fails to reflect outer upheavals, including the fast-changing technology, regulatory reforms or new entrants using new digital platforms. It also presupposes that resources do not vary, unlike in dynamic markets, competitive advantages can be quickly lost without the continued innovation.</w:t>
      </w:r>
    </w:p>
    <w:p w:rsidR="003F4BBF" w:rsidRDefault="00BA2738">
      <w:pPr>
        <w:spacing w:before="240"/>
        <w:rPr>
          <w:rFonts w:ascii="Arial" w:hAnsi="Arial" w:cs="Arial"/>
          <w:b/>
          <w:bCs/>
          <w:lang w:val="en-GB"/>
        </w:rPr>
      </w:pPr>
      <w:r>
        <w:rPr>
          <w:rFonts w:ascii="Arial" w:hAnsi="Arial" w:cs="Arial"/>
          <w:b/>
          <w:bCs/>
          <w:lang w:val="en-GB"/>
        </w:rPr>
        <w:t>3.4 Porter’s Diamond Model</w:t>
      </w:r>
    </w:p>
    <w:p w:rsidR="003F4BBF" w:rsidRDefault="00BA2738">
      <w:pPr>
        <w:spacing w:before="240"/>
        <w:jc w:val="center"/>
        <w:rPr>
          <w:rFonts w:ascii="Arial" w:hAnsi="Arial" w:cs="Arial"/>
          <w:b/>
          <w:bCs/>
          <w:lang w:val="en-GB"/>
        </w:rPr>
      </w:pPr>
      <w:r>
        <w:rPr>
          <w:rFonts w:ascii="Arial" w:hAnsi="Arial" w:cs="Arial"/>
          <w:b/>
          <w:bCs/>
          <w:noProof/>
          <w:lang w:val="en-IN" w:eastAsia="en-IN"/>
        </w:rPr>
        <w:lastRenderedPageBreak/>
        <w:drawing>
          <wp:inline distT="0" distB="0" distL="0" distR="0">
            <wp:extent cx="3815715" cy="2981325"/>
            <wp:effectExtent l="0" t="0" r="0" b="0"/>
            <wp:docPr id="10295946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594613"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3819030" cy="2983617"/>
                    </a:xfrm>
                    <a:prstGeom prst="rect">
                      <a:avLst/>
                    </a:prstGeom>
                    <a:noFill/>
                  </pic:spPr>
                </pic:pic>
              </a:graphicData>
            </a:graphic>
          </wp:inline>
        </w:drawing>
      </w:r>
    </w:p>
    <w:p w:rsidR="003F4BBF" w:rsidRDefault="00BA2738">
      <w:pPr>
        <w:spacing w:before="240"/>
        <w:jc w:val="center"/>
        <w:rPr>
          <w:rFonts w:ascii="Arial" w:hAnsi="Arial" w:cs="Arial"/>
          <w:b/>
          <w:bCs/>
          <w:lang w:val="en-GB"/>
        </w:rPr>
      </w:pPr>
      <w:r>
        <w:rPr>
          <w:rFonts w:ascii="Arial" w:hAnsi="Arial" w:cs="Arial"/>
          <w:b/>
          <w:bCs/>
          <w:lang w:val="en-GB"/>
        </w:rPr>
        <w:t>Figure 4: Porter’s Diamond Model</w:t>
      </w:r>
    </w:p>
    <w:p w:rsidR="003F4BBF" w:rsidRDefault="00BA2738">
      <w:pPr>
        <w:spacing w:before="240"/>
        <w:jc w:val="center"/>
        <w:rPr>
          <w:rFonts w:ascii="Arial" w:hAnsi="Arial" w:cs="Arial"/>
          <w:lang w:val="en-GB"/>
        </w:rPr>
      </w:pPr>
      <w:r>
        <w:rPr>
          <w:rFonts w:ascii="Arial" w:hAnsi="Arial" w:cs="Arial"/>
          <w:lang w:val="en-GB"/>
        </w:rPr>
        <w:t>(Source: Denis, 2025a)</w:t>
      </w:r>
    </w:p>
    <w:p w:rsidR="003F4BBF" w:rsidRDefault="00BA2738">
      <w:pPr>
        <w:spacing w:before="240"/>
        <w:rPr>
          <w:rFonts w:ascii="Arial" w:hAnsi="Arial" w:cs="Arial"/>
          <w:lang w:val="en-GB"/>
        </w:rPr>
      </w:pPr>
      <w:r>
        <w:rPr>
          <w:rFonts w:ascii="Arial" w:hAnsi="Arial" w:cs="Arial"/>
          <w:lang w:val="en-GB"/>
        </w:rPr>
        <w:t>The factor conditions keep on favouring the industrial growth in India and there is enhanced infrastructure, roads and digital connectivity. There is high labour pool and increasing engineering talent pool which adds to a favourable environment to carry out manufacturing and service operations. These are the conditions that can suitably meet the Volvo requirements in terms of assembly capacity, after sales service and experienced technicians.</w:t>
      </w:r>
    </w:p>
    <w:p w:rsidR="003F4BBF" w:rsidRDefault="00BA2738">
      <w:pPr>
        <w:spacing w:before="240"/>
        <w:rPr>
          <w:rFonts w:ascii="Arial" w:hAnsi="Arial" w:cs="Arial"/>
          <w:lang w:val="en-GB"/>
        </w:rPr>
      </w:pPr>
      <w:r>
        <w:rPr>
          <w:rFonts w:ascii="Arial" w:hAnsi="Arial" w:cs="Arial"/>
          <w:lang w:val="en-GB"/>
        </w:rPr>
        <w:t>The conditions in the demand are changing too. As the logistics networks grow, customer demands of efficiency, uptime, safety and technology-oriented fleet management are increasing. Major construction projects need specialised equipment that can take heavy loads of work and this offers an opportunity of selling Volvo premium segment products.</w:t>
      </w:r>
    </w:p>
    <w:p w:rsidR="003F4BBF" w:rsidRDefault="00BA2738">
      <w:pPr>
        <w:spacing w:before="240"/>
        <w:rPr>
          <w:rFonts w:ascii="Arial" w:hAnsi="Arial" w:cs="Arial"/>
          <w:lang w:val="en-GB"/>
        </w:rPr>
      </w:pPr>
      <w:r>
        <w:rPr>
          <w:rFonts w:ascii="Arial" w:hAnsi="Arial" w:cs="Arial"/>
          <w:lang w:val="en-GB"/>
        </w:rPr>
        <w:t>The related and supportive industries, such as steel, electronics, component manufacturing and IT services, are growing at a high rate (</w:t>
      </w:r>
      <w:proofErr w:type="spellStart"/>
      <w:r>
        <w:rPr>
          <w:rFonts w:ascii="Arial" w:hAnsi="Arial" w:cs="Arial"/>
          <w:lang w:val="en-GB"/>
        </w:rPr>
        <w:t>Subbiah</w:t>
      </w:r>
      <w:proofErr w:type="spellEnd"/>
      <w:r>
        <w:rPr>
          <w:rFonts w:ascii="Arial" w:hAnsi="Arial" w:cs="Arial"/>
          <w:lang w:val="en-GB"/>
        </w:rPr>
        <w:t>, 2022). This ecosystem promotes the localisation strategies, minimises the supply chain risks and facilitates the technological partnership.</w:t>
      </w:r>
    </w:p>
    <w:p w:rsidR="003F4BBF" w:rsidRDefault="00BA2738">
      <w:pPr>
        <w:spacing w:before="240"/>
        <w:rPr>
          <w:rFonts w:ascii="Arial" w:hAnsi="Arial" w:cs="Arial"/>
          <w:lang w:val="en-GB"/>
        </w:rPr>
      </w:pPr>
      <w:r>
        <w:rPr>
          <w:rFonts w:ascii="Arial" w:hAnsi="Arial" w:cs="Arial"/>
          <w:lang w:val="en-GB"/>
        </w:rPr>
        <w:lastRenderedPageBreak/>
        <w:t>Firm strategy, structure and rivalry depict a competitive environment where the domestic manufacturers in the economy will be competing against each other in terms of price thus compelling international firms to differentiate with respect to technology, performance and value-added services. Volvo positioning as a premium is quite a fit with a group of customers ready to invest in the long-term efficiency instead of short-term savings.</w:t>
      </w:r>
    </w:p>
    <w:p w:rsidR="003F4BBF" w:rsidRDefault="00BA2738">
      <w:pPr>
        <w:spacing w:before="240"/>
        <w:rPr>
          <w:rFonts w:ascii="Arial" w:hAnsi="Arial" w:cs="Arial"/>
          <w:lang w:val="en-GB"/>
        </w:rPr>
      </w:pPr>
      <w:r>
        <w:rPr>
          <w:rFonts w:ascii="Arial" w:hAnsi="Arial" w:cs="Arial"/>
          <w:lang w:val="en-GB"/>
        </w:rPr>
        <w:t xml:space="preserve">One of the weaknesses of the Diamond Model is the fact that it is biased towards the examination of competitive advantage in developed economies which have well advanced institutional frameworks. The institutional heterogeneity of India, infrastructure differences and regional inequalities imply that the model fails to capture the complexities of doing business in different states. </w:t>
      </w:r>
    </w:p>
    <w:p w:rsidR="003F4BBF" w:rsidRDefault="00BA2738">
      <w:pPr>
        <w:spacing w:before="240"/>
        <w:rPr>
          <w:rFonts w:ascii="Arial" w:hAnsi="Arial" w:cs="Arial"/>
          <w:b/>
          <w:bCs/>
          <w:lang w:val="en-GB"/>
        </w:rPr>
      </w:pPr>
      <w:r>
        <w:rPr>
          <w:rFonts w:ascii="Arial" w:hAnsi="Arial" w:cs="Arial"/>
          <w:b/>
          <w:bCs/>
          <w:lang w:val="en-GB"/>
        </w:rPr>
        <w:t xml:space="preserve">3.5 Summary of Strategic Fit </w:t>
      </w:r>
    </w:p>
    <w:p w:rsidR="003F4BBF" w:rsidRDefault="00BA2738">
      <w:pPr>
        <w:spacing w:before="240"/>
        <w:rPr>
          <w:rFonts w:ascii="Arial" w:hAnsi="Arial" w:cs="Arial"/>
          <w:lang w:val="en-GB"/>
        </w:rPr>
      </w:pPr>
      <w:r>
        <w:rPr>
          <w:rFonts w:ascii="Arial" w:hAnsi="Arial" w:cs="Arial"/>
          <w:lang w:val="en-GB"/>
        </w:rPr>
        <w:t>The analysis, there is a robust fit between the market environment of India and the core competencies that Volvo has. The large needs in commercial vehicles, the development of extended logistics chains and the colossal infrastructure development provide excellent opportunities and the possibility to introduce high-tech trucks, construction machines and electrified solutions. Volvo has a reputation of safety, performance and durability which puts the company in the favourable position of the premium customer segments where long-term operational efficiency is important.</w:t>
      </w:r>
    </w:p>
    <w:p w:rsidR="003F4BBF" w:rsidRDefault="00BA2738">
      <w:pPr>
        <w:spacing w:before="240"/>
        <w:rPr>
          <w:rFonts w:ascii="Arial" w:hAnsi="Arial" w:cs="Arial"/>
          <w:lang w:val="en-GB"/>
        </w:rPr>
      </w:pPr>
      <w:r>
        <w:rPr>
          <w:rFonts w:ascii="Arial" w:hAnsi="Arial" w:cs="Arial"/>
          <w:lang w:val="en-GB"/>
        </w:rPr>
        <w:t>The attractiveness of the market is enhanced by economic growth, regulatory incentives on cleaner technologies and increased adoption of connected systems. Although the competition is strong, it is mainly spread in price-sensitive segments as opposed to in the premium categories where Volvo can differentiate successfully (</w:t>
      </w:r>
      <w:proofErr w:type="spellStart"/>
      <w:r>
        <w:rPr>
          <w:rFonts w:ascii="Arial" w:hAnsi="Arial" w:cs="Arial"/>
          <w:lang w:val="en-GB"/>
        </w:rPr>
        <w:t>Meng</w:t>
      </w:r>
      <w:proofErr w:type="spellEnd"/>
      <w:r>
        <w:rPr>
          <w:rFonts w:ascii="Arial" w:hAnsi="Arial" w:cs="Arial"/>
          <w:lang w:val="en-GB"/>
        </w:rPr>
        <w:t xml:space="preserve"> and Wang, 2021). The competitive advantage enjoyed by Volvo has been brought about by internal strengths like the global supply chain knowledge, good financial ability, and highly developed EV technology.</w:t>
      </w:r>
    </w:p>
    <w:p w:rsidR="003F4BBF" w:rsidRDefault="00BA2738">
      <w:pPr>
        <w:spacing w:before="240"/>
        <w:rPr>
          <w:rFonts w:ascii="Arial" w:hAnsi="Arial" w:cs="Arial"/>
          <w:lang w:val="en-GB"/>
        </w:rPr>
      </w:pPr>
      <w:r>
        <w:rPr>
          <w:rFonts w:ascii="Arial" w:hAnsi="Arial" w:cs="Arial"/>
          <w:lang w:val="en-GB"/>
        </w:rPr>
        <w:t xml:space="preserve">However, challenges remain. The implementation may be complicated by localised production demands, infrastructure variability, price pressures and changing regulatory </w:t>
      </w:r>
      <w:r>
        <w:rPr>
          <w:rFonts w:ascii="Arial" w:hAnsi="Arial" w:cs="Arial"/>
          <w:lang w:val="en-GB"/>
        </w:rPr>
        <w:lastRenderedPageBreak/>
        <w:t>standards. The electrification market remains emerging, and timely support and alliances are to be formed to ensure the creation of charging support networks.</w:t>
      </w:r>
    </w:p>
    <w:p w:rsidR="003F4BBF" w:rsidRDefault="00BA2738">
      <w:pPr>
        <w:spacing w:before="240"/>
        <w:rPr>
          <w:rFonts w:ascii="Arial" w:hAnsi="Arial" w:cs="Arial"/>
          <w:lang w:val="en-GB"/>
        </w:rPr>
      </w:pPr>
      <w:r>
        <w:rPr>
          <w:rFonts w:ascii="Arial" w:hAnsi="Arial" w:cs="Arial"/>
          <w:lang w:val="en-GB"/>
        </w:rPr>
        <w:t xml:space="preserve">Altogether, the strategic alignment of the capabilities of Volvo and the market course in India is positive. The risks are minor compared to the opportunities, and to expand successfully Volvo should implement a gradual growth plan, use the opportunities of partnerships and alignment of the offers with the progressive industrial and sustainability agenda of the market. </w:t>
      </w:r>
    </w:p>
    <w:p w:rsidR="003F4BBF" w:rsidRDefault="00BA2738">
      <w:pPr>
        <w:pStyle w:val="Heading1"/>
        <w:spacing w:before="240"/>
        <w:rPr>
          <w:rFonts w:ascii="Arial" w:hAnsi="Arial" w:cs="Arial"/>
          <w:lang w:val="en-GB"/>
        </w:rPr>
      </w:pPr>
      <w:bookmarkStart w:id="5" w:name="_Toc215479972"/>
      <w:r>
        <w:rPr>
          <w:rFonts w:ascii="Arial" w:hAnsi="Arial" w:cs="Arial"/>
          <w:lang w:val="en-GB"/>
        </w:rPr>
        <w:t>4. Strategy Development &amp; Market Entry Formulation</w:t>
      </w:r>
      <w:bookmarkEnd w:id="5"/>
      <w:r>
        <w:rPr>
          <w:rFonts w:ascii="Arial" w:hAnsi="Arial" w:cs="Arial"/>
          <w:lang w:val="en-GB"/>
        </w:rPr>
        <w:t xml:space="preserve"> </w:t>
      </w:r>
    </w:p>
    <w:p w:rsidR="003F4BBF" w:rsidRDefault="00BA2738">
      <w:pPr>
        <w:spacing w:before="240"/>
        <w:rPr>
          <w:rFonts w:ascii="Arial" w:hAnsi="Arial" w:cs="Arial"/>
          <w:b/>
          <w:bCs/>
          <w:lang w:val="en-GB"/>
        </w:rPr>
      </w:pPr>
      <w:r>
        <w:rPr>
          <w:rFonts w:ascii="Arial" w:hAnsi="Arial" w:cs="Arial"/>
          <w:b/>
          <w:bCs/>
          <w:lang w:val="en-GB"/>
        </w:rPr>
        <w:t xml:space="preserve">4.1 </w:t>
      </w:r>
      <w:proofErr w:type="spellStart"/>
      <w:r>
        <w:rPr>
          <w:rFonts w:ascii="Arial" w:hAnsi="Arial" w:cs="Arial"/>
          <w:b/>
          <w:bCs/>
          <w:lang w:val="en-GB"/>
        </w:rPr>
        <w:t>Ansoff</w:t>
      </w:r>
      <w:proofErr w:type="spellEnd"/>
      <w:r>
        <w:rPr>
          <w:rFonts w:ascii="Arial" w:hAnsi="Arial" w:cs="Arial"/>
          <w:b/>
          <w:bCs/>
          <w:lang w:val="en-GB"/>
        </w:rPr>
        <w:t xml:space="preserve"> Matrix </w:t>
      </w:r>
      <w:proofErr w:type="gramStart"/>
      <w:r>
        <w:rPr>
          <w:rFonts w:ascii="Arial" w:hAnsi="Arial" w:cs="Arial"/>
          <w:b/>
          <w:bCs/>
          <w:lang w:val="en-GB"/>
        </w:rPr>
        <w:t>Application</w:t>
      </w:r>
      <w:proofErr w:type="gramEnd"/>
      <w:r>
        <w:rPr>
          <w:rFonts w:ascii="Arial" w:hAnsi="Arial" w:cs="Arial"/>
          <w:b/>
          <w:bCs/>
          <w:lang w:val="en-GB"/>
        </w:rPr>
        <w:t xml:space="preserve"> </w:t>
      </w:r>
    </w:p>
    <w:p w:rsidR="003F4BBF" w:rsidRDefault="00BA2738">
      <w:pPr>
        <w:spacing w:before="240"/>
        <w:jc w:val="center"/>
        <w:rPr>
          <w:rFonts w:ascii="Arial" w:hAnsi="Arial" w:cs="Arial"/>
          <w:b/>
          <w:bCs/>
          <w:lang w:val="en-GB"/>
        </w:rPr>
      </w:pPr>
      <w:r>
        <w:rPr>
          <w:rFonts w:ascii="Arial" w:hAnsi="Arial" w:cs="Arial"/>
          <w:b/>
          <w:bCs/>
          <w:noProof/>
          <w:lang w:val="en-IN" w:eastAsia="en-IN"/>
        </w:rPr>
        <w:drawing>
          <wp:inline distT="0" distB="0" distL="0" distR="0">
            <wp:extent cx="3705860" cy="2895600"/>
            <wp:effectExtent l="0" t="0" r="8890" b="0"/>
            <wp:docPr id="29704874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048741"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a:xfrm>
                      <a:off x="0" y="0"/>
                      <a:ext cx="3708010" cy="2896883"/>
                    </a:xfrm>
                    <a:prstGeom prst="rect">
                      <a:avLst/>
                    </a:prstGeom>
                    <a:noFill/>
                  </pic:spPr>
                </pic:pic>
              </a:graphicData>
            </a:graphic>
          </wp:inline>
        </w:drawing>
      </w:r>
    </w:p>
    <w:p w:rsidR="003F4BBF" w:rsidRDefault="00BA2738">
      <w:pPr>
        <w:spacing w:before="240"/>
        <w:jc w:val="center"/>
        <w:rPr>
          <w:rFonts w:ascii="Arial" w:hAnsi="Arial" w:cs="Arial"/>
          <w:b/>
          <w:bCs/>
          <w:lang w:val="en-GB"/>
        </w:rPr>
      </w:pPr>
      <w:r>
        <w:rPr>
          <w:rFonts w:ascii="Arial" w:hAnsi="Arial" w:cs="Arial"/>
          <w:b/>
          <w:bCs/>
          <w:lang w:val="en-GB"/>
        </w:rPr>
        <w:t xml:space="preserve">Figure 5: </w:t>
      </w:r>
      <w:proofErr w:type="spellStart"/>
      <w:r>
        <w:rPr>
          <w:rFonts w:ascii="Arial" w:hAnsi="Arial" w:cs="Arial"/>
          <w:b/>
          <w:bCs/>
          <w:lang w:val="en-GB"/>
        </w:rPr>
        <w:t>Ansoff</w:t>
      </w:r>
      <w:proofErr w:type="spellEnd"/>
      <w:r>
        <w:rPr>
          <w:rFonts w:ascii="Arial" w:hAnsi="Arial" w:cs="Arial"/>
          <w:b/>
          <w:bCs/>
          <w:lang w:val="en-GB"/>
        </w:rPr>
        <w:t xml:space="preserve"> Matrix</w:t>
      </w:r>
    </w:p>
    <w:p w:rsidR="003F4BBF" w:rsidRDefault="00BA2738">
      <w:pPr>
        <w:spacing w:before="240"/>
        <w:jc w:val="center"/>
        <w:rPr>
          <w:rFonts w:ascii="Arial" w:hAnsi="Arial" w:cs="Arial"/>
          <w:lang w:val="en-GB"/>
        </w:rPr>
      </w:pPr>
      <w:r>
        <w:rPr>
          <w:rFonts w:ascii="Arial" w:hAnsi="Arial" w:cs="Arial"/>
          <w:lang w:val="en-GB"/>
        </w:rPr>
        <w:t>(Source: Denis, 2025b)</w:t>
      </w:r>
    </w:p>
    <w:p w:rsidR="003F4BBF" w:rsidRDefault="00BA2738">
      <w:pPr>
        <w:spacing w:before="240"/>
        <w:rPr>
          <w:rFonts w:ascii="Arial" w:hAnsi="Arial" w:cs="Arial"/>
          <w:lang w:val="en-GB"/>
        </w:rPr>
      </w:pPr>
      <w:r>
        <w:rPr>
          <w:rFonts w:ascii="Arial" w:hAnsi="Arial" w:cs="Arial"/>
          <w:lang w:val="en-GB"/>
        </w:rPr>
        <w:t xml:space="preserve">Volvo entering into India is associated with the market development aspect of the </w:t>
      </w:r>
      <w:proofErr w:type="spellStart"/>
      <w:r>
        <w:rPr>
          <w:rFonts w:ascii="Arial" w:hAnsi="Arial" w:cs="Arial"/>
          <w:lang w:val="en-GB"/>
        </w:rPr>
        <w:t>Ansoff</w:t>
      </w:r>
      <w:proofErr w:type="spellEnd"/>
      <w:r>
        <w:rPr>
          <w:rFonts w:ascii="Arial" w:hAnsi="Arial" w:cs="Arial"/>
          <w:lang w:val="en-GB"/>
        </w:rPr>
        <w:t xml:space="preserve"> Matrix as it entails introduction of the existing products, e.g., trucks, buses, construction machinery and electrified platforms, into a new geographic market. This plan will utilise the strengths of Volvo in the global arena and enter high growth economy without the need to overhaul its core products. The risk involved in market development is </w:t>
      </w:r>
      <w:r>
        <w:rPr>
          <w:rFonts w:ascii="Arial" w:hAnsi="Arial" w:cs="Arial"/>
          <w:lang w:val="en-GB"/>
        </w:rPr>
        <w:lastRenderedPageBreak/>
        <w:t>moderate since the success will require changing to the local customer expectations, regulatory situations and working conditions (</w:t>
      </w:r>
      <w:proofErr w:type="spellStart"/>
      <w:r>
        <w:rPr>
          <w:rFonts w:ascii="Arial" w:hAnsi="Arial" w:cs="Arial"/>
          <w:lang w:val="en-GB"/>
        </w:rPr>
        <w:t>Chernykhovskaya</w:t>
      </w:r>
      <w:proofErr w:type="spellEnd"/>
      <w:r>
        <w:rPr>
          <w:rFonts w:ascii="Arial" w:hAnsi="Arial" w:cs="Arial"/>
          <w:lang w:val="en-GB"/>
        </w:rPr>
        <w:t xml:space="preserve">, 2024). This route is more controlled and offers a more consistent strategy compared to unrelated diversification where a company ventures into new industries that it is less familiar with and the uncertainty is greater. Volvo is familiar with heavy-duty engineering, safety technologies and electrification, which makes it less uncertain about entry. The </w:t>
      </w:r>
      <w:proofErr w:type="spellStart"/>
      <w:r>
        <w:rPr>
          <w:rFonts w:ascii="Arial" w:hAnsi="Arial" w:cs="Arial"/>
          <w:lang w:val="en-GB"/>
        </w:rPr>
        <w:t>Ansoff</w:t>
      </w:r>
      <w:proofErr w:type="spellEnd"/>
      <w:r>
        <w:rPr>
          <w:rFonts w:ascii="Arial" w:hAnsi="Arial" w:cs="Arial"/>
          <w:lang w:val="en-GB"/>
        </w:rPr>
        <w:t xml:space="preserve"> Matrix however simplifies the realities that multi-business organisations have to deal. </w:t>
      </w:r>
    </w:p>
    <w:p w:rsidR="003F4BBF" w:rsidRDefault="00BA2738">
      <w:pPr>
        <w:spacing w:before="240"/>
        <w:rPr>
          <w:rFonts w:ascii="Arial" w:hAnsi="Arial" w:cs="Arial"/>
          <w:b/>
          <w:bCs/>
          <w:lang w:val="en-GB"/>
        </w:rPr>
      </w:pPr>
      <w:r>
        <w:rPr>
          <w:rFonts w:ascii="Arial" w:hAnsi="Arial" w:cs="Arial"/>
          <w:b/>
          <w:bCs/>
          <w:lang w:val="en-GB"/>
        </w:rPr>
        <w:t xml:space="preserve">4.2 Entry Mode Strategy </w:t>
      </w:r>
    </w:p>
    <w:p w:rsidR="003F4BBF" w:rsidRDefault="00BA2738">
      <w:pPr>
        <w:spacing w:before="240"/>
        <w:rPr>
          <w:rFonts w:ascii="Arial" w:hAnsi="Arial" w:cs="Arial"/>
          <w:lang w:val="en-GB"/>
        </w:rPr>
      </w:pPr>
      <w:r>
        <w:rPr>
          <w:rFonts w:ascii="Arial" w:hAnsi="Arial" w:cs="Arial"/>
          <w:lang w:val="en-GB"/>
        </w:rPr>
        <w:t xml:space="preserve">The process of assessing the entry modes options needs to take into consideration the control, cost, regulatory expectations, and protection of technology and the local responsiveness requirement. </w:t>
      </w:r>
    </w:p>
    <w:p w:rsidR="003F4BBF" w:rsidRDefault="00BA2738">
      <w:pPr>
        <w:spacing w:before="240"/>
        <w:rPr>
          <w:rFonts w:ascii="Arial" w:hAnsi="Arial" w:cs="Arial"/>
          <w:lang w:val="en-GB"/>
        </w:rPr>
      </w:pPr>
      <w:r>
        <w:rPr>
          <w:rFonts w:ascii="Arial" w:hAnsi="Arial" w:cs="Arial"/>
          <w:b/>
          <w:bCs/>
          <w:lang w:val="en-GB"/>
        </w:rPr>
        <w:t>Joint Venture:</w:t>
      </w:r>
      <w:r>
        <w:rPr>
          <w:rFonts w:ascii="Arial" w:hAnsi="Arial" w:cs="Arial"/>
          <w:lang w:val="en-GB"/>
        </w:rPr>
        <w:t xml:space="preserve"> A joint venture is one that gives domestic market expertise, distribution channels and regulatory familiarity. It reduces the entry cost and fast track market penetration. But joint ventures blur the strategic control line and can create misalignment in operations in case there is a divergence of interest between the partners in priorities, technological level, or culture of management. In the case of Volvo, where the brand reputation is founded on the precision of the engineering and the integrity of products, shared control might undermine the consistency and customer experience (</w:t>
      </w:r>
      <w:proofErr w:type="spellStart"/>
      <w:r>
        <w:rPr>
          <w:rFonts w:ascii="Arial" w:hAnsi="Arial" w:cs="Arial"/>
          <w:lang w:val="en-GB"/>
        </w:rPr>
        <w:t>Chowdhury</w:t>
      </w:r>
      <w:proofErr w:type="spellEnd"/>
      <w:r>
        <w:rPr>
          <w:rFonts w:ascii="Arial" w:hAnsi="Arial" w:cs="Arial"/>
          <w:lang w:val="en-GB"/>
        </w:rPr>
        <w:t xml:space="preserve">, 2024). </w:t>
      </w:r>
    </w:p>
    <w:p w:rsidR="003F4BBF" w:rsidRDefault="00BA2738">
      <w:pPr>
        <w:spacing w:before="240"/>
        <w:rPr>
          <w:rFonts w:ascii="Arial" w:hAnsi="Arial" w:cs="Arial"/>
          <w:lang w:val="en-GB"/>
        </w:rPr>
      </w:pPr>
      <w:r>
        <w:rPr>
          <w:rFonts w:ascii="Arial" w:hAnsi="Arial" w:cs="Arial"/>
          <w:b/>
          <w:bCs/>
          <w:lang w:val="en-GB"/>
        </w:rPr>
        <w:t>Wholly-Owned Subsidiary:</w:t>
      </w:r>
      <w:r>
        <w:rPr>
          <w:rFonts w:ascii="Arial" w:hAnsi="Arial" w:cs="Arial"/>
          <w:lang w:val="en-GB"/>
        </w:rPr>
        <w:t xml:space="preserve"> A wholly-owned subsidiary gives full control in regards to product quality, positioning of the brand and standards of operation. It secures protection of the technological skills especially when dealing with EV platforms, battery systems and digital fleet services. It is however very capital-intensive in terms of initial capital investment and it puts the firm under greater operational risk. Operating autonomously may decrease entry speed since in a market with sophisticated state-level compliance mandates, acting independently can delay entry (</w:t>
      </w:r>
      <w:proofErr w:type="spellStart"/>
      <w:r>
        <w:rPr>
          <w:rFonts w:ascii="Arial" w:hAnsi="Arial" w:cs="Arial"/>
          <w:lang w:val="en-GB"/>
        </w:rPr>
        <w:t>Jonsson</w:t>
      </w:r>
      <w:proofErr w:type="spellEnd"/>
      <w:r>
        <w:rPr>
          <w:rFonts w:ascii="Arial" w:hAnsi="Arial" w:cs="Arial"/>
          <w:lang w:val="en-GB"/>
        </w:rPr>
        <w:t xml:space="preserve"> and </w:t>
      </w:r>
      <w:proofErr w:type="spellStart"/>
      <w:r>
        <w:rPr>
          <w:rFonts w:ascii="Arial" w:hAnsi="Arial" w:cs="Arial"/>
          <w:lang w:val="en-GB"/>
        </w:rPr>
        <w:t>Vahlne</w:t>
      </w:r>
      <w:proofErr w:type="spellEnd"/>
      <w:r>
        <w:rPr>
          <w:rFonts w:ascii="Arial" w:hAnsi="Arial" w:cs="Arial"/>
          <w:lang w:val="en-GB"/>
        </w:rPr>
        <w:t xml:space="preserve">, 2023). </w:t>
      </w:r>
    </w:p>
    <w:p w:rsidR="003F4BBF" w:rsidRDefault="00BA2738">
      <w:pPr>
        <w:spacing w:before="240"/>
        <w:rPr>
          <w:rFonts w:ascii="Arial" w:hAnsi="Arial" w:cs="Arial"/>
          <w:lang w:val="en-GB"/>
        </w:rPr>
      </w:pPr>
      <w:r>
        <w:rPr>
          <w:rFonts w:ascii="Arial" w:hAnsi="Arial" w:cs="Arial"/>
          <w:b/>
          <w:bCs/>
          <w:lang w:val="en-GB"/>
        </w:rPr>
        <w:lastRenderedPageBreak/>
        <w:t>Strategic Alliance:</w:t>
      </w:r>
      <w:r>
        <w:rPr>
          <w:rFonts w:ascii="Arial" w:hAnsi="Arial" w:cs="Arial"/>
          <w:lang w:val="en-GB"/>
        </w:rPr>
        <w:t xml:space="preserve"> Strategic alliances enable Volvo to have selective access to suppliers, technology partners or logistics companies without a commitment to share wholly. Such arrangements facilitate focused capability development, e.g. the deployment of charging infrastructure, integration of digital services or financial services partnerships. </w:t>
      </w:r>
    </w:p>
    <w:p w:rsidR="003F4BBF" w:rsidRDefault="00BA2738">
      <w:pPr>
        <w:spacing w:before="240"/>
        <w:rPr>
          <w:rFonts w:ascii="Arial" w:hAnsi="Arial" w:cs="Arial"/>
          <w:lang w:val="en-GB"/>
        </w:rPr>
      </w:pPr>
      <w:r>
        <w:rPr>
          <w:rFonts w:ascii="Arial" w:hAnsi="Arial" w:cs="Arial"/>
          <w:b/>
          <w:bCs/>
          <w:lang w:val="en-GB"/>
        </w:rPr>
        <w:t>CKD/SKD Local Assembly Plant:</w:t>
      </w:r>
      <w:r>
        <w:rPr>
          <w:rFonts w:ascii="Arial" w:hAnsi="Arial" w:cs="Arial"/>
          <w:lang w:val="en-GB"/>
        </w:rPr>
        <w:t xml:space="preserve"> these models are </w:t>
      </w:r>
      <w:proofErr w:type="gramStart"/>
      <w:r>
        <w:rPr>
          <w:rFonts w:ascii="Arial" w:hAnsi="Arial" w:cs="Arial"/>
          <w:lang w:val="en-GB"/>
        </w:rPr>
        <w:t>Completely</w:t>
      </w:r>
      <w:proofErr w:type="gramEnd"/>
      <w:r>
        <w:rPr>
          <w:rFonts w:ascii="Arial" w:hAnsi="Arial" w:cs="Arial"/>
          <w:lang w:val="en-GB"/>
        </w:rPr>
        <w:t xml:space="preserve"> knocked down (CKD) or semi-knocked down (SKD) assembly, which include importing parts and assembling cars locally. This practice will decrease importation taxes, increase localisation compliance and competitive prices. It is also a medium amount of control over the quality of production and demands less investment than a full manufacturing facility. CKD/SKD plants are expandable in nature and they are flexible to expansion as the demand increases. </w:t>
      </w:r>
    </w:p>
    <w:p w:rsidR="003F4BBF" w:rsidRDefault="00BA2738">
      <w:pPr>
        <w:spacing w:before="240"/>
        <w:rPr>
          <w:rFonts w:ascii="Arial" w:hAnsi="Arial" w:cs="Arial"/>
          <w:lang w:val="en-GB"/>
        </w:rPr>
      </w:pPr>
      <w:r>
        <w:rPr>
          <w:rFonts w:ascii="Arial" w:hAnsi="Arial" w:cs="Arial"/>
          <w:b/>
          <w:bCs/>
          <w:lang w:val="en-GB"/>
        </w:rPr>
        <w:t>Entry Mode Recommended:</w:t>
      </w:r>
      <w:r>
        <w:rPr>
          <w:rFonts w:ascii="Arial" w:hAnsi="Arial" w:cs="Arial"/>
          <w:lang w:val="en-GB"/>
        </w:rPr>
        <w:t xml:space="preserve"> The best entry mode that will be recommended to Volvo is through a gradual process starting with a CKD/SKD assembly facility. This approach is a compromise in control, cost effectiveness and regulatory compliance, which ensures that Volvo can localise over time. It maintains technological integrity by holding on to control of key components, particularly EV systems, and letting the local </w:t>
      </w:r>
      <w:proofErr w:type="spellStart"/>
      <w:r>
        <w:rPr>
          <w:rFonts w:ascii="Arial" w:hAnsi="Arial" w:cs="Arial"/>
          <w:lang w:val="en-GB"/>
        </w:rPr>
        <w:t>local</w:t>
      </w:r>
      <w:proofErr w:type="spellEnd"/>
      <w:r>
        <w:rPr>
          <w:rFonts w:ascii="Arial" w:hAnsi="Arial" w:cs="Arial"/>
          <w:lang w:val="en-GB"/>
        </w:rPr>
        <w:t xml:space="preserve"> assemblies of the non-sensitive parts. With the increased demand, Volvo will be able to shift to either greater localisation or complete manufacturing. </w:t>
      </w:r>
    </w:p>
    <w:p w:rsidR="003F4BBF" w:rsidRDefault="00BA2738">
      <w:pPr>
        <w:spacing w:before="240"/>
        <w:rPr>
          <w:rFonts w:ascii="Arial" w:hAnsi="Arial" w:cs="Arial"/>
          <w:b/>
          <w:bCs/>
          <w:lang w:val="en-GB"/>
        </w:rPr>
      </w:pPr>
      <w:r>
        <w:rPr>
          <w:rFonts w:ascii="Arial" w:hAnsi="Arial" w:cs="Arial"/>
          <w:b/>
          <w:bCs/>
          <w:lang w:val="en-GB"/>
        </w:rPr>
        <w:t xml:space="preserve">4.3 Competitive Strategy Using Porter’s Generic Strategies </w:t>
      </w:r>
    </w:p>
    <w:p w:rsidR="003F4BBF" w:rsidRDefault="00BA2738">
      <w:pPr>
        <w:spacing w:before="240"/>
        <w:rPr>
          <w:rFonts w:ascii="Arial" w:hAnsi="Arial" w:cs="Arial"/>
          <w:lang w:val="en-GB"/>
        </w:rPr>
      </w:pPr>
      <w:r>
        <w:rPr>
          <w:rFonts w:ascii="Arial" w:hAnsi="Arial" w:cs="Arial"/>
          <w:lang w:val="en-GB"/>
        </w:rPr>
        <w:t xml:space="preserve">Volvo should position itself in India by use of focused differentiation strategy. Cost leadership cannot work because of the brand name- Volvo, which focuses on superior engineering, safety, dependability as well as high-performance technology. Price competition in an economy where low-cost domestic manufacturers compete would destroy brand equity and squeeze margins in unsustainable ways. </w:t>
      </w:r>
    </w:p>
    <w:p w:rsidR="003F4BBF" w:rsidRDefault="00BA2738">
      <w:pPr>
        <w:spacing w:before="240"/>
        <w:rPr>
          <w:rFonts w:ascii="Arial" w:hAnsi="Arial" w:cs="Arial"/>
          <w:lang w:val="en-GB"/>
        </w:rPr>
      </w:pPr>
      <w:r>
        <w:rPr>
          <w:rFonts w:ascii="Arial" w:hAnsi="Arial" w:cs="Arial"/>
          <w:lang w:val="en-GB"/>
        </w:rPr>
        <w:t xml:space="preserve">Focused differentiation concerns the targeting of segments of the customers that are interested in total cost of ownership, uptime, fuel economy and long run dependability. These segments consist of fleet operators that deal with long-haul logistics, construction </w:t>
      </w:r>
      <w:r>
        <w:rPr>
          <w:rFonts w:ascii="Arial" w:hAnsi="Arial" w:cs="Arial"/>
          <w:lang w:val="en-GB"/>
        </w:rPr>
        <w:lastRenderedPageBreak/>
        <w:t xml:space="preserve">companies that deal with infrastructure megaprojects and cities that embrace sustainable transport solutions. </w:t>
      </w:r>
    </w:p>
    <w:p w:rsidR="003F4BBF" w:rsidRDefault="00BA2738">
      <w:pPr>
        <w:spacing w:before="240"/>
        <w:rPr>
          <w:rFonts w:ascii="Arial" w:hAnsi="Arial" w:cs="Arial"/>
          <w:lang w:val="en-GB"/>
        </w:rPr>
      </w:pPr>
      <w:r>
        <w:rPr>
          <w:rFonts w:ascii="Arial" w:hAnsi="Arial" w:cs="Arial"/>
          <w:lang w:val="en-GB"/>
        </w:rPr>
        <w:t xml:space="preserve">The shortcomings of the Porters generic strategies are that it categorises the cost leadership and the differentiation strictly. In reality, there tend to be hybrid approaches, especially in dynamic sectors of the economy in the process of electrification and digitalisation. Volvo might have to achieve cost competitiveness by localisation, CKD/ SKD assembly and supply chain efficacy and provide differentiated features at the same time (Franz, </w:t>
      </w:r>
      <w:proofErr w:type="spellStart"/>
      <w:r>
        <w:rPr>
          <w:rFonts w:ascii="Arial" w:hAnsi="Arial" w:cs="Arial"/>
          <w:lang w:val="en-GB"/>
        </w:rPr>
        <w:t>Giroud</w:t>
      </w:r>
      <w:proofErr w:type="spellEnd"/>
      <w:r>
        <w:rPr>
          <w:rFonts w:ascii="Arial" w:hAnsi="Arial" w:cs="Arial"/>
          <w:lang w:val="en-GB"/>
        </w:rPr>
        <w:t xml:space="preserve"> and </w:t>
      </w:r>
      <w:proofErr w:type="spellStart"/>
      <w:r>
        <w:rPr>
          <w:rFonts w:ascii="Arial" w:hAnsi="Arial" w:cs="Arial"/>
          <w:lang w:val="en-GB"/>
        </w:rPr>
        <w:t>Ivarsson</w:t>
      </w:r>
      <w:proofErr w:type="spellEnd"/>
      <w:r>
        <w:rPr>
          <w:rFonts w:ascii="Arial" w:hAnsi="Arial" w:cs="Arial"/>
          <w:lang w:val="en-GB"/>
        </w:rPr>
        <w:t>, 2024). The model by Porter also fails to incorporate value creation based on the platform, including the digital fleet monitoring system, financing offers and long-term services, which are at the heart of current competitive advantage.</w:t>
      </w:r>
    </w:p>
    <w:p w:rsidR="003F4BBF" w:rsidRDefault="00BA2738">
      <w:pPr>
        <w:spacing w:before="240"/>
        <w:rPr>
          <w:rFonts w:ascii="Arial" w:hAnsi="Arial" w:cs="Arial"/>
          <w:lang w:val="en-GB"/>
        </w:rPr>
      </w:pPr>
      <w:r>
        <w:rPr>
          <w:rFonts w:ascii="Arial" w:hAnsi="Arial" w:cs="Arial"/>
          <w:lang w:val="en-GB"/>
        </w:rPr>
        <w:t>However, focused differentiation should be the most strategically balanced strategy, as it will enable Volvo to leverage on its technological capitals, brand image and sustainability-oriented engineering to capture share in high-end customer markets.</w:t>
      </w:r>
    </w:p>
    <w:p w:rsidR="003F4BBF" w:rsidRDefault="00BA2738">
      <w:pPr>
        <w:spacing w:before="240"/>
        <w:rPr>
          <w:rFonts w:ascii="Arial" w:hAnsi="Arial" w:cs="Arial"/>
          <w:b/>
          <w:bCs/>
          <w:lang w:val="en-GB"/>
        </w:rPr>
      </w:pPr>
      <w:r>
        <w:rPr>
          <w:rFonts w:ascii="Arial" w:hAnsi="Arial" w:cs="Arial"/>
          <w:b/>
          <w:bCs/>
          <w:lang w:val="en-GB"/>
        </w:rPr>
        <w:t xml:space="preserve">4.4 Strategic Roadmap </w:t>
      </w:r>
    </w:p>
    <w:p w:rsidR="003F4BBF" w:rsidRDefault="00BA2738">
      <w:pPr>
        <w:spacing w:before="240"/>
        <w:rPr>
          <w:rFonts w:ascii="Arial" w:hAnsi="Arial" w:cs="Arial"/>
          <w:lang w:val="en-GB"/>
        </w:rPr>
      </w:pPr>
      <w:r>
        <w:rPr>
          <w:rFonts w:ascii="Arial" w:hAnsi="Arial" w:cs="Arial"/>
          <w:lang w:val="en-GB"/>
        </w:rPr>
        <w:t>A phased roadmap will make sure that Volvo does not enter India without a clear and comprehensible strategy that will reduce the risk and allocate resources optimally and gradually market penetration.</w:t>
      </w:r>
    </w:p>
    <w:p w:rsidR="003F4BBF" w:rsidRDefault="00BA2738">
      <w:pPr>
        <w:spacing w:before="240"/>
        <w:rPr>
          <w:rFonts w:ascii="Arial" w:hAnsi="Arial" w:cs="Arial"/>
          <w:lang w:val="en-GB"/>
        </w:rPr>
      </w:pPr>
      <w:r>
        <w:rPr>
          <w:rFonts w:ascii="Arial" w:hAnsi="Arial" w:cs="Arial"/>
          <w:b/>
          <w:bCs/>
          <w:lang w:val="en-GB"/>
        </w:rPr>
        <w:t>Phase 1: Market Assessment and Partnership Development</w:t>
      </w:r>
    </w:p>
    <w:p w:rsidR="003F4BBF" w:rsidRDefault="00BA2738">
      <w:pPr>
        <w:spacing w:before="240"/>
        <w:rPr>
          <w:rFonts w:ascii="Arial" w:hAnsi="Arial" w:cs="Arial"/>
          <w:lang w:val="en-GB"/>
        </w:rPr>
      </w:pPr>
      <w:r>
        <w:rPr>
          <w:rFonts w:ascii="Arial" w:hAnsi="Arial" w:cs="Arial"/>
          <w:lang w:val="en-GB"/>
        </w:rPr>
        <w:t>Volvo can start by making a thorough regional market analysis to come up with key customer segments of priority, supply chain limitation and regulatory needs. The interaction with state authorities, industrial groups and prospective suppliers will help to understand the localisation expectations. The first partnerships need to be with the logistics firms, construction companies and municipal transport authorities (</w:t>
      </w:r>
      <w:proofErr w:type="spellStart"/>
      <w:r>
        <w:rPr>
          <w:rFonts w:ascii="Arial" w:hAnsi="Arial" w:cs="Arial"/>
          <w:lang w:val="en-GB"/>
        </w:rPr>
        <w:t>Xin</w:t>
      </w:r>
      <w:proofErr w:type="spellEnd"/>
      <w:r>
        <w:rPr>
          <w:rFonts w:ascii="Arial" w:hAnsi="Arial" w:cs="Arial"/>
          <w:lang w:val="en-GB"/>
        </w:rPr>
        <w:t xml:space="preserve">, 2025). </w:t>
      </w:r>
    </w:p>
    <w:p w:rsidR="003F4BBF" w:rsidRDefault="00BA2738">
      <w:pPr>
        <w:spacing w:before="240"/>
        <w:rPr>
          <w:rFonts w:ascii="Arial" w:hAnsi="Arial" w:cs="Arial"/>
          <w:lang w:val="en-GB"/>
        </w:rPr>
      </w:pPr>
      <w:r>
        <w:rPr>
          <w:rFonts w:ascii="Arial" w:hAnsi="Arial" w:cs="Arial"/>
          <w:b/>
          <w:bCs/>
          <w:lang w:val="en-GB"/>
        </w:rPr>
        <w:t>Phase 2: Initial Product Launch</w:t>
      </w:r>
    </w:p>
    <w:p w:rsidR="003F4BBF" w:rsidRDefault="00BA2738">
      <w:pPr>
        <w:spacing w:before="240"/>
        <w:rPr>
          <w:rFonts w:ascii="Arial" w:hAnsi="Arial" w:cs="Arial"/>
          <w:lang w:val="en-GB"/>
        </w:rPr>
      </w:pPr>
      <w:r>
        <w:rPr>
          <w:rFonts w:ascii="Arial" w:hAnsi="Arial" w:cs="Arial"/>
          <w:lang w:val="en-GB"/>
        </w:rPr>
        <w:t xml:space="preserve">Volvo needs to launch a focused business of heavy-duty trucks, construction equipment, and electric buses. Models that help meet the urgent market demands will </w:t>
      </w:r>
      <w:r>
        <w:rPr>
          <w:rFonts w:ascii="Arial" w:hAnsi="Arial" w:cs="Arial"/>
          <w:lang w:val="en-GB"/>
        </w:rPr>
        <w:lastRenderedPageBreak/>
        <w:t>have first priority e.g. long-haul freight trucks or excavators in infrastructure development. The marketing should focus on performance reliability, safety feature and cost life benefits. EV products with large fleet customers can be piloted to provide early proof of concept.</w:t>
      </w:r>
    </w:p>
    <w:p w:rsidR="003F4BBF" w:rsidRDefault="00BA2738">
      <w:pPr>
        <w:spacing w:before="240"/>
        <w:rPr>
          <w:rFonts w:ascii="Arial" w:hAnsi="Arial" w:cs="Arial"/>
          <w:lang w:val="en-GB"/>
        </w:rPr>
      </w:pPr>
      <w:r>
        <w:rPr>
          <w:rFonts w:ascii="Arial" w:hAnsi="Arial" w:cs="Arial"/>
          <w:b/>
          <w:bCs/>
          <w:lang w:val="en-GB"/>
        </w:rPr>
        <w:t>Phase 3: Local Assembly Plant Investment</w:t>
      </w:r>
    </w:p>
    <w:p w:rsidR="003F4BBF" w:rsidRDefault="00BA2738">
      <w:pPr>
        <w:spacing w:before="240"/>
        <w:rPr>
          <w:rFonts w:ascii="Arial" w:hAnsi="Arial" w:cs="Arial"/>
          <w:lang w:val="en-GB"/>
        </w:rPr>
      </w:pPr>
      <w:r>
        <w:rPr>
          <w:rFonts w:ascii="Arial" w:hAnsi="Arial" w:cs="Arial"/>
          <w:lang w:val="en-GB"/>
        </w:rPr>
        <w:t xml:space="preserve">Based on demand growth, Volvo must consider locating a CKD/SKD facility in an area where there are high logistic connections and supply. This plant will assist in cost-effective pricing and adherence to localisation demands. Training centres should also be included in the investments in order to reskill technicians and service workers. </w:t>
      </w:r>
    </w:p>
    <w:p w:rsidR="003F4BBF" w:rsidRDefault="00BA2738">
      <w:pPr>
        <w:spacing w:before="240"/>
        <w:rPr>
          <w:rFonts w:ascii="Arial" w:hAnsi="Arial" w:cs="Arial"/>
          <w:lang w:val="en-GB"/>
        </w:rPr>
      </w:pPr>
      <w:r>
        <w:rPr>
          <w:rFonts w:ascii="Arial" w:hAnsi="Arial" w:cs="Arial"/>
          <w:b/>
          <w:bCs/>
          <w:lang w:val="en-GB"/>
        </w:rPr>
        <w:t>Phase 4: Scaling with Digital Services and Fleet Financing</w:t>
      </w:r>
    </w:p>
    <w:p w:rsidR="003F4BBF" w:rsidRDefault="00BA2738">
      <w:pPr>
        <w:spacing w:before="240"/>
        <w:rPr>
          <w:rFonts w:ascii="Arial" w:hAnsi="Arial" w:cs="Arial"/>
          <w:lang w:val="en-GB"/>
        </w:rPr>
      </w:pPr>
      <w:r>
        <w:rPr>
          <w:rFonts w:ascii="Arial" w:hAnsi="Arial" w:cs="Arial"/>
          <w:lang w:val="en-GB"/>
        </w:rPr>
        <w:t xml:space="preserve">The stabilisation of physical operations, Volvo will be able to further integrate the market by using digital fleet management solutions, predictive maintenance software, and connected vehicle solutions. The availability of fleet financing by the Volvo Financial Services will make it more available to customers who are limited in capital. </w:t>
      </w:r>
    </w:p>
    <w:p w:rsidR="003F4BBF" w:rsidRDefault="00BA2738">
      <w:pPr>
        <w:spacing w:before="240"/>
        <w:rPr>
          <w:rFonts w:ascii="Arial" w:hAnsi="Arial" w:cs="Arial"/>
          <w:lang w:val="en-GB"/>
        </w:rPr>
      </w:pPr>
      <w:r>
        <w:rPr>
          <w:rFonts w:ascii="Arial" w:hAnsi="Arial" w:cs="Arial"/>
          <w:lang w:val="en-GB"/>
        </w:rPr>
        <w:t>Risks like changes in the regulations, reliability of the suppliers, currency and technological changes have to be tracked in all stages. The successful implementation will require stakeholder alignment, the performance monitoring and strict quality assurance.</w:t>
      </w:r>
    </w:p>
    <w:p w:rsidR="003F4BBF" w:rsidRDefault="00BA2738">
      <w:pPr>
        <w:pStyle w:val="Heading1"/>
        <w:spacing w:before="240"/>
        <w:rPr>
          <w:rFonts w:ascii="Arial" w:hAnsi="Arial" w:cs="Arial"/>
          <w:lang w:val="en-GB"/>
        </w:rPr>
      </w:pPr>
      <w:bookmarkStart w:id="6" w:name="_Toc215479973"/>
      <w:r>
        <w:rPr>
          <w:rFonts w:ascii="Arial" w:hAnsi="Arial" w:cs="Arial"/>
          <w:lang w:val="en-GB"/>
        </w:rPr>
        <w:t>5. Performance Evaluation Framework</w:t>
      </w:r>
      <w:bookmarkEnd w:id="6"/>
      <w:r>
        <w:rPr>
          <w:rFonts w:ascii="Arial" w:hAnsi="Arial" w:cs="Arial"/>
          <w:lang w:val="en-GB"/>
        </w:rPr>
        <w:t xml:space="preserve"> </w:t>
      </w:r>
    </w:p>
    <w:p w:rsidR="003F4BBF" w:rsidRDefault="00BA2738">
      <w:pPr>
        <w:spacing w:before="240"/>
        <w:rPr>
          <w:rFonts w:ascii="Arial" w:hAnsi="Arial" w:cs="Arial"/>
          <w:b/>
          <w:bCs/>
          <w:lang w:val="en-GB"/>
        </w:rPr>
      </w:pPr>
      <w:r>
        <w:rPr>
          <w:rFonts w:ascii="Arial" w:hAnsi="Arial" w:cs="Arial"/>
          <w:b/>
          <w:bCs/>
          <w:lang w:val="en-GB"/>
        </w:rPr>
        <w:t>5.1 Balanced Scorecard KPIs</w:t>
      </w:r>
    </w:p>
    <w:p w:rsidR="003F4BBF" w:rsidRDefault="00BA2738">
      <w:pPr>
        <w:spacing w:before="240"/>
        <w:rPr>
          <w:rFonts w:ascii="Arial" w:hAnsi="Arial" w:cs="Arial"/>
          <w:lang w:val="en-GB"/>
        </w:rPr>
      </w:pPr>
      <w:r>
        <w:rPr>
          <w:rFonts w:ascii="Arial" w:hAnsi="Arial" w:cs="Arial"/>
          <w:lang w:val="en-GB"/>
        </w:rPr>
        <w:t>The balanced Scorecard is a systematic approach to tracking the growth of Volvo in India because it incorporates both financial and non-financial measures. It aligns long term strategic objectives with operational activities, market performance as well as organisational capability development. This alignment is supported by the following KPIs and targets.</w:t>
      </w:r>
    </w:p>
    <w:p w:rsidR="003F4BBF" w:rsidRDefault="00BA2738">
      <w:pPr>
        <w:spacing w:before="240"/>
        <w:rPr>
          <w:rFonts w:ascii="Arial" w:hAnsi="Arial" w:cs="Arial"/>
          <w:b/>
          <w:bCs/>
          <w:lang w:val="en-GB"/>
        </w:rPr>
      </w:pPr>
      <w:r>
        <w:rPr>
          <w:rFonts w:ascii="Arial" w:hAnsi="Arial" w:cs="Arial"/>
          <w:b/>
          <w:bCs/>
          <w:lang w:val="en-GB"/>
        </w:rPr>
        <w:t>Financial Perspective</w:t>
      </w:r>
    </w:p>
    <w:p w:rsidR="003F4BBF" w:rsidRDefault="00BA2738">
      <w:pPr>
        <w:spacing w:before="240"/>
        <w:rPr>
          <w:rFonts w:ascii="Arial" w:hAnsi="Arial" w:cs="Arial"/>
          <w:lang w:val="en-GB"/>
        </w:rPr>
      </w:pPr>
      <w:r>
        <w:rPr>
          <w:rFonts w:ascii="Arial" w:hAnsi="Arial" w:cs="Arial"/>
          <w:b/>
          <w:bCs/>
          <w:lang w:val="en-GB"/>
        </w:rPr>
        <w:lastRenderedPageBreak/>
        <w:t>ROI:</w:t>
      </w:r>
      <w:r>
        <w:rPr>
          <w:rFonts w:ascii="Arial" w:hAnsi="Arial" w:cs="Arial"/>
          <w:lang w:val="en-GB"/>
        </w:rPr>
        <w:t xml:space="preserve"> Aim at the first five-year target of 12 </w:t>
      </w:r>
      <w:proofErr w:type="spellStart"/>
      <w:r>
        <w:rPr>
          <w:rFonts w:ascii="Arial" w:hAnsi="Arial" w:cs="Arial"/>
          <w:lang w:val="en-GB"/>
        </w:rPr>
        <w:t>percent</w:t>
      </w:r>
      <w:proofErr w:type="spellEnd"/>
      <w:r>
        <w:rPr>
          <w:rFonts w:ascii="Arial" w:hAnsi="Arial" w:cs="Arial"/>
          <w:lang w:val="en-GB"/>
        </w:rPr>
        <w:t xml:space="preserve"> of ROI. Measurement entails a comparison of net operating profit to total investment on market entry, assembly plants and localisation projects. The report needs to be filed semi-annually to indicate the changing demand and scale-up of operation.</w:t>
      </w:r>
    </w:p>
    <w:p w:rsidR="003F4BBF" w:rsidRDefault="00BA2738">
      <w:pPr>
        <w:spacing w:before="240"/>
        <w:rPr>
          <w:rFonts w:ascii="Arial" w:hAnsi="Arial" w:cs="Arial"/>
          <w:lang w:val="en-GB"/>
        </w:rPr>
      </w:pPr>
      <w:r>
        <w:rPr>
          <w:rFonts w:ascii="Arial" w:hAnsi="Arial" w:cs="Arial"/>
          <w:b/>
          <w:bCs/>
          <w:lang w:val="en-GB"/>
        </w:rPr>
        <w:t>Payback Period:</w:t>
      </w:r>
      <w:r>
        <w:rPr>
          <w:rFonts w:ascii="Arial" w:hAnsi="Arial" w:cs="Arial"/>
          <w:lang w:val="en-GB"/>
        </w:rPr>
        <w:t xml:space="preserve"> A payback period of seven years shall be the target. The evaluation incorporates cumulative cash flows of vehicle sales, service contracts as well as financing income (</w:t>
      </w:r>
      <w:proofErr w:type="spellStart"/>
      <w:r>
        <w:rPr>
          <w:rFonts w:ascii="Arial" w:hAnsi="Arial" w:cs="Arial"/>
          <w:lang w:val="en-GB"/>
        </w:rPr>
        <w:t>Potharla</w:t>
      </w:r>
      <w:proofErr w:type="spellEnd"/>
      <w:r>
        <w:rPr>
          <w:rFonts w:ascii="Arial" w:hAnsi="Arial" w:cs="Arial"/>
          <w:lang w:val="en-GB"/>
        </w:rPr>
        <w:t>, 2025). Deviations cause consideration of pricing strategy, speed of localisation or product mix.</w:t>
      </w:r>
    </w:p>
    <w:p w:rsidR="003F4BBF" w:rsidRDefault="00BA2738">
      <w:pPr>
        <w:spacing w:before="240"/>
        <w:rPr>
          <w:rFonts w:ascii="Arial" w:hAnsi="Arial" w:cs="Arial"/>
          <w:lang w:val="en-GB"/>
        </w:rPr>
      </w:pPr>
      <w:r>
        <w:rPr>
          <w:rFonts w:ascii="Arial" w:hAnsi="Arial" w:cs="Arial"/>
          <w:b/>
          <w:bCs/>
          <w:lang w:val="en-GB"/>
        </w:rPr>
        <w:t>Market Share Increase:</w:t>
      </w:r>
      <w:r>
        <w:rPr>
          <w:rFonts w:ascii="Arial" w:hAnsi="Arial" w:cs="Arial"/>
          <w:lang w:val="en-GB"/>
        </w:rPr>
        <w:t xml:space="preserve"> The five years increase market share by 3 </w:t>
      </w:r>
      <w:proofErr w:type="spellStart"/>
      <w:r>
        <w:rPr>
          <w:rFonts w:ascii="Arial" w:hAnsi="Arial" w:cs="Arial"/>
          <w:lang w:val="en-GB"/>
        </w:rPr>
        <w:t>percent</w:t>
      </w:r>
      <w:proofErr w:type="spellEnd"/>
      <w:r>
        <w:rPr>
          <w:rFonts w:ascii="Arial" w:hAnsi="Arial" w:cs="Arial"/>
          <w:lang w:val="en-GB"/>
        </w:rPr>
        <w:t xml:space="preserve"> in the heavy-duty truck segment and 2 </w:t>
      </w:r>
      <w:proofErr w:type="spellStart"/>
      <w:r>
        <w:rPr>
          <w:rFonts w:ascii="Arial" w:hAnsi="Arial" w:cs="Arial"/>
          <w:lang w:val="en-GB"/>
        </w:rPr>
        <w:t>percent</w:t>
      </w:r>
      <w:proofErr w:type="spellEnd"/>
      <w:r>
        <w:rPr>
          <w:rFonts w:ascii="Arial" w:hAnsi="Arial" w:cs="Arial"/>
          <w:lang w:val="en-GB"/>
        </w:rPr>
        <w:t xml:space="preserve"> in the construction equipment segment. The marketing and sales efforts will be adjusted through quarterly reviews based on sales data in the industry.</w:t>
      </w:r>
    </w:p>
    <w:p w:rsidR="003F4BBF" w:rsidRDefault="00BA2738">
      <w:pPr>
        <w:spacing w:before="240"/>
        <w:rPr>
          <w:rFonts w:ascii="Arial" w:hAnsi="Arial" w:cs="Arial"/>
          <w:b/>
          <w:bCs/>
          <w:lang w:val="en-GB"/>
        </w:rPr>
      </w:pPr>
      <w:r>
        <w:rPr>
          <w:rFonts w:ascii="Arial" w:hAnsi="Arial" w:cs="Arial"/>
          <w:b/>
          <w:bCs/>
          <w:lang w:val="en-GB"/>
        </w:rPr>
        <w:t>Customer Perspective</w:t>
      </w:r>
    </w:p>
    <w:p w:rsidR="003F4BBF" w:rsidRDefault="00BA2738">
      <w:pPr>
        <w:spacing w:before="240"/>
        <w:rPr>
          <w:rFonts w:ascii="Arial" w:hAnsi="Arial" w:cs="Arial"/>
          <w:lang w:val="en-GB"/>
        </w:rPr>
      </w:pPr>
      <w:r>
        <w:rPr>
          <w:rFonts w:ascii="Arial" w:hAnsi="Arial" w:cs="Arial"/>
          <w:b/>
          <w:bCs/>
          <w:lang w:val="en-GB"/>
        </w:rPr>
        <w:t>Fleet Customer Satisfaction:</w:t>
      </w:r>
      <w:r>
        <w:rPr>
          <w:rFonts w:ascii="Arial" w:hAnsi="Arial" w:cs="Arial"/>
          <w:lang w:val="en-GB"/>
        </w:rPr>
        <w:t xml:space="preserve"> Achieve 85 </w:t>
      </w:r>
      <w:proofErr w:type="spellStart"/>
      <w:r>
        <w:rPr>
          <w:rFonts w:ascii="Arial" w:hAnsi="Arial" w:cs="Arial"/>
          <w:lang w:val="en-GB"/>
        </w:rPr>
        <w:t>percent</w:t>
      </w:r>
      <w:proofErr w:type="spellEnd"/>
      <w:r>
        <w:rPr>
          <w:rFonts w:ascii="Arial" w:hAnsi="Arial" w:cs="Arial"/>
          <w:lang w:val="en-GB"/>
        </w:rPr>
        <w:t xml:space="preserve"> satisfaction rating within the initial three years, which will be determined by structured surveys, feedback on service and uptime variables.</w:t>
      </w:r>
    </w:p>
    <w:p w:rsidR="003F4BBF" w:rsidRDefault="00BA2738">
      <w:pPr>
        <w:spacing w:before="240"/>
        <w:rPr>
          <w:rFonts w:ascii="Arial" w:hAnsi="Arial" w:cs="Arial"/>
          <w:lang w:val="en-GB"/>
        </w:rPr>
      </w:pPr>
      <w:r>
        <w:rPr>
          <w:rFonts w:ascii="Arial" w:hAnsi="Arial" w:cs="Arial"/>
          <w:b/>
          <w:bCs/>
          <w:lang w:val="en-GB"/>
        </w:rPr>
        <w:t>Delivery Lead Times:</w:t>
      </w:r>
      <w:r>
        <w:rPr>
          <w:rFonts w:ascii="Arial" w:hAnsi="Arial" w:cs="Arial"/>
          <w:lang w:val="en-GB"/>
        </w:rPr>
        <w:t xml:space="preserve"> Target to achieve the 15 </w:t>
      </w:r>
      <w:proofErr w:type="spellStart"/>
      <w:r>
        <w:rPr>
          <w:rFonts w:ascii="Arial" w:hAnsi="Arial" w:cs="Arial"/>
          <w:lang w:val="en-GB"/>
        </w:rPr>
        <w:t>percent</w:t>
      </w:r>
      <w:proofErr w:type="spellEnd"/>
      <w:r>
        <w:rPr>
          <w:rFonts w:ascii="Arial" w:hAnsi="Arial" w:cs="Arial"/>
          <w:lang w:val="en-GB"/>
        </w:rPr>
        <w:t xml:space="preserve"> annual reduction of lead times as local assembly takes effect. The measurement will be through the monitoring of order-delivery time frames per region, and improvement of processes can be focused (e Silva, Expert and </w:t>
      </w:r>
      <w:proofErr w:type="spellStart"/>
      <w:r>
        <w:rPr>
          <w:rFonts w:ascii="Arial" w:hAnsi="Arial" w:cs="Arial"/>
          <w:lang w:val="en-GB"/>
        </w:rPr>
        <w:t>Miani</w:t>
      </w:r>
      <w:proofErr w:type="spellEnd"/>
      <w:r>
        <w:rPr>
          <w:rFonts w:ascii="Arial" w:hAnsi="Arial" w:cs="Arial"/>
          <w:lang w:val="en-GB"/>
        </w:rPr>
        <w:t>, 2025).</w:t>
      </w:r>
    </w:p>
    <w:p w:rsidR="003F4BBF" w:rsidRDefault="00BA2738">
      <w:pPr>
        <w:spacing w:before="240"/>
        <w:rPr>
          <w:rFonts w:ascii="Arial" w:hAnsi="Arial" w:cs="Arial"/>
          <w:b/>
          <w:bCs/>
          <w:lang w:val="en-GB"/>
        </w:rPr>
      </w:pPr>
      <w:r>
        <w:rPr>
          <w:rFonts w:ascii="Arial" w:hAnsi="Arial" w:cs="Arial"/>
          <w:b/>
          <w:bCs/>
          <w:lang w:val="en-GB"/>
        </w:rPr>
        <w:t>Internal Processes</w:t>
      </w:r>
    </w:p>
    <w:p w:rsidR="003F4BBF" w:rsidRDefault="00BA2738">
      <w:pPr>
        <w:spacing w:before="240"/>
        <w:rPr>
          <w:rFonts w:ascii="Arial" w:hAnsi="Arial" w:cs="Arial"/>
          <w:lang w:val="en-GB"/>
        </w:rPr>
      </w:pPr>
      <w:r>
        <w:rPr>
          <w:rFonts w:ascii="Arial" w:hAnsi="Arial" w:cs="Arial"/>
          <w:b/>
          <w:bCs/>
          <w:lang w:val="en-GB"/>
        </w:rPr>
        <w:t>Local Supplier Integration:</w:t>
      </w:r>
      <w:r>
        <w:rPr>
          <w:rFonts w:ascii="Arial" w:hAnsi="Arial" w:cs="Arial"/>
          <w:lang w:val="en-GB"/>
        </w:rPr>
        <w:t xml:space="preserve"> Aim 40 </w:t>
      </w:r>
      <w:proofErr w:type="spellStart"/>
      <w:r>
        <w:rPr>
          <w:rFonts w:ascii="Arial" w:hAnsi="Arial" w:cs="Arial"/>
          <w:lang w:val="en-GB"/>
        </w:rPr>
        <w:t>percent</w:t>
      </w:r>
      <w:proofErr w:type="spellEnd"/>
      <w:r>
        <w:rPr>
          <w:rFonts w:ascii="Arial" w:hAnsi="Arial" w:cs="Arial"/>
          <w:lang w:val="en-GB"/>
        </w:rPr>
        <w:t xml:space="preserve"> localisation in five years. Welcoming measurements comprise the percentage of components that are sourced locally and the evaluation of supplier performance.</w:t>
      </w:r>
    </w:p>
    <w:p w:rsidR="003F4BBF" w:rsidRDefault="00BA2738">
      <w:pPr>
        <w:spacing w:before="240"/>
        <w:rPr>
          <w:rFonts w:ascii="Arial" w:hAnsi="Arial" w:cs="Arial"/>
          <w:lang w:val="en-GB"/>
        </w:rPr>
      </w:pPr>
      <w:r>
        <w:rPr>
          <w:rFonts w:ascii="Arial" w:hAnsi="Arial" w:cs="Arial"/>
          <w:b/>
          <w:bCs/>
          <w:lang w:val="en-GB"/>
        </w:rPr>
        <w:t>Assembly Efficiency:</w:t>
      </w:r>
      <w:r>
        <w:rPr>
          <w:rFonts w:ascii="Arial" w:hAnsi="Arial" w:cs="Arial"/>
          <w:lang w:val="en-GB"/>
        </w:rPr>
        <w:t xml:space="preserve"> Target improvement in assembly cycle time by 10 </w:t>
      </w:r>
      <w:proofErr w:type="spellStart"/>
      <w:r>
        <w:rPr>
          <w:rFonts w:ascii="Arial" w:hAnsi="Arial" w:cs="Arial"/>
          <w:lang w:val="en-GB"/>
        </w:rPr>
        <w:t>percent</w:t>
      </w:r>
      <w:proofErr w:type="spellEnd"/>
      <w:r>
        <w:rPr>
          <w:rFonts w:ascii="Arial" w:hAnsi="Arial" w:cs="Arial"/>
          <w:lang w:val="en-GB"/>
        </w:rPr>
        <w:t>/year. Monitoring will be on monthly basis with an emphasis on productivity, rate of defects and rate of rework.</w:t>
      </w:r>
    </w:p>
    <w:p w:rsidR="003F4BBF" w:rsidRDefault="00BA2738">
      <w:pPr>
        <w:spacing w:before="240"/>
        <w:rPr>
          <w:rFonts w:ascii="Arial" w:hAnsi="Arial" w:cs="Arial"/>
          <w:b/>
          <w:bCs/>
          <w:lang w:val="en-GB"/>
        </w:rPr>
      </w:pPr>
      <w:r>
        <w:rPr>
          <w:rFonts w:ascii="Arial" w:hAnsi="Arial" w:cs="Arial"/>
          <w:b/>
          <w:bCs/>
          <w:lang w:val="en-GB"/>
        </w:rPr>
        <w:lastRenderedPageBreak/>
        <w:t>Learning &amp; Growth</w:t>
      </w:r>
    </w:p>
    <w:p w:rsidR="003F4BBF" w:rsidRDefault="00BA2738">
      <w:pPr>
        <w:spacing w:before="240"/>
        <w:rPr>
          <w:rFonts w:ascii="Arial" w:hAnsi="Arial" w:cs="Arial"/>
          <w:lang w:val="en-GB"/>
        </w:rPr>
      </w:pPr>
      <w:r>
        <w:rPr>
          <w:rFonts w:ascii="Arial" w:hAnsi="Arial" w:cs="Arial"/>
          <w:b/>
          <w:bCs/>
          <w:lang w:val="en-GB"/>
        </w:rPr>
        <w:t>Workforce Training</w:t>
      </w:r>
      <w:r>
        <w:rPr>
          <w:rFonts w:ascii="Arial" w:hAnsi="Arial" w:cs="Arial"/>
          <w:lang w:val="en-GB"/>
        </w:rPr>
        <w:t>: To achieve 1,000 technician training hours per year, mainly on EV maintenance and safety systems and diagnostic skills.</w:t>
      </w:r>
    </w:p>
    <w:p w:rsidR="003F4BBF" w:rsidRDefault="00BA2738">
      <w:pPr>
        <w:spacing w:before="240"/>
        <w:rPr>
          <w:rFonts w:ascii="Arial" w:hAnsi="Arial" w:cs="Arial"/>
          <w:lang w:val="en-GB"/>
        </w:rPr>
      </w:pPr>
      <w:r>
        <w:rPr>
          <w:rFonts w:ascii="Arial" w:hAnsi="Arial" w:cs="Arial"/>
          <w:b/>
          <w:bCs/>
          <w:lang w:val="en-GB"/>
        </w:rPr>
        <w:t>EV Technology Capability Development:</w:t>
      </w:r>
      <w:r>
        <w:rPr>
          <w:rFonts w:ascii="Arial" w:hAnsi="Arial" w:cs="Arial"/>
          <w:lang w:val="en-GB"/>
        </w:rPr>
        <w:t xml:space="preserve"> Intend to launch at least two locally-supported EV models in five years. The measurement entails monitoring engineering capacity, service preparation and charging alliance development.</w:t>
      </w:r>
    </w:p>
    <w:p w:rsidR="003F4BBF" w:rsidRDefault="00BA2738">
      <w:pPr>
        <w:spacing w:before="240"/>
        <w:rPr>
          <w:rFonts w:ascii="Arial" w:hAnsi="Arial" w:cs="Arial"/>
          <w:lang w:val="en-GB"/>
        </w:rPr>
      </w:pPr>
      <w:r>
        <w:rPr>
          <w:rFonts w:ascii="Arial" w:hAnsi="Arial" w:cs="Arial"/>
          <w:lang w:val="en-GB"/>
        </w:rPr>
        <w:t>All perspectives reporting cycle must be based on quarterly country leadership review with an annual strategic review to assess the long-term trajectory.</w:t>
      </w:r>
    </w:p>
    <w:p w:rsidR="003F4BBF" w:rsidRDefault="00BA2738">
      <w:pPr>
        <w:spacing w:before="240"/>
        <w:rPr>
          <w:rFonts w:ascii="Arial" w:hAnsi="Arial" w:cs="Arial"/>
          <w:b/>
          <w:bCs/>
          <w:lang w:val="en-GB"/>
        </w:rPr>
      </w:pPr>
      <w:r>
        <w:rPr>
          <w:rFonts w:ascii="Arial" w:hAnsi="Arial" w:cs="Arial"/>
          <w:b/>
          <w:bCs/>
          <w:lang w:val="en-GB"/>
        </w:rPr>
        <w:t>5.2 Critical Evaluation of the Balanced Scorecard</w:t>
      </w:r>
    </w:p>
    <w:p w:rsidR="003F4BBF" w:rsidRDefault="00BA2738">
      <w:pPr>
        <w:spacing w:before="240"/>
        <w:rPr>
          <w:rFonts w:ascii="Arial" w:hAnsi="Arial" w:cs="Arial"/>
          <w:lang w:val="en-GB"/>
        </w:rPr>
      </w:pPr>
      <w:r>
        <w:rPr>
          <w:rFonts w:ascii="Arial" w:hAnsi="Arial" w:cs="Arial"/>
          <w:lang w:val="en-GB"/>
        </w:rPr>
        <w:t>The Balanced Scorecard gives out the complete visibility on the financial results, operational processes, customer satisfaction and organisational capability. It will make sure that the decisions of Volvo expansion are not based on short-term profitability only, but they are compensated by the ability to develop capabilities and create customer value in the long term (</w:t>
      </w:r>
      <w:proofErr w:type="spellStart"/>
      <w:r>
        <w:rPr>
          <w:rFonts w:ascii="Arial" w:hAnsi="Arial" w:cs="Arial"/>
          <w:lang w:val="en-GB"/>
        </w:rPr>
        <w:t>Nyström</w:t>
      </w:r>
      <w:proofErr w:type="spellEnd"/>
      <w:r>
        <w:rPr>
          <w:rFonts w:ascii="Arial" w:hAnsi="Arial" w:cs="Arial"/>
          <w:lang w:val="en-GB"/>
        </w:rPr>
        <w:t xml:space="preserve"> and </w:t>
      </w:r>
      <w:proofErr w:type="spellStart"/>
      <w:r>
        <w:rPr>
          <w:rFonts w:ascii="Arial" w:hAnsi="Arial" w:cs="Arial"/>
          <w:lang w:val="en-GB"/>
        </w:rPr>
        <w:t>Ramic</w:t>
      </w:r>
      <w:proofErr w:type="spellEnd"/>
      <w:r>
        <w:rPr>
          <w:rFonts w:ascii="Arial" w:hAnsi="Arial" w:cs="Arial"/>
          <w:lang w:val="en-GB"/>
        </w:rPr>
        <w:t xml:space="preserve">, 2024). </w:t>
      </w:r>
    </w:p>
    <w:p w:rsidR="003F4BBF" w:rsidRDefault="00BA2738">
      <w:pPr>
        <w:spacing w:before="240"/>
        <w:rPr>
          <w:rFonts w:ascii="Arial" w:hAnsi="Arial" w:cs="Arial"/>
          <w:lang w:val="en-GB"/>
        </w:rPr>
      </w:pPr>
      <w:r>
        <w:rPr>
          <w:rFonts w:ascii="Arial" w:hAnsi="Arial" w:cs="Arial"/>
          <w:lang w:val="en-GB"/>
        </w:rPr>
        <w:t xml:space="preserve">Nevertheless, the BSC is also limited in several ways. There may be a challenge in attributing the qualitative indicators, including customer satisfaction or workforce training, to financial performance. The existence of some metrics aimed at measuring results may take long time horizons to be measurable, which may cause the misinterpretation or impatience of the stakeholders. </w:t>
      </w:r>
    </w:p>
    <w:p w:rsidR="003F4BBF" w:rsidRDefault="00BA2738">
      <w:pPr>
        <w:spacing w:before="240"/>
        <w:rPr>
          <w:rFonts w:ascii="Arial" w:hAnsi="Arial" w:cs="Arial"/>
          <w:b/>
          <w:bCs/>
          <w:lang w:val="en-GB"/>
        </w:rPr>
      </w:pPr>
      <w:r>
        <w:rPr>
          <w:rFonts w:ascii="Arial" w:hAnsi="Arial" w:cs="Arial"/>
          <w:b/>
          <w:bCs/>
          <w:lang w:val="en-GB"/>
        </w:rPr>
        <w:t>5.3 Risk Monitoring &amp; Strategic Control System</w:t>
      </w:r>
    </w:p>
    <w:p w:rsidR="003F4BBF" w:rsidRDefault="00BA2738">
      <w:pPr>
        <w:spacing w:before="240"/>
        <w:rPr>
          <w:rFonts w:ascii="Arial" w:hAnsi="Arial" w:cs="Arial"/>
          <w:lang w:val="en-GB"/>
        </w:rPr>
      </w:pPr>
      <w:r>
        <w:rPr>
          <w:rFonts w:ascii="Arial" w:hAnsi="Arial" w:cs="Arial"/>
          <w:lang w:val="en-GB"/>
        </w:rPr>
        <w:t xml:space="preserve">An effective implementation of the strategy of Volvo in the dynamic market in India requires a strong risk monitoring and control system. The most notable risks to be mentioned in a structured risk register include regulatory changes, supplier reliability problems, currency changes, EV infrastructure delays, workforce skill shortages, and actions of competing forces. All risks should be rated in terms of probability and impact and the operational teams should be tasked with the responsibility of risk mitigation. The traditional performance indicators must be supplemented with leading indicators; those </w:t>
      </w:r>
      <w:r>
        <w:rPr>
          <w:rFonts w:ascii="Arial" w:hAnsi="Arial" w:cs="Arial"/>
          <w:lang w:val="en-GB"/>
        </w:rPr>
        <w:lastRenderedPageBreak/>
        <w:t>leading indicators include early changes in fleet customer demand, supplier capacity hurdles, import duties alterations, commodity price fluctuations and charging infrastructure delays (</w:t>
      </w:r>
      <w:proofErr w:type="spellStart"/>
      <w:r>
        <w:rPr>
          <w:rFonts w:ascii="Arial" w:hAnsi="Arial" w:cs="Arial"/>
          <w:lang w:val="en-GB"/>
        </w:rPr>
        <w:t>Shrestha</w:t>
      </w:r>
      <w:proofErr w:type="spellEnd"/>
      <w:r>
        <w:rPr>
          <w:rFonts w:ascii="Arial" w:hAnsi="Arial" w:cs="Arial"/>
          <w:lang w:val="en-GB"/>
        </w:rPr>
        <w:t xml:space="preserve">, 2024). In case the EV adoption rate decreases, Volvo will be able to prioritise efficient diesel products without losing the willingness to be electrified. </w:t>
      </w:r>
    </w:p>
    <w:p w:rsidR="003F4BBF" w:rsidRDefault="00BA2738">
      <w:pPr>
        <w:pStyle w:val="Heading1"/>
        <w:spacing w:before="240"/>
        <w:rPr>
          <w:rFonts w:ascii="Arial" w:hAnsi="Arial" w:cs="Arial"/>
          <w:lang w:val="en-GB"/>
        </w:rPr>
      </w:pPr>
      <w:bookmarkStart w:id="7" w:name="_Toc215479974"/>
      <w:r>
        <w:rPr>
          <w:rFonts w:ascii="Arial" w:hAnsi="Arial" w:cs="Arial"/>
          <w:lang w:val="en-GB"/>
        </w:rPr>
        <w:t>6. Conclusion &amp; Strategic Implications</w:t>
      </w:r>
      <w:bookmarkEnd w:id="7"/>
      <w:r>
        <w:rPr>
          <w:rFonts w:ascii="Arial" w:hAnsi="Arial" w:cs="Arial"/>
          <w:lang w:val="en-GB"/>
        </w:rPr>
        <w:t xml:space="preserve"> </w:t>
      </w:r>
    </w:p>
    <w:p w:rsidR="003F4BBF" w:rsidRDefault="00BA2738">
      <w:pPr>
        <w:spacing w:before="240"/>
        <w:rPr>
          <w:rFonts w:ascii="Arial" w:hAnsi="Arial" w:cs="Arial"/>
          <w:lang w:val="en-GB"/>
        </w:rPr>
      </w:pPr>
      <w:r>
        <w:rPr>
          <w:rFonts w:ascii="Arial" w:hAnsi="Arial" w:cs="Arial"/>
          <w:lang w:val="en-GB"/>
        </w:rPr>
        <w:t xml:space="preserve">India is a good destination given the aura of growth over the years that has seen the beginnings of economic growth, massive infrastructure projects and network of logistics. The emerging sustainability policies alongside an increase in the demand of high-performance commercial vehicles and construction equipment had placed the country under a strategically attractive environment to Volvo in the long-term expansion. </w:t>
      </w:r>
    </w:p>
    <w:p w:rsidR="003F4BBF" w:rsidRDefault="00BA2738">
      <w:pPr>
        <w:spacing w:before="240"/>
        <w:rPr>
          <w:rFonts w:ascii="Arial" w:hAnsi="Arial" w:cs="Arial"/>
          <w:lang w:val="en-GB"/>
        </w:rPr>
      </w:pPr>
      <w:r>
        <w:rPr>
          <w:rFonts w:ascii="Arial" w:hAnsi="Arial" w:cs="Arial"/>
          <w:lang w:val="en-GB"/>
        </w:rPr>
        <w:t xml:space="preserve">The strategic fit of the competencies of Volvo and the needs of India can be seen. </w:t>
      </w:r>
      <w:proofErr w:type="gramStart"/>
      <w:r>
        <w:rPr>
          <w:rFonts w:ascii="Arial" w:hAnsi="Arial" w:cs="Arial"/>
          <w:lang w:val="en-GB"/>
        </w:rPr>
        <w:t>Volvo focus on durability, advanced safety systems, electrified platforms and lifecycle performance appeals to customer segments that need reliability and operation efficiency.</w:t>
      </w:r>
      <w:proofErr w:type="gramEnd"/>
      <w:r>
        <w:rPr>
          <w:rFonts w:ascii="Arial" w:hAnsi="Arial" w:cs="Arial"/>
          <w:lang w:val="en-GB"/>
        </w:rPr>
        <w:t xml:space="preserve"> The analysis shows that Volvo has internal strengths of global supply chain strength, engineering knowledge and investment power that are able to handle the challenges in a competitive and still growing market.</w:t>
      </w:r>
    </w:p>
    <w:p w:rsidR="003F4BBF" w:rsidRDefault="00BA2738">
      <w:pPr>
        <w:spacing w:before="240"/>
        <w:rPr>
          <w:rFonts w:ascii="Arial" w:hAnsi="Arial" w:cs="Arial"/>
          <w:lang w:val="en-GB"/>
        </w:rPr>
      </w:pPr>
      <w:r>
        <w:rPr>
          <w:rFonts w:ascii="Arial" w:hAnsi="Arial" w:cs="Arial"/>
          <w:lang w:val="en-GB"/>
        </w:rPr>
        <w:t xml:space="preserve">The suggested entry planning, </w:t>
      </w:r>
      <w:proofErr w:type="gramStart"/>
      <w:r>
        <w:rPr>
          <w:rFonts w:ascii="Arial" w:hAnsi="Arial" w:cs="Arial"/>
          <w:lang w:val="en-GB"/>
        </w:rPr>
        <w:t>which revolves around opening of CKD/SKD assembly plant, compromises on the control, cost-effective and localisation demands.</w:t>
      </w:r>
      <w:proofErr w:type="gramEnd"/>
      <w:r>
        <w:rPr>
          <w:rFonts w:ascii="Arial" w:hAnsi="Arial" w:cs="Arial"/>
          <w:lang w:val="en-GB"/>
        </w:rPr>
        <w:t xml:space="preserve"> This graded process will enable Volvo to take a risk, secure technological capability and gradually increase operations in line with the market demand. The addition of digital fleet services to local assembly complements the value offering that Volvo has, as well as the sustainability goals that it aims to achieve through charging partnerships and specific financing solutions.</w:t>
      </w:r>
    </w:p>
    <w:p w:rsidR="003F4BBF" w:rsidRDefault="00BA2738">
      <w:pPr>
        <w:spacing w:before="240"/>
        <w:rPr>
          <w:rFonts w:ascii="Arial" w:hAnsi="Arial" w:cs="Arial"/>
          <w:lang w:val="en-GB"/>
        </w:rPr>
      </w:pPr>
      <w:r>
        <w:rPr>
          <w:rFonts w:ascii="Arial" w:hAnsi="Arial" w:cs="Arial"/>
          <w:lang w:val="en-GB"/>
        </w:rPr>
        <w:t xml:space="preserve">The benefits that the expansion will have in the long term will be more diversification of the market, competitiveness in the growing economies, and the ability to lead in the field of sustainable heavy-duty mobility. Along with the fact that this strategy can be adopted as one of the responses to the national policies of the industry and the fact that Volvo </w:t>
      </w:r>
      <w:r>
        <w:rPr>
          <w:rFonts w:ascii="Arial" w:hAnsi="Arial" w:cs="Arial"/>
          <w:lang w:val="en-GB"/>
        </w:rPr>
        <w:lastRenderedPageBreak/>
        <w:t>invests in decarbonisation with the help of electrified vehicles and other technologies with lower emission rates, supporting this strategy is possible.</w:t>
      </w:r>
    </w:p>
    <w:p w:rsidR="003F4BBF" w:rsidRDefault="00BA2738">
      <w:pPr>
        <w:spacing w:before="240"/>
        <w:rPr>
          <w:rFonts w:ascii="Arial" w:hAnsi="Arial" w:cs="Arial"/>
          <w:lang w:val="en-GB"/>
        </w:rPr>
      </w:pPr>
      <w:r>
        <w:rPr>
          <w:rFonts w:ascii="Arial" w:hAnsi="Arial" w:cs="Arial"/>
          <w:lang w:val="en-GB"/>
        </w:rPr>
        <w:t>However, implementation will be complicated. It involves alignment of regulatory settings, supplier chain, fleet managers and technology alliances. The growth also has its consequences on global competitiveness of Volvo as the company can use the new-market insights to improve product development and sustainability approaches globally.</w:t>
      </w:r>
    </w:p>
    <w:p w:rsidR="003F4BBF" w:rsidRDefault="00BA2738">
      <w:pPr>
        <w:spacing w:before="240"/>
        <w:rPr>
          <w:rFonts w:ascii="Arial" w:hAnsi="Arial" w:cs="Arial"/>
          <w:lang w:val="en-GB"/>
        </w:rPr>
      </w:pPr>
      <w:r>
        <w:rPr>
          <w:rFonts w:ascii="Arial" w:hAnsi="Arial" w:cs="Arial"/>
          <w:lang w:val="en-GB"/>
        </w:rPr>
        <w:t>The future studies may examine more opportunities of localisation, long-term dynamics in EV infrastructure, and how autonomous technologies will impact the transformation of the logistics in India.</w:t>
      </w:r>
      <w:r>
        <w:rPr>
          <w:rFonts w:ascii="Arial" w:hAnsi="Arial" w:cs="Arial"/>
          <w:lang w:val="en-GB"/>
        </w:rPr>
        <w:br w:type="page"/>
      </w:r>
    </w:p>
    <w:p w:rsidR="003F4BBF" w:rsidRDefault="00BA2738">
      <w:pPr>
        <w:pStyle w:val="Heading1"/>
        <w:spacing w:before="240"/>
        <w:rPr>
          <w:rFonts w:ascii="Arial" w:hAnsi="Arial" w:cs="Arial"/>
          <w:lang w:val="en-GB"/>
        </w:rPr>
      </w:pPr>
      <w:bookmarkStart w:id="8" w:name="_Toc215479975"/>
      <w:r>
        <w:rPr>
          <w:rFonts w:ascii="Arial" w:hAnsi="Arial" w:cs="Arial"/>
          <w:lang w:val="en-GB"/>
        </w:rPr>
        <w:lastRenderedPageBreak/>
        <w:t>References</w:t>
      </w:r>
      <w:bookmarkEnd w:id="8"/>
    </w:p>
    <w:p w:rsidR="003F4BBF" w:rsidRDefault="00BA2738">
      <w:pPr>
        <w:spacing w:before="240"/>
        <w:rPr>
          <w:rFonts w:ascii="Arial" w:hAnsi="Arial" w:cs="Arial"/>
          <w:lang w:val="en-GB"/>
        </w:rPr>
      </w:pPr>
      <w:r>
        <w:rPr>
          <w:rFonts w:ascii="Arial" w:hAnsi="Arial" w:cs="Arial"/>
          <w:lang w:val="en-GB"/>
        </w:rPr>
        <w:t xml:space="preserve">Alex, P.H.L., 2024. </w:t>
      </w:r>
      <w:proofErr w:type="gramStart"/>
      <w:r>
        <w:rPr>
          <w:rFonts w:ascii="Arial" w:hAnsi="Arial" w:cs="Arial"/>
          <w:lang w:val="en-GB"/>
        </w:rPr>
        <w:t>Financial analysis on GEELY major acquisition on Volvo.</w:t>
      </w:r>
      <w:proofErr w:type="gramEnd"/>
      <w:r>
        <w:rPr>
          <w:rFonts w:ascii="Arial" w:hAnsi="Arial" w:cs="Arial"/>
          <w:lang w:val="en-GB"/>
        </w:rPr>
        <w:t> </w:t>
      </w:r>
      <w:proofErr w:type="gramStart"/>
      <w:r>
        <w:rPr>
          <w:rFonts w:ascii="Arial" w:hAnsi="Arial" w:cs="Arial"/>
          <w:i/>
          <w:iCs/>
          <w:lang w:val="en-GB"/>
        </w:rPr>
        <w:t>Accounting and Corporate Management</w:t>
      </w:r>
      <w:r>
        <w:rPr>
          <w:rFonts w:ascii="Arial" w:hAnsi="Arial" w:cs="Arial"/>
          <w:lang w:val="en-GB"/>
        </w:rPr>
        <w:t>, </w:t>
      </w:r>
      <w:r>
        <w:rPr>
          <w:rFonts w:ascii="Arial" w:hAnsi="Arial" w:cs="Arial"/>
          <w:i/>
          <w:iCs/>
          <w:lang w:val="en-GB"/>
        </w:rPr>
        <w:t>6</w:t>
      </w:r>
      <w:r>
        <w:rPr>
          <w:rFonts w:ascii="Arial" w:hAnsi="Arial" w:cs="Arial"/>
          <w:lang w:val="en-GB"/>
        </w:rPr>
        <w:t>(1), pp.1-8.</w:t>
      </w:r>
      <w:proofErr w:type="gramEnd"/>
    </w:p>
    <w:p w:rsidR="003F4BBF" w:rsidRDefault="00BA2738">
      <w:pPr>
        <w:spacing w:before="240"/>
        <w:rPr>
          <w:rFonts w:ascii="Arial" w:hAnsi="Arial" w:cs="Arial"/>
          <w:lang w:val="en-GB"/>
        </w:rPr>
      </w:pPr>
      <w:proofErr w:type="spellStart"/>
      <w:proofErr w:type="gramStart"/>
      <w:r>
        <w:rPr>
          <w:rFonts w:ascii="Arial" w:hAnsi="Arial" w:cs="Arial"/>
          <w:lang w:val="en-GB"/>
        </w:rPr>
        <w:t>Canvasbusinessmodel</w:t>
      </w:r>
      <w:proofErr w:type="spellEnd"/>
      <w:r>
        <w:rPr>
          <w:rFonts w:ascii="Arial" w:hAnsi="Arial" w:cs="Arial"/>
          <w:lang w:val="en-GB"/>
        </w:rPr>
        <w:t>, 2025.</w:t>
      </w:r>
      <w:proofErr w:type="gramEnd"/>
      <w:r>
        <w:rPr>
          <w:rFonts w:ascii="Arial" w:hAnsi="Arial" w:cs="Arial"/>
          <w:lang w:val="en-GB"/>
        </w:rPr>
        <w:t xml:space="preserve"> </w:t>
      </w:r>
      <w:proofErr w:type="gramStart"/>
      <w:r>
        <w:rPr>
          <w:rFonts w:ascii="Arial" w:hAnsi="Arial" w:cs="Arial"/>
          <w:i/>
          <w:iCs/>
          <w:lang w:val="en-GB"/>
        </w:rPr>
        <w:t>Volvo cars PESTLE Analysis</w:t>
      </w:r>
      <w:r>
        <w:rPr>
          <w:rFonts w:ascii="Arial" w:hAnsi="Arial" w:cs="Arial"/>
          <w:lang w:val="en-GB"/>
        </w:rPr>
        <w:t>.</w:t>
      </w:r>
      <w:proofErr w:type="gramEnd"/>
      <w:r>
        <w:rPr>
          <w:rFonts w:ascii="Arial" w:hAnsi="Arial" w:cs="Arial"/>
          <w:lang w:val="en-GB"/>
        </w:rPr>
        <w:t xml:space="preserve"> Available at: </w:t>
      </w:r>
      <w:hyperlink r:id="rId14" w:history="1">
        <w:r>
          <w:rPr>
            <w:rStyle w:val="Hyperlink"/>
            <w:rFonts w:ascii="Arial" w:hAnsi="Arial" w:cs="Arial"/>
            <w:color w:val="000000" w:themeColor="text1"/>
            <w:lang w:val="en-GB"/>
          </w:rPr>
          <w:t>https://canvasbusinessmodel.com/products/volvo-cars-pestle-analysis?srsltid=AfmBOortbIB9hTUTFsr_G2lH2kPDfEKIiD2YVobpgueWMubJwSPzwY0Q</w:t>
        </w:r>
      </w:hyperlink>
      <w:r>
        <w:rPr>
          <w:rFonts w:ascii="Arial" w:hAnsi="Arial" w:cs="Arial"/>
          <w:lang w:val="en-GB"/>
        </w:rPr>
        <w:t xml:space="preserve"> [Accessed </w:t>
      </w:r>
      <w:proofErr w:type="gramStart"/>
      <w:r>
        <w:rPr>
          <w:rFonts w:ascii="Arial" w:hAnsi="Arial" w:cs="Arial"/>
          <w:lang w:val="en-GB"/>
        </w:rPr>
        <w:t>on :</w:t>
      </w:r>
      <w:proofErr w:type="gramEnd"/>
      <w:r>
        <w:rPr>
          <w:rFonts w:ascii="Arial" w:hAnsi="Arial" w:cs="Arial"/>
          <w:lang w:val="en-GB"/>
        </w:rPr>
        <w:t xml:space="preserve"> 01.12.2025]</w:t>
      </w:r>
    </w:p>
    <w:p w:rsidR="003F4BBF" w:rsidRDefault="00BA2738">
      <w:pPr>
        <w:spacing w:before="240"/>
        <w:rPr>
          <w:rFonts w:ascii="Arial" w:hAnsi="Arial" w:cs="Arial"/>
          <w:lang w:val="en-GB"/>
        </w:rPr>
      </w:pPr>
      <w:proofErr w:type="spellStart"/>
      <w:r>
        <w:rPr>
          <w:rFonts w:ascii="Arial" w:hAnsi="Arial" w:cs="Arial"/>
          <w:lang w:val="en-GB"/>
        </w:rPr>
        <w:t>Chernykhovskaya</w:t>
      </w:r>
      <w:proofErr w:type="spellEnd"/>
      <w:r>
        <w:rPr>
          <w:rFonts w:ascii="Arial" w:hAnsi="Arial" w:cs="Arial"/>
          <w:lang w:val="en-GB"/>
        </w:rPr>
        <w:t>, N., 2024. Theoretical Framework for Electric Vehicle Adoption: Strategic Market Entry.</w:t>
      </w:r>
    </w:p>
    <w:p w:rsidR="003F4BBF" w:rsidRDefault="00BA2738">
      <w:pPr>
        <w:spacing w:before="240"/>
        <w:rPr>
          <w:rFonts w:ascii="Arial" w:hAnsi="Arial" w:cs="Arial"/>
          <w:lang w:val="en-GB"/>
        </w:rPr>
      </w:pPr>
      <w:proofErr w:type="spellStart"/>
      <w:r>
        <w:rPr>
          <w:rFonts w:ascii="Arial" w:hAnsi="Arial" w:cs="Arial"/>
          <w:lang w:val="en-GB"/>
        </w:rPr>
        <w:t>Chowdhury</w:t>
      </w:r>
      <w:proofErr w:type="spellEnd"/>
      <w:r>
        <w:rPr>
          <w:rFonts w:ascii="Arial" w:hAnsi="Arial" w:cs="Arial"/>
          <w:lang w:val="en-GB"/>
        </w:rPr>
        <w:t xml:space="preserve">, N.A., 2024. Optimizing commercial supply chain management in Bangladesh: in depth analysis of Runner Motors </w:t>
      </w:r>
      <w:proofErr w:type="spellStart"/>
      <w:r>
        <w:rPr>
          <w:rFonts w:ascii="Arial" w:hAnsi="Arial" w:cs="Arial"/>
          <w:lang w:val="en-GB"/>
        </w:rPr>
        <w:t>LIimited</w:t>
      </w:r>
      <w:proofErr w:type="spellEnd"/>
      <w:r>
        <w:rPr>
          <w:rFonts w:ascii="Arial" w:hAnsi="Arial" w:cs="Arial"/>
          <w:lang w:val="en-GB"/>
        </w:rPr>
        <w:t>.</w:t>
      </w:r>
    </w:p>
    <w:p w:rsidR="003F4BBF" w:rsidRDefault="00BA2738">
      <w:pPr>
        <w:spacing w:before="240"/>
        <w:rPr>
          <w:rFonts w:ascii="Arial" w:hAnsi="Arial" w:cs="Arial"/>
          <w:lang w:val="en-GB"/>
        </w:rPr>
      </w:pPr>
      <w:r>
        <w:rPr>
          <w:rFonts w:ascii="Arial" w:hAnsi="Arial" w:cs="Arial"/>
          <w:lang w:val="en-GB"/>
        </w:rPr>
        <w:t xml:space="preserve">Denis, G., 2025a. </w:t>
      </w:r>
      <w:proofErr w:type="gramStart"/>
      <w:r>
        <w:rPr>
          <w:rFonts w:ascii="Arial" w:hAnsi="Arial" w:cs="Arial"/>
          <w:i/>
          <w:iCs/>
          <w:lang w:val="en-GB"/>
        </w:rPr>
        <w:t>Porter Diamond Model</w:t>
      </w:r>
      <w:r>
        <w:rPr>
          <w:rFonts w:ascii="Arial" w:hAnsi="Arial" w:cs="Arial"/>
          <w:lang w:val="en-GB"/>
        </w:rPr>
        <w:t>.</w:t>
      </w:r>
      <w:proofErr w:type="gramEnd"/>
      <w:r>
        <w:rPr>
          <w:rFonts w:ascii="Arial" w:hAnsi="Arial" w:cs="Arial"/>
          <w:lang w:val="en-GB"/>
        </w:rPr>
        <w:t xml:space="preserve"> Available at: </w:t>
      </w:r>
      <w:hyperlink r:id="rId15" w:history="1">
        <w:r>
          <w:rPr>
            <w:rStyle w:val="Hyperlink"/>
            <w:rFonts w:ascii="Arial" w:hAnsi="Arial" w:cs="Arial"/>
            <w:color w:val="000000" w:themeColor="text1"/>
            <w:lang w:val="en-GB"/>
          </w:rPr>
          <w:t>https://expertprogrammanagement.com/2018/04/porter-diamond-model/</w:t>
        </w:r>
      </w:hyperlink>
      <w:r>
        <w:rPr>
          <w:rFonts w:ascii="Arial" w:hAnsi="Arial" w:cs="Arial"/>
          <w:lang w:val="en-GB"/>
        </w:rPr>
        <w:t xml:space="preserve"> [Accessed on: 01.12.2025]</w:t>
      </w:r>
    </w:p>
    <w:p w:rsidR="003F4BBF" w:rsidRDefault="00BA2738">
      <w:pPr>
        <w:spacing w:before="240"/>
        <w:rPr>
          <w:rFonts w:ascii="Arial" w:hAnsi="Arial" w:cs="Arial"/>
          <w:lang w:val="en-GB"/>
        </w:rPr>
      </w:pPr>
      <w:r>
        <w:rPr>
          <w:rFonts w:ascii="Arial" w:hAnsi="Arial" w:cs="Arial"/>
          <w:lang w:val="en-GB"/>
        </w:rPr>
        <w:t xml:space="preserve">Denis, G., 2025b. </w:t>
      </w:r>
      <w:proofErr w:type="gramStart"/>
      <w:r>
        <w:rPr>
          <w:rFonts w:ascii="Arial" w:hAnsi="Arial" w:cs="Arial"/>
          <w:i/>
          <w:iCs/>
          <w:lang w:val="en-GB"/>
        </w:rPr>
        <w:t xml:space="preserve">The </w:t>
      </w:r>
      <w:proofErr w:type="spellStart"/>
      <w:r>
        <w:rPr>
          <w:rFonts w:ascii="Arial" w:hAnsi="Arial" w:cs="Arial"/>
          <w:i/>
          <w:iCs/>
          <w:lang w:val="en-GB"/>
        </w:rPr>
        <w:t>Ansoff</w:t>
      </w:r>
      <w:proofErr w:type="spellEnd"/>
      <w:r>
        <w:rPr>
          <w:rFonts w:ascii="Arial" w:hAnsi="Arial" w:cs="Arial"/>
          <w:i/>
          <w:iCs/>
          <w:lang w:val="en-GB"/>
        </w:rPr>
        <w:t xml:space="preserve"> Matrix</w:t>
      </w:r>
      <w:r>
        <w:rPr>
          <w:rFonts w:ascii="Arial" w:hAnsi="Arial" w:cs="Arial"/>
          <w:lang w:val="en-GB"/>
        </w:rPr>
        <w:t>.</w:t>
      </w:r>
      <w:proofErr w:type="gramEnd"/>
      <w:r>
        <w:rPr>
          <w:rFonts w:ascii="Arial" w:hAnsi="Arial" w:cs="Arial"/>
          <w:lang w:val="en-GB"/>
        </w:rPr>
        <w:t xml:space="preserve"> Available at: </w:t>
      </w:r>
      <w:hyperlink r:id="rId16" w:history="1">
        <w:r>
          <w:rPr>
            <w:rStyle w:val="Hyperlink"/>
            <w:rFonts w:ascii="Arial" w:hAnsi="Arial" w:cs="Arial"/>
            <w:color w:val="000000" w:themeColor="text1"/>
            <w:lang w:val="en-GB"/>
          </w:rPr>
          <w:t>https://expertprogrammanagement.com/2022/01/the-ansoff-matrix/</w:t>
        </w:r>
      </w:hyperlink>
      <w:r>
        <w:rPr>
          <w:rFonts w:ascii="Arial" w:hAnsi="Arial" w:cs="Arial"/>
          <w:lang w:val="en-GB"/>
        </w:rPr>
        <w:t xml:space="preserve"> [Accessed on: 01.12.2025]</w:t>
      </w:r>
    </w:p>
    <w:p w:rsidR="003F4BBF" w:rsidRDefault="00BA2738">
      <w:pPr>
        <w:spacing w:before="240"/>
        <w:rPr>
          <w:rFonts w:ascii="Arial" w:hAnsi="Arial" w:cs="Arial"/>
          <w:lang w:val="en-GB"/>
        </w:rPr>
      </w:pPr>
      <w:proofErr w:type="gramStart"/>
      <w:r>
        <w:rPr>
          <w:rFonts w:ascii="Arial" w:hAnsi="Arial" w:cs="Arial"/>
          <w:lang w:val="en-GB"/>
        </w:rPr>
        <w:t>e</w:t>
      </w:r>
      <w:proofErr w:type="gramEnd"/>
      <w:r>
        <w:rPr>
          <w:rFonts w:ascii="Arial" w:hAnsi="Arial" w:cs="Arial"/>
          <w:lang w:val="en-GB"/>
        </w:rPr>
        <w:t xml:space="preserve"> Silva, A.C., Expert, S.I. and </w:t>
      </w:r>
      <w:proofErr w:type="spellStart"/>
      <w:r>
        <w:rPr>
          <w:rFonts w:ascii="Arial" w:hAnsi="Arial" w:cs="Arial"/>
          <w:lang w:val="en-GB"/>
        </w:rPr>
        <w:t>Miani</w:t>
      </w:r>
      <w:proofErr w:type="spellEnd"/>
      <w:r>
        <w:rPr>
          <w:rFonts w:ascii="Arial" w:hAnsi="Arial" w:cs="Arial"/>
          <w:lang w:val="en-GB"/>
        </w:rPr>
        <w:t xml:space="preserve">, B.F., 2025. Brazil’s Strategic Position in Global Steel </w:t>
      </w:r>
      <w:proofErr w:type="spellStart"/>
      <w:r>
        <w:rPr>
          <w:rFonts w:ascii="Arial" w:hAnsi="Arial" w:cs="Arial"/>
          <w:lang w:val="en-GB"/>
        </w:rPr>
        <w:t>Decarbonization</w:t>
      </w:r>
      <w:proofErr w:type="spellEnd"/>
      <w:r>
        <w:rPr>
          <w:rFonts w:ascii="Arial" w:hAnsi="Arial" w:cs="Arial"/>
          <w:lang w:val="en-GB"/>
        </w:rPr>
        <w:t>: A Comparative Analysis of Technology Pathways, Policy Frameworks, and Competitive.</w:t>
      </w:r>
    </w:p>
    <w:p w:rsidR="003F4BBF" w:rsidRDefault="00BA2738">
      <w:pPr>
        <w:spacing w:before="240"/>
        <w:rPr>
          <w:rFonts w:ascii="Arial" w:hAnsi="Arial" w:cs="Arial"/>
          <w:lang w:val="en-GB"/>
        </w:rPr>
      </w:pPr>
      <w:r>
        <w:rPr>
          <w:rFonts w:ascii="Arial" w:hAnsi="Arial" w:cs="Arial"/>
          <w:lang w:val="en-GB"/>
        </w:rPr>
        <w:t xml:space="preserve">Fernando, K.M.K., 2025. </w:t>
      </w:r>
      <w:proofErr w:type="gramStart"/>
      <w:r>
        <w:rPr>
          <w:rFonts w:ascii="Arial" w:hAnsi="Arial" w:cs="Arial"/>
          <w:lang w:val="en-GB"/>
        </w:rPr>
        <w:t xml:space="preserve">Business Model Innovation for International Expansion in </w:t>
      </w:r>
      <w:proofErr w:type="spellStart"/>
      <w:r>
        <w:rPr>
          <w:rFonts w:ascii="Arial" w:hAnsi="Arial" w:cs="Arial"/>
          <w:lang w:val="en-GB"/>
        </w:rPr>
        <w:t>Electromobility</w:t>
      </w:r>
      <w:proofErr w:type="spellEnd"/>
      <w:r>
        <w:rPr>
          <w:rFonts w:ascii="Arial" w:hAnsi="Arial" w:cs="Arial"/>
          <w:lang w:val="en-GB"/>
        </w:rPr>
        <w:t>-A Study of Swedish Manufacturing Firms.</w:t>
      </w:r>
      <w:proofErr w:type="gramEnd"/>
    </w:p>
    <w:p w:rsidR="003F4BBF" w:rsidRDefault="00BA2738">
      <w:pPr>
        <w:spacing w:before="240"/>
        <w:rPr>
          <w:rFonts w:ascii="Arial" w:hAnsi="Arial" w:cs="Arial"/>
          <w:lang w:val="en-GB"/>
        </w:rPr>
      </w:pPr>
      <w:proofErr w:type="gramStart"/>
      <w:r>
        <w:rPr>
          <w:rFonts w:ascii="Arial" w:hAnsi="Arial" w:cs="Arial"/>
          <w:lang w:val="en-GB"/>
        </w:rPr>
        <w:t xml:space="preserve">Franz, S., </w:t>
      </w:r>
      <w:proofErr w:type="spellStart"/>
      <w:r>
        <w:rPr>
          <w:rFonts w:ascii="Arial" w:hAnsi="Arial" w:cs="Arial"/>
          <w:lang w:val="en-GB"/>
        </w:rPr>
        <w:t>Giroud</w:t>
      </w:r>
      <w:proofErr w:type="spellEnd"/>
      <w:r>
        <w:rPr>
          <w:rFonts w:ascii="Arial" w:hAnsi="Arial" w:cs="Arial"/>
          <w:lang w:val="en-GB"/>
        </w:rPr>
        <w:t xml:space="preserve">, A. and </w:t>
      </w:r>
      <w:proofErr w:type="spellStart"/>
      <w:r>
        <w:rPr>
          <w:rFonts w:ascii="Arial" w:hAnsi="Arial" w:cs="Arial"/>
          <w:lang w:val="en-GB"/>
        </w:rPr>
        <w:t>Ivarsson</w:t>
      </w:r>
      <w:proofErr w:type="spellEnd"/>
      <w:r>
        <w:rPr>
          <w:rFonts w:ascii="Arial" w:hAnsi="Arial" w:cs="Arial"/>
          <w:lang w:val="en-GB"/>
        </w:rPr>
        <w:t>, I., 2024.</w:t>
      </w:r>
      <w:proofErr w:type="gramEnd"/>
      <w:r>
        <w:rPr>
          <w:rFonts w:ascii="Arial" w:hAnsi="Arial" w:cs="Arial"/>
          <w:lang w:val="en-GB"/>
        </w:rPr>
        <w:t xml:space="preserve"> Multinationals’ value chain configuration for product diversification in emerging markets: Western firms in China. </w:t>
      </w:r>
      <w:proofErr w:type="gramStart"/>
      <w:r>
        <w:rPr>
          <w:rFonts w:ascii="Arial" w:hAnsi="Arial" w:cs="Arial"/>
          <w:i/>
          <w:iCs/>
          <w:lang w:val="en-GB"/>
        </w:rPr>
        <w:t>Multinational Business Review</w:t>
      </w:r>
      <w:r>
        <w:rPr>
          <w:rFonts w:ascii="Arial" w:hAnsi="Arial" w:cs="Arial"/>
          <w:lang w:val="en-GB"/>
        </w:rPr>
        <w:t>, </w:t>
      </w:r>
      <w:r>
        <w:rPr>
          <w:rFonts w:ascii="Arial" w:hAnsi="Arial" w:cs="Arial"/>
          <w:i/>
          <w:iCs/>
          <w:lang w:val="en-GB"/>
        </w:rPr>
        <w:t>32</w:t>
      </w:r>
      <w:r>
        <w:rPr>
          <w:rFonts w:ascii="Arial" w:hAnsi="Arial" w:cs="Arial"/>
          <w:lang w:val="en-GB"/>
        </w:rPr>
        <w:t>(1), pp.65-97.</w:t>
      </w:r>
      <w:proofErr w:type="gramEnd"/>
    </w:p>
    <w:p w:rsidR="003F4BBF" w:rsidRDefault="00BA2738">
      <w:pPr>
        <w:spacing w:before="240"/>
        <w:rPr>
          <w:rFonts w:ascii="Arial" w:hAnsi="Arial" w:cs="Arial"/>
          <w:lang w:val="en-GB"/>
        </w:rPr>
      </w:pPr>
      <w:proofErr w:type="spellStart"/>
      <w:r>
        <w:rPr>
          <w:rFonts w:ascii="Arial" w:hAnsi="Arial" w:cs="Arial"/>
          <w:lang w:val="en-GB"/>
        </w:rPr>
        <w:lastRenderedPageBreak/>
        <w:t>Hertenstein</w:t>
      </w:r>
      <w:proofErr w:type="spellEnd"/>
      <w:r>
        <w:rPr>
          <w:rFonts w:ascii="Arial" w:hAnsi="Arial" w:cs="Arial"/>
          <w:lang w:val="en-GB"/>
        </w:rPr>
        <w:t xml:space="preserve">, P. and </w:t>
      </w:r>
      <w:proofErr w:type="spellStart"/>
      <w:r>
        <w:rPr>
          <w:rFonts w:ascii="Arial" w:hAnsi="Arial" w:cs="Arial"/>
          <w:lang w:val="en-GB"/>
        </w:rPr>
        <w:t>Alon</w:t>
      </w:r>
      <w:proofErr w:type="spellEnd"/>
      <w:r>
        <w:rPr>
          <w:rFonts w:ascii="Arial" w:hAnsi="Arial" w:cs="Arial"/>
          <w:lang w:val="en-GB"/>
        </w:rPr>
        <w:t xml:space="preserve">, I., 2022. </w:t>
      </w:r>
      <w:proofErr w:type="gramStart"/>
      <w:r>
        <w:rPr>
          <w:rFonts w:ascii="Arial" w:hAnsi="Arial" w:cs="Arial"/>
          <w:lang w:val="en-GB"/>
        </w:rPr>
        <w:t>A learning portal model of emerging markets multinationals.</w:t>
      </w:r>
      <w:proofErr w:type="gramEnd"/>
      <w:r>
        <w:rPr>
          <w:rFonts w:ascii="Arial" w:hAnsi="Arial" w:cs="Arial"/>
          <w:lang w:val="en-GB"/>
        </w:rPr>
        <w:t> </w:t>
      </w:r>
      <w:proofErr w:type="gramStart"/>
      <w:r>
        <w:rPr>
          <w:rFonts w:ascii="Arial" w:hAnsi="Arial" w:cs="Arial"/>
          <w:i/>
          <w:iCs/>
          <w:lang w:val="en-GB"/>
        </w:rPr>
        <w:t>Global Strategy Journal</w:t>
      </w:r>
      <w:r>
        <w:rPr>
          <w:rFonts w:ascii="Arial" w:hAnsi="Arial" w:cs="Arial"/>
          <w:lang w:val="en-GB"/>
        </w:rPr>
        <w:t>, </w:t>
      </w:r>
      <w:r>
        <w:rPr>
          <w:rFonts w:ascii="Arial" w:hAnsi="Arial" w:cs="Arial"/>
          <w:i/>
          <w:iCs/>
          <w:lang w:val="en-GB"/>
        </w:rPr>
        <w:t>12</w:t>
      </w:r>
      <w:r>
        <w:rPr>
          <w:rFonts w:ascii="Arial" w:hAnsi="Arial" w:cs="Arial"/>
          <w:lang w:val="en-GB"/>
        </w:rPr>
        <w:t>(1), pp.134-162.</w:t>
      </w:r>
      <w:proofErr w:type="gramEnd"/>
    </w:p>
    <w:p w:rsidR="003F4BBF" w:rsidRDefault="00BA2738">
      <w:pPr>
        <w:spacing w:before="240"/>
        <w:rPr>
          <w:rFonts w:ascii="Arial" w:hAnsi="Arial" w:cs="Arial"/>
          <w:lang w:val="en-GB"/>
        </w:rPr>
      </w:pPr>
      <w:r>
        <w:rPr>
          <w:rFonts w:ascii="Arial" w:hAnsi="Arial" w:cs="Arial"/>
          <w:lang w:val="en-GB"/>
        </w:rPr>
        <w:t>Huang, N., 2023. </w:t>
      </w:r>
      <w:proofErr w:type="gramStart"/>
      <w:r>
        <w:rPr>
          <w:rFonts w:ascii="Arial" w:hAnsi="Arial" w:cs="Arial"/>
          <w:i/>
          <w:iCs/>
          <w:lang w:val="en-GB"/>
        </w:rPr>
        <w:t xml:space="preserve">Emerging Markets Penetration Strategy in the </w:t>
      </w:r>
      <w:proofErr w:type="spellStart"/>
      <w:r>
        <w:rPr>
          <w:rFonts w:ascii="Arial" w:hAnsi="Arial" w:cs="Arial"/>
          <w:i/>
          <w:iCs/>
          <w:lang w:val="en-GB"/>
        </w:rPr>
        <w:t>Deglobalization</w:t>
      </w:r>
      <w:proofErr w:type="spellEnd"/>
      <w:r>
        <w:rPr>
          <w:rFonts w:ascii="Arial" w:hAnsi="Arial" w:cs="Arial"/>
          <w:i/>
          <w:iCs/>
          <w:lang w:val="en-GB"/>
        </w:rPr>
        <w:t xml:space="preserve"> Era-A Case Study of the NEV Industry in Southeast Asia</w:t>
      </w:r>
      <w:r>
        <w:rPr>
          <w:rFonts w:ascii="Arial" w:hAnsi="Arial" w:cs="Arial"/>
          <w:lang w:val="en-GB"/>
        </w:rPr>
        <w:t>.</w:t>
      </w:r>
      <w:proofErr w:type="gramEnd"/>
      <w:r>
        <w:rPr>
          <w:rFonts w:ascii="Arial" w:hAnsi="Arial" w:cs="Arial"/>
          <w:lang w:val="en-GB"/>
        </w:rPr>
        <w:t xml:space="preserve"> </w:t>
      </w:r>
      <w:proofErr w:type="gramStart"/>
      <w:r>
        <w:rPr>
          <w:rFonts w:ascii="Arial" w:hAnsi="Arial" w:cs="Arial"/>
          <w:lang w:val="en-GB"/>
        </w:rPr>
        <w:t>Massachusetts Institute of Technology.</w:t>
      </w:r>
      <w:proofErr w:type="gramEnd"/>
    </w:p>
    <w:p w:rsidR="003F4BBF" w:rsidRDefault="00BA2738">
      <w:pPr>
        <w:spacing w:before="240"/>
        <w:rPr>
          <w:rFonts w:ascii="Arial" w:hAnsi="Arial" w:cs="Arial"/>
          <w:lang w:val="en-GB"/>
        </w:rPr>
      </w:pPr>
      <w:proofErr w:type="spellStart"/>
      <w:r>
        <w:rPr>
          <w:rFonts w:ascii="Arial" w:hAnsi="Arial" w:cs="Arial"/>
          <w:lang w:val="en-GB"/>
        </w:rPr>
        <w:t>Jonsson</w:t>
      </w:r>
      <w:proofErr w:type="spellEnd"/>
      <w:r>
        <w:rPr>
          <w:rFonts w:ascii="Arial" w:hAnsi="Arial" w:cs="Arial"/>
          <w:lang w:val="en-GB"/>
        </w:rPr>
        <w:t xml:space="preserve">, A. and </w:t>
      </w:r>
      <w:proofErr w:type="spellStart"/>
      <w:r>
        <w:rPr>
          <w:rFonts w:ascii="Arial" w:hAnsi="Arial" w:cs="Arial"/>
          <w:lang w:val="en-GB"/>
        </w:rPr>
        <w:t>Vahlne</w:t>
      </w:r>
      <w:proofErr w:type="spellEnd"/>
      <w:r>
        <w:rPr>
          <w:rFonts w:ascii="Arial" w:hAnsi="Arial" w:cs="Arial"/>
          <w:lang w:val="en-GB"/>
        </w:rPr>
        <w:t xml:space="preserve">, J.E., 2023. Complexity offering opportunity: Mutual learning between Zhejiang </w:t>
      </w:r>
      <w:proofErr w:type="spellStart"/>
      <w:r>
        <w:rPr>
          <w:rFonts w:ascii="Arial" w:hAnsi="Arial" w:cs="Arial"/>
          <w:lang w:val="en-GB"/>
        </w:rPr>
        <w:t>Geely</w:t>
      </w:r>
      <w:proofErr w:type="spellEnd"/>
      <w:r>
        <w:rPr>
          <w:rFonts w:ascii="Arial" w:hAnsi="Arial" w:cs="Arial"/>
          <w:lang w:val="en-GB"/>
        </w:rPr>
        <w:t xml:space="preserve"> Holding Group and Volvo Cars in the post</w:t>
      </w:r>
      <w:r>
        <w:rPr>
          <w:rFonts w:ascii="Cambria Math" w:hAnsi="Cambria Math" w:cs="Cambria Math"/>
          <w:lang w:val="en-GB"/>
        </w:rPr>
        <w:t>‐</w:t>
      </w:r>
      <w:r>
        <w:rPr>
          <w:rFonts w:ascii="Arial" w:hAnsi="Arial" w:cs="Arial"/>
          <w:lang w:val="en-GB"/>
        </w:rPr>
        <w:t>acquisition process. </w:t>
      </w:r>
      <w:proofErr w:type="gramStart"/>
      <w:r>
        <w:rPr>
          <w:rFonts w:ascii="Arial" w:hAnsi="Arial" w:cs="Arial"/>
          <w:i/>
          <w:iCs/>
          <w:lang w:val="en-GB"/>
        </w:rPr>
        <w:t>Global Strategy Journal</w:t>
      </w:r>
      <w:r>
        <w:rPr>
          <w:rFonts w:ascii="Arial" w:hAnsi="Arial" w:cs="Arial"/>
          <w:lang w:val="en-GB"/>
        </w:rPr>
        <w:t>, </w:t>
      </w:r>
      <w:r>
        <w:rPr>
          <w:rFonts w:ascii="Arial" w:hAnsi="Arial" w:cs="Arial"/>
          <w:i/>
          <w:iCs/>
          <w:lang w:val="en-GB"/>
        </w:rPr>
        <w:t>13</w:t>
      </w:r>
      <w:r>
        <w:rPr>
          <w:rFonts w:ascii="Arial" w:hAnsi="Arial" w:cs="Arial"/>
          <w:lang w:val="en-GB"/>
        </w:rPr>
        <w:t>(3), pp.700-731.</w:t>
      </w:r>
      <w:proofErr w:type="gramEnd"/>
    </w:p>
    <w:p w:rsidR="003F4BBF" w:rsidRDefault="00BA2738">
      <w:pPr>
        <w:spacing w:before="240"/>
        <w:rPr>
          <w:rFonts w:ascii="Arial" w:hAnsi="Arial" w:cs="Arial"/>
          <w:lang w:val="en-GB"/>
        </w:rPr>
      </w:pPr>
      <w:proofErr w:type="spellStart"/>
      <w:proofErr w:type="gramStart"/>
      <w:r>
        <w:rPr>
          <w:rFonts w:ascii="Arial" w:hAnsi="Arial" w:cs="Arial"/>
          <w:lang w:val="en-GB"/>
        </w:rPr>
        <w:t>Matrixbcg</w:t>
      </w:r>
      <w:proofErr w:type="spellEnd"/>
      <w:r>
        <w:rPr>
          <w:rFonts w:ascii="Arial" w:hAnsi="Arial" w:cs="Arial"/>
          <w:lang w:val="en-GB"/>
        </w:rPr>
        <w:t>, 2025.</w:t>
      </w:r>
      <w:proofErr w:type="gramEnd"/>
      <w:r>
        <w:rPr>
          <w:rFonts w:ascii="Arial" w:hAnsi="Arial" w:cs="Arial"/>
          <w:lang w:val="en-GB"/>
        </w:rPr>
        <w:t xml:space="preserve"> </w:t>
      </w:r>
      <w:r>
        <w:rPr>
          <w:rFonts w:ascii="Arial" w:hAnsi="Arial" w:cs="Arial"/>
          <w:i/>
          <w:iCs/>
          <w:lang w:val="en-GB"/>
        </w:rPr>
        <w:t>What is Competitive Landscape of Volvo Car Company?</w:t>
      </w:r>
      <w:r>
        <w:rPr>
          <w:rFonts w:ascii="Arial" w:hAnsi="Arial" w:cs="Arial"/>
          <w:lang w:val="en-GB"/>
        </w:rPr>
        <w:t xml:space="preserve"> Available at: </w:t>
      </w:r>
      <w:hyperlink r:id="rId17" w:history="1">
        <w:r>
          <w:rPr>
            <w:rStyle w:val="Hyperlink"/>
            <w:rFonts w:ascii="Arial" w:hAnsi="Arial" w:cs="Arial"/>
            <w:color w:val="000000" w:themeColor="text1"/>
            <w:lang w:val="en-GB"/>
          </w:rPr>
          <w:t>https://matrixbcg.com/blogs/competitors/volvocars</w:t>
        </w:r>
      </w:hyperlink>
      <w:r>
        <w:rPr>
          <w:rFonts w:ascii="Arial" w:hAnsi="Arial" w:cs="Arial"/>
          <w:lang w:val="en-GB"/>
        </w:rPr>
        <w:t xml:space="preserve"> [Accessed on: 01.12.2025]</w:t>
      </w:r>
    </w:p>
    <w:p w:rsidR="003F4BBF" w:rsidRDefault="00BA2738">
      <w:pPr>
        <w:spacing w:before="240"/>
        <w:rPr>
          <w:rFonts w:ascii="Arial" w:hAnsi="Arial" w:cs="Arial"/>
          <w:lang w:val="en-GB"/>
        </w:rPr>
      </w:pPr>
      <w:r>
        <w:rPr>
          <w:rFonts w:ascii="Arial" w:hAnsi="Arial" w:cs="Arial"/>
          <w:lang w:val="en-GB"/>
        </w:rPr>
        <w:t xml:space="preserve">Mehta, A. and </w:t>
      </w:r>
      <w:proofErr w:type="spellStart"/>
      <w:r>
        <w:rPr>
          <w:rFonts w:ascii="Arial" w:hAnsi="Arial" w:cs="Arial"/>
          <w:lang w:val="en-GB"/>
        </w:rPr>
        <w:t>Leras</w:t>
      </w:r>
      <w:proofErr w:type="spellEnd"/>
      <w:r>
        <w:rPr>
          <w:rFonts w:ascii="Arial" w:hAnsi="Arial" w:cs="Arial"/>
          <w:lang w:val="en-GB"/>
        </w:rPr>
        <w:t>, A., 2025. Strategic Responses of MNCs to Institutional Changes A Case Study of Volvo Group and the Make in India Initiative.</w:t>
      </w:r>
    </w:p>
    <w:p w:rsidR="003F4BBF" w:rsidRDefault="00BA2738">
      <w:pPr>
        <w:spacing w:before="240"/>
        <w:rPr>
          <w:rFonts w:ascii="Arial" w:hAnsi="Arial" w:cs="Arial"/>
          <w:lang w:val="en-GB"/>
        </w:rPr>
      </w:pPr>
      <w:proofErr w:type="spellStart"/>
      <w:proofErr w:type="gramStart"/>
      <w:r>
        <w:rPr>
          <w:rFonts w:ascii="Arial" w:hAnsi="Arial" w:cs="Arial"/>
          <w:lang w:val="en-GB"/>
        </w:rPr>
        <w:t>Meng</w:t>
      </w:r>
      <w:proofErr w:type="spellEnd"/>
      <w:r>
        <w:rPr>
          <w:rFonts w:ascii="Arial" w:hAnsi="Arial" w:cs="Arial"/>
          <w:lang w:val="en-GB"/>
        </w:rPr>
        <w:t>, Z. and Wang, X., 2021.</w:t>
      </w:r>
      <w:proofErr w:type="gramEnd"/>
      <w:r>
        <w:rPr>
          <w:rFonts w:ascii="Arial" w:hAnsi="Arial" w:cs="Arial"/>
          <w:lang w:val="en-GB"/>
        </w:rPr>
        <w:t xml:space="preserve"> The Effects of Outbound Mergers and Acquisitions (M&amp;</w:t>
      </w:r>
      <w:proofErr w:type="gramStart"/>
      <w:r>
        <w:rPr>
          <w:rFonts w:ascii="Arial" w:hAnsi="Arial" w:cs="Arial"/>
          <w:lang w:val="en-GB"/>
        </w:rPr>
        <w:t>As</w:t>
      </w:r>
      <w:proofErr w:type="gramEnd"/>
      <w:r>
        <w:rPr>
          <w:rFonts w:ascii="Arial" w:hAnsi="Arial" w:cs="Arial"/>
          <w:lang w:val="en-GB"/>
        </w:rPr>
        <w:t xml:space="preserve">) on Chinese Automobile Corporations’ Performance: A Case Study of </w:t>
      </w:r>
      <w:proofErr w:type="spellStart"/>
      <w:r>
        <w:rPr>
          <w:rFonts w:ascii="Arial" w:hAnsi="Arial" w:cs="Arial"/>
          <w:lang w:val="en-GB"/>
        </w:rPr>
        <w:t>Geely’s</w:t>
      </w:r>
      <w:proofErr w:type="spellEnd"/>
      <w:r>
        <w:rPr>
          <w:rFonts w:ascii="Arial" w:hAnsi="Arial" w:cs="Arial"/>
          <w:lang w:val="en-GB"/>
        </w:rPr>
        <w:t xml:space="preserve"> Acquisition of Volvo. </w:t>
      </w:r>
      <w:proofErr w:type="gramStart"/>
      <w:r>
        <w:rPr>
          <w:rFonts w:ascii="Arial" w:hAnsi="Arial" w:cs="Arial"/>
          <w:i/>
          <w:iCs/>
          <w:lang w:val="en-GB"/>
        </w:rPr>
        <w:t>International Business Research</w:t>
      </w:r>
      <w:r>
        <w:rPr>
          <w:rFonts w:ascii="Arial" w:hAnsi="Arial" w:cs="Arial"/>
          <w:lang w:val="en-GB"/>
        </w:rPr>
        <w:t>, </w:t>
      </w:r>
      <w:r>
        <w:rPr>
          <w:rFonts w:ascii="Arial" w:hAnsi="Arial" w:cs="Arial"/>
          <w:i/>
          <w:iCs/>
          <w:lang w:val="en-GB"/>
        </w:rPr>
        <w:t>14</w:t>
      </w:r>
      <w:r>
        <w:rPr>
          <w:rFonts w:ascii="Arial" w:hAnsi="Arial" w:cs="Arial"/>
          <w:lang w:val="en-GB"/>
        </w:rPr>
        <w:t>(7), pp.1-36.</w:t>
      </w:r>
      <w:proofErr w:type="gramEnd"/>
    </w:p>
    <w:p w:rsidR="003F4BBF" w:rsidRDefault="00BA2738">
      <w:pPr>
        <w:spacing w:before="240"/>
        <w:rPr>
          <w:rFonts w:ascii="Arial" w:hAnsi="Arial" w:cs="Arial"/>
          <w:lang w:val="en-GB"/>
        </w:rPr>
      </w:pPr>
      <w:proofErr w:type="spellStart"/>
      <w:r>
        <w:rPr>
          <w:rFonts w:ascii="Arial" w:hAnsi="Arial" w:cs="Arial"/>
          <w:lang w:val="en-GB"/>
        </w:rPr>
        <w:t>Micek</w:t>
      </w:r>
      <w:proofErr w:type="spellEnd"/>
      <w:r>
        <w:rPr>
          <w:rFonts w:ascii="Arial" w:hAnsi="Arial" w:cs="Arial"/>
          <w:lang w:val="en-GB"/>
        </w:rPr>
        <w:t xml:space="preserve">, G., </w:t>
      </w:r>
      <w:proofErr w:type="spellStart"/>
      <w:r>
        <w:rPr>
          <w:rFonts w:ascii="Arial" w:hAnsi="Arial" w:cs="Arial"/>
          <w:lang w:val="en-GB"/>
        </w:rPr>
        <w:t>Guzik</w:t>
      </w:r>
      <w:proofErr w:type="spellEnd"/>
      <w:r>
        <w:rPr>
          <w:rFonts w:ascii="Arial" w:hAnsi="Arial" w:cs="Arial"/>
          <w:lang w:val="en-GB"/>
        </w:rPr>
        <w:t xml:space="preserve">, R., </w:t>
      </w:r>
      <w:proofErr w:type="spellStart"/>
      <w:r>
        <w:rPr>
          <w:rFonts w:ascii="Arial" w:hAnsi="Arial" w:cs="Arial"/>
          <w:lang w:val="en-GB"/>
        </w:rPr>
        <w:t>Gwosdz</w:t>
      </w:r>
      <w:proofErr w:type="spellEnd"/>
      <w:r>
        <w:rPr>
          <w:rFonts w:ascii="Arial" w:hAnsi="Arial" w:cs="Arial"/>
          <w:lang w:val="en-GB"/>
        </w:rPr>
        <w:t xml:space="preserve">, K. and </w:t>
      </w:r>
      <w:proofErr w:type="spellStart"/>
      <w:r>
        <w:rPr>
          <w:rFonts w:ascii="Arial" w:hAnsi="Arial" w:cs="Arial"/>
          <w:lang w:val="en-GB"/>
        </w:rPr>
        <w:t>Domański</w:t>
      </w:r>
      <w:proofErr w:type="spellEnd"/>
      <w:r>
        <w:rPr>
          <w:rFonts w:ascii="Arial" w:hAnsi="Arial" w:cs="Arial"/>
          <w:lang w:val="en-GB"/>
        </w:rPr>
        <w:t>, B., 2021. Newcomers from the periphery: the international expansion of Polish automotive companies. </w:t>
      </w:r>
      <w:proofErr w:type="gramStart"/>
      <w:r>
        <w:rPr>
          <w:rFonts w:ascii="Arial" w:hAnsi="Arial" w:cs="Arial"/>
          <w:i/>
          <w:iCs/>
          <w:lang w:val="en-GB"/>
        </w:rPr>
        <w:t>Energies</w:t>
      </w:r>
      <w:r>
        <w:rPr>
          <w:rFonts w:ascii="Arial" w:hAnsi="Arial" w:cs="Arial"/>
          <w:lang w:val="en-GB"/>
        </w:rPr>
        <w:t>, </w:t>
      </w:r>
      <w:r>
        <w:rPr>
          <w:rFonts w:ascii="Arial" w:hAnsi="Arial" w:cs="Arial"/>
          <w:i/>
          <w:iCs/>
          <w:lang w:val="en-GB"/>
        </w:rPr>
        <w:t>14</w:t>
      </w:r>
      <w:r>
        <w:rPr>
          <w:rFonts w:ascii="Arial" w:hAnsi="Arial" w:cs="Arial"/>
          <w:lang w:val="en-GB"/>
        </w:rPr>
        <w:t>(9), p.2617.</w:t>
      </w:r>
      <w:proofErr w:type="gramEnd"/>
    </w:p>
    <w:p w:rsidR="003F4BBF" w:rsidRDefault="00BA2738">
      <w:pPr>
        <w:spacing w:before="240"/>
        <w:rPr>
          <w:rFonts w:ascii="Arial" w:hAnsi="Arial" w:cs="Arial"/>
          <w:lang w:val="en-GB"/>
        </w:rPr>
      </w:pPr>
      <w:proofErr w:type="spellStart"/>
      <w:r>
        <w:rPr>
          <w:rFonts w:ascii="Arial" w:hAnsi="Arial" w:cs="Arial"/>
          <w:lang w:val="en-GB"/>
        </w:rPr>
        <w:t>Norrby</w:t>
      </w:r>
      <w:proofErr w:type="spellEnd"/>
      <w:r>
        <w:rPr>
          <w:rFonts w:ascii="Arial" w:hAnsi="Arial" w:cs="Arial"/>
          <w:lang w:val="en-GB"/>
        </w:rPr>
        <w:t xml:space="preserve">, C. and </w:t>
      </w:r>
      <w:proofErr w:type="spellStart"/>
      <w:r>
        <w:rPr>
          <w:rFonts w:ascii="Arial" w:hAnsi="Arial" w:cs="Arial"/>
          <w:lang w:val="en-GB"/>
        </w:rPr>
        <w:t>Åslund</w:t>
      </w:r>
      <w:proofErr w:type="spellEnd"/>
      <w:r>
        <w:rPr>
          <w:rFonts w:ascii="Arial" w:hAnsi="Arial" w:cs="Arial"/>
          <w:lang w:val="en-GB"/>
        </w:rPr>
        <w:t xml:space="preserve">, S., 2021. The role of venture capital in innovation systems-a case study comparing the possible risks and rewards for </w:t>
      </w:r>
      <w:proofErr w:type="spellStart"/>
      <w:r>
        <w:rPr>
          <w:rFonts w:ascii="Arial" w:hAnsi="Arial" w:cs="Arial"/>
          <w:lang w:val="en-GB"/>
        </w:rPr>
        <w:t>volvo</w:t>
      </w:r>
      <w:proofErr w:type="spellEnd"/>
      <w:r>
        <w:rPr>
          <w:rFonts w:ascii="Arial" w:hAnsi="Arial" w:cs="Arial"/>
          <w:lang w:val="en-GB"/>
        </w:rPr>
        <w:t xml:space="preserve"> group venture capital between initiating investments in China, India, Japan, Singapore, South Korea, and Taiwan.</w:t>
      </w:r>
    </w:p>
    <w:p w:rsidR="003F4BBF" w:rsidRDefault="00BA2738">
      <w:pPr>
        <w:spacing w:before="240"/>
        <w:rPr>
          <w:rFonts w:ascii="Arial" w:hAnsi="Arial" w:cs="Arial"/>
          <w:lang w:val="en-GB"/>
        </w:rPr>
      </w:pPr>
      <w:proofErr w:type="spellStart"/>
      <w:proofErr w:type="gramStart"/>
      <w:r>
        <w:rPr>
          <w:rFonts w:ascii="Arial" w:hAnsi="Arial" w:cs="Arial"/>
          <w:lang w:val="en-GB"/>
        </w:rPr>
        <w:t>Nyström</w:t>
      </w:r>
      <w:proofErr w:type="spellEnd"/>
      <w:r>
        <w:rPr>
          <w:rFonts w:ascii="Arial" w:hAnsi="Arial" w:cs="Arial"/>
          <w:lang w:val="en-GB"/>
        </w:rPr>
        <w:t xml:space="preserve">, J. and </w:t>
      </w:r>
      <w:proofErr w:type="spellStart"/>
      <w:r>
        <w:rPr>
          <w:rFonts w:ascii="Arial" w:hAnsi="Arial" w:cs="Arial"/>
          <w:lang w:val="en-GB"/>
        </w:rPr>
        <w:t>Ramic</w:t>
      </w:r>
      <w:proofErr w:type="spellEnd"/>
      <w:r>
        <w:rPr>
          <w:rFonts w:ascii="Arial" w:hAnsi="Arial" w:cs="Arial"/>
          <w:lang w:val="en-GB"/>
        </w:rPr>
        <w:t>, D., 2024.</w:t>
      </w:r>
      <w:proofErr w:type="gramEnd"/>
      <w:r>
        <w:rPr>
          <w:rFonts w:ascii="Arial" w:hAnsi="Arial" w:cs="Arial"/>
          <w:lang w:val="en-GB"/>
        </w:rPr>
        <w:t xml:space="preserve"> Vehicle-to-Grid in Sweden: Industry Challenges and </w:t>
      </w:r>
      <w:proofErr w:type="spellStart"/>
      <w:r>
        <w:rPr>
          <w:rFonts w:ascii="Arial" w:hAnsi="Arial" w:cs="Arial"/>
          <w:lang w:val="en-GB"/>
        </w:rPr>
        <w:t>StrategicOpportunities</w:t>
      </w:r>
      <w:proofErr w:type="spellEnd"/>
      <w:r>
        <w:rPr>
          <w:rFonts w:ascii="Arial" w:hAnsi="Arial" w:cs="Arial"/>
          <w:lang w:val="en-GB"/>
        </w:rPr>
        <w:t>: A Comprehensive Analysis.</w:t>
      </w:r>
    </w:p>
    <w:p w:rsidR="003F4BBF" w:rsidRDefault="00BA2738">
      <w:pPr>
        <w:spacing w:before="240"/>
        <w:rPr>
          <w:rFonts w:ascii="Arial" w:hAnsi="Arial" w:cs="Arial"/>
          <w:lang w:val="en-GB"/>
        </w:rPr>
      </w:pPr>
      <w:proofErr w:type="spellStart"/>
      <w:proofErr w:type="gramStart"/>
      <w:r>
        <w:rPr>
          <w:rFonts w:ascii="Arial" w:hAnsi="Arial" w:cs="Arial"/>
          <w:lang w:val="en-GB"/>
        </w:rPr>
        <w:t>Potharla</w:t>
      </w:r>
      <w:proofErr w:type="spellEnd"/>
      <w:r>
        <w:rPr>
          <w:rFonts w:ascii="Arial" w:hAnsi="Arial" w:cs="Arial"/>
          <w:lang w:val="en-GB"/>
        </w:rPr>
        <w:t>, S., 2025.</w:t>
      </w:r>
      <w:proofErr w:type="gramEnd"/>
      <w:r>
        <w:rPr>
          <w:rFonts w:ascii="Arial" w:hAnsi="Arial" w:cs="Arial"/>
          <w:lang w:val="en-GB"/>
        </w:rPr>
        <w:t xml:space="preserve"> Financial and Strategic Analysis of Tata Motors: Insights from Corporate Finance Perspectives. </w:t>
      </w:r>
      <w:proofErr w:type="gramStart"/>
      <w:r>
        <w:rPr>
          <w:rFonts w:ascii="Arial" w:hAnsi="Arial" w:cs="Arial"/>
          <w:i/>
          <w:iCs/>
          <w:lang w:val="en-GB"/>
        </w:rPr>
        <w:t>Available at SSRN 5294575</w:t>
      </w:r>
      <w:r>
        <w:rPr>
          <w:rFonts w:ascii="Arial" w:hAnsi="Arial" w:cs="Arial"/>
          <w:lang w:val="en-GB"/>
        </w:rPr>
        <w:t>.</w:t>
      </w:r>
      <w:proofErr w:type="gramEnd"/>
    </w:p>
    <w:p w:rsidR="003F4BBF" w:rsidRDefault="00BA2738">
      <w:pPr>
        <w:spacing w:before="240"/>
        <w:rPr>
          <w:rFonts w:ascii="Arial" w:hAnsi="Arial" w:cs="Arial"/>
          <w:lang w:val="en-GB"/>
        </w:rPr>
      </w:pPr>
      <w:proofErr w:type="spellStart"/>
      <w:r>
        <w:rPr>
          <w:rFonts w:ascii="Arial" w:hAnsi="Arial" w:cs="Arial"/>
          <w:lang w:val="en-GB"/>
        </w:rPr>
        <w:lastRenderedPageBreak/>
        <w:t>Salehi</w:t>
      </w:r>
      <w:proofErr w:type="spellEnd"/>
      <w:r>
        <w:rPr>
          <w:rFonts w:ascii="Arial" w:hAnsi="Arial" w:cs="Arial"/>
          <w:lang w:val="en-GB"/>
        </w:rPr>
        <w:t xml:space="preserve">, N., 2023. </w:t>
      </w:r>
      <w:proofErr w:type="gramStart"/>
      <w:r>
        <w:rPr>
          <w:rFonts w:ascii="Arial" w:hAnsi="Arial" w:cs="Arial"/>
          <w:lang w:val="en-GB"/>
        </w:rPr>
        <w:t>Business Model Changes in the Automobile Industry-A Single Case Study of Volvo Cars.</w:t>
      </w:r>
      <w:proofErr w:type="gramEnd"/>
    </w:p>
    <w:p w:rsidR="003F4BBF" w:rsidRDefault="00BA2738">
      <w:pPr>
        <w:spacing w:before="240"/>
        <w:rPr>
          <w:rFonts w:ascii="Arial" w:hAnsi="Arial" w:cs="Arial"/>
          <w:lang w:val="en-GB"/>
        </w:rPr>
      </w:pPr>
      <w:proofErr w:type="spellStart"/>
      <w:proofErr w:type="gramStart"/>
      <w:r>
        <w:rPr>
          <w:rFonts w:ascii="Arial" w:hAnsi="Arial" w:cs="Arial"/>
          <w:lang w:val="en-GB"/>
        </w:rPr>
        <w:t>Shrestha</w:t>
      </w:r>
      <w:proofErr w:type="spellEnd"/>
      <w:r>
        <w:rPr>
          <w:rFonts w:ascii="Arial" w:hAnsi="Arial" w:cs="Arial"/>
          <w:lang w:val="en-GB"/>
        </w:rPr>
        <w:t>, S., 2024.</w:t>
      </w:r>
      <w:proofErr w:type="gramEnd"/>
      <w:r>
        <w:rPr>
          <w:rFonts w:ascii="Arial" w:hAnsi="Arial" w:cs="Arial"/>
          <w:lang w:val="en-GB"/>
        </w:rPr>
        <w:t xml:space="preserve"> Expanding Horizons for a </w:t>
      </w:r>
      <w:proofErr w:type="spellStart"/>
      <w:r>
        <w:rPr>
          <w:rFonts w:ascii="Arial" w:hAnsi="Arial" w:cs="Arial"/>
          <w:lang w:val="en-GB"/>
        </w:rPr>
        <w:t>Superyacht</w:t>
      </w:r>
      <w:proofErr w:type="spellEnd"/>
      <w:r>
        <w:rPr>
          <w:rFonts w:ascii="Arial" w:hAnsi="Arial" w:cs="Arial"/>
          <w:lang w:val="en-GB"/>
        </w:rPr>
        <w:t xml:space="preserve"> Agency: A Comparative Analysis of B2B to B2B2C Expansion </w:t>
      </w:r>
      <w:proofErr w:type="gramStart"/>
      <w:r>
        <w:rPr>
          <w:rFonts w:ascii="Arial" w:hAnsi="Arial" w:cs="Arial"/>
          <w:lang w:val="en-GB"/>
        </w:rPr>
        <w:t>Through</w:t>
      </w:r>
      <w:proofErr w:type="gramEnd"/>
      <w:r>
        <w:rPr>
          <w:rFonts w:ascii="Arial" w:hAnsi="Arial" w:cs="Arial"/>
          <w:lang w:val="en-GB"/>
        </w:rPr>
        <w:t xml:space="preserve"> a Multiple Case Study Approach.</w:t>
      </w:r>
    </w:p>
    <w:p w:rsidR="003F4BBF" w:rsidRDefault="00BA2738">
      <w:pPr>
        <w:spacing w:before="240"/>
        <w:rPr>
          <w:rFonts w:ascii="Arial" w:hAnsi="Arial" w:cs="Arial"/>
          <w:lang w:val="en-GB"/>
        </w:rPr>
      </w:pPr>
      <w:proofErr w:type="spellStart"/>
      <w:r>
        <w:rPr>
          <w:rFonts w:ascii="Arial" w:hAnsi="Arial" w:cs="Arial"/>
          <w:lang w:val="en-GB"/>
        </w:rPr>
        <w:t>Subbiah</w:t>
      </w:r>
      <w:proofErr w:type="spellEnd"/>
      <w:r>
        <w:rPr>
          <w:rFonts w:ascii="Arial" w:hAnsi="Arial" w:cs="Arial"/>
          <w:lang w:val="en-GB"/>
        </w:rPr>
        <w:t xml:space="preserve">, B.B.K., 2022. </w:t>
      </w:r>
      <w:proofErr w:type="gramStart"/>
      <w:r>
        <w:rPr>
          <w:rFonts w:ascii="Arial" w:hAnsi="Arial" w:cs="Arial"/>
          <w:lang w:val="en-GB"/>
        </w:rPr>
        <w:t>Benefits and Challenges of Firm’s Expansion to the European Market.</w:t>
      </w:r>
      <w:proofErr w:type="gramEnd"/>
    </w:p>
    <w:p w:rsidR="003F4BBF" w:rsidRDefault="00BA2738">
      <w:pPr>
        <w:spacing w:before="240"/>
        <w:rPr>
          <w:rFonts w:ascii="Arial" w:hAnsi="Arial" w:cs="Arial"/>
          <w:lang w:val="en-GB"/>
        </w:rPr>
      </w:pPr>
      <w:proofErr w:type="spellStart"/>
      <w:proofErr w:type="gramStart"/>
      <w:r>
        <w:rPr>
          <w:rFonts w:ascii="Arial" w:hAnsi="Arial" w:cs="Arial"/>
          <w:lang w:val="en-GB"/>
        </w:rPr>
        <w:t>Theintactone</w:t>
      </w:r>
      <w:proofErr w:type="spellEnd"/>
      <w:r>
        <w:rPr>
          <w:rFonts w:ascii="Arial" w:hAnsi="Arial" w:cs="Arial"/>
          <w:lang w:val="en-GB"/>
        </w:rPr>
        <w:t>, 2025.</w:t>
      </w:r>
      <w:proofErr w:type="gramEnd"/>
      <w:r>
        <w:rPr>
          <w:rFonts w:ascii="Arial" w:hAnsi="Arial" w:cs="Arial"/>
          <w:lang w:val="en-GB"/>
        </w:rPr>
        <w:t xml:space="preserve"> </w:t>
      </w:r>
      <w:proofErr w:type="spellStart"/>
      <w:proofErr w:type="gramStart"/>
      <w:r>
        <w:rPr>
          <w:rFonts w:ascii="Arial" w:hAnsi="Arial" w:cs="Arial"/>
          <w:i/>
          <w:iCs/>
          <w:lang w:val="en-GB"/>
        </w:rPr>
        <w:t>Vrio</w:t>
      </w:r>
      <w:proofErr w:type="spellEnd"/>
      <w:r>
        <w:rPr>
          <w:rFonts w:ascii="Arial" w:hAnsi="Arial" w:cs="Arial"/>
          <w:i/>
          <w:iCs/>
          <w:lang w:val="en-GB"/>
        </w:rPr>
        <w:t xml:space="preserve"> framework</w:t>
      </w:r>
      <w:r>
        <w:rPr>
          <w:rFonts w:ascii="Arial" w:hAnsi="Arial" w:cs="Arial"/>
          <w:lang w:val="en-GB"/>
        </w:rPr>
        <w:t>.</w:t>
      </w:r>
      <w:proofErr w:type="gramEnd"/>
      <w:r>
        <w:rPr>
          <w:rFonts w:ascii="Arial" w:hAnsi="Arial" w:cs="Arial"/>
          <w:lang w:val="en-GB"/>
        </w:rPr>
        <w:t xml:space="preserve"> Available at: </w:t>
      </w:r>
      <w:hyperlink r:id="rId18" w:history="1">
        <w:r>
          <w:rPr>
            <w:rStyle w:val="Hyperlink"/>
            <w:rFonts w:ascii="Arial" w:hAnsi="Arial" w:cs="Arial"/>
            <w:color w:val="000000" w:themeColor="text1"/>
            <w:lang w:val="en-GB"/>
          </w:rPr>
          <w:t>https://theintactone.com/2018/12/27/vrio-framework-components-advantages-challenges/</w:t>
        </w:r>
      </w:hyperlink>
      <w:r>
        <w:rPr>
          <w:rFonts w:ascii="Arial" w:hAnsi="Arial" w:cs="Arial"/>
          <w:lang w:val="en-GB"/>
        </w:rPr>
        <w:t xml:space="preserve"> [Accessed on: 01.12.2025]</w:t>
      </w:r>
    </w:p>
    <w:p w:rsidR="003F4BBF" w:rsidRDefault="00BA2738">
      <w:pPr>
        <w:spacing w:before="240"/>
        <w:rPr>
          <w:rFonts w:ascii="Arial" w:hAnsi="Arial" w:cs="Arial"/>
          <w:lang w:val="en-GB"/>
        </w:rPr>
      </w:pPr>
      <w:proofErr w:type="spellStart"/>
      <w:proofErr w:type="gramStart"/>
      <w:r>
        <w:rPr>
          <w:rFonts w:ascii="Arial" w:hAnsi="Arial" w:cs="Arial"/>
          <w:lang w:val="en-GB"/>
        </w:rPr>
        <w:t>Volvocars</w:t>
      </w:r>
      <w:proofErr w:type="spellEnd"/>
      <w:r>
        <w:rPr>
          <w:rFonts w:ascii="Arial" w:hAnsi="Arial" w:cs="Arial"/>
          <w:lang w:val="en-GB"/>
        </w:rPr>
        <w:t>, 2025.</w:t>
      </w:r>
      <w:proofErr w:type="gramEnd"/>
      <w:r>
        <w:rPr>
          <w:rFonts w:ascii="Arial" w:hAnsi="Arial" w:cs="Arial"/>
          <w:lang w:val="en-GB"/>
        </w:rPr>
        <w:t xml:space="preserve"> </w:t>
      </w:r>
      <w:proofErr w:type="gramStart"/>
      <w:r>
        <w:rPr>
          <w:rFonts w:ascii="Arial" w:hAnsi="Arial" w:cs="Arial"/>
          <w:i/>
          <w:iCs/>
          <w:lang w:val="en-GB"/>
        </w:rPr>
        <w:t>Home.</w:t>
      </w:r>
      <w:proofErr w:type="gramEnd"/>
      <w:r>
        <w:rPr>
          <w:rFonts w:ascii="Arial" w:hAnsi="Arial" w:cs="Arial"/>
          <w:lang w:val="en-GB"/>
        </w:rPr>
        <w:t xml:space="preserve"> Available at: </w:t>
      </w:r>
      <w:hyperlink r:id="rId19" w:history="1">
        <w:r>
          <w:rPr>
            <w:rStyle w:val="Hyperlink"/>
            <w:rFonts w:ascii="Arial" w:hAnsi="Arial" w:cs="Arial"/>
            <w:color w:val="000000" w:themeColor="text1"/>
            <w:lang w:val="en-GB"/>
          </w:rPr>
          <w:t>https://www.volvocars.com/in/test-drive-booking/?utm_source=google&amp;utm_medium=paidsearch&amp;utm_content=xc90_search&amp;utm_campaign=in_xc90_consideration-action_2504_nameplates_always-on&amp;sourceapplicationinformation=in_x90_cat_npl&amp;gad_source=1&amp;gad_campaignid=22734306854&amp;gbraid=0AAAAADg26_zlE-BkMpuGGUu_20et1bX9i&amp;gclid=CjwKCAiA86_JBhAIEiwA4i9Ju-jk__WExr0_nWhlJEcemPvMFzHZVfJHZcHpcqdKIbi9tysF6LaEpxoC7ksQAvD_BwE&amp;gclsrc=aw.ds</w:t>
        </w:r>
      </w:hyperlink>
      <w:r>
        <w:rPr>
          <w:rFonts w:ascii="Arial" w:hAnsi="Arial" w:cs="Arial"/>
          <w:lang w:val="en-GB"/>
        </w:rPr>
        <w:t xml:space="preserve"> [Accessed on : 01.12.2025]</w:t>
      </w:r>
    </w:p>
    <w:p w:rsidR="003F4BBF" w:rsidRDefault="00BA2738">
      <w:pPr>
        <w:spacing w:before="240"/>
        <w:rPr>
          <w:rFonts w:ascii="Arial" w:hAnsi="Arial" w:cs="Arial"/>
          <w:lang w:val="en-GB"/>
        </w:rPr>
      </w:pPr>
      <w:proofErr w:type="spellStart"/>
      <w:r>
        <w:rPr>
          <w:rFonts w:ascii="Arial" w:hAnsi="Arial" w:cs="Arial"/>
          <w:lang w:val="en-GB"/>
        </w:rPr>
        <w:t>Xin</w:t>
      </w:r>
      <w:proofErr w:type="spellEnd"/>
      <w:r>
        <w:rPr>
          <w:rFonts w:ascii="Arial" w:hAnsi="Arial" w:cs="Arial"/>
          <w:lang w:val="en-GB"/>
        </w:rPr>
        <w:t xml:space="preserve">, C., 2025. </w:t>
      </w:r>
      <w:proofErr w:type="gramStart"/>
      <w:r>
        <w:rPr>
          <w:rFonts w:ascii="Arial" w:hAnsi="Arial" w:cs="Arial"/>
          <w:lang w:val="en-GB"/>
        </w:rPr>
        <w:t>From China to the World BYD’s Distinctive Path to Internationalization in the NEV Market.</w:t>
      </w:r>
      <w:proofErr w:type="gramEnd"/>
      <w:r>
        <w:rPr>
          <w:rFonts w:ascii="Arial" w:hAnsi="Arial" w:cs="Arial"/>
          <w:lang w:val="en-GB"/>
        </w:rPr>
        <w:t> </w:t>
      </w:r>
      <w:proofErr w:type="gramStart"/>
      <w:r>
        <w:rPr>
          <w:rFonts w:ascii="Arial" w:hAnsi="Arial" w:cs="Arial"/>
          <w:i/>
          <w:iCs/>
          <w:lang w:val="en-GB"/>
        </w:rPr>
        <w:t>Journal of Asian Management Studies</w:t>
      </w:r>
      <w:r>
        <w:rPr>
          <w:rFonts w:ascii="Arial" w:hAnsi="Arial" w:cs="Arial"/>
          <w:lang w:val="en-GB"/>
        </w:rPr>
        <w:t>, </w:t>
      </w:r>
      <w:r>
        <w:rPr>
          <w:rFonts w:ascii="Arial" w:hAnsi="Arial" w:cs="Arial"/>
          <w:i/>
          <w:iCs/>
          <w:lang w:val="en-GB"/>
        </w:rPr>
        <w:t>31</w:t>
      </w:r>
      <w:r>
        <w:rPr>
          <w:rFonts w:ascii="Arial" w:hAnsi="Arial" w:cs="Arial"/>
          <w:lang w:val="en-GB"/>
        </w:rPr>
        <w:t>, pp.3-28.</w:t>
      </w:r>
      <w:proofErr w:type="gramEnd"/>
    </w:p>
    <w:p w:rsidR="003F4BBF" w:rsidRDefault="003F4BBF">
      <w:pPr>
        <w:spacing w:before="240"/>
        <w:rPr>
          <w:rFonts w:ascii="Arial" w:hAnsi="Arial" w:cs="Arial"/>
          <w:lang w:val="en-GB"/>
        </w:rPr>
      </w:pPr>
    </w:p>
    <w:sectPr w:rsidR="003F4BBF">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26B71" w:rsidRDefault="00726B71">
      <w:pPr>
        <w:spacing w:line="240" w:lineRule="auto"/>
      </w:pPr>
      <w:r>
        <w:separator/>
      </w:r>
    </w:p>
  </w:endnote>
  <w:endnote w:type="continuationSeparator" w:id="0">
    <w:p w:rsidR="00726B71" w:rsidRDefault="00726B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等线 Light">
    <w:altName w:val="Segoe Print"/>
    <w:charset w:val="00"/>
    <w:family w:val="auto"/>
    <w:pitch w:val="default"/>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等线">
    <w:altName w:val="Microsoft YaHei"/>
    <w:charset w:val="86"/>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32551039"/>
    </w:sdtPr>
    <w:sdtEndPr>
      <w:rPr>
        <w:rFonts w:ascii="Arial" w:hAnsi="Arial" w:cs="Arial"/>
        <w:sz w:val="20"/>
        <w:szCs w:val="20"/>
      </w:rPr>
    </w:sdtEndPr>
    <w:sdtContent>
      <w:p w:rsidR="003F4BBF" w:rsidRDefault="00BA2738">
        <w:pPr>
          <w:pStyle w:val="Footer"/>
          <w:jc w:val="right"/>
          <w:rPr>
            <w:rFonts w:ascii="Arial" w:hAnsi="Arial" w:cs="Arial"/>
            <w:sz w:val="20"/>
            <w:szCs w:val="20"/>
          </w:rPr>
        </w:pPr>
        <w:r>
          <w:rPr>
            <w:rFonts w:ascii="Arial" w:hAnsi="Arial" w:cs="Arial"/>
            <w:sz w:val="20"/>
            <w:szCs w:val="20"/>
          </w:rPr>
          <w:fldChar w:fldCharType="begin"/>
        </w:r>
        <w:r>
          <w:rPr>
            <w:rFonts w:ascii="Arial" w:hAnsi="Arial" w:cs="Arial"/>
            <w:sz w:val="20"/>
            <w:szCs w:val="20"/>
          </w:rPr>
          <w:instrText xml:space="preserve"> PAGE   \* MERGEFORMAT </w:instrText>
        </w:r>
        <w:r>
          <w:rPr>
            <w:rFonts w:ascii="Arial" w:hAnsi="Arial" w:cs="Arial"/>
            <w:sz w:val="20"/>
            <w:szCs w:val="20"/>
          </w:rPr>
          <w:fldChar w:fldCharType="separate"/>
        </w:r>
        <w:r w:rsidR="00516F1C">
          <w:rPr>
            <w:rFonts w:ascii="Arial" w:hAnsi="Arial" w:cs="Arial"/>
            <w:noProof/>
            <w:sz w:val="20"/>
            <w:szCs w:val="20"/>
          </w:rPr>
          <w:t>2</w:t>
        </w:r>
        <w:r>
          <w:rPr>
            <w:rFonts w:ascii="Arial" w:hAnsi="Arial" w:cs="Arial"/>
            <w:sz w:val="20"/>
            <w:szCs w:val="20"/>
          </w:rPr>
          <w:fldChar w:fldCharType="end"/>
        </w:r>
      </w:p>
    </w:sdtContent>
  </w:sdt>
  <w:p w:rsidR="003F4BBF" w:rsidRDefault="003F4BB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26B71" w:rsidRDefault="00726B71">
      <w:pPr>
        <w:spacing w:after="0"/>
      </w:pPr>
      <w:r>
        <w:separator/>
      </w:r>
    </w:p>
  </w:footnote>
  <w:footnote w:type="continuationSeparator" w:id="0">
    <w:p w:rsidR="00726B71" w:rsidRDefault="00726B71">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643AE"/>
    <w:rsid w:val="00053779"/>
    <w:rsid w:val="000A6454"/>
    <w:rsid w:val="000E6A2D"/>
    <w:rsid w:val="001A3B8C"/>
    <w:rsid w:val="002047AB"/>
    <w:rsid w:val="00255C7C"/>
    <w:rsid w:val="002C068D"/>
    <w:rsid w:val="002F18A6"/>
    <w:rsid w:val="002F6F93"/>
    <w:rsid w:val="00310D05"/>
    <w:rsid w:val="003321D3"/>
    <w:rsid w:val="00344428"/>
    <w:rsid w:val="003641DC"/>
    <w:rsid w:val="00371CEA"/>
    <w:rsid w:val="003F4BBF"/>
    <w:rsid w:val="003F5AD0"/>
    <w:rsid w:val="00496452"/>
    <w:rsid w:val="004A4FA8"/>
    <w:rsid w:val="004E14AD"/>
    <w:rsid w:val="00516F1C"/>
    <w:rsid w:val="00565BCC"/>
    <w:rsid w:val="00624273"/>
    <w:rsid w:val="006535FE"/>
    <w:rsid w:val="00655502"/>
    <w:rsid w:val="00677EC9"/>
    <w:rsid w:val="00726B71"/>
    <w:rsid w:val="00763AE3"/>
    <w:rsid w:val="007643AE"/>
    <w:rsid w:val="00793A23"/>
    <w:rsid w:val="007D14BF"/>
    <w:rsid w:val="007D34CE"/>
    <w:rsid w:val="008424FD"/>
    <w:rsid w:val="009D00F1"/>
    <w:rsid w:val="00A967A5"/>
    <w:rsid w:val="00AB6C66"/>
    <w:rsid w:val="00AE5330"/>
    <w:rsid w:val="00B04D6A"/>
    <w:rsid w:val="00B518F1"/>
    <w:rsid w:val="00BA2738"/>
    <w:rsid w:val="00BA54E8"/>
    <w:rsid w:val="00BD5A3B"/>
    <w:rsid w:val="00C249EC"/>
    <w:rsid w:val="00C77C49"/>
    <w:rsid w:val="00CB0D2B"/>
    <w:rsid w:val="00D3709E"/>
    <w:rsid w:val="00D76BD4"/>
    <w:rsid w:val="00D85DDE"/>
    <w:rsid w:val="00DE26BC"/>
    <w:rsid w:val="00E8752E"/>
    <w:rsid w:val="00EB2369"/>
    <w:rsid w:val="00EE243B"/>
    <w:rsid w:val="00EF19DC"/>
    <w:rsid w:val="00F95711"/>
    <w:rsid w:val="00FE1C56"/>
    <w:rsid w:val="08274FB5"/>
    <w:rsid w:val="345534B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lang w:val="en-IN"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qFormat="1"/>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qFormat="1"/>
    <w:lsdException w:name="footer" w:semiHidden="0" w:qFormat="1"/>
    <w:lsdException w:name="caption" w:uiPriority="35" w:qFormat="1"/>
    <w:lsdException w:name="Title" w:semiHidden="0" w:uiPriority="10" w:unhideWhenUsed="0" w:qFormat="1"/>
    <w:lsdException w:name="Default Paragraph Font" w:uiPriority="1" w:qFormat="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Normal Table" w:qFormat="1"/>
    <w:lsdException w:name="Table Grid" w:semiHidden="0" w:uiPriority="3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160" w:line="360" w:lineRule="auto"/>
      <w:jc w:val="both"/>
    </w:pPr>
    <w:rPr>
      <w:rFonts w:ascii="Times New Roman" w:hAnsi="Times New Roman"/>
      <w:color w:val="000000" w:themeColor="text1"/>
      <w:kern w:val="2"/>
      <w:sz w:val="24"/>
      <w:szCs w:val="22"/>
      <w:lang w:val="en-US" w:eastAsia="en-US"/>
      <w14:ligatures w14:val="standardContextual"/>
    </w:rPr>
  </w:style>
  <w:style w:type="paragraph" w:styleId="Heading1">
    <w:name w:val="heading 1"/>
    <w:basedOn w:val="Normal"/>
    <w:next w:val="Normal"/>
    <w:link w:val="Heading1Char"/>
    <w:autoRedefine/>
    <w:uiPriority w:val="9"/>
    <w:qFormat/>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autoRedefine/>
    <w:uiPriority w:val="9"/>
    <w:semiHidden/>
    <w:unhideWhenUsed/>
    <w:qFormat/>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autoRedefine/>
    <w:uiPriority w:val="9"/>
    <w:semiHidden/>
    <w:unhideWhenUsed/>
    <w:qFormat/>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autoRedefine/>
    <w:uiPriority w:val="9"/>
    <w:semiHidden/>
    <w:unhideWhenUsed/>
    <w:qFormat/>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Subtitle">
    <w:name w:val="Subtitle"/>
    <w:basedOn w:val="Normal"/>
    <w:next w:val="Normal"/>
    <w:link w:val="SubtitleChar"/>
    <w:uiPriority w:val="11"/>
    <w:qFormat/>
    <w:rPr>
      <w:rFonts w:asciiTheme="minorHAnsi" w:eastAsiaTheme="majorEastAsia" w:hAnsiTheme="minorHAnsi"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color w:val="auto"/>
      <w:spacing w:val="-10"/>
      <w:kern w:val="28"/>
      <w:sz w:val="56"/>
      <w:szCs w:val="56"/>
    </w:rPr>
  </w:style>
  <w:style w:type="paragraph" w:styleId="TOC1">
    <w:name w:val="toc 1"/>
    <w:basedOn w:val="Normal"/>
    <w:next w:val="Normal"/>
    <w:autoRedefine/>
    <w:uiPriority w:val="39"/>
    <w:unhideWhenUsed/>
    <w:qFormat/>
    <w:pPr>
      <w:spacing w:after="100"/>
    </w:pPr>
  </w:style>
  <w:style w:type="character" w:customStyle="1" w:styleId="Heading2Char">
    <w:name w:val="Heading 2 Char"/>
    <w:basedOn w:val="DefaultParagraphFont"/>
    <w:link w:val="Heading2"/>
    <w:uiPriority w:val="9"/>
    <w:semiHidden/>
    <w:qFormat/>
    <w:rPr>
      <w:rFonts w:ascii="Times New Roman" w:eastAsiaTheme="majorEastAsia" w:hAnsi="Times New Roman" w:cstheme="majorBidi"/>
      <w:b/>
      <w:color w:val="000000" w:themeColor="text1"/>
      <w:sz w:val="24"/>
      <w:szCs w:val="32"/>
    </w:rPr>
  </w:style>
  <w:style w:type="character" w:customStyle="1" w:styleId="Heading1Char">
    <w:name w:val="Heading 1 Char"/>
    <w:basedOn w:val="DefaultParagraphFont"/>
    <w:link w:val="Heading1"/>
    <w:uiPriority w:val="9"/>
    <w:qFormat/>
    <w:rPr>
      <w:rFonts w:ascii="Times New Roman" w:eastAsiaTheme="majorEastAsia" w:hAnsi="Times New Roman" w:cstheme="majorBidi"/>
      <w:b/>
      <w:color w:val="000000" w:themeColor="text1"/>
      <w:sz w:val="24"/>
      <w:szCs w:val="40"/>
    </w:rPr>
  </w:style>
  <w:style w:type="character" w:customStyle="1" w:styleId="Heading3Char">
    <w:name w:val="Heading 3 Char"/>
    <w:basedOn w:val="DefaultParagraphFont"/>
    <w:link w:val="Heading3"/>
    <w:uiPriority w:val="9"/>
    <w:semiHidden/>
    <w:qFormat/>
    <w:rPr>
      <w:rFonts w:ascii="Times New Roman" w:eastAsiaTheme="majorEastAsia" w:hAnsi="Times New Roman" w:cstheme="majorBidi"/>
      <w:b/>
      <w:color w:val="000000" w:themeColor="text1"/>
      <w:sz w:val="24"/>
      <w:szCs w:val="28"/>
    </w:rPr>
  </w:style>
  <w:style w:type="character" w:customStyle="1" w:styleId="Heading4Char">
    <w:name w:val="Heading 4 Char"/>
    <w:basedOn w:val="DefaultParagraphFont"/>
    <w:link w:val="Heading4"/>
    <w:uiPriority w:val="9"/>
    <w:semiHidden/>
    <w:qFormat/>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sz w:val="24"/>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sz w:val="24"/>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rFonts w:ascii="Times New Roman" w:hAnsi="Times New Roman"/>
      <w:i/>
      <w:iCs/>
      <w:color w:val="404040" w:themeColor="text1" w:themeTint="BF"/>
      <w:sz w:val="24"/>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rFonts w:ascii="Times New Roman" w:hAnsi="Times New Roman"/>
      <w:i/>
      <w:iCs/>
      <w:color w:val="2F5496" w:themeColor="accent1" w:themeShade="BF"/>
      <w:sz w:val="24"/>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character" w:customStyle="1" w:styleId="HeaderChar">
    <w:name w:val="Header Char"/>
    <w:basedOn w:val="DefaultParagraphFont"/>
    <w:link w:val="Header"/>
    <w:uiPriority w:val="99"/>
    <w:qFormat/>
    <w:rPr>
      <w:rFonts w:ascii="Times New Roman" w:hAnsi="Times New Roman"/>
      <w:color w:val="000000" w:themeColor="text1"/>
      <w:sz w:val="24"/>
    </w:rPr>
  </w:style>
  <w:style w:type="character" w:customStyle="1" w:styleId="FooterChar">
    <w:name w:val="Footer Char"/>
    <w:basedOn w:val="DefaultParagraphFont"/>
    <w:link w:val="Footer"/>
    <w:uiPriority w:val="99"/>
    <w:qFormat/>
    <w:rPr>
      <w:rFonts w:ascii="Times New Roman" w:hAnsi="Times New Roman"/>
      <w:color w:val="000000" w:themeColor="text1"/>
      <w:sz w:val="24"/>
    </w:rPr>
  </w:style>
  <w:style w:type="paragraph" w:customStyle="1" w:styleId="TableParagraph">
    <w:name w:val="Table Paragraph"/>
    <w:basedOn w:val="Normal"/>
    <w:uiPriority w:val="1"/>
    <w:qFormat/>
    <w:pPr>
      <w:widowControl w:val="0"/>
      <w:autoSpaceDE w:val="0"/>
      <w:autoSpaceDN w:val="0"/>
      <w:spacing w:after="0" w:line="240" w:lineRule="auto"/>
      <w:ind w:left="33"/>
      <w:jc w:val="left"/>
    </w:pPr>
    <w:rPr>
      <w:rFonts w:ascii="Arial MT" w:eastAsia="Arial MT" w:hAnsi="Arial MT" w:cs="Arial MT"/>
      <w:color w:val="auto"/>
      <w:kern w:val="0"/>
      <w:sz w:val="22"/>
      <w14:ligatures w14:val="none"/>
    </w:rPr>
  </w:style>
  <w:style w:type="paragraph" w:styleId="BalloonText">
    <w:name w:val="Balloon Text"/>
    <w:basedOn w:val="Normal"/>
    <w:link w:val="BalloonTextChar"/>
    <w:uiPriority w:val="99"/>
    <w:semiHidden/>
    <w:unhideWhenUsed/>
    <w:rsid w:val="00FE1C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1C56"/>
    <w:rPr>
      <w:rFonts w:ascii="Tahoma" w:hAnsi="Tahoma" w:cs="Tahoma"/>
      <w:color w:val="000000" w:themeColor="text1"/>
      <w:kern w:val="2"/>
      <w:sz w:val="16"/>
      <w:szCs w:val="16"/>
      <w:lang w:val="en-US" w:eastAsia="en-US"/>
      <w14:ligatures w14:val="standardContextua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lang w:val="en-IN"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qFormat="1"/>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qFormat="1"/>
    <w:lsdException w:name="footer" w:semiHidden="0" w:qFormat="1"/>
    <w:lsdException w:name="caption" w:uiPriority="35" w:qFormat="1"/>
    <w:lsdException w:name="Title" w:semiHidden="0" w:uiPriority="10" w:unhideWhenUsed="0" w:qFormat="1"/>
    <w:lsdException w:name="Default Paragraph Font" w:uiPriority="1" w:qFormat="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Normal Table" w:qFormat="1"/>
    <w:lsdException w:name="Table Grid" w:semiHidden="0" w:uiPriority="3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160" w:line="360" w:lineRule="auto"/>
      <w:jc w:val="both"/>
    </w:pPr>
    <w:rPr>
      <w:rFonts w:ascii="Times New Roman" w:hAnsi="Times New Roman"/>
      <w:color w:val="000000" w:themeColor="text1"/>
      <w:kern w:val="2"/>
      <w:sz w:val="24"/>
      <w:szCs w:val="22"/>
      <w:lang w:val="en-US" w:eastAsia="en-US"/>
      <w14:ligatures w14:val="standardContextual"/>
    </w:rPr>
  </w:style>
  <w:style w:type="paragraph" w:styleId="Heading1">
    <w:name w:val="heading 1"/>
    <w:basedOn w:val="Normal"/>
    <w:next w:val="Normal"/>
    <w:link w:val="Heading1Char"/>
    <w:autoRedefine/>
    <w:uiPriority w:val="9"/>
    <w:qFormat/>
    <w:pPr>
      <w:keepNext/>
      <w:keepLines/>
      <w:spacing w:before="360" w:after="80"/>
      <w:outlineLvl w:val="0"/>
    </w:pPr>
    <w:rPr>
      <w:rFonts w:eastAsiaTheme="majorEastAsia" w:cstheme="majorBidi"/>
      <w:b/>
      <w:szCs w:val="40"/>
    </w:rPr>
  </w:style>
  <w:style w:type="paragraph" w:styleId="Heading2">
    <w:name w:val="heading 2"/>
    <w:basedOn w:val="Normal"/>
    <w:next w:val="Normal"/>
    <w:link w:val="Heading2Char"/>
    <w:autoRedefine/>
    <w:uiPriority w:val="9"/>
    <w:semiHidden/>
    <w:unhideWhenUsed/>
    <w:qFormat/>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autoRedefine/>
    <w:uiPriority w:val="9"/>
    <w:semiHidden/>
    <w:unhideWhenUsed/>
    <w:qFormat/>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autoRedefine/>
    <w:uiPriority w:val="9"/>
    <w:semiHidden/>
    <w:unhideWhenUsed/>
    <w:qFormat/>
    <w:pPr>
      <w:keepNext/>
      <w:keepLines/>
      <w:spacing w:before="80" w:after="40"/>
      <w:outlineLvl w:val="3"/>
    </w:pPr>
    <w:rPr>
      <w:rFonts w:eastAsiaTheme="majorEastAsia" w:cstheme="majorBidi"/>
      <w:b/>
      <w:iCs/>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qFormat/>
    <w:pPr>
      <w:tabs>
        <w:tab w:val="center" w:pos="4680"/>
        <w:tab w:val="right" w:pos="9360"/>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Subtitle">
    <w:name w:val="Subtitle"/>
    <w:basedOn w:val="Normal"/>
    <w:next w:val="Normal"/>
    <w:link w:val="SubtitleChar"/>
    <w:uiPriority w:val="11"/>
    <w:qFormat/>
    <w:rPr>
      <w:rFonts w:asciiTheme="minorHAnsi" w:eastAsiaTheme="majorEastAsia" w:hAnsiTheme="minorHAnsi" w:cstheme="majorBidi"/>
      <w:color w:val="595959" w:themeColor="text1" w:themeTint="A6"/>
      <w:spacing w:val="15"/>
      <w:sz w:val="28"/>
      <w:szCs w:val="28"/>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color w:val="auto"/>
      <w:spacing w:val="-10"/>
      <w:kern w:val="28"/>
      <w:sz w:val="56"/>
      <w:szCs w:val="56"/>
    </w:rPr>
  </w:style>
  <w:style w:type="paragraph" w:styleId="TOC1">
    <w:name w:val="toc 1"/>
    <w:basedOn w:val="Normal"/>
    <w:next w:val="Normal"/>
    <w:autoRedefine/>
    <w:uiPriority w:val="39"/>
    <w:unhideWhenUsed/>
    <w:qFormat/>
    <w:pPr>
      <w:spacing w:after="100"/>
    </w:pPr>
  </w:style>
  <w:style w:type="character" w:customStyle="1" w:styleId="Heading2Char">
    <w:name w:val="Heading 2 Char"/>
    <w:basedOn w:val="DefaultParagraphFont"/>
    <w:link w:val="Heading2"/>
    <w:uiPriority w:val="9"/>
    <w:semiHidden/>
    <w:qFormat/>
    <w:rPr>
      <w:rFonts w:ascii="Times New Roman" w:eastAsiaTheme="majorEastAsia" w:hAnsi="Times New Roman" w:cstheme="majorBidi"/>
      <w:b/>
      <w:color w:val="000000" w:themeColor="text1"/>
      <w:sz w:val="24"/>
      <w:szCs w:val="32"/>
    </w:rPr>
  </w:style>
  <w:style w:type="character" w:customStyle="1" w:styleId="Heading1Char">
    <w:name w:val="Heading 1 Char"/>
    <w:basedOn w:val="DefaultParagraphFont"/>
    <w:link w:val="Heading1"/>
    <w:uiPriority w:val="9"/>
    <w:qFormat/>
    <w:rPr>
      <w:rFonts w:ascii="Times New Roman" w:eastAsiaTheme="majorEastAsia" w:hAnsi="Times New Roman" w:cstheme="majorBidi"/>
      <w:b/>
      <w:color w:val="000000" w:themeColor="text1"/>
      <w:sz w:val="24"/>
      <w:szCs w:val="40"/>
    </w:rPr>
  </w:style>
  <w:style w:type="character" w:customStyle="1" w:styleId="Heading3Char">
    <w:name w:val="Heading 3 Char"/>
    <w:basedOn w:val="DefaultParagraphFont"/>
    <w:link w:val="Heading3"/>
    <w:uiPriority w:val="9"/>
    <w:semiHidden/>
    <w:qFormat/>
    <w:rPr>
      <w:rFonts w:ascii="Times New Roman" w:eastAsiaTheme="majorEastAsia" w:hAnsi="Times New Roman" w:cstheme="majorBidi"/>
      <w:b/>
      <w:color w:val="000000" w:themeColor="text1"/>
      <w:sz w:val="24"/>
      <w:szCs w:val="28"/>
    </w:rPr>
  </w:style>
  <w:style w:type="character" w:customStyle="1" w:styleId="Heading4Char">
    <w:name w:val="Heading 4 Char"/>
    <w:basedOn w:val="DefaultParagraphFont"/>
    <w:link w:val="Heading4"/>
    <w:uiPriority w:val="9"/>
    <w:semiHidden/>
    <w:qFormat/>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sz w:val="24"/>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sz w:val="24"/>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rFonts w:ascii="Times New Roman" w:hAnsi="Times New Roman"/>
      <w:i/>
      <w:iCs/>
      <w:color w:val="404040" w:themeColor="text1" w:themeTint="BF"/>
      <w:sz w:val="24"/>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2F5496" w:themeColor="accent1" w:themeShade="BF"/>
    </w:rPr>
  </w:style>
  <w:style w:type="paragraph" w:styleId="IntenseQuote">
    <w:name w:val="Intense Quote"/>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qFormat/>
    <w:rPr>
      <w:rFonts w:ascii="Times New Roman" w:hAnsi="Times New Roman"/>
      <w:i/>
      <w:iCs/>
      <w:color w:val="2F5496" w:themeColor="accent1" w:themeShade="BF"/>
      <w:sz w:val="24"/>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character" w:customStyle="1" w:styleId="HeaderChar">
    <w:name w:val="Header Char"/>
    <w:basedOn w:val="DefaultParagraphFont"/>
    <w:link w:val="Header"/>
    <w:uiPriority w:val="99"/>
    <w:qFormat/>
    <w:rPr>
      <w:rFonts w:ascii="Times New Roman" w:hAnsi="Times New Roman"/>
      <w:color w:val="000000" w:themeColor="text1"/>
      <w:sz w:val="24"/>
    </w:rPr>
  </w:style>
  <w:style w:type="character" w:customStyle="1" w:styleId="FooterChar">
    <w:name w:val="Footer Char"/>
    <w:basedOn w:val="DefaultParagraphFont"/>
    <w:link w:val="Footer"/>
    <w:uiPriority w:val="99"/>
    <w:qFormat/>
    <w:rPr>
      <w:rFonts w:ascii="Times New Roman" w:hAnsi="Times New Roman"/>
      <w:color w:val="000000" w:themeColor="text1"/>
      <w:sz w:val="24"/>
    </w:rPr>
  </w:style>
  <w:style w:type="paragraph" w:customStyle="1" w:styleId="TableParagraph">
    <w:name w:val="Table Paragraph"/>
    <w:basedOn w:val="Normal"/>
    <w:uiPriority w:val="1"/>
    <w:qFormat/>
    <w:pPr>
      <w:widowControl w:val="0"/>
      <w:autoSpaceDE w:val="0"/>
      <w:autoSpaceDN w:val="0"/>
      <w:spacing w:after="0" w:line="240" w:lineRule="auto"/>
      <w:ind w:left="33"/>
      <w:jc w:val="left"/>
    </w:pPr>
    <w:rPr>
      <w:rFonts w:ascii="Arial MT" w:eastAsia="Arial MT" w:hAnsi="Arial MT" w:cs="Arial MT"/>
      <w:color w:val="auto"/>
      <w:kern w:val="0"/>
      <w:sz w:val="22"/>
      <w14:ligatures w14:val="none"/>
    </w:rPr>
  </w:style>
  <w:style w:type="paragraph" w:styleId="BalloonText">
    <w:name w:val="Balloon Text"/>
    <w:basedOn w:val="Normal"/>
    <w:link w:val="BalloonTextChar"/>
    <w:uiPriority w:val="99"/>
    <w:semiHidden/>
    <w:unhideWhenUsed/>
    <w:rsid w:val="00FE1C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1C56"/>
    <w:rPr>
      <w:rFonts w:ascii="Tahoma" w:hAnsi="Tahoma" w:cs="Tahoma"/>
      <w:color w:val="000000" w:themeColor="text1"/>
      <w:kern w:val="2"/>
      <w:sz w:val="16"/>
      <w:szCs w:val="16"/>
      <w:lang w:val="en-US"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theintactone.com/2018/12/27/vrio-framework-components-advantages-challenges/" TargetMode="External"/><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matrixbcg.com/blogs/competitors/volvocars" TargetMode="External"/><Relationship Id="rId2" Type="http://schemas.openxmlformats.org/officeDocument/2006/relationships/styles" Target="styles.xml"/><Relationship Id="rId16" Type="http://schemas.openxmlformats.org/officeDocument/2006/relationships/hyperlink" Target="https://expertprogrammanagement.com/2022/01/the-ansoff-matrix/"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expertprogrammanagement.com/2018/04/porter-diamond-model/" TargetMode="External"/><Relationship Id="rId10" Type="http://schemas.openxmlformats.org/officeDocument/2006/relationships/image" Target="media/image3.png"/><Relationship Id="rId19" Type="http://schemas.openxmlformats.org/officeDocument/2006/relationships/hyperlink" Target="https://www.volvocars.com/in/test-drive-booking/?utm_source=google&amp;utm_medium=paidsearch&amp;utm_content=xc90_search&amp;utm_campaign=in_xc90_consideration-action_2504_nameplates_always-on&amp;sourceapplicationinformation=in_x90_cat_npl&amp;gad_source=1&amp;gad_campaignid=22734306854&amp;gbraid=0AAAAADg26_zlE-BkMpuGGUu_20et1bX9i&amp;gclid=CjwKCAiA86_JBhAIEiwA4i9Ju-jk__WExr0_nWhlJEcemPvMFzHZVfJHZcHpcqdKIbi9tysF6LaEpxoC7ksQAvD_BwE&amp;gclsrc=aw.d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anvasbusinessmodel.com/products/volvo-cars-pestle-analysis?srsltid=AfmBOortbIB9hTUTFsr_G2lH2kPDfEKIiD2YVobpgueWMubJwSPzwY0Q"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89DBCE-2BFA-4355-AF7F-FE1DD4932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27</Pages>
  <Words>6730</Words>
  <Characters>38365</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Rishith Reddy Jammidi</dc:creator>
  <cp:lastModifiedBy>RISHITH REDDY JAMMIDI</cp:lastModifiedBy>
  <cp:revision>4</cp:revision>
  <dcterms:created xsi:type="dcterms:W3CDTF">2025-12-03T12:48:00Z</dcterms:created>
  <dcterms:modified xsi:type="dcterms:W3CDTF">2025-12-10T11:39:00Z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739F0FD6BCED487BA768D5F046BB5E8E_13</vt:lpwstr>
  </property>
</Properties>
</file>