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jc w:val="center"/>
        <w:rPr/>
      </w:pPr>
      <w:r>
        <w:rPr>
          <w:noProof/>
          <w:lang w:val="en-US"/>
        </w:rPr>
        <w:drawing>
          <wp:inline distL="0" distT="0" distB="0" distR="0">
            <wp:extent cx="3381375" cy="1352550"/>
            <wp:effectExtent l="0" t="0" r="9525" b="0"/>
            <wp:docPr id="1026"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 cstate="print"/>
                    <a:srcRect l="0" t="0" r="0" b="0"/>
                    <a:stretch/>
                  </pic:blipFill>
                  <pic:spPr>
                    <a:xfrm rot="0">
                      <a:off x="0" y="0"/>
                      <a:ext cx="3381375" cy="1352550"/>
                    </a:xfrm>
                    <a:prstGeom prst="rect"/>
                  </pic:spPr>
                </pic:pic>
              </a:graphicData>
            </a:graphic>
          </wp:inline>
        </w:drawing>
      </w:r>
    </w:p>
    <w:p>
      <w:pPr>
        <w:pStyle w:val="style0"/>
        <w:jc w:val="center"/>
        <w:rPr/>
      </w:pPr>
    </w:p>
    <w:p>
      <w:pPr>
        <w:pStyle w:val="style0"/>
        <w:jc w:val="center"/>
        <w:rPr/>
      </w:pPr>
    </w:p>
    <w:p>
      <w:pPr>
        <w:pStyle w:val="style0"/>
        <w:jc w:val="center"/>
        <w:rPr/>
      </w:pPr>
    </w:p>
    <w:p>
      <w:pPr>
        <w:pStyle w:val="style0"/>
        <w:jc w:val="center"/>
        <w:rPr/>
      </w:pPr>
    </w:p>
    <w:p>
      <w:pPr>
        <w:pStyle w:val="style0"/>
        <w:jc w:val="center"/>
        <w:rPr/>
      </w:pPr>
    </w:p>
    <w:p>
      <w:pPr>
        <w:pStyle w:val="style0"/>
        <w:jc w:val="center"/>
        <w:rPr>
          <w:rFonts w:cs="Arial"/>
          <w:b/>
          <w:bCs/>
        </w:rPr>
      </w:pPr>
      <w:r>
        <w:rPr>
          <w:rFonts w:cs="Arial"/>
          <w:b/>
          <w:bCs/>
        </w:rPr>
        <w:t>Student Name:</w:t>
      </w:r>
    </w:p>
    <w:p>
      <w:pPr>
        <w:pStyle w:val="style0"/>
        <w:jc w:val="center"/>
        <w:rPr>
          <w:rFonts w:cs="Arial"/>
          <w:b/>
          <w:bCs/>
        </w:rPr>
      </w:pPr>
      <w:r>
        <w:rPr>
          <w:rFonts w:cs="Arial"/>
          <w:b/>
          <w:bCs/>
        </w:rPr>
        <w:t>Hamza Khan</w:t>
      </w:r>
    </w:p>
    <w:p>
      <w:pPr>
        <w:pStyle w:val="style0"/>
        <w:jc w:val="center"/>
        <w:rPr>
          <w:rFonts w:cs="Arial"/>
          <w:b/>
          <w:bCs/>
        </w:rPr>
      </w:pPr>
      <w:r>
        <w:rPr>
          <w:rFonts w:cs="Arial"/>
          <w:b/>
          <w:bCs/>
        </w:rPr>
        <w:t>Student ID:</w:t>
      </w:r>
    </w:p>
    <w:p>
      <w:pPr>
        <w:pStyle w:val="style0"/>
        <w:jc w:val="center"/>
        <w:rPr>
          <w:rFonts w:cs="Arial"/>
          <w:b/>
          <w:bCs/>
        </w:rPr>
      </w:pPr>
      <w:r>
        <w:rPr>
          <w:rFonts w:cs="Arial"/>
          <w:b/>
          <w:bCs/>
        </w:rPr>
        <w:t>2504521</w:t>
      </w:r>
    </w:p>
    <w:p>
      <w:pPr>
        <w:pStyle w:val="style0"/>
        <w:jc w:val="center"/>
        <w:rPr>
          <w:rFonts w:cs="Arial"/>
        </w:rPr>
      </w:pPr>
    </w:p>
    <w:p>
      <w:pPr>
        <w:pStyle w:val="style0"/>
        <w:jc w:val="center"/>
        <w:rPr>
          <w:rFonts w:cs="Arial"/>
          <w:b/>
          <w:bCs/>
        </w:rPr>
      </w:pPr>
      <w:r>
        <w:rPr>
          <w:rFonts w:cs="Arial"/>
          <w:b/>
          <w:bCs/>
        </w:rPr>
        <w:t>Module Name: Marketing Management</w:t>
      </w:r>
    </w:p>
    <w:p>
      <w:pPr>
        <w:pStyle w:val="style0"/>
        <w:jc w:val="center"/>
        <w:rPr>
          <w:rFonts w:cs="Arial"/>
          <w:b/>
          <w:bCs/>
        </w:rPr>
      </w:pPr>
    </w:p>
    <w:p>
      <w:pPr>
        <w:pStyle w:val="style0"/>
        <w:jc w:val="center"/>
        <w:rPr>
          <w:rFonts w:cs="Arial"/>
          <w:b/>
          <w:bCs/>
        </w:rPr>
      </w:pPr>
      <w:r>
        <w:rPr>
          <w:rFonts w:cs="Arial"/>
          <w:b/>
          <w:bCs/>
        </w:rPr>
        <w:t>Module Code: LCMB7024</w:t>
      </w:r>
    </w:p>
    <w:p>
      <w:pPr>
        <w:pStyle w:val="style0"/>
        <w:rPr>
          <w:rFonts w:cs="Arial"/>
          <w:b/>
          <w:bCs/>
        </w:rPr>
      </w:pPr>
    </w:p>
    <w:p>
      <w:pPr>
        <w:pStyle w:val="style0"/>
        <w:jc w:val="center"/>
        <w:rPr>
          <w:rFonts w:cs="Arial"/>
          <w:b/>
          <w:bCs/>
        </w:rPr>
      </w:pPr>
      <w:r>
        <w:rPr>
          <w:rFonts w:cs="Arial"/>
          <w:b/>
          <w:bCs/>
        </w:rPr>
        <w:t>Lecturer’s Name:</w:t>
      </w:r>
    </w:p>
    <w:p>
      <w:pPr>
        <w:pStyle w:val="style0"/>
        <w:jc w:val="center"/>
        <w:rPr>
          <w:rFonts w:cs="Arial"/>
          <w:b/>
          <w:bCs/>
        </w:rPr>
      </w:pPr>
    </w:p>
    <w:p>
      <w:pPr>
        <w:pStyle w:val="style0"/>
        <w:jc w:val="center"/>
        <w:rPr>
          <w:rFonts w:cs="Arial"/>
          <w:b/>
          <w:bCs/>
        </w:rPr>
      </w:pPr>
      <w:r>
        <w:rPr>
          <w:rFonts w:cs="Arial"/>
          <w:b/>
          <w:bCs/>
        </w:rPr>
        <w:t>Dr. Laila Maazouz</w:t>
      </w:r>
    </w:p>
    <w:p>
      <w:pPr>
        <w:pStyle w:val="style0"/>
        <w:rPr>
          <w:rFonts w:cs="Arial"/>
          <w:b/>
          <w:bCs/>
        </w:rPr>
      </w:pPr>
    </w:p>
    <w:p>
      <w:pPr>
        <w:pStyle w:val="style0"/>
        <w:jc w:val="center"/>
        <w:rPr>
          <w:rFonts w:cs="Arial"/>
          <w:b/>
          <w:bCs/>
        </w:rPr>
      </w:pPr>
      <w:r>
        <w:rPr>
          <w:rFonts w:cs="Arial"/>
          <w:b/>
          <w:bCs/>
        </w:rPr>
        <w:t>Work Count:</w:t>
      </w:r>
    </w:p>
    <w:p>
      <w:pPr>
        <w:pStyle w:val="style0"/>
        <w:jc w:val="center"/>
        <w:rPr>
          <w:rFonts w:cs="Arial"/>
          <w:b/>
          <w:bCs/>
        </w:rPr>
      </w:pPr>
      <w:r>
        <w:rPr>
          <w:rFonts w:cs="Arial"/>
          <w:b/>
          <w:bCs/>
          <w:highlight w:val="yellow"/>
        </w:rPr>
        <w:t>2560</w:t>
      </w:r>
    </w:p>
    <w:p>
      <w:pPr>
        <w:pStyle w:val="style0"/>
        <w:rPr>
          <w:rFonts w:cs="Arial"/>
          <w:b/>
          <w:bCs/>
        </w:rPr>
      </w:pPr>
    </w:p>
    <w:p>
      <w:pPr>
        <w:pStyle w:val="style0"/>
        <w:jc w:val="center"/>
        <w:rPr>
          <w:rFonts w:cs="Arial"/>
          <w:b/>
          <w:bCs/>
        </w:rPr>
      </w:pPr>
      <w:r>
        <w:rPr>
          <w:rFonts w:cs="Arial"/>
          <w:b/>
          <w:bCs/>
        </w:rPr>
        <w:t>Term 1</w:t>
      </w:r>
    </w:p>
    <w:p>
      <w:pPr>
        <w:pStyle w:val="style0"/>
        <w:rPr>
          <w:b/>
          <w:bCs/>
        </w:rPr>
      </w:pPr>
      <w:r>
        <w:rPr>
          <w:b/>
          <w:bCs/>
        </w:rPr>
        <w:br w:type="page"/>
      </w:r>
    </w:p>
    <w:p>
      <w:pPr>
        <w:pStyle w:val="style266"/>
        <w:shd w:val="clear" w:color="auto" w:fill="ffffff"/>
        <w:rPr>
          <w:color w:val="auto"/>
        </w:rPr>
      </w:pPr>
      <w:r>
        <w:rPr>
          <w:color w:val="auto"/>
        </w:rPr>
        <w:t>Contents</w:t>
      </w:r>
    </w:p>
    <w:p>
      <w:pPr>
        <w:pStyle w:val="style19"/>
        <w:tabs>
          <w:tab w:val="right" w:leader="dot" w:pos="9350"/>
        </w:tabs>
        <w:rPr>
          <w:rFonts w:ascii="Aptos" w:eastAsia="宋体" w:hAnsi="Aptos"/>
          <w:noProof/>
          <w:sz w:val="22"/>
          <w:szCs w:val="22"/>
          <w:lang w:val="en-US"/>
        </w:rPr>
      </w:pPr>
      <w:r>
        <w:rPr/>
        <w:fldChar w:fldCharType="begin"/>
      </w:r>
      <w:r>
        <w:instrText xml:space="preserve"> TOC \o "1-3" \h \z \u </w:instrText>
      </w:r>
      <w:r>
        <w:rPr/>
        <w:fldChar w:fldCharType="separate"/>
      </w:r>
      <w:r>
        <w:rPr/>
        <w:fldChar w:fldCharType="begin"/>
      </w:r>
      <w:r>
        <w:instrText xml:space="preserve"> HYPERLINK \l "_Toc214568531" </w:instrText>
      </w:r>
      <w:r>
        <w:rPr/>
        <w:fldChar w:fldCharType="separate"/>
      </w:r>
      <w:r>
        <w:rPr>
          <w:rStyle w:val="style85"/>
          <w:noProof/>
          <w:lang w:val="en-US"/>
        </w:rPr>
        <w:t>Introduction</w:t>
      </w:r>
      <w:r>
        <w:rPr>
          <w:noProof/>
          <w:webHidden/>
        </w:rPr>
        <w:tab/>
      </w:r>
      <w:r>
        <w:rPr>
          <w:noProof/>
          <w:webHidden/>
        </w:rPr>
        <w:fldChar w:fldCharType="begin"/>
      </w:r>
      <w:r>
        <w:rPr>
          <w:noProof/>
          <w:webHidden/>
        </w:rPr>
        <w:instrText xml:space="preserve"> PAGEREF _Toc214568531 \h </w:instrText>
      </w:r>
      <w:r>
        <w:rPr>
          <w:noProof/>
          <w:webHidden/>
        </w:rPr>
        <w:fldChar w:fldCharType="separate"/>
      </w:r>
      <w:r>
        <w:rPr>
          <w:noProof/>
          <w:webHidden/>
        </w:rPr>
        <w:t>3</w:t>
      </w:r>
      <w:r>
        <w:rPr>
          <w:noProof/>
          <w:webHidden/>
        </w:rPr>
        <w:fldChar w:fldCharType="end"/>
      </w:r>
      <w:r>
        <w:rPr/>
        <w:fldChar w:fldCharType="end"/>
      </w:r>
    </w:p>
    <w:p>
      <w:pPr>
        <w:pStyle w:val="style19"/>
        <w:tabs>
          <w:tab w:val="right" w:leader="dot" w:pos="9350"/>
        </w:tabs>
        <w:rPr>
          <w:rFonts w:ascii="Aptos" w:eastAsia="宋体" w:hAnsi="Aptos"/>
          <w:noProof/>
          <w:sz w:val="22"/>
          <w:szCs w:val="22"/>
          <w:lang w:val="en-US"/>
        </w:rPr>
      </w:pPr>
      <w:r>
        <w:rPr/>
        <w:fldChar w:fldCharType="begin"/>
      </w:r>
      <w:r>
        <w:instrText xml:space="preserve"> HYPERLINK \l "_Toc214568532" </w:instrText>
      </w:r>
      <w:r>
        <w:rPr/>
        <w:fldChar w:fldCharType="separate"/>
      </w:r>
      <w:r>
        <w:rPr>
          <w:rStyle w:val="style85"/>
          <w:noProof/>
          <w:lang w:val="en-US"/>
        </w:rPr>
        <w:t>2. Task 1: Critical Analysis of the Macro Marketing Environment</w:t>
      </w:r>
      <w:r>
        <w:rPr>
          <w:noProof/>
          <w:webHidden/>
        </w:rPr>
        <w:tab/>
      </w:r>
      <w:r>
        <w:rPr>
          <w:noProof/>
          <w:webHidden/>
        </w:rPr>
        <w:fldChar w:fldCharType="begin"/>
      </w:r>
      <w:r>
        <w:rPr>
          <w:noProof/>
          <w:webHidden/>
        </w:rPr>
        <w:instrText xml:space="preserve"> PAGEREF _Toc214568532 \h </w:instrText>
      </w:r>
      <w:r>
        <w:rPr>
          <w:noProof/>
          <w:webHidden/>
        </w:rPr>
        <w:fldChar w:fldCharType="separate"/>
      </w:r>
      <w:r>
        <w:rPr>
          <w:noProof/>
          <w:webHidden/>
        </w:rPr>
        <w:t>4</w:t>
      </w:r>
      <w:r>
        <w:rPr>
          <w:noProof/>
          <w:webHidden/>
        </w:rPr>
        <w:fldChar w:fldCharType="end"/>
      </w:r>
      <w:r>
        <w:rPr/>
        <w:fldChar w:fldCharType="end"/>
      </w:r>
    </w:p>
    <w:p>
      <w:pPr>
        <w:pStyle w:val="style20"/>
        <w:tabs>
          <w:tab w:val="right" w:leader="dot" w:pos="9350"/>
        </w:tabs>
        <w:rPr>
          <w:rFonts w:ascii="Aptos" w:eastAsia="宋体" w:hAnsi="Aptos"/>
          <w:noProof/>
          <w:sz w:val="22"/>
          <w:szCs w:val="22"/>
          <w:lang w:val="en-US"/>
        </w:rPr>
      </w:pPr>
      <w:r>
        <w:rPr/>
        <w:fldChar w:fldCharType="begin"/>
      </w:r>
      <w:r>
        <w:instrText xml:space="preserve"> HYPERLINK \l "_Toc214568533" </w:instrText>
      </w:r>
      <w:r>
        <w:rPr/>
        <w:fldChar w:fldCharType="separate"/>
      </w:r>
      <w:r>
        <w:rPr>
          <w:rStyle w:val="style85"/>
          <w:noProof/>
          <w:lang w:val="en-US"/>
        </w:rPr>
        <w:t>2.1 Overview of the Macro Marketing Environment</w:t>
      </w:r>
      <w:r>
        <w:rPr>
          <w:noProof/>
          <w:webHidden/>
        </w:rPr>
        <w:tab/>
      </w:r>
      <w:r>
        <w:rPr>
          <w:noProof/>
          <w:webHidden/>
        </w:rPr>
        <w:fldChar w:fldCharType="begin"/>
      </w:r>
      <w:r>
        <w:rPr>
          <w:noProof/>
          <w:webHidden/>
        </w:rPr>
        <w:instrText xml:space="preserve"> PAGEREF _Toc214568533 \h </w:instrText>
      </w:r>
      <w:r>
        <w:rPr>
          <w:noProof/>
          <w:webHidden/>
        </w:rPr>
        <w:fldChar w:fldCharType="separate"/>
      </w:r>
      <w:r>
        <w:rPr>
          <w:noProof/>
          <w:webHidden/>
        </w:rPr>
        <w:t>4</w:t>
      </w:r>
      <w:r>
        <w:rPr>
          <w:noProof/>
          <w:webHidden/>
        </w:rPr>
        <w:fldChar w:fldCharType="end"/>
      </w:r>
      <w:r>
        <w:rPr/>
        <w:fldChar w:fldCharType="end"/>
      </w:r>
    </w:p>
    <w:p>
      <w:pPr>
        <w:pStyle w:val="style20"/>
        <w:tabs>
          <w:tab w:val="right" w:leader="dot" w:pos="9350"/>
        </w:tabs>
        <w:rPr>
          <w:rFonts w:ascii="Aptos" w:eastAsia="宋体" w:hAnsi="Aptos"/>
          <w:noProof/>
          <w:sz w:val="22"/>
          <w:szCs w:val="22"/>
          <w:lang w:val="en-US"/>
        </w:rPr>
      </w:pPr>
      <w:r>
        <w:rPr/>
        <w:fldChar w:fldCharType="begin"/>
      </w:r>
      <w:r>
        <w:instrText xml:space="preserve"> HYPERLINK \l "_Toc214568534" </w:instrText>
      </w:r>
      <w:r>
        <w:rPr/>
        <w:fldChar w:fldCharType="separate"/>
      </w:r>
      <w:r>
        <w:rPr>
          <w:rStyle w:val="style85"/>
          <w:noProof/>
          <w:lang w:val="en-US"/>
        </w:rPr>
        <w:t>2.2 Selection of Two External Macro Marketing Actors</w:t>
      </w:r>
      <w:r>
        <w:rPr>
          <w:noProof/>
          <w:webHidden/>
        </w:rPr>
        <w:tab/>
      </w:r>
      <w:r>
        <w:rPr>
          <w:noProof/>
          <w:webHidden/>
        </w:rPr>
        <w:fldChar w:fldCharType="begin"/>
      </w:r>
      <w:r>
        <w:rPr>
          <w:noProof/>
          <w:webHidden/>
        </w:rPr>
        <w:instrText xml:space="preserve"> PAGEREF _Toc214568534 \h </w:instrText>
      </w:r>
      <w:r>
        <w:rPr>
          <w:noProof/>
          <w:webHidden/>
        </w:rPr>
        <w:fldChar w:fldCharType="separate"/>
      </w:r>
      <w:r>
        <w:rPr>
          <w:noProof/>
          <w:webHidden/>
        </w:rPr>
        <w:t>5</w:t>
      </w:r>
      <w:r>
        <w:rPr>
          <w:noProof/>
          <w:webHidden/>
        </w:rPr>
        <w:fldChar w:fldCharType="end"/>
      </w:r>
      <w:r>
        <w:rPr/>
        <w:fldChar w:fldCharType="end"/>
      </w:r>
    </w:p>
    <w:p>
      <w:pPr>
        <w:pStyle w:val="style21"/>
        <w:tabs>
          <w:tab w:val="right" w:leader="dot" w:pos="9350"/>
        </w:tabs>
        <w:rPr>
          <w:rFonts w:ascii="Aptos" w:eastAsia="宋体" w:hAnsi="Aptos"/>
          <w:noProof/>
          <w:sz w:val="22"/>
          <w:szCs w:val="22"/>
          <w:lang w:val="en-US"/>
        </w:rPr>
      </w:pPr>
      <w:r>
        <w:rPr/>
        <w:fldChar w:fldCharType="begin"/>
      </w:r>
      <w:r>
        <w:instrText xml:space="preserve"> HYPERLINK \l "_Toc214568535" </w:instrText>
      </w:r>
      <w:r>
        <w:rPr/>
        <w:fldChar w:fldCharType="separate"/>
      </w:r>
      <w:r>
        <w:rPr>
          <w:rStyle w:val="style85"/>
          <w:noProof/>
          <w:lang w:val="en-US"/>
        </w:rPr>
        <w:t>2.2.1. Actor 1: Technological Actor</w:t>
      </w:r>
      <w:r>
        <w:rPr>
          <w:noProof/>
          <w:webHidden/>
        </w:rPr>
        <w:tab/>
      </w:r>
      <w:r>
        <w:rPr>
          <w:noProof/>
          <w:webHidden/>
        </w:rPr>
        <w:fldChar w:fldCharType="begin"/>
      </w:r>
      <w:r>
        <w:rPr>
          <w:noProof/>
          <w:webHidden/>
        </w:rPr>
        <w:instrText xml:space="preserve"> PAGEREF _Toc214568535 \h </w:instrText>
      </w:r>
      <w:r>
        <w:rPr>
          <w:noProof/>
          <w:webHidden/>
        </w:rPr>
        <w:fldChar w:fldCharType="separate"/>
      </w:r>
      <w:r>
        <w:rPr>
          <w:noProof/>
          <w:webHidden/>
        </w:rPr>
        <w:t>6</w:t>
      </w:r>
      <w:r>
        <w:rPr>
          <w:noProof/>
          <w:webHidden/>
        </w:rPr>
        <w:fldChar w:fldCharType="end"/>
      </w:r>
      <w:r>
        <w:rPr/>
        <w:fldChar w:fldCharType="end"/>
      </w:r>
    </w:p>
    <w:p>
      <w:pPr>
        <w:pStyle w:val="style21"/>
        <w:tabs>
          <w:tab w:val="right" w:leader="dot" w:pos="9350"/>
        </w:tabs>
        <w:rPr>
          <w:rFonts w:ascii="Aptos" w:eastAsia="宋体" w:hAnsi="Aptos"/>
          <w:noProof/>
          <w:sz w:val="22"/>
          <w:szCs w:val="22"/>
          <w:lang w:val="en-US"/>
        </w:rPr>
      </w:pPr>
      <w:r>
        <w:rPr/>
        <w:fldChar w:fldCharType="begin"/>
      </w:r>
      <w:r>
        <w:instrText xml:space="preserve"> HYPERLINK \l "_Toc214568536" </w:instrText>
      </w:r>
      <w:r>
        <w:rPr/>
        <w:fldChar w:fldCharType="separate"/>
      </w:r>
      <w:r>
        <w:rPr>
          <w:rStyle w:val="style85"/>
          <w:noProof/>
          <w:lang w:val="en-US"/>
        </w:rPr>
        <w:t>2.2.2. Actor 2: Economic Actor</w:t>
      </w:r>
      <w:r>
        <w:rPr>
          <w:noProof/>
          <w:webHidden/>
        </w:rPr>
        <w:tab/>
      </w:r>
      <w:r>
        <w:rPr>
          <w:noProof/>
          <w:webHidden/>
        </w:rPr>
        <w:fldChar w:fldCharType="begin"/>
      </w:r>
      <w:r>
        <w:rPr>
          <w:noProof/>
          <w:webHidden/>
        </w:rPr>
        <w:instrText xml:space="preserve"> PAGEREF _Toc214568536 \h </w:instrText>
      </w:r>
      <w:r>
        <w:rPr>
          <w:noProof/>
          <w:webHidden/>
        </w:rPr>
        <w:fldChar w:fldCharType="separate"/>
      </w:r>
      <w:r>
        <w:rPr>
          <w:noProof/>
          <w:webHidden/>
        </w:rPr>
        <w:t>6</w:t>
      </w:r>
      <w:r>
        <w:rPr>
          <w:noProof/>
          <w:webHidden/>
        </w:rPr>
        <w:fldChar w:fldCharType="end"/>
      </w:r>
      <w:r>
        <w:rPr/>
        <w:fldChar w:fldCharType="end"/>
      </w:r>
    </w:p>
    <w:p>
      <w:pPr>
        <w:pStyle w:val="style20"/>
        <w:tabs>
          <w:tab w:val="right" w:leader="dot" w:pos="9350"/>
        </w:tabs>
        <w:rPr>
          <w:rFonts w:ascii="Aptos" w:eastAsia="宋体" w:hAnsi="Aptos"/>
          <w:noProof/>
          <w:sz w:val="22"/>
          <w:szCs w:val="22"/>
          <w:lang w:val="en-US"/>
        </w:rPr>
      </w:pPr>
      <w:r>
        <w:rPr/>
        <w:fldChar w:fldCharType="begin"/>
      </w:r>
      <w:r>
        <w:instrText xml:space="preserve"> HYPERLINK \l "_Toc214568537" </w:instrText>
      </w:r>
      <w:r>
        <w:rPr/>
        <w:fldChar w:fldCharType="separate"/>
      </w:r>
      <w:r>
        <w:rPr>
          <w:rStyle w:val="style85"/>
          <w:noProof/>
          <w:lang w:val="en-US"/>
        </w:rPr>
        <w:t>2.3 Critical Analysis of Each Actor</w:t>
      </w:r>
      <w:r>
        <w:rPr>
          <w:noProof/>
          <w:webHidden/>
        </w:rPr>
        <w:tab/>
      </w:r>
      <w:r>
        <w:rPr>
          <w:noProof/>
          <w:webHidden/>
        </w:rPr>
        <w:fldChar w:fldCharType="begin"/>
      </w:r>
      <w:r>
        <w:rPr>
          <w:noProof/>
          <w:webHidden/>
        </w:rPr>
        <w:instrText xml:space="preserve"> PAGEREF _Toc214568537 \h </w:instrText>
      </w:r>
      <w:r>
        <w:rPr>
          <w:noProof/>
          <w:webHidden/>
        </w:rPr>
        <w:fldChar w:fldCharType="separate"/>
      </w:r>
      <w:r>
        <w:rPr>
          <w:noProof/>
          <w:webHidden/>
        </w:rPr>
        <w:t>6</w:t>
      </w:r>
      <w:r>
        <w:rPr>
          <w:noProof/>
          <w:webHidden/>
        </w:rPr>
        <w:fldChar w:fldCharType="end"/>
      </w:r>
      <w:r>
        <w:rPr/>
        <w:fldChar w:fldCharType="end"/>
      </w:r>
    </w:p>
    <w:p>
      <w:pPr>
        <w:pStyle w:val="style21"/>
        <w:tabs>
          <w:tab w:val="right" w:leader="dot" w:pos="9350"/>
        </w:tabs>
        <w:rPr>
          <w:rFonts w:ascii="Aptos" w:eastAsia="宋体" w:hAnsi="Aptos"/>
          <w:noProof/>
          <w:sz w:val="22"/>
          <w:szCs w:val="22"/>
          <w:lang w:val="en-US"/>
        </w:rPr>
      </w:pPr>
      <w:r>
        <w:rPr/>
        <w:fldChar w:fldCharType="begin"/>
      </w:r>
      <w:r>
        <w:instrText xml:space="preserve"> HYPERLINK \l "_Toc214568538" </w:instrText>
      </w:r>
      <w:r>
        <w:rPr/>
        <w:fldChar w:fldCharType="separate"/>
      </w:r>
      <w:r>
        <w:rPr>
          <w:rStyle w:val="style85"/>
          <w:noProof/>
          <w:lang w:val="en-US"/>
        </w:rPr>
        <w:t>2.3.1. Actor 1: Technological Actor – Critical Analysis</w:t>
      </w:r>
      <w:r>
        <w:rPr>
          <w:noProof/>
          <w:webHidden/>
        </w:rPr>
        <w:tab/>
      </w:r>
      <w:r>
        <w:rPr>
          <w:noProof/>
          <w:webHidden/>
        </w:rPr>
        <w:fldChar w:fldCharType="begin"/>
      </w:r>
      <w:r>
        <w:rPr>
          <w:noProof/>
          <w:webHidden/>
        </w:rPr>
        <w:instrText xml:space="preserve"> PAGEREF _Toc214568538 \h </w:instrText>
      </w:r>
      <w:r>
        <w:rPr>
          <w:noProof/>
          <w:webHidden/>
        </w:rPr>
        <w:fldChar w:fldCharType="separate"/>
      </w:r>
      <w:r>
        <w:rPr>
          <w:noProof/>
          <w:webHidden/>
        </w:rPr>
        <w:t>6</w:t>
      </w:r>
      <w:r>
        <w:rPr>
          <w:noProof/>
          <w:webHidden/>
        </w:rPr>
        <w:fldChar w:fldCharType="end"/>
      </w:r>
      <w:r>
        <w:rPr/>
        <w:fldChar w:fldCharType="end"/>
      </w:r>
    </w:p>
    <w:p>
      <w:pPr>
        <w:pStyle w:val="style21"/>
        <w:tabs>
          <w:tab w:val="right" w:leader="dot" w:pos="9350"/>
        </w:tabs>
        <w:rPr>
          <w:rFonts w:ascii="Aptos" w:eastAsia="宋体" w:hAnsi="Aptos"/>
          <w:noProof/>
          <w:sz w:val="22"/>
          <w:szCs w:val="22"/>
          <w:lang w:val="en-US"/>
        </w:rPr>
      </w:pPr>
      <w:r>
        <w:rPr/>
        <w:fldChar w:fldCharType="begin"/>
      </w:r>
      <w:r>
        <w:instrText xml:space="preserve"> HYPERLINK \l "_Toc214568539" </w:instrText>
      </w:r>
      <w:r>
        <w:rPr/>
        <w:fldChar w:fldCharType="separate"/>
      </w:r>
      <w:r>
        <w:rPr>
          <w:rStyle w:val="style85"/>
          <w:noProof/>
          <w:lang w:val="en-US"/>
        </w:rPr>
        <w:t>2.3.2. Actor 2: Economic Actor – Critical Analysis</w:t>
      </w:r>
      <w:r>
        <w:rPr>
          <w:noProof/>
          <w:webHidden/>
        </w:rPr>
        <w:tab/>
      </w:r>
      <w:r>
        <w:rPr>
          <w:noProof/>
          <w:webHidden/>
        </w:rPr>
        <w:fldChar w:fldCharType="begin"/>
      </w:r>
      <w:r>
        <w:rPr>
          <w:noProof/>
          <w:webHidden/>
        </w:rPr>
        <w:instrText xml:space="preserve"> PAGEREF _Toc214568539 \h </w:instrText>
      </w:r>
      <w:r>
        <w:rPr>
          <w:noProof/>
          <w:webHidden/>
        </w:rPr>
        <w:fldChar w:fldCharType="separate"/>
      </w:r>
      <w:r>
        <w:rPr>
          <w:noProof/>
          <w:webHidden/>
        </w:rPr>
        <w:t>7</w:t>
      </w:r>
      <w:r>
        <w:rPr>
          <w:noProof/>
          <w:webHidden/>
        </w:rPr>
        <w:fldChar w:fldCharType="end"/>
      </w:r>
      <w:r>
        <w:rPr/>
        <w:fldChar w:fldCharType="end"/>
      </w:r>
    </w:p>
    <w:p>
      <w:pPr>
        <w:pStyle w:val="style19"/>
        <w:tabs>
          <w:tab w:val="right" w:leader="dot" w:pos="9350"/>
        </w:tabs>
        <w:rPr>
          <w:rFonts w:ascii="Aptos" w:eastAsia="宋体" w:hAnsi="Aptos"/>
          <w:noProof/>
          <w:sz w:val="22"/>
          <w:szCs w:val="22"/>
          <w:lang w:val="en-US"/>
        </w:rPr>
      </w:pPr>
      <w:r>
        <w:rPr/>
        <w:fldChar w:fldCharType="begin"/>
      </w:r>
      <w:r>
        <w:instrText xml:space="preserve"> HYPERLINK \l "_Toc214568540" </w:instrText>
      </w:r>
      <w:r>
        <w:rPr/>
        <w:fldChar w:fldCharType="separate"/>
      </w:r>
      <w:r>
        <w:rPr>
          <w:rStyle w:val="style85"/>
          <w:noProof/>
          <w:lang w:val="en-US"/>
        </w:rPr>
        <w:t>3. Task 2: Strategic Responses of Pioneering and Follower Organisations</w:t>
      </w:r>
      <w:r>
        <w:rPr>
          <w:noProof/>
          <w:webHidden/>
        </w:rPr>
        <w:tab/>
      </w:r>
      <w:r>
        <w:rPr>
          <w:noProof/>
          <w:webHidden/>
        </w:rPr>
        <w:fldChar w:fldCharType="begin"/>
      </w:r>
      <w:r>
        <w:rPr>
          <w:noProof/>
          <w:webHidden/>
        </w:rPr>
        <w:instrText xml:space="preserve"> PAGEREF _Toc214568540 \h </w:instrText>
      </w:r>
      <w:r>
        <w:rPr>
          <w:noProof/>
          <w:webHidden/>
        </w:rPr>
        <w:fldChar w:fldCharType="separate"/>
      </w:r>
      <w:r>
        <w:rPr>
          <w:noProof/>
          <w:webHidden/>
        </w:rPr>
        <w:t>9</w:t>
      </w:r>
      <w:r>
        <w:rPr>
          <w:noProof/>
          <w:webHidden/>
        </w:rPr>
        <w:fldChar w:fldCharType="end"/>
      </w:r>
      <w:r>
        <w:rPr/>
        <w:fldChar w:fldCharType="end"/>
      </w:r>
    </w:p>
    <w:p>
      <w:pPr>
        <w:pStyle w:val="style20"/>
        <w:tabs>
          <w:tab w:val="right" w:leader="dot" w:pos="9350"/>
        </w:tabs>
        <w:rPr>
          <w:rFonts w:ascii="Aptos" w:eastAsia="宋体" w:hAnsi="Aptos"/>
          <w:noProof/>
          <w:sz w:val="22"/>
          <w:szCs w:val="22"/>
          <w:lang w:val="en-US"/>
        </w:rPr>
      </w:pPr>
      <w:r>
        <w:rPr/>
        <w:fldChar w:fldCharType="begin"/>
      </w:r>
      <w:r>
        <w:instrText xml:space="preserve"> HYPERLINK \l "_Toc214568541" </w:instrText>
      </w:r>
      <w:r>
        <w:rPr/>
        <w:fldChar w:fldCharType="separate"/>
      </w:r>
      <w:r>
        <w:rPr>
          <w:rStyle w:val="style85"/>
          <w:noProof/>
          <w:lang w:val="en-US"/>
        </w:rPr>
        <w:t>3.1 Pioneering Organisations’ Strategic Responses</w:t>
      </w:r>
      <w:r>
        <w:rPr>
          <w:noProof/>
          <w:webHidden/>
        </w:rPr>
        <w:tab/>
      </w:r>
      <w:r>
        <w:rPr>
          <w:noProof/>
          <w:webHidden/>
        </w:rPr>
        <w:fldChar w:fldCharType="begin"/>
      </w:r>
      <w:r>
        <w:rPr>
          <w:noProof/>
          <w:webHidden/>
        </w:rPr>
        <w:instrText xml:space="preserve"> PAGEREF _Toc214568541 \h </w:instrText>
      </w:r>
      <w:r>
        <w:rPr>
          <w:noProof/>
          <w:webHidden/>
        </w:rPr>
        <w:fldChar w:fldCharType="separate"/>
      </w:r>
      <w:r>
        <w:rPr>
          <w:noProof/>
          <w:webHidden/>
        </w:rPr>
        <w:t>9</w:t>
      </w:r>
      <w:r>
        <w:rPr>
          <w:noProof/>
          <w:webHidden/>
        </w:rPr>
        <w:fldChar w:fldCharType="end"/>
      </w:r>
      <w:r>
        <w:rPr/>
        <w:fldChar w:fldCharType="end"/>
      </w:r>
    </w:p>
    <w:p>
      <w:pPr>
        <w:pStyle w:val="style21"/>
        <w:tabs>
          <w:tab w:val="right" w:leader="dot" w:pos="9350"/>
        </w:tabs>
        <w:rPr>
          <w:rFonts w:ascii="Aptos" w:eastAsia="宋体" w:hAnsi="Aptos"/>
          <w:noProof/>
          <w:sz w:val="22"/>
          <w:szCs w:val="22"/>
          <w:lang w:val="en-US"/>
        </w:rPr>
      </w:pPr>
      <w:r>
        <w:rPr/>
        <w:fldChar w:fldCharType="begin"/>
      </w:r>
      <w:r>
        <w:instrText xml:space="preserve"> HYPERLINK \l "_Toc214568542" </w:instrText>
      </w:r>
      <w:r>
        <w:rPr/>
        <w:fldChar w:fldCharType="separate"/>
      </w:r>
      <w:r>
        <w:rPr>
          <w:rStyle w:val="style85"/>
          <w:noProof/>
          <w:lang w:val="en-US"/>
        </w:rPr>
        <w:t>3.1.1. Porter’s Generic Strategies: Differentiation Under Pressure</w:t>
      </w:r>
      <w:r>
        <w:rPr>
          <w:noProof/>
          <w:webHidden/>
        </w:rPr>
        <w:tab/>
      </w:r>
      <w:r>
        <w:rPr>
          <w:noProof/>
          <w:webHidden/>
        </w:rPr>
        <w:fldChar w:fldCharType="begin"/>
      </w:r>
      <w:r>
        <w:rPr>
          <w:noProof/>
          <w:webHidden/>
        </w:rPr>
        <w:instrText xml:space="preserve"> PAGEREF _Toc214568542 \h </w:instrText>
      </w:r>
      <w:r>
        <w:rPr>
          <w:noProof/>
          <w:webHidden/>
        </w:rPr>
        <w:fldChar w:fldCharType="separate"/>
      </w:r>
      <w:r>
        <w:rPr>
          <w:noProof/>
          <w:webHidden/>
        </w:rPr>
        <w:t>9</w:t>
      </w:r>
      <w:r>
        <w:rPr>
          <w:noProof/>
          <w:webHidden/>
        </w:rPr>
        <w:fldChar w:fldCharType="end"/>
      </w:r>
      <w:r>
        <w:rPr/>
        <w:fldChar w:fldCharType="end"/>
      </w:r>
    </w:p>
    <w:p>
      <w:pPr>
        <w:pStyle w:val="style21"/>
        <w:tabs>
          <w:tab w:val="right" w:leader="dot" w:pos="9350"/>
        </w:tabs>
        <w:rPr>
          <w:rFonts w:ascii="Aptos" w:eastAsia="宋体" w:hAnsi="Aptos"/>
          <w:noProof/>
          <w:sz w:val="22"/>
          <w:szCs w:val="22"/>
          <w:lang w:val="en-US"/>
        </w:rPr>
      </w:pPr>
      <w:r>
        <w:rPr/>
        <w:fldChar w:fldCharType="begin"/>
      </w:r>
      <w:r>
        <w:instrText xml:space="preserve"> HYPERLINK \l "_Toc214568543" </w:instrText>
      </w:r>
      <w:r>
        <w:rPr/>
        <w:fldChar w:fldCharType="separate"/>
      </w:r>
      <w:r>
        <w:rPr>
          <w:rStyle w:val="style85"/>
          <w:noProof/>
          <w:lang w:val="en-US"/>
        </w:rPr>
        <w:t>3.1.2. Ansoff Matrix: Innovation and Ecosystem Expansion</w:t>
      </w:r>
      <w:r>
        <w:rPr>
          <w:noProof/>
          <w:webHidden/>
        </w:rPr>
        <w:tab/>
      </w:r>
      <w:r>
        <w:rPr>
          <w:noProof/>
          <w:webHidden/>
        </w:rPr>
        <w:fldChar w:fldCharType="begin"/>
      </w:r>
      <w:r>
        <w:rPr>
          <w:noProof/>
          <w:webHidden/>
        </w:rPr>
        <w:instrText xml:space="preserve"> PAGEREF _Toc214568543 \h </w:instrText>
      </w:r>
      <w:r>
        <w:rPr>
          <w:noProof/>
          <w:webHidden/>
        </w:rPr>
        <w:fldChar w:fldCharType="separate"/>
      </w:r>
      <w:r>
        <w:rPr>
          <w:noProof/>
          <w:webHidden/>
        </w:rPr>
        <w:t>10</w:t>
      </w:r>
      <w:r>
        <w:rPr>
          <w:noProof/>
          <w:webHidden/>
        </w:rPr>
        <w:fldChar w:fldCharType="end"/>
      </w:r>
      <w:r>
        <w:rPr/>
        <w:fldChar w:fldCharType="end"/>
      </w:r>
    </w:p>
    <w:p>
      <w:pPr>
        <w:pStyle w:val="style21"/>
        <w:tabs>
          <w:tab w:val="right" w:leader="dot" w:pos="9350"/>
        </w:tabs>
        <w:rPr>
          <w:rFonts w:ascii="Aptos" w:eastAsia="宋体" w:hAnsi="Aptos"/>
          <w:noProof/>
          <w:sz w:val="22"/>
          <w:szCs w:val="22"/>
          <w:lang w:val="en-US"/>
        </w:rPr>
      </w:pPr>
      <w:r>
        <w:rPr/>
        <w:fldChar w:fldCharType="begin"/>
      </w:r>
      <w:r>
        <w:instrText xml:space="preserve"> HYPERLINK \l "_Toc214568544" </w:instrText>
      </w:r>
      <w:r>
        <w:rPr/>
        <w:fldChar w:fldCharType="separate"/>
      </w:r>
      <w:r>
        <w:rPr>
          <w:rStyle w:val="style85"/>
          <w:noProof/>
          <w:lang w:val="en-US"/>
        </w:rPr>
        <w:t>3.1.3. Critical Evaluation of Pioneer Responses</w:t>
      </w:r>
      <w:r>
        <w:rPr>
          <w:noProof/>
          <w:webHidden/>
        </w:rPr>
        <w:tab/>
      </w:r>
      <w:r>
        <w:rPr>
          <w:noProof/>
          <w:webHidden/>
        </w:rPr>
        <w:fldChar w:fldCharType="begin"/>
      </w:r>
      <w:r>
        <w:rPr>
          <w:noProof/>
          <w:webHidden/>
        </w:rPr>
        <w:instrText xml:space="preserve"> PAGEREF _Toc214568544 \h </w:instrText>
      </w:r>
      <w:r>
        <w:rPr>
          <w:noProof/>
          <w:webHidden/>
        </w:rPr>
        <w:fldChar w:fldCharType="separate"/>
      </w:r>
      <w:r>
        <w:rPr>
          <w:noProof/>
          <w:webHidden/>
        </w:rPr>
        <w:t>10</w:t>
      </w:r>
      <w:r>
        <w:rPr>
          <w:noProof/>
          <w:webHidden/>
        </w:rPr>
        <w:fldChar w:fldCharType="end"/>
      </w:r>
      <w:r>
        <w:rPr/>
        <w:fldChar w:fldCharType="end"/>
      </w:r>
    </w:p>
    <w:p>
      <w:pPr>
        <w:pStyle w:val="style20"/>
        <w:tabs>
          <w:tab w:val="right" w:leader="dot" w:pos="9350"/>
        </w:tabs>
        <w:rPr>
          <w:rFonts w:ascii="Aptos" w:eastAsia="宋体" w:hAnsi="Aptos"/>
          <w:noProof/>
          <w:sz w:val="22"/>
          <w:szCs w:val="22"/>
          <w:lang w:val="en-US"/>
        </w:rPr>
      </w:pPr>
      <w:r>
        <w:rPr/>
        <w:fldChar w:fldCharType="begin"/>
      </w:r>
      <w:r>
        <w:instrText xml:space="preserve"> HYPERLINK \l "_Toc214568545" </w:instrText>
      </w:r>
      <w:r>
        <w:rPr/>
        <w:fldChar w:fldCharType="separate"/>
      </w:r>
      <w:r>
        <w:rPr>
          <w:rStyle w:val="style85"/>
          <w:noProof/>
          <w:lang w:val="en-US"/>
        </w:rPr>
        <w:t>3.2 Follower Organisations’ Strategic Responses</w:t>
      </w:r>
      <w:r>
        <w:rPr>
          <w:noProof/>
          <w:webHidden/>
        </w:rPr>
        <w:tab/>
      </w:r>
      <w:r>
        <w:rPr>
          <w:noProof/>
          <w:webHidden/>
        </w:rPr>
        <w:fldChar w:fldCharType="begin"/>
      </w:r>
      <w:r>
        <w:rPr>
          <w:noProof/>
          <w:webHidden/>
        </w:rPr>
        <w:instrText xml:space="preserve"> PAGEREF _Toc214568545 \h </w:instrText>
      </w:r>
      <w:r>
        <w:rPr>
          <w:noProof/>
          <w:webHidden/>
        </w:rPr>
        <w:fldChar w:fldCharType="separate"/>
      </w:r>
      <w:r>
        <w:rPr>
          <w:noProof/>
          <w:webHidden/>
        </w:rPr>
        <w:t>10</w:t>
      </w:r>
      <w:r>
        <w:rPr>
          <w:noProof/>
          <w:webHidden/>
        </w:rPr>
        <w:fldChar w:fldCharType="end"/>
      </w:r>
      <w:r>
        <w:rPr/>
        <w:fldChar w:fldCharType="end"/>
      </w:r>
    </w:p>
    <w:p>
      <w:pPr>
        <w:pStyle w:val="style21"/>
        <w:tabs>
          <w:tab w:val="right" w:leader="dot" w:pos="9350"/>
        </w:tabs>
        <w:rPr>
          <w:rFonts w:ascii="Aptos" w:eastAsia="宋体" w:hAnsi="Aptos"/>
          <w:noProof/>
          <w:sz w:val="22"/>
          <w:szCs w:val="22"/>
          <w:lang w:val="en-US"/>
        </w:rPr>
      </w:pPr>
      <w:r>
        <w:rPr/>
        <w:fldChar w:fldCharType="begin"/>
      </w:r>
      <w:r>
        <w:instrText xml:space="preserve"> HYPERLINK \l "_Toc214568546" </w:instrText>
      </w:r>
      <w:r>
        <w:rPr/>
        <w:fldChar w:fldCharType="separate"/>
      </w:r>
      <w:r>
        <w:rPr>
          <w:rStyle w:val="style85"/>
          <w:noProof/>
          <w:lang w:val="en-US"/>
        </w:rPr>
        <w:t>3.2.1. Porter’s Generic Strategies: Cost Leadership and Fast Imitation</w:t>
      </w:r>
      <w:r>
        <w:rPr>
          <w:noProof/>
          <w:webHidden/>
        </w:rPr>
        <w:tab/>
      </w:r>
      <w:r>
        <w:rPr>
          <w:noProof/>
          <w:webHidden/>
        </w:rPr>
        <w:fldChar w:fldCharType="begin"/>
      </w:r>
      <w:r>
        <w:rPr>
          <w:noProof/>
          <w:webHidden/>
        </w:rPr>
        <w:instrText xml:space="preserve"> PAGEREF _Toc214568546 \h </w:instrText>
      </w:r>
      <w:r>
        <w:rPr>
          <w:noProof/>
          <w:webHidden/>
        </w:rPr>
        <w:fldChar w:fldCharType="separate"/>
      </w:r>
      <w:r>
        <w:rPr>
          <w:noProof/>
          <w:webHidden/>
        </w:rPr>
        <w:t>11</w:t>
      </w:r>
      <w:r>
        <w:rPr>
          <w:noProof/>
          <w:webHidden/>
        </w:rPr>
        <w:fldChar w:fldCharType="end"/>
      </w:r>
      <w:r>
        <w:rPr/>
        <w:fldChar w:fldCharType="end"/>
      </w:r>
    </w:p>
    <w:p>
      <w:pPr>
        <w:pStyle w:val="style21"/>
        <w:tabs>
          <w:tab w:val="right" w:leader="dot" w:pos="9350"/>
        </w:tabs>
        <w:rPr>
          <w:rFonts w:ascii="Aptos" w:eastAsia="宋体" w:hAnsi="Aptos"/>
          <w:noProof/>
          <w:sz w:val="22"/>
          <w:szCs w:val="22"/>
          <w:lang w:val="en-US"/>
        </w:rPr>
      </w:pPr>
      <w:r>
        <w:rPr/>
        <w:fldChar w:fldCharType="begin"/>
      </w:r>
      <w:r>
        <w:instrText xml:space="preserve"> HYPERLINK \l "_Toc214568547" </w:instrText>
      </w:r>
      <w:r>
        <w:rPr/>
        <w:fldChar w:fldCharType="separate"/>
      </w:r>
      <w:r>
        <w:rPr>
          <w:rStyle w:val="style85"/>
          <w:noProof/>
          <w:lang w:val="en-US"/>
        </w:rPr>
        <w:t>3.2.2. Ansoff Matrix: Market Penetration and Product Development</w:t>
      </w:r>
      <w:r>
        <w:rPr>
          <w:noProof/>
          <w:webHidden/>
        </w:rPr>
        <w:tab/>
      </w:r>
      <w:r>
        <w:rPr>
          <w:noProof/>
          <w:webHidden/>
        </w:rPr>
        <w:fldChar w:fldCharType="begin"/>
      </w:r>
      <w:r>
        <w:rPr>
          <w:noProof/>
          <w:webHidden/>
        </w:rPr>
        <w:instrText xml:space="preserve"> PAGEREF _Toc214568547 \h </w:instrText>
      </w:r>
      <w:r>
        <w:rPr>
          <w:noProof/>
          <w:webHidden/>
        </w:rPr>
        <w:fldChar w:fldCharType="separate"/>
      </w:r>
      <w:r>
        <w:rPr>
          <w:noProof/>
          <w:webHidden/>
        </w:rPr>
        <w:t>11</w:t>
      </w:r>
      <w:r>
        <w:rPr>
          <w:noProof/>
          <w:webHidden/>
        </w:rPr>
        <w:fldChar w:fldCharType="end"/>
      </w:r>
      <w:r>
        <w:rPr/>
        <w:fldChar w:fldCharType="end"/>
      </w:r>
    </w:p>
    <w:p>
      <w:pPr>
        <w:pStyle w:val="style21"/>
        <w:tabs>
          <w:tab w:val="right" w:leader="dot" w:pos="9350"/>
        </w:tabs>
        <w:rPr>
          <w:rFonts w:ascii="Aptos" w:eastAsia="宋体" w:hAnsi="Aptos"/>
          <w:noProof/>
          <w:sz w:val="22"/>
          <w:szCs w:val="22"/>
          <w:lang w:val="en-US"/>
        </w:rPr>
      </w:pPr>
      <w:r>
        <w:rPr/>
        <w:fldChar w:fldCharType="begin"/>
      </w:r>
      <w:r>
        <w:instrText xml:space="preserve"> HYPERLINK \l "_Toc214568548" </w:instrText>
      </w:r>
      <w:r>
        <w:rPr/>
        <w:fldChar w:fldCharType="separate"/>
      </w:r>
      <w:r>
        <w:rPr>
          <w:rStyle w:val="style85"/>
          <w:noProof/>
          <w:lang w:val="en-US"/>
        </w:rPr>
        <w:t>3.2.3. Critical Evaluation of Follower Responses</w:t>
      </w:r>
      <w:r>
        <w:rPr>
          <w:noProof/>
          <w:webHidden/>
        </w:rPr>
        <w:tab/>
      </w:r>
      <w:r>
        <w:rPr>
          <w:noProof/>
          <w:webHidden/>
        </w:rPr>
        <w:fldChar w:fldCharType="begin"/>
      </w:r>
      <w:r>
        <w:rPr>
          <w:noProof/>
          <w:webHidden/>
        </w:rPr>
        <w:instrText xml:space="preserve"> PAGEREF _Toc214568548 \h </w:instrText>
      </w:r>
      <w:r>
        <w:rPr>
          <w:noProof/>
          <w:webHidden/>
        </w:rPr>
        <w:fldChar w:fldCharType="separate"/>
      </w:r>
      <w:r>
        <w:rPr>
          <w:noProof/>
          <w:webHidden/>
        </w:rPr>
        <w:t>12</w:t>
      </w:r>
      <w:r>
        <w:rPr>
          <w:noProof/>
          <w:webHidden/>
        </w:rPr>
        <w:fldChar w:fldCharType="end"/>
      </w:r>
      <w:r>
        <w:rPr/>
        <w:fldChar w:fldCharType="end"/>
      </w:r>
    </w:p>
    <w:p>
      <w:pPr>
        <w:pStyle w:val="style21"/>
        <w:tabs>
          <w:tab w:val="right" w:leader="dot" w:pos="9350"/>
        </w:tabs>
        <w:rPr>
          <w:rFonts w:ascii="Aptos" w:eastAsia="宋体" w:hAnsi="Aptos"/>
          <w:noProof/>
          <w:sz w:val="22"/>
          <w:szCs w:val="22"/>
          <w:lang w:val="en-US"/>
        </w:rPr>
      </w:pPr>
      <w:r>
        <w:rPr/>
        <w:fldChar w:fldCharType="begin"/>
      </w:r>
      <w:r>
        <w:instrText xml:space="preserve"> HYPERLINK \l "_Toc214568549" </w:instrText>
      </w:r>
      <w:r>
        <w:rPr/>
        <w:fldChar w:fldCharType="separate"/>
      </w:r>
      <w:r>
        <w:rPr>
          <w:rStyle w:val="style85"/>
          <w:noProof/>
          <w:lang w:val="en-US"/>
        </w:rPr>
        <w:t>3.2.4. Critical Comparison: Pioneers vs Followers Under Macro Forces</w:t>
      </w:r>
      <w:r>
        <w:rPr>
          <w:noProof/>
          <w:webHidden/>
        </w:rPr>
        <w:tab/>
      </w:r>
      <w:r>
        <w:rPr>
          <w:noProof/>
          <w:webHidden/>
        </w:rPr>
        <w:fldChar w:fldCharType="begin"/>
      </w:r>
      <w:r>
        <w:rPr>
          <w:noProof/>
          <w:webHidden/>
        </w:rPr>
        <w:instrText xml:space="preserve"> PAGEREF _Toc214568549 \h </w:instrText>
      </w:r>
      <w:r>
        <w:rPr>
          <w:noProof/>
          <w:webHidden/>
        </w:rPr>
        <w:fldChar w:fldCharType="separate"/>
      </w:r>
      <w:r>
        <w:rPr>
          <w:noProof/>
          <w:webHidden/>
        </w:rPr>
        <w:t>13</w:t>
      </w:r>
      <w:r>
        <w:rPr>
          <w:noProof/>
          <w:webHidden/>
        </w:rPr>
        <w:fldChar w:fldCharType="end"/>
      </w:r>
      <w:r>
        <w:rPr/>
        <w:fldChar w:fldCharType="end"/>
      </w:r>
    </w:p>
    <w:p>
      <w:pPr>
        <w:pStyle w:val="style19"/>
        <w:tabs>
          <w:tab w:val="right" w:leader="dot" w:pos="9350"/>
        </w:tabs>
        <w:rPr>
          <w:rFonts w:ascii="Aptos" w:eastAsia="宋体" w:hAnsi="Aptos"/>
          <w:noProof/>
          <w:sz w:val="22"/>
          <w:szCs w:val="22"/>
          <w:lang w:val="en-US"/>
        </w:rPr>
      </w:pPr>
      <w:r>
        <w:rPr/>
        <w:fldChar w:fldCharType="begin"/>
      </w:r>
      <w:r>
        <w:instrText xml:space="preserve"> HYPERLINK \l "_Toc214568550" </w:instrText>
      </w:r>
      <w:r>
        <w:rPr/>
        <w:fldChar w:fldCharType="separate"/>
      </w:r>
      <w:r>
        <w:rPr>
          <w:rStyle w:val="style85"/>
          <w:noProof/>
          <w:lang w:val="en-US"/>
        </w:rPr>
        <w:t>4. Conclusion</w:t>
      </w:r>
      <w:r>
        <w:rPr>
          <w:noProof/>
          <w:webHidden/>
        </w:rPr>
        <w:tab/>
      </w:r>
      <w:r>
        <w:rPr>
          <w:noProof/>
          <w:webHidden/>
        </w:rPr>
        <w:fldChar w:fldCharType="begin"/>
      </w:r>
      <w:r>
        <w:rPr>
          <w:noProof/>
          <w:webHidden/>
        </w:rPr>
        <w:instrText xml:space="preserve"> PAGEREF _Toc214568550 \h </w:instrText>
      </w:r>
      <w:r>
        <w:rPr>
          <w:noProof/>
          <w:webHidden/>
        </w:rPr>
        <w:fldChar w:fldCharType="separate"/>
      </w:r>
      <w:r>
        <w:rPr>
          <w:noProof/>
          <w:webHidden/>
        </w:rPr>
        <w:t>14</w:t>
      </w:r>
      <w:r>
        <w:rPr>
          <w:noProof/>
          <w:webHidden/>
        </w:rPr>
        <w:fldChar w:fldCharType="end"/>
      </w:r>
      <w:r>
        <w:rPr/>
        <w:fldChar w:fldCharType="end"/>
      </w:r>
    </w:p>
    <w:p>
      <w:pPr>
        <w:pStyle w:val="style19"/>
        <w:tabs>
          <w:tab w:val="right" w:leader="dot" w:pos="9350"/>
        </w:tabs>
        <w:rPr>
          <w:rFonts w:ascii="Aptos" w:eastAsia="宋体" w:hAnsi="Aptos"/>
          <w:noProof/>
          <w:sz w:val="22"/>
          <w:szCs w:val="22"/>
          <w:lang w:val="en-US"/>
        </w:rPr>
      </w:pPr>
      <w:r>
        <w:rPr/>
        <w:fldChar w:fldCharType="begin"/>
      </w:r>
      <w:r>
        <w:instrText xml:space="preserve"> HYPERLINK \l "_Toc214568551" </w:instrText>
      </w:r>
      <w:r>
        <w:rPr/>
        <w:fldChar w:fldCharType="separate"/>
      </w:r>
      <w:r>
        <w:rPr>
          <w:rStyle w:val="style85"/>
          <w:noProof/>
        </w:rPr>
        <w:t>5. References</w:t>
      </w:r>
      <w:r>
        <w:rPr>
          <w:noProof/>
          <w:webHidden/>
        </w:rPr>
        <w:tab/>
      </w:r>
      <w:r>
        <w:rPr>
          <w:noProof/>
          <w:webHidden/>
        </w:rPr>
        <w:fldChar w:fldCharType="begin"/>
      </w:r>
      <w:r>
        <w:rPr>
          <w:noProof/>
          <w:webHidden/>
        </w:rPr>
        <w:instrText xml:space="preserve"> PAGEREF _Toc214568551 \h </w:instrText>
      </w:r>
      <w:r>
        <w:rPr>
          <w:noProof/>
          <w:webHidden/>
        </w:rPr>
        <w:fldChar w:fldCharType="separate"/>
      </w:r>
      <w:r>
        <w:rPr>
          <w:noProof/>
          <w:webHidden/>
        </w:rPr>
        <w:t>15</w:t>
      </w:r>
      <w:r>
        <w:rPr>
          <w:noProof/>
          <w:webHidden/>
        </w:rPr>
        <w:fldChar w:fldCharType="end"/>
      </w:r>
      <w:r>
        <w:rPr/>
        <w:fldChar w:fldCharType="end"/>
      </w:r>
    </w:p>
    <w:p>
      <w:pPr>
        <w:pStyle w:val="style0"/>
        <w:rPr/>
      </w:pPr>
      <w:r>
        <w:rPr>
          <w:b/>
          <w:bCs/>
          <w:noProof/>
        </w:rPr>
        <w:fldChar w:fldCharType="end"/>
      </w:r>
    </w:p>
    <w:bookmarkStart w:id="0" w:name="_Toc214568531"/>
    <w:p>
      <w:pPr>
        <w:pStyle w:val="style1"/>
        <w:rPr>
          <w:lang w:val="en-US"/>
        </w:rPr>
      </w:pPr>
      <w:r>
        <w:rPr>
          <w:lang w:val="en-US"/>
        </w:rPr>
        <w:t>I</w:t>
      </w:r>
      <w:r>
        <w:rPr>
          <w:lang w:val="en-US"/>
        </w:rPr>
        <w:t>ntroduction</w:t>
      </w:r>
      <w:bookmarkEnd w:id="0"/>
    </w:p>
    <w:p>
      <w:pPr>
        <w:pStyle w:val="style0"/>
        <w:rPr>
          <w:lang w:val="en-US"/>
        </w:rPr>
      </w:pPr>
      <w:r>
        <w:rPr>
          <w:lang w:val="en-US"/>
        </w:rPr>
        <w:t xml:space="preserve">The smartphone business in the world is one of the most technologically active and economically limited markets during the past ten years, which creates a perfect environment to examine the influence of external macro-environmental factors on competitive </w:t>
      </w:r>
      <w:r>
        <w:rPr>
          <w:lang w:val="en-US"/>
        </w:rPr>
        <w:t>behaviour</w:t>
      </w:r>
      <w:r>
        <w:rPr>
          <w:lang w:val="en-US"/>
        </w:rPr>
        <w:t xml:space="preserve"> (Li and </w:t>
      </w:r>
      <w:r>
        <w:rPr>
          <w:lang w:val="en-US"/>
        </w:rPr>
        <w:t>Galanza</w:t>
      </w:r>
      <w:r>
        <w:rPr>
          <w:lang w:val="en-US"/>
        </w:rPr>
        <w:t>, 2024). With the industry becoming nearly saturated in most areas, the industry is facing the growing technological complexity with the rapid development of AI processors, 5G/6G connections, and semiconductor development. Nonetheless, this intensity of innovation is coupled with a deceleration of annual growth of about 1-2 percent around the world and a rise in the consumer price sensitivity which forces strategic pressure and structural turbulence</w:t>
      </w:r>
      <w:r>
        <w:rPr>
          <w:lang w:val="en-US"/>
        </w:rPr>
        <w:t xml:space="preserve"> </w:t>
      </w:r>
      <w:r>
        <w:t>(</w:t>
      </w:r>
      <w:r>
        <w:t>Sandebrg</w:t>
      </w:r>
      <w:r>
        <w:t xml:space="preserve"> et al., 2020)</w:t>
      </w:r>
      <w:r>
        <w:rPr>
          <w:lang w:val="en-US"/>
        </w:rPr>
        <w:t>. The companies have to operate in an environment where the price of innovation increases, at the same time the requirements of low prices become stronger (</w:t>
      </w:r>
      <w:r>
        <w:rPr>
          <w:lang w:val="en-US"/>
        </w:rPr>
        <w:t>Ndzabukelwako</w:t>
      </w:r>
      <w:r>
        <w:rPr>
          <w:lang w:val="en-US"/>
        </w:rPr>
        <w:t xml:space="preserve"> et al., 2024).</w:t>
      </w:r>
    </w:p>
    <w:p>
      <w:pPr>
        <w:pStyle w:val="style0"/>
        <w:rPr>
          <w:lang w:val="en-US"/>
        </w:rPr>
      </w:pPr>
      <w:r>
        <w:rPr>
          <w:lang w:val="en-US"/>
        </w:rPr>
        <w:t xml:space="preserve">In this terrain, the difference between innovators and imitators also becomes a strategic factor. Industry leaders like Apple and Samsung are the first to establish the standards within their industry by early and continued investment in R&amp;D, ecosystem coordination, and innovating products (Zahra and Mudambi, 2025). However, these benefits have a lot of financial exposure, limited differentiation time, and susceptibility to rapid imitation. On the other hand, the follower firms, such as Xiaomi, </w:t>
      </w:r>
      <w:r>
        <w:rPr>
          <w:lang w:val="en-US"/>
        </w:rPr>
        <w:t>Oppen</w:t>
      </w:r>
      <w:r>
        <w:rPr>
          <w:lang w:val="en-US"/>
        </w:rPr>
        <w:t>, and Vivo, take advantage of cost-effectiveness, fast imitation, and intense value-based pricing, to exploit consumer buying power changes</w:t>
      </w:r>
      <w:r>
        <w:rPr>
          <w:lang w:val="en-US"/>
        </w:rPr>
        <w:t xml:space="preserve"> </w:t>
      </w:r>
      <w:r>
        <w:rPr>
          <w:lang w:val="en-US"/>
        </w:rPr>
        <w:t xml:space="preserve">(Capone et al., 2021). </w:t>
      </w:r>
      <w:r>
        <w:rPr>
          <w:lang w:val="en-US"/>
        </w:rPr>
        <w:t xml:space="preserve"> </w:t>
      </w:r>
      <w:r>
        <w:rPr>
          <w:lang w:val="en-US"/>
        </w:rPr>
        <w:t xml:space="preserve">This report is a critical analysis of the ways in which two of the most important macro-environmental factors, namely, technological forces and economic conditions, dissimilarly manifest opportunities and threats to pioneers and followers in the smartphone industry. </w:t>
      </w:r>
    </w:p>
    <w:p>
      <w:pPr>
        <w:pStyle w:val="style0"/>
        <w:rPr>
          <w:noProof/>
          <w:lang w:val="en-US"/>
        </w:rPr>
      </w:pPr>
    </w:p>
    <w:p>
      <w:pPr>
        <w:pStyle w:val="style0"/>
        <w:keepNext/>
        <w:rPr/>
      </w:pPr>
      <w:r>
        <w:rPr>
          <w:noProof/>
          <w:lang w:val="en-US"/>
        </w:rPr>
        <w:drawing>
          <wp:inline distL="0" distT="0" distB="0" distR="0">
            <wp:extent cx="5943600" cy="4000500"/>
            <wp:effectExtent l="0" t="0" r="0" b="0"/>
            <wp:docPr id="1027"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3" cstate="print"/>
                    <a:srcRect l="0" t="18430" r="0" b="14262"/>
                    <a:stretch/>
                  </pic:blipFill>
                  <pic:spPr>
                    <a:xfrm rot="0">
                      <a:off x="0" y="0"/>
                      <a:ext cx="5943600" cy="4000500"/>
                    </a:xfrm>
                    <a:prstGeom prst="rect"/>
                    <a:ln>
                      <a:noFill/>
                    </a:ln>
                  </pic:spPr>
                </pic:pic>
              </a:graphicData>
            </a:graphic>
          </wp:inline>
        </w:drawing>
      </w:r>
    </w:p>
    <w:p>
      <w:pPr>
        <w:pStyle w:val="style34"/>
        <w:rPr>
          <w:lang w:val="en-US"/>
        </w:rPr>
      </w:pPr>
      <w:r>
        <w:t xml:space="preserve">Figure </w:t>
      </w:r>
      <w:r>
        <w:rPr/>
        <w:fldChar w:fldCharType="begin"/>
      </w:r>
      <w:r>
        <w:instrText xml:space="preserve"> SEQ Figure \* ARABIC </w:instrText>
      </w:r>
      <w:r>
        <w:rPr/>
        <w:fldChar w:fldCharType="separate"/>
      </w:r>
      <w:r>
        <w:rPr>
          <w:noProof/>
        </w:rPr>
        <w:t>1</w:t>
      </w:r>
      <w:r>
        <w:rPr/>
        <w:fldChar w:fldCharType="end"/>
      </w:r>
      <w:r>
        <w:t xml:space="preserve">: </w:t>
      </w:r>
      <w:r>
        <w:t>Global Smartphone Industry Structure Showing Pioneers, Followers, Supply Chain Actors, and Consumer Segments</w:t>
      </w:r>
      <w:r>
        <w:t xml:space="preserve">. </w:t>
      </w:r>
    </w:p>
    <w:bookmarkStart w:id="1" w:name="_Toc214568532"/>
    <w:p>
      <w:pPr>
        <w:pStyle w:val="style1"/>
        <w:rPr>
          <w:lang w:val="en-US"/>
        </w:rPr>
      </w:pPr>
      <w:r>
        <w:rPr>
          <w:lang w:val="en-US"/>
        </w:rPr>
        <w:t>2. Task 1: Critical Analysis of the Macro Marketing Environment</w:t>
      </w:r>
      <w:bookmarkEnd w:id="1"/>
    </w:p>
    <w:bookmarkStart w:id="2" w:name="_Toc214568533"/>
    <w:p>
      <w:pPr>
        <w:pStyle w:val="style2"/>
        <w:rPr>
          <w:lang w:val="en-US"/>
        </w:rPr>
      </w:pPr>
      <w:r>
        <w:rPr>
          <w:lang w:val="en-US"/>
        </w:rPr>
        <w:t>2.1 Overview of the Macro Marketing Environment</w:t>
      </w:r>
      <w:bookmarkEnd w:id="2"/>
    </w:p>
    <w:p>
      <w:pPr>
        <w:pStyle w:val="style0"/>
        <w:rPr>
          <w:lang w:val="en-US"/>
        </w:rPr>
      </w:pPr>
      <w:r>
        <w:t>The macro marketing environment can be defined as the larger external forces which are represented using frameworks like PESTEL that influence the organisational decision making, market opportunity and long-term competitiveness (Qi, 2024). These forces are beyond the control of firms, yet have a direct impact on the innovation cycles, pricing decisions, consumer value perception and market entry timing. Under fast-paced industries, it is the macro environment that dictates the volume of the firms that can produce as well as the pace at which they need to maintain their strategic positioning (</w:t>
      </w:r>
      <w:r>
        <w:t>Hildayanti</w:t>
      </w:r>
      <w:r>
        <w:t xml:space="preserve"> et al., 2025). The worldwide smartphone market is characterized by an extreme sensitivity to these external forces, as this sector is under rapid development of </w:t>
      </w:r>
      <w:r>
        <w:t>the particular technology, the products have short life cycle, and competition is growing all over the world. Innovation is also gaining pace to an extent that flagship features that were new yesterday are duplicated in a few months and differentiation windows are shortened to pioneer companies</w:t>
      </w:r>
      <w:r>
        <w:t xml:space="preserve"> </w:t>
      </w:r>
      <w:r>
        <w:t>(Mugo, 2020</w:t>
      </w:r>
      <w:r>
        <w:t>)</w:t>
      </w:r>
      <w:r>
        <w:t xml:space="preserve">. At the same time, economic forces, including inflation, changing customer incomes, and the increased prices in the supply chains, are still changing buying behaviour and price elasticity in both high-end and low-end markets (Giannini, 2022). </w:t>
      </w:r>
    </w:p>
    <w:p>
      <w:pPr>
        <w:pStyle w:val="style0"/>
        <w:keepNext/>
        <w:rPr/>
      </w:pPr>
      <w:r>
        <w:rPr>
          <w:noProof/>
          <w:lang w:val="en-US"/>
        </w:rPr>
        <w:drawing>
          <wp:inline distL="0" distT="0" distB="0" distR="0">
            <wp:extent cx="5943600" cy="3343275"/>
            <wp:effectExtent l="0" t="0" r="0" b="9525"/>
            <wp:docPr id="1028" name="Picture 2"/>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4" cstate="print"/>
                    <a:srcRect l="0" t="26764" r="0" b="16987"/>
                    <a:stretch/>
                  </pic:blipFill>
                  <pic:spPr>
                    <a:xfrm rot="0">
                      <a:off x="0" y="0"/>
                      <a:ext cx="5943600" cy="3343275"/>
                    </a:xfrm>
                    <a:prstGeom prst="rect"/>
                    <a:ln>
                      <a:noFill/>
                    </a:ln>
                  </pic:spPr>
                </pic:pic>
              </a:graphicData>
            </a:graphic>
          </wp:inline>
        </w:drawing>
      </w:r>
    </w:p>
    <w:p>
      <w:pPr>
        <w:pStyle w:val="style34"/>
        <w:rPr>
          <w:lang w:val="en-US"/>
        </w:rPr>
      </w:pPr>
      <w:r>
        <w:t xml:space="preserve">Figure </w:t>
      </w:r>
      <w:r>
        <w:rPr/>
        <w:fldChar w:fldCharType="begin"/>
      </w:r>
      <w:r>
        <w:instrText xml:space="preserve"> SEQ Figure \* ARABIC </w:instrText>
      </w:r>
      <w:r>
        <w:rPr/>
        <w:fldChar w:fldCharType="separate"/>
      </w:r>
      <w:r>
        <w:rPr>
          <w:noProof/>
        </w:rPr>
        <w:t>2</w:t>
      </w:r>
      <w:r>
        <w:rPr/>
        <w:fldChar w:fldCharType="end"/>
      </w:r>
      <w:r>
        <w:t xml:space="preserve">: </w:t>
      </w:r>
      <w:r>
        <w:t>PESTEL Framework of the Smartphone Industry Highlighting Technological and Economic Forces.</w:t>
      </w:r>
    </w:p>
    <w:bookmarkStart w:id="3" w:name="_Toc214568534"/>
    <w:p>
      <w:pPr>
        <w:pStyle w:val="style2"/>
        <w:rPr>
          <w:lang w:val="en-US"/>
        </w:rPr>
      </w:pPr>
      <w:r>
        <w:rPr>
          <w:lang w:val="en-US"/>
        </w:rPr>
        <w:t>2.2 Selection of Two External Macro Marketing Actors</w:t>
      </w:r>
      <w:bookmarkEnd w:id="3"/>
    </w:p>
    <w:bookmarkStart w:id="4" w:name="_Toc214568535"/>
    <w:p>
      <w:pPr>
        <w:pStyle w:val="style3"/>
        <w:rPr>
          <w:lang w:val="en-US"/>
        </w:rPr>
      </w:pPr>
      <w:r>
        <w:rPr>
          <w:lang w:val="en-US"/>
        </w:rPr>
        <w:t xml:space="preserve">2.2.1. </w:t>
      </w:r>
      <w:r>
        <w:rPr>
          <w:lang w:val="en-US"/>
        </w:rPr>
        <w:t>Actor 1: Technological Actor</w:t>
      </w:r>
      <w:bookmarkEnd w:id="4"/>
    </w:p>
    <w:p>
      <w:pPr>
        <w:pStyle w:val="style0"/>
        <w:rPr>
          <w:lang w:val="en-US"/>
        </w:rPr>
      </w:pPr>
      <w:r>
        <w:rPr>
          <w:lang w:val="en-US"/>
        </w:rPr>
        <w:t>The smartphone market is among the most innovation-driven markets around the world as technology is the driving force behind it (Lim et al., 2020). The most important trends, such as AI-enabled processors, high-performance graphics cards, multi-camera computational photography, foldable displays, and 5G to new 6G standards, have a substantial impact on the development of the products. Apple and Samsung and the biggest pioneers of their kind spend billions anew every year in proprietary chipsets, new displays and ecosystems to stay at the top</w:t>
      </w:r>
      <w:r>
        <w:rPr>
          <w:lang w:val="en-US"/>
        </w:rPr>
        <w:t xml:space="preserve"> </w:t>
      </w:r>
      <w:r>
        <w:t xml:space="preserve"> (</w:t>
      </w:r>
      <w:r>
        <w:t>Panigrahi</w:t>
      </w:r>
      <w:r>
        <w:t>, 2019</w:t>
      </w:r>
      <w:r>
        <w:t>).</w:t>
      </w:r>
      <w:r>
        <w:t xml:space="preserve"> </w:t>
      </w:r>
      <w:r>
        <w:rPr>
          <w:lang w:val="en-US"/>
        </w:rPr>
        <w:t xml:space="preserve">At the same time, </w:t>
      </w:r>
      <w:r>
        <w:rPr>
          <w:lang w:val="en-US"/>
        </w:rPr>
        <w:t>fabrication issues in semiconductor, race to patent, and increment in the intensity of R&amp;D raise the complexity and risk in maintaining innovation</w:t>
      </w:r>
      <w:r>
        <w:rPr>
          <w:lang w:val="en-US"/>
        </w:rPr>
        <w:t xml:space="preserve"> </w:t>
      </w:r>
      <w:r>
        <w:rPr>
          <w:lang w:val="en-US"/>
        </w:rPr>
        <w:t>(</w:t>
      </w:r>
      <w:r>
        <w:rPr>
          <w:lang w:val="en-US"/>
        </w:rPr>
        <w:t>Albasoos</w:t>
      </w:r>
      <w:r>
        <w:rPr>
          <w:lang w:val="en-US"/>
        </w:rPr>
        <w:t xml:space="preserve"> &amp; </w:t>
      </w:r>
      <w:r>
        <w:rPr>
          <w:lang w:val="en-US"/>
        </w:rPr>
        <w:t>Musallami</w:t>
      </w:r>
      <w:r>
        <w:rPr>
          <w:lang w:val="en-US"/>
        </w:rPr>
        <w:t>, 2020</w:t>
      </w:r>
      <w:r>
        <w:t>).</w:t>
      </w:r>
    </w:p>
    <w:bookmarkStart w:id="5" w:name="_Toc214568536"/>
    <w:p>
      <w:pPr>
        <w:pStyle w:val="style3"/>
        <w:rPr>
          <w:lang w:val="en-US"/>
        </w:rPr>
      </w:pPr>
      <w:r>
        <w:rPr>
          <w:lang w:val="en-US"/>
        </w:rPr>
        <w:t xml:space="preserve">2.2.2. </w:t>
      </w:r>
      <w:r>
        <w:rPr>
          <w:lang w:val="en-US"/>
        </w:rPr>
        <w:t>Actor 2: Economic Actor</w:t>
      </w:r>
      <w:bookmarkEnd w:id="5"/>
    </w:p>
    <w:p>
      <w:pPr>
        <w:pStyle w:val="style0"/>
        <w:rPr>
          <w:lang w:val="en-US"/>
        </w:rPr>
      </w:pPr>
      <w:r>
        <w:t>The global demand of smartphones has been changed by economic conditions especially inflation, falling real incomes and increasing costs of supply chains. Cost-effectiveness, longer device life and usage and mid-end models, rather than high-end ones, are increasingly important to consumers (Hou et al., 2025). The supply of components, exchange-rate volatility, logistics, and the escalating price of silicon wafers have a direct impact on production margin and price decisions. These financial facts have different effects on innovators and imitators and the need to analyse how companies that stand in different positions on the value chain react to financial constraints is further confirmed</w:t>
      </w:r>
      <w:r>
        <w:t xml:space="preserve"> </w:t>
      </w:r>
      <w:r>
        <w:t>(</w:t>
      </w:r>
      <w:r>
        <w:t>Nurcahyo</w:t>
      </w:r>
      <w:r>
        <w:t xml:space="preserve"> et al., 2019</w:t>
      </w:r>
      <w:r>
        <w:t>)</w:t>
      </w:r>
      <w:r>
        <w:t xml:space="preserve">. </w:t>
      </w:r>
    </w:p>
    <w:bookmarkStart w:id="6" w:name="_Toc214568537"/>
    <w:p>
      <w:pPr>
        <w:pStyle w:val="style2"/>
        <w:rPr>
          <w:lang w:val="en-US"/>
        </w:rPr>
      </w:pPr>
      <w:r>
        <w:rPr>
          <w:lang w:val="en-US"/>
        </w:rPr>
        <w:t>2.3 Critical Analysis of Each Actor</w:t>
      </w:r>
      <w:bookmarkEnd w:id="6"/>
    </w:p>
    <w:bookmarkStart w:id="7" w:name="_Toc214568538"/>
    <w:p>
      <w:pPr>
        <w:pStyle w:val="style3"/>
        <w:rPr>
          <w:lang w:val="en-US"/>
        </w:rPr>
      </w:pPr>
      <w:r>
        <w:rPr>
          <w:lang w:val="en-US"/>
        </w:rPr>
        <w:t xml:space="preserve">2.3.1. </w:t>
      </w:r>
      <w:r>
        <w:rPr>
          <w:lang w:val="en-US"/>
        </w:rPr>
        <w:t>Actor 1: Technological Actor – Critical Analysis</w:t>
      </w:r>
      <w:bookmarkEnd w:id="7"/>
    </w:p>
    <w:p>
      <w:pPr>
        <w:pStyle w:val="style0"/>
        <w:rPr>
          <w:b/>
          <w:bCs/>
          <w:lang w:val="en-US"/>
        </w:rPr>
      </w:pPr>
      <w:r>
        <w:rPr>
          <w:b/>
          <w:bCs/>
          <w:lang w:val="en-US"/>
        </w:rPr>
        <w:t>Impact on Pioneers</w:t>
      </w:r>
    </w:p>
    <w:p>
      <w:pPr>
        <w:pStyle w:val="style0"/>
        <w:rPr>
          <w:lang w:val="en-US"/>
        </w:rPr>
      </w:pPr>
      <w:r>
        <w:t>Innovation of technology poses strategic strength and weakness to innovating companies. Continuous innovation is the key factor that allows Apple and Samsung to justify high prices and preserve ecosystem-based differentiation. The use of A-series chips and Neural Engines which are proprietary to Apple and the integration of hardware-software optimisation makes Apple more competitive but necessitate significant long-term R&amp;D investments (</w:t>
      </w:r>
      <w:r>
        <w:t>Fauzi</w:t>
      </w:r>
      <w:r>
        <w:t xml:space="preserve"> and Ali, 2021). Similarly, Samsung is able to rely on internal semiconductor manufacturing and display technology to remain in competitive control. Nevertheless, such first-mover approaches place innovators at risk of increasing costs of R&amp;D, decreasing product cycles, and increasing competitive risk (</w:t>
      </w:r>
      <w:r>
        <w:t>Haonan</w:t>
      </w:r>
      <w:r>
        <w:t xml:space="preserve"> and Liu, 2024). The major threat is the narrowing of the innovation diffusion window. Modular component procurement and globalised production chains also allow Chinese rivals like Xiaomi and Oppo to replicate flagship characteristics, including camera sensors, fast charging, display designs, and so on, in several months</w:t>
      </w:r>
      <w:r>
        <w:t xml:space="preserve"> </w:t>
      </w:r>
      <w:r>
        <w:t>(</w:t>
      </w:r>
      <w:r>
        <w:t>Calzada</w:t>
      </w:r>
      <w:r>
        <w:t xml:space="preserve"> &amp; Martínez-Santos, 2016</w:t>
      </w:r>
      <w:r>
        <w:t>)</w:t>
      </w:r>
      <w:r>
        <w:t>.</w:t>
      </w:r>
    </w:p>
    <w:p>
      <w:pPr>
        <w:pStyle w:val="style0"/>
        <w:rPr>
          <w:b/>
          <w:bCs/>
          <w:lang w:val="en-US"/>
        </w:rPr>
      </w:pPr>
      <w:r>
        <w:rPr>
          <w:b/>
          <w:bCs/>
          <w:lang w:val="en-US"/>
        </w:rPr>
        <w:t>Impact on Followers</w:t>
      </w:r>
    </w:p>
    <w:p>
      <w:pPr>
        <w:pStyle w:val="style0"/>
        <w:rPr>
          <w:lang w:val="en-US"/>
        </w:rPr>
      </w:pPr>
      <w:r>
        <w:t xml:space="preserve">Modularisation of technology is more advantageous to the followers. Followers have access to off-the-shelf chipsets (Qualcomm, MediaTek) and open-source software </w:t>
      </w:r>
      <w:r>
        <w:t>components, which allows them to incorporate high-end features without the massive financial cost of original development; Xiaomi, Oppo, and Vivo are able to penetrate the emerging markets with their high-spec devices at low prices</w:t>
      </w:r>
      <w:r>
        <w:t xml:space="preserve"> </w:t>
      </w:r>
      <w:r>
        <w:t>(Shi et al., 2023</w:t>
      </w:r>
      <w:r>
        <w:t>)</w:t>
      </w:r>
      <w:r>
        <w:t>. Their innovation framework known as the fast imitation and rapid scaling accepts innovations first by other companies and does not take the first-mover risks (Guan et al., 2024). However, follower autonomy is also restricted by technological dependency. Dependence on the supplier of components limits their capability to differentiate in any meaningful way or to exercise a performance optimisation control mechanism. Supply chain bottlenecks, giving priority to chipset allocation to bigger companies, and inability to influence industry standards are a vulnerability to the followers (Giachetti et al., 2015</w:t>
      </w:r>
      <w:r>
        <w:t>)</w:t>
      </w:r>
      <w:r>
        <w:t xml:space="preserve">. </w:t>
      </w:r>
    </w:p>
    <w:p>
      <w:pPr>
        <w:pStyle w:val="style0"/>
        <w:keepNext/>
        <w:rPr>
          <w:noProof/>
          <w:lang w:val="en-US"/>
        </w:rPr>
      </w:pPr>
    </w:p>
    <w:p>
      <w:pPr>
        <w:pStyle w:val="style0"/>
        <w:keepNext/>
        <w:rPr/>
      </w:pPr>
      <w:r>
        <w:rPr>
          <w:noProof/>
          <w:lang w:val="en-US"/>
        </w:rPr>
        <w:drawing>
          <wp:inline distL="0" distT="0" distB="0" distR="0">
            <wp:extent cx="5943600" cy="1343025"/>
            <wp:effectExtent l="0" t="0" r="0" b="9525"/>
            <wp:docPr id="1029" name="Picture 3"/>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5" cstate="print"/>
                    <a:srcRect l="0" t="42949" r="0" b="34455"/>
                    <a:stretch/>
                  </pic:blipFill>
                  <pic:spPr>
                    <a:xfrm rot="0">
                      <a:off x="0" y="0"/>
                      <a:ext cx="5943600" cy="1343025"/>
                    </a:xfrm>
                    <a:prstGeom prst="rect"/>
                    <a:ln>
                      <a:noFill/>
                    </a:ln>
                  </pic:spPr>
                </pic:pic>
              </a:graphicData>
            </a:graphic>
          </wp:inline>
        </w:drawing>
      </w:r>
    </w:p>
    <w:p>
      <w:pPr>
        <w:pStyle w:val="style34"/>
        <w:rPr>
          <w:lang w:val="en-US"/>
        </w:rPr>
      </w:pPr>
      <w:r>
        <w:t xml:space="preserve">Figure </w:t>
      </w:r>
      <w:r>
        <w:rPr/>
        <w:fldChar w:fldCharType="begin"/>
      </w:r>
      <w:r>
        <w:instrText xml:space="preserve"> SEQ Figure \* ARABIC </w:instrText>
      </w:r>
      <w:r>
        <w:rPr/>
        <w:fldChar w:fldCharType="separate"/>
      </w:r>
      <w:r>
        <w:rPr>
          <w:noProof/>
        </w:rPr>
        <w:t>3</w:t>
      </w:r>
      <w:r>
        <w:rPr/>
        <w:fldChar w:fldCharType="end"/>
      </w:r>
      <w:r>
        <w:t xml:space="preserve">: </w:t>
      </w:r>
      <w:r>
        <w:t>Technology Diffusion Timeline Illustrating the Shrinking Window Between Pioneer Innovation and Follower Imitation.</w:t>
      </w:r>
    </w:p>
    <w:bookmarkStart w:id="8" w:name="_Toc214568539"/>
    <w:p>
      <w:pPr>
        <w:pStyle w:val="style3"/>
        <w:rPr>
          <w:lang w:val="en-US"/>
        </w:rPr>
      </w:pPr>
      <w:r>
        <w:rPr>
          <w:lang w:val="en-US"/>
        </w:rPr>
        <w:t xml:space="preserve">2.3.2. </w:t>
      </w:r>
      <w:r>
        <w:rPr>
          <w:lang w:val="en-US"/>
        </w:rPr>
        <w:t>Actor 2: Economic Actor – Critical Analysis</w:t>
      </w:r>
      <w:bookmarkEnd w:id="8"/>
    </w:p>
    <w:p>
      <w:pPr>
        <w:pStyle w:val="style0"/>
        <w:rPr>
          <w:b/>
          <w:bCs/>
          <w:lang w:val="en-US"/>
        </w:rPr>
      </w:pPr>
      <w:r>
        <w:rPr>
          <w:b/>
          <w:bCs/>
          <w:lang w:val="en-US"/>
        </w:rPr>
        <w:t>Impact on Pioneers</w:t>
      </w:r>
    </w:p>
    <w:p>
      <w:pPr>
        <w:pStyle w:val="style0"/>
        <w:rPr>
          <w:lang w:val="en-US"/>
        </w:rPr>
      </w:pPr>
      <w:r>
        <w:t>Economic instability such as inflation, increasing interest rates and decreasing discretionary spending is a major challenge to the pioneers with premium-based business models. Apple is experiencing declining device replacement cycle, especially in the mature markets where customers are still lagging behind on upgrades because of high flagship prices. The high-price and mid-price products of Samsung are being more challenged by low-price based brands and are losing market share creating a squeeze on margins (</w:t>
      </w:r>
      <w:r>
        <w:t>Bonizzi</w:t>
      </w:r>
      <w:r>
        <w:t xml:space="preserve"> et al., 2022). The high fixed costs of pioneers, such as high-quality materials, in-house R&amp;D, investment in an ecosystem, make their prices less flexible. In hard economic times, the pioneers should weigh between profitability and competitiveness in the market, and in most cases, they have to lean more on the brand loyalty as opposed to price-based competition (Sun, 2024</w:t>
      </w:r>
      <w:r>
        <w:t>).</w:t>
      </w:r>
    </w:p>
    <w:p>
      <w:pPr>
        <w:pStyle w:val="style0"/>
        <w:rPr>
          <w:b/>
          <w:bCs/>
          <w:lang w:val="en-US"/>
        </w:rPr>
      </w:pPr>
      <w:r>
        <w:rPr>
          <w:b/>
          <w:bCs/>
          <w:lang w:val="en-US"/>
        </w:rPr>
        <w:t>Impact on Followers</w:t>
      </w:r>
    </w:p>
    <w:p>
      <w:pPr>
        <w:pStyle w:val="style0"/>
        <w:rPr>
          <w:lang w:val="en-US"/>
        </w:rPr>
      </w:pPr>
      <w:r>
        <w:t xml:space="preserve">It has structural benefits when it comes to economic turbulence. Their low-cost leadership frameworks, supply chains that are leaner, and ambitious price-to-performance products are in line with the low-end budget-conscious consumer preferences (Hong, 2024). Homes like Xiaomi and </w:t>
      </w:r>
      <w:r>
        <w:t>realme</w:t>
      </w:r>
      <w:r>
        <w:t xml:space="preserve"> are able to capture a large market share based on the promise of flagship-like features at much more affordable prices particularly in the rising economies where cost is a prominent buying factor. Nonetheless, such an economic benefit has its weaknesses</w:t>
      </w:r>
      <w:r>
        <w:t xml:space="preserve"> </w:t>
      </w:r>
      <w:r>
        <w:t>(Son and Kim, 2022</w:t>
      </w:r>
      <w:r>
        <w:t>)</w:t>
      </w:r>
      <w:r>
        <w:t xml:space="preserve">. </w:t>
      </w:r>
      <w:r>
        <w:t xml:space="preserve"> Margins are extremely thin and this exposes the followers to the risks of supply chain patterns and currency changes. Price competition is dangerous and the emphasis on volume growth may lead a follower to the decline in demand (</w:t>
      </w:r>
      <w:r>
        <w:t>Токарчуuk</w:t>
      </w:r>
      <w:r>
        <w:t>, 2021</w:t>
      </w:r>
      <w:r>
        <w:t>).</w:t>
      </w:r>
      <w:r>
        <w:t xml:space="preserve"> </w:t>
      </w:r>
    </w:p>
    <w:p>
      <w:pPr>
        <w:pStyle w:val="style0"/>
        <w:rPr>
          <w:b/>
          <w:bCs/>
          <w:lang w:val="en-US"/>
        </w:rPr>
      </w:pPr>
      <w:r>
        <w:rPr>
          <w:b/>
          <w:bCs/>
          <w:lang w:val="en-US"/>
        </w:rPr>
        <w:t>T</w:t>
      </w:r>
      <w:r>
        <w:rPr>
          <w:b/>
          <w:bCs/>
          <w:lang w:val="en-US"/>
        </w:rPr>
        <w:t>able 01</w:t>
      </w:r>
      <w:r>
        <w:rPr>
          <w:b/>
          <w:bCs/>
          <w:lang w:val="en-US"/>
        </w:rPr>
        <w:t>: Economic Pressures Comparison – Pioneers vs Followers</w:t>
      </w:r>
    </w:p>
    <w:tbl>
      <w:tblPr>
        <w:tblStyle w:val="style4100"/>
        <w:tblW w:w="0" w:type="auto"/>
        <w:tblLook w:val="04A0" w:firstRow="1" w:lastRow="0" w:firstColumn="1" w:lastColumn="0" w:noHBand="0" w:noVBand="1"/>
      </w:tblPr>
      <w:tblGrid>
        <w:gridCol w:w="1908"/>
        <w:gridCol w:w="3850"/>
        <w:gridCol w:w="3600"/>
      </w:tblGrid>
      <w:tr>
        <w:trPr/>
        <w:tc>
          <w:tcPr>
            <w:tcW w:w="0" w:type="auto"/>
            <w:tcBorders/>
            <w:hideMark/>
          </w:tcPr>
          <w:p>
            <w:pPr>
              <w:pStyle w:val="style0"/>
              <w:rPr>
                <w:lang w:val="en-US"/>
              </w:rPr>
            </w:pPr>
            <w:r>
              <w:rPr>
                <w:lang w:val="en-US"/>
              </w:rPr>
              <w:t>Economic Pressure</w:t>
            </w:r>
          </w:p>
        </w:tc>
        <w:tc>
          <w:tcPr>
            <w:tcW w:w="0" w:type="auto"/>
            <w:tcBorders/>
            <w:hideMark/>
          </w:tcPr>
          <w:p>
            <w:pPr>
              <w:pStyle w:val="style0"/>
              <w:rPr>
                <w:lang w:val="en-US"/>
              </w:rPr>
            </w:pPr>
            <w:r>
              <w:rPr>
                <w:lang w:val="en-US"/>
              </w:rPr>
              <w:t>Impact on Pioneers (Apple, Samsung)</w:t>
            </w:r>
          </w:p>
        </w:tc>
        <w:tc>
          <w:tcPr>
            <w:tcW w:w="0" w:type="auto"/>
            <w:tcBorders/>
            <w:hideMark/>
          </w:tcPr>
          <w:p>
            <w:pPr>
              <w:pStyle w:val="style0"/>
              <w:rPr>
                <w:lang w:val="en-US"/>
              </w:rPr>
            </w:pPr>
            <w:r>
              <w:rPr>
                <w:lang w:val="en-US"/>
              </w:rPr>
              <w:t>Impact on Followers (Xiaomi, Oppo, Vivo)</w:t>
            </w:r>
          </w:p>
        </w:tc>
      </w:tr>
      <w:tr>
        <w:tblPrEx/>
        <w:trPr/>
        <w:tc>
          <w:tcPr>
            <w:tcW w:w="0" w:type="auto"/>
            <w:tcBorders/>
            <w:hideMark/>
          </w:tcPr>
          <w:p>
            <w:pPr>
              <w:pStyle w:val="style0"/>
              <w:rPr>
                <w:lang w:val="en-US"/>
              </w:rPr>
            </w:pPr>
            <w:r>
              <w:rPr>
                <w:lang w:val="en-US"/>
              </w:rPr>
              <w:t>Inflation &amp; Cost-of-Living Crisis</w:t>
            </w:r>
          </w:p>
        </w:tc>
        <w:tc>
          <w:tcPr>
            <w:tcW w:w="0" w:type="auto"/>
            <w:tcBorders/>
            <w:hideMark/>
          </w:tcPr>
          <w:p>
            <w:pPr>
              <w:pStyle w:val="style0"/>
              <w:rPr>
                <w:lang w:val="en-US"/>
              </w:rPr>
            </w:pPr>
            <w:r>
              <w:rPr>
                <w:lang w:val="en-US"/>
              </w:rPr>
              <w:t>Reduced upgrade cycles; premium demand becomes price-sensitive; pressure to sustain high ASPs.</w:t>
            </w:r>
          </w:p>
        </w:tc>
        <w:tc>
          <w:tcPr>
            <w:tcW w:w="0" w:type="auto"/>
            <w:tcBorders/>
            <w:hideMark/>
          </w:tcPr>
          <w:p>
            <w:pPr>
              <w:pStyle w:val="style0"/>
              <w:rPr>
                <w:lang w:val="en-US"/>
              </w:rPr>
            </w:pPr>
            <w:r>
              <w:rPr>
                <w:lang w:val="en-US"/>
              </w:rPr>
              <w:t>Increases attractiveness of affordable models; boosts unit sales in emerging markets.</w:t>
            </w:r>
          </w:p>
        </w:tc>
      </w:tr>
      <w:tr>
        <w:tblPrEx/>
        <w:trPr/>
        <w:tc>
          <w:tcPr>
            <w:tcW w:w="0" w:type="auto"/>
            <w:tcBorders/>
            <w:hideMark/>
          </w:tcPr>
          <w:p>
            <w:pPr>
              <w:pStyle w:val="style0"/>
              <w:rPr>
                <w:lang w:val="en-US"/>
              </w:rPr>
            </w:pPr>
            <w:r>
              <w:rPr>
                <w:lang w:val="en-US"/>
              </w:rPr>
              <w:t>Component &amp; Logistics Costs</w:t>
            </w:r>
          </w:p>
        </w:tc>
        <w:tc>
          <w:tcPr>
            <w:tcW w:w="0" w:type="auto"/>
            <w:tcBorders/>
            <w:hideMark/>
          </w:tcPr>
          <w:p>
            <w:pPr>
              <w:pStyle w:val="style0"/>
              <w:rPr>
                <w:lang w:val="en-US"/>
              </w:rPr>
            </w:pPr>
            <w:r>
              <w:rPr>
                <w:lang w:val="en-US"/>
              </w:rPr>
              <w:t>Higher exposure due to premium materials and vertical integration.</w:t>
            </w:r>
          </w:p>
        </w:tc>
        <w:tc>
          <w:tcPr>
            <w:tcW w:w="0" w:type="auto"/>
            <w:tcBorders/>
            <w:hideMark/>
          </w:tcPr>
          <w:p>
            <w:pPr>
              <w:pStyle w:val="style0"/>
              <w:rPr>
                <w:lang w:val="en-US"/>
              </w:rPr>
            </w:pPr>
            <w:r>
              <w:rPr>
                <w:lang w:val="en-US"/>
              </w:rPr>
              <w:t>Lower exposure due to flexible sourcing and leaner structures.</w:t>
            </w:r>
          </w:p>
        </w:tc>
      </w:tr>
      <w:tr>
        <w:tblPrEx/>
        <w:trPr/>
        <w:tc>
          <w:tcPr>
            <w:tcW w:w="0" w:type="auto"/>
            <w:tcBorders/>
            <w:hideMark/>
          </w:tcPr>
          <w:p>
            <w:pPr>
              <w:pStyle w:val="style0"/>
              <w:rPr>
                <w:lang w:val="en-US"/>
              </w:rPr>
            </w:pPr>
            <w:r>
              <w:rPr>
                <w:lang w:val="en-US"/>
              </w:rPr>
              <w:t>Consumer Price Sensitivity</w:t>
            </w:r>
          </w:p>
        </w:tc>
        <w:tc>
          <w:tcPr>
            <w:tcW w:w="0" w:type="auto"/>
            <w:tcBorders/>
            <w:hideMark/>
          </w:tcPr>
          <w:p>
            <w:pPr>
              <w:pStyle w:val="style0"/>
              <w:rPr>
                <w:lang w:val="en-US"/>
              </w:rPr>
            </w:pPr>
            <w:r>
              <w:rPr>
                <w:lang w:val="en-US"/>
              </w:rPr>
              <w:t xml:space="preserve">Weakens premium growth; mid-tier </w:t>
            </w:r>
            <w:r>
              <w:rPr>
                <w:lang w:val="en-US"/>
              </w:rPr>
              <w:t>cannibalisation</w:t>
            </w:r>
            <w:r>
              <w:rPr>
                <w:lang w:val="en-US"/>
              </w:rPr>
              <w:t>.</w:t>
            </w:r>
          </w:p>
        </w:tc>
        <w:tc>
          <w:tcPr>
            <w:tcW w:w="0" w:type="auto"/>
            <w:tcBorders/>
            <w:hideMark/>
          </w:tcPr>
          <w:p>
            <w:pPr>
              <w:pStyle w:val="style0"/>
              <w:rPr>
                <w:lang w:val="en-US"/>
              </w:rPr>
            </w:pPr>
            <w:r>
              <w:rPr>
                <w:lang w:val="en-US"/>
              </w:rPr>
              <w:t xml:space="preserve">Strong advantage—core customer base </w:t>
            </w:r>
            <w:r>
              <w:rPr>
                <w:lang w:val="en-US"/>
              </w:rPr>
              <w:t>prioritises</w:t>
            </w:r>
            <w:r>
              <w:rPr>
                <w:lang w:val="en-US"/>
              </w:rPr>
              <w:t xml:space="preserve"> value-for-money.</w:t>
            </w:r>
          </w:p>
        </w:tc>
      </w:tr>
      <w:tr>
        <w:tblPrEx/>
        <w:trPr/>
        <w:tc>
          <w:tcPr>
            <w:tcW w:w="0" w:type="auto"/>
            <w:tcBorders/>
            <w:hideMark/>
          </w:tcPr>
          <w:p>
            <w:pPr>
              <w:pStyle w:val="style0"/>
              <w:rPr>
                <w:lang w:val="en-US"/>
              </w:rPr>
            </w:pPr>
            <w:r>
              <w:rPr>
                <w:lang w:val="en-US"/>
              </w:rPr>
              <w:t>Exchange Rate Volatility</w:t>
            </w:r>
          </w:p>
        </w:tc>
        <w:tc>
          <w:tcPr>
            <w:tcW w:w="0" w:type="auto"/>
            <w:tcBorders/>
            <w:hideMark/>
          </w:tcPr>
          <w:p>
            <w:pPr>
              <w:pStyle w:val="style0"/>
              <w:rPr>
                <w:lang w:val="en-US"/>
              </w:rPr>
            </w:pPr>
            <w:r>
              <w:rPr>
                <w:lang w:val="en-US"/>
              </w:rPr>
              <w:t>Impacts profit margins on global flagship sales.</w:t>
            </w:r>
          </w:p>
        </w:tc>
        <w:tc>
          <w:tcPr>
            <w:tcW w:w="0" w:type="auto"/>
            <w:tcBorders/>
            <w:hideMark/>
          </w:tcPr>
          <w:p>
            <w:pPr>
              <w:pStyle w:val="style0"/>
              <w:rPr>
                <w:lang w:val="en-US"/>
              </w:rPr>
            </w:pPr>
            <w:r>
              <w:rPr>
                <w:lang w:val="en-US"/>
              </w:rPr>
              <w:t>Significant but manageable due to low margins and regional price variation.</w:t>
            </w:r>
          </w:p>
        </w:tc>
      </w:tr>
      <w:tr>
        <w:tblPrEx/>
        <w:trPr/>
        <w:tc>
          <w:tcPr>
            <w:tcW w:w="0" w:type="auto"/>
            <w:tcBorders/>
            <w:hideMark/>
          </w:tcPr>
          <w:p>
            <w:pPr>
              <w:pStyle w:val="style0"/>
              <w:rPr>
                <w:lang w:val="en-US"/>
              </w:rPr>
            </w:pPr>
            <w:r>
              <w:rPr>
                <w:lang w:val="en-US"/>
              </w:rPr>
              <w:t>Market Segment Shifts</w:t>
            </w:r>
          </w:p>
        </w:tc>
        <w:tc>
          <w:tcPr>
            <w:tcW w:w="0" w:type="auto"/>
            <w:tcBorders/>
            <w:hideMark/>
          </w:tcPr>
          <w:p>
            <w:pPr>
              <w:pStyle w:val="style0"/>
              <w:rPr>
                <w:lang w:val="en-US"/>
              </w:rPr>
            </w:pPr>
            <w:r>
              <w:rPr>
                <w:lang w:val="en-US"/>
              </w:rPr>
              <w:t>Forced to defend premium brand identity despite lower volumes.</w:t>
            </w:r>
          </w:p>
        </w:tc>
        <w:tc>
          <w:tcPr>
            <w:tcW w:w="0" w:type="auto"/>
            <w:tcBorders/>
            <w:hideMark/>
          </w:tcPr>
          <w:p>
            <w:pPr>
              <w:pStyle w:val="style0"/>
              <w:rPr>
                <w:lang w:val="en-US"/>
              </w:rPr>
            </w:pPr>
            <w:r>
              <w:rPr>
                <w:lang w:val="en-US"/>
              </w:rPr>
              <w:t>Gains in mid-range and budget segments; accelerated penetration.</w:t>
            </w:r>
          </w:p>
        </w:tc>
      </w:tr>
    </w:tbl>
    <w:p>
      <w:pPr>
        <w:pStyle w:val="style0"/>
        <w:rPr>
          <w:lang w:val="en-US"/>
        </w:rPr>
      </w:pPr>
    </w:p>
    <w:bookmarkStart w:id="9" w:name="_Toc214568540"/>
    <w:p>
      <w:pPr>
        <w:pStyle w:val="style1"/>
        <w:rPr>
          <w:lang w:val="en-US"/>
        </w:rPr>
      </w:pPr>
      <w:r>
        <w:rPr>
          <w:lang w:val="en-US"/>
        </w:rPr>
        <w:t xml:space="preserve">3. Task 2: Strategic Responses of Pioneering and Follower </w:t>
      </w:r>
      <w:r>
        <w:rPr>
          <w:lang w:val="en-US"/>
        </w:rPr>
        <w:t>Organisations</w:t>
      </w:r>
      <w:bookmarkEnd w:id="9"/>
      <w:r>
        <w:rPr>
          <w:lang w:val="en-US"/>
        </w:rPr>
        <w:t xml:space="preserve"> </w:t>
      </w:r>
    </w:p>
    <w:bookmarkStart w:id="10" w:name="_Toc214568541"/>
    <w:p>
      <w:pPr>
        <w:pStyle w:val="style2"/>
        <w:rPr>
          <w:lang w:val="en-US"/>
        </w:rPr>
      </w:pPr>
      <w:r>
        <w:rPr>
          <w:lang w:val="en-US"/>
        </w:rPr>
        <w:t xml:space="preserve">3.1 Pioneering </w:t>
      </w:r>
      <w:r>
        <w:rPr>
          <w:lang w:val="en-US"/>
        </w:rPr>
        <w:t>Organisations’</w:t>
      </w:r>
      <w:r>
        <w:rPr>
          <w:lang w:val="en-US"/>
        </w:rPr>
        <w:t xml:space="preserve"> Strategic Responses</w:t>
      </w:r>
      <w:bookmarkEnd w:id="10"/>
    </w:p>
    <w:bookmarkStart w:id="11" w:name="_Toc214568542"/>
    <w:p>
      <w:pPr>
        <w:pStyle w:val="style3"/>
        <w:rPr>
          <w:lang w:val="en-US"/>
        </w:rPr>
      </w:pPr>
      <w:r>
        <w:rPr>
          <w:lang w:val="en-US"/>
        </w:rPr>
        <w:t xml:space="preserve">3.1.1. </w:t>
      </w:r>
      <w:r>
        <w:rPr>
          <w:lang w:val="en-US"/>
        </w:rPr>
        <w:t>Porter’s Generic Strategies: Differentiation Under Pressure</w:t>
      </w:r>
      <w:bookmarkEnd w:id="11"/>
    </w:p>
    <w:p>
      <w:pPr>
        <w:pStyle w:val="style0"/>
        <w:rPr>
          <w:lang w:val="en-US"/>
        </w:rPr>
      </w:pPr>
      <w:r>
        <w:rPr>
          <w:lang w:val="en-US"/>
        </w:rPr>
        <w:t>Apple uses pure differentiation strategy, which enables it to use proprietary chipsets, closely coupled software-hardware systems, and high-end design language to command higher average selling prices (ASPs)</w:t>
      </w:r>
      <w:r>
        <w:rPr>
          <w:lang w:val="en-US"/>
        </w:rPr>
        <w:t xml:space="preserve"> </w:t>
      </w:r>
      <w:r>
        <w:rPr>
          <w:lang w:val="en-US"/>
        </w:rPr>
        <w:t>(</w:t>
      </w:r>
      <w:r>
        <w:rPr>
          <w:lang w:val="en-US"/>
        </w:rPr>
        <w:t>Beldjebel</w:t>
      </w:r>
      <w:r>
        <w:rPr>
          <w:lang w:val="en-US"/>
        </w:rPr>
        <w:t>, 2025).</w:t>
      </w:r>
      <w:r>
        <w:rPr>
          <w:lang w:val="en-US"/>
        </w:rPr>
        <w:t xml:space="preserve"> When applied in the technological volatility, differentiation enables pioneer to stay at the head of the products despite the rate of imitation that gains momentum among the followers. Samsung also aims at differentiation but expands the strategy by providing various levels of innovation, such as foldable products to flagships and high-end series, which allow it to diversify risk (Rasool et al., 2024). </w:t>
      </w:r>
    </w:p>
    <w:p>
      <w:pPr>
        <w:pStyle w:val="style0"/>
        <w:rPr>
          <w:lang w:val="en-US"/>
        </w:rPr>
      </w:pPr>
      <w:r>
        <w:rPr>
          <w:lang w:val="en-US"/>
        </w:rPr>
        <w:t>Non-however, these differentiation strategies are complicated by economic forces. Waning consumer purchasing capacity and inflation decrease the willingness to upgrade, which shrink the demand of expensive gadgets (Karhu et al., 2018). Apple and Samsung have to protect premium margins and at the same time cushion the decline of volumes, which is a balancing act that reveals the weaknesses of differentiation in times of economic downturns</w:t>
      </w:r>
      <w:r>
        <w:rPr>
          <w:lang w:val="en-US"/>
        </w:rPr>
        <w:t xml:space="preserve"> </w:t>
      </w:r>
      <w:r>
        <w:rPr>
          <w:lang w:val="en-US"/>
        </w:rPr>
        <w:t>(Kim et al., 2023).</w:t>
      </w:r>
    </w:p>
    <w:bookmarkStart w:id="12" w:name="_Toc214568543"/>
    <w:p>
      <w:pPr>
        <w:pStyle w:val="style3"/>
        <w:rPr>
          <w:lang w:val="en-US"/>
        </w:rPr>
      </w:pPr>
      <w:r>
        <w:rPr>
          <w:lang w:val="en-US"/>
        </w:rPr>
        <w:t xml:space="preserve">3.1.2. </w:t>
      </w:r>
      <w:r>
        <w:rPr>
          <w:lang w:val="en-US"/>
        </w:rPr>
        <w:t>Ansoff Matrix: Innovation and Ecosystem Expansion</w:t>
      </w:r>
      <w:bookmarkEnd w:id="12"/>
    </w:p>
    <w:p>
      <w:pPr>
        <w:pStyle w:val="style0"/>
        <w:rPr>
          <w:lang w:val="en-US"/>
        </w:rPr>
      </w:pPr>
      <w:r>
        <w:rPr>
          <w:lang w:val="en-US"/>
        </w:rPr>
        <w:t>With the help of the Growth Matrix by Ansoff, innovators mostly conduct diversification and product development</w:t>
      </w:r>
      <w:r>
        <w:rPr>
          <w:lang w:val="en-US"/>
        </w:rPr>
        <w:t xml:space="preserve"> </w:t>
      </w:r>
      <w:r>
        <w:rPr>
          <w:lang w:val="en-US"/>
        </w:rPr>
        <w:t xml:space="preserve"> (Cui et al., 2023)</w:t>
      </w:r>
      <w:r>
        <w:rPr>
          <w:lang w:val="en-US"/>
        </w:rPr>
        <w:t>. The continuous product development and annual release of flagship models is a reflection of the diversification that Apple has adopted over the years, and its diversification into wearables, cloud services, augmented reality and proprietary silicon is aimed at increasing the level of lock-in of its ecosystem (</w:t>
      </w:r>
      <w:r>
        <w:rPr>
          <w:lang w:val="en-US"/>
        </w:rPr>
        <w:t>Ervits</w:t>
      </w:r>
      <w:r>
        <w:rPr>
          <w:lang w:val="en-US"/>
        </w:rPr>
        <w:t xml:space="preserve">, 2023).  </w:t>
      </w:r>
      <w:r>
        <w:rPr>
          <w:lang w:val="en-US"/>
        </w:rPr>
        <w:t>However,</w:t>
      </w:r>
      <w:r>
        <w:rPr>
          <w:lang w:val="en-US"/>
        </w:rPr>
        <w:t xml:space="preserve"> there are strategic risks associated with these strategies. The reliance on breakthrough innovation exposes pioneers to increasing costs of R&amp;D with diminishing returns particularly as followers cut innovation lead time by adopting similar components at an early stage in their development. Moreover, diversification plans are </w:t>
      </w:r>
      <w:r>
        <w:rPr>
          <w:lang w:val="en-US"/>
        </w:rPr>
        <w:t>likely to spread management attention and need a considerable amount of capital investment without promises of success (Atwood, 2019).</w:t>
      </w:r>
    </w:p>
    <w:bookmarkStart w:id="13" w:name="_Toc214568544"/>
    <w:p>
      <w:pPr>
        <w:pStyle w:val="style3"/>
        <w:rPr>
          <w:lang w:val="en-US"/>
        </w:rPr>
      </w:pPr>
      <w:r>
        <w:rPr>
          <w:lang w:val="en-US"/>
        </w:rPr>
        <w:t xml:space="preserve">3.1.3. </w:t>
      </w:r>
      <w:r>
        <w:rPr>
          <w:lang w:val="en-US"/>
        </w:rPr>
        <w:t>Critical Evaluation of Pioneer Responses</w:t>
      </w:r>
      <w:bookmarkEnd w:id="13"/>
    </w:p>
    <w:p>
      <w:pPr>
        <w:pStyle w:val="style0"/>
        <w:rPr>
          <w:lang w:val="en-US"/>
        </w:rPr>
      </w:pPr>
      <w:r>
        <w:rPr>
          <w:lang w:val="en-US"/>
        </w:rPr>
        <w:t>Pioneers respond to technological and economic challenges through premium positioning, continuous innovation, and ecosystem strength. These strategies reinforce competitive leadership but exhibit fragility when external shocks intensify.</w:t>
      </w:r>
      <w:r>
        <w:rPr>
          <w:lang w:val="en-US"/>
        </w:rPr>
        <w:br/>
      </w:r>
      <w:r>
        <w:rPr>
          <w:lang w:val="en-US"/>
        </w:rPr>
        <w:t>Key tensions include</w:t>
      </w:r>
      <w:r>
        <w:rPr>
          <w:lang w:val="en-US"/>
        </w:rPr>
        <w:t xml:space="preserve"> </w:t>
      </w:r>
      <w:r>
        <w:t>(Boniface, 2023)</w:t>
      </w:r>
      <w:r>
        <w:rPr>
          <w:lang w:val="en-US"/>
        </w:rPr>
        <w:t>:</w:t>
      </w:r>
    </w:p>
    <w:p>
      <w:pPr>
        <w:pStyle w:val="style0"/>
        <w:numPr>
          <w:ilvl w:val="0"/>
          <w:numId w:val="1"/>
        </w:numPr>
        <w:rPr>
          <w:lang w:val="en-US"/>
        </w:rPr>
      </w:pPr>
      <w:r>
        <w:rPr>
          <w:b/>
          <w:bCs/>
          <w:lang w:val="en-US"/>
        </w:rPr>
        <w:t>Innovation Fatigue:</w:t>
      </w:r>
      <w:r>
        <w:rPr>
          <w:lang w:val="en-US"/>
        </w:rPr>
        <w:t xml:space="preserve"> </w:t>
      </w:r>
      <w:r>
        <w:rPr>
          <w:lang w:val="en-US"/>
        </w:rPr>
        <w:t>Small changes might not be good enough to attract premium prices as the consumers are seeking higher value.</w:t>
      </w:r>
    </w:p>
    <w:p>
      <w:pPr>
        <w:pStyle w:val="style0"/>
        <w:numPr>
          <w:ilvl w:val="0"/>
          <w:numId w:val="1"/>
        </w:numPr>
        <w:rPr>
          <w:lang w:val="en-US"/>
        </w:rPr>
      </w:pPr>
      <w:r>
        <w:rPr>
          <w:b/>
          <w:bCs/>
          <w:lang w:val="en-US"/>
        </w:rPr>
        <w:t>Cost Vulnerability:</w:t>
      </w:r>
      <w:r>
        <w:rPr>
          <w:lang w:val="en-US"/>
        </w:rPr>
        <w:t xml:space="preserve"> </w:t>
      </w:r>
      <w:r>
        <w:rPr>
          <w:lang w:val="en-US"/>
        </w:rPr>
        <w:t>Vertical integration enhances control but exposes the organization to international supply chain shocks and economic slumps.</w:t>
      </w:r>
    </w:p>
    <w:p>
      <w:pPr>
        <w:pStyle w:val="style0"/>
        <w:numPr>
          <w:ilvl w:val="0"/>
          <w:numId w:val="1"/>
        </w:numPr>
        <w:rPr>
          <w:lang w:val="en-US"/>
        </w:rPr>
      </w:pPr>
      <w:r>
        <w:rPr>
          <w:b/>
          <w:bCs/>
          <w:lang w:val="en-US"/>
        </w:rPr>
        <w:t>Compressed differentiation windows:</w:t>
      </w:r>
      <w:r>
        <w:rPr>
          <w:lang w:val="en-US"/>
        </w:rPr>
        <w:t xml:space="preserve"> The speed of imitation diminishes the duration of technological advantage, reducing strategic returns on innovation</w:t>
      </w:r>
      <w:r>
        <w:rPr>
          <w:lang w:val="en-US"/>
        </w:rPr>
        <w:t xml:space="preserve"> </w:t>
      </w:r>
      <w:r>
        <w:t>(</w:t>
      </w:r>
      <w:r>
        <w:t>Malynovska</w:t>
      </w:r>
      <w:r>
        <w:t>, 2025)</w:t>
      </w:r>
      <w:r>
        <w:rPr>
          <w:lang w:val="en-US"/>
        </w:rPr>
        <w:t>.</w:t>
      </w:r>
    </w:p>
    <w:bookmarkStart w:id="14" w:name="_Toc214568545"/>
    <w:p>
      <w:pPr>
        <w:pStyle w:val="style2"/>
        <w:rPr>
          <w:lang w:val="en-US"/>
        </w:rPr>
      </w:pPr>
      <w:r>
        <w:rPr>
          <w:lang w:val="en-US"/>
        </w:rPr>
        <w:t>3.</w:t>
      </w:r>
      <w:r>
        <w:rPr>
          <w:lang w:val="en-US"/>
        </w:rPr>
        <w:t xml:space="preserve">2 </w:t>
      </w:r>
      <w:r>
        <w:rPr>
          <w:lang w:val="en-US"/>
        </w:rPr>
        <w:t xml:space="preserve">Follower </w:t>
      </w:r>
      <w:r>
        <w:rPr>
          <w:lang w:val="en-US"/>
        </w:rPr>
        <w:t>Organisations’</w:t>
      </w:r>
      <w:r>
        <w:rPr>
          <w:lang w:val="en-US"/>
        </w:rPr>
        <w:t xml:space="preserve"> Strategic Responses</w:t>
      </w:r>
      <w:bookmarkEnd w:id="14"/>
    </w:p>
    <w:p>
      <w:pPr>
        <w:pStyle w:val="style0"/>
        <w:rPr>
          <w:lang w:val="en-US"/>
        </w:rPr>
      </w:pPr>
      <w:r>
        <w:rPr>
          <w:lang w:val="en-US"/>
        </w:rPr>
        <w:t xml:space="preserve">Follower companies, including Xiaomi, </w:t>
      </w:r>
      <w:r>
        <w:rPr>
          <w:lang w:val="en-US"/>
        </w:rPr>
        <w:t>Oppen</w:t>
      </w:r>
      <w:r>
        <w:rPr>
          <w:lang w:val="en-US"/>
        </w:rPr>
        <w:t xml:space="preserve">, and Vivo, implement the strategies of focusing on cost-effectiveness, fast imitation, entering the market, and pricing flexibility. They respond based on the structural benefits of flexible production, reduced R&amp;D investments, and the possibilities of taking advantage of value-oriented consumer </w:t>
      </w:r>
      <w:r>
        <w:rPr>
          <w:lang w:val="en-US"/>
        </w:rPr>
        <w:t>behaviour</w:t>
      </w:r>
      <w:r>
        <w:rPr>
          <w:lang w:val="en-US"/>
        </w:rPr>
        <w:t xml:space="preserve"> in a turbulent economic environment (Pandey et al., 2016).</w:t>
      </w:r>
    </w:p>
    <w:bookmarkStart w:id="15" w:name="_Toc214568546"/>
    <w:p>
      <w:pPr>
        <w:pStyle w:val="style3"/>
        <w:rPr>
          <w:lang w:val="en-US"/>
        </w:rPr>
      </w:pPr>
      <w:r>
        <w:rPr>
          <w:lang w:val="en-US"/>
        </w:rPr>
        <w:t xml:space="preserve">3.2.1. </w:t>
      </w:r>
      <w:r>
        <w:rPr>
          <w:lang w:val="en-US"/>
        </w:rPr>
        <w:t>Porter’s Generic Strategies: Cost Leadership and Fast Imitation</w:t>
      </w:r>
      <w:bookmarkEnd w:id="15"/>
    </w:p>
    <w:p>
      <w:pPr>
        <w:pStyle w:val="style0"/>
        <w:rPr>
          <w:lang w:val="en-US"/>
        </w:rPr>
      </w:pPr>
      <w:r>
        <w:rPr>
          <w:lang w:val="en-US"/>
        </w:rPr>
        <w:t xml:space="preserve">Cost leadership is the main strategy that the followers do with the assistance of large-scale manufacturing collaborations, the use of contract production, and the adoption of </w:t>
      </w:r>
      <w:r>
        <w:rPr>
          <w:lang w:val="en-US"/>
        </w:rPr>
        <w:t>commoditised</w:t>
      </w:r>
      <w:r>
        <w:rPr>
          <w:lang w:val="en-US"/>
        </w:rPr>
        <w:t xml:space="preserve"> elements. An example is Xiaomi and </w:t>
      </w:r>
      <w:r>
        <w:rPr>
          <w:lang w:val="en-US"/>
        </w:rPr>
        <w:t>Realme</w:t>
      </w:r>
      <w:r>
        <w:rPr>
          <w:lang w:val="en-US"/>
        </w:rPr>
        <w:t>, which streamline supply chains to keep prices to performance ratios aggressive, and thus, conquer the mid-range and low-end markets (</w:t>
      </w:r>
      <w:r>
        <w:rPr>
          <w:lang w:val="en-US"/>
        </w:rPr>
        <w:t>Febrianti</w:t>
      </w:r>
      <w:r>
        <w:rPr>
          <w:lang w:val="en-US"/>
        </w:rPr>
        <w:t>, 2024). This cost leadership strategy is also enhanced through fast imitation. Followers provide near-flagship experiences by embracing new technologies; however, shortly after their release, like high-refresh-rate displays, multi-lens camera systems, fast charging, etc. they provide these features without paying the investment cost of original innovation</w:t>
      </w:r>
      <w:r>
        <w:rPr>
          <w:lang w:val="en-US"/>
        </w:rPr>
        <w:t xml:space="preserve"> (</w:t>
      </w:r>
      <w:r>
        <w:rPr>
          <w:lang w:val="en-US"/>
        </w:rPr>
        <w:t>Sembada</w:t>
      </w:r>
      <w:r>
        <w:rPr>
          <w:lang w:val="en-US"/>
        </w:rPr>
        <w:t>, 2017)</w:t>
      </w:r>
      <w:r>
        <w:rPr>
          <w:lang w:val="en-US"/>
        </w:rPr>
        <w:t xml:space="preserve">. This is a faster methodology of </w:t>
      </w:r>
      <w:r>
        <w:rPr>
          <w:lang w:val="en-US"/>
        </w:rPr>
        <w:t>diffusion of competition and minimizing strategic value of innovative fronts. Nevertheless, cost leadership provides strategic limitations (Coad et al., 2021).</w:t>
      </w:r>
    </w:p>
    <w:bookmarkStart w:id="16" w:name="_Toc214568547"/>
    <w:p>
      <w:pPr>
        <w:pStyle w:val="style3"/>
        <w:rPr>
          <w:lang w:val="en-US"/>
        </w:rPr>
      </w:pPr>
      <w:r>
        <w:rPr>
          <w:lang w:val="en-US"/>
        </w:rPr>
        <w:t xml:space="preserve">3.2.2. </w:t>
      </w:r>
      <w:r>
        <w:rPr>
          <w:lang w:val="en-US"/>
        </w:rPr>
        <w:t>Ansoff Matrix: Market Penetration and Product Development</w:t>
      </w:r>
      <w:bookmarkEnd w:id="16"/>
    </w:p>
    <w:p>
      <w:pPr>
        <w:pStyle w:val="style0"/>
        <w:rPr>
          <w:noProof/>
          <w:lang w:val="en-US"/>
        </w:rPr>
      </w:pPr>
      <w:r>
        <w:rPr>
          <w:noProof/>
          <w:lang w:val="en-US"/>
        </w:rPr>
        <w:t>The strategies of followers in terms of their growth are most similar to the market penetration and product development. Aggressive market expansion in emerging markets like India, Southeast Asia, Africa, and Latin America, where affordability is a key consideration by the consumers, is also the way to market penetration. The scale-up strategies allow the followers to rapidly gain market share even in the recession of an economy (Lee et al., 2015). Product development takes place as a result of incremental invention and not through breakthrough R&amp;D. The followers launch improved versions of the old models at a small time interval incorporating competition features to keep up with the competition in the crowded markets</w:t>
      </w:r>
      <w:r>
        <w:rPr>
          <w:noProof/>
          <w:lang w:val="en-US"/>
        </w:rPr>
        <w:t xml:space="preserve"> </w:t>
      </w:r>
      <w:r>
        <w:rPr>
          <w:noProof/>
          <w:lang w:val="en-US"/>
        </w:rPr>
        <w:t>(Synnott et al., 2022).</w:t>
      </w:r>
    </w:p>
    <w:p>
      <w:pPr>
        <w:pStyle w:val="style0"/>
        <w:keepNext/>
        <w:rPr/>
      </w:pPr>
      <w:r>
        <w:rPr>
          <w:noProof/>
          <w:lang w:val="en-US"/>
        </w:rPr>
        <w:drawing>
          <wp:inline distL="0" distT="0" distB="0" distR="0">
            <wp:extent cx="5943600" cy="3181350"/>
            <wp:effectExtent l="0" t="0" r="0" b="0"/>
            <wp:docPr id="1030" name="Picture 5"/>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Picture 5"/>
                    <pic:cNvPicPr/>
                  </pic:nvPicPr>
                  <pic:blipFill>
                    <a:blip r:embed="rId6" cstate="print"/>
                    <a:srcRect l="0" t="24359" r="0" b="22115"/>
                    <a:stretch/>
                  </pic:blipFill>
                  <pic:spPr>
                    <a:xfrm rot="0">
                      <a:off x="0" y="0"/>
                      <a:ext cx="5943600" cy="3181350"/>
                    </a:xfrm>
                    <a:prstGeom prst="rect"/>
                    <a:ln>
                      <a:noFill/>
                    </a:ln>
                  </pic:spPr>
                </pic:pic>
              </a:graphicData>
            </a:graphic>
          </wp:inline>
        </w:drawing>
      </w:r>
    </w:p>
    <w:p>
      <w:pPr>
        <w:pStyle w:val="style34"/>
        <w:rPr>
          <w:lang w:val="en-US"/>
        </w:rPr>
      </w:pPr>
      <w:r>
        <w:t xml:space="preserve">Figure </w:t>
      </w:r>
      <w:r>
        <w:rPr/>
        <w:fldChar w:fldCharType="begin"/>
      </w:r>
      <w:r>
        <w:instrText xml:space="preserve"> SEQ Figure \* ARABIC </w:instrText>
      </w:r>
      <w:r>
        <w:rPr/>
        <w:fldChar w:fldCharType="separate"/>
      </w:r>
      <w:r>
        <w:rPr>
          <w:noProof/>
        </w:rPr>
        <w:t>4</w:t>
      </w:r>
      <w:r>
        <w:rPr/>
        <w:fldChar w:fldCharType="end"/>
      </w:r>
      <w:r>
        <w:t xml:space="preserve">: </w:t>
      </w:r>
      <w:r>
        <w:t>Ansoff Growth Matrix Demonstrating Followers’ Focus on Market Penetration and Product Development.</w:t>
      </w:r>
    </w:p>
    <w:bookmarkStart w:id="17" w:name="_Toc214568548"/>
    <w:p>
      <w:pPr>
        <w:pStyle w:val="style3"/>
        <w:rPr>
          <w:lang w:val="en-US"/>
        </w:rPr>
      </w:pPr>
      <w:r>
        <w:rPr>
          <w:lang w:val="en-US"/>
        </w:rPr>
        <w:t xml:space="preserve">3.2.3. </w:t>
      </w:r>
      <w:r>
        <w:rPr>
          <w:lang w:val="en-US"/>
        </w:rPr>
        <w:t>Critical Evaluation of Follower Responses</w:t>
      </w:r>
      <w:bookmarkEnd w:id="17"/>
    </w:p>
    <w:p>
      <w:pPr>
        <w:pStyle w:val="style0"/>
        <w:rPr>
          <w:lang w:val="en-US"/>
        </w:rPr>
      </w:pPr>
      <w:r>
        <w:rPr>
          <w:lang w:val="en-US"/>
        </w:rPr>
        <w:t>The strengths are (Liu et al., 2017):</w:t>
      </w:r>
    </w:p>
    <w:p>
      <w:pPr>
        <w:pStyle w:val="style0"/>
        <w:numPr>
          <w:ilvl w:val="0"/>
          <w:numId w:val="2"/>
        </w:numPr>
        <w:rPr>
          <w:lang w:val="en-US"/>
        </w:rPr>
      </w:pPr>
      <w:r>
        <w:rPr>
          <w:b/>
          <w:bCs/>
          <w:lang w:val="en-US"/>
        </w:rPr>
        <w:t>Agility and cost flexibility:</w:t>
      </w:r>
      <w:r>
        <w:rPr>
          <w:lang w:val="en-US"/>
        </w:rPr>
        <w:t xml:space="preserve"> </w:t>
      </w:r>
      <w:r>
        <w:rPr>
          <w:lang w:val="en-US"/>
        </w:rPr>
        <w:t>The lean organizations enable followers to easily change the price points as a result of inflation or currency changes.</w:t>
      </w:r>
    </w:p>
    <w:p>
      <w:pPr>
        <w:pStyle w:val="style0"/>
        <w:numPr>
          <w:ilvl w:val="0"/>
          <w:numId w:val="2"/>
        </w:numPr>
        <w:rPr>
          <w:lang w:val="en-US"/>
        </w:rPr>
      </w:pPr>
      <w:r>
        <w:rPr>
          <w:b/>
          <w:bCs/>
          <w:lang w:val="en-US"/>
        </w:rPr>
        <w:t>Market alignment:</w:t>
      </w:r>
      <w:r>
        <w:rPr>
          <w:lang w:val="en-US"/>
        </w:rPr>
        <w:t xml:space="preserve"> </w:t>
      </w:r>
      <w:r>
        <w:rPr>
          <w:lang w:val="en-US"/>
        </w:rPr>
        <w:t>They share the same value propositions with the demand trends in developing economies.</w:t>
      </w:r>
    </w:p>
    <w:p>
      <w:pPr>
        <w:pStyle w:val="style0"/>
        <w:numPr>
          <w:ilvl w:val="0"/>
          <w:numId w:val="2"/>
        </w:numPr>
        <w:rPr>
          <w:lang w:val="en-US"/>
        </w:rPr>
      </w:pPr>
      <w:r>
        <w:rPr>
          <w:b/>
          <w:bCs/>
          <w:lang w:val="en-US"/>
        </w:rPr>
        <w:t>Rapid scaling:</w:t>
      </w:r>
      <w:r>
        <w:rPr>
          <w:lang w:val="en-US"/>
        </w:rPr>
        <w:t xml:space="preserve"> </w:t>
      </w:r>
      <w:r>
        <w:rPr>
          <w:lang w:val="en-US"/>
        </w:rPr>
        <w:t>Large volumes of sales cover low margins and contribute to extensive geographic expansion.</w:t>
      </w:r>
    </w:p>
    <w:p>
      <w:pPr>
        <w:pStyle w:val="style0"/>
        <w:rPr>
          <w:lang w:val="en-US"/>
        </w:rPr>
      </w:pPr>
      <w:r>
        <w:rPr>
          <w:lang w:val="en-US"/>
        </w:rPr>
        <w:t>However, there is also an insurmountable difficulty of followers (Liu et al., 2017):</w:t>
      </w:r>
    </w:p>
    <w:p>
      <w:pPr>
        <w:pStyle w:val="style0"/>
        <w:numPr>
          <w:ilvl w:val="0"/>
          <w:numId w:val="3"/>
        </w:numPr>
        <w:rPr>
          <w:lang w:val="en-US"/>
        </w:rPr>
      </w:pPr>
      <w:r>
        <w:rPr>
          <w:b/>
          <w:bCs/>
          <w:lang w:val="en-US"/>
        </w:rPr>
        <w:t>Dependence on external innovation:</w:t>
      </w:r>
      <w:r>
        <w:rPr>
          <w:lang w:val="en-US"/>
        </w:rPr>
        <w:t xml:space="preserve"> </w:t>
      </w:r>
      <w:r>
        <w:rPr>
          <w:lang w:val="en-US"/>
        </w:rPr>
        <w:t>This lack of control over the industry standards limits long-term impact.</w:t>
      </w:r>
    </w:p>
    <w:p>
      <w:pPr>
        <w:pStyle w:val="style0"/>
        <w:numPr>
          <w:ilvl w:val="0"/>
          <w:numId w:val="3"/>
        </w:numPr>
        <w:rPr>
          <w:lang w:val="en-US"/>
        </w:rPr>
      </w:pPr>
      <w:r>
        <w:rPr>
          <w:b/>
          <w:bCs/>
          <w:lang w:val="en-US"/>
        </w:rPr>
        <w:t>Margin fragility:</w:t>
      </w:r>
      <w:r>
        <w:rPr>
          <w:lang w:val="en-US"/>
        </w:rPr>
        <w:t xml:space="preserve"> </w:t>
      </w:r>
      <w:r>
        <w:rPr>
          <w:lang w:val="en-US"/>
        </w:rPr>
        <w:t>Low profit margins restrain R&amp;D and international marketing investments.</w:t>
      </w:r>
    </w:p>
    <w:p>
      <w:pPr>
        <w:pStyle w:val="style0"/>
        <w:numPr>
          <w:ilvl w:val="0"/>
          <w:numId w:val="3"/>
        </w:numPr>
        <w:rPr>
          <w:b/>
          <w:bCs/>
          <w:lang w:val="en-US"/>
        </w:rPr>
      </w:pPr>
      <w:r>
        <w:rPr>
          <w:b/>
          <w:bCs/>
          <w:lang w:val="en-US"/>
        </w:rPr>
        <w:t>Brand perception barriers:</w:t>
      </w:r>
      <w:r>
        <w:rPr>
          <w:lang w:val="en-US"/>
        </w:rPr>
        <w:t xml:space="preserve"> </w:t>
      </w:r>
      <w:r>
        <w:rPr>
          <w:lang w:val="en-US"/>
        </w:rPr>
        <w:t>Constant identification with the offerings of a budget limits transition to high-end offerings.</w:t>
      </w:r>
    </w:p>
    <w:p>
      <w:pPr>
        <w:pStyle w:val="style0"/>
        <w:rPr>
          <w:b/>
          <w:bCs/>
          <w:lang w:val="en-US"/>
        </w:rPr>
      </w:pPr>
    </w:p>
    <w:p>
      <w:pPr>
        <w:pStyle w:val="style0"/>
        <w:rPr>
          <w:b/>
          <w:bCs/>
          <w:lang w:val="en-US"/>
        </w:rPr>
      </w:pPr>
    </w:p>
    <w:p>
      <w:pPr>
        <w:pStyle w:val="style0"/>
        <w:rPr>
          <w:lang w:val="en-US"/>
        </w:rPr>
      </w:pPr>
      <w:r>
        <w:rPr>
          <w:b/>
          <w:bCs/>
          <w:lang w:val="en-US"/>
        </w:rPr>
        <w:t>Table 03: Followers’ Competitive Advantage Matrix (Xiaomi, Oppo, Vivo)</w:t>
      </w:r>
    </w:p>
    <w:tbl>
      <w:tblPr>
        <w:tblStyle w:val="style4100"/>
        <w:tblW w:w="0" w:type="auto"/>
        <w:tblLook w:val="04A0" w:firstRow="1" w:lastRow="0" w:firstColumn="1" w:lastColumn="0" w:noHBand="0" w:noVBand="1"/>
      </w:tblPr>
      <w:tblGrid>
        <w:gridCol w:w="1570"/>
        <w:gridCol w:w="2661"/>
        <w:gridCol w:w="2429"/>
        <w:gridCol w:w="2698"/>
      </w:tblGrid>
      <w:tr>
        <w:trPr/>
        <w:tc>
          <w:tcPr>
            <w:tcW w:w="0" w:type="auto"/>
            <w:tcBorders/>
            <w:hideMark/>
          </w:tcPr>
          <w:p>
            <w:pPr>
              <w:pStyle w:val="style0"/>
              <w:rPr>
                <w:lang w:val="en-US"/>
              </w:rPr>
            </w:pPr>
            <w:r>
              <w:rPr>
                <w:lang w:val="en-US"/>
              </w:rPr>
              <w:t>Strategic Factor</w:t>
            </w:r>
          </w:p>
        </w:tc>
        <w:tc>
          <w:tcPr>
            <w:tcW w:w="0" w:type="auto"/>
            <w:tcBorders/>
            <w:hideMark/>
          </w:tcPr>
          <w:p>
            <w:pPr>
              <w:pStyle w:val="style0"/>
              <w:rPr>
                <w:lang w:val="en-US"/>
              </w:rPr>
            </w:pPr>
            <w:r>
              <w:rPr>
                <w:lang w:val="en-US"/>
              </w:rPr>
              <w:t>Xiaomi</w:t>
            </w:r>
          </w:p>
        </w:tc>
        <w:tc>
          <w:tcPr>
            <w:tcW w:w="0" w:type="auto"/>
            <w:tcBorders/>
            <w:hideMark/>
          </w:tcPr>
          <w:p>
            <w:pPr>
              <w:pStyle w:val="style0"/>
              <w:rPr>
                <w:lang w:val="en-US"/>
              </w:rPr>
            </w:pPr>
            <w:r>
              <w:rPr>
                <w:lang w:val="en-US"/>
              </w:rPr>
              <w:t>Oppo</w:t>
            </w:r>
          </w:p>
        </w:tc>
        <w:tc>
          <w:tcPr>
            <w:tcW w:w="0" w:type="auto"/>
            <w:tcBorders/>
            <w:hideMark/>
          </w:tcPr>
          <w:p>
            <w:pPr>
              <w:pStyle w:val="style0"/>
              <w:rPr>
                <w:lang w:val="en-US"/>
              </w:rPr>
            </w:pPr>
            <w:r>
              <w:rPr>
                <w:lang w:val="en-US"/>
              </w:rPr>
              <w:t>Vivo</w:t>
            </w:r>
          </w:p>
        </w:tc>
      </w:tr>
      <w:tr>
        <w:tblPrEx/>
        <w:trPr/>
        <w:tc>
          <w:tcPr>
            <w:tcW w:w="0" w:type="auto"/>
            <w:tcBorders/>
            <w:hideMark/>
          </w:tcPr>
          <w:p>
            <w:pPr>
              <w:pStyle w:val="style0"/>
              <w:rPr>
                <w:lang w:val="en-US"/>
              </w:rPr>
            </w:pPr>
            <w:r>
              <w:rPr>
                <w:lang w:val="en-US"/>
              </w:rPr>
              <w:t>Cost Efficiency</w:t>
            </w:r>
          </w:p>
        </w:tc>
        <w:tc>
          <w:tcPr>
            <w:tcW w:w="0" w:type="auto"/>
            <w:tcBorders/>
            <w:hideMark/>
          </w:tcPr>
          <w:p>
            <w:pPr>
              <w:pStyle w:val="style0"/>
              <w:rPr>
                <w:lang w:val="en-US"/>
              </w:rPr>
            </w:pPr>
            <w:r>
              <w:rPr>
                <w:lang w:val="en-US"/>
              </w:rPr>
              <w:t>Strong due to lean supply chain and partnership with Foxconn/Chinese OEMs; aggressive pricing.</w:t>
            </w:r>
          </w:p>
        </w:tc>
        <w:tc>
          <w:tcPr>
            <w:tcW w:w="0" w:type="auto"/>
            <w:tcBorders/>
            <w:hideMark/>
          </w:tcPr>
          <w:p>
            <w:pPr>
              <w:pStyle w:val="style0"/>
              <w:rPr>
                <w:lang w:val="en-US"/>
              </w:rPr>
            </w:pPr>
            <w:r>
              <w:rPr>
                <w:lang w:val="en-US"/>
              </w:rPr>
              <w:t>Competitive but slightly higher manufacturing cost than Xiaomi.</w:t>
            </w:r>
          </w:p>
        </w:tc>
        <w:tc>
          <w:tcPr>
            <w:tcW w:w="0" w:type="auto"/>
            <w:tcBorders/>
            <w:hideMark/>
          </w:tcPr>
          <w:p>
            <w:pPr>
              <w:pStyle w:val="style0"/>
              <w:rPr>
                <w:lang w:val="en-US"/>
              </w:rPr>
            </w:pPr>
            <w:r>
              <w:rPr>
                <w:lang w:val="en-US"/>
              </w:rPr>
              <w:t>Strong presence in offline retail lowers efficiency but increases reach.</w:t>
            </w:r>
          </w:p>
        </w:tc>
      </w:tr>
      <w:tr>
        <w:tblPrEx/>
        <w:trPr/>
        <w:tc>
          <w:tcPr>
            <w:tcW w:w="0" w:type="auto"/>
            <w:tcBorders/>
            <w:hideMark/>
          </w:tcPr>
          <w:p>
            <w:pPr>
              <w:pStyle w:val="style0"/>
              <w:rPr>
                <w:lang w:val="en-US"/>
              </w:rPr>
            </w:pPr>
            <w:r>
              <w:rPr>
                <w:lang w:val="en-US"/>
              </w:rPr>
              <w:t>Speed to Market</w:t>
            </w:r>
          </w:p>
        </w:tc>
        <w:tc>
          <w:tcPr>
            <w:tcW w:w="0" w:type="auto"/>
            <w:tcBorders/>
            <w:hideMark/>
          </w:tcPr>
          <w:p>
            <w:pPr>
              <w:pStyle w:val="style0"/>
              <w:rPr>
                <w:lang w:val="en-US"/>
              </w:rPr>
            </w:pPr>
            <w:r>
              <w:rPr>
                <w:lang w:val="en-US"/>
              </w:rPr>
              <w:t>Very fast (frequent model releases, incremental upgrades).</w:t>
            </w:r>
          </w:p>
        </w:tc>
        <w:tc>
          <w:tcPr>
            <w:tcW w:w="0" w:type="auto"/>
            <w:tcBorders/>
            <w:hideMark/>
          </w:tcPr>
          <w:p>
            <w:pPr>
              <w:pStyle w:val="style0"/>
              <w:rPr>
                <w:lang w:val="en-US"/>
              </w:rPr>
            </w:pPr>
            <w:r>
              <w:rPr>
                <w:lang w:val="en-US"/>
              </w:rPr>
              <w:t>Fast with emphasis on design differentiation.</w:t>
            </w:r>
          </w:p>
        </w:tc>
        <w:tc>
          <w:tcPr>
            <w:tcW w:w="0" w:type="auto"/>
            <w:tcBorders/>
            <w:hideMark/>
          </w:tcPr>
          <w:p>
            <w:pPr>
              <w:pStyle w:val="style0"/>
              <w:rPr>
                <w:lang w:val="en-US"/>
              </w:rPr>
            </w:pPr>
            <w:r>
              <w:rPr>
                <w:lang w:val="en-US"/>
              </w:rPr>
              <w:t>Moderate—focuses on stable release cycles.</w:t>
            </w:r>
          </w:p>
        </w:tc>
      </w:tr>
      <w:tr>
        <w:tblPrEx/>
        <w:trPr/>
        <w:tc>
          <w:tcPr>
            <w:tcW w:w="0" w:type="auto"/>
            <w:tcBorders/>
            <w:hideMark/>
          </w:tcPr>
          <w:p>
            <w:pPr>
              <w:pStyle w:val="style0"/>
              <w:rPr>
                <w:lang w:val="en-US"/>
              </w:rPr>
            </w:pPr>
            <w:r>
              <w:rPr>
                <w:lang w:val="en-US"/>
              </w:rPr>
              <w:t>Feature Imitation Capability</w:t>
            </w:r>
          </w:p>
        </w:tc>
        <w:tc>
          <w:tcPr>
            <w:tcW w:w="0" w:type="auto"/>
            <w:tcBorders/>
            <w:hideMark/>
          </w:tcPr>
          <w:p>
            <w:pPr>
              <w:pStyle w:val="style0"/>
              <w:rPr>
                <w:lang w:val="en-US"/>
              </w:rPr>
            </w:pPr>
            <w:r>
              <w:rPr>
                <w:lang w:val="en-US"/>
              </w:rPr>
              <w:t>High—rapid adoption of flagship features (camera sensors, charging).</w:t>
            </w:r>
          </w:p>
        </w:tc>
        <w:tc>
          <w:tcPr>
            <w:tcW w:w="0" w:type="auto"/>
            <w:tcBorders/>
            <w:hideMark/>
          </w:tcPr>
          <w:p>
            <w:pPr>
              <w:pStyle w:val="style0"/>
              <w:rPr>
                <w:lang w:val="en-US"/>
              </w:rPr>
            </w:pPr>
            <w:r>
              <w:rPr>
                <w:lang w:val="en-US"/>
              </w:rPr>
              <w:t>High—leverages BBK ecosystem innovations.</w:t>
            </w:r>
          </w:p>
        </w:tc>
        <w:tc>
          <w:tcPr>
            <w:tcW w:w="0" w:type="auto"/>
            <w:tcBorders/>
            <w:hideMark/>
          </w:tcPr>
          <w:p>
            <w:pPr>
              <w:pStyle w:val="style0"/>
              <w:rPr>
                <w:lang w:val="en-US"/>
              </w:rPr>
            </w:pPr>
            <w:r>
              <w:rPr>
                <w:lang w:val="en-US"/>
              </w:rPr>
              <w:t>Medium—</w:t>
            </w:r>
            <w:r>
              <w:rPr>
                <w:lang w:val="en-US"/>
              </w:rPr>
              <w:t>prioritises</w:t>
            </w:r>
            <w:r>
              <w:rPr>
                <w:lang w:val="en-US"/>
              </w:rPr>
              <w:t xml:space="preserve"> user experience over raw specs.</w:t>
            </w:r>
          </w:p>
        </w:tc>
      </w:tr>
      <w:tr>
        <w:tblPrEx/>
        <w:trPr/>
        <w:tc>
          <w:tcPr>
            <w:tcW w:w="0" w:type="auto"/>
            <w:tcBorders/>
            <w:hideMark/>
          </w:tcPr>
          <w:p>
            <w:pPr>
              <w:pStyle w:val="style0"/>
              <w:rPr>
                <w:lang w:val="en-US"/>
              </w:rPr>
            </w:pPr>
            <w:r>
              <w:rPr>
                <w:lang w:val="en-US"/>
              </w:rPr>
              <w:t>Market Penetration Strength</w:t>
            </w:r>
          </w:p>
        </w:tc>
        <w:tc>
          <w:tcPr>
            <w:tcW w:w="0" w:type="auto"/>
            <w:tcBorders/>
            <w:hideMark/>
          </w:tcPr>
          <w:p>
            <w:pPr>
              <w:pStyle w:val="style0"/>
              <w:rPr>
                <w:lang w:val="en-US"/>
              </w:rPr>
            </w:pPr>
            <w:r>
              <w:rPr>
                <w:lang w:val="en-US"/>
              </w:rPr>
              <w:t>Strong presence in India, SEA, LATAM.</w:t>
            </w:r>
          </w:p>
        </w:tc>
        <w:tc>
          <w:tcPr>
            <w:tcW w:w="0" w:type="auto"/>
            <w:tcBorders/>
            <w:hideMark/>
          </w:tcPr>
          <w:p>
            <w:pPr>
              <w:pStyle w:val="style0"/>
              <w:rPr>
                <w:lang w:val="en-US"/>
              </w:rPr>
            </w:pPr>
            <w:r>
              <w:rPr>
                <w:lang w:val="en-US"/>
              </w:rPr>
              <w:t>Strong focus on premium-mid markets in Asia.</w:t>
            </w:r>
          </w:p>
        </w:tc>
        <w:tc>
          <w:tcPr>
            <w:tcW w:w="0" w:type="auto"/>
            <w:tcBorders/>
            <w:hideMark/>
          </w:tcPr>
          <w:p>
            <w:pPr>
              <w:pStyle w:val="style0"/>
              <w:rPr>
                <w:lang w:val="en-US"/>
              </w:rPr>
            </w:pPr>
            <w:r>
              <w:rPr>
                <w:lang w:val="en-US"/>
              </w:rPr>
              <w:t>Strong offline network in South Asia and China.</w:t>
            </w:r>
          </w:p>
        </w:tc>
      </w:tr>
      <w:tr>
        <w:tblPrEx/>
        <w:trPr/>
        <w:tc>
          <w:tcPr>
            <w:tcW w:w="0" w:type="auto"/>
            <w:tcBorders/>
            <w:hideMark/>
          </w:tcPr>
          <w:p>
            <w:pPr>
              <w:pStyle w:val="style0"/>
              <w:rPr>
                <w:lang w:val="en-US"/>
              </w:rPr>
            </w:pPr>
            <w:r>
              <w:rPr>
                <w:lang w:val="en-US"/>
              </w:rPr>
              <w:t>Key Strategic Risks</w:t>
            </w:r>
          </w:p>
        </w:tc>
        <w:tc>
          <w:tcPr>
            <w:tcW w:w="0" w:type="auto"/>
            <w:tcBorders/>
            <w:hideMark/>
          </w:tcPr>
          <w:p>
            <w:pPr>
              <w:pStyle w:val="style0"/>
              <w:rPr>
                <w:lang w:val="en-US"/>
              </w:rPr>
            </w:pPr>
            <w:r>
              <w:rPr>
                <w:lang w:val="en-US"/>
              </w:rPr>
              <w:t>Thin margins, high competition, brand dilution risk.</w:t>
            </w:r>
          </w:p>
        </w:tc>
        <w:tc>
          <w:tcPr>
            <w:tcW w:w="0" w:type="auto"/>
            <w:tcBorders/>
            <w:hideMark/>
          </w:tcPr>
          <w:p>
            <w:pPr>
              <w:pStyle w:val="style0"/>
              <w:rPr>
                <w:lang w:val="en-US"/>
              </w:rPr>
            </w:pPr>
            <w:r>
              <w:rPr>
                <w:lang w:val="en-US"/>
              </w:rPr>
              <w:t>Brand identity overlap with OnePlus/</w:t>
            </w:r>
            <w:r>
              <w:rPr>
                <w:lang w:val="en-US"/>
              </w:rPr>
              <w:t>Realme</w:t>
            </w:r>
            <w:r>
              <w:rPr>
                <w:lang w:val="en-US"/>
              </w:rPr>
              <w:t>; innovation dependence.</w:t>
            </w:r>
          </w:p>
        </w:tc>
        <w:tc>
          <w:tcPr>
            <w:tcW w:w="0" w:type="auto"/>
            <w:tcBorders/>
            <w:hideMark/>
          </w:tcPr>
          <w:p>
            <w:pPr>
              <w:pStyle w:val="style0"/>
              <w:rPr>
                <w:lang w:val="en-US"/>
              </w:rPr>
            </w:pPr>
            <w:r>
              <w:rPr>
                <w:lang w:val="en-US"/>
              </w:rPr>
              <w:t>Limited premium presence; weaker global positioning.</w:t>
            </w:r>
          </w:p>
        </w:tc>
      </w:tr>
    </w:tbl>
    <w:p>
      <w:pPr>
        <w:pStyle w:val="style0"/>
        <w:rPr>
          <w:lang w:val="en-US"/>
        </w:rPr>
      </w:pPr>
    </w:p>
    <w:bookmarkStart w:id="18" w:name="_Toc214568549"/>
    <w:p>
      <w:pPr>
        <w:pStyle w:val="style3"/>
        <w:rPr>
          <w:lang w:val="en-US"/>
        </w:rPr>
      </w:pPr>
      <w:r>
        <w:rPr>
          <w:lang w:val="en-US"/>
        </w:rPr>
        <w:t xml:space="preserve">3.2.4. </w:t>
      </w:r>
      <w:r>
        <w:rPr>
          <w:lang w:val="en-US"/>
        </w:rPr>
        <w:t>Critical Comparison: Pioneers vs Followers Under Macro Forces</w:t>
      </w:r>
      <w:bookmarkEnd w:id="18"/>
    </w:p>
    <w:p>
      <w:pPr>
        <w:pStyle w:val="style0"/>
        <w:rPr>
          <w:lang w:val="en-US"/>
        </w:rPr>
      </w:pPr>
      <w:r>
        <w:rPr>
          <w:lang w:val="en-US"/>
        </w:rPr>
        <w:t>Competitive advantage is restructured by macro-environmental conditions. The technological forces allow the leadership to be strong but at the same time enable the followers with the modular technological access</w:t>
      </w:r>
      <w:r>
        <w:rPr>
          <w:lang w:val="en-US"/>
        </w:rPr>
        <w:t xml:space="preserve"> </w:t>
      </w:r>
      <w:r>
        <w:rPr>
          <w:lang w:val="en-US"/>
        </w:rPr>
        <w:t>(McIntyre &amp; Srinivasan, 2016).</w:t>
      </w:r>
    </w:p>
    <w:p>
      <w:pPr>
        <w:pStyle w:val="style0"/>
        <w:rPr>
          <w:lang w:val="en-US"/>
        </w:rPr>
      </w:pPr>
      <w:r>
        <w:rPr>
          <w:lang w:val="en-US"/>
        </w:rPr>
        <w:t>These forces, together, depict a merger of strategies:</w:t>
      </w:r>
    </w:p>
    <w:p>
      <w:pPr>
        <w:pStyle w:val="style179"/>
        <w:numPr>
          <w:ilvl w:val="0"/>
          <w:numId w:val="5"/>
        </w:numPr>
        <w:rPr>
          <w:lang w:val="en-US"/>
        </w:rPr>
      </w:pPr>
      <w:r>
        <w:rPr>
          <w:lang w:val="en-US"/>
        </w:rPr>
        <w:t>Ecosystems are becoming more and more important to pioneers as opposed to hardware differentiation.</w:t>
      </w:r>
    </w:p>
    <w:p>
      <w:pPr>
        <w:pStyle w:val="style179"/>
        <w:numPr>
          <w:ilvl w:val="0"/>
          <w:numId w:val="5"/>
        </w:numPr>
        <w:rPr>
          <w:lang w:val="en-US"/>
        </w:rPr>
      </w:pPr>
      <w:r>
        <w:rPr>
          <w:lang w:val="en-US"/>
        </w:rPr>
        <w:t>Selective innovation is desired by the followers to raise brand reputation slowly by slowly</w:t>
      </w:r>
      <w:r>
        <w:rPr>
          <w:lang w:val="en-US"/>
        </w:rPr>
        <w:t xml:space="preserve"> (</w:t>
      </w:r>
      <w:r>
        <w:rPr>
          <w:lang w:val="en-US"/>
        </w:rPr>
        <w:t>Hoeft</w:t>
      </w:r>
      <w:r>
        <w:rPr>
          <w:lang w:val="en-US"/>
        </w:rPr>
        <w:t>, 2021).</w:t>
      </w:r>
    </w:p>
    <w:p>
      <w:pPr>
        <w:pStyle w:val="style0"/>
        <w:keepNext/>
        <w:rPr/>
      </w:pPr>
      <w:r>
        <w:rPr>
          <w:noProof/>
          <w:lang w:val="en-US"/>
        </w:rPr>
        <w:drawing>
          <wp:inline distL="0" distT="0" distB="0" distR="0">
            <wp:extent cx="5943600" cy="4667250"/>
            <wp:effectExtent l="0" t="0" r="0" b="0"/>
            <wp:docPr id="1031" name="Picture 6"/>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5" name="Picture 6"/>
                    <pic:cNvPicPr/>
                  </pic:nvPicPr>
                  <pic:blipFill>
                    <a:blip r:embed="rId7" cstate="print"/>
                    <a:srcRect l="0" t="13301" r="0" b="8173"/>
                    <a:stretch/>
                  </pic:blipFill>
                  <pic:spPr>
                    <a:xfrm rot="0">
                      <a:off x="0" y="0"/>
                      <a:ext cx="5943600" cy="4667250"/>
                    </a:xfrm>
                    <a:prstGeom prst="rect"/>
                    <a:ln>
                      <a:noFill/>
                    </a:ln>
                  </pic:spPr>
                </pic:pic>
              </a:graphicData>
            </a:graphic>
          </wp:inline>
        </w:drawing>
      </w:r>
    </w:p>
    <w:p>
      <w:pPr>
        <w:pStyle w:val="style34"/>
        <w:rPr>
          <w:lang w:val="en-US"/>
        </w:rPr>
      </w:pPr>
      <w:r>
        <w:t xml:space="preserve">Figure </w:t>
      </w:r>
      <w:r>
        <w:rPr/>
        <w:fldChar w:fldCharType="begin"/>
      </w:r>
      <w:r>
        <w:instrText xml:space="preserve"> SEQ Figure \* ARABIC </w:instrText>
      </w:r>
      <w:r>
        <w:rPr/>
        <w:fldChar w:fldCharType="separate"/>
      </w:r>
      <w:r>
        <w:rPr>
          <w:noProof/>
        </w:rPr>
        <w:t>5</w:t>
      </w:r>
      <w:r>
        <w:rPr/>
        <w:fldChar w:fldCharType="end"/>
      </w:r>
      <w:r>
        <w:t xml:space="preserve">: </w:t>
      </w:r>
      <w:r>
        <w:t>Strategic Summary Map Linking Technological and Economic Pressures to Competitive Outcomes for Pioneers and Followers.</w:t>
      </w:r>
    </w:p>
    <w:bookmarkStart w:id="19" w:name="_Toc214568550"/>
    <w:p>
      <w:pPr>
        <w:pStyle w:val="style1"/>
        <w:rPr>
          <w:lang w:val="en-US"/>
        </w:rPr>
      </w:pPr>
      <w:r>
        <w:rPr>
          <w:lang w:val="en-US"/>
        </w:rPr>
        <w:t>4. Conclusion</w:t>
      </w:r>
      <w:bookmarkEnd w:id="19"/>
    </w:p>
    <w:p>
      <w:pPr>
        <w:pStyle w:val="style0"/>
        <w:rPr>
          <w:lang w:val="en-US"/>
        </w:rPr>
      </w:pPr>
      <w:r>
        <w:rPr>
          <w:lang w:val="en-US"/>
        </w:rPr>
        <w:t xml:space="preserve">As this report has shown, the external macro-environmental forces are critical in shaping this industry of smart phones and technological development and economic pressures had the greatest and most asymmetric effect in the pioneer and follower firms. The report in Task 1 has indicated the accelerated nature of the changing technologies, especially the Advanced Artificial Intelligence (AI) chipsets, enhanced displays, and semiconductor innovation, which opens the potential to pioneers to gain early product leadership, but also introduces an increasing R&amp;D cost and a declining differentiation duration. On the other hand, the same technological advancements empower the followers by facilitating </w:t>
      </w:r>
      <w:r>
        <w:rPr>
          <w:lang w:val="en-US"/>
        </w:rPr>
        <w:t>modular innovation as well as rapid imitation since they can provide their performance at a much lower cost.</w:t>
      </w:r>
    </w:p>
    <w:p>
      <w:pPr>
        <w:pStyle w:val="style0"/>
        <w:rPr>
          <w:lang w:val="en-US"/>
        </w:rPr>
      </w:pPr>
      <w:r>
        <w:rPr>
          <w:lang w:val="en-US"/>
        </w:rPr>
        <w:t>Task 2 also demonstrated that pioneers and followers have their strategic responses very different. Pioneers have placed a lot of emphasis on differentiation, integration of the ecosystem and innovation based growth strategies that are effective in maintaining the brand equity, but are more fragile in times of economic limitation. The followers retaliate by leading in costs, scaling at rapid rates and penetrating the market aggressively, to take advantage of changing consumer tastes and economic volatility to increase global market share. The two groups adjust on existing strategic approaches but whether each strategy will be sustainable will depend on their ability to be nimble in an environment that has been described as one with increasing speed in the cycles of technology and constant economic insecurity.</w:t>
      </w:r>
      <w:r>
        <w:rPr>
          <w:lang w:val="en-US"/>
        </w:rPr>
        <w:t xml:space="preserve"> </w:t>
      </w:r>
    </w:p>
    <w:bookmarkStart w:id="20" w:name="_Toc214568551"/>
    <w:p>
      <w:pPr>
        <w:pStyle w:val="style1"/>
        <w:rPr/>
      </w:pPr>
      <w:r>
        <w:t>5. References</w:t>
      </w:r>
      <w:bookmarkEnd w:id="20"/>
    </w:p>
    <w:p>
      <w:pPr>
        <w:pStyle w:val="style0"/>
        <w:rPr>
          <w:lang w:val="en-US"/>
        </w:rPr>
      </w:pPr>
      <w:r>
        <w:rPr>
          <w:b/>
          <w:bCs/>
          <w:lang w:val="en-US"/>
        </w:rPr>
        <w:t>Albasoos</w:t>
      </w:r>
      <w:r>
        <w:rPr>
          <w:b/>
          <w:bCs/>
          <w:lang w:val="en-US"/>
        </w:rPr>
        <w:t xml:space="preserve">, H. and </w:t>
      </w:r>
      <w:r>
        <w:rPr>
          <w:b/>
          <w:bCs/>
          <w:lang w:val="en-US"/>
        </w:rPr>
        <w:t>Musallami</w:t>
      </w:r>
      <w:r>
        <w:rPr>
          <w:b/>
          <w:bCs/>
          <w:lang w:val="en-US"/>
        </w:rPr>
        <w:t>, N. (2020)</w:t>
      </w:r>
      <w:r>
        <w:rPr>
          <w:lang w:val="en-US"/>
        </w:rPr>
        <w:t xml:space="preserve"> ‘The conflict between Apple and Samsung over patents and copyrights’, </w:t>
      </w:r>
      <w:r>
        <w:rPr>
          <w:i/>
          <w:iCs/>
          <w:lang w:val="en-US"/>
        </w:rPr>
        <w:t>Bussecon</w:t>
      </w:r>
      <w:r>
        <w:rPr>
          <w:i/>
          <w:iCs/>
          <w:lang w:val="en-US"/>
        </w:rPr>
        <w:t xml:space="preserve"> Review of Social Sciences</w:t>
      </w:r>
      <w:r>
        <w:rPr>
          <w:lang w:val="en-US"/>
        </w:rPr>
        <w:t xml:space="preserve">, 2(3), pp. 1–17. </w:t>
      </w:r>
      <w:r>
        <w:rPr>
          <w:lang w:val="en-US"/>
        </w:rPr>
        <w:t>doi</w:t>
      </w:r>
      <w:r>
        <w:rPr>
          <w:lang w:val="en-US"/>
        </w:rPr>
        <w:t>: 10.36096/brss.v3i3.206.</w:t>
      </w:r>
    </w:p>
    <w:p>
      <w:pPr>
        <w:pStyle w:val="style0"/>
        <w:rPr>
          <w:lang w:val="en-US"/>
        </w:rPr>
      </w:pPr>
      <w:r>
        <w:rPr>
          <w:b/>
          <w:bCs/>
          <w:lang w:val="en-US"/>
        </w:rPr>
        <w:t>Atwood, S. (2019)</w:t>
      </w:r>
      <w:r>
        <w:rPr>
          <w:lang w:val="en-US"/>
        </w:rPr>
        <w:t xml:space="preserve"> ‘2019 was all about innovation’, </w:t>
      </w:r>
      <w:r>
        <w:rPr>
          <w:i/>
          <w:iCs/>
          <w:lang w:val="en-US"/>
        </w:rPr>
        <w:t>Information Display</w:t>
      </w:r>
      <w:r>
        <w:rPr>
          <w:lang w:val="en-US"/>
        </w:rPr>
        <w:t xml:space="preserve">, 35(5), pp. 2–3. </w:t>
      </w:r>
      <w:r>
        <w:rPr>
          <w:lang w:val="en-US"/>
        </w:rPr>
        <w:t>doi</w:t>
      </w:r>
      <w:r>
        <w:rPr>
          <w:lang w:val="en-US"/>
        </w:rPr>
        <w:t>: 10.1002/msid.1055.</w:t>
      </w:r>
    </w:p>
    <w:p>
      <w:pPr>
        <w:pStyle w:val="style0"/>
        <w:rPr>
          <w:lang w:val="en-US"/>
        </w:rPr>
      </w:pPr>
      <w:r>
        <w:rPr>
          <w:b/>
          <w:bCs/>
          <w:lang w:val="en-US"/>
        </w:rPr>
        <w:t>Beldjebel</w:t>
      </w:r>
      <w:r>
        <w:rPr>
          <w:b/>
          <w:bCs/>
          <w:lang w:val="en-US"/>
        </w:rPr>
        <w:t>, M. (2025)</w:t>
      </w:r>
      <w:r>
        <w:rPr>
          <w:lang w:val="en-US"/>
        </w:rPr>
        <w:t xml:space="preserve"> ‘Investment strategies in intellectual capital in the new economy: evidence from the top R&amp;D-intensive tech companies’, </w:t>
      </w:r>
      <w:r>
        <w:rPr>
          <w:i/>
          <w:iCs/>
          <w:lang w:val="en-US"/>
        </w:rPr>
        <w:t>South Florida Journal of Development</w:t>
      </w:r>
      <w:r>
        <w:rPr>
          <w:lang w:val="en-US"/>
        </w:rPr>
        <w:t xml:space="preserve">, 6(8), e5692. </w:t>
      </w:r>
      <w:r>
        <w:rPr>
          <w:lang w:val="en-US"/>
        </w:rPr>
        <w:t>doi</w:t>
      </w:r>
      <w:r>
        <w:rPr>
          <w:lang w:val="en-US"/>
        </w:rPr>
        <w:t>: 10.46932/sfjdv6n8-028.</w:t>
      </w:r>
    </w:p>
    <w:p>
      <w:pPr>
        <w:pStyle w:val="style0"/>
        <w:rPr>
          <w:lang w:val="en-US"/>
        </w:rPr>
      </w:pPr>
      <w:r>
        <w:rPr>
          <w:b/>
          <w:bCs/>
          <w:lang w:val="en-US"/>
        </w:rPr>
        <w:t>Boniface, O. (2023)</w:t>
      </w:r>
      <w:r>
        <w:rPr>
          <w:lang w:val="en-US"/>
        </w:rPr>
        <w:t xml:space="preserve"> ‘Innovation culture as a driver of a firm’s innovation excellence: evidence from Apple and Huawei’, </w:t>
      </w:r>
      <w:r>
        <w:rPr>
          <w:i/>
          <w:iCs/>
          <w:lang w:val="en-US"/>
        </w:rPr>
        <w:t>Future of Business Administration</w:t>
      </w:r>
      <w:r>
        <w:rPr>
          <w:lang w:val="en-US"/>
        </w:rPr>
        <w:t xml:space="preserve">, 2(2), pp. 26–53. </w:t>
      </w:r>
      <w:r>
        <w:rPr>
          <w:lang w:val="en-US"/>
        </w:rPr>
        <w:t>doi</w:t>
      </w:r>
      <w:r>
        <w:rPr>
          <w:lang w:val="en-US"/>
        </w:rPr>
        <w:t>: 10.33422/fba.v2i2.534.</w:t>
      </w:r>
    </w:p>
    <w:p>
      <w:pPr>
        <w:pStyle w:val="style0"/>
        <w:rPr>
          <w:lang w:val="en-US"/>
        </w:rPr>
      </w:pPr>
      <w:r>
        <w:rPr>
          <w:b/>
          <w:bCs/>
          <w:lang w:val="en-US"/>
        </w:rPr>
        <w:t>Bonizzi</w:t>
      </w:r>
      <w:r>
        <w:rPr>
          <w:b/>
          <w:bCs/>
          <w:lang w:val="en-US"/>
        </w:rPr>
        <w:t>, B., Kaltenbrunner, A. and Powell, J. (2022)</w:t>
      </w:r>
      <w:r>
        <w:rPr>
          <w:lang w:val="en-US"/>
        </w:rPr>
        <w:t xml:space="preserve"> ‘</w:t>
      </w:r>
      <w:r>
        <w:rPr>
          <w:lang w:val="en-US"/>
        </w:rPr>
        <w:t>Financialised</w:t>
      </w:r>
      <w:r>
        <w:rPr>
          <w:lang w:val="en-US"/>
        </w:rPr>
        <w:t xml:space="preserve"> capitalism and the subordination of emerging capitalist economies’, </w:t>
      </w:r>
      <w:r>
        <w:rPr>
          <w:i/>
          <w:iCs/>
          <w:lang w:val="en-US"/>
        </w:rPr>
        <w:t>Cambridge Journal of Economics</w:t>
      </w:r>
      <w:r>
        <w:rPr>
          <w:lang w:val="en-US"/>
        </w:rPr>
        <w:t xml:space="preserve">, 46(4), pp. 651–678. </w:t>
      </w:r>
      <w:r>
        <w:rPr>
          <w:lang w:val="en-US"/>
        </w:rPr>
        <w:t>doi</w:t>
      </w:r>
      <w:r>
        <w:rPr>
          <w:lang w:val="en-US"/>
        </w:rPr>
        <w:t>: 10.1093/</w:t>
      </w:r>
      <w:r>
        <w:rPr>
          <w:lang w:val="en-US"/>
        </w:rPr>
        <w:t>cje</w:t>
      </w:r>
      <w:r>
        <w:rPr>
          <w:lang w:val="en-US"/>
        </w:rPr>
        <w:t>/beac023.</w:t>
      </w:r>
    </w:p>
    <w:p>
      <w:pPr>
        <w:pStyle w:val="style0"/>
        <w:rPr>
          <w:lang w:val="en-US"/>
        </w:rPr>
      </w:pPr>
      <w:r>
        <w:rPr>
          <w:b/>
          <w:bCs/>
          <w:lang w:val="en-US"/>
        </w:rPr>
        <w:t>Calzada</w:t>
      </w:r>
      <w:r>
        <w:rPr>
          <w:b/>
          <w:bCs/>
          <w:lang w:val="en-US"/>
        </w:rPr>
        <w:t>, J. and Martínez-Santos, F. (2016)</w:t>
      </w:r>
      <w:r>
        <w:rPr>
          <w:lang w:val="en-US"/>
        </w:rPr>
        <w:t xml:space="preserve"> ‘Pricing strategies and competition in the mobile broadband market’, </w:t>
      </w:r>
      <w:r>
        <w:rPr>
          <w:i/>
          <w:iCs/>
          <w:lang w:val="en-US"/>
        </w:rPr>
        <w:t>Journal of Regulatory Economics</w:t>
      </w:r>
      <w:r>
        <w:rPr>
          <w:lang w:val="en-US"/>
        </w:rPr>
        <w:t xml:space="preserve">, 50(1), pp. 70–98. </w:t>
      </w:r>
      <w:r>
        <w:rPr>
          <w:lang w:val="en-US"/>
        </w:rPr>
        <w:t>doi</w:t>
      </w:r>
      <w:r>
        <w:rPr>
          <w:lang w:val="en-US"/>
        </w:rPr>
        <w:t>: 10.1007/s11149-016-9307-5.</w:t>
      </w:r>
    </w:p>
    <w:p>
      <w:pPr>
        <w:pStyle w:val="style0"/>
        <w:rPr>
          <w:lang w:val="en-US"/>
        </w:rPr>
      </w:pPr>
      <w:r>
        <w:rPr>
          <w:b/>
          <w:bCs/>
          <w:lang w:val="en-US"/>
        </w:rPr>
        <w:t xml:space="preserve">Capone, G., Li, D. and </w:t>
      </w:r>
      <w:r>
        <w:rPr>
          <w:b/>
          <w:bCs/>
          <w:lang w:val="en-US"/>
        </w:rPr>
        <w:t>Malerba</w:t>
      </w:r>
      <w:r>
        <w:rPr>
          <w:b/>
          <w:bCs/>
          <w:lang w:val="en-US"/>
        </w:rPr>
        <w:t>, F. (2021)</w:t>
      </w:r>
      <w:r>
        <w:rPr>
          <w:lang w:val="en-US"/>
        </w:rPr>
        <w:t xml:space="preserve"> ‘Catch-up and the entry strategies of latecomers: Chinese firms in the mobile phone sector’, </w:t>
      </w:r>
      <w:r>
        <w:rPr>
          <w:i/>
          <w:iCs/>
          <w:lang w:val="en-US"/>
        </w:rPr>
        <w:t>Industrial and Corporate Change</w:t>
      </w:r>
      <w:r>
        <w:rPr>
          <w:lang w:val="en-US"/>
        </w:rPr>
        <w:t xml:space="preserve">, 30(1), pp. 189–213. </w:t>
      </w:r>
      <w:r>
        <w:rPr>
          <w:lang w:val="en-US"/>
        </w:rPr>
        <w:t>doi</w:t>
      </w:r>
      <w:r>
        <w:rPr>
          <w:lang w:val="en-US"/>
        </w:rPr>
        <w:t>: 10.1093/</w:t>
      </w:r>
      <w:r>
        <w:rPr>
          <w:lang w:val="en-US"/>
        </w:rPr>
        <w:t>icc</w:t>
      </w:r>
      <w:r>
        <w:rPr>
          <w:lang w:val="en-US"/>
        </w:rPr>
        <w:t>/dtaa061.</w:t>
      </w:r>
    </w:p>
    <w:p>
      <w:pPr>
        <w:pStyle w:val="style0"/>
        <w:rPr>
          <w:lang w:val="en-US"/>
        </w:rPr>
      </w:pPr>
      <w:r>
        <w:rPr>
          <w:b/>
          <w:bCs/>
          <w:lang w:val="en-US"/>
        </w:rPr>
        <w:t xml:space="preserve">Coad, A., </w:t>
      </w:r>
      <w:r>
        <w:rPr>
          <w:b/>
          <w:bCs/>
          <w:lang w:val="en-US"/>
        </w:rPr>
        <w:t>Daunfeldt</w:t>
      </w:r>
      <w:r>
        <w:rPr>
          <w:b/>
          <w:bCs/>
          <w:lang w:val="en-US"/>
        </w:rPr>
        <w:t xml:space="preserve">, S. and </w:t>
      </w:r>
      <w:r>
        <w:rPr>
          <w:b/>
          <w:bCs/>
          <w:lang w:val="en-US"/>
        </w:rPr>
        <w:t>Halvarsson</w:t>
      </w:r>
      <w:r>
        <w:rPr>
          <w:b/>
          <w:bCs/>
          <w:lang w:val="en-US"/>
        </w:rPr>
        <w:t>, D. (2021)</w:t>
      </w:r>
      <w:r>
        <w:rPr>
          <w:lang w:val="en-US"/>
        </w:rPr>
        <w:t xml:space="preserve"> ‘Amundsen versus Scott: Are growth paths related to firm performance?’, </w:t>
      </w:r>
      <w:r>
        <w:rPr>
          <w:i/>
          <w:iCs/>
          <w:lang w:val="en-US"/>
        </w:rPr>
        <w:t>Small Business Economics</w:t>
      </w:r>
      <w:r>
        <w:rPr>
          <w:lang w:val="en-US"/>
        </w:rPr>
        <w:t xml:space="preserve">, 59(2), pp. 593–610. </w:t>
      </w:r>
      <w:r>
        <w:rPr>
          <w:lang w:val="en-US"/>
        </w:rPr>
        <w:t>doi</w:t>
      </w:r>
      <w:r>
        <w:rPr>
          <w:lang w:val="en-US"/>
        </w:rPr>
        <w:t>: 10.1007/s11187-021-00552-y.</w:t>
      </w:r>
    </w:p>
    <w:p>
      <w:pPr>
        <w:pStyle w:val="style0"/>
        <w:rPr>
          <w:lang w:val="en-US"/>
        </w:rPr>
      </w:pPr>
      <w:r>
        <w:rPr>
          <w:b/>
          <w:bCs/>
          <w:lang w:val="en-US"/>
        </w:rPr>
        <w:t>Cui, J., Gan, Z. and Ning, Z. (2023)</w:t>
      </w:r>
      <w:r>
        <w:rPr>
          <w:lang w:val="en-US"/>
        </w:rPr>
        <w:t xml:space="preserve"> ‘Impact of management philosophy and organization on China technical Xiaomi company’, </w:t>
      </w:r>
      <w:r>
        <w:rPr>
          <w:i/>
          <w:iCs/>
          <w:lang w:val="en-US"/>
        </w:rPr>
        <w:t>Academic Journal of Management and Social Sciences</w:t>
      </w:r>
      <w:r>
        <w:rPr>
          <w:lang w:val="en-US"/>
        </w:rPr>
        <w:t xml:space="preserve">, 5(2), pp. 45–49. </w:t>
      </w:r>
      <w:r>
        <w:rPr>
          <w:lang w:val="en-US"/>
        </w:rPr>
        <w:t>doi</w:t>
      </w:r>
      <w:r>
        <w:rPr>
          <w:lang w:val="en-US"/>
        </w:rPr>
        <w:t>: 10.54097/ajmss.v5i2.11.</w:t>
      </w:r>
    </w:p>
    <w:p>
      <w:pPr>
        <w:pStyle w:val="style0"/>
        <w:rPr>
          <w:lang w:val="en-US"/>
        </w:rPr>
      </w:pPr>
      <w:r>
        <w:rPr>
          <w:b/>
          <w:bCs/>
          <w:lang w:val="en-US"/>
        </w:rPr>
        <w:t>Ervits</w:t>
      </w:r>
      <w:r>
        <w:rPr>
          <w:b/>
          <w:bCs/>
          <w:lang w:val="en-US"/>
        </w:rPr>
        <w:t>, I. (2023)</w:t>
      </w:r>
      <w:r>
        <w:rPr>
          <w:lang w:val="en-US"/>
        </w:rPr>
        <w:t xml:space="preserve"> ‘The effect of co-patenting as a form of knowledge meta-integration on technological differentiation at Siemens’, </w:t>
      </w:r>
      <w:r>
        <w:rPr>
          <w:i/>
          <w:iCs/>
          <w:lang w:val="en-US"/>
        </w:rPr>
        <w:t>European Journal of Innovation Management</w:t>
      </w:r>
      <w:r>
        <w:rPr>
          <w:lang w:val="en-US"/>
        </w:rPr>
        <w:t xml:space="preserve">, 27(8), pp. 2575–2596. </w:t>
      </w:r>
      <w:r>
        <w:rPr>
          <w:lang w:val="en-US"/>
        </w:rPr>
        <w:t>doi</w:t>
      </w:r>
      <w:r>
        <w:rPr>
          <w:lang w:val="en-US"/>
        </w:rPr>
        <w:t>: 10.1108/ejim-11-2022-0605.</w:t>
      </w:r>
    </w:p>
    <w:p>
      <w:pPr>
        <w:pStyle w:val="style0"/>
        <w:rPr>
          <w:lang w:val="en-US"/>
        </w:rPr>
      </w:pPr>
      <w:r>
        <w:rPr>
          <w:b/>
          <w:bCs/>
          <w:lang w:val="en-US"/>
        </w:rPr>
        <w:t>Fauzi</w:t>
      </w:r>
      <w:r>
        <w:rPr>
          <w:b/>
          <w:bCs/>
          <w:lang w:val="en-US"/>
        </w:rPr>
        <w:t>, D. and Ali, H. (2021)</w:t>
      </w:r>
      <w:r>
        <w:rPr>
          <w:lang w:val="en-US"/>
        </w:rPr>
        <w:t xml:space="preserve"> ‘Determination of purchase and repurchase decisions: product quality and price analysis (case study on Samsung smartphone consumers in the city of Jakarta)’, </w:t>
      </w:r>
      <w:r>
        <w:rPr>
          <w:i/>
          <w:iCs/>
          <w:lang w:val="en-US"/>
        </w:rPr>
        <w:t>Dinasti</w:t>
      </w:r>
      <w:r>
        <w:rPr>
          <w:i/>
          <w:iCs/>
          <w:lang w:val="en-US"/>
        </w:rPr>
        <w:t xml:space="preserve"> International Journal of Digital Business Management</w:t>
      </w:r>
      <w:r>
        <w:rPr>
          <w:lang w:val="en-US"/>
        </w:rPr>
        <w:t xml:space="preserve">, 2(5), pp. 794–810. </w:t>
      </w:r>
      <w:r>
        <w:rPr>
          <w:lang w:val="en-US"/>
        </w:rPr>
        <w:t>doi</w:t>
      </w:r>
      <w:r>
        <w:rPr>
          <w:lang w:val="en-US"/>
        </w:rPr>
        <w:t>: 10.31933/dijdbm.v2i5.965.</w:t>
      </w:r>
    </w:p>
    <w:p>
      <w:pPr>
        <w:pStyle w:val="style0"/>
        <w:rPr>
          <w:lang w:val="en-US"/>
        </w:rPr>
      </w:pPr>
      <w:r>
        <w:rPr>
          <w:b/>
          <w:bCs/>
          <w:lang w:val="en-US"/>
        </w:rPr>
        <w:t>Febrianti</w:t>
      </w:r>
      <w:r>
        <w:rPr>
          <w:b/>
          <w:bCs/>
          <w:lang w:val="en-US"/>
        </w:rPr>
        <w:t>, R. (2024)</w:t>
      </w:r>
      <w:r>
        <w:rPr>
          <w:lang w:val="en-US"/>
        </w:rPr>
        <w:t xml:space="preserve"> ‘The influence of creativity and innovation on competitive advantage and price as a mediating variable’, </w:t>
      </w:r>
      <w:r>
        <w:rPr>
          <w:i/>
          <w:iCs/>
          <w:lang w:val="en-US"/>
        </w:rPr>
        <w:t>Almana</w:t>
      </w:r>
      <w:r>
        <w:rPr>
          <w:i/>
          <w:iCs/>
          <w:lang w:val="en-US"/>
        </w:rPr>
        <w:t xml:space="preserve">: </w:t>
      </w:r>
      <w:r>
        <w:rPr>
          <w:i/>
          <w:iCs/>
          <w:lang w:val="en-US"/>
        </w:rPr>
        <w:t>Jurnal</w:t>
      </w:r>
      <w:r>
        <w:rPr>
          <w:i/>
          <w:iCs/>
          <w:lang w:val="en-US"/>
        </w:rPr>
        <w:t xml:space="preserve"> </w:t>
      </w:r>
      <w:r>
        <w:rPr>
          <w:i/>
          <w:iCs/>
          <w:lang w:val="en-US"/>
        </w:rPr>
        <w:t>Manajemen</w:t>
      </w:r>
      <w:r>
        <w:rPr>
          <w:i/>
          <w:iCs/>
          <w:lang w:val="en-US"/>
        </w:rPr>
        <w:t xml:space="preserve"> dan </w:t>
      </w:r>
      <w:r>
        <w:rPr>
          <w:i/>
          <w:iCs/>
          <w:lang w:val="en-US"/>
        </w:rPr>
        <w:t>Bisnis</w:t>
      </w:r>
      <w:r>
        <w:rPr>
          <w:lang w:val="en-US"/>
        </w:rPr>
        <w:t xml:space="preserve">, 8(1), pp. 127–136. </w:t>
      </w:r>
      <w:r>
        <w:rPr>
          <w:lang w:val="en-US"/>
        </w:rPr>
        <w:t>doi</w:t>
      </w:r>
      <w:r>
        <w:rPr>
          <w:lang w:val="en-US"/>
        </w:rPr>
        <w:t>: 10.36555/almana.v8i1.2468.</w:t>
      </w:r>
    </w:p>
    <w:p>
      <w:pPr>
        <w:pStyle w:val="style0"/>
        <w:rPr>
          <w:lang w:val="en-US"/>
        </w:rPr>
      </w:pPr>
      <w:r>
        <w:rPr>
          <w:b/>
          <w:bCs/>
          <w:lang w:val="en-US"/>
        </w:rPr>
        <w:t xml:space="preserve">Giachetti, C., </w:t>
      </w:r>
      <w:r>
        <w:rPr>
          <w:b/>
          <w:bCs/>
          <w:lang w:val="en-US"/>
        </w:rPr>
        <w:t>Lampel</w:t>
      </w:r>
      <w:r>
        <w:rPr>
          <w:b/>
          <w:bCs/>
          <w:lang w:val="en-US"/>
        </w:rPr>
        <w:t>, J. and Pira, S. (2015)</w:t>
      </w:r>
      <w:r>
        <w:rPr>
          <w:lang w:val="en-US"/>
        </w:rPr>
        <w:t xml:space="preserve"> ‘Red Queen competitive imitation in the UK mobile phone industry’, </w:t>
      </w:r>
      <w:r>
        <w:rPr>
          <w:i/>
          <w:iCs/>
          <w:lang w:val="en-US"/>
        </w:rPr>
        <w:t>Academy of Management Proceedings</w:t>
      </w:r>
      <w:r>
        <w:rPr>
          <w:lang w:val="en-US"/>
        </w:rPr>
        <w:t xml:space="preserve">, 2015(1), p. 16015. </w:t>
      </w:r>
      <w:r>
        <w:rPr>
          <w:lang w:val="en-US"/>
        </w:rPr>
        <w:t>doi</w:t>
      </w:r>
      <w:r>
        <w:rPr>
          <w:lang w:val="en-US"/>
        </w:rPr>
        <w:t>: 10.5465/ambpp.2015.16015abstract.</w:t>
      </w:r>
    </w:p>
    <w:p>
      <w:pPr>
        <w:pStyle w:val="style0"/>
        <w:rPr>
          <w:lang w:val="en-US"/>
        </w:rPr>
      </w:pPr>
      <w:r>
        <w:rPr>
          <w:b/>
          <w:bCs/>
          <w:lang w:val="en-US"/>
        </w:rPr>
        <w:t>Giannini, R. (2022)</w:t>
      </w:r>
      <w:r>
        <w:rPr>
          <w:lang w:val="en-US"/>
        </w:rPr>
        <w:t xml:space="preserve"> ‘The inpatient nursing leadership perspective of using mobile technology at the bedside’, </w:t>
      </w:r>
      <w:r>
        <w:rPr>
          <w:i/>
          <w:iCs/>
          <w:lang w:val="en-US"/>
        </w:rPr>
        <w:t>CIN: Computers, Informatics, Nursing</w:t>
      </w:r>
      <w:r>
        <w:rPr>
          <w:lang w:val="en-US"/>
        </w:rPr>
        <w:t xml:space="preserve">, 40(11), pp. 763–768. </w:t>
      </w:r>
      <w:r>
        <w:rPr>
          <w:lang w:val="en-US"/>
        </w:rPr>
        <w:t>doi</w:t>
      </w:r>
      <w:r>
        <w:rPr>
          <w:lang w:val="en-US"/>
        </w:rPr>
        <w:t>: 10.1097/cin.0000000000000873.</w:t>
      </w:r>
    </w:p>
    <w:p>
      <w:pPr>
        <w:pStyle w:val="style0"/>
        <w:rPr>
          <w:lang w:val="en-US"/>
        </w:rPr>
      </w:pPr>
      <w:r>
        <w:rPr>
          <w:b/>
          <w:bCs/>
          <w:lang w:val="en-US"/>
        </w:rPr>
        <w:t>Guan, Z., Yu, T., Dong, J. and Zhang, J. (2024)</w:t>
      </w:r>
      <w:r>
        <w:rPr>
          <w:lang w:val="en-US"/>
        </w:rPr>
        <w:t xml:space="preserve"> ‘Should brand-owners adopt blockchain to combat deceptive counterfeits when competing with copycats? Impact of consumers’ anticipated regret’, </w:t>
      </w:r>
      <w:r>
        <w:rPr>
          <w:i/>
          <w:iCs/>
          <w:lang w:val="en-US"/>
        </w:rPr>
        <w:t>Managerial and Decision Economics</w:t>
      </w:r>
      <w:r>
        <w:rPr>
          <w:lang w:val="en-US"/>
        </w:rPr>
        <w:t xml:space="preserve">, 45(8), pp. 5846–5866. </w:t>
      </w:r>
      <w:r>
        <w:rPr>
          <w:lang w:val="en-US"/>
        </w:rPr>
        <w:t>doi</w:t>
      </w:r>
      <w:r>
        <w:rPr>
          <w:lang w:val="en-US"/>
        </w:rPr>
        <w:t>: 10.1002/mde.4358.</w:t>
      </w:r>
    </w:p>
    <w:p>
      <w:pPr>
        <w:pStyle w:val="style0"/>
        <w:rPr>
          <w:lang w:val="en-US"/>
        </w:rPr>
      </w:pPr>
      <w:r>
        <w:rPr>
          <w:b/>
          <w:bCs/>
          <w:lang w:val="en-US"/>
        </w:rPr>
        <w:t>Haonan</w:t>
      </w:r>
      <w:r>
        <w:rPr>
          <w:b/>
          <w:bCs/>
          <w:lang w:val="en-US"/>
        </w:rPr>
        <w:t>, X. and Liu, J. (2024)</w:t>
      </w:r>
      <w:r>
        <w:rPr>
          <w:lang w:val="en-US"/>
        </w:rPr>
        <w:t xml:space="preserve"> ‘Research on OEM/ODM supply chain decision-making considering supply risk’, </w:t>
      </w:r>
      <w:r>
        <w:rPr>
          <w:i/>
          <w:iCs/>
          <w:lang w:val="en-US"/>
        </w:rPr>
        <w:t>SIDR</w:t>
      </w:r>
      <w:r>
        <w:rPr>
          <w:lang w:val="en-US"/>
        </w:rPr>
        <w:t xml:space="preserve">, 1(1). </w:t>
      </w:r>
      <w:r>
        <w:rPr>
          <w:lang w:val="en-US"/>
        </w:rPr>
        <w:t>doi</w:t>
      </w:r>
      <w:r>
        <w:rPr>
          <w:lang w:val="en-US"/>
        </w:rPr>
        <w:t>: 10.59782/sidr.v1i1.41.</w:t>
      </w:r>
    </w:p>
    <w:p>
      <w:pPr>
        <w:pStyle w:val="style0"/>
        <w:rPr>
          <w:lang w:val="en-US"/>
        </w:rPr>
      </w:pPr>
      <w:r>
        <w:rPr>
          <w:b/>
          <w:bCs/>
          <w:lang w:val="en-US"/>
        </w:rPr>
        <w:t>Hildayanti</w:t>
      </w:r>
      <w:r>
        <w:rPr>
          <w:b/>
          <w:bCs/>
          <w:lang w:val="en-US"/>
        </w:rPr>
        <w:t xml:space="preserve">, S., Sulastri, T., </w:t>
      </w:r>
      <w:r>
        <w:rPr>
          <w:b/>
          <w:bCs/>
          <w:lang w:val="en-US"/>
        </w:rPr>
        <w:t>Roza</w:t>
      </w:r>
      <w:r>
        <w:rPr>
          <w:b/>
          <w:bCs/>
          <w:lang w:val="en-US"/>
        </w:rPr>
        <w:t xml:space="preserve">, S. and </w:t>
      </w:r>
      <w:r>
        <w:rPr>
          <w:b/>
          <w:bCs/>
          <w:lang w:val="en-US"/>
        </w:rPr>
        <w:t>Defitri</w:t>
      </w:r>
      <w:r>
        <w:rPr>
          <w:b/>
          <w:bCs/>
          <w:lang w:val="en-US"/>
        </w:rPr>
        <w:t>, S. (2025)</w:t>
      </w:r>
      <w:r>
        <w:rPr>
          <w:lang w:val="en-US"/>
        </w:rPr>
        <w:t xml:space="preserve"> ‘The influence of smartphone technology innovation on mobile product sales at Atlantic Cell Stores in Bandung’, </w:t>
      </w:r>
      <w:r>
        <w:rPr>
          <w:i/>
          <w:iCs/>
          <w:lang w:val="en-US"/>
        </w:rPr>
        <w:t>Jurnal</w:t>
      </w:r>
      <w:r>
        <w:rPr>
          <w:i/>
          <w:iCs/>
          <w:lang w:val="en-US"/>
        </w:rPr>
        <w:t xml:space="preserve"> </w:t>
      </w:r>
      <w:r>
        <w:rPr>
          <w:i/>
          <w:iCs/>
          <w:lang w:val="en-US"/>
        </w:rPr>
        <w:t>Aplikasi</w:t>
      </w:r>
      <w:r>
        <w:rPr>
          <w:i/>
          <w:iCs/>
          <w:lang w:val="en-US"/>
        </w:rPr>
        <w:t xml:space="preserve"> </w:t>
      </w:r>
      <w:r>
        <w:rPr>
          <w:i/>
          <w:iCs/>
          <w:lang w:val="en-US"/>
        </w:rPr>
        <w:t>Bisnis</w:t>
      </w:r>
      <w:r>
        <w:rPr>
          <w:i/>
          <w:iCs/>
          <w:lang w:val="en-US"/>
        </w:rPr>
        <w:t xml:space="preserve"> dan </w:t>
      </w:r>
      <w:r>
        <w:rPr>
          <w:i/>
          <w:iCs/>
          <w:lang w:val="en-US"/>
        </w:rPr>
        <w:t>Manajemen</w:t>
      </w:r>
      <w:r>
        <w:rPr>
          <w:lang w:val="en-US"/>
        </w:rPr>
        <w:t xml:space="preserve">, 11(2), p. 687. </w:t>
      </w:r>
      <w:r>
        <w:rPr>
          <w:lang w:val="en-US"/>
        </w:rPr>
        <w:t>doi</w:t>
      </w:r>
      <w:r>
        <w:rPr>
          <w:lang w:val="en-US"/>
        </w:rPr>
        <w:t>: 10.17358/jabm.11.2.687.</w:t>
      </w:r>
    </w:p>
    <w:p>
      <w:pPr>
        <w:pStyle w:val="style0"/>
        <w:rPr>
          <w:lang w:val="en-US"/>
        </w:rPr>
      </w:pPr>
      <w:r>
        <w:rPr>
          <w:b/>
          <w:bCs/>
          <w:lang w:val="en-US"/>
        </w:rPr>
        <w:t>Hoeft</w:t>
      </w:r>
      <w:r>
        <w:rPr>
          <w:b/>
          <w:bCs/>
          <w:lang w:val="en-US"/>
        </w:rPr>
        <w:t>, F. (2021)</w:t>
      </w:r>
      <w:r>
        <w:rPr>
          <w:lang w:val="en-US"/>
        </w:rPr>
        <w:t xml:space="preserve"> ‘Fun to drive? The dynamics of car manufacturers’ differentiation strategies’, </w:t>
      </w:r>
      <w:r>
        <w:rPr>
          <w:i/>
          <w:iCs/>
          <w:lang w:val="en-US"/>
        </w:rPr>
        <w:t>Strategic Change</w:t>
      </w:r>
      <w:r>
        <w:rPr>
          <w:lang w:val="en-US"/>
        </w:rPr>
        <w:t xml:space="preserve">, 30(5), pp. 489–500. </w:t>
      </w:r>
      <w:r>
        <w:rPr>
          <w:lang w:val="en-US"/>
        </w:rPr>
        <w:t>doi</w:t>
      </w:r>
      <w:r>
        <w:rPr>
          <w:lang w:val="en-US"/>
        </w:rPr>
        <w:t>: 10.1002/jsc.2463.</w:t>
      </w:r>
    </w:p>
    <w:p>
      <w:pPr>
        <w:pStyle w:val="style0"/>
        <w:rPr>
          <w:lang w:val="en-US"/>
        </w:rPr>
      </w:pPr>
      <w:r>
        <w:rPr>
          <w:b/>
          <w:bCs/>
          <w:lang w:val="en-US"/>
        </w:rPr>
        <w:t>Hong, J. (2024)</w:t>
      </w:r>
      <w:r>
        <w:rPr>
          <w:lang w:val="en-US"/>
        </w:rPr>
        <w:t xml:space="preserve"> ‘Competitive strategies and market positions of global automotive giants: Toyota, Tesla, and BMW’, </w:t>
      </w:r>
      <w:r>
        <w:rPr>
          <w:i/>
          <w:iCs/>
          <w:lang w:val="en-US"/>
        </w:rPr>
        <w:t>MMSE</w:t>
      </w:r>
      <w:r>
        <w:rPr>
          <w:lang w:val="en-US"/>
        </w:rPr>
        <w:t xml:space="preserve">, 6(2), p. 53. </w:t>
      </w:r>
      <w:r>
        <w:rPr>
          <w:lang w:val="en-US"/>
        </w:rPr>
        <w:t>doi</w:t>
      </w:r>
      <w:r>
        <w:rPr>
          <w:lang w:val="en-US"/>
        </w:rPr>
        <w:t>: 10.22158/mmse.v6n2p53.</w:t>
      </w:r>
    </w:p>
    <w:p>
      <w:pPr>
        <w:pStyle w:val="style0"/>
        <w:rPr>
          <w:lang w:val="en-US"/>
        </w:rPr>
      </w:pPr>
      <w:r>
        <w:rPr>
          <w:b/>
          <w:bCs/>
          <w:lang w:val="en-US"/>
        </w:rPr>
        <w:t>Hou, C., Zhou, P., Wang, Z. and Ma, Y. (2025)</w:t>
      </w:r>
      <w:r>
        <w:rPr>
          <w:lang w:val="en-US"/>
        </w:rPr>
        <w:t xml:space="preserve"> ‘The impact of macro-control of state subsidies on consumer preferences in China’s mobile phone market’, </w:t>
      </w:r>
      <w:r>
        <w:rPr>
          <w:i/>
          <w:iCs/>
          <w:lang w:val="en-US"/>
        </w:rPr>
        <w:t>Advances in Economics, Management and Political Sciences</w:t>
      </w:r>
      <w:r>
        <w:rPr>
          <w:lang w:val="en-US"/>
        </w:rPr>
        <w:t xml:space="preserve">, 192(1), pp. 71–79. </w:t>
      </w:r>
      <w:r>
        <w:rPr>
          <w:lang w:val="en-US"/>
        </w:rPr>
        <w:t>doi</w:t>
      </w:r>
      <w:r>
        <w:rPr>
          <w:lang w:val="en-US"/>
        </w:rPr>
        <w:t>: 10.54254/2754-1169/2025.bl24171.</w:t>
      </w:r>
    </w:p>
    <w:p>
      <w:pPr>
        <w:pStyle w:val="style0"/>
        <w:rPr>
          <w:lang w:val="en-US"/>
        </w:rPr>
      </w:pPr>
      <w:r>
        <w:rPr>
          <w:b/>
          <w:bCs/>
          <w:lang w:val="en-US"/>
        </w:rPr>
        <w:t>Karhu, K., Gustafsson, R. and Lyytinen, K. (2018)</w:t>
      </w:r>
      <w:r>
        <w:rPr>
          <w:lang w:val="en-US"/>
        </w:rPr>
        <w:t xml:space="preserve"> ‘Exploiting and defending open digital platforms with boundary resources: Android’s five platform forks’, </w:t>
      </w:r>
      <w:r>
        <w:rPr>
          <w:i/>
          <w:iCs/>
          <w:lang w:val="en-US"/>
        </w:rPr>
        <w:t>Information Systems Research</w:t>
      </w:r>
      <w:r>
        <w:rPr>
          <w:lang w:val="en-US"/>
        </w:rPr>
        <w:t xml:space="preserve">, 29(2), pp. 479–497. </w:t>
      </w:r>
      <w:r>
        <w:rPr>
          <w:lang w:val="en-US"/>
        </w:rPr>
        <w:t>doi</w:t>
      </w:r>
      <w:r>
        <w:rPr>
          <w:lang w:val="en-US"/>
        </w:rPr>
        <w:t>: 10.1287/isre.2018.0786.</w:t>
      </w:r>
    </w:p>
    <w:p>
      <w:pPr>
        <w:pStyle w:val="style0"/>
        <w:rPr>
          <w:lang w:val="en-US"/>
        </w:rPr>
      </w:pPr>
      <w:r>
        <w:rPr>
          <w:b/>
          <w:bCs/>
          <w:lang w:val="en-US"/>
        </w:rPr>
        <w:t>Kim, D., Kim, S., Lee, G., Yoon, J., Kim, S., Hong, J. … and Jeong, U. (2023)</w:t>
      </w:r>
      <w:r>
        <w:rPr>
          <w:lang w:val="en-US"/>
        </w:rPr>
        <w:t xml:space="preserve"> ‘Fabrication of practical deformable displays: advances and challenges’, </w:t>
      </w:r>
      <w:r>
        <w:rPr>
          <w:i/>
          <w:iCs/>
          <w:lang w:val="en-US"/>
        </w:rPr>
        <w:t>Light: Science &amp; Applications</w:t>
      </w:r>
      <w:r>
        <w:rPr>
          <w:lang w:val="en-US"/>
        </w:rPr>
        <w:t xml:space="preserve">, 12(1). </w:t>
      </w:r>
      <w:r>
        <w:rPr>
          <w:lang w:val="en-US"/>
        </w:rPr>
        <w:t>doi</w:t>
      </w:r>
      <w:r>
        <w:rPr>
          <w:lang w:val="en-US"/>
        </w:rPr>
        <w:t>: 10.1038/s41377-023-01089-3.</w:t>
      </w:r>
    </w:p>
    <w:p>
      <w:pPr>
        <w:pStyle w:val="style0"/>
        <w:rPr>
          <w:lang w:val="en-US"/>
        </w:rPr>
      </w:pPr>
      <w:r>
        <w:rPr>
          <w:b/>
          <w:bCs/>
          <w:lang w:val="en-US"/>
        </w:rPr>
        <w:t>Lee, N., Sameen, H. and Cowling, M. (2015)</w:t>
      </w:r>
      <w:r>
        <w:rPr>
          <w:lang w:val="en-US"/>
        </w:rPr>
        <w:t xml:space="preserve"> ‘Access to finance for innovative SMEs since the financial crisis’, </w:t>
      </w:r>
      <w:r>
        <w:rPr>
          <w:i/>
          <w:iCs/>
          <w:lang w:val="en-US"/>
        </w:rPr>
        <w:t>Research Policy</w:t>
      </w:r>
      <w:r>
        <w:rPr>
          <w:lang w:val="en-US"/>
        </w:rPr>
        <w:t xml:space="preserve">, 44(2), pp. 370–380. </w:t>
      </w:r>
      <w:r>
        <w:rPr>
          <w:lang w:val="en-US"/>
        </w:rPr>
        <w:t>doi</w:t>
      </w:r>
      <w:r>
        <w:rPr>
          <w:lang w:val="en-US"/>
        </w:rPr>
        <w:t>: 10.1016/j.respol.2014.09.008.</w:t>
      </w:r>
    </w:p>
    <w:p>
      <w:pPr>
        <w:pStyle w:val="style0"/>
        <w:rPr>
          <w:lang w:val="en-US"/>
        </w:rPr>
      </w:pPr>
      <w:r>
        <w:rPr>
          <w:b/>
          <w:bCs/>
          <w:lang w:val="en-US"/>
        </w:rPr>
        <w:t xml:space="preserve">Lei, T., Li, S. and </w:t>
      </w:r>
      <w:r>
        <w:rPr>
          <w:b/>
          <w:bCs/>
          <w:lang w:val="en-US"/>
        </w:rPr>
        <w:t>Shirong</w:t>
      </w:r>
      <w:r>
        <w:rPr>
          <w:b/>
          <w:bCs/>
          <w:lang w:val="en-US"/>
        </w:rPr>
        <w:t>, G. (2023)</w:t>
      </w:r>
      <w:r>
        <w:rPr>
          <w:lang w:val="en-US"/>
        </w:rPr>
        <w:t xml:space="preserve"> ‘Measuring smartphone competitiveness: the case of Huawei Mate 40 and Apple iPhone 12’, </w:t>
      </w:r>
      <w:r>
        <w:rPr>
          <w:i/>
          <w:iCs/>
          <w:lang w:val="en-US"/>
        </w:rPr>
        <w:t>Academic Journal of Business &amp; Management</w:t>
      </w:r>
      <w:r>
        <w:rPr>
          <w:lang w:val="en-US"/>
        </w:rPr>
        <w:t xml:space="preserve">, 5(25). </w:t>
      </w:r>
      <w:r>
        <w:rPr>
          <w:lang w:val="en-US"/>
        </w:rPr>
        <w:t>doi</w:t>
      </w:r>
      <w:r>
        <w:rPr>
          <w:lang w:val="en-US"/>
        </w:rPr>
        <w:t>: 10.25236/ajbm.2023.052506.</w:t>
      </w:r>
    </w:p>
    <w:p>
      <w:pPr>
        <w:pStyle w:val="style0"/>
        <w:rPr>
          <w:lang w:val="en-US"/>
        </w:rPr>
      </w:pPr>
      <w:r>
        <w:rPr>
          <w:b/>
          <w:bCs/>
          <w:lang w:val="en-US"/>
        </w:rPr>
        <w:t xml:space="preserve">Li, R. and </w:t>
      </w:r>
      <w:r>
        <w:rPr>
          <w:b/>
          <w:bCs/>
          <w:lang w:val="en-US"/>
        </w:rPr>
        <w:t>Galanza</w:t>
      </w:r>
      <w:r>
        <w:rPr>
          <w:b/>
          <w:bCs/>
          <w:lang w:val="en-US"/>
        </w:rPr>
        <w:t>, J. (2024)</w:t>
      </w:r>
      <w:r>
        <w:rPr>
          <w:lang w:val="en-US"/>
        </w:rPr>
        <w:t xml:space="preserve"> ‘The impact of chip technology innovation on the marketing strategy of consumer electronics products: a case study of smartphones’, </w:t>
      </w:r>
      <w:r>
        <w:rPr>
          <w:i/>
          <w:iCs/>
          <w:lang w:val="en-US"/>
        </w:rPr>
        <w:t>APEMR</w:t>
      </w:r>
      <w:r>
        <w:rPr>
          <w:lang w:val="en-US"/>
        </w:rPr>
        <w:t xml:space="preserve">, 1(6), pp. 28–33. </w:t>
      </w:r>
      <w:r>
        <w:rPr>
          <w:lang w:val="en-US"/>
        </w:rPr>
        <w:t>doi</w:t>
      </w:r>
      <w:r>
        <w:rPr>
          <w:lang w:val="en-US"/>
        </w:rPr>
        <w:t>: 10.62177/apemr.v1i6.96.</w:t>
      </w:r>
    </w:p>
    <w:p>
      <w:pPr>
        <w:pStyle w:val="style0"/>
        <w:rPr>
          <w:lang w:val="en-US"/>
        </w:rPr>
      </w:pPr>
      <w:r>
        <w:rPr>
          <w:b/>
          <w:bCs/>
          <w:lang w:val="en-US"/>
        </w:rPr>
        <w:t>Lim, K., Teo, P. and Yang, L. (2020)</w:t>
      </w:r>
      <w:r>
        <w:rPr>
          <w:lang w:val="en-US"/>
        </w:rPr>
        <w:t xml:space="preserve"> ‘The impact of innovation on competitiveness in the smartphone industry in China’, </w:t>
      </w:r>
      <w:r>
        <w:rPr>
          <w:i/>
          <w:iCs/>
          <w:lang w:val="en-US"/>
        </w:rPr>
        <w:t>Proceedings of the 2020 International Conference on Economics, Business and Management</w:t>
      </w:r>
      <w:r>
        <w:rPr>
          <w:lang w:val="en-US"/>
        </w:rPr>
        <w:t xml:space="preserve">, pp. </w:t>
      </w:r>
      <w:r>
        <w:rPr>
          <w:b/>
          <w:bCs/>
          <w:lang w:val="en-US"/>
        </w:rPr>
        <w:t>(no page numbers provided)</w:t>
      </w:r>
      <w:r>
        <w:rPr>
          <w:lang w:val="en-US"/>
        </w:rPr>
        <w:t xml:space="preserve">. </w:t>
      </w:r>
      <w:r>
        <w:rPr>
          <w:lang w:val="en-US"/>
        </w:rPr>
        <w:t>doi</w:t>
      </w:r>
      <w:r>
        <w:rPr>
          <w:lang w:val="en-US"/>
        </w:rPr>
        <w:t>: 10.2991/aebmr.k.200626.032.</w:t>
      </w:r>
    </w:p>
    <w:p>
      <w:pPr>
        <w:pStyle w:val="style0"/>
        <w:rPr>
          <w:lang w:val="en-US"/>
        </w:rPr>
      </w:pPr>
      <w:r>
        <w:rPr>
          <w:b/>
          <w:bCs/>
          <w:lang w:val="en-US"/>
        </w:rPr>
        <w:t>Liu, F., Chow, I., Zhang, J. and Huang, M. (2017)</w:t>
      </w:r>
      <w:r>
        <w:rPr>
          <w:lang w:val="en-US"/>
        </w:rPr>
        <w:t xml:space="preserve"> ‘Organizational innovation climate and individual innovative behavior: exploring the moderating effects of psychological ownership and psychological empowerment’, </w:t>
      </w:r>
      <w:r>
        <w:rPr>
          <w:i/>
          <w:iCs/>
          <w:lang w:val="en-US"/>
        </w:rPr>
        <w:t>Review of Managerial Science</w:t>
      </w:r>
      <w:r>
        <w:rPr>
          <w:lang w:val="en-US"/>
        </w:rPr>
        <w:t xml:space="preserve">, 13(4), pp. 771–789. </w:t>
      </w:r>
      <w:r>
        <w:rPr>
          <w:lang w:val="en-US"/>
        </w:rPr>
        <w:t>doi</w:t>
      </w:r>
      <w:r>
        <w:rPr>
          <w:lang w:val="en-US"/>
        </w:rPr>
        <w:t>: 10.1007/s11846-017-0263-y.</w:t>
      </w:r>
    </w:p>
    <w:p>
      <w:pPr>
        <w:pStyle w:val="style0"/>
        <w:rPr>
          <w:lang w:val="en-US"/>
        </w:rPr>
      </w:pPr>
      <w:r>
        <w:rPr>
          <w:b/>
          <w:bCs/>
          <w:lang w:val="en-US"/>
        </w:rPr>
        <w:t>Malynovska</w:t>
      </w:r>
      <w:r>
        <w:rPr>
          <w:b/>
          <w:bCs/>
          <w:lang w:val="en-US"/>
        </w:rPr>
        <w:t>, Y. (2025)</w:t>
      </w:r>
      <w:r>
        <w:rPr>
          <w:lang w:val="en-US"/>
        </w:rPr>
        <w:t xml:space="preserve"> ‘Global economic shocks and business risk management’, </w:t>
      </w:r>
      <w:r>
        <w:rPr>
          <w:i/>
          <w:iCs/>
          <w:lang w:val="en-US"/>
        </w:rPr>
        <w:t>Green, Blue and Digital Economy Journal</w:t>
      </w:r>
      <w:r>
        <w:rPr>
          <w:lang w:val="en-US"/>
        </w:rPr>
        <w:t xml:space="preserve">, 6(1), pp. 42–50. </w:t>
      </w:r>
      <w:r>
        <w:rPr>
          <w:lang w:val="en-US"/>
        </w:rPr>
        <w:t>doi</w:t>
      </w:r>
      <w:r>
        <w:rPr>
          <w:lang w:val="en-US"/>
        </w:rPr>
        <w:t>: 10.30525/2661-5169/2025-1-6.</w:t>
      </w:r>
    </w:p>
    <w:p>
      <w:pPr>
        <w:pStyle w:val="style0"/>
        <w:rPr>
          <w:lang w:val="en-US"/>
        </w:rPr>
      </w:pPr>
      <w:r>
        <w:rPr>
          <w:b/>
          <w:bCs/>
          <w:lang w:val="en-US"/>
        </w:rPr>
        <w:t>McIntyre, D. and Srinivasan, A. (2016)</w:t>
      </w:r>
      <w:r>
        <w:rPr>
          <w:lang w:val="en-US"/>
        </w:rPr>
        <w:t xml:space="preserve"> ‘Networks, platforms, and strategy: Emerging views and next steps’, </w:t>
      </w:r>
      <w:r>
        <w:rPr>
          <w:i/>
          <w:iCs/>
          <w:lang w:val="en-US"/>
        </w:rPr>
        <w:t>Strategic Management Journal</w:t>
      </w:r>
      <w:r>
        <w:rPr>
          <w:lang w:val="en-US"/>
        </w:rPr>
        <w:t xml:space="preserve">, 38(1), pp. 141–160. </w:t>
      </w:r>
      <w:r>
        <w:rPr>
          <w:lang w:val="en-US"/>
        </w:rPr>
        <w:t>doi</w:t>
      </w:r>
      <w:r>
        <w:rPr>
          <w:lang w:val="en-US"/>
        </w:rPr>
        <w:t>: 10.1002/smj.2596.</w:t>
      </w:r>
    </w:p>
    <w:p>
      <w:pPr>
        <w:pStyle w:val="style0"/>
        <w:rPr>
          <w:lang w:val="en-US"/>
        </w:rPr>
      </w:pPr>
      <w:r>
        <w:rPr>
          <w:b/>
          <w:bCs/>
          <w:lang w:val="en-US"/>
        </w:rPr>
        <w:t>Mugo, P. (2020)</w:t>
      </w:r>
      <w:r>
        <w:rPr>
          <w:lang w:val="en-US"/>
        </w:rPr>
        <w:t xml:space="preserve"> ‘Porter’s five forces influence on competitive advantage in the telecommunication industry in Kenya’, </w:t>
      </w:r>
      <w:r>
        <w:rPr>
          <w:i/>
          <w:iCs/>
          <w:lang w:val="en-US"/>
        </w:rPr>
        <w:t>European Journal of Business and Strategic Management</w:t>
      </w:r>
      <w:r>
        <w:rPr>
          <w:lang w:val="en-US"/>
        </w:rPr>
        <w:t xml:space="preserve">, 5(2), pp. 30–49. </w:t>
      </w:r>
      <w:r>
        <w:rPr>
          <w:lang w:val="en-US"/>
        </w:rPr>
        <w:t>doi</w:t>
      </w:r>
      <w:r>
        <w:rPr>
          <w:lang w:val="en-US"/>
        </w:rPr>
        <w:t>: 10.47604/ejbsm.1140.</w:t>
      </w:r>
    </w:p>
    <w:p>
      <w:pPr>
        <w:pStyle w:val="style0"/>
        <w:rPr>
          <w:lang w:val="en-US"/>
        </w:rPr>
      </w:pPr>
      <w:r>
        <w:rPr>
          <w:b/>
          <w:bCs/>
          <w:lang w:val="en-US"/>
        </w:rPr>
        <w:t>Ndzabukelwako</w:t>
      </w:r>
      <w:r>
        <w:rPr>
          <w:b/>
          <w:bCs/>
          <w:lang w:val="en-US"/>
        </w:rPr>
        <w:t xml:space="preserve">, Z., </w:t>
      </w:r>
      <w:r>
        <w:rPr>
          <w:b/>
          <w:bCs/>
          <w:lang w:val="en-US"/>
        </w:rPr>
        <w:t>Mereko</w:t>
      </w:r>
      <w:r>
        <w:rPr>
          <w:b/>
          <w:bCs/>
          <w:lang w:val="en-US"/>
        </w:rPr>
        <w:t xml:space="preserve">, O., Sambo, T. and </w:t>
      </w:r>
      <w:r>
        <w:rPr>
          <w:b/>
          <w:bCs/>
          <w:lang w:val="en-US"/>
        </w:rPr>
        <w:t>Thango</w:t>
      </w:r>
      <w:r>
        <w:rPr>
          <w:b/>
          <w:bCs/>
          <w:lang w:val="en-US"/>
        </w:rPr>
        <w:t>, B. (2024)</w:t>
      </w:r>
      <w:r>
        <w:rPr>
          <w:lang w:val="en-US"/>
        </w:rPr>
        <w:t xml:space="preserve"> ‘The impact of Porter’s five forces model on SMEs performance: a systematic review’, </w:t>
      </w:r>
      <w:r>
        <w:rPr>
          <w:i/>
          <w:iCs/>
          <w:lang w:val="en-US"/>
        </w:rPr>
        <w:t>Preprints</w:t>
      </w:r>
      <w:r>
        <w:rPr>
          <w:lang w:val="en-US"/>
        </w:rPr>
        <w:t xml:space="preserve">. </w:t>
      </w:r>
      <w:r>
        <w:rPr>
          <w:lang w:val="en-US"/>
        </w:rPr>
        <w:t>doi</w:t>
      </w:r>
      <w:r>
        <w:rPr>
          <w:lang w:val="en-US"/>
        </w:rPr>
        <w:t>: 10.20944/preprints202410.0119.v1.</w:t>
      </w:r>
    </w:p>
    <w:p>
      <w:pPr>
        <w:pStyle w:val="style0"/>
        <w:rPr>
          <w:lang w:val="en-US"/>
        </w:rPr>
      </w:pPr>
      <w:r>
        <w:rPr>
          <w:b/>
          <w:bCs/>
          <w:lang w:val="en-US"/>
        </w:rPr>
        <w:t>Nurcahyo</w:t>
      </w:r>
      <w:r>
        <w:rPr>
          <w:b/>
          <w:bCs/>
          <w:lang w:val="en-US"/>
        </w:rPr>
        <w:t xml:space="preserve">, R., Wibowo, A., </w:t>
      </w:r>
      <w:r>
        <w:rPr>
          <w:b/>
          <w:bCs/>
          <w:lang w:val="en-US"/>
        </w:rPr>
        <w:t>Robasa</w:t>
      </w:r>
      <w:r>
        <w:rPr>
          <w:b/>
          <w:bCs/>
          <w:lang w:val="en-US"/>
        </w:rPr>
        <w:t xml:space="preserve">, R. and </w:t>
      </w:r>
      <w:r>
        <w:rPr>
          <w:b/>
          <w:bCs/>
          <w:lang w:val="en-US"/>
        </w:rPr>
        <w:t>Cahyati</w:t>
      </w:r>
      <w:r>
        <w:rPr>
          <w:b/>
          <w:bCs/>
          <w:lang w:val="en-US"/>
        </w:rPr>
        <w:t>, I. (2019)</w:t>
      </w:r>
      <w:r>
        <w:rPr>
          <w:lang w:val="en-US"/>
        </w:rPr>
        <w:t xml:space="preserve"> ‘Development of a strategic manufacturing plan from a resource-based perspective’, </w:t>
      </w:r>
      <w:r>
        <w:rPr>
          <w:i/>
          <w:iCs/>
          <w:lang w:val="en-US"/>
        </w:rPr>
        <w:t>International Journal of Technology</w:t>
      </w:r>
      <w:r>
        <w:rPr>
          <w:lang w:val="en-US"/>
        </w:rPr>
        <w:t xml:space="preserve">, 10(1), p. 178. </w:t>
      </w:r>
      <w:r>
        <w:rPr>
          <w:lang w:val="en-US"/>
        </w:rPr>
        <w:t>doi</w:t>
      </w:r>
      <w:r>
        <w:rPr>
          <w:lang w:val="en-US"/>
        </w:rPr>
        <w:t>: 10.14716/ijtech.v10i1.2140.</w:t>
      </w:r>
    </w:p>
    <w:p>
      <w:pPr>
        <w:pStyle w:val="style0"/>
        <w:rPr>
          <w:lang w:val="en-US"/>
        </w:rPr>
      </w:pPr>
      <w:r>
        <w:rPr>
          <w:b/>
          <w:bCs/>
          <w:lang w:val="en-US"/>
        </w:rPr>
        <w:t>Pandey, N., Mehta, N. and Roy, S. (2016)</w:t>
      </w:r>
      <w:r>
        <w:rPr>
          <w:lang w:val="en-US"/>
        </w:rPr>
        <w:t xml:space="preserve"> ‘Semiconductor pricing strategy in USB market: a market leader’s dilemma’, </w:t>
      </w:r>
      <w:r>
        <w:rPr>
          <w:i/>
          <w:iCs/>
          <w:lang w:val="en-US"/>
        </w:rPr>
        <w:t>Business Perspectives and Research</w:t>
      </w:r>
      <w:r>
        <w:rPr>
          <w:lang w:val="en-US"/>
        </w:rPr>
        <w:t xml:space="preserve">, 5(1), pp. 1–10. </w:t>
      </w:r>
      <w:r>
        <w:rPr>
          <w:lang w:val="en-US"/>
        </w:rPr>
        <w:t>doi</w:t>
      </w:r>
      <w:r>
        <w:rPr>
          <w:lang w:val="en-US"/>
        </w:rPr>
        <w:t>: 10.1177/2278533716671614.</w:t>
      </w:r>
    </w:p>
    <w:p>
      <w:pPr>
        <w:pStyle w:val="style0"/>
        <w:rPr>
          <w:lang w:val="en-US"/>
        </w:rPr>
      </w:pPr>
      <w:r>
        <w:rPr>
          <w:b/>
          <w:bCs/>
          <w:lang w:val="en-US"/>
        </w:rPr>
        <w:t>Panigrahi</w:t>
      </w:r>
      <w:r>
        <w:rPr>
          <w:b/>
          <w:bCs/>
          <w:lang w:val="en-US"/>
        </w:rPr>
        <w:t>, A. (2019)</w:t>
      </w:r>
      <w:r>
        <w:rPr>
          <w:lang w:val="en-US"/>
        </w:rPr>
        <w:t xml:space="preserve"> ‘A case study on marketing strategy of Xiaomi’, </w:t>
      </w:r>
      <w:r>
        <w:rPr>
          <w:i/>
          <w:iCs/>
          <w:lang w:val="en-US"/>
        </w:rPr>
        <w:t>International Journal of Management, Technology and Social Sciences</w:t>
      </w:r>
      <w:r>
        <w:rPr>
          <w:lang w:val="en-US"/>
        </w:rPr>
        <w:t xml:space="preserve">, pp. 46–52. </w:t>
      </w:r>
      <w:r>
        <w:rPr>
          <w:lang w:val="en-US"/>
        </w:rPr>
        <w:t>doi</w:t>
      </w:r>
      <w:r>
        <w:rPr>
          <w:lang w:val="en-US"/>
        </w:rPr>
        <w:t>: 10.47992/ijmts.2581.6012.0069.</w:t>
      </w:r>
    </w:p>
    <w:p>
      <w:pPr>
        <w:pStyle w:val="style0"/>
        <w:rPr>
          <w:lang w:val="en-US"/>
        </w:rPr>
      </w:pPr>
      <w:r>
        <w:rPr>
          <w:b/>
          <w:bCs/>
          <w:lang w:val="en-US"/>
        </w:rPr>
        <w:t>Qi, R. (2024)</w:t>
      </w:r>
      <w:r>
        <w:rPr>
          <w:lang w:val="en-US"/>
        </w:rPr>
        <w:t xml:space="preserve"> ‘Analysis of Huawei smartphone’s marketing strategy and future prospects’, </w:t>
      </w:r>
      <w:r>
        <w:rPr>
          <w:i/>
          <w:iCs/>
          <w:lang w:val="en-US"/>
        </w:rPr>
        <w:t>Highlights in Business Economics and Management</w:t>
      </w:r>
      <w:r>
        <w:rPr>
          <w:lang w:val="en-US"/>
        </w:rPr>
        <w:t xml:space="preserve">, 37, pp. 77–82. </w:t>
      </w:r>
      <w:r>
        <w:rPr>
          <w:lang w:val="en-US"/>
        </w:rPr>
        <w:t>doi</w:t>
      </w:r>
      <w:r>
        <w:rPr>
          <w:lang w:val="en-US"/>
        </w:rPr>
        <w:t>: 10.54097/4ktmd188.</w:t>
      </w:r>
    </w:p>
    <w:p>
      <w:pPr>
        <w:pStyle w:val="style0"/>
        <w:rPr>
          <w:lang w:val="en-US"/>
        </w:rPr>
      </w:pPr>
      <w:r>
        <w:rPr>
          <w:b/>
          <w:bCs/>
          <w:lang w:val="en-US"/>
        </w:rPr>
        <w:t xml:space="preserve">Rasool, S., Shaikh, E., Chaudhry, I. and </w:t>
      </w:r>
      <w:r>
        <w:rPr>
          <w:b/>
          <w:bCs/>
          <w:lang w:val="en-US"/>
        </w:rPr>
        <w:t>Tunio</w:t>
      </w:r>
      <w:r>
        <w:rPr>
          <w:b/>
          <w:bCs/>
          <w:lang w:val="en-US"/>
        </w:rPr>
        <w:t>, M. (2024)</w:t>
      </w:r>
      <w:r>
        <w:rPr>
          <w:lang w:val="en-US"/>
        </w:rPr>
        <w:t xml:space="preserve"> ‘Controversial disappearance and unethical business practices: a case of X-Mobile’, </w:t>
      </w:r>
      <w:r>
        <w:rPr>
          <w:i/>
          <w:iCs/>
          <w:lang w:val="en-US"/>
        </w:rPr>
        <w:t>NUST Business Review</w:t>
      </w:r>
      <w:r>
        <w:rPr>
          <w:lang w:val="en-US"/>
        </w:rPr>
        <w:t xml:space="preserve">, 6(1), pp. 1–25. </w:t>
      </w:r>
      <w:r>
        <w:rPr>
          <w:lang w:val="en-US"/>
        </w:rPr>
        <w:t>doi</w:t>
      </w:r>
      <w:r>
        <w:rPr>
          <w:lang w:val="en-US"/>
        </w:rPr>
        <w:t>: 10.37435/nbr.v6i1.72.</w:t>
      </w:r>
    </w:p>
    <w:p>
      <w:pPr>
        <w:pStyle w:val="style0"/>
        <w:rPr>
          <w:lang w:val="en-US"/>
        </w:rPr>
      </w:pPr>
      <w:r>
        <w:rPr>
          <w:b/>
          <w:bCs/>
          <w:lang w:val="en-US"/>
        </w:rPr>
        <w:t xml:space="preserve">Sandberg, J., </w:t>
      </w:r>
      <w:r>
        <w:rPr>
          <w:b/>
          <w:bCs/>
          <w:lang w:val="en-US"/>
        </w:rPr>
        <w:t>Holmström</w:t>
      </w:r>
      <w:r>
        <w:rPr>
          <w:b/>
          <w:bCs/>
          <w:lang w:val="en-US"/>
        </w:rPr>
        <w:t>, J. and Lyytinen, K. (2020)</w:t>
      </w:r>
      <w:r>
        <w:rPr>
          <w:lang w:val="en-US"/>
        </w:rPr>
        <w:t xml:space="preserve"> ‘Digitization and phase transitions in platform organizing logics: Evidence from the process automation industry’, </w:t>
      </w:r>
      <w:r>
        <w:rPr>
          <w:i/>
          <w:iCs/>
          <w:lang w:val="en-US"/>
        </w:rPr>
        <w:t>MIS Quarterly</w:t>
      </w:r>
      <w:r>
        <w:rPr>
          <w:lang w:val="en-US"/>
        </w:rPr>
        <w:t xml:space="preserve">, 44(1), pp. 129–154. </w:t>
      </w:r>
      <w:r>
        <w:rPr>
          <w:lang w:val="en-US"/>
        </w:rPr>
        <w:t>doi</w:t>
      </w:r>
      <w:r>
        <w:rPr>
          <w:lang w:val="en-US"/>
        </w:rPr>
        <w:t>: 10.25300/MISQ/2020/14520.</w:t>
      </w:r>
    </w:p>
    <w:p>
      <w:pPr>
        <w:pStyle w:val="style0"/>
        <w:rPr>
          <w:lang w:val="en-US"/>
        </w:rPr>
      </w:pPr>
      <w:r>
        <w:rPr>
          <w:b/>
          <w:bCs/>
          <w:lang w:val="en-US"/>
        </w:rPr>
        <w:t>Sembada</w:t>
      </w:r>
      <w:r>
        <w:rPr>
          <w:b/>
          <w:bCs/>
          <w:lang w:val="en-US"/>
        </w:rPr>
        <w:t>, A. (2017)</w:t>
      </w:r>
      <w:r>
        <w:rPr>
          <w:lang w:val="en-US"/>
        </w:rPr>
        <w:t xml:space="preserve"> ‘The two sides of empowering consumers to co-design innovations’, </w:t>
      </w:r>
      <w:r>
        <w:rPr>
          <w:i/>
          <w:iCs/>
          <w:lang w:val="en-US"/>
        </w:rPr>
        <w:t>Journal of Services Marketing</w:t>
      </w:r>
      <w:r>
        <w:rPr>
          <w:lang w:val="en-US"/>
        </w:rPr>
        <w:t xml:space="preserve">, 32(1), pp. 8–18. </w:t>
      </w:r>
      <w:r>
        <w:rPr>
          <w:lang w:val="en-US"/>
        </w:rPr>
        <w:t>doi</w:t>
      </w:r>
      <w:r>
        <w:rPr>
          <w:lang w:val="en-US"/>
        </w:rPr>
        <w:t>: 10.1108/jsm-02-2017-0062.</w:t>
      </w:r>
    </w:p>
    <w:p>
      <w:pPr>
        <w:pStyle w:val="style0"/>
        <w:rPr>
          <w:lang w:val="en-US"/>
        </w:rPr>
      </w:pPr>
      <w:r>
        <w:rPr>
          <w:b/>
          <w:bCs/>
          <w:lang w:val="en-US"/>
        </w:rPr>
        <w:t>Shi, Z., Liu, X., Lee, D. and Srinivasan, K. (2023)</w:t>
      </w:r>
      <w:r>
        <w:rPr>
          <w:lang w:val="en-US"/>
        </w:rPr>
        <w:t xml:space="preserve"> ‘How do fast-fashion copycats affect the popularity of premium brands? Evidence from social media’, </w:t>
      </w:r>
      <w:r>
        <w:rPr>
          <w:i/>
          <w:iCs/>
          <w:lang w:val="en-US"/>
        </w:rPr>
        <w:t>Journal of Marketing Research</w:t>
      </w:r>
      <w:r>
        <w:rPr>
          <w:lang w:val="en-US"/>
        </w:rPr>
        <w:t xml:space="preserve">, 60(6), pp. 1027–1051. </w:t>
      </w:r>
      <w:r>
        <w:rPr>
          <w:lang w:val="en-US"/>
        </w:rPr>
        <w:t>doi</w:t>
      </w:r>
      <w:r>
        <w:rPr>
          <w:lang w:val="en-US"/>
        </w:rPr>
        <w:t>: 10.1177/00222437231164403.</w:t>
      </w:r>
    </w:p>
    <w:p>
      <w:pPr>
        <w:pStyle w:val="style0"/>
        <w:rPr>
          <w:lang w:val="en-US"/>
        </w:rPr>
      </w:pPr>
      <w:r>
        <w:rPr>
          <w:b/>
          <w:bCs/>
          <w:lang w:val="en-US"/>
        </w:rPr>
        <w:t>Son, I. and Kim, S. (2022)</w:t>
      </w:r>
      <w:r>
        <w:rPr>
          <w:lang w:val="en-US"/>
        </w:rPr>
        <w:t xml:space="preserve"> ‘Supply chain management strategy and capital structure of global information and communications technology companies’, </w:t>
      </w:r>
      <w:r>
        <w:rPr>
          <w:i/>
          <w:iCs/>
          <w:lang w:val="en-US"/>
        </w:rPr>
        <w:t>Sustainability</w:t>
      </w:r>
      <w:r>
        <w:rPr>
          <w:lang w:val="en-US"/>
        </w:rPr>
        <w:t xml:space="preserve">, 14(3), 1844. </w:t>
      </w:r>
      <w:r>
        <w:rPr>
          <w:lang w:val="en-US"/>
        </w:rPr>
        <w:t>doi</w:t>
      </w:r>
      <w:r>
        <w:rPr>
          <w:lang w:val="en-US"/>
        </w:rPr>
        <w:t>: 10.3390/su14031844.</w:t>
      </w:r>
    </w:p>
    <w:p>
      <w:pPr>
        <w:pStyle w:val="style0"/>
        <w:rPr>
          <w:lang w:val="en-US"/>
        </w:rPr>
      </w:pPr>
      <w:r>
        <w:rPr>
          <w:b/>
          <w:bCs/>
          <w:lang w:val="en-US"/>
        </w:rPr>
        <w:t>Sun, Z. (2024)</w:t>
      </w:r>
      <w:r>
        <w:rPr>
          <w:lang w:val="en-US"/>
        </w:rPr>
        <w:t xml:space="preserve"> ‘Tesla’s electric future: a comprehensive marketing strategy analysis and implementation plan’, </w:t>
      </w:r>
      <w:r>
        <w:rPr>
          <w:i/>
          <w:iCs/>
          <w:lang w:val="en-US"/>
        </w:rPr>
        <w:t>FE</w:t>
      </w:r>
      <w:r>
        <w:rPr>
          <w:lang w:val="en-US"/>
        </w:rPr>
        <w:t xml:space="preserve">, 1(9). </w:t>
      </w:r>
      <w:r>
        <w:rPr>
          <w:lang w:val="en-US"/>
        </w:rPr>
        <w:t>doi</w:t>
      </w:r>
      <w:r>
        <w:rPr>
          <w:lang w:val="en-US"/>
        </w:rPr>
        <w:t>: 10.61173/3nnc0k35.</w:t>
      </w:r>
    </w:p>
    <w:p>
      <w:pPr>
        <w:pStyle w:val="style0"/>
        <w:rPr>
          <w:lang w:val="en-US"/>
        </w:rPr>
      </w:pPr>
      <w:r>
        <w:rPr>
          <w:b/>
          <w:bCs/>
          <w:lang w:val="en-US"/>
        </w:rPr>
        <w:t>Synnott</w:t>
      </w:r>
      <w:r>
        <w:rPr>
          <w:b/>
          <w:bCs/>
          <w:lang w:val="en-US"/>
        </w:rPr>
        <w:t xml:space="preserve">, P., Lin, P., Hickson, S., </w:t>
      </w:r>
      <w:r>
        <w:rPr>
          <w:b/>
          <w:bCs/>
          <w:lang w:val="en-US"/>
        </w:rPr>
        <w:t>Glaetzer</w:t>
      </w:r>
      <w:r>
        <w:rPr>
          <w:b/>
          <w:bCs/>
          <w:lang w:val="en-US"/>
        </w:rPr>
        <w:t xml:space="preserve">, C. and </w:t>
      </w:r>
      <w:r>
        <w:rPr>
          <w:b/>
          <w:bCs/>
          <w:lang w:val="en-US"/>
        </w:rPr>
        <w:t>Ollendorf</w:t>
      </w:r>
      <w:r>
        <w:rPr>
          <w:b/>
          <w:bCs/>
          <w:lang w:val="en-US"/>
        </w:rPr>
        <w:t>, D. (2022)</w:t>
      </w:r>
      <w:r>
        <w:rPr>
          <w:lang w:val="en-US"/>
        </w:rPr>
        <w:t xml:space="preserve"> ‘Is value portable? An examination of contextual and practical considerations that affect the transferability of value assessments between settings’, </w:t>
      </w:r>
      <w:r>
        <w:rPr>
          <w:i/>
          <w:iCs/>
          <w:lang w:val="en-US"/>
        </w:rPr>
        <w:t>International Journal of Technology Assessment in Health Care</w:t>
      </w:r>
      <w:r>
        <w:rPr>
          <w:lang w:val="en-US"/>
        </w:rPr>
        <w:t xml:space="preserve">, pp. 1–26. </w:t>
      </w:r>
      <w:r>
        <w:rPr>
          <w:lang w:val="en-US"/>
        </w:rPr>
        <w:t>doi</w:t>
      </w:r>
      <w:r>
        <w:rPr>
          <w:lang w:val="en-US"/>
        </w:rPr>
        <w:t>: 10.1017/s026646232200023x.</w:t>
      </w:r>
    </w:p>
    <w:p>
      <w:pPr>
        <w:pStyle w:val="style0"/>
        <w:rPr>
          <w:lang w:val="en-US"/>
        </w:rPr>
      </w:pPr>
      <w:r>
        <w:rPr>
          <w:b/>
          <w:bCs/>
          <w:lang w:val="en-US"/>
        </w:rPr>
        <w:t>Tokarchuk</w:t>
      </w:r>
      <w:r>
        <w:rPr>
          <w:b/>
          <w:bCs/>
          <w:lang w:val="en-US"/>
        </w:rPr>
        <w:t>, D. (2021)</w:t>
      </w:r>
      <w:r>
        <w:rPr>
          <w:lang w:val="en-US"/>
        </w:rPr>
        <w:t xml:space="preserve"> ‘Prospects of implementation of the agricultural enterprise development strategies in the bioenergy market’, </w:t>
      </w:r>
      <w:r>
        <w:rPr>
          <w:i/>
          <w:iCs/>
          <w:lang w:val="en-US"/>
        </w:rPr>
        <w:t>Green, Blue and Digital Economy Journal</w:t>
      </w:r>
      <w:r>
        <w:rPr>
          <w:lang w:val="en-US"/>
        </w:rPr>
        <w:t xml:space="preserve">, 2(1), pp. 60–67. </w:t>
      </w:r>
      <w:r>
        <w:rPr>
          <w:lang w:val="en-US"/>
        </w:rPr>
        <w:t>doi</w:t>
      </w:r>
      <w:r>
        <w:rPr>
          <w:lang w:val="en-US"/>
        </w:rPr>
        <w:t>: 10.30525/2661-5169/2021-1-9.</w:t>
      </w:r>
    </w:p>
    <w:p>
      <w:pPr>
        <w:pStyle w:val="style0"/>
        <w:rPr>
          <w:lang w:val="en-US"/>
        </w:rPr>
      </w:pPr>
      <w:r>
        <w:rPr>
          <w:b/>
          <w:bCs/>
          <w:lang w:val="en-US"/>
        </w:rPr>
        <w:t>Zahra, S. and Mudambi, R. (2025)</w:t>
      </w:r>
      <w:r>
        <w:rPr>
          <w:lang w:val="en-US"/>
        </w:rPr>
        <w:t xml:space="preserve"> ‘Leveraging the interplay of digitalization and mobile resources to promote MNE entrepreneurship’, </w:t>
      </w:r>
      <w:r>
        <w:rPr>
          <w:i/>
          <w:iCs/>
          <w:lang w:val="en-US"/>
        </w:rPr>
        <w:t>Global Strategy Journal</w:t>
      </w:r>
      <w:r>
        <w:rPr>
          <w:lang w:val="en-US"/>
        </w:rPr>
        <w:t xml:space="preserve">, 15(2), pp. 289–314. </w:t>
      </w:r>
      <w:r>
        <w:rPr>
          <w:lang w:val="en-US"/>
        </w:rPr>
        <w:t>doi</w:t>
      </w:r>
      <w:r>
        <w:rPr>
          <w:lang w:val="en-US"/>
        </w:rPr>
        <w:t>: 10.1002/gsj.1522.</w:t>
      </w:r>
    </w:p>
    <w:p>
      <w:pPr>
        <w:pStyle w:val="style0"/>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7020507"/>
    <w:charset w:val="02"/>
    <w:family w:val="roman"/>
    <w:pitch w:val="variable"/>
    <w:sig w:usb0="00000000" w:usb1="10000000" w:usb2="00000000" w:usb3="00000000" w:csb0="80000000" w:csb1="00000000"/>
  </w:font>
  <w:font w:name="Times New Roman">
    <w:altName w:val="Times New Roman"/>
    <w:panose1 w:val="02020603050004020304"/>
    <w:charset w:val="00"/>
    <w:family w:val="roman"/>
    <w:pitch w:val="variable"/>
    <w:sig w:usb0="E0002EFF" w:usb1="C000785B" w:usb2="00000009" w:usb3="00000000" w:csb0="000001FF" w:csb1="00000000"/>
  </w:font>
  <w:font w:name="Courier New">
    <w:altName w:val="Courier New"/>
    <w:panose1 w:val="02070309020002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Aptos">
    <w:altName w:val="Aptos"/>
    <w:panose1 w:val="00000000000000000000"/>
    <w:charset w:val="00"/>
    <w:family w:val="swiss"/>
    <w:pitch w:val="variable"/>
    <w:sig w:usb0="20000287" w:usb1="00000003" w:usb2="00000000" w:usb3="00000000" w:csb0="0000019F" w:csb1="00000000"/>
  </w:font>
  <w:font w:name="Arial">
    <w:altName w:val="Arial"/>
    <w:panose1 w:val="020b0604020002020204"/>
    <w:charset w:val="00"/>
    <w:family w:val="swiss"/>
    <w:pitch w:val="variable"/>
    <w:sig w:usb0="E0002EFF" w:usb1="C000785B" w:usb2="00000009" w:usb3="00000000" w:csb0="000001FF" w:csb1="00000000"/>
  </w:font>
  <w:font w:name="Arial Black">
    <w:altName w:val="Arial Black"/>
    <w:panose1 w:val="020b0a04020001020204"/>
    <w:charset w:val="00"/>
    <w:family w:val="swiss"/>
    <w:pitch w:val="variable"/>
    <w:sig w:usb0="A00002AF" w:usb1="400078FB" w:usb2="00000000" w:usb3="00000000" w:csb0="0000009F" w:csb1="00000000"/>
  </w:font>
  <w:font w:name="Aptos Display">
    <w:altName w:val="Aptos Display"/>
    <w:panose1 w:val="00000000000000000000"/>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multilevel"/>
    <w:tmpl w:val="8508F9C4"/>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
    <w:nsid w:val="00000001"/>
    <w:multiLevelType w:val="multilevel"/>
    <w:tmpl w:val="E6FCEB0E"/>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2">
    <w:nsid w:val="00000002"/>
    <w:multiLevelType w:val="multilevel"/>
    <w:tmpl w:val="759427D0"/>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3">
    <w:nsid w:val="00000003"/>
    <w:multiLevelType w:val="hybridMultilevel"/>
    <w:tmpl w:val="0E9E10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00000004"/>
    <w:multiLevelType w:val="multilevel"/>
    <w:tmpl w:val="858E4304"/>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num w:numId="1">
    <w:abstractNumId w:val="2"/>
  </w:num>
  <w:num w:numId="2">
    <w:abstractNumId w:val="4"/>
  </w:num>
  <w:num w:numId="3">
    <w:abstractNumId w:val="0"/>
  </w:num>
  <w:num w:numId="4">
    <w:abstractNumId w:val="1"/>
  </w:num>
  <w:num w:numId="5">
    <w:abstractNumId w:val="3"/>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Aptos" w:cs="宋体" w:eastAsia="Aptos" w:hAnsi="Aptos"/>
        <w:kern w:val="2"/>
        <w:sz w:val="24"/>
        <w:szCs w:val="24"/>
        <w:lang w:val="en-US" w:bidi="ar-SA" w:eastAsia="en-US"/>
        <w14:ligatures xmlns:w14="http://schemas.microsoft.com/office/word/2010/wordml" w14:val="standardContextual"/>
      </w:rPr>
    </w:rPrDefault>
    <w:pPrDefault>
      <w:pPr>
        <w:spacing w:after="160" w:lineRule="auto" w:line="278"/>
      </w:pPr>
    </w:pPrDefault>
  </w:docDefaults>
  <w:style w:type="paragraph" w:default="1" w:styleId="style0">
    <w:name w:val="Normal"/>
    <w:next w:val="style0"/>
    <w:qFormat/>
    <w:pPr>
      <w:spacing w:after="0" w:lineRule="auto" w:line="360"/>
      <w:jc w:val="both"/>
    </w:pPr>
    <w:rPr>
      <w:rFonts w:ascii="Arial" w:hAnsi="Arial"/>
      <w:lang w:val="en-GB"/>
    </w:rPr>
  </w:style>
  <w:style w:type="paragraph" w:styleId="style1">
    <w:name w:val="heading 1"/>
    <w:basedOn w:val="style0"/>
    <w:next w:val="style0"/>
    <w:link w:val="style4097"/>
    <w:qFormat/>
    <w:uiPriority w:val="9"/>
    <w:pPr>
      <w:keepNext/>
      <w:keepLines/>
      <w:spacing w:before="240"/>
      <w:outlineLvl w:val="0"/>
    </w:pPr>
    <w:rPr>
      <w:rFonts w:ascii="Arial Black" w:cs="宋体" w:eastAsia="宋体" w:hAnsi="Arial Black"/>
      <w:sz w:val="32"/>
      <w:szCs w:val="32"/>
    </w:rPr>
  </w:style>
  <w:style w:type="paragraph" w:styleId="style2">
    <w:name w:val="heading 2"/>
    <w:basedOn w:val="style0"/>
    <w:next w:val="style0"/>
    <w:link w:val="style4098"/>
    <w:qFormat/>
    <w:uiPriority w:val="9"/>
    <w:pPr>
      <w:keepNext/>
      <w:keepLines/>
      <w:spacing w:before="40"/>
      <w:outlineLvl w:val="1"/>
    </w:pPr>
    <w:rPr>
      <w:rFonts w:ascii="Arial Black" w:cs="宋体" w:eastAsia="宋体" w:hAnsi="Arial Black"/>
      <w:b/>
      <w:sz w:val="26"/>
      <w:szCs w:val="26"/>
    </w:rPr>
  </w:style>
  <w:style w:type="paragraph" w:styleId="style3">
    <w:name w:val="heading 3"/>
    <w:basedOn w:val="style0"/>
    <w:next w:val="style0"/>
    <w:link w:val="style4099"/>
    <w:qFormat/>
    <w:uiPriority w:val="9"/>
    <w:pPr>
      <w:keepNext/>
      <w:keepLines/>
      <w:spacing w:before="40"/>
      <w:outlineLvl w:val="2"/>
    </w:pPr>
    <w:rPr>
      <w:rFonts w:cs="宋体" w:eastAsia="宋体"/>
      <w:b/>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4e5a3022-f079-482f-8240-e198492e828f"/>
    <w:basedOn w:val="style65"/>
    <w:next w:val="style4097"/>
    <w:link w:val="style1"/>
    <w:uiPriority w:val="9"/>
    <w:rPr>
      <w:rFonts w:ascii="Arial Black" w:cs="宋体" w:eastAsia="宋体" w:hAnsi="Arial Black"/>
      <w:sz w:val="32"/>
      <w:szCs w:val="32"/>
      <w:lang w:val="en-GB"/>
    </w:rPr>
  </w:style>
  <w:style w:type="character" w:customStyle="1" w:styleId="style4098">
    <w:name w:val="Heading 2 Char_99d6adc3-83ea-4e13-85aa-82e249cbcc8c"/>
    <w:basedOn w:val="style65"/>
    <w:next w:val="style4098"/>
    <w:link w:val="style2"/>
    <w:uiPriority w:val="9"/>
    <w:rPr>
      <w:rFonts w:ascii="Arial Black" w:cs="宋体" w:eastAsia="宋体" w:hAnsi="Arial Black"/>
      <w:b/>
      <w:sz w:val="26"/>
      <w:szCs w:val="26"/>
      <w:lang w:val="en-GB"/>
    </w:rPr>
  </w:style>
  <w:style w:type="paragraph" w:styleId="style266">
    <w:name w:val="TOC Heading"/>
    <w:basedOn w:val="style1"/>
    <w:next w:val="style0"/>
    <w:qFormat/>
    <w:uiPriority w:val="39"/>
    <w:pPr>
      <w:spacing w:lineRule="auto" w:line="259"/>
      <w:outlineLvl w:val="9"/>
    </w:pPr>
    <w:rPr>
      <w:rFonts w:ascii="Aptos Display" w:hAnsi="Aptos Display"/>
      <w:color w:val="0f4761"/>
      <w:kern w:val="0"/>
      <w:lang w:val="en-US"/>
      <w14:ligatures xmlns:w14="http://schemas.microsoft.com/office/word/2010/wordml" w14:val="none"/>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40"/>
    </w:pPr>
    <w:rPr/>
  </w:style>
  <w:style w:type="character" w:styleId="style85">
    <w:name w:val="Hyperlink"/>
    <w:basedOn w:val="style65"/>
    <w:next w:val="style85"/>
    <w:uiPriority w:val="99"/>
    <w:rPr>
      <w:color w:val="467886"/>
      <w:u w:val="single"/>
    </w:rPr>
  </w:style>
  <w:style w:type="character" w:customStyle="1" w:styleId="style4099">
    <w:name w:val="Heading 3 Char_b5c81319-63e3-456e-9634-79fe7e8f6861"/>
    <w:basedOn w:val="style65"/>
    <w:next w:val="style4099"/>
    <w:link w:val="style3"/>
    <w:uiPriority w:val="9"/>
    <w:rPr>
      <w:rFonts w:ascii="Arial" w:cs="宋体" w:eastAsia="宋体" w:hAnsi="Arial"/>
      <w:b/>
      <w:lang w:val="en-GB"/>
    </w:rPr>
  </w:style>
  <w:style w:type="paragraph" w:styleId="style21">
    <w:name w:val="toc 3"/>
    <w:basedOn w:val="style0"/>
    <w:next w:val="style0"/>
    <w:uiPriority w:val="39"/>
    <w:pPr>
      <w:spacing w:after="100"/>
      <w:ind w:left="480"/>
    </w:pPr>
    <w:rPr/>
  </w:style>
  <w:style w:type="table" w:customStyle="1" w:styleId="style4100">
    <w:name w:val="Grid Table 4"/>
    <w:basedOn w:val="style105"/>
    <w:next w:val="style4100"/>
    <w:uiPriority w:val="49"/>
    <w:pPr>
      <w:spacing w:after="0" w:lineRule="auto" w:line="240"/>
    </w:pPr>
    <w:rPr/>
    <w:tblPr>
      <w:tblStyleRowBandSize w:val="1"/>
      <w:tblStyleColBandSize w:val="1"/>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pPr/>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pPr/>
      <w:rPr>
        <w:b/>
        <w:bCs/>
      </w:rPr>
      <w:tblPr/>
      <w:tcPr>
        <w:tcBorders>
          <w:top w:val="double" w:sz="4" w:space="0" w:color="000000"/>
        </w:tcBorders>
      </w:tcPr>
    </w:tblStylePr>
    <w:tblStylePr w:type="band1Horz">
      <w:pPr/>
      <w:tblPr/>
      <w:tcPr>
        <w:tcBorders/>
        <w:shd w:val="clear" w:color="auto" w:fill="cccccc"/>
      </w:tcPr>
    </w:tblStylePr>
    <w:tblStylePr w:type="firstCol">
      <w:pPr/>
      <w:rPr>
        <w:b/>
        <w:bCs/>
      </w:rPr>
      <w:tcPr>
        <w:tcBorders/>
      </w:tcPr>
    </w:tblStylePr>
    <w:tblStylePr w:type="lastCol">
      <w:pPr/>
      <w:rPr>
        <w:b/>
        <w:bCs/>
      </w:rPr>
      <w:tcPr>
        <w:tcBorders/>
      </w:tcPr>
    </w:tblStylePr>
    <w:tblStylePr w:type="band1Vert">
      <w:pPr/>
      <w:tblPr/>
      <w:tcPr>
        <w:tcBorders/>
        <w:shd w:val="clear" w:color="auto" w:fill="cccccc"/>
      </w:tcPr>
    </w:tblStylePr>
    <w:tcPr>
      <w:tcBorders/>
    </w:tcPr>
  </w:style>
  <w:style w:type="paragraph" w:styleId="style34">
    <w:name w:val="caption"/>
    <w:basedOn w:val="style0"/>
    <w:next w:val="style0"/>
    <w:qFormat/>
    <w:uiPriority w:val="35"/>
    <w:pPr>
      <w:spacing w:after="200"/>
    </w:pPr>
    <w:rPr>
      <w:i/>
      <w:iCs/>
      <w:color w:val="0e2841"/>
      <w:sz w:val="18"/>
      <w:szCs w:val="18"/>
    </w:rPr>
  </w:style>
  <w:style w:type="paragraph" w:styleId="style179">
    <w:name w:val="List Paragraph"/>
    <w:basedOn w:val="style0"/>
    <w:next w:val="style179"/>
    <w:qFormat/>
    <w:uiPriority w:val="34"/>
    <w:pPr>
      <w:ind w:left="720"/>
      <w:contextualSpacing/>
    </w:pPr>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11" Type="http://schemas.openxmlformats.org/officeDocument/2006/relationships/theme" Target="theme/theme1.xml"/><Relationship Id="rId10" Type="http://schemas.openxmlformats.org/officeDocument/2006/relationships/settings" Target="settings.xml"/><Relationship Id="rId12" Type="http://schemas.openxmlformats.org/officeDocument/2006/relationships/customXml" Target="../customXml/item1.xml"/><Relationship Id="rId9" Type="http://schemas.openxmlformats.org/officeDocument/2006/relationships/fontTable" Target="fontTable.xml"/><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image" Target="media/image6.png"/><Relationship Id="rId8"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809386-D722-4E14-958E-9DC5777AEE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Words>4268</Words>
  <Pages>19</Pages>
  <Characters>26329</Characters>
  <Application>WPS Office</Application>
  <DocSecurity>0</DocSecurity>
  <Paragraphs>222</Paragraphs>
  <ScaleCrop>false</ScaleCrop>
  <LinksUpToDate>false</LinksUpToDate>
  <CharactersWithSpaces>30395</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2025-11-21T08:48:02Z</dcterms:created>
  <dc:creator>Bushra Mahnoor</dc:creator>
  <lastModifiedBy>23073RPBFG</lastModifiedBy>
  <dcterms:modified xsi:type="dcterms:W3CDTF">2025-11-21T08:48:02Z</dcterms:modified>
  <revision>10</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e7b7bc80aefb436a8f8f77b3cb0e0260</vt:lpwstr>
  </property>
</Properties>
</file>