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6223C65F" w:rsidR="006419C3" w:rsidRDefault="00C26C1D" w:rsidP="00E611D9">
      <w:pPr>
        <w:pStyle w:val="AssignHeader"/>
      </w:pPr>
      <w:r w:rsidRPr="00C26C1D"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74D7F29C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C26C1D" w:rsidRPr="00C26C1D">
        <w:t>https://uowtsd-my.sharepoint.com/:u:/g/personal/1804016_student_uwtsd_ac_uk/ERoCh971nOJOv1MGqNhB2U0BV5gn4yHws7KgfmONkJkZ2Q?e=jatNy6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2B63E15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478AE4E" w14:textId="34C3B7C9" w:rsidR="00C26C1D" w:rsidRDefault="00C26C1D" w:rsidP="00E611D9">
      <w:pPr>
        <w:pStyle w:val="AssignBody"/>
        <w:rPr>
          <w:b/>
        </w:rPr>
      </w:pPr>
    </w:p>
    <w:p w14:paraId="2B95D80C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36"/>
          <w:szCs w:val="36"/>
          <w:lang w:eastAsia="en-GB"/>
        </w:rPr>
        <w:t>Reference list</w:t>
      </w:r>
    </w:p>
    <w:p w14:paraId="2E8DFE81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Burke, L. (2002). Healthy eating in the school environment - a holistic approach.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International Journal of Consumer Studies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26(2), pp.159–163.</w:t>
      </w:r>
    </w:p>
    <w:p w14:paraId="186972E8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Drummond, C. (2011). Using nutrition education and cooking classes in primary schools to encourage healthy eating.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Journal of Student Wellbeing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[online] 4(2), p.43. Available at: https://ojs.unisa.edu.au/index.php/JSW/article/view/724 [Accessed 31 May 2019].</w:t>
      </w:r>
    </w:p>
    <w:p w14:paraId="2069F22B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Drummound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C. and Sheppard, L. (2007). Similarities and differences between aged care facilities and school food services.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Diversity in Health and Social Care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3, pp.261–288.</w:t>
      </w:r>
    </w:p>
    <w:p w14:paraId="1B7C24D4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ESTYN (2017). </w:t>
      </w:r>
      <w:proofErr w:type="spellStart"/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Cadoxton</w:t>
      </w:r>
      <w:proofErr w:type="spellEnd"/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Community Primary | Estyn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www.estyn.gov.wales. Available at: https://www.estyn.gov.wales/provider/cadoxton-community-primary [Accessed 17 Apr. 2020].</w:t>
      </w:r>
    </w:p>
    <w:p w14:paraId="049D9E41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Herbst, K.C. and Stanton, J.L. (2007). Changes in family dynamics predict purchase and consumption.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British Food Journal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109(8), pp.648–655.</w:t>
      </w:r>
    </w:p>
    <w:p w14:paraId="2DCCD0CC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MacGilchrist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B. and Mortimore, P. (1997). The Impact of School Development Plans in Primary Schools</w:t>
      </w:r>
      <w:r w:rsidRPr="00C26C1D">
        <w:rPr>
          <w:rFonts w:ascii="Cambria Math" w:eastAsia="Times New Roman" w:hAnsi="Cambria Math" w:cs="Cambria Math"/>
          <w:color w:val="000000"/>
          <w:sz w:val="24"/>
          <w:szCs w:val="24"/>
          <w:lang w:eastAsia="en-GB"/>
        </w:rPr>
        <w:t>∗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School Effectiveness and School Improvement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8(2), pp.198–218.</w:t>
      </w:r>
    </w:p>
    <w:p w14:paraId="2572E9E5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 xml:space="preserve">Pérez-Rodrigo, C. and </w:t>
      </w: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Aranceta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J. (2001). School-based nutrition education: lessons learned and new perspectives.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Public Health Nutrition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4(1a), pp.131–139.</w:t>
      </w:r>
    </w:p>
    <w:p w14:paraId="4483AA1E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Ritchie, a (2001). Nutrition education and promotion in primary schools.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Australian Journal of Holistic Nursing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8(2).</w:t>
      </w:r>
    </w:p>
    <w:p w14:paraId="0A221605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Robertson, T.P. and </w:t>
      </w: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Zalles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D.R. (2005). Nutrition Education Program Nutrition Pathfinders© Teaches Children How to Make Healthful Food Choices.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Journal of Nutrition Education and </w:t>
      </w:r>
      <w:proofErr w:type="spellStart"/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Behavior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37(1), pp.41–42.</w:t>
      </w:r>
    </w:p>
    <w:p w14:paraId="58B37E7A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Stallings, J.A. (1995). Ensuring Teaching and Learning in the 21st Century.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Educational Researcher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24(6), pp.4–8.</w:t>
      </w:r>
    </w:p>
    <w:p w14:paraId="79080527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Tyack, D. (1992). Health and Social Services in Public Schools: Historical Perspectives.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Future of Children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2(1), p.19.</w:t>
      </w:r>
    </w:p>
    <w:p w14:paraId="43BAAC84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Walsh, M.E., </w:t>
      </w: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Madaus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G.F., </w:t>
      </w: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Raczek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A.E., Dearing, E., Foley, C., An, C., Lee-St. John, T.J. and Beaton, A. (2014). A New Model for Student Support in High-Poverty Urban Elementary Schools.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American Educational Research Journal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51(4), pp.704–737.</w:t>
      </w:r>
    </w:p>
    <w:p w14:paraId="6B792DD3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 (2020a).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Curriculum for Wales - </w:t>
      </w:r>
      <w:proofErr w:type="spellStart"/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Hwb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[online] </w:t>
      </w:r>
      <w:proofErr w:type="spellStart"/>
      <w:proofErr w:type="gram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hwb.gov.wales</w:t>
      </w:r>
      <w:proofErr w:type="spellEnd"/>
      <w:proofErr w:type="gram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 https://hwb.gov.wales/curriculum-for-wales/ [Accessed 17 Apr. 2020].</w:t>
      </w:r>
    </w:p>
    <w:p w14:paraId="22DFEABF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Welsh Government (2020b).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Developing a vision for curriculum design - </w:t>
      </w:r>
      <w:proofErr w:type="spellStart"/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Hwb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[online] </w:t>
      </w:r>
      <w:proofErr w:type="spellStart"/>
      <w:proofErr w:type="gram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hwb.gov.wales</w:t>
      </w:r>
      <w:proofErr w:type="spellEnd"/>
      <w:proofErr w:type="gram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 https://hwb.gov.wales/curriculum-for-wales/designing-your-curriculum/developing-a-vision-for-curriculum-design/#curriculum-design-and-the-four-purposes.</w:t>
      </w:r>
    </w:p>
    <w:p w14:paraId="033D54DE" w14:textId="77777777" w:rsidR="00C26C1D" w:rsidRPr="00C26C1D" w:rsidRDefault="00C26C1D" w:rsidP="00C26C1D">
      <w:pPr>
        <w:shd w:val="clear" w:color="auto" w:fill="FFFFFF"/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Xaba</w:t>
      </w:r>
      <w:proofErr w:type="spellEnd"/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M. (2006). Development planning for schools. </w:t>
      </w:r>
      <w:r w:rsidRPr="00C26C1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South African Journal of Education</w:t>
      </w:r>
      <w:r w:rsidRPr="00C26C1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26(1), pp.15–26.</w:t>
      </w:r>
    </w:p>
    <w:p w14:paraId="536E5E81" w14:textId="77777777" w:rsidR="00C26C1D" w:rsidRPr="009B47AE" w:rsidRDefault="00C26C1D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668BD1" w14:textId="77777777" w:rsidR="0015772B" w:rsidRDefault="0015772B" w:rsidP="00E611D9">
      <w:pPr>
        <w:spacing w:after="0" w:line="240" w:lineRule="auto"/>
      </w:pPr>
      <w:r>
        <w:separator/>
      </w:r>
    </w:p>
  </w:endnote>
  <w:endnote w:type="continuationSeparator" w:id="0">
    <w:p w14:paraId="02B63975" w14:textId="77777777" w:rsidR="0015772B" w:rsidRDefault="0015772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660F9F" w14:textId="77777777" w:rsidR="0015772B" w:rsidRDefault="0015772B" w:rsidP="00E611D9">
      <w:pPr>
        <w:spacing w:after="0" w:line="240" w:lineRule="auto"/>
      </w:pPr>
      <w:r>
        <w:separator/>
      </w:r>
    </w:p>
  </w:footnote>
  <w:footnote w:type="continuationSeparator" w:id="0">
    <w:p w14:paraId="6EBA3C3C" w14:textId="77777777" w:rsidR="0015772B" w:rsidRDefault="0015772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3579"/>
    </w:tblGrid>
    <w:tr w:rsidR="00E611D9" w:rsidRPr="00E611D9" w14:paraId="746C0110" w14:textId="77777777" w:rsidTr="00C26C1D">
      <w:tc>
        <w:tcPr>
          <w:tcW w:w="4508" w:type="dxa"/>
        </w:tcPr>
        <w:p w14:paraId="5EE3346A" w14:textId="77777777" w:rsid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26C1D">
            <w:rPr>
              <w:rFonts w:ascii="Arial" w:hAnsi="Arial" w:cs="Arial"/>
            </w:rPr>
            <w:t xml:space="preserve"> 7003</w:t>
          </w:r>
        </w:p>
        <w:p w14:paraId="739FBAFA" w14:textId="3EE128B3" w:rsidR="00C26C1D" w:rsidRPr="00E611D9" w:rsidRDefault="00C26C1D">
          <w:pPr>
            <w:pStyle w:val="Header"/>
            <w:rPr>
              <w:rFonts w:ascii="Arial" w:hAnsi="Arial" w:cs="Arial"/>
            </w:rPr>
          </w:pPr>
        </w:p>
      </w:tc>
      <w:tc>
        <w:tcPr>
          <w:tcW w:w="3579" w:type="dxa"/>
        </w:tcPr>
        <w:p w14:paraId="51D506A0" w14:textId="0E2EE66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C26C1D">
            <w:rPr>
              <w:rFonts w:ascii="Arial" w:hAnsi="Arial" w:cs="Arial"/>
            </w:rPr>
            <w:t>1804016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2BC0A863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5772B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26C1D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4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447</Words>
  <Characters>2550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Thomas Pearce (1804016)</cp:lastModifiedBy>
  <cp:revision>2</cp:revision>
  <dcterms:created xsi:type="dcterms:W3CDTF">2020-04-17T19:03:00Z</dcterms:created>
  <dcterms:modified xsi:type="dcterms:W3CDTF">2020-04-17T19:03:00Z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