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5C2AB8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6341BE">
              <w:rPr>
                <w:rFonts w:ascii="Tahoma" w:hAnsi="Tahoma" w:cs="Tahoma"/>
                <w:b/>
                <w:sz w:val="20"/>
                <w:szCs w:val="20"/>
              </w:rPr>
              <w:t>Syeda Momotaz Ferdush</w:t>
            </w:r>
          </w:p>
          <w:p w14:paraId="498F0B10" w14:textId="77777777" w:rsidR="001B69C8" w:rsidRPr="003C3341" w:rsidRDefault="001B69C8">
            <w:pPr>
              <w:rPr>
                <w:rFonts w:ascii="Tahoma" w:hAnsi="Tahoma" w:cs="Tahoma"/>
                <w:b/>
                <w:sz w:val="20"/>
                <w:szCs w:val="20"/>
              </w:rPr>
            </w:pPr>
          </w:p>
          <w:p w14:paraId="69E1F0CF" w14:textId="65CAEC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5CD71813" w14:textId="1830F035" w:rsidR="006341BE" w:rsidRPr="006341BE" w:rsidRDefault="001B69C8" w:rsidP="006341BE">
            <w:pPr>
              <w:rPr>
                <w:rFonts w:ascii="Segoe UI" w:hAnsi="Segoe UI" w:cs="Segoe UI"/>
                <w:color w:val="000A0F"/>
                <w:sz w:val="23"/>
                <w:szCs w:val="23"/>
                <w:u w:val="single"/>
                <w:lang w:val="en-TV" w:eastAsia="en-TV"/>
              </w:rPr>
            </w:pPr>
            <w:r>
              <w:rPr>
                <w:rFonts w:ascii="Tahoma" w:hAnsi="Tahoma" w:cs="Tahoma"/>
                <w:b/>
                <w:sz w:val="20"/>
                <w:szCs w:val="20"/>
              </w:rPr>
              <w:t>Module:</w:t>
            </w:r>
            <w:r w:rsidR="003478CE">
              <w:rPr>
                <w:rFonts w:ascii="Tahoma" w:hAnsi="Tahoma" w:cs="Tahoma"/>
                <w:b/>
                <w:sz w:val="20"/>
                <w:szCs w:val="20"/>
              </w:rPr>
              <w:t xml:space="preserve"> </w:t>
            </w:r>
            <w:r w:rsidR="006341BE">
              <w:rPr>
                <w:rFonts w:ascii="Tahoma" w:hAnsi="Tahoma" w:cs="Tahoma"/>
                <w:b/>
                <w:sz w:val="20"/>
                <w:szCs w:val="20"/>
              </w:rPr>
              <w:t xml:space="preserve">Hotel Placement – Food &amp; Beverage Operations (BMIH4002) </w:t>
            </w:r>
            <w:r w:rsidR="006341BE" w:rsidRPr="006341BE">
              <w:rPr>
                <w:rFonts w:ascii="Segoe UI" w:hAnsi="Segoe UI" w:cs="Segoe UI"/>
                <w:color w:val="373A3C"/>
                <w:sz w:val="23"/>
                <w:szCs w:val="23"/>
                <w:lang w:val="en-TV" w:eastAsia="en-TV"/>
              </w:rPr>
              <w:fldChar w:fldCharType="begin"/>
            </w:r>
            <w:r w:rsidR="006341BE" w:rsidRPr="006341BE">
              <w:rPr>
                <w:rFonts w:ascii="Segoe UI" w:hAnsi="Segoe UI" w:cs="Segoe UI"/>
                <w:color w:val="373A3C"/>
                <w:sz w:val="23"/>
                <w:szCs w:val="23"/>
                <w:lang w:val="en-TV" w:eastAsia="en-TV"/>
              </w:rPr>
              <w:instrText xml:space="preserve"> HYPERLINK "https://moodle.uwtsd.ac.uk/course/view.php?id=3670" </w:instrText>
            </w:r>
            <w:r w:rsidR="006341BE" w:rsidRPr="006341BE">
              <w:rPr>
                <w:rFonts w:ascii="Segoe UI" w:hAnsi="Segoe UI" w:cs="Segoe UI"/>
                <w:color w:val="373A3C"/>
                <w:sz w:val="23"/>
                <w:szCs w:val="23"/>
                <w:lang w:val="en-TV" w:eastAsia="en-TV"/>
              </w:rPr>
              <w:fldChar w:fldCharType="separate"/>
            </w:r>
          </w:p>
          <w:p w14:paraId="488BCD26" w14:textId="67973408" w:rsidR="00B21F2E" w:rsidRPr="006341BE" w:rsidRDefault="006341BE">
            <w:pPr>
              <w:rPr>
                <w:rFonts w:ascii="Segoe UI" w:hAnsi="Segoe UI" w:cs="Segoe UI"/>
                <w:color w:val="373A3C"/>
                <w:sz w:val="23"/>
                <w:szCs w:val="23"/>
                <w:lang w:val="en-TV" w:eastAsia="en-TV"/>
              </w:rPr>
            </w:pPr>
            <w:r w:rsidRPr="006341BE">
              <w:rPr>
                <w:rFonts w:ascii="Segoe UI" w:hAnsi="Segoe UI" w:cs="Segoe UI"/>
                <w:color w:val="373A3C"/>
                <w:sz w:val="23"/>
                <w:szCs w:val="23"/>
                <w:lang w:val="en-TV" w:eastAsia="en-TV"/>
              </w:rPr>
              <w:fldChar w:fldCharType="end"/>
            </w:r>
          </w:p>
          <w:p w14:paraId="49443441" w14:textId="77777777" w:rsidR="006341BE" w:rsidRDefault="006341BE" w:rsidP="00B21F2E">
            <w:pPr>
              <w:rPr>
                <w:rFonts w:ascii="Tahoma" w:hAnsi="Tahoma" w:cs="Tahoma"/>
                <w:b/>
                <w:sz w:val="20"/>
                <w:szCs w:val="20"/>
              </w:rPr>
            </w:pPr>
          </w:p>
          <w:p w14:paraId="450FE136" w14:textId="506440B9"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6341BE">
              <w:rPr>
                <w:rFonts w:ascii="Tahoma" w:hAnsi="Tahoma" w:cs="Tahoma"/>
                <w:b/>
                <w:sz w:val="20"/>
                <w:szCs w:val="20"/>
              </w:rPr>
              <w:t>Laurence Blake</w:t>
            </w:r>
          </w:p>
        </w:tc>
      </w:tr>
      <w:tr w:rsidR="006341BE" w:rsidRPr="003C3341" w14:paraId="47FE02C3" w14:textId="77777777" w:rsidTr="00B21F2E">
        <w:tc>
          <w:tcPr>
            <w:tcW w:w="3987" w:type="dxa"/>
            <w:shd w:val="clear" w:color="auto" w:fill="8DB3E2" w:themeFill="text2" w:themeFillTint="66"/>
          </w:tcPr>
          <w:p w14:paraId="031B6957" w14:textId="77777777" w:rsidR="006341BE" w:rsidRDefault="006341BE">
            <w:pPr>
              <w:rPr>
                <w:rFonts w:ascii="Tahoma" w:hAnsi="Tahoma" w:cs="Tahoma"/>
                <w:b/>
                <w:sz w:val="20"/>
                <w:szCs w:val="20"/>
              </w:rPr>
            </w:pPr>
          </w:p>
        </w:tc>
        <w:tc>
          <w:tcPr>
            <w:tcW w:w="7195" w:type="dxa"/>
            <w:shd w:val="clear" w:color="auto" w:fill="8DB3E2" w:themeFill="text2" w:themeFillTint="66"/>
          </w:tcPr>
          <w:p w14:paraId="4DA4D7F7" w14:textId="77777777" w:rsidR="006341BE" w:rsidRDefault="006341BE">
            <w:pPr>
              <w:rPr>
                <w:rFonts w:ascii="Tahoma" w:hAnsi="Tahoma" w:cs="Tahoma"/>
                <w:b/>
                <w:sz w:val="20"/>
                <w:szCs w:val="20"/>
              </w:rPr>
            </w:pP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3C1A9A22"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6341BE" w:rsidRPr="006341BE">
              <w:rPr>
                <w:rFonts w:ascii="Tahoma" w:hAnsi="Tahoma" w:cs="Tahoma"/>
                <w:b/>
                <w:sz w:val="20"/>
                <w:szCs w:val="20"/>
              </w:rPr>
              <w:t>Allergies and Intolerances and the importance within the industry</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2BA8BB8F" w14:textId="57F4AD2F" w:rsidR="003450CD" w:rsidRDefault="006341BE" w:rsidP="00C414B0">
            <w:pPr>
              <w:spacing w:line="360" w:lineRule="auto"/>
              <w:jc w:val="both"/>
              <w:rPr>
                <w:rFonts w:ascii="Arial" w:hAnsi="Arial" w:cs="Arial"/>
              </w:rPr>
            </w:pPr>
            <w:r>
              <w:rPr>
                <w:rFonts w:ascii="Arial" w:hAnsi="Arial" w:cs="Arial"/>
              </w:rPr>
              <w:t>My student journal will be based on a</w:t>
            </w:r>
            <w:r w:rsidRPr="006341BE">
              <w:rPr>
                <w:rFonts w:ascii="Arial" w:hAnsi="Arial" w:cs="Arial"/>
              </w:rPr>
              <w:t xml:space="preserve">llergies and </w:t>
            </w:r>
            <w:r>
              <w:rPr>
                <w:rFonts w:ascii="Arial" w:hAnsi="Arial" w:cs="Arial"/>
              </w:rPr>
              <w:t>i</w:t>
            </w:r>
            <w:r w:rsidRPr="006341BE">
              <w:rPr>
                <w:rFonts w:ascii="Arial" w:hAnsi="Arial" w:cs="Arial"/>
              </w:rPr>
              <w:t>ntolerances and the importance within the industry</w:t>
            </w:r>
            <w:r>
              <w:rPr>
                <w:rFonts w:ascii="Arial" w:hAnsi="Arial" w:cs="Arial"/>
              </w:rPr>
              <w:t>. My lecturer, Laurence, went through this in depth in Week 2 of our learning.</w:t>
            </w:r>
            <w:r w:rsidR="003450CD">
              <w:rPr>
                <w:rFonts w:ascii="Arial" w:hAnsi="Arial" w:cs="Arial"/>
              </w:rPr>
              <w:t xml:space="preserve"> I have learnt the following:  food allergies vs intolerances, the law on information and labelling, Natasha’s Law and cross contamination. All factors mentioned are highly crucial for the hospitality industry to follow. The rules and regulations put in place protects staff and customers and lastly, the reputation of the hotel. </w:t>
            </w:r>
          </w:p>
          <w:p w14:paraId="60A4D36A" w14:textId="2E4F8691" w:rsidR="000B07FA" w:rsidRDefault="000B07FA" w:rsidP="00C414B0">
            <w:pPr>
              <w:spacing w:line="360" w:lineRule="auto"/>
              <w:jc w:val="both"/>
              <w:rPr>
                <w:rFonts w:ascii="Arial" w:hAnsi="Arial" w:cs="Arial"/>
              </w:rPr>
            </w:pPr>
          </w:p>
          <w:p w14:paraId="48EF70D0" w14:textId="5452C63A" w:rsidR="00FA75FB" w:rsidRDefault="000B07FA" w:rsidP="00C414B0">
            <w:pPr>
              <w:spacing w:line="360" w:lineRule="auto"/>
              <w:jc w:val="both"/>
              <w:rPr>
                <w:rFonts w:ascii="Arial" w:hAnsi="Arial" w:cs="Arial"/>
              </w:rPr>
            </w:pPr>
            <w:r>
              <w:rPr>
                <w:rFonts w:ascii="Arial" w:hAnsi="Arial" w:cs="Arial"/>
              </w:rPr>
              <w:t>According to the Institute of Hospitality, a</w:t>
            </w:r>
            <w:r w:rsidRPr="000B07FA">
              <w:rPr>
                <w:rFonts w:ascii="Arial" w:hAnsi="Arial" w:cs="Arial"/>
              </w:rPr>
              <w:t>n allergic response that is both intense and painful. The entire body is harmed, usually within minutes after being exposed to the chemical that triggers the allergic reaction (allergen), but occasionally hours later. A subsequent reaction can occur thereafter, however the timing varies depending on the person</w:t>
            </w:r>
            <w:r>
              <w:rPr>
                <w:rFonts w:ascii="Arial" w:hAnsi="Arial" w:cs="Arial"/>
              </w:rPr>
              <w:t xml:space="preserve"> </w:t>
            </w:r>
            <w:r w:rsidRPr="000B07FA">
              <w:rPr>
                <w:rFonts w:ascii="Arial" w:hAnsi="Arial" w:cs="Arial"/>
              </w:rPr>
              <w:t>(The Institute of Hospitality is the global professional body for hospitality, 2022)</w:t>
            </w:r>
            <w:r>
              <w:rPr>
                <w:rFonts w:ascii="Arial" w:hAnsi="Arial" w:cs="Arial"/>
              </w:rPr>
              <w:t>. On the other hand, an intolerance is a</w:t>
            </w:r>
            <w:r w:rsidRPr="000B07FA">
              <w:rPr>
                <w:rFonts w:ascii="Arial" w:hAnsi="Arial" w:cs="Arial"/>
              </w:rPr>
              <w:t xml:space="preserve"> response to food or drink induced by an enzyme deficiency or digestive system reactions, loss of ability to digest meals properly.</w:t>
            </w:r>
            <w:r>
              <w:t xml:space="preserve"> </w:t>
            </w:r>
            <w:r w:rsidRPr="000B07FA">
              <w:rPr>
                <w:rFonts w:ascii="Arial" w:hAnsi="Arial" w:cs="Arial"/>
              </w:rPr>
              <w:t>There are more than 160 foods that might cause allergic responses, but just 14 have been recognised as significant allergens, and these are the ones that customers in the UK must be notified of if they are present in food</w:t>
            </w:r>
            <w:r w:rsidR="00FA75FB">
              <w:rPr>
                <w:rFonts w:ascii="Arial" w:hAnsi="Arial" w:cs="Arial"/>
              </w:rPr>
              <w:t xml:space="preserve">s </w:t>
            </w:r>
            <w:r w:rsidR="00FA75FB" w:rsidRPr="00FA75FB">
              <w:rPr>
                <w:rFonts w:ascii="Arial" w:hAnsi="Arial" w:cs="Arial"/>
              </w:rPr>
              <w:t>(FSA Board Meeting - June 2021, 2021)</w:t>
            </w:r>
            <w:r w:rsidR="00FA75FB">
              <w:rPr>
                <w:rFonts w:ascii="Arial" w:hAnsi="Arial" w:cs="Arial"/>
              </w:rPr>
              <w:t>.</w:t>
            </w:r>
          </w:p>
          <w:p w14:paraId="068B832E" w14:textId="34375D07" w:rsidR="00FA75FB" w:rsidRDefault="00FA75FB" w:rsidP="00C414B0">
            <w:pPr>
              <w:spacing w:line="360" w:lineRule="auto"/>
              <w:jc w:val="both"/>
              <w:rPr>
                <w:rFonts w:ascii="Arial" w:hAnsi="Arial" w:cs="Arial"/>
              </w:rPr>
            </w:pPr>
            <w:r>
              <w:rPr>
                <w:rFonts w:ascii="Arial" w:hAnsi="Arial" w:cs="Arial"/>
              </w:rPr>
              <w:lastRenderedPageBreak/>
              <w:t xml:space="preserve">In the case of an emergency where the customer is </w:t>
            </w:r>
            <w:r w:rsidR="00822FBD">
              <w:rPr>
                <w:rFonts w:ascii="Arial" w:hAnsi="Arial" w:cs="Arial"/>
              </w:rPr>
              <w:t>unaware,</w:t>
            </w:r>
            <w:r>
              <w:rPr>
                <w:rFonts w:ascii="Arial" w:hAnsi="Arial" w:cs="Arial"/>
              </w:rPr>
              <w:t xml:space="preserve"> they have any allergies but have a reaction, </w:t>
            </w:r>
            <w:r w:rsidRPr="00FA75FB">
              <w:rPr>
                <w:rFonts w:ascii="Arial" w:hAnsi="Arial" w:cs="Arial"/>
              </w:rPr>
              <w:t>If an allergic consumer falls unwell, that person – or someone with them – would almost certainly remark that they are having an allergic response. They are allowed to use the term "ANAPHYLAXIS."</w:t>
            </w:r>
            <w:r>
              <w:rPr>
                <w:rFonts w:ascii="Arial" w:hAnsi="Arial" w:cs="Arial"/>
              </w:rPr>
              <w:t xml:space="preserve"> Staff must immediately call 999 giving the following information: </w:t>
            </w:r>
            <w:r w:rsidRPr="00FA75FB">
              <w:rPr>
                <w:rFonts w:ascii="Arial" w:hAnsi="Arial" w:cs="Arial"/>
              </w:rPr>
              <w:t>"This is a life-or-death situation." "A customer has passed out, and we suspect it is due to anaphylaxis."</w:t>
            </w:r>
            <w:r>
              <w:rPr>
                <w:rFonts w:ascii="Arial" w:hAnsi="Arial" w:cs="Arial"/>
              </w:rPr>
              <w:t xml:space="preserve"> This is knowledge is new to me which had made me aware of what to do if I’m ever in a terrible situation like this</w:t>
            </w:r>
            <w:r w:rsidR="00822FBD">
              <w:rPr>
                <w:rFonts w:ascii="Arial" w:hAnsi="Arial" w:cs="Arial"/>
              </w:rPr>
              <w:t xml:space="preserve">. I know how to handle the situation in a calm manner. This is a skill that all staff members should be taught in training as it’s crucial. </w:t>
            </w:r>
          </w:p>
          <w:p w14:paraId="14FC0394" w14:textId="3D2980B6" w:rsidR="00822FBD" w:rsidRDefault="00822FBD" w:rsidP="00C414B0">
            <w:pPr>
              <w:spacing w:line="360" w:lineRule="auto"/>
              <w:jc w:val="both"/>
              <w:rPr>
                <w:rFonts w:ascii="Arial" w:hAnsi="Arial" w:cs="Arial"/>
              </w:rPr>
            </w:pPr>
          </w:p>
          <w:p w14:paraId="7C3B9769" w14:textId="4E6FFA9A" w:rsidR="00822FBD" w:rsidRDefault="00822FBD" w:rsidP="008475D0">
            <w:pPr>
              <w:spacing w:line="360" w:lineRule="auto"/>
              <w:jc w:val="both"/>
              <w:rPr>
                <w:rFonts w:ascii="Arial" w:hAnsi="Arial" w:cs="Arial"/>
              </w:rPr>
            </w:pPr>
            <w:r>
              <w:rPr>
                <w:rFonts w:ascii="Arial" w:hAnsi="Arial" w:cs="Arial"/>
              </w:rPr>
              <w:t xml:space="preserve">Furthermore, </w:t>
            </w:r>
            <w:r w:rsidR="00005B87">
              <w:rPr>
                <w:rFonts w:ascii="Arial" w:hAnsi="Arial" w:cs="Arial"/>
              </w:rPr>
              <w:t xml:space="preserve">even though staff may be trained on the importance of allergies, it’s vital to keep a chart of what ingredients may cause allergies, For example, a chart in the kitchen for chef’s and a smaller one in the menus. A lot of restaurants make customers aware of what dishes may have ingredients that can cause allergies. For example, breakfast time a cereal on the menu will show all the ingredients but wheat and milk will be highlighted. This moves us to the importance of labelling and the laws that the hospitality industry must follow. </w:t>
            </w:r>
            <w:r w:rsidR="008475D0" w:rsidRPr="008475D0">
              <w:rPr>
                <w:rFonts w:ascii="Arial" w:hAnsi="Arial" w:cs="Arial"/>
              </w:rPr>
              <w:t>Retail and catering food establishments are required by food legislation to give allergy information and adhere to labelling guidelines.</w:t>
            </w:r>
            <w:r w:rsidR="008475D0">
              <w:rPr>
                <w:rFonts w:ascii="Arial" w:hAnsi="Arial" w:cs="Arial"/>
              </w:rPr>
              <w:t xml:space="preserve"> </w:t>
            </w:r>
            <w:r w:rsidR="008475D0" w:rsidRPr="008475D0">
              <w:rPr>
                <w:rFonts w:ascii="Arial" w:hAnsi="Arial" w:cs="Arial"/>
              </w:rPr>
              <w:t xml:space="preserve">This implies that food service providers must provide allergy information to consumers for both </w:t>
            </w:r>
            <w:r w:rsidR="008475D0" w:rsidRPr="008475D0">
              <w:rPr>
                <w:rFonts w:ascii="Arial" w:hAnsi="Arial" w:cs="Arial"/>
              </w:rPr>
              <w:t>pre-packaged</w:t>
            </w:r>
            <w:r w:rsidR="008475D0" w:rsidRPr="008475D0">
              <w:rPr>
                <w:rFonts w:ascii="Arial" w:hAnsi="Arial" w:cs="Arial"/>
              </w:rPr>
              <w:t xml:space="preserve"> and non-packaged foods and beverages, as well as adequately handle and regulate dietary allergens during food preparation. Food firms must ensure that their employees are trained on allergies</w:t>
            </w:r>
            <w:r w:rsidR="008475D0">
              <w:rPr>
                <w:rFonts w:ascii="Arial" w:hAnsi="Arial" w:cs="Arial"/>
              </w:rPr>
              <w:t xml:space="preserve"> </w:t>
            </w:r>
            <w:r w:rsidR="008475D0" w:rsidRPr="008475D0">
              <w:rPr>
                <w:rFonts w:ascii="Arial" w:hAnsi="Arial" w:cs="Arial"/>
              </w:rPr>
              <w:t>(EUR-Lex - 32011R1169 - EN - EUR-Lex, 2011)</w:t>
            </w:r>
          </w:p>
          <w:p w14:paraId="2469EBC0" w14:textId="0E85E185" w:rsidR="008475D0" w:rsidRDefault="008475D0" w:rsidP="008475D0">
            <w:pPr>
              <w:spacing w:line="360" w:lineRule="auto"/>
              <w:jc w:val="both"/>
              <w:rPr>
                <w:rFonts w:ascii="Arial" w:hAnsi="Arial" w:cs="Arial"/>
              </w:rPr>
            </w:pPr>
          </w:p>
          <w:p w14:paraId="3515BF35" w14:textId="2CFB43E7" w:rsidR="004D5147" w:rsidRDefault="008475D0" w:rsidP="008475D0">
            <w:pPr>
              <w:spacing w:line="360" w:lineRule="auto"/>
              <w:jc w:val="both"/>
              <w:rPr>
                <w:rFonts w:ascii="Arial" w:hAnsi="Arial" w:cs="Arial"/>
              </w:rPr>
            </w:pPr>
            <w:r>
              <w:rPr>
                <w:rFonts w:ascii="Arial" w:hAnsi="Arial" w:cs="Arial"/>
              </w:rPr>
              <w:t xml:space="preserve">Additionally, </w:t>
            </w:r>
            <w:r w:rsidRPr="008475D0">
              <w:rPr>
                <w:rFonts w:ascii="Arial" w:hAnsi="Arial" w:cs="Arial"/>
              </w:rPr>
              <w:t>'Natasha's Law,' which is being adopted to protect people with allergies and give them trust in the food they buy, will protect millions of individuals in the UK. Following the death of Natasha Ednan-Laperouse, a girl who died after an allergic response to sesame seeds in a baguette, Natasha's Law was enacted, requiring food manufacturers to carry complete ingredient labelling on pre-packaged for direct sale (PPDS) items</w:t>
            </w:r>
            <w:r>
              <w:rPr>
                <w:rFonts w:ascii="Arial" w:hAnsi="Arial" w:cs="Arial"/>
              </w:rPr>
              <w:t xml:space="preserve"> </w:t>
            </w:r>
            <w:r w:rsidR="004D5147" w:rsidRPr="004D5147">
              <w:rPr>
                <w:rFonts w:ascii="Arial" w:hAnsi="Arial" w:cs="Arial"/>
              </w:rPr>
              <w:t>(What is Natasha's Law? — Natasha Allergy Research Foundation, 2022)</w:t>
            </w:r>
            <w:r w:rsidR="004D5147">
              <w:rPr>
                <w:rFonts w:ascii="Arial" w:hAnsi="Arial" w:cs="Arial"/>
              </w:rPr>
              <w:t xml:space="preserve">. My personal reflection on this topic is, allergies and intolerances must be taken seriously globally. From the unfortunate death of Natsha, it is portrayed how easily people can have a reaction. It is essential that customers should be aware of allergies even if they believe they don’t have any. On site emergency help is essential to protect lives and give people the confidence to eat pre-packaged food. After further reading, I read how Natasha’s Law </w:t>
            </w:r>
            <w:r w:rsidR="000479BC">
              <w:rPr>
                <w:rFonts w:ascii="Arial" w:hAnsi="Arial" w:cs="Arial"/>
              </w:rPr>
              <w:t xml:space="preserve">is </w:t>
            </w:r>
            <w:r w:rsidR="00C831A6">
              <w:rPr>
                <w:rFonts w:ascii="Arial" w:hAnsi="Arial" w:cs="Arial"/>
              </w:rPr>
              <w:t>implemented</w:t>
            </w:r>
            <w:r w:rsidR="000479BC">
              <w:rPr>
                <w:rFonts w:ascii="Arial" w:hAnsi="Arial" w:cs="Arial"/>
              </w:rPr>
              <w:t xml:space="preserve"> in schools too. </w:t>
            </w:r>
            <w:r w:rsidR="004D5147">
              <w:rPr>
                <w:rFonts w:ascii="Arial" w:hAnsi="Arial" w:cs="Arial"/>
              </w:rPr>
              <w:t xml:space="preserve"> </w:t>
            </w:r>
            <w:r w:rsidR="000479BC" w:rsidRPr="000479BC">
              <w:rPr>
                <w:rFonts w:ascii="Arial" w:hAnsi="Arial" w:cs="Arial"/>
              </w:rPr>
              <w:t xml:space="preserve">Natasha's Law will apply to any schools that provide pre-packaged meals prepared on site. "Prepacked for direct sale" is the essential phrase (PPDS). Prior to Natasha's Law, an allergy overview sheet or a note to ask a member of staff about allergenic components was adequate allergen disclosure for these foods. However, beginning in </w:t>
            </w:r>
            <w:r w:rsidR="000479BC" w:rsidRPr="000479BC">
              <w:rPr>
                <w:rFonts w:ascii="Arial" w:hAnsi="Arial" w:cs="Arial"/>
              </w:rPr>
              <w:lastRenderedPageBreak/>
              <w:t>October, every PPDS product must prominently show the item's name and a complete ingredients content, with allergenic substances highlighted in bold, italics, or a change in colour</w:t>
            </w:r>
            <w:r w:rsidR="000479BC">
              <w:rPr>
                <w:rFonts w:ascii="Arial" w:hAnsi="Arial" w:cs="Arial"/>
              </w:rPr>
              <w:t xml:space="preserve"> </w:t>
            </w:r>
            <w:r w:rsidR="000479BC" w:rsidRPr="000479BC">
              <w:rPr>
                <w:rFonts w:ascii="Arial" w:hAnsi="Arial" w:cs="Arial"/>
              </w:rPr>
              <w:t>(Natasha’s Law in schools, 2021)</w:t>
            </w:r>
            <w:r w:rsidR="000479BC">
              <w:rPr>
                <w:rFonts w:ascii="Arial" w:hAnsi="Arial" w:cs="Arial"/>
              </w:rPr>
              <w:t>.</w:t>
            </w:r>
          </w:p>
          <w:p w14:paraId="4703D16A" w14:textId="1756EEEE" w:rsidR="004D5147" w:rsidRDefault="004D5147" w:rsidP="008475D0">
            <w:pPr>
              <w:spacing w:line="360" w:lineRule="auto"/>
              <w:jc w:val="both"/>
              <w:rPr>
                <w:rFonts w:ascii="Arial" w:hAnsi="Arial" w:cs="Arial"/>
              </w:rPr>
            </w:pPr>
          </w:p>
          <w:p w14:paraId="7D18D296" w14:textId="20142285" w:rsidR="000479BC" w:rsidRDefault="000479BC" w:rsidP="008475D0">
            <w:pPr>
              <w:spacing w:line="360" w:lineRule="auto"/>
              <w:jc w:val="both"/>
              <w:rPr>
                <w:rFonts w:ascii="Arial" w:hAnsi="Arial" w:cs="Arial"/>
              </w:rPr>
            </w:pPr>
            <w:r>
              <w:rPr>
                <w:rFonts w:ascii="Arial" w:hAnsi="Arial" w:cs="Arial"/>
              </w:rPr>
              <w:t>Word count: 757</w:t>
            </w:r>
          </w:p>
          <w:p w14:paraId="3C599A83" w14:textId="77777777" w:rsidR="004D5147" w:rsidRDefault="004D5147" w:rsidP="008475D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645FD41A" w:rsidR="00375882" w:rsidRDefault="00375882" w:rsidP="00447AEC">
            <w:pPr>
              <w:jc w:val="both"/>
              <w:rPr>
                <w:rFonts w:ascii="Tahoma" w:hAnsi="Tahoma" w:cs="Tahoma"/>
                <w:sz w:val="20"/>
                <w:szCs w:val="20"/>
              </w:rPr>
            </w:pPr>
          </w:p>
          <w:p w14:paraId="4B58C30F" w14:textId="273FF995" w:rsidR="00456B52" w:rsidRDefault="00456B52" w:rsidP="00447AEC">
            <w:pPr>
              <w:jc w:val="both"/>
              <w:rPr>
                <w:rFonts w:ascii="Tahoma" w:hAnsi="Tahoma" w:cs="Tahoma"/>
                <w:sz w:val="20"/>
                <w:szCs w:val="20"/>
              </w:rPr>
            </w:pPr>
          </w:p>
          <w:p w14:paraId="5C568884" w14:textId="7EC0236A" w:rsidR="00456B52" w:rsidRDefault="00456B52" w:rsidP="00447AEC">
            <w:pPr>
              <w:jc w:val="both"/>
              <w:rPr>
                <w:rFonts w:ascii="Tahoma" w:hAnsi="Tahoma" w:cs="Tahoma"/>
                <w:sz w:val="20"/>
                <w:szCs w:val="20"/>
              </w:rPr>
            </w:pPr>
          </w:p>
          <w:p w14:paraId="2C1B9631" w14:textId="395D92DE" w:rsidR="00456B52" w:rsidRDefault="00456B52" w:rsidP="00447AEC">
            <w:pPr>
              <w:jc w:val="both"/>
              <w:rPr>
                <w:rFonts w:ascii="Tahoma" w:hAnsi="Tahoma" w:cs="Tahoma"/>
                <w:sz w:val="20"/>
                <w:szCs w:val="20"/>
              </w:rPr>
            </w:pPr>
          </w:p>
          <w:p w14:paraId="55D829E9" w14:textId="60CCB2A0" w:rsidR="00456B52" w:rsidRDefault="00456B52" w:rsidP="00447AEC">
            <w:pPr>
              <w:jc w:val="both"/>
              <w:rPr>
                <w:rFonts w:ascii="Tahoma" w:hAnsi="Tahoma" w:cs="Tahoma"/>
                <w:sz w:val="20"/>
                <w:szCs w:val="20"/>
              </w:rPr>
            </w:pPr>
          </w:p>
          <w:p w14:paraId="27ED7BF1" w14:textId="5CB8A1E5" w:rsidR="00456B52" w:rsidRDefault="00456B52" w:rsidP="00447AEC">
            <w:pPr>
              <w:jc w:val="both"/>
              <w:rPr>
                <w:rFonts w:ascii="Tahoma" w:hAnsi="Tahoma" w:cs="Tahoma"/>
                <w:sz w:val="20"/>
                <w:szCs w:val="20"/>
              </w:rPr>
            </w:pPr>
          </w:p>
          <w:p w14:paraId="3227A3C3" w14:textId="35C233F3" w:rsidR="00456B52" w:rsidRDefault="00456B52" w:rsidP="00447AEC">
            <w:pPr>
              <w:jc w:val="both"/>
              <w:rPr>
                <w:rFonts w:ascii="Tahoma" w:hAnsi="Tahoma" w:cs="Tahoma"/>
                <w:sz w:val="20"/>
                <w:szCs w:val="20"/>
              </w:rPr>
            </w:pPr>
          </w:p>
          <w:p w14:paraId="764FCF62" w14:textId="6ED3E832" w:rsidR="00456B52" w:rsidRDefault="00456B52" w:rsidP="00447AEC">
            <w:pPr>
              <w:jc w:val="both"/>
              <w:rPr>
                <w:rFonts w:ascii="Tahoma" w:hAnsi="Tahoma" w:cs="Tahoma"/>
                <w:sz w:val="20"/>
                <w:szCs w:val="20"/>
              </w:rPr>
            </w:pPr>
          </w:p>
          <w:p w14:paraId="527FC145" w14:textId="0A265EB1" w:rsidR="00456B52" w:rsidRDefault="00456B52" w:rsidP="00447AEC">
            <w:pPr>
              <w:jc w:val="both"/>
              <w:rPr>
                <w:rFonts w:ascii="Tahoma" w:hAnsi="Tahoma" w:cs="Tahoma"/>
                <w:sz w:val="20"/>
                <w:szCs w:val="20"/>
              </w:rPr>
            </w:pPr>
          </w:p>
          <w:p w14:paraId="7D0B71FB" w14:textId="3B20A78A" w:rsidR="00456B52" w:rsidRDefault="00456B52" w:rsidP="00447AEC">
            <w:pPr>
              <w:jc w:val="both"/>
              <w:rPr>
                <w:rFonts w:ascii="Tahoma" w:hAnsi="Tahoma" w:cs="Tahoma"/>
                <w:sz w:val="20"/>
                <w:szCs w:val="20"/>
              </w:rPr>
            </w:pPr>
          </w:p>
          <w:p w14:paraId="6EC82EA0" w14:textId="10B193A2" w:rsidR="00456B52" w:rsidRDefault="00456B52" w:rsidP="00447AEC">
            <w:pPr>
              <w:jc w:val="both"/>
              <w:rPr>
                <w:rFonts w:ascii="Tahoma" w:hAnsi="Tahoma" w:cs="Tahoma"/>
                <w:sz w:val="20"/>
                <w:szCs w:val="20"/>
              </w:rPr>
            </w:pPr>
          </w:p>
          <w:p w14:paraId="077969B9" w14:textId="57D996B4" w:rsidR="00456B52" w:rsidRDefault="00456B52" w:rsidP="00447AEC">
            <w:pPr>
              <w:jc w:val="both"/>
              <w:rPr>
                <w:rFonts w:ascii="Tahoma" w:hAnsi="Tahoma" w:cs="Tahoma"/>
                <w:sz w:val="20"/>
                <w:szCs w:val="20"/>
              </w:rPr>
            </w:pPr>
          </w:p>
          <w:p w14:paraId="51774F95" w14:textId="6934D8F3" w:rsidR="00456B52" w:rsidRDefault="00456B52" w:rsidP="00447AEC">
            <w:pPr>
              <w:jc w:val="both"/>
              <w:rPr>
                <w:rFonts w:ascii="Tahoma" w:hAnsi="Tahoma" w:cs="Tahoma"/>
                <w:sz w:val="20"/>
                <w:szCs w:val="20"/>
              </w:rPr>
            </w:pPr>
          </w:p>
          <w:p w14:paraId="2B73C99B" w14:textId="140A054B" w:rsidR="00456B52" w:rsidRDefault="00456B52" w:rsidP="00447AEC">
            <w:pPr>
              <w:jc w:val="both"/>
              <w:rPr>
                <w:rFonts w:ascii="Tahoma" w:hAnsi="Tahoma" w:cs="Tahoma"/>
                <w:sz w:val="20"/>
                <w:szCs w:val="20"/>
              </w:rPr>
            </w:pPr>
          </w:p>
          <w:p w14:paraId="5F79DABF" w14:textId="77777777" w:rsidR="00456B52" w:rsidRDefault="00456B5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0C08CA0A" w14:textId="77777777" w:rsidR="00456B52" w:rsidRDefault="00456B52" w:rsidP="00456B52">
            <w:pPr>
              <w:pStyle w:val="Heading2"/>
              <w:spacing w:before="0"/>
              <w:rPr>
                <w:color w:val="000000"/>
                <w:sz w:val="36"/>
                <w:szCs w:val="36"/>
              </w:rPr>
            </w:pPr>
            <w:r>
              <w:rPr>
                <w:b/>
                <w:bCs/>
                <w:color w:val="000000"/>
              </w:rPr>
              <w:t>References</w:t>
            </w:r>
          </w:p>
          <w:p w14:paraId="483B9542" w14:textId="77777777" w:rsidR="00456B52" w:rsidRDefault="00456B52" w:rsidP="00456B52">
            <w:pPr>
              <w:pStyle w:val="NormalWeb"/>
              <w:spacing w:before="0" w:beforeAutospacing="0" w:after="180" w:afterAutospacing="0"/>
              <w:ind w:left="450" w:hanging="450"/>
              <w:rPr>
                <w:color w:val="000000"/>
                <w:sz w:val="27"/>
                <w:szCs w:val="27"/>
              </w:rPr>
            </w:pPr>
            <w:r>
              <w:rPr>
                <w:color w:val="000000"/>
                <w:sz w:val="27"/>
                <w:szCs w:val="27"/>
              </w:rPr>
              <w:t>Brownejacobson.com. 2021. </w:t>
            </w:r>
            <w:r>
              <w:rPr>
                <w:i/>
                <w:iCs/>
                <w:color w:val="000000"/>
                <w:sz w:val="27"/>
                <w:szCs w:val="27"/>
              </w:rPr>
              <w:t>Natasha’s Law in schools</w:t>
            </w:r>
            <w:r>
              <w:rPr>
                <w:color w:val="000000"/>
                <w:sz w:val="27"/>
                <w:szCs w:val="27"/>
              </w:rPr>
              <w:t>. [online] Available at: &lt;https://www.brownejacobson.com/education/about-us/published-articles/2021/09/natashas-law-in-schools&gt; [Accessed 9 February 2022].</w:t>
            </w:r>
          </w:p>
          <w:p w14:paraId="30D9E496" w14:textId="77777777" w:rsidR="00456B52" w:rsidRDefault="00456B52" w:rsidP="00456B52">
            <w:pPr>
              <w:pStyle w:val="NormalWeb"/>
              <w:spacing w:before="0" w:beforeAutospacing="0" w:after="180" w:afterAutospacing="0"/>
              <w:ind w:left="450" w:hanging="450"/>
              <w:rPr>
                <w:color w:val="000000"/>
                <w:sz w:val="27"/>
                <w:szCs w:val="27"/>
              </w:rPr>
            </w:pPr>
            <w:r>
              <w:rPr>
                <w:color w:val="000000"/>
                <w:sz w:val="27"/>
                <w:szCs w:val="27"/>
              </w:rPr>
              <w:t>Eur-lex.europa.eu. 2011. </w:t>
            </w:r>
            <w:r>
              <w:rPr>
                <w:i/>
                <w:iCs/>
                <w:color w:val="000000"/>
                <w:sz w:val="27"/>
                <w:szCs w:val="27"/>
              </w:rPr>
              <w:t>EUR-Lex - 32011R1169 - EN - EUR-Lex</w:t>
            </w:r>
            <w:r>
              <w:rPr>
                <w:color w:val="000000"/>
                <w:sz w:val="27"/>
                <w:szCs w:val="27"/>
              </w:rPr>
              <w:t>. [online] Available at: &lt;https://eur-lex.europa.eu/legal-content/EN/ALL/?uri=celex%3A32011R1169&gt; [Accessed 9 February 2022].</w:t>
            </w:r>
          </w:p>
          <w:p w14:paraId="32231FA4" w14:textId="77777777" w:rsidR="00456B52" w:rsidRDefault="00456B52" w:rsidP="00456B52">
            <w:pPr>
              <w:pStyle w:val="NormalWeb"/>
              <w:spacing w:before="0" w:beforeAutospacing="0" w:after="180" w:afterAutospacing="0"/>
              <w:ind w:left="450" w:hanging="450"/>
              <w:rPr>
                <w:color w:val="000000"/>
                <w:sz w:val="27"/>
                <w:szCs w:val="27"/>
              </w:rPr>
            </w:pPr>
            <w:r>
              <w:rPr>
                <w:color w:val="000000"/>
                <w:sz w:val="27"/>
                <w:szCs w:val="27"/>
              </w:rPr>
              <w:t>Food Standards Agency. 2021. </w:t>
            </w:r>
            <w:r>
              <w:rPr>
                <w:i/>
                <w:iCs/>
                <w:color w:val="000000"/>
                <w:sz w:val="27"/>
                <w:szCs w:val="27"/>
              </w:rPr>
              <w:t>FSA Board Meeting - June 2021</w:t>
            </w:r>
            <w:r>
              <w:rPr>
                <w:color w:val="000000"/>
                <w:sz w:val="27"/>
                <w:szCs w:val="27"/>
              </w:rPr>
              <w:t>. [online] Available at: &lt;https://www.food.gov.uk/about-us/fsa-board-meeting-june-2021&gt; [Accessed 9 February 2022].</w:t>
            </w:r>
          </w:p>
          <w:p w14:paraId="0881A58E" w14:textId="77777777" w:rsidR="00456B52" w:rsidRDefault="00456B52" w:rsidP="00456B52">
            <w:pPr>
              <w:pStyle w:val="NormalWeb"/>
              <w:spacing w:before="0" w:beforeAutospacing="0" w:after="180" w:afterAutospacing="0"/>
              <w:ind w:left="450" w:hanging="450"/>
              <w:rPr>
                <w:color w:val="000000"/>
                <w:sz w:val="27"/>
                <w:szCs w:val="27"/>
              </w:rPr>
            </w:pPr>
            <w:r>
              <w:rPr>
                <w:color w:val="000000"/>
                <w:sz w:val="27"/>
                <w:szCs w:val="27"/>
              </w:rPr>
              <w:t>Institute of Hospitality. 2022. </w:t>
            </w:r>
            <w:r>
              <w:rPr>
                <w:i/>
                <w:iCs/>
                <w:color w:val="000000"/>
                <w:sz w:val="27"/>
                <w:szCs w:val="27"/>
              </w:rPr>
              <w:t>The Institute of Hospitality is the global professional body for hospitality</w:t>
            </w:r>
            <w:r>
              <w:rPr>
                <w:color w:val="000000"/>
                <w:sz w:val="27"/>
                <w:szCs w:val="27"/>
              </w:rPr>
              <w:t>. [online] Available at: &lt;https://www.instituteofhospitality.org/&gt; [Accessed 9 February 2022].</w:t>
            </w:r>
          </w:p>
          <w:p w14:paraId="70B8FD4B" w14:textId="77777777" w:rsidR="00456B52" w:rsidRDefault="00456B52" w:rsidP="00456B52">
            <w:pPr>
              <w:pStyle w:val="NormalWeb"/>
              <w:spacing w:before="0" w:beforeAutospacing="0" w:after="180" w:afterAutospacing="0"/>
              <w:ind w:left="450" w:hanging="450"/>
              <w:rPr>
                <w:color w:val="000000"/>
                <w:sz w:val="27"/>
                <w:szCs w:val="27"/>
              </w:rPr>
            </w:pPr>
            <w:r>
              <w:rPr>
                <w:color w:val="000000"/>
                <w:sz w:val="27"/>
                <w:szCs w:val="27"/>
              </w:rPr>
              <w:t>Natasha Allergy Research Foundation. 2022. </w:t>
            </w:r>
            <w:r>
              <w:rPr>
                <w:i/>
                <w:iCs/>
                <w:color w:val="000000"/>
                <w:sz w:val="27"/>
                <w:szCs w:val="27"/>
              </w:rPr>
              <w:t>What is Natasha's Law? — Natasha Allergy Research Foundation</w:t>
            </w:r>
            <w:r>
              <w:rPr>
                <w:color w:val="000000"/>
                <w:sz w:val="27"/>
                <w:szCs w:val="27"/>
              </w:rPr>
              <w:t>. [online] Available at: &lt;https://www.narf.org.uk/natashaslaw&gt; [Accessed 9 February 2022].</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66EFE" w14:textId="77777777" w:rsidR="00E05C4D" w:rsidRDefault="00E05C4D">
      <w:r>
        <w:separator/>
      </w:r>
    </w:p>
  </w:endnote>
  <w:endnote w:type="continuationSeparator" w:id="0">
    <w:p w14:paraId="661D44D4" w14:textId="77777777" w:rsidR="00E05C4D" w:rsidRDefault="00E05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2DAA3" w14:textId="77777777" w:rsidR="00E05C4D" w:rsidRDefault="00E05C4D">
      <w:r>
        <w:separator/>
      </w:r>
    </w:p>
  </w:footnote>
  <w:footnote w:type="continuationSeparator" w:id="0">
    <w:p w14:paraId="70E2F04F" w14:textId="77777777" w:rsidR="00E05C4D" w:rsidRDefault="00E05C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5B87"/>
    <w:rsid w:val="000304DF"/>
    <w:rsid w:val="00040CE8"/>
    <w:rsid w:val="0004729E"/>
    <w:rsid w:val="000479BC"/>
    <w:rsid w:val="00076F40"/>
    <w:rsid w:val="00077E55"/>
    <w:rsid w:val="00085CFD"/>
    <w:rsid w:val="000A0C53"/>
    <w:rsid w:val="000B07FA"/>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50CD"/>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56B52"/>
    <w:rsid w:val="004639B7"/>
    <w:rsid w:val="00474A29"/>
    <w:rsid w:val="00486E62"/>
    <w:rsid w:val="004B113B"/>
    <w:rsid w:val="004C08E2"/>
    <w:rsid w:val="004C7E23"/>
    <w:rsid w:val="004D5147"/>
    <w:rsid w:val="005036DE"/>
    <w:rsid w:val="00517154"/>
    <w:rsid w:val="00522B05"/>
    <w:rsid w:val="00542C5B"/>
    <w:rsid w:val="00552EED"/>
    <w:rsid w:val="00566333"/>
    <w:rsid w:val="005C6352"/>
    <w:rsid w:val="005D0DDE"/>
    <w:rsid w:val="005D5D0B"/>
    <w:rsid w:val="0062012D"/>
    <w:rsid w:val="006341BE"/>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2FBD"/>
    <w:rsid w:val="0082407E"/>
    <w:rsid w:val="00826699"/>
    <w:rsid w:val="008475D0"/>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31A6"/>
    <w:rsid w:val="00C85B9B"/>
    <w:rsid w:val="00CA1BF5"/>
    <w:rsid w:val="00CB67B6"/>
    <w:rsid w:val="00CC3464"/>
    <w:rsid w:val="00CC557E"/>
    <w:rsid w:val="00CC63E6"/>
    <w:rsid w:val="00CC6DCB"/>
    <w:rsid w:val="00CD008D"/>
    <w:rsid w:val="00CD40C2"/>
    <w:rsid w:val="00CD461B"/>
    <w:rsid w:val="00D1657F"/>
    <w:rsid w:val="00D42593"/>
    <w:rsid w:val="00D80D6E"/>
    <w:rsid w:val="00D833FD"/>
    <w:rsid w:val="00D95816"/>
    <w:rsid w:val="00DA09FA"/>
    <w:rsid w:val="00DA2CC1"/>
    <w:rsid w:val="00DD00CB"/>
    <w:rsid w:val="00DE6434"/>
    <w:rsid w:val="00E00580"/>
    <w:rsid w:val="00E05C4D"/>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A75FB"/>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link w:val="Heading1Char"/>
    <w:uiPriority w:val="9"/>
    <w:qFormat/>
    <w:rsid w:val="006341BE"/>
    <w:pPr>
      <w:spacing w:before="100" w:beforeAutospacing="1" w:after="100" w:afterAutospacing="1"/>
      <w:outlineLvl w:val="0"/>
    </w:pPr>
    <w:rPr>
      <w:b/>
      <w:bCs/>
      <w:kern w:val="36"/>
      <w:sz w:val="48"/>
      <w:szCs w:val="48"/>
      <w:lang w:val="en-TV" w:eastAsia="en-TV"/>
    </w:rPr>
  </w:style>
  <w:style w:type="paragraph" w:styleId="Heading2">
    <w:name w:val="heading 2"/>
    <w:basedOn w:val="Normal"/>
    <w:next w:val="Normal"/>
    <w:link w:val="Heading2Char"/>
    <w:semiHidden/>
    <w:unhideWhenUsed/>
    <w:qFormat/>
    <w:rsid w:val="00456B5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6341BE"/>
    <w:rPr>
      <w:b/>
      <w:bCs/>
      <w:kern w:val="36"/>
      <w:sz w:val="48"/>
      <w:szCs w:val="48"/>
      <w:lang w:val="en-TV" w:eastAsia="en-TV"/>
    </w:rPr>
  </w:style>
  <w:style w:type="character" w:styleId="Hyperlink">
    <w:name w:val="Hyperlink"/>
    <w:basedOn w:val="DefaultParagraphFont"/>
    <w:uiPriority w:val="99"/>
    <w:semiHidden/>
    <w:unhideWhenUsed/>
    <w:rsid w:val="006341BE"/>
    <w:rPr>
      <w:color w:val="0000FF"/>
      <w:u w:val="single"/>
    </w:rPr>
  </w:style>
  <w:style w:type="character" w:customStyle="1" w:styleId="Heading2Char">
    <w:name w:val="Heading 2 Char"/>
    <w:basedOn w:val="DefaultParagraphFont"/>
    <w:link w:val="Heading2"/>
    <w:semiHidden/>
    <w:rsid w:val="00456B5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39774">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88099575">
      <w:bodyDiv w:val="1"/>
      <w:marLeft w:val="0"/>
      <w:marRight w:val="0"/>
      <w:marTop w:val="0"/>
      <w:marBottom w:val="0"/>
      <w:divBdr>
        <w:top w:val="none" w:sz="0" w:space="0" w:color="auto"/>
        <w:left w:val="none" w:sz="0" w:space="0" w:color="auto"/>
        <w:bottom w:val="none" w:sz="0" w:space="0" w:color="auto"/>
        <w:right w:val="none" w:sz="0" w:space="0" w:color="auto"/>
      </w:divBdr>
      <w:divsChild>
        <w:div w:id="44646222">
          <w:marLeft w:val="0"/>
          <w:marRight w:val="0"/>
          <w:marTop w:val="0"/>
          <w:marBottom w:val="0"/>
          <w:divBdr>
            <w:top w:val="none" w:sz="0" w:space="0" w:color="auto"/>
            <w:left w:val="none" w:sz="0" w:space="0" w:color="auto"/>
            <w:bottom w:val="none" w:sz="0" w:space="0" w:color="auto"/>
            <w:right w:val="none" w:sz="0" w:space="0" w:color="auto"/>
          </w:divBdr>
          <w:divsChild>
            <w:div w:id="118594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102409849">
      <w:bodyDiv w:val="1"/>
      <w:marLeft w:val="0"/>
      <w:marRight w:val="0"/>
      <w:marTop w:val="0"/>
      <w:marBottom w:val="0"/>
      <w:divBdr>
        <w:top w:val="none" w:sz="0" w:space="0" w:color="auto"/>
        <w:left w:val="none" w:sz="0" w:space="0" w:color="auto"/>
        <w:bottom w:val="none" w:sz="0" w:space="0" w:color="auto"/>
        <w:right w:val="none" w:sz="0" w:space="0" w:color="auto"/>
      </w:divBdr>
      <w:divsChild>
        <w:div w:id="1316909491">
          <w:marLeft w:val="0"/>
          <w:marRight w:val="0"/>
          <w:marTop w:val="0"/>
          <w:marBottom w:val="0"/>
          <w:divBdr>
            <w:top w:val="none" w:sz="0" w:space="0" w:color="auto"/>
            <w:left w:val="none" w:sz="0" w:space="0" w:color="auto"/>
            <w:bottom w:val="none" w:sz="0" w:space="0" w:color="auto"/>
            <w:right w:val="none" w:sz="0" w:space="0" w:color="auto"/>
          </w:divBdr>
          <w:divsChild>
            <w:div w:id="33426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1019</Words>
  <Characters>5810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Syeda Momotaz Ferdush</cp:lastModifiedBy>
  <cp:revision>6</cp:revision>
  <cp:lastPrinted>2020-09-28T20:53:00Z</cp:lastPrinted>
  <dcterms:created xsi:type="dcterms:W3CDTF">2022-02-09T17:20:00Z</dcterms:created>
  <dcterms:modified xsi:type="dcterms:W3CDTF">2022-02-09T17:23:00Z</dcterms:modified>
</cp:coreProperties>
</file>