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FD99C" w14:textId="69C6DA49" w:rsidR="00AA328F" w:rsidRPr="00870B31" w:rsidRDefault="00AA328F" w:rsidP="00AA328F">
      <w:pPr>
        <w:spacing w:after="0" w:line="240" w:lineRule="auto"/>
        <w:rPr>
          <w:rFonts w:ascii="Trebuchet MS" w:eastAsia="Arial" w:hAnsi="Trebuchet MS" w:cs="Arial"/>
          <w:b/>
          <w:bCs/>
        </w:rPr>
      </w:pPr>
      <w:r w:rsidRPr="00870B31">
        <w:rPr>
          <w:rFonts w:ascii="Trebuchet MS" w:eastAsia="Arial" w:hAnsi="Trebuchet MS" w:cs="Arial"/>
          <w:b/>
          <w:bCs/>
        </w:rPr>
        <w:t>AC 1.1</w:t>
      </w:r>
    </w:p>
    <w:p w14:paraId="0ABBE93C" w14:textId="2F8BFD4A" w:rsidR="4995FD9A" w:rsidRPr="00FC5BF1" w:rsidRDefault="4995FD9A" w:rsidP="0D258259">
      <w:pPr>
        <w:spacing w:before="210" w:after="210" w:line="300" w:lineRule="auto"/>
        <w:jc w:val="both"/>
        <w:rPr>
          <w:rFonts w:ascii="Trebuchet MS" w:hAnsi="Trebuchet MS"/>
        </w:rPr>
      </w:pPr>
      <w:r w:rsidRPr="00FC5BF1">
        <w:rPr>
          <w:rFonts w:ascii="Trebuchet MS" w:eastAsia="Segoe UI" w:hAnsi="Trebuchet MS" w:cs="Segoe UI"/>
        </w:rPr>
        <w:t xml:space="preserve">Employment regulation is central to defining and supporting the relationship between employers and employees in the UK. It establishes a consistent framework that promotes fairness, legal compliance, and effective organisational practice </w:t>
      </w:r>
      <w:r w:rsidR="00BD0329">
        <w:rPr>
          <w:rFonts w:ascii="Trebuchet MS" w:eastAsia="Segoe UI" w:hAnsi="Trebuchet MS" w:cs="Segoe UI"/>
        </w:rPr>
        <w:t>in</w:t>
      </w:r>
      <w:r w:rsidRPr="00FC5BF1">
        <w:rPr>
          <w:rFonts w:ascii="Trebuchet MS" w:eastAsia="Segoe UI" w:hAnsi="Trebuchet MS" w:cs="Segoe UI"/>
        </w:rPr>
        <w:t xml:space="preserve"> areas such as recruitment, contracts, working time, leave entitlements, discrimination protections, and dismissal procedures. These regulations clarify rights and responsibilities for both parties and provide a basis for managing workplace issues in a transparent and legally defensible manner (CIPD, 2026).</w:t>
      </w:r>
    </w:p>
    <w:p w14:paraId="153FAD27" w14:textId="4D19AEE7" w:rsidR="00582C20" w:rsidRPr="00582C20" w:rsidRDefault="00BB6BBD" w:rsidP="00582C20">
      <w:pPr>
        <w:spacing w:before="210" w:after="210" w:line="300" w:lineRule="auto"/>
        <w:jc w:val="both"/>
        <w:rPr>
          <w:rFonts w:ascii="Trebuchet MS" w:eastAsia="Segoe UI" w:hAnsi="Trebuchet MS" w:cs="Segoe UI"/>
        </w:rPr>
      </w:pPr>
      <w:r>
        <w:rPr>
          <w:rFonts w:ascii="Trebuchet MS" w:eastAsia="Segoe UI" w:hAnsi="Trebuchet MS" w:cs="Segoe UI"/>
        </w:rPr>
        <w:t>E</w:t>
      </w:r>
      <w:r w:rsidR="4995FD9A" w:rsidRPr="00FC5BF1">
        <w:rPr>
          <w:rFonts w:ascii="Trebuchet MS" w:eastAsia="Segoe UI" w:hAnsi="Trebuchet MS" w:cs="Segoe UI"/>
        </w:rPr>
        <w:t xml:space="preserve">mployment regulation </w:t>
      </w:r>
      <w:r>
        <w:rPr>
          <w:rFonts w:ascii="Trebuchet MS" w:eastAsia="Segoe UI" w:hAnsi="Trebuchet MS" w:cs="Segoe UI"/>
        </w:rPr>
        <w:t>aims</w:t>
      </w:r>
      <w:r w:rsidR="4995FD9A" w:rsidRPr="00FC5BF1">
        <w:rPr>
          <w:rFonts w:ascii="Trebuchet MS" w:eastAsia="Segoe UI" w:hAnsi="Trebuchet MS" w:cs="Segoe UI"/>
        </w:rPr>
        <w:t xml:space="preserve"> to safeguard employee rights and uphold minimum employment standards. The Employment Rights Act 1996 forms the foundation of these protections, covering statutory entitlements related to pay, working hours, leave, protection from unlawful deductions, and safeguards against unfair dismissal. By embedding these standards in law, the UK ensures that employment conditions are determined by market pressures or individual negotiation </w:t>
      </w:r>
      <w:r w:rsidR="00EE36E3">
        <w:rPr>
          <w:rFonts w:ascii="Trebuchet MS" w:eastAsia="Segoe UI" w:hAnsi="Trebuchet MS" w:cs="Segoe UI"/>
        </w:rPr>
        <w:t>and</w:t>
      </w:r>
      <w:r w:rsidR="4995FD9A" w:rsidRPr="00FC5BF1">
        <w:rPr>
          <w:rFonts w:ascii="Trebuchet MS" w:eastAsia="Segoe UI" w:hAnsi="Trebuchet MS" w:cs="Segoe UI"/>
        </w:rPr>
        <w:t xml:space="preserve"> reflect statutory requirements that promote fairness and consistency. UK employment regulation aligns with international labour standards, including those established by the International Labour Organisation, helping to reinforce ethical and responsible employment practice. </w:t>
      </w:r>
      <w:r w:rsidR="00AE03F1">
        <w:rPr>
          <w:rFonts w:ascii="Trebuchet MS" w:eastAsia="Segoe UI" w:hAnsi="Trebuchet MS" w:cs="Segoe UI"/>
        </w:rPr>
        <w:t>Recent</w:t>
      </w:r>
      <w:r w:rsidR="4995FD9A" w:rsidRPr="00FC5BF1">
        <w:rPr>
          <w:rFonts w:ascii="Trebuchet MS" w:eastAsia="Segoe UI" w:hAnsi="Trebuchet MS" w:cs="Segoe UI"/>
        </w:rPr>
        <w:t xml:space="preserve"> developments</w:t>
      </w:r>
      <w:r w:rsidR="00B1038D">
        <w:rPr>
          <w:rFonts w:ascii="Trebuchet MS" w:eastAsia="Segoe UI" w:hAnsi="Trebuchet MS" w:cs="Segoe UI"/>
        </w:rPr>
        <w:t xml:space="preserve"> </w:t>
      </w:r>
      <w:r w:rsidR="4995FD9A" w:rsidRPr="00FC5BF1">
        <w:rPr>
          <w:rFonts w:ascii="Trebuchet MS" w:eastAsia="Segoe UI" w:hAnsi="Trebuchet MS" w:cs="Segoe UI"/>
        </w:rPr>
        <w:t>such as expand</w:t>
      </w:r>
      <w:r w:rsidR="004D08BB">
        <w:rPr>
          <w:rFonts w:ascii="Trebuchet MS" w:eastAsia="Segoe UI" w:hAnsi="Trebuchet MS" w:cs="Segoe UI"/>
        </w:rPr>
        <w:t>ing</w:t>
      </w:r>
      <w:r w:rsidR="4995FD9A" w:rsidRPr="00FC5BF1">
        <w:rPr>
          <w:rFonts w:ascii="Trebuchet MS" w:eastAsia="Segoe UI" w:hAnsi="Trebuchet MS" w:cs="Segoe UI"/>
        </w:rPr>
        <w:t xml:space="preserve"> flexible working rights and enhanc</w:t>
      </w:r>
      <w:r w:rsidR="004D08BB">
        <w:rPr>
          <w:rFonts w:ascii="Trebuchet MS" w:eastAsia="Segoe UI" w:hAnsi="Trebuchet MS" w:cs="Segoe UI"/>
        </w:rPr>
        <w:t>ing</w:t>
      </w:r>
      <w:r w:rsidR="4995FD9A" w:rsidRPr="00FC5BF1">
        <w:rPr>
          <w:rFonts w:ascii="Trebuchet MS" w:eastAsia="Segoe UI" w:hAnsi="Trebuchet MS" w:cs="Segoe UI"/>
        </w:rPr>
        <w:t xml:space="preserve"> protections for carers</w:t>
      </w:r>
      <w:r w:rsidR="00682BB1">
        <w:rPr>
          <w:rFonts w:ascii="Trebuchet MS" w:eastAsia="Segoe UI" w:hAnsi="Trebuchet MS" w:cs="Segoe UI"/>
        </w:rPr>
        <w:t xml:space="preserve"> </w:t>
      </w:r>
      <w:r w:rsidR="004D08BB">
        <w:rPr>
          <w:rFonts w:ascii="Trebuchet MS" w:eastAsia="Segoe UI" w:hAnsi="Trebuchet MS" w:cs="Segoe UI"/>
        </w:rPr>
        <w:t>shows</w:t>
      </w:r>
      <w:r w:rsidR="4995FD9A" w:rsidRPr="00FC5BF1">
        <w:rPr>
          <w:rFonts w:ascii="Trebuchet MS" w:eastAsia="Segoe UI" w:hAnsi="Trebuchet MS" w:cs="Segoe UI"/>
        </w:rPr>
        <w:t xml:space="preserve"> how regulation </w:t>
      </w:r>
      <w:r w:rsidR="00375BE8">
        <w:rPr>
          <w:rFonts w:ascii="Trebuchet MS" w:eastAsia="Segoe UI" w:hAnsi="Trebuchet MS" w:cs="Segoe UI"/>
        </w:rPr>
        <w:t xml:space="preserve">continues to </w:t>
      </w:r>
      <w:r w:rsidR="4995FD9A" w:rsidRPr="00FC5BF1">
        <w:rPr>
          <w:rFonts w:ascii="Trebuchet MS" w:eastAsia="Segoe UI" w:hAnsi="Trebuchet MS" w:cs="Segoe UI"/>
        </w:rPr>
        <w:t xml:space="preserve">evolve in line with social and economic change, supporting a more inclusive </w:t>
      </w:r>
      <w:r w:rsidR="00375BE8">
        <w:rPr>
          <w:rFonts w:ascii="Trebuchet MS" w:eastAsia="Segoe UI" w:hAnsi="Trebuchet MS" w:cs="Segoe UI"/>
        </w:rPr>
        <w:t xml:space="preserve">and adaptable </w:t>
      </w:r>
      <w:r w:rsidR="4995FD9A" w:rsidRPr="00FC5BF1">
        <w:rPr>
          <w:rFonts w:ascii="Trebuchet MS" w:eastAsia="Segoe UI" w:hAnsi="Trebuchet MS" w:cs="Segoe UI"/>
        </w:rPr>
        <w:t>modern labour market (</w:t>
      </w:r>
      <w:r w:rsidR="00582C20" w:rsidRPr="00582C20">
        <w:rPr>
          <w:rFonts w:ascii="Trebuchet MS" w:eastAsia="Segoe UI" w:hAnsi="Trebuchet MS" w:cs="Segoe UI"/>
        </w:rPr>
        <w:t>Legislation.gov.uk (2026)</w:t>
      </w:r>
      <w:r w:rsidR="005C1CE9">
        <w:rPr>
          <w:rFonts w:ascii="Trebuchet MS" w:eastAsia="Segoe UI" w:hAnsi="Trebuchet MS" w:cs="Segoe UI"/>
        </w:rPr>
        <w:t>)</w:t>
      </w:r>
    </w:p>
    <w:p w14:paraId="10449F6F" w14:textId="2DDFFBB1" w:rsidR="009559CD" w:rsidRPr="009559CD" w:rsidRDefault="4995FD9A" w:rsidP="009559CD">
      <w:pPr>
        <w:spacing w:before="210" w:after="210" w:line="300" w:lineRule="auto"/>
        <w:jc w:val="both"/>
        <w:rPr>
          <w:rFonts w:ascii="Trebuchet MS" w:eastAsia="Segoe UI" w:hAnsi="Trebuchet MS" w:cs="Segoe UI"/>
        </w:rPr>
      </w:pPr>
      <w:r w:rsidRPr="00FC5BF1">
        <w:rPr>
          <w:rFonts w:ascii="Trebuchet MS" w:eastAsia="Segoe UI" w:hAnsi="Trebuchet MS" w:cs="Segoe UI"/>
        </w:rPr>
        <w:t>Another</w:t>
      </w:r>
      <w:r w:rsidR="009B13B8">
        <w:rPr>
          <w:rFonts w:ascii="Trebuchet MS" w:eastAsia="Segoe UI" w:hAnsi="Trebuchet MS" w:cs="Segoe UI"/>
        </w:rPr>
        <w:t xml:space="preserve"> </w:t>
      </w:r>
      <w:r w:rsidRPr="00FC5BF1">
        <w:rPr>
          <w:rFonts w:ascii="Trebuchet MS" w:eastAsia="Segoe UI" w:hAnsi="Trebuchet MS" w:cs="Segoe UI"/>
        </w:rPr>
        <w:t>objective of employment regulation is balancing employer flexibility with worker security. CIPD analysis</w:t>
      </w:r>
      <w:r w:rsidR="00182634">
        <w:rPr>
          <w:rFonts w:ascii="Trebuchet MS" w:eastAsia="Segoe UI" w:hAnsi="Trebuchet MS" w:cs="Segoe UI"/>
        </w:rPr>
        <w:t xml:space="preserve"> (2021)</w:t>
      </w:r>
      <w:r w:rsidRPr="00FC5BF1">
        <w:rPr>
          <w:rFonts w:ascii="Trebuchet MS" w:eastAsia="Segoe UI" w:hAnsi="Trebuchet MS" w:cs="Segoe UI"/>
        </w:rPr>
        <w:t xml:space="preserve"> suggests that the UK labour market historically achieves a reasonable balance between protecting employees and enabling employers to manage their workforce effectively. Excessive </w:t>
      </w:r>
      <w:r w:rsidR="003C1D7A">
        <w:rPr>
          <w:rFonts w:ascii="Trebuchet MS" w:eastAsia="Segoe UI" w:hAnsi="Trebuchet MS" w:cs="Segoe UI"/>
        </w:rPr>
        <w:t>changes</w:t>
      </w:r>
      <w:r w:rsidRPr="00FC5BF1">
        <w:rPr>
          <w:rFonts w:ascii="Trebuchet MS" w:eastAsia="Segoe UI" w:hAnsi="Trebuchet MS" w:cs="Segoe UI"/>
        </w:rPr>
        <w:t xml:space="preserve"> in regulation offer limited benefit, as overly burdensome rules can restrict organisational </w:t>
      </w:r>
      <w:r w:rsidR="003C1D7A">
        <w:rPr>
          <w:rFonts w:ascii="Trebuchet MS" w:eastAsia="Segoe UI" w:hAnsi="Trebuchet MS" w:cs="Segoe UI"/>
        </w:rPr>
        <w:t>agil</w:t>
      </w:r>
      <w:r w:rsidRPr="00FC5BF1">
        <w:rPr>
          <w:rFonts w:ascii="Trebuchet MS" w:eastAsia="Segoe UI" w:hAnsi="Trebuchet MS" w:cs="Segoe UI"/>
        </w:rPr>
        <w:t xml:space="preserve">ity, </w:t>
      </w:r>
      <w:r w:rsidR="003C1D7A">
        <w:rPr>
          <w:rFonts w:ascii="Trebuchet MS" w:eastAsia="Segoe UI" w:hAnsi="Trebuchet MS" w:cs="Segoe UI"/>
        </w:rPr>
        <w:t>and</w:t>
      </w:r>
      <w:r w:rsidRPr="00FC5BF1">
        <w:rPr>
          <w:rFonts w:ascii="Trebuchet MS" w:eastAsia="Segoe UI" w:hAnsi="Trebuchet MS" w:cs="Segoe UI"/>
        </w:rPr>
        <w:t xml:space="preserve"> insufficient regulation can expose employees to unfair treatment and insecurity (Cheese, 2024). The Employment Rights </w:t>
      </w:r>
      <w:r w:rsidR="00B539CB">
        <w:rPr>
          <w:rFonts w:ascii="Trebuchet MS" w:eastAsia="Segoe UI" w:hAnsi="Trebuchet MS" w:cs="Segoe UI"/>
        </w:rPr>
        <w:t>Act 2025</w:t>
      </w:r>
      <w:r w:rsidRPr="00FC5BF1">
        <w:rPr>
          <w:rFonts w:ascii="Trebuchet MS" w:eastAsia="Segoe UI" w:hAnsi="Trebuchet MS" w:cs="Segoe UI"/>
        </w:rPr>
        <w:t xml:space="preserve"> reflects one of the most significant reforms in recent years, proposing improvements to statutory sick pay, parental leave, harassment protections, and rights for workers in insecure employment. </w:t>
      </w:r>
      <w:r w:rsidR="009559CD" w:rsidRPr="009559CD">
        <w:rPr>
          <w:rFonts w:ascii="Trebuchet MS" w:eastAsia="Segoe UI" w:hAnsi="Trebuchet MS" w:cs="Segoe UI"/>
        </w:rPr>
        <w:t>These reforms aim to enhance working conditions while ensuring that regulation remains practical and manageable for employers, as highlighted by the CIPD in its response to the Employment Rights Bill</w:t>
      </w:r>
      <w:r w:rsidR="009559CD">
        <w:rPr>
          <w:rFonts w:ascii="Trebuchet MS" w:eastAsia="Segoe UI" w:hAnsi="Trebuchet MS" w:cs="Segoe UI"/>
        </w:rPr>
        <w:t xml:space="preserve"> (CIPD, 2024)</w:t>
      </w:r>
      <w:r w:rsidR="001E2309">
        <w:rPr>
          <w:rFonts w:ascii="Trebuchet MS" w:eastAsia="Segoe UI" w:hAnsi="Trebuchet MS" w:cs="Segoe UI"/>
        </w:rPr>
        <w:t>.</w:t>
      </w:r>
    </w:p>
    <w:p w14:paraId="464CEF72" w14:textId="50A11DA7" w:rsidR="4995FD9A" w:rsidRDefault="006F4C81" w:rsidP="0D258259">
      <w:pPr>
        <w:spacing w:before="210" w:after="210" w:line="300" w:lineRule="auto"/>
        <w:jc w:val="both"/>
        <w:rPr>
          <w:rFonts w:ascii="Trebuchet MS" w:eastAsia="Segoe UI" w:hAnsi="Trebuchet MS" w:cs="Segoe UI"/>
        </w:rPr>
      </w:pPr>
      <w:r>
        <w:rPr>
          <w:rFonts w:ascii="Trebuchet MS" w:eastAsia="Segoe UI" w:hAnsi="Trebuchet MS" w:cs="Segoe UI"/>
        </w:rPr>
        <w:t>Regulation</w:t>
      </w:r>
      <w:r w:rsidR="4995FD9A" w:rsidRPr="00FC5BF1">
        <w:rPr>
          <w:rFonts w:ascii="Trebuchet MS" w:eastAsia="Segoe UI" w:hAnsi="Trebuchet MS" w:cs="Segoe UI"/>
        </w:rPr>
        <w:t xml:space="preserve"> support</w:t>
      </w:r>
      <w:r w:rsidR="00153B72">
        <w:rPr>
          <w:rFonts w:ascii="Trebuchet MS" w:eastAsia="Segoe UI" w:hAnsi="Trebuchet MS" w:cs="Segoe UI"/>
        </w:rPr>
        <w:t>s</w:t>
      </w:r>
      <w:r w:rsidR="4995FD9A" w:rsidRPr="00FC5BF1">
        <w:rPr>
          <w:rFonts w:ascii="Trebuchet MS" w:eastAsia="Segoe UI" w:hAnsi="Trebuchet MS" w:cs="Segoe UI"/>
        </w:rPr>
        <w:t xml:space="preserve"> fair and transparent decision making, reduce organisational risk, and help build employee trust. People professionals play a crucial role in implementing these requirements, ensuring employment practices align with legal obligations and enable staff to feel protected and valued (CIPD, 2026).</w:t>
      </w:r>
    </w:p>
    <w:p w14:paraId="58FFEF91" w14:textId="53DAB882" w:rsidR="00C349E0" w:rsidRPr="00870B31" w:rsidRDefault="00C349E0" w:rsidP="00C349E0">
      <w:pPr>
        <w:spacing w:after="0" w:line="240" w:lineRule="auto"/>
        <w:rPr>
          <w:rFonts w:ascii="Trebuchet MS" w:eastAsia="Arial" w:hAnsi="Trebuchet MS" w:cs="Arial"/>
          <w:b/>
          <w:bCs/>
        </w:rPr>
      </w:pPr>
      <w:r w:rsidRPr="00870B31">
        <w:rPr>
          <w:rFonts w:ascii="Trebuchet MS" w:eastAsia="Arial" w:hAnsi="Trebuchet MS" w:cs="Arial"/>
          <w:b/>
          <w:bCs/>
        </w:rPr>
        <w:t>AC 1.2</w:t>
      </w:r>
    </w:p>
    <w:p w14:paraId="3A6DDCF5" w14:textId="151D4ECB" w:rsidR="0001150D" w:rsidRPr="00CC071C" w:rsidRDefault="0001150D" w:rsidP="00FB418D">
      <w:pPr>
        <w:spacing w:before="210" w:after="210" w:line="300" w:lineRule="auto"/>
        <w:jc w:val="both"/>
        <w:rPr>
          <w:rFonts w:ascii="Trebuchet MS" w:hAnsi="Trebuchet MS"/>
        </w:rPr>
      </w:pPr>
      <w:r w:rsidRPr="00CC071C">
        <w:rPr>
          <w:rFonts w:ascii="Trebuchet MS" w:hAnsi="Trebuchet MS"/>
        </w:rPr>
        <w:t xml:space="preserve">The European Court of Justice (ECJ) has historically exerted substantial influence over UK employment law. Prior to Brexit, a significant proportion of UK employment protections derived from EU directives, supported by the European Communities Act 1972, which ensured the supremacy of EU law and required UK courts to interpret domestic legislation </w:t>
      </w:r>
      <w:r w:rsidRPr="00CC071C">
        <w:rPr>
          <w:rFonts w:ascii="Trebuchet MS" w:hAnsi="Trebuchet MS"/>
        </w:rPr>
        <w:lastRenderedPageBreak/>
        <w:t xml:space="preserve">in line with EU principles. ECJ judgments were binding on UK courts, and UK tribunals were able to refer questions to the ECJ for clarification. ECJ case law shaped key areas including working time, equality, and transfer of undertakings. Influential decisions such as </w:t>
      </w:r>
      <w:r w:rsidRPr="00CC071C">
        <w:rPr>
          <w:rFonts w:ascii="Trebuchet MS" w:hAnsi="Trebuchet MS"/>
          <w:i/>
          <w:iCs/>
        </w:rPr>
        <w:t xml:space="preserve">Dekker v </w:t>
      </w:r>
      <w:proofErr w:type="spellStart"/>
      <w:r w:rsidRPr="00CC071C">
        <w:rPr>
          <w:rFonts w:ascii="Trebuchet MS" w:hAnsi="Trebuchet MS"/>
          <w:i/>
          <w:iCs/>
        </w:rPr>
        <w:t>Stichting</w:t>
      </w:r>
      <w:proofErr w:type="spellEnd"/>
      <w:r w:rsidRPr="00CC071C">
        <w:rPr>
          <w:rFonts w:ascii="Trebuchet MS" w:hAnsi="Trebuchet MS"/>
          <w:i/>
          <w:iCs/>
        </w:rPr>
        <w:t xml:space="preserve"> </w:t>
      </w:r>
      <w:proofErr w:type="spellStart"/>
      <w:r w:rsidRPr="00CC071C">
        <w:rPr>
          <w:rFonts w:ascii="Trebuchet MS" w:hAnsi="Trebuchet MS"/>
          <w:i/>
          <w:iCs/>
        </w:rPr>
        <w:t>Vormingscentrum</w:t>
      </w:r>
      <w:proofErr w:type="spellEnd"/>
      <w:r w:rsidRPr="00CC071C">
        <w:rPr>
          <w:rFonts w:ascii="Trebuchet MS" w:hAnsi="Trebuchet MS"/>
        </w:rPr>
        <w:t xml:space="preserve"> (1990) on pregnancy discrimination, and </w:t>
      </w:r>
      <w:r w:rsidRPr="00CC071C">
        <w:rPr>
          <w:rFonts w:ascii="Trebuchet MS" w:hAnsi="Trebuchet MS"/>
          <w:i/>
          <w:iCs/>
        </w:rPr>
        <w:t xml:space="preserve">Enderby v </w:t>
      </w:r>
      <w:proofErr w:type="spellStart"/>
      <w:r w:rsidRPr="00CC071C">
        <w:rPr>
          <w:rFonts w:ascii="Trebuchet MS" w:hAnsi="Trebuchet MS"/>
          <w:i/>
          <w:iCs/>
        </w:rPr>
        <w:t>Frenchay</w:t>
      </w:r>
      <w:proofErr w:type="spellEnd"/>
      <w:r w:rsidRPr="00CC071C">
        <w:rPr>
          <w:rFonts w:ascii="Trebuchet MS" w:hAnsi="Trebuchet MS"/>
          <w:i/>
          <w:iCs/>
        </w:rPr>
        <w:t xml:space="preserve"> Health Authority</w:t>
      </w:r>
      <w:r w:rsidRPr="00CC071C">
        <w:rPr>
          <w:rFonts w:ascii="Trebuchet MS" w:hAnsi="Trebuchet MS"/>
        </w:rPr>
        <w:t xml:space="preserve"> (1993) on equal pay demonstrate the ECJ’s profound role in developing UK employment protections (Personnel Today, 201</w:t>
      </w:r>
      <w:r w:rsidR="00906766">
        <w:rPr>
          <w:rFonts w:ascii="Trebuchet MS" w:hAnsi="Trebuchet MS"/>
        </w:rPr>
        <w:t>8</w:t>
      </w:r>
      <w:r w:rsidRPr="00CC071C">
        <w:rPr>
          <w:rFonts w:ascii="Trebuchet MS" w:hAnsi="Trebuchet MS"/>
        </w:rPr>
        <w:t>).</w:t>
      </w:r>
    </w:p>
    <w:p w14:paraId="23C26B9D" w14:textId="1D7D2802" w:rsidR="0001150D" w:rsidRPr="00EA50A4" w:rsidRDefault="0001150D" w:rsidP="00FB418D">
      <w:pPr>
        <w:spacing w:before="210" w:after="210" w:line="300" w:lineRule="auto"/>
        <w:jc w:val="both"/>
        <w:rPr>
          <w:rFonts w:ascii="Trebuchet MS" w:hAnsi="Trebuchet MS"/>
        </w:rPr>
      </w:pPr>
      <w:r w:rsidRPr="00EA50A4">
        <w:rPr>
          <w:rFonts w:ascii="Trebuchet MS" w:hAnsi="Trebuchet MS"/>
        </w:rPr>
        <w:t>Following the 2016 referendum, the UK entered a transitional period culminating in formal exit on 31 January 2020. Under the Withdrawal Agreement, EU law</w:t>
      </w:r>
      <w:r w:rsidR="006B0DD8" w:rsidRPr="00EA50A4">
        <w:rPr>
          <w:rFonts w:ascii="Trebuchet MS" w:hAnsi="Trebuchet MS"/>
        </w:rPr>
        <w:t xml:space="preserve">, </w:t>
      </w:r>
      <w:r w:rsidRPr="00EA50A4">
        <w:rPr>
          <w:rFonts w:ascii="Trebuchet MS" w:hAnsi="Trebuchet MS"/>
        </w:rPr>
        <w:t>including ECJ jurisdiction</w:t>
      </w:r>
      <w:r w:rsidR="006B0DD8" w:rsidRPr="00EA50A4">
        <w:rPr>
          <w:rFonts w:ascii="Trebuchet MS" w:hAnsi="Trebuchet MS"/>
        </w:rPr>
        <w:t xml:space="preserve"> </w:t>
      </w:r>
      <w:r w:rsidRPr="00EA50A4">
        <w:rPr>
          <w:rFonts w:ascii="Trebuchet MS" w:hAnsi="Trebuchet MS"/>
        </w:rPr>
        <w:t>continued to apply until 31 December 2020, preserving continuity in employment rights and legal interpretation (House of Commons Library, 2020). During this period, UK courts were still bound by ECJ rulings, and EU-derived employment protections remained fully effective.</w:t>
      </w:r>
    </w:p>
    <w:p w14:paraId="74A719E2" w14:textId="0467CF84" w:rsidR="0001150D" w:rsidRPr="00EA50A4" w:rsidRDefault="00744659" w:rsidP="00FB418D">
      <w:pPr>
        <w:spacing w:before="210" w:after="210" w:line="300" w:lineRule="auto"/>
        <w:jc w:val="both"/>
        <w:rPr>
          <w:rFonts w:ascii="Trebuchet MS" w:hAnsi="Trebuchet MS"/>
        </w:rPr>
      </w:pPr>
      <w:r w:rsidRPr="00744659">
        <w:rPr>
          <w:rFonts w:ascii="Trebuchet MS" w:hAnsi="Trebuchet MS"/>
        </w:rPr>
        <w:t>From 1 January 2021, the UK created a new system</w:t>
      </w:r>
      <w:r w:rsidR="00315148">
        <w:rPr>
          <w:rFonts w:ascii="Trebuchet MS" w:hAnsi="Trebuchet MS"/>
        </w:rPr>
        <w:t xml:space="preserve"> of</w:t>
      </w:r>
      <w:r w:rsidRPr="00744659">
        <w:rPr>
          <w:rFonts w:ascii="Trebuchet MS" w:hAnsi="Trebuchet MS"/>
        </w:rPr>
        <w:t xml:space="preserve"> </w:t>
      </w:r>
      <w:r w:rsidR="00315148">
        <w:rPr>
          <w:rFonts w:ascii="Trebuchet MS" w:hAnsi="Trebuchet MS"/>
        </w:rPr>
        <w:t>‘</w:t>
      </w:r>
      <w:r w:rsidRPr="00744659">
        <w:rPr>
          <w:rFonts w:ascii="Trebuchet MS" w:hAnsi="Trebuchet MS"/>
        </w:rPr>
        <w:t>retained EU law</w:t>
      </w:r>
      <w:r w:rsidR="00315148">
        <w:rPr>
          <w:rFonts w:ascii="Trebuchet MS" w:hAnsi="Trebuchet MS"/>
        </w:rPr>
        <w:t xml:space="preserve">’ </w:t>
      </w:r>
      <w:r w:rsidRPr="00744659">
        <w:rPr>
          <w:rFonts w:ascii="Trebuchet MS" w:hAnsi="Trebuchet MS"/>
        </w:rPr>
        <w:t>to manage the rules carried over from the EU. UK lower courts still follow</w:t>
      </w:r>
      <w:r w:rsidR="00FC6803">
        <w:rPr>
          <w:rFonts w:ascii="Trebuchet MS" w:hAnsi="Trebuchet MS"/>
        </w:rPr>
        <w:t>ed</w:t>
      </w:r>
      <w:r w:rsidRPr="00744659">
        <w:rPr>
          <w:rFonts w:ascii="Trebuchet MS" w:hAnsi="Trebuchet MS"/>
        </w:rPr>
        <w:t xml:space="preserve"> EU Court of Justice decisions made before Brexit, but higher courts (like the Court of Appeal and Supreme Court) c</w:t>
      </w:r>
      <w:r w:rsidR="0096682D">
        <w:rPr>
          <w:rFonts w:ascii="Trebuchet MS" w:hAnsi="Trebuchet MS"/>
        </w:rPr>
        <w:t>ould</w:t>
      </w:r>
      <w:r w:rsidRPr="00744659">
        <w:rPr>
          <w:rFonts w:ascii="Trebuchet MS" w:hAnsi="Trebuchet MS"/>
        </w:rPr>
        <w:t xml:space="preserve"> choose to move away from them. Any new ECJ rulings made after Brexit are not binding, though UK courts can look at them if they are helpful. This change gives UK judges more freedom to rethink areas that were heavily shaped by EU rulings</w:t>
      </w:r>
      <w:r w:rsidR="0096682D">
        <w:rPr>
          <w:rFonts w:ascii="Trebuchet MS" w:hAnsi="Trebuchet MS"/>
        </w:rPr>
        <w:t xml:space="preserve"> </w:t>
      </w:r>
      <w:r w:rsidRPr="00744659">
        <w:rPr>
          <w:rFonts w:ascii="Trebuchet MS" w:hAnsi="Trebuchet MS"/>
        </w:rPr>
        <w:t>such as how holiday pay should be calculated, which has long been influenced by ECJ case law</w:t>
      </w:r>
      <w:r w:rsidR="00EA50A4" w:rsidRPr="00EA50A4">
        <w:rPr>
          <w:rFonts w:ascii="Trebuchet MS" w:hAnsi="Trebuchet MS"/>
        </w:rPr>
        <w:t xml:space="preserve"> </w:t>
      </w:r>
      <w:r w:rsidR="0001150D" w:rsidRPr="00EA50A4">
        <w:rPr>
          <w:rFonts w:ascii="Trebuchet MS" w:hAnsi="Trebuchet MS"/>
        </w:rPr>
        <w:t>(DLA Piper, 20</w:t>
      </w:r>
      <w:r w:rsidR="00AA3BF3">
        <w:rPr>
          <w:rFonts w:ascii="Trebuchet MS" w:hAnsi="Trebuchet MS"/>
        </w:rPr>
        <w:t>24</w:t>
      </w:r>
      <w:r w:rsidR="0001150D" w:rsidRPr="00EA50A4">
        <w:rPr>
          <w:rFonts w:ascii="Trebuchet MS" w:hAnsi="Trebuchet MS"/>
        </w:rPr>
        <w:t>).</w:t>
      </w:r>
    </w:p>
    <w:p w14:paraId="4998E79D" w14:textId="52FF5605" w:rsidR="0001150D" w:rsidRPr="006348F8" w:rsidRDefault="00026FB7" w:rsidP="00FB418D">
      <w:pPr>
        <w:spacing w:before="210" w:after="210" w:line="300" w:lineRule="auto"/>
        <w:jc w:val="both"/>
        <w:rPr>
          <w:rFonts w:ascii="Trebuchet MS" w:hAnsi="Trebuchet MS"/>
        </w:rPr>
      </w:pPr>
      <w:r w:rsidRPr="006348F8">
        <w:rPr>
          <w:rFonts w:ascii="Trebuchet MS" w:hAnsi="Trebuchet MS"/>
        </w:rPr>
        <w:t>At the same time, t</w:t>
      </w:r>
      <w:r w:rsidR="00CE6FAD" w:rsidRPr="00CE6FAD">
        <w:rPr>
          <w:rFonts w:ascii="Trebuchet MS" w:hAnsi="Trebuchet MS"/>
        </w:rPr>
        <w:t xml:space="preserve">he UK–EU Trade and Cooperation Agreement (TCA) </w:t>
      </w:r>
      <w:r w:rsidRPr="006348F8">
        <w:rPr>
          <w:rFonts w:ascii="Trebuchet MS" w:hAnsi="Trebuchet MS"/>
        </w:rPr>
        <w:t>introduced</w:t>
      </w:r>
      <w:r w:rsidR="00CE6FAD" w:rsidRPr="00CE6FAD">
        <w:rPr>
          <w:rFonts w:ascii="Trebuchet MS" w:hAnsi="Trebuchet MS"/>
        </w:rPr>
        <w:t xml:space="preserve"> rules to make sure both sides keep similar labour standards, so that </w:t>
      </w:r>
      <w:r w:rsidR="001E7D3B" w:rsidRPr="006348F8">
        <w:rPr>
          <w:rFonts w:ascii="Trebuchet MS" w:hAnsi="Trebuchet MS"/>
        </w:rPr>
        <w:t>t</w:t>
      </w:r>
      <w:r w:rsidR="00CE6FAD" w:rsidRPr="00CE6FAD">
        <w:rPr>
          <w:rFonts w:ascii="Trebuchet MS" w:hAnsi="Trebuchet MS"/>
        </w:rPr>
        <w:t xml:space="preserve">rading advantage </w:t>
      </w:r>
      <w:r w:rsidR="001E7D3B" w:rsidRPr="006348F8">
        <w:rPr>
          <w:rFonts w:ascii="Trebuchet MS" w:hAnsi="Trebuchet MS"/>
        </w:rPr>
        <w:t xml:space="preserve">could not be gained </w:t>
      </w:r>
      <w:r w:rsidR="00CE6FAD" w:rsidRPr="00CE6FAD">
        <w:rPr>
          <w:rFonts w:ascii="Trebuchet MS" w:hAnsi="Trebuchet MS"/>
        </w:rPr>
        <w:t>by weakening workers’ rights. This means that even though the UK ha</w:t>
      </w:r>
      <w:r w:rsidR="00C15DAD" w:rsidRPr="006348F8">
        <w:rPr>
          <w:rFonts w:ascii="Trebuchet MS" w:hAnsi="Trebuchet MS"/>
        </w:rPr>
        <w:t>s</w:t>
      </w:r>
      <w:r w:rsidR="00CE6FAD" w:rsidRPr="00CE6FAD">
        <w:rPr>
          <w:rFonts w:ascii="Trebuchet MS" w:hAnsi="Trebuchet MS"/>
        </w:rPr>
        <w:t xml:space="preserve"> more control over its own laws after Brexit, it cannot make major cuts to employment protections if doing so would affect fair competition in trade</w:t>
      </w:r>
      <w:r w:rsidR="00C15DAD" w:rsidRPr="006348F8">
        <w:rPr>
          <w:rFonts w:ascii="Trebuchet MS" w:hAnsi="Trebuchet MS"/>
        </w:rPr>
        <w:t xml:space="preserve"> </w:t>
      </w:r>
      <w:r w:rsidR="0001150D" w:rsidRPr="006348F8">
        <w:rPr>
          <w:rFonts w:ascii="Trebuchet MS" w:hAnsi="Trebuchet MS"/>
        </w:rPr>
        <w:t>(CIPD, 2025).</w:t>
      </w:r>
    </w:p>
    <w:p w14:paraId="09FA5D43" w14:textId="77777777" w:rsidR="0001150D" w:rsidRPr="006348F8" w:rsidRDefault="0001150D" w:rsidP="00FB418D">
      <w:pPr>
        <w:spacing w:before="210" w:after="210" w:line="300" w:lineRule="auto"/>
        <w:jc w:val="both"/>
        <w:rPr>
          <w:rFonts w:ascii="Trebuchet MS" w:hAnsi="Trebuchet MS"/>
        </w:rPr>
      </w:pPr>
      <w:r w:rsidRPr="006348F8">
        <w:rPr>
          <w:rFonts w:ascii="Trebuchet MS" w:hAnsi="Trebuchet MS"/>
        </w:rPr>
        <w:t>The Retained EU Law (Revocation and Reform) Act 2023, effective from 1 January 2024, granted the UK Government expanded capacity to amend or repeal retained EU employment law. Despite this increased flexibility, major employment protections remain largely unchanged to date (CIPD, 2025).</w:t>
      </w:r>
    </w:p>
    <w:p w14:paraId="26720577" w14:textId="61179D6D" w:rsidR="00824212" w:rsidRPr="00824212" w:rsidRDefault="006348F8" w:rsidP="00FB418D">
      <w:pPr>
        <w:spacing w:before="210" w:after="210" w:line="300" w:lineRule="auto"/>
        <w:jc w:val="both"/>
        <w:rPr>
          <w:rFonts w:ascii="Trebuchet MS" w:hAnsi="Trebuchet MS"/>
        </w:rPr>
      </w:pPr>
      <w:r w:rsidRPr="006348F8">
        <w:rPr>
          <w:rFonts w:ascii="Trebuchet MS" w:hAnsi="Trebuchet MS"/>
        </w:rPr>
        <w:t xml:space="preserve">The </w:t>
      </w:r>
      <w:r w:rsidR="00824212" w:rsidRPr="00824212">
        <w:rPr>
          <w:rFonts w:ascii="Trebuchet MS" w:hAnsi="Trebuchet MS"/>
        </w:rPr>
        <w:t>UK now operates a model of “qualified retention.” Pre</w:t>
      </w:r>
      <w:r w:rsidR="00824212" w:rsidRPr="00824212">
        <w:rPr>
          <w:rFonts w:ascii="Trebuchet MS" w:hAnsi="Trebuchet MS"/>
        </w:rPr>
        <w:noBreakHyphen/>
        <w:t>2020 ECJ case law remains authoritative for assimilated EU law, binding on lower courts and persuasive for higher courts, whose ability to depart exists but is used cautiously (Law Society, 2025).</w:t>
      </w:r>
    </w:p>
    <w:p w14:paraId="4128A5DD" w14:textId="2226136F" w:rsidR="009152A4" w:rsidRPr="00FB418D" w:rsidRDefault="009152A4" w:rsidP="006C2667">
      <w:pPr>
        <w:spacing w:before="210" w:after="210" w:line="300" w:lineRule="auto"/>
        <w:jc w:val="both"/>
        <w:rPr>
          <w:rFonts w:ascii="Trebuchet MS" w:hAnsi="Trebuchet MS"/>
          <w:b/>
          <w:bCs/>
        </w:rPr>
      </w:pPr>
      <w:r w:rsidRPr="00FB418D">
        <w:rPr>
          <w:rFonts w:ascii="Trebuchet MS" w:hAnsi="Trebuchet MS"/>
          <w:b/>
          <w:bCs/>
        </w:rPr>
        <w:t>AC 2.1</w:t>
      </w:r>
    </w:p>
    <w:p w14:paraId="79DE785D" w14:textId="77777777" w:rsidR="00B50620" w:rsidRDefault="00BB5448" w:rsidP="000B7977">
      <w:pPr>
        <w:spacing w:before="210" w:after="210" w:line="300" w:lineRule="auto"/>
        <w:jc w:val="both"/>
        <w:rPr>
          <w:rFonts w:ascii="Trebuchet MS" w:hAnsi="Trebuchet MS"/>
        </w:rPr>
      </w:pPr>
      <w:r w:rsidRPr="00BB5448">
        <w:rPr>
          <w:rFonts w:ascii="Trebuchet MS" w:hAnsi="Trebuchet MS"/>
        </w:rPr>
        <w:t>Under UK discrimination law, the default position is that employers must not treat job applicants less favourably because of protected characteristics</w:t>
      </w:r>
      <w:r w:rsidR="000830FF">
        <w:rPr>
          <w:rFonts w:ascii="Trebuchet MS" w:hAnsi="Trebuchet MS"/>
        </w:rPr>
        <w:t xml:space="preserve"> </w:t>
      </w:r>
      <w:r w:rsidRPr="00BB5448">
        <w:rPr>
          <w:rFonts w:ascii="Trebuchet MS" w:hAnsi="Trebuchet MS"/>
        </w:rPr>
        <w:t xml:space="preserve">as set out in the Equality Act 2010 (Morris, 2026). </w:t>
      </w:r>
      <w:r w:rsidR="00C54641">
        <w:rPr>
          <w:rFonts w:ascii="Trebuchet MS" w:hAnsi="Trebuchet MS"/>
        </w:rPr>
        <w:t xml:space="preserve">The protected </w:t>
      </w:r>
      <w:r w:rsidR="00B50620">
        <w:rPr>
          <w:rFonts w:ascii="Trebuchet MS" w:hAnsi="Trebuchet MS"/>
        </w:rPr>
        <w:t>characteristics covered by the Act are highlighted in the following diagram:</w:t>
      </w:r>
    </w:p>
    <w:p w14:paraId="6B2F75D8" w14:textId="5074B27D" w:rsidR="00B50620" w:rsidRDefault="00ED25D0" w:rsidP="00B60C02">
      <w:pPr>
        <w:spacing w:before="210" w:after="210" w:line="300" w:lineRule="auto"/>
        <w:jc w:val="center"/>
        <w:rPr>
          <w:rFonts w:ascii="Trebuchet MS" w:hAnsi="Trebuchet MS"/>
        </w:rPr>
      </w:pPr>
      <w:r w:rsidRPr="00ED25D0">
        <w:rPr>
          <w:rFonts w:ascii="Trebuchet MS" w:hAnsi="Trebuchet MS"/>
          <w:noProof/>
        </w:rPr>
        <w:lastRenderedPageBreak/>
        <w:drawing>
          <wp:inline distT="0" distB="0" distL="0" distR="0" wp14:anchorId="27F039AB" wp14:editId="200BAE1C">
            <wp:extent cx="3245618" cy="2794838"/>
            <wp:effectExtent l="0" t="0" r="0" b="5715"/>
            <wp:docPr id="41322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24167" name=""/>
                    <pic:cNvPicPr/>
                  </pic:nvPicPr>
                  <pic:blipFill>
                    <a:blip r:embed="rId6"/>
                    <a:stretch>
                      <a:fillRect/>
                    </a:stretch>
                  </pic:blipFill>
                  <pic:spPr>
                    <a:xfrm>
                      <a:off x="0" y="0"/>
                      <a:ext cx="3249787" cy="2798428"/>
                    </a:xfrm>
                    <a:prstGeom prst="rect">
                      <a:avLst/>
                    </a:prstGeom>
                  </pic:spPr>
                </pic:pic>
              </a:graphicData>
            </a:graphic>
          </wp:inline>
        </w:drawing>
      </w:r>
    </w:p>
    <w:p w14:paraId="0C8C851E" w14:textId="65F06C10" w:rsidR="00530E3A" w:rsidRPr="00AB3D62" w:rsidRDefault="00AB3D62" w:rsidP="00B60C02">
      <w:pPr>
        <w:spacing w:before="210" w:after="210" w:line="300" w:lineRule="auto"/>
        <w:jc w:val="center"/>
        <w:rPr>
          <w:rFonts w:ascii="Trebuchet MS" w:hAnsi="Trebuchet MS"/>
          <w:sz w:val="16"/>
          <w:szCs w:val="16"/>
        </w:rPr>
      </w:pPr>
      <w:r w:rsidRPr="00AB3D62">
        <w:rPr>
          <w:rFonts w:ascii="Trebuchet MS" w:hAnsi="Trebuchet MS"/>
          <w:sz w:val="16"/>
          <w:szCs w:val="16"/>
        </w:rPr>
        <w:t>Fig 1: The Equality Act 2010, Protected Characteristics</w:t>
      </w:r>
    </w:p>
    <w:p w14:paraId="6040016E" w14:textId="394D95A8" w:rsidR="00BB5448" w:rsidRPr="00BB5448" w:rsidRDefault="00BB5448" w:rsidP="000B7977">
      <w:pPr>
        <w:spacing w:before="210" w:after="210" w:line="300" w:lineRule="auto"/>
        <w:jc w:val="both"/>
        <w:rPr>
          <w:rFonts w:ascii="Trebuchet MS" w:hAnsi="Trebuchet MS"/>
        </w:rPr>
      </w:pPr>
      <w:r w:rsidRPr="00BB5448">
        <w:rPr>
          <w:rFonts w:ascii="Trebuchet MS" w:hAnsi="Trebuchet MS"/>
        </w:rPr>
        <w:t>Th</w:t>
      </w:r>
      <w:r w:rsidR="00CF38FA">
        <w:rPr>
          <w:rFonts w:ascii="Trebuchet MS" w:hAnsi="Trebuchet MS"/>
        </w:rPr>
        <w:t>e duties of the act</w:t>
      </w:r>
      <w:r w:rsidRPr="00BB5448">
        <w:rPr>
          <w:rFonts w:ascii="Trebuchet MS" w:hAnsi="Trebuchet MS"/>
        </w:rPr>
        <w:t xml:space="preserve"> appl</w:t>
      </w:r>
      <w:r w:rsidR="00CF38FA">
        <w:rPr>
          <w:rFonts w:ascii="Trebuchet MS" w:hAnsi="Trebuchet MS"/>
        </w:rPr>
        <w:t>y</w:t>
      </w:r>
      <w:r w:rsidRPr="00BB5448">
        <w:rPr>
          <w:rFonts w:ascii="Trebuchet MS" w:hAnsi="Trebuchet MS"/>
        </w:rPr>
        <w:t xml:space="preserve"> from advertising through to selection and appointment. However, the Act contains a tightly defined exception allowing employers to specify a protected characteristic</w:t>
      </w:r>
      <w:r w:rsidR="00B20807">
        <w:rPr>
          <w:rFonts w:ascii="Trebuchet MS" w:hAnsi="Trebuchet MS"/>
        </w:rPr>
        <w:t xml:space="preserve">, </w:t>
      </w:r>
      <w:r w:rsidRPr="00BB5448">
        <w:rPr>
          <w:rFonts w:ascii="Trebuchet MS" w:hAnsi="Trebuchet MS"/>
        </w:rPr>
        <w:t>such as requiring a job to be carried out by a man or a woman</w:t>
      </w:r>
      <w:r w:rsidR="00B20807">
        <w:rPr>
          <w:rFonts w:ascii="Trebuchet MS" w:hAnsi="Trebuchet MS"/>
        </w:rPr>
        <w:t xml:space="preserve">, </w:t>
      </w:r>
      <w:r w:rsidRPr="00BB5448">
        <w:rPr>
          <w:rFonts w:ascii="Trebuchet MS" w:hAnsi="Trebuchet MS"/>
        </w:rPr>
        <w:t>where a genuine occupational requirement (GOR) applies.</w:t>
      </w:r>
    </w:p>
    <w:p w14:paraId="24908AEA" w14:textId="43BDD122" w:rsidR="00BB5448" w:rsidRPr="00BB5448" w:rsidRDefault="00BB5448" w:rsidP="00E25166">
      <w:pPr>
        <w:spacing w:before="210" w:after="210" w:line="300" w:lineRule="auto"/>
        <w:jc w:val="both"/>
        <w:rPr>
          <w:rFonts w:ascii="Trebuchet MS" w:hAnsi="Trebuchet MS"/>
        </w:rPr>
      </w:pPr>
      <w:r w:rsidRPr="00BB5448">
        <w:rPr>
          <w:rFonts w:ascii="Trebuchet MS" w:hAnsi="Trebuchet MS"/>
        </w:rPr>
        <w:t>The statutory basis for this exception is found in Schedule 9, Part 1 of the Equality Act 2010, which permits an employer to impose such a requirement only where it is genuinely essential to the role. To rely on a GOR, an employer must demonstrate that the characteristic is</w:t>
      </w:r>
      <w:r w:rsidR="00E25166">
        <w:rPr>
          <w:rFonts w:ascii="Trebuchet MS" w:hAnsi="Trebuchet MS"/>
        </w:rPr>
        <w:t xml:space="preserve"> a</w:t>
      </w:r>
      <w:r w:rsidRPr="00BB5448">
        <w:rPr>
          <w:rFonts w:ascii="Trebuchet MS" w:hAnsi="Trebuchet MS"/>
        </w:rPr>
        <w:t xml:space="preserve"> genuine occupational requirement,</w:t>
      </w:r>
      <w:r w:rsidR="00E25166">
        <w:rPr>
          <w:rFonts w:ascii="Trebuchet MS" w:hAnsi="Trebuchet MS"/>
        </w:rPr>
        <w:t xml:space="preserve"> a</w:t>
      </w:r>
      <w:r w:rsidRPr="00BB5448">
        <w:rPr>
          <w:rFonts w:ascii="Trebuchet MS" w:hAnsi="Trebuchet MS"/>
        </w:rPr>
        <w:t xml:space="preserve"> proportionate means of achieving a legitimate aim, and</w:t>
      </w:r>
      <w:r w:rsidR="00E25166">
        <w:rPr>
          <w:rFonts w:ascii="Trebuchet MS" w:hAnsi="Trebuchet MS"/>
        </w:rPr>
        <w:t xml:space="preserve"> is r</w:t>
      </w:r>
      <w:r w:rsidRPr="00BB5448">
        <w:rPr>
          <w:rFonts w:ascii="Trebuchet MS" w:hAnsi="Trebuchet MS"/>
        </w:rPr>
        <w:t>elevant to the essential nature or context of the work (</w:t>
      </w:r>
      <w:r w:rsidR="00AA3BF3">
        <w:rPr>
          <w:rFonts w:ascii="Trebuchet MS" w:hAnsi="Trebuchet MS"/>
        </w:rPr>
        <w:t xml:space="preserve">Legislation, </w:t>
      </w:r>
      <w:proofErr w:type="spellStart"/>
      <w:r w:rsidR="00AA3BF3">
        <w:rPr>
          <w:rFonts w:ascii="Trebuchet MS" w:hAnsi="Trebuchet MS"/>
        </w:rPr>
        <w:t>n.d</w:t>
      </w:r>
      <w:proofErr w:type="spellEnd"/>
      <w:r w:rsidR="00AA3BF3">
        <w:rPr>
          <w:rFonts w:ascii="Trebuchet MS" w:hAnsi="Trebuchet MS"/>
        </w:rPr>
        <w:t>)</w:t>
      </w:r>
      <w:r w:rsidRPr="00BB5448">
        <w:rPr>
          <w:rFonts w:ascii="Trebuchet MS" w:hAnsi="Trebuchet MS"/>
        </w:rPr>
        <w:t>.</w:t>
      </w:r>
    </w:p>
    <w:p w14:paraId="582DFFE2" w14:textId="77777777" w:rsidR="00BB5448" w:rsidRPr="00BB5448" w:rsidRDefault="00BB5448" w:rsidP="000B7977">
      <w:pPr>
        <w:spacing w:before="210" w:after="210" w:line="300" w:lineRule="auto"/>
        <w:jc w:val="both"/>
        <w:rPr>
          <w:rFonts w:ascii="Trebuchet MS" w:hAnsi="Trebuchet MS"/>
        </w:rPr>
      </w:pPr>
      <w:r w:rsidRPr="00BB5448">
        <w:rPr>
          <w:rFonts w:ascii="Trebuchet MS" w:hAnsi="Trebuchet MS"/>
        </w:rPr>
        <w:t>EHRC guidance also highlights that such exceptions are often misapplied and clarifies that when the characteristic is sex, the relevant definition is a person’s legal sex (EHRC, 2024), reinforcing the need for precision and legal accuracy.</w:t>
      </w:r>
    </w:p>
    <w:p w14:paraId="6117C836" w14:textId="4FC63FB8" w:rsidR="0073411C" w:rsidRPr="0073411C" w:rsidRDefault="0073411C" w:rsidP="0073411C">
      <w:pPr>
        <w:spacing w:before="210" w:after="210" w:line="300" w:lineRule="auto"/>
        <w:jc w:val="both"/>
        <w:rPr>
          <w:rFonts w:ascii="Trebuchet MS" w:hAnsi="Trebuchet MS"/>
        </w:rPr>
      </w:pPr>
      <w:r w:rsidRPr="0073411C">
        <w:rPr>
          <w:rFonts w:ascii="Trebuchet MS" w:hAnsi="Trebuchet MS"/>
        </w:rPr>
        <w:t>A sex</w:t>
      </w:r>
      <w:r w:rsidRPr="0073411C">
        <w:rPr>
          <w:rFonts w:ascii="Trebuchet MS" w:hAnsi="Trebuchet MS"/>
        </w:rPr>
        <w:noBreakHyphen/>
        <w:t>specific requirement is lawful only where the nature or context of the work makes biological sex essential to performing the role</w:t>
      </w:r>
      <w:r w:rsidR="00F6033B">
        <w:rPr>
          <w:rFonts w:ascii="Trebuchet MS" w:hAnsi="Trebuchet MS"/>
        </w:rPr>
        <w:t xml:space="preserve"> (CIPD, 2025)</w:t>
      </w:r>
    </w:p>
    <w:p w14:paraId="1165D0C3" w14:textId="697BED5E" w:rsidR="00BB5448" w:rsidRPr="00BB5448" w:rsidRDefault="00BB5448" w:rsidP="000B7977">
      <w:pPr>
        <w:spacing w:before="210" w:after="210" w:line="300" w:lineRule="auto"/>
        <w:jc w:val="both"/>
        <w:rPr>
          <w:rFonts w:ascii="Trebuchet MS" w:hAnsi="Trebuchet MS"/>
        </w:rPr>
      </w:pPr>
      <w:r w:rsidRPr="00BB5448">
        <w:rPr>
          <w:rFonts w:ascii="Trebuchet MS" w:hAnsi="Trebuchet MS"/>
        </w:rPr>
        <w:t>For example</w:t>
      </w:r>
      <w:r w:rsidR="00AC043E">
        <w:rPr>
          <w:rFonts w:ascii="Trebuchet MS" w:hAnsi="Trebuchet MS"/>
        </w:rPr>
        <w:t>, p</w:t>
      </w:r>
      <w:r w:rsidRPr="00BB5448">
        <w:rPr>
          <w:rFonts w:ascii="Trebuchet MS" w:hAnsi="Trebuchet MS"/>
        </w:rPr>
        <w:t>rivacy and decency contexts</w:t>
      </w:r>
      <w:r w:rsidR="00AC043E">
        <w:rPr>
          <w:rFonts w:ascii="Trebuchet MS" w:hAnsi="Trebuchet MS"/>
        </w:rPr>
        <w:t xml:space="preserve"> w</w:t>
      </w:r>
      <w:r w:rsidRPr="00BB5448">
        <w:rPr>
          <w:rFonts w:ascii="Trebuchet MS" w:hAnsi="Trebuchet MS"/>
        </w:rPr>
        <w:t>here the role requires intimate contact or access to private spaces, such as a female attendant in a women’s changing room or a male worker in a men’s secure residential unit. These cases meet the proportionality test and protect dignity and safeguarding standards (Brodies LLP, 2024).</w:t>
      </w:r>
    </w:p>
    <w:p w14:paraId="0A069006" w14:textId="6F5CB8EA" w:rsidR="00BB5448" w:rsidRPr="00BB5448" w:rsidRDefault="003A3D91" w:rsidP="000B7977">
      <w:pPr>
        <w:spacing w:before="210" w:after="210" w:line="300" w:lineRule="auto"/>
        <w:jc w:val="both"/>
        <w:rPr>
          <w:rFonts w:ascii="Trebuchet MS" w:hAnsi="Trebuchet MS"/>
        </w:rPr>
      </w:pPr>
      <w:r>
        <w:rPr>
          <w:rFonts w:ascii="Trebuchet MS" w:hAnsi="Trebuchet MS"/>
        </w:rPr>
        <w:t>Another example might be a</w:t>
      </w:r>
      <w:r w:rsidR="00BB5448" w:rsidRPr="00BB5448">
        <w:rPr>
          <w:rFonts w:ascii="Trebuchet MS" w:hAnsi="Trebuchet MS"/>
        </w:rPr>
        <w:t>uthenticity in performance roles</w:t>
      </w:r>
      <w:r>
        <w:rPr>
          <w:rFonts w:ascii="Trebuchet MS" w:hAnsi="Trebuchet MS"/>
        </w:rPr>
        <w:t xml:space="preserve"> where a</w:t>
      </w:r>
      <w:r w:rsidR="00BB5448" w:rsidRPr="00BB5448">
        <w:rPr>
          <w:rFonts w:ascii="Trebuchet MS" w:hAnsi="Trebuchet MS"/>
        </w:rPr>
        <w:t xml:space="preserve"> theatre company may require an actor of a particular sex to depict a historic character realistically (Brodies LLP, 2024).</w:t>
      </w:r>
    </w:p>
    <w:p w14:paraId="1E79BEB8" w14:textId="77777777" w:rsidR="00BB5448" w:rsidRPr="00BB5448" w:rsidRDefault="00BB5448" w:rsidP="000B7977">
      <w:pPr>
        <w:spacing w:before="210" w:after="210" w:line="300" w:lineRule="auto"/>
        <w:jc w:val="both"/>
        <w:rPr>
          <w:rFonts w:ascii="Trebuchet MS" w:hAnsi="Trebuchet MS"/>
        </w:rPr>
      </w:pPr>
      <w:r w:rsidRPr="00BB5448">
        <w:rPr>
          <w:rFonts w:ascii="Trebuchet MS" w:hAnsi="Trebuchet MS"/>
        </w:rPr>
        <w:t>A sex</w:t>
      </w:r>
      <w:r w:rsidRPr="00BB5448">
        <w:rPr>
          <w:rFonts w:ascii="Trebuchet MS" w:hAnsi="Trebuchet MS"/>
        </w:rPr>
        <w:noBreakHyphen/>
        <w:t>based requirement is unlawful where it is based on:</w:t>
      </w:r>
    </w:p>
    <w:p w14:paraId="3F965683" w14:textId="471E3289" w:rsidR="00BB5448" w:rsidRPr="00BB5448" w:rsidRDefault="00BB5448" w:rsidP="000B7977">
      <w:pPr>
        <w:numPr>
          <w:ilvl w:val="0"/>
          <w:numId w:val="47"/>
        </w:numPr>
        <w:spacing w:before="210" w:after="210" w:line="300" w:lineRule="auto"/>
        <w:jc w:val="both"/>
        <w:rPr>
          <w:rFonts w:ascii="Trebuchet MS" w:hAnsi="Trebuchet MS"/>
        </w:rPr>
      </w:pPr>
      <w:r w:rsidRPr="00BB5448">
        <w:rPr>
          <w:rFonts w:ascii="Trebuchet MS" w:hAnsi="Trebuchet MS"/>
        </w:rPr>
        <w:t>Customer preference or stereotypes</w:t>
      </w:r>
      <w:r w:rsidR="00284A29">
        <w:rPr>
          <w:rFonts w:ascii="Trebuchet MS" w:hAnsi="Trebuchet MS"/>
        </w:rPr>
        <w:t xml:space="preserve"> alone</w:t>
      </w:r>
      <w:r w:rsidR="002749C2">
        <w:rPr>
          <w:rFonts w:ascii="Trebuchet MS" w:hAnsi="Trebuchet MS"/>
        </w:rPr>
        <w:t xml:space="preserve"> </w:t>
      </w:r>
      <w:r w:rsidRPr="00BB5448">
        <w:rPr>
          <w:rFonts w:ascii="Trebuchet MS" w:hAnsi="Trebuchet MS"/>
        </w:rPr>
        <w:t>(</w:t>
      </w:r>
      <w:r w:rsidR="00284A29">
        <w:rPr>
          <w:rFonts w:ascii="Trebuchet MS" w:hAnsi="Trebuchet MS"/>
        </w:rPr>
        <w:t xml:space="preserve">Trowers &amp; </w:t>
      </w:r>
      <w:proofErr w:type="spellStart"/>
      <w:r w:rsidR="00284A29">
        <w:rPr>
          <w:rFonts w:ascii="Trebuchet MS" w:hAnsi="Trebuchet MS"/>
        </w:rPr>
        <w:t>Hamlins</w:t>
      </w:r>
      <w:proofErr w:type="spellEnd"/>
      <w:r w:rsidR="00284A29">
        <w:rPr>
          <w:rFonts w:ascii="Trebuchet MS" w:hAnsi="Trebuchet MS"/>
        </w:rPr>
        <w:t>, 2023)</w:t>
      </w:r>
      <w:r w:rsidRPr="00BB5448">
        <w:rPr>
          <w:rFonts w:ascii="Trebuchet MS" w:hAnsi="Trebuchet MS"/>
        </w:rPr>
        <w:t>.</w:t>
      </w:r>
    </w:p>
    <w:p w14:paraId="0581A5E0" w14:textId="1E73F9FF" w:rsidR="00BB5448" w:rsidRPr="008E75DD" w:rsidRDefault="008E75DD" w:rsidP="008E75DD">
      <w:pPr>
        <w:pStyle w:val="ListParagraph"/>
        <w:numPr>
          <w:ilvl w:val="0"/>
          <w:numId w:val="47"/>
        </w:numPr>
        <w:spacing w:after="0" w:line="300" w:lineRule="atLeast"/>
        <w:rPr>
          <w:rFonts w:ascii="Segoe UI" w:eastAsia="Times New Roman" w:hAnsi="Segoe UI" w:cs="Segoe UI"/>
          <w:sz w:val="21"/>
          <w:szCs w:val="21"/>
          <w:lang w:eastAsia="en-GB"/>
        </w:rPr>
      </w:pPr>
      <w:r w:rsidRPr="008E75DD">
        <w:rPr>
          <w:rFonts w:ascii="Segoe UI" w:eastAsia="Times New Roman" w:hAnsi="Segoe UI" w:cs="Segoe UI"/>
          <w:sz w:val="21"/>
          <w:szCs w:val="21"/>
          <w:lang w:eastAsia="en-GB"/>
        </w:rPr>
        <w:lastRenderedPageBreak/>
        <w:t>Managerial convenience or general workforce balancing cannot justify positive action, as Section 159 of the Equality Act 2010 permits such measures only as a tie</w:t>
      </w:r>
      <w:r w:rsidRPr="008E75DD">
        <w:rPr>
          <w:rFonts w:ascii="Segoe UI" w:eastAsia="Times New Roman" w:hAnsi="Segoe UI" w:cs="Segoe UI"/>
          <w:sz w:val="21"/>
          <w:szCs w:val="21"/>
          <w:lang w:eastAsia="en-GB"/>
        </w:rPr>
        <w:noBreakHyphen/>
        <w:t>breaker between candidates of genuinely equal merit and does not allow restricting applications to one sex</w:t>
      </w:r>
      <w:r w:rsidR="00BB5448" w:rsidRPr="008E75DD">
        <w:rPr>
          <w:rFonts w:ascii="Trebuchet MS" w:hAnsi="Trebuchet MS"/>
        </w:rPr>
        <w:t xml:space="preserve"> (</w:t>
      </w:r>
      <w:r>
        <w:rPr>
          <w:rFonts w:ascii="Trebuchet MS" w:hAnsi="Trebuchet MS"/>
        </w:rPr>
        <w:t xml:space="preserve">GOV.UK, </w:t>
      </w:r>
      <w:proofErr w:type="spellStart"/>
      <w:r w:rsidR="002749C2">
        <w:rPr>
          <w:rFonts w:ascii="Trebuchet MS" w:hAnsi="Trebuchet MS"/>
        </w:rPr>
        <w:t>n.d</w:t>
      </w:r>
      <w:proofErr w:type="spellEnd"/>
      <w:r w:rsidR="00BB5448" w:rsidRPr="008E75DD">
        <w:rPr>
          <w:rFonts w:ascii="Trebuchet MS" w:hAnsi="Trebuchet MS"/>
        </w:rPr>
        <w:t>).</w:t>
      </w:r>
    </w:p>
    <w:p w14:paraId="7FDD64C6" w14:textId="77777777" w:rsidR="00BB5448" w:rsidRPr="00BB5448" w:rsidRDefault="00BB5448" w:rsidP="000B7977">
      <w:pPr>
        <w:spacing w:before="210" w:after="210" w:line="300" w:lineRule="auto"/>
        <w:jc w:val="both"/>
        <w:rPr>
          <w:rFonts w:ascii="Trebuchet MS" w:hAnsi="Trebuchet MS"/>
        </w:rPr>
      </w:pPr>
      <w:r w:rsidRPr="00BB5448">
        <w:rPr>
          <w:rFonts w:ascii="Trebuchet MS" w:hAnsi="Trebuchet MS"/>
        </w:rPr>
        <w:t>GORs are a narrow exception. Employers must apply the Schedule 9 test rigorously, ensuring the requirement is essential, proportionate, and directly linked to the job’s core duties. Misapplication risks unlawful direct discrimination, so decisions must be supported by clear, role</w:t>
      </w:r>
      <w:r w:rsidRPr="00BB5448">
        <w:rPr>
          <w:rFonts w:ascii="Trebuchet MS" w:hAnsi="Trebuchet MS"/>
        </w:rPr>
        <w:noBreakHyphen/>
        <w:t>specific justification.</w:t>
      </w:r>
    </w:p>
    <w:p w14:paraId="35AE4F8F" w14:textId="0382D550" w:rsidR="00326C08" w:rsidRPr="00FA3F2F" w:rsidRDefault="00AB05C2" w:rsidP="0022118A">
      <w:pPr>
        <w:rPr>
          <w:rFonts w:ascii="Trebuchet MS" w:hAnsi="Trebuchet MS"/>
          <w:b/>
          <w:bCs/>
        </w:rPr>
      </w:pPr>
      <w:r w:rsidRPr="00FA3F2F">
        <w:rPr>
          <w:rFonts w:ascii="Trebuchet MS" w:hAnsi="Trebuchet MS"/>
          <w:b/>
          <w:bCs/>
        </w:rPr>
        <w:t>AC 2.2</w:t>
      </w:r>
    </w:p>
    <w:p w14:paraId="66502076" w14:textId="6F3BEAAF" w:rsidR="00522F8F" w:rsidRPr="00522F8F" w:rsidRDefault="007F26E8" w:rsidP="00DB0D5A">
      <w:pPr>
        <w:spacing w:before="210" w:after="210" w:line="300" w:lineRule="auto"/>
        <w:jc w:val="both"/>
        <w:rPr>
          <w:rFonts w:ascii="Trebuchet MS" w:hAnsi="Trebuchet MS"/>
        </w:rPr>
      </w:pPr>
      <w:r>
        <w:rPr>
          <w:rFonts w:ascii="Trebuchet MS" w:hAnsi="Trebuchet MS"/>
        </w:rPr>
        <w:t xml:space="preserve">The proposal </w:t>
      </w:r>
      <w:r w:rsidR="00522F8F" w:rsidRPr="00522F8F">
        <w:rPr>
          <w:rFonts w:ascii="Trebuchet MS" w:hAnsi="Trebuchet MS"/>
        </w:rPr>
        <w:t>raises significant legal risks under UK equal pay legislation. Because 80% of HCAs in the Trust are women, upgrading only the two men creates a potential breach of the Equality Act 2010, which requires that men and women performing equal work receive equal pay unless a lawful, non</w:t>
      </w:r>
      <w:r w:rsidR="00522F8F" w:rsidRPr="00522F8F">
        <w:rPr>
          <w:rFonts w:ascii="Trebuchet MS" w:hAnsi="Trebuchet MS"/>
        </w:rPr>
        <w:noBreakHyphen/>
        <w:t>sex</w:t>
      </w:r>
      <w:r w:rsidR="00522F8F" w:rsidRPr="00522F8F">
        <w:rPr>
          <w:rFonts w:ascii="Trebuchet MS" w:hAnsi="Trebuchet MS"/>
        </w:rPr>
        <w:noBreakHyphen/>
        <w:t>related justification applies (</w:t>
      </w:r>
      <w:r w:rsidR="005D2798">
        <w:rPr>
          <w:rFonts w:ascii="Trebuchet MS" w:hAnsi="Trebuchet MS"/>
        </w:rPr>
        <w:t>UK</w:t>
      </w:r>
      <w:r w:rsidR="00337160">
        <w:rPr>
          <w:rFonts w:ascii="Trebuchet MS" w:hAnsi="Trebuchet MS"/>
        </w:rPr>
        <w:t xml:space="preserve"> Government, </w:t>
      </w:r>
      <w:r w:rsidR="005D2798">
        <w:rPr>
          <w:rFonts w:ascii="Trebuchet MS" w:hAnsi="Trebuchet MS"/>
        </w:rPr>
        <w:t>2010)</w:t>
      </w:r>
      <w:r w:rsidR="00522F8F" w:rsidRPr="00522F8F">
        <w:rPr>
          <w:rFonts w:ascii="Trebuchet MS" w:hAnsi="Trebuchet MS"/>
        </w:rPr>
        <w:t>.</w:t>
      </w:r>
    </w:p>
    <w:p w14:paraId="3CBAFF90" w14:textId="6ABCE3DD" w:rsidR="002B5F68" w:rsidRDefault="00522F8F" w:rsidP="002B5F68">
      <w:pPr>
        <w:spacing w:before="210" w:after="210" w:line="300" w:lineRule="auto"/>
        <w:jc w:val="both"/>
        <w:rPr>
          <w:rFonts w:ascii="Trebuchet MS" w:hAnsi="Trebuchet MS"/>
        </w:rPr>
      </w:pPr>
      <w:r w:rsidRPr="00522F8F">
        <w:rPr>
          <w:rFonts w:ascii="Trebuchet MS" w:hAnsi="Trebuchet MS"/>
        </w:rPr>
        <w:t>Under the Equality Act 2010, employers must provide equal pay for “like work,” “work rated as equivalent,” or “work of equal value” (CIPD, 2025). These rules cover all contractual pay and benefits. Any pay difference must be objectively justified through a “material factor defence,” which must be unrelated to sex and must genuinely explain the pay variation</w:t>
      </w:r>
      <w:r w:rsidR="00CF593B">
        <w:rPr>
          <w:rFonts w:ascii="Trebuchet MS" w:hAnsi="Trebuchet MS"/>
        </w:rPr>
        <w:t xml:space="preserve">. </w:t>
      </w:r>
      <w:r w:rsidR="00F451A6">
        <w:rPr>
          <w:rFonts w:ascii="Trebuchet MS" w:hAnsi="Trebuchet MS"/>
        </w:rPr>
        <w:t>F</w:t>
      </w:r>
      <w:r w:rsidRPr="00522F8F">
        <w:rPr>
          <w:rFonts w:ascii="Trebuchet MS" w:hAnsi="Trebuchet MS"/>
        </w:rPr>
        <w:t xml:space="preserve">or example, relevant qualifications, additional responsibilities, or </w:t>
      </w:r>
      <w:r w:rsidR="005D2798" w:rsidRPr="00522F8F">
        <w:rPr>
          <w:rFonts w:ascii="Trebuchet MS" w:hAnsi="Trebuchet MS"/>
        </w:rPr>
        <w:t>market</w:t>
      </w:r>
      <w:r w:rsidR="005D2798">
        <w:rPr>
          <w:rFonts w:ascii="Trebuchet MS" w:hAnsi="Trebuchet MS"/>
        </w:rPr>
        <w:t>-based</w:t>
      </w:r>
      <w:r w:rsidRPr="00522F8F">
        <w:rPr>
          <w:rFonts w:ascii="Trebuchet MS" w:hAnsi="Trebuchet MS"/>
        </w:rPr>
        <w:t xml:space="preserve"> requirements </w:t>
      </w:r>
    </w:p>
    <w:p w14:paraId="63AC88EE" w14:textId="6B23F4B9" w:rsidR="002B5F68" w:rsidRPr="002B5F68" w:rsidRDefault="002B5F68" w:rsidP="002B5F68">
      <w:pPr>
        <w:spacing w:before="210" w:after="210" w:line="300" w:lineRule="auto"/>
        <w:jc w:val="both"/>
        <w:rPr>
          <w:rFonts w:ascii="Trebuchet MS" w:hAnsi="Trebuchet MS"/>
        </w:rPr>
      </w:pPr>
      <w:r w:rsidRPr="002B5F68">
        <w:rPr>
          <w:rFonts w:ascii="Trebuchet MS" w:hAnsi="Trebuchet MS"/>
        </w:rPr>
        <w:t>To successfully defend an equal</w:t>
      </w:r>
      <w:r w:rsidRPr="002B5F68">
        <w:rPr>
          <w:rFonts w:ascii="Trebuchet MS" w:hAnsi="Trebuchet MS"/>
        </w:rPr>
        <w:noBreakHyphen/>
        <w:t>pay claim, an employer must demonstrate that the claimant and their comparator are not performing like work, that a non</w:t>
      </w:r>
      <w:r w:rsidRPr="002B5F68">
        <w:rPr>
          <w:rFonts w:ascii="Trebuchet MS" w:hAnsi="Trebuchet MS"/>
        </w:rPr>
        <w:noBreakHyphen/>
        <w:t>discriminatory job evaluation scheme shows the roles are not rated as equivalent, that the roles are not of equal value, or that any difference in pay is explained by a material factor unrelated to sex (CIPD, 2025)</w:t>
      </w:r>
    </w:p>
    <w:p w14:paraId="5D06563F" w14:textId="794F3A6D" w:rsidR="00522F8F" w:rsidRPr="00522F8F" w:rsidRDefault="00522F8F" w:rsidP="00DB0D5A">
      <w:pPr>
        <w:spacing w:before="210" w:after="210" w:line="300" w:lineRule="auto"/>
        <w:jc w:val="both"/>
        <w:rPr>
          <w:rFonts w:ascii="Trebuchet MS" w:hAnsi="Trebuchet MS"/>
        </w:rPr>
      </w:pPr>
      <w:r w:rsidRPr="00522F8F">
        <w:rPr>
          <w:rFonts w:ascii="Trebuchet MS" w:hAnsi="Trebuchet MS"/>
        </w:rPr>
        <w:t>Upgrading only the two male HCAs presents three major legal concerns. First, it risks unlawful direct sex discrimination. Female HCAs could argue that they perform the same work as the upgraded male HCAs but receive lower pay, with no lawful justification</w:t>
      </w:r>
      <w:r w:rsidR="00C97105">
        <w:rPr>
          <w:rFonts w:ascii="Trebuchet MS" w:hAnsi="Trebuchet MS"/>
        </w:rPr>
        <w:t xml:space="preserve"> </w:t>
      </w:r>
      <w:r w:rsidRPr="00522F8F">
        <w:rPr>
          <w:rFonts w:ascii="Trebuchet MS" w:hAnsi="Trebuchet MS"/>
        </w:rPr>
        <w:t>making the Trust potentially liable for equal pay claims (</w:t>
      </w:r>
      <w:proofErr w:type="spellStart"/>
      <w:r w:rsidRPr="00522F8F">
        <w:rPr>
          <w:rFonts w:ascii="Trebuchet MS" w:hAnsi="Trebuchet MS"/>
        </w:rPr>
        <w:t>Acas</w:t>
      </w:r>
      <w:proofErr w:type="spellEnd"/>
      <w:r w:rsidRPr="00522F8F">
        <w:rPr>
          <w:rFonts w:ascii="Trebuchet MS" w:hAnsi="Trebuchet MS"/>
        </w:rPr>
        <w:t>, 202</w:t>
      </w:r>
      <w:r w:rsidR="006D71BB">
        <w:rPr>
          <w:rFonts w:ascii="Trebuchet MS" w:hAnsi="Trebuchet MS"/>
        </w:rPr>
        <w:t>4</w:t>
      </w:r>
      <w:r w:rsidRPr="00522F8F">
        <w:rPr>
          <w:rFonts w:ascii="Trebuchet MS" w:hAnsi="Trebuchet MS"/>
        </w:rPr>
        <w:t>; CIPD, 2025). Second, the justification</w:t>
      </w:r>
      <w:r w:rsidR="00754DE5">
        <w:rPr>
          <w:rFonts w:ascii="Trebuchet MS" w:hAnsi="Trebuchet MS"/>
        </w:rPr>
        <w:t xml:space="preserve"> </w:t>
      </w:r>
      <w:r w:rsidR="00B8773E">
        <w:rPr>
          <w:rFonts w:ascii="Trebuchet MS" w:hAnsi="Trebuchet MS"/>
        </w:rPr>
        <w:t xml:space="preserve">of </w:t>
      </w:r>
      <w:r w:rsidRPr="00522F8F">
        <w:rPr>
          <w:rFonts w:ascii="Trebuchet MS" w:hAnsi="Trebuchet MS"/>
        </w:rPr>
        <w:t>using surplus research funding</w:t>
      </w:r>
      <w:r w:rsidR="00B8773E">
        <w:rPr>
          <w:rFonts w:ascii="Trebuchet MS" w:hAnsi="Trebuchet MS"/>
        </w:rPr>
        <w:t xml:space="preserve"> </w:t>
      </w:r>
      <w:r w:rsidRPr="00522F8F">
        <w:rPr>
          <w:rFonts w:ascii="Trebuchet MS" w:hAnsi="Trebuchet MS"/>
        </w:rPr>
        <w:t>does not constitute a legally valid material factor defence. Funding availability does not relate to job demands, skills, or operational needs and is not an acceptable reason for awarding higher pay (</w:t>
      </w:r>
      <w:proofErr w:type="spellStart"/>
      <w:r w:rsidRPr="00522F8F">
        <w:rPr>
          <w:rFonts w:ascii="Trebuchet MS" w:hAnsi="Trebuchet MS"/>
        </w:rPr>
        <w:t>Acas</w:t>
      </w:r>
      <w:proofErr w:type="spellEnd"/>
      <w:r w:rsidRPr="00522F8F">
        <w:rPr>
          <w:rFonts w:ascii="Trebuchet MS" w:hAnsi="Trebuchet MS"/>
        </w:rPr>
        <w:t xml:space="preserve">, 2026). Third, bypassing </w:t>
      </w:r>
      <w:r w:rsidR="007A49C5">
        <w:rPr>
          <w:rFonts w:ascii="Trebuchet MS" w:hAnsi="Trebuchet MS"/>
        </w:rPr>
        <w:t>any job evaluation</w:t>
      </w:r>
      <w:r w:rsidRPr="00522F8F">
        <w:rPr>
          <w:rFonts w:ascii="Trebuchet MS" w:hAnsi="Trebuchet MS"/>
        </w:rPr>
        <w:t xml:space="preserve"> contradicts established case law that stresses the importance of consistent grading to avoid unequal pay. For example, in </w:t>
      </w:r>
      <w:r w:rsidRPr="00522F8F">
        <w:rPr>
          <w:rFonts w:ascii="Trebuchet MS" w:hAnsi="Trebuchet MS"/>
          <w:i/>
          <w:iCs/>
        </w:rPr>
        <w:t>Hartley v Northumbria Healthcare NHS Foundation Trust</w:t>
      </w:r>
      <w:r w:rsidRPr="00522F8F">
        <w:rPr>
          <w:rFonts w:ascii="Trebuchet MS" w:hAnsi="Trebuchet MS"/>
        </w:rPr>
        <w:t xml:space="preserve">, tribunals upheld </w:t>
      </w:r>
      <w:proofErr w:type="spellStart"/>
      <w:r w:rsidRPr="00522F8F">
        <w:rPr>
          <w:rFonts w:ascii="Trebuchet MS" w:hAnsi="Trebuchet MS"/>
        </w:rPr>
        <w:t>AfC</w:t>
      </w:r>
      <w:proofErr w:type="spellEnd"/>
      <w:r w:rsidRPr="00522F8F">
        <w:rPr>
          <w:rFonts w:ascii="Trebuchet MS" w:hAnsi="Trebuchet MS"/>
        </w:rPr>
        <w:t xml:space="preserve"> job evaluation as compliant with equality legislation, reinforcing the need for consistent, transparent grading (NHS Employers, 2025).</w:t>
      </w:r>
    </w:p>
    <w:p w14:paraId="5727A63F" w14:textId="77777777" w:rsidR="00522F8F" w:rsidRDefault="00522F8F" w:rsidP="00DB0D5A">
      <w:pPr>
        <w:spacing w:before="210" w:after="210" w:line="300" w:lineRule="auto"/>
        <w:jc w:val="both"/>
        <w:rPr>
          <w:rFonts w:ascii="Trebuchet MS" w:hAnsi="Trebuchet MS"/>
        </w:rPr>
      </w:pPr>
      <w:r w:rsidRPr="00522F8F">
        <w:rPr>
          <w:rFonts w:ascii="Trebuchet MS" w:hAnsi="Trebuchet MS"/>
        </w:rPr>
        <w:t>Given these risks, the proposed upgrade cannot lawfully proceed. To remain compliant with equal pay legislation, any pay progression must follow formal job evaluation processes and apply fair, objective criteria equally to all HCAs. Proceeding without these safeguards could expose the Trust to legal challenge, financial liability, and reputational harm.</w:t>
      </w:r>
    </w:p>
    <w:p w14:paraId="0BDD5CEF" w14:textId="54D232E2" w:rsidR="001B3B69" w:rsidRPr="00D034E0" w:rsidRDefault="001B3B69" w:rsidP="001B3B69">
      <w:pPr>
        <w:spacing w:line="240" w:lineRule="auto"/>
        <w:rPr>
          <w:rFonts w:ascii="Trebuchet MS" w:hAnsi="Trebuchet MS"/>
          <w:b/>
          <w:bCs/>
        </w:rPr>
      </w:pPr>
      <w:r w:rsidRPr="00D034E0">
        <w:rPr>
          <w:rFonts w:ascii="Trebuchet MS" w:hAnsi="Trebuchet MS"/>
          <w:b/>
          <w:bCs/>
        </w:rPr>
        <w:t>AC 3.1</w:t>
      </w:r>
    </w:p>
    <w:p w14:paraId="1F585E61" w14:textId="2C7235F6" w:rsidR="00C108AC" w:rsidRPr="00C108AC" w:rsidRDefault="00C108AC" w:rsidP="00E3441E">
      <w:pPr>
        <w:spacing w:before="210" w:after="210" w:line="300" w:lineRule="auto"/>
        <w:jc w:val="both"/>
        <w:rPr>
          <w:rFonts w:ascii="Trebuchet MS" w:eastAsia="Arial" w:hAnsi="Trebuchet MS" w:cs="Arial"/>
        </w:rPr>
      </w:pPr>
      <w:r w:rsidRPr="00C108AC">
        <w:rPr>
          <w:rFonts w:ascii="Trebuchet MS" w:eastAsia="Arial" w:hAnsi="Trebuchet MS" w:cs="Arial"/>
        </w:rPr>
        <w:lastRenderedPageBreak/>
        <w:t>In constructive dismissal cases, the employee must show that the employer committed a fundamental breach of contract, that they resigned in direct response to that breach, and that they did not affirm the contract by delaying resignation</w:t>
      </w:r>
      <w:r>
        <w:rPr>
          <w:rFonts w:ascii="Trebuchet MS" w:eastAsia="Arial" w:hAnsi="Trebuchet MS" w:cs="Arial"/>
        </w:rPr>
        <w:t xml:space="preserve"> (Daniels</w:t>
      </w:r>
      <w:r w:rsidR="00623446">
        <w:rPr>
          <w:rFonts w:ascii="Trebuchet MS" w:eastAsia="Arial" w:hAnsi="Trebuchet MS" w:cs="Arial"/>
        </w:rPr>
        <w:t xml:space="preserve">, </w:t>
      </w:r>
      <w:r w:rsidR="00843F5C">
        <w:rPr>
          <w:rFonts w:ascii="Trebuchet MS" w:eastAsia="Arial" w:hAnsi="Trebuchet MS" w:cs="Arial"/>
        </w:rPr>
        <w:t>2024)</w:t>
      </w:r>
    </w:p>
    <w:p w14:paraId="1A7C6F9D" w14:textId="3988AB90" w:rsidR="002D2ECB" w:rsidRDefault="00186AF9" w:rsidP="00E3441E">
      <w:pPr>
        <w:spacing w:before="210" w:after="210" w:line="300" w:lineRule="auto"/>
        <w:jc w:val="both"/>
        <w:rPr>
          <w:rFonts w:ascii="Trebuchet MS" w:eastAsia="Arial" w:hAnsi="Trebuchet MS" w:cs="Arial"/>
        </w:rPr>
      </w:pPr>
      <w:r w:rsidRPr="00186AF9">
        <w:rPr>
          <w:rFonts w:ascii="Trebuchet MS" w:eastAsia="Arial" w:hAnsi="Trebuchet MS" w:cs="Arial"/>
        </w:rPr>
        <w:t>A core feature in many cases is the implied term of mutual trust and confidence</w:t>
      </w:r>
      <w:r w:rsidR="00872FAC">
        <w:rPr>
          <w:rFonts w:ascii="Trebuchet MS" w:eastAsia="Arial" w:hAnsi="Trebuchet MS" w:cs="Arial"/>
        </w:rPr>
        <w:t xml:space="preserve">, </w:t>
      </w:r>
      <w:r w:rsidRPr="00186AF9">
        <w:rPr>
          <w:rFonts w:ascii="Trebuchet MS" w:eastAsia="Arial" w:hAnsi="Trebuchet MS" w:cs="Arial"/>
        </w:rPr>
        <w:t>when an employer</w:t>
      </w:r>
      <w:r w:rsidR="00A63DAD">
        <w:rPr>
          <w:rFonts w:ascii="Trebuchet MS" w:eastAsia="Arial" w:hAnsi="Trebuchet MS" w:cs="Arial"/>
        </w:rPr>
        <w:t xml:space="preserve"> </w:t>
      </w:r>
      <w:r w:rsidRPr="00186AF9">
        <w:rPr>
          <w:rFonts w:ascii="Trebuchet MS" w:eastAsia="Arial" w:hAnsi="Trebuchet MS" w:cs="Arial"/>
        </w:rPr>
        <w:t xml:space="preserve">behaves in a way likely to seriously damage the employment relationship. </w:t>
      </w:r>
    </w:p>
    <w:p w14:paraId="5AE9FAAA" w14:textId="0152C21A" w:rsidR="00186AF9" w:rsidRDefault="00C91A1D" w:rsidP="00E3441E">
      <w:pPr>
        <w:spacing w:before="210" w:after="210" w:line="300" w:lineRule="auto"/>
        <w:jc w:val="both"/>
        <w:rPr>
          <w:rFonts w:ascii="Trebuchet MS" w:eastAsia="Arial" w:hAnsi="Trebuchet MS" w:cs="Arial"/>
        </w:rPr>
      </w:pPr>
      <w:r>
        <w:rPr>
          <w:rFonts w:ascii="Trebuchet MS" w:eastAsia="Arial" w:hAnsi="Trebuchet MS" w:cs="Arial"/>
        </w:rPr>
        <w:t>A</w:t>
      </w:r>
      <w:r w:rsidR="00186AF9" w:rsidRPr="00186AF9">
        <w:rPr>
          <w:rFonts w:ascii="Trebuchet MS" w:eastAsia="Arial" w:hAnsi="Trebuchet MS" w:cs="Arial"/>
        </w:rPr>
        <w:t xml:space="preserve"> dismissal is treated as constructive where the employer’s actions amount to a repudiatory breach</w:t>
      </w:r>
      <w:r w:rsidR="00A85A9C">
        <w:rPr>
          <w:rFonts w:ascii="Trebuchet MS" w:eastAsia="Arial" w:hAnsi="Trebuchet MS" w:cs="Arial"/>
        </w:rPr>
        <w:t xml:space="preserve">, </w:t>
      </w:r>
      <w:r w:rsidR="00186AF9" w:rsidRPr="00186AF9">
        <w:rPr>
          <w:rFonts w:ascii="Trebuchet MS" w:eastAsia="Arial" w:hAnsi="Trebuchet MS" w:cs="Arial"/>
        </w:rPr>
        <w:t>such as reducing pay or changing terms without contractual authority</w:t>
      </w:r>
      <w:r w:rsidR="00A85A9C">
        <w:rPr>
          <w:rFonts w:ascii="Trebuchet MS" w:eastAsia="Arial" w:hAnsi="Trebuchet MS" w:cs="Arial"/>
        </w:rPr>
        <w:t xml:space="preserve">. </w:t>
      </w:r>
      <w:r w:rsidR="00186AF9" w:rsidRPr="00186AF9">
        <w:rPr>
          <w:rFonts w:ascii="Trebuchet MS" w:eastAsia="Arial" w:hAnsi="Trebuchet MS" w:cs="Arial"/>
        </w:rPr>
        <w:t>and the employee resigns in direct response (CIPD, 2026).</w:t>
      </w:r>
    </w:p>
    <w:p w14:paraId="5AEF7E78" w14:textId="77777777" w:rsidR="00520398" w:rsidRDefault="00186AF9" w:rsidP="00E3441E">
      <w:pPr>
        <w:spacing w:before="210" w:after="210" w:line="300" w:lineRule="auto"/>
        <w:jc w:val="both"/>
        <w:rPr>
          <w:rFonts w:ascii="Trebuchet MS" w:eastAsia="Arial" w:hAnsi="Trebuchet MS" w:cs="Arial"/>
        </w:rPr>
      </w:pPr>
      <w:r w:rsidRPr="00186AF9">
        <w:rPr>
          <w:rFonts w:ascii="Trebuchet MS" w:eastAsia="Arial" w:hAnsi="Trebuchet MS" w:cs="Arial"/>
        </w:rPr>
        <w:t xml:space="preserve">Unilateral alterations to fundamental contractual terms, including working hours, may also constitute a repudiatory breach. Guidance for workers confirms that compelling an employee to work significantly different hours, in a different location, or for reduced pay may entitle them to resign and claim constructive dismissal; however, where a valid flexibility clause exists, or where the employer’s decision is a reasonable response to genuine business need (for example, as an alternative to redundancy), such changes may not breach the contract (Citizens Advice, 2026). </w:t>
      </w:r>
    </w:p>
    <w:p w14:paraId="06D10B50" w14:textId="45E7E3DF" w:rsidR="007C1FC5" w:rsidRPr="007C1FC5" w:rsidRDefault="007C1FC5" w:rsidP="00E3441E">
      <w:pPr>
        <w:spacing w:before="210" w:after="210" w:line="300" w:lineRule="auto"/>
        <w:jc w:val="both"/>
        <w:rPr>
          <w:rFonts w:ascii="Trebuchet MS" w:eastAsia="Arial" w:hAnsi="Trebuchet MS" w:cs="Arial"/>
        </w:rPr>
      </w:pPr>
      <w:r w:rsidRPr="007C1FC5">
        <w:rPr>
          <w:rFonts w:ascii="Trebuchet MS" w:eastAsia="Arial" w:hAnsi="Trebuchet MS" w:cs="Arial"/>
        </w:rPr>
        <w:t>Employers can defend a constructive dismissal claim by showing that they did not seriously break the employment contract. For example, they might argue that any changes they made were small, reasonable, or allowed under the contract, so no fundamental breach occurred. They may also say that the employee effectively agreed to the changes by continuing to work without objecting. Another defence is that the employer had a good business reason for making the changes and handled the situation properly by giving notice and consulting with staff. Finally, the employer may claim that the employee did not resign because of the alleged breach at all, but for personal or unrelated reasons</w:t>
      </w:r>
      <w:r>
        <w:rPr>
          <w:rFonts w:ascii="Trebuchet MS" w:eastAsia="Arial" w:hAnsi="Trebuchet MS" w:cs="Arial"/>
        </w:rPr>
        <w:t xml:space="preserve"> </w:t>
      </w:r>
      <w:r w:rsidRPr="007C1FC5">
        <w:rPr>
          <w:rFonts w:ascii="Trebuchet MS" w:eastAsia="Arial" w:hAnsi="Trebuchet MS" w:cs="Arial"/>
        </w:rPr>
        <w:t>meaning the required link between the breach and the resignation is missing (CIPD, 2026).</w:t>
      </w:r>
    </w:p>
    <w:p w14:paraId="506F304F" w14:textId="13003EFC" w:rsidR="00186AF9" w:rsidRDefault="00186AF9" w:rsidP="00E3441E">
      <w:pPr>
        <w:spacing w:before="210" w:after="210" w:line="300" w:lineRule="auto"/>
        <w:jc w:val="both"/>
        <w:rPr>
          <w:rFonts w:ascii="Trebuchet MS" w:eastAsia="Arial" w:hAnsi="Trebuchet MS" w:cs="Arial"/>
        </w:rPr>
      </w:pPr>
      <w:r w:rsidRPr="00186AF9">
        <w:rPr>
          <w:rFonts w:ascii="Trebuchet MS" w:eastAsia="Arial" w:hAnsi="Trebuchet MS" w:cs="Arial"/>
        </w:rPr>
        <w:t xml:space="preserve">Constructive dismissal sits within the broader framework of unfair dismissal law, meaning the standard Employment Tribunal limitation period applies. CIPD guidance confirms that employees must normally submit a claim within three months minus one day of the effective date of termination, following mandatory Early Conciliation through </w:t>
      </w:r>
      <w:proofErr w:type="spellStart"/>
      <w:r w:rsidRPr="00186AF9">
        <w:rPr>
          <w:rFonts w:ascii="Trebuchet MS" w:eastAsia="Arial" w:hAnsi="Trebuchet MS" w:cs="Arial"/>
        </w:rPr>
        <w:t>Acas</w:t>
      </w:r>
      <w:proofErr w:type="spellEnd"/>
      <w:r w:rsidRPr="00186AF9">
        <w:rPr>
          <w:rFonts w:ascii="Trebuchet MS" w:eastAsia="Arial" w:hAnsi="Trebuchet MS" w:cs="Arial"/>
        </w:rPr>
        <w:t xml:space="preserve"> (CIPD, 2026)</w:t>
      </w:r>
      <w:r w:rsidR="00942AD4">
        <w:rPr>
          <w:rFonts w:ascii="Trebuchet MS" w:eastAsia="Arial" w:hAnsi="Trebuchet MS" w:cs="Arial"/>
        </w:rPr>
        <w:t>.</w:t>
      </w:r>
    </w:p>
    <w:p w14:paraId="549D31FF" w14:textId="77777777" w:rsidR="00186AF9" w:rsidRPr="00186AF9" w:rsidRDefault="00186AF9" w:rsidP="00E3441E">
      <w:pPr>
        <w:spacing w:before="210" w:after="210" w:line="300" w:lineRule="auto"/>
        <w:jc w:val="both"/>
        <w:rPr>
          <w:rFonts w:ascii="Trebuchet MS" w:eastAsia="Arial" w:hAnsi="Trebuchet MS" w:cs="Arial"/>
        </w:rPr>
      </w:pPr>
      <w:r w:rsidRPr="00186AF9">
        <w:rPr>
          <w:rFonts w:ascii="Trebuchet MS" w:eastAsia="Arial" w:hAnsi="Trebuchet MS" w:cs="Arial"/>
        </w:rPr>
        <w:t xml:space="preserve">Applied to the radiographer’s circumstances, a constructive dismissal claim may arise if the change to his working hours was substantial, imposed without contractual basis, unreasonable, and insufficiently consulted upon. The strength of any claim will depend on whether he resigned promptly in response to the breach and whether he complies with the required tribunal time limits after initiating </w:t>
      </w:r>
      <w:proofErr w:type="spellStart"/>
      <w:r w:rsidRPr="00186AF9">
        <w:rPr>
          <w:rFonts w:ascii="Trebuchet MS" w:eastAsia="Arial" w:hAnsi="Trebuchet MS" w:cs="Arial"/>
        </w:rPr>
        <w:t>Acas</w:t>
      </w:r>
      <w:proofErr w:type="spellEnd"/>
      <w:r w:rsidRPr="00186AF9">
        <w:rPr>
          <w:rFonts w:ascii="Trebuchet MS" w:eastAsia="Arial" w:hAnsi="Trebuchet MS" w:cs="Arial"/>
        </w:rPr>
        <w:t xml:space="preserve"> Early Conciliation.</w:t>
      </w:r>
    </w:p>
    <w:p w14:paraId="5B5E5A04" w14:textId="6A178ECA" w:rsidR="00052342" w:rsidRPr="00753137" w:rsidRDefault="00602B43" w:rsidP="00052342">
      <w:pPr>
        <w:spacing w:after="0" w:line="240" w:lineRule="auto"/>
        <w:rPr>
          <w:rFonts w:ascii="Trebuchet MS" w:eastAsia="Arial" w:hAnsi="Trebuchet MS" w:cs="Arial"/>
          <w:b/>
          <w:bCs/>
        </w:rPr>
      </w:pPr>
      <w:r w:rsidRPr="00753137">
        <w:rPr>
          <w:rFonts w:ascii="Trebuchet MS" w:eastAsia="Arial" w:hAnsi="Trebuchet MS" w:cs="Arial"/>
          <w:b/>
          <w:bCs/>
        </w:rPr>
        <w:t>AC 3.2</w:t>
      </w:r>
    </w:p>
    <w:p w14:paraId="77CEF221" w14:textId="0754C0BF" w:rsidR="00FB38DD" w:rsidRPr="00FB38DD" w:rsidRDefault="00FB38DD" w:rsidP="00753137">
      <w:pPr>
        <w:spacing w:before="210" w:after="210" w:line="300" w:lineRule="auto"/>
        <w:jc w:val="both"/>
        <w:rPr>
          <w:rFonts w:ascii="Trebuchet MS" w:hAnsi="Trebuchet MS"/>
        </w:rPr>
      </w:pPr>
      <w:r w:rsidRPr="00FB38DD">
        <w:rPr>
          <w:rFonts w:ascii="Trebuchet MS" w:hAnsi="Trebuchet MS"/>
        </w:rPr>
        <w:t xml:space="preserve">A reorganisation aimed at removing “poor performers” while limiting consultation carries significant risk. Redundancy is a statutory form of dismissal under the Employment Rights Act 1996 and must therefore follow a fair, transparent, and meaningful consultation process. CIPD guidance emphasises that redundancy must reflect a genuine reduction in the need for </w:t>
      </w:r>
      <w:r w:rsidRPr="00FB38DD">
        <w:rPr>
          <w:rFonts w:ascii="Trebuchet MS" w:hAnsi="Trebuchet MS"/>
        </w:rPr>
        <w:lastRenderedPageBreak/>
        <w:t>employees, rather than functioning as a substitute for performance management, noting that redundancy should not be used as “an opportunity to get rid of under</w:t>
      </w:r>
      <w:r w:rsidRPr="00FB38DD">
        <w:rPr>
          <w:rFonts w:ascii="Trebuchet MS" w:hAnsi="Trebuchet MS"/>
        </w:rPr>
        <w:noBreakHyphen/>
        <w:t>performing staff” and that employers must comply with statutory duties to avoid tribunal findings of unfair dismissal (CIPD HR</w:t>
      </w:r>
      <w:r w:rsidRPr="00FB38DD">
        <w:rPr>
          <w:rFonts w:ascii="Trebuchet MS" w:hAnsi="Trebuchet MS"/>
        </w:rPr>
        <w:noBreakHyphen/>
        <w:t xml:space="preserve">inform, </w:t>
      </w:r>
      <w:proofErr w:type="spellStart"/>
      <w:r w:rsidR="00BC7FD8">
        <w:rPr>
          <w:rFonts w:ascii="Trebuchet MS" w:hAnsi="Trebuchet MS"/>
        </w:rPr>
        <w:t>n.d</w:t>
      </w:r>
      <w:proofErr w:type="spellEnd"/>
      <w:r w:rsidRPr="00FB38DD">
        <w:rPr>
          <w:rFonts w:ascii="Trebuchet MS" w:hAnsi="Trebuchet MS"/>
        </w:rPr>
        <w:t xml:space="preserve">). </w:t>
      </w:r>
    </w:p>
    <w:p w14:paraId="76727A2E" w14:textId="77777777" w:rsidR="000858CE" w:rsidRPr="00606FBD" w:rsidRDefault="00FB38DD" w:rsidP="00753137">
      <w:pPr>
        <w:spacing w:before="210" w:after="210" w:line="300" w:lineRule="auto"/>
        <w:jc w:val="both"/>
        <w:rPr>
          <w:rFonts w:ascii="Trebuchet MS" w:hAnsi="Trebuchet MS"/>
        </w:rPr>
      </w:pPr>
      <w:r w:rsidRPr="00FB38DD">
        <w:rPr>
          <w:rFonts w:ascii="Trebuchet MS" w:hAnsi="Trebuchet MS"/>
        </w:rPr>
        <w:t xml:space="preserve">The legal definition of redundancy is met where a dismissal occurs because the employer no longer requires as many employees to undertake work of a particular kind, or work is no longer needed in a specific location, reflecting the statutory test under the ERA 1996 and summarised in Daniels’ employment law text (Daniels, 2024). </w:t>
      </w:r>
    </w:p>
    <w:p w14:paraId="003B51B1" w14:textId="2E7D8B12" w:rsidR="00FB38DD" w:rsidRPr="00FB38DD" w:rsidRDefault="00FB38DD" w:rsidP="00753137">
      <w:pPr>
        <w:spacing w:before="210" w:after="210" w:line="300" w:lineRule="auto"/>
        <w:jc w:val="both"/>
        <w:rPr>
          <w:rFonts w:ascii="Trebuchet MS" w:hAnsi="Trebuchet MS"/>
        </w:rPr>
      </w:pPr>
      <w:r w:rsidRPr="00FB38DD">
        <w:rPr>
          <w:rFonts w:ascii="Trebuchet MS" w:hAnsi="Trebuchet MS"/>
        </w:rPr>
        <w:t>A fair redundancy process requires the use of clear, objective, and non</w:t>
      </w:r>
      <w:r w:rsidRPr="00FB38DD">
        <w:rPr>
          <w:rFonts w:ascii="Trebuchet MS" w:hAnsi="Trebuchet MS"/>
        </w:rPr>
        <w:noBreakHyphen/>
        <w:t xml:space="preserve">discriminatory selection criteria, typically including qualifications, skills, performance records, attendance, and disciplinary history. Consultation is a statutory requirement. </w:t>
      </w:r>
      <w:proofErr w:type="spellStart"/>
      <w:r w:rsidRPr="00FB38DD">
        <w:rPr>
          <w:rFonts w:ascii="Trebuchet MS" w:hAnsi="Trebuchet MS"/>
        </w:rPr>
        <w:t>Acas</w:t>
      </w:r>
      <w:proofErr w:type="spellEnd"/>
      <w:r w:rsidRPr="00FB38DD">
        <w:rPr>
          <w:rFonts w:ascii="Trebuchet MS" w:hAnsi="Trebuchet MS"/>
        </w:rPr>
        <w:t xml:space="preserve"> guidance confirms that individual consultation is required for all redundancy scenarios and must be meaningful</w:t>
      </w:r>
      <w:r w:rsidR="003B1C21">
        <w:rPr>
          <w:rFonts w:ascii="Trebuchet MS" w:hAnsi="Trebuchet MS"/>
        </w:rPr>
        <w:t xml:space="preserve">, </w:t>
      </w:r>
      <w:r w:rsidRPr="00FB38DD">
        <w:rPr>
          <w:rFonts w:ascii="Trebuchet MS" w:hAnsi="Trebuchet MS"/>
        </w:rPr>
        <w:t>allowing employees to understand the rationale, ask questions, challenge decisions, and propose alternatives (</w:t>
      </w:r>
      <w:proofErr w:type="spellStart"/>
      <w:r w:rsidRPr="00FB38DD">
        <w:rPr>
          <w:rFonts w:ascii="Trebuchet MS" w:hAnsi="Trebuchet MS"/>
        </w:rPr>
        <w:t>Acas</w:t>
      </w:r>
      <w:proofErr w:type="spellEnd"/>
      <w:r w:rsidRPr="00FB38DD">
        <w:rPr>
          <w:rFonts w:ascii="Trebuchet MS" w:hAnsi="Trebuchet MS"/>
        </w:rPr>
        <w:t xml:space="preserve">, </w:t>
      </w:r>
      <w:r w:rsidR="00947083">
        <w:rPr>
          <w:rFonts w:ascii="Trebuchet MS" w:hAnsi="Trebuchet MS"/>
        </w:rPr>
        <w:t>2026</w:t>
      </w:r>
      <w:r w:rsidRPr="00FB38DD">
        <w:rPr>
          <w:rFonts w:ascii="Trebuchet MS" w:hAnsi="Trebuchet MS"/>
        </w:rPr>
        <w:t>). Where an employer proposes 20 or more redundancies within 90 days, collective consultation duties arise under the Trade Union and Labour Relations (Consolidation) Act 1992, requiring engagement with recognised trade unions or elected employee representatives. Minimum consultation periods apply: 30 days for 20–99 proposed redundancies and 45 days for 100 or more, as reflected in statutory guidance and employment</w:t>
      </w:r>
      <w:r w:rsidRPr="00FB38DD">
        <w:rPr>
          <w:rFonts w:ascii="Trebuchet MS" w:hAnsi="Trebuchet MS"/>
        </w:rPr>
        <w:noBreakHyphen/>
        <w:t>law commentary. Consultation must take place before decisions are finalised (</w:t>
      </w:r>
      <w:proofErr w:type="spellStart"/>
      <w:r w:rsidRPr="00FB38DD">
        <w:rPr>
          <w:rFonts w:ascii="Trebuchet MS" w:hAnsi="Trebuchet MS"/>
        </w:rPr>
        <w:t>Acas</w:t>
      </w:r>
      <w:proofErr w:type="spellEnd"/>
      <w:r w:rsidRPr="00FB38DD">
        <w:rPr>
          <w:rFonts w:ascii="Trebuchet MS" w:hAnsi="Trebuchet MS"/>
        </w:rPr>
        <w:t xml:space="preserve">, </w:t>
      </w:r>
      <w:r w:rsidR="00947083">
        <w:rPr>
          <w:rFonts w:ascii="Trebuchet MS" w:hAnsi="Trebuchet MS"/>
        </w:rPr>
        <w:t>2026</w:t>
      </w:r>
      <w:r w:rsidRPr="00FB38DD">
        <w:rPr>
          <w:rFonts w:ascii="Trebuchet MS" w:hAnsi="Trebuchet MS"/>
        </w:rPr>
        <w:t xml:space="preserve">). </w:t>
      </w:r>
    </w:p>
    <w:p w14:paraId="7EB999CF" w14:textId="4EB10EA9" w:rsidR="00FB38DD" w:rsidRPr="00FB38DD" w:rsidRDefault="00FB38DD" w:rsidP="00753137">
      <w:pPr>
        <w:spacing w:before="210" w:after="210" w:line="300" w:lineRule="auto"/>
        <w:jc w:val="both"/>
        <w:rPr>
          <w:rFonts w:ascii="Trebuchet MS" w:hAnsi="Trebuchet MS"/>
        </w:rPr>
      </w:pPr>
      <w:r w:rsidRPr="00FB38DD">
        <w:rPr>
          <w:rFonts w:ascii="Trebuchet MS" w:hAnsi="Trebuchet MS"/>
        </w:rPr>
        <w:t xml:space="preserve">During consultation, employers must provide employees with sufficient information to enable genuine engagement. Required information includes the reasons for the proposed redundancies, the number and types of employees affected, the total number of redundancies proposed, the method of selection, the stages of the procedure, and an explanation of how redundancy pay will be calculated. </w:t>
      </w:r>
      <w:r w:rsidR="0045259A" w:rsidRPr="00606FBD">
        <w:rPr>
          <w:rFonts w:ascii="Trebuchet MS" w:hAnsi="Trebuchet MS"/>
        </w:rPr>
        <w:t>E</w:t>
      </w:r>
      <w:r w:rsidRPr="00FB38DD">
        <w:rPr>
          <w:rFonts w:ascii="Trebuchet MS" w:hAnsi="Trebuchet MS"/>
        </w:rPr>
        <w:t>mployees must be given clear and accurate information regarding selection processes and pay arrangements to ensure fairness and compliance</w:t>
      </w:r>
      <w:r w:rsidR="00095E6B">
        <w:rPr>
          <w:rFonts w:ascii="Trebuchet MS" w:hAnsi="Trebuchet MS"/>
        </w:rPr>
        <w:t>.</w:t>
      </w:r>
    </w:p>
    <w:p w14:paraId="395B3704" w14:textId="77777777" w:rsidR="000519FC" w:rsidRPr="00606FBD" w:rsidRDefault="00FB38DD" w:rsidP="00753137">
      <w:pPr>
        <w:spacing w:before="210" w:after="210" w:line="300" w:lineRule="auto"/>
        <w:jc w:val="both"/>
        <w:rPr>
          <w:rFonts w:ascii="Trebuchet MS" w:hAnsi="Trebuchet MS"/>
        </w:rPr>
      </w:pPr>
      <w:r w:rsidRPr="00FB38DD">
        <w:rPr>
          <w:rFonts w:ascii="Trebuchet MS" w:hAnsi="Trebuchet MS"/>
        </w:rPr>
        <w:t xml:space="preserve">Employers must also explore suitable alternative employment, document redeployment efforts, and ensure compliance with protections afforded to employees on maternity, adoption, shared parental, or neonatal leave (CIPD, 2026). </w:t>
      </w:r>
    </w:p>
    <w:p w14:paraId="314EA857" w14:textId="60DD0912" w:rsidR="00FB38DD" w:rsidRPr="00FB38DD" w:rsidRDefault="000519FC" w:rsidP="00753137">
      <w:pPr>
        <w:spacing w:before="210" w:after="210" w:line="300" w:lineRule="auto"/>
        <w:jc w:val="both"/>
        <w:rPr>
          <w:rFonts w:ascii="Trebuchet MS" w:hAnsi="Trebuchet MS"/>
        </w:rPr>
      </w:pPr>
      <w:r w:rsidRPr="00606FBD">
        <w:rPr>
          <w:rFonts w:ascii="Trebuchet MS" w:hAnsi="Trebuchet MS"/>
        </w:rPr>
        <w:t>S</w:t>
      </w:r>
      <w:r w:rsidR="00FB38DD" w:rsidRPr="00FB38DD">
        <w:rPr>
          <w:rFonts w:ascii="Trebuchet MS" w:hAnsi="Trebuchet MS"/>
        </w:rPr>
        <w:t xml:space="preserve">tatutory notice and redundancy pay obligations must be met. Statutory redundancy pay is determined by age and length of service, providing 0.5 week’s pay for each year worked under age 22, 1 week’s pay for each full year between ages 22 and 40, and 1.5 weeks’ pay for each full year aged 41 and over, capped at 20 years’ service and the weekly statutory limit, with notice pay payable in addition (GOV.UK, </w:t>
      </w:r>
      <w:proofErr w:type="spellStart"/>
      <w:r w:rsidR="0099158C">
        <w:rPr>
          <w:rFonts w:ascii="Trebuchet MS" w:hAnsi="Trebuchet MS"/>
        </w:rPr>
        <w:t>n.d</w:t>
      </w:r>
      <w:proofErr w:type="spellEnd"/>
      <w:r w:rsidR="00FB38DD" w:rsidRPr="00FB38DD">
        <w:rPr>
          <w:rFonts w:ascii="Trebuchet MS" w:hAnsi="Trebuchet MS"/>
        </w:rPr>
        <w:t xml:space="preserve">). </w:t>
      </w:r>
    </w:p>
    <w:p w14:paraId="077392D2" w14:textId="1BC9BE36" w:rsidR="00011DA3" w:rsidRPr="00AF6F86" w:rsidRDefault="00011DA3" w:rsidP="00011DA3">
      <w:pPr>
        <w:pStyle w:val="Heading1"/>
        <w:spacing w:line="300" w:lineRule="atLeast"/>
        <w:rPr>
          <w:rStyle w:val="Strong"/>
          <w:rFonts w:ascii="Trebuchet MS" w:hAnsi="Trebuchet MS" w:cs="Segoe UI"/>
          <w:color w:val="ED7D31" w:themeColor="accent2"/>
          <w:sz w:val="22"/>
          <w:szCs w:val="22"/>
        </w:rPr>
      </w:pPr>
      <w:r w:rsidRPr="001C492D">
        <w:rPr>
          <w:rStyle w:val="Strong"/>
          <w:rFonts w:ascii="Trebuchet MS" w:hAnsi="Trebuchet MS" w:cs="Segoe UI"/>
          <w:color w:val="auto"/>
          <w:sz w:val="22"/>
          <w:szCs w:val="22"/>
        </w:rPr>
        <w:t>AC 3.3</w:t>
      </w:r>
      <w:r w:rsidRPr="00AF6F86">
        <w:rPr>
          <w:rStyle w:val="Strong"/>
          <w:rFonts w:ascii="Trebuchet MS" w:hAnsi="Trebuchet MS" w:cs="Segoe UI"/>
          <w:color w:val="ED7D31" w:themeColor="accent2"/>
          <w:sz w:val="22"/>
          <w:szCs w:val="22"/>
        </w:rPr>
        <w:t xml:space="preserve"> </w:t>
      </w:r>
    </w:p>
    <w:p w14:paraId="0E44ADF5" w14:textId="3B54640B" w:rsidR="004732A8" w:rsidRPr="004732A8" w:rsidRDefault="00CB1929" w:rsidP="00116B84">
      <w:pPr>
        <w:spacing w:before="205" w:after="205" w:line="300" w:lineRule="auto"/>
        <w:jc w:val="both"/>
        <w:rPr>
          <w:rFonts w:ascii="Trebuchet MS" w:eastAsia="Arial" w:hAnsi="Trebuchet MS" w:cs="Arial"/>
        </w:rPr>
      </w:pPr>
      <w:r w:rsidRPr="00116B84">
        <w:rPr>
          <w:rFonts w:ascii="Trebuchet MS" w:eastAsia="Arial" w:hAnsi="Trebuchet MS" w:cs="Arial"/>
        </w:rPr>
        <w:t>The</w:t>
      </w:r>
      <w:r w:rsidR="004732A8" w:rsidRPr="004732A8">
        <w:rPr>
          <w:rFonts w:ascii="Trebuchet MS" w:eastAsia="Arial" w:hAnsi="Trebuchet MS" w:cs="Arial"/>
        </w:rPr>
        <w:t xml:space="preserve"> merger of pharmacy operations is likely to fall within the scope of the Transfer of Undertakings (Protection of Employment) Regulations 2006 (TUPE). TUPE applies when an economic entity or organised grouping of employees transfers from one employer to another </w:t>
      </w:r>
      <w:r w:rsidR="004732A8" w:rsidRPr="004732A8">
        <w:rPr>
          <w:rFonts w:ascii="Trebuchet MS" w:eastAsia="Arial" w:hAnsi="Trebuchet MS" w:cs="Arial"/>
        </w:rPr>
        <w:lastRenderedPageBreak/>
        <w:t xml:space="preserve">and continues in a recognisable form. </w:t>
      </w:r>
      <w:r w:rsidR="009431F5" w:rsidRPr="00116B84">
        <w:rPr>
          <w:rFonts w:ascii="Trebuchet MS" w:eastAsia="Arial" w:hAnsi="Trebuchet MS" w:cs="Arial"/>
        </w:rPr>
        <w:t>In</w:t>
      </w:r>
      <w:r w:rsidR="004732A8" w:rsidRPr="004732A8">
        <w:rPr>
          <w:rFonts w:ascii="Trebuchet MS" w:eastAsia="Arial" w:hAnsi="Trebuchet MS" w:cs="Arial"/>
        </w:rPr>
        <w:t xml:space="preserve"> such circumstances, employees assigned to the undertaking transfer automatically to the new employer with their contractual rights preserved (Daniels, 2024). A merger that brings two pharmacy services together into a single operational unit is therefore a strong example of a “relevant transfer”, as it involves the continuation of identifiable activities and the movement of the employees who carry them out.</w:t>
      </w:r>
    </w:p>
    <w:p w14:paraId="7BD236BD" w14:textId="73735DDB" w:rsidR="004732A8" w:rsidRPr="004732A8" w:rsidRDefault="004732A8" w:rsidP="00116B84">
      <w:pPr>
        <w:spacing w:before="205" w:after="205" w:line="300" w:lineRule="auto"/>
        <w:jc w:val="both"/>
        <w:rPr>
          <w:rFonts w:ascii="Trebuchet MS" w:eastAsia="Arial" w:hAnsi="Trebuchet MS" w:cs="Arial"/>
        </w:rPr>
      </w:pPr>
      <w:r w:rsidRPr="004732A8">
        <w:rPr>
          <w:rFonts w:ascii="Trebuchet MS" w:eastAsia="Arial" w:hAnsi="Trebuchet MS" w:cs="Arial"/>
        </w:rPr>
        <w:t xml:space="preserve">Where TUPE applies, affected employees transfer automatically to the incoming employer with continuity of service protected. </w:t>
      </w:r>
      <w:r w:rsidR="008862D0" w:rsidRPr="00116B84">
        <w:rPr>
          <w:rFonts w:ascii="Trebuchet MS" w:eastAsia="Arial" w:hAnsi="Trebuchet MS" w:cs="Arial"/>
        </w:rPr>
        <w:t>The</w:t>
      </w:r>
      <w:r w:rsidRPr="004732A8">
        <w:rPr>
          <w:rFonts w:ascii="Trebuchet MS" w:eastAsia="Arial" w:hAnsi="Trebuchet MS" w:cs="Arial"/>
        </w:rPr>
        <w:t xml:space="preserve"> purpose of TUPE is to ensure employees are not disadvantaged simply because organisational structures change, and that terms and conditions</w:t>
      </w:r>
      <w:r w:rsidR="008862D0" w:rsidRPr="00116B84">
        <w:rPr>
          <w:rFonts w:ascii="Trebuchet MS" w:eastAsia="Arial" w:hAnsi="Trebuchet MS" w:cs="Arial"/>
        </w:rPr>
        <w:t xml:space="preserve">, </w:t>
      </w:r>
      <w:r w:rsidRPr="004732A8">
        <w:rPr>
          <w:rFonts w:ascii="Trebuchet MS" w:eastAsia="Arial" w:hAnsi="Trebuchet MS" w:cs="Arial"/>
        </w:rPr>
        <w:t>including pay, hours, holidays and other contractual entitlements</w:t>
      </w:r>
      <w:r w:rsidR="008862D0" w:rsidRPr="00116B84">
        <w:rPr>
          <w:rFonts w:ascii="Trebuchet MS" w:eastAsia="Arial" w:hAnsi="Trebuchet MS" w:cs="Arial"/>
        </w:rPr>
        <w:t xml:space="preserve"> </w:t>
      </w:r>
      <w:r w:rsidRPr="004732A8">
        <w:rPr>
          <w:rFonts w:ascii="Trebuchet MS" w:eastAsia="Arial" w:hAnsi="Trebuchet MS" w:cs="Arial"/>
        </w:rPr>
        <w:t xml:space="preserve">move with them to the new employer (CIPD, 2025). TUPE also prevents the transferor from dismissing employees or altering contractual terms in order to avoid transfer obligations. </w:t>
      </w:r>
    </w:p>
    <w:p w14:paraId="4A8AED57" w14:textId="7D911F41" w:rsidR="004732A8" w:rsidRPr="00116B84" w:rsidRDefault="004732A8" w:rsidP="00116B84">
      <w:pPr>
        <w:spacing w:before="205" w:after="205" w:line="300" w:lineRule="auto"/>
        <w:jc w:val="both"/>
        <w:rPr>
          <w:rFonts w:ascii="Trebuchet MS" w:eastAsia="Arial" w:hAnsi="Trebuchet MS" w:cs="Arial"/>
        </w:rPr>
      </w:pPr>
      <w:r w:rsidRPr="004732A8">
        <w:rPr>
          <w:rFonts w:ascii="Trebuchet MS" w:eastAsia="Arial" w:hAnsi="Trebuchet MS" w:cs="Arial"/>
        </w:rPr>
        <w:t xml:space="preserve">TUPE offers significant protection against dismissal. </w:t>
      </w:r>
      <w:r w:rsidR="00BD0F4C">
        <w:rPr>
          <w:rFonts w:ascii="Trebuchet MS" w:eastAsia="Arial" w:hAnsi="Trebuchet MS" w:cs="Arial"/>
        </w:rPr>
        <w:t>Any</w:t>
      </w:r>
      <w:r w:rsidRPr="004732A8">
        <w:rPr>
          <w:rFonts w:ascii="Trebuchet MS" w:eastAsia="Arial" w:hAnsi="Trebuchet MS" w:cs="Arial"/>
        </w:rPr>
        <w:t xml:space="preserve"> dismissal where the sole or principal reason is the transfer is automatically unfair unless the employer can demonstrate a genuine economic, technical or organisational (ETO) reason entailing changes in the workforce (GOV.UK, </w:t>
      </w:r>
      <w:proofErr w:type="spellStart"/>
      <w:r w:rsidR="003431D1">
        <w:rPr>
          <w:rFonts w:ascii="Trebuchet MS" w:eastAsia="Arial" w:hAnsi="Trebuchet MS" w:cs="Arial"/>
        </w:rPr>
        <w:t>n.d</w:t>
      </w:r>
      <w:proofErr w:type="spellEnd"/>
      <w:r w:rsidRPr="004732A8">
        <w:rPr>
          <w:rFonts w:ascii="Trebuchet MS" w:eastAsia="Arial" w:hAnsi="Trebuchet MS" w:cs="Arial"/>
        </w:rPr>
        <w:t>). Valid ETO reasons may include essential organisational restructuring or changes in the nature or number of required roles, but dismissals intended merely to facilitate a merger or to harmonise teams are unlawful.</w:t>
      </w:r>
    </w:p>
    <w:p w14:paraId="4EC00609" w14:textId="3EF1C343" w:rsidR="004732A8" w:rsidRPr="004732A8" w:rsidRDefault="004732A8" w:rsidP="00116B84">
      <w:pPr>
        <w:spacing w:before="205" w:after="205" w:line="300" w:lineRule="auto"/>
        <w:jc w:val="both"/>
        <w:rPr>
          <w:rFonts w:ascii="Trebuchet MS" w:eastAsia="Arial" w:hAnsi="Trebuchet MS" w:cs="Arial"/>
        </w:rPr>
      </w:pPr>
      <w:r w:rsidRPr="004732A8">
        <w:rPr>
          <w:rFonts w:ascii="Trebuchet MS" w:eastAsia="Arial" w:hAnsi="Trebuchet MS" w:cs="Arial"/>
        </w:rPr>
        <w:t xml:space="preserve">TUPE also places strict restrictions on altering contractual terms. Amendments are generally void if made because of the transfer itself. Changes are permitted only if they are unrelated to the transfer or are necessary for a legitimate ETO reason. </w:t>
      </w:r>
      <w:r w:rsidR="00B272D4" w:rsidRPr="00116B84">
        <w:rPr>
          <w:rFonts w:ascii="Trebuchet MS" w:eastAsia="Arial" w:hAnsi="Trebuchet MS" w:cs="Arial"/>
        </w:rPr>
        <w:t>The</w:t>
      </w:r>
      <w:r w:rsidRPr="004732A8">
        <w:rPr>
          <w:rFonts w:ascii="Trebuchet MS" w:eastAsia="Arial" w:hAnsi="Trebuchet MS" w:cs="Arial"/>
        </w:rPr>
        <w:t xml:space="preserve"> aim of TUPE is to protect employees from detrimental contractual changes prompted by transfers, and harmonisation of terms for convenience</w:t>
      </w:r>
      <w:r w:rsidR="00B272D4" w:rsidRPr="00116B84">
        <w:rPr>
          <w:rFonts w:ascii="Trebuchet MS" w:eastAsia="Arial" w:hAnsi="Trebuchet MS" w:cs="Arial"/>
        </w:rPr>
        <w:t xml:space="preserve"> (</w:t>
      </w:r>
      <w:r w:rsidRPr="004732A8">
        <w:rPr>
          <w:rFonts w:ascii="Trebuchet MS" w:eastAsia="Arial" w:hAnsi="Trebuchet MS" w:cs="Arial"/>
        </w:rPr>
        <w:t>such as</w:t>
      </w:r>
      <w:r w:rsidR="00B272D4" w:rsidRPr="00116B84">
        <w:rPr>
          <w:rFonts w:ascii="Trebuchet MS" w:eastAsia="Arial" w:hAnsi="Trebuchet MS" w:cs="Arial"/>
        </w:rPr>
        <w:t xml:space="preserve"> say</w:t>
      </w:r>
      <w:r w:rsidRPr="004732A8">
        <w:rPr>
          <w:rFonts w:ascii="Trebuchet MS" w:eastAsia="Arial" w:hAnsi="Trebuchet MS" w:cs="Arial"/>
        </w:rPr>
        <w:t xml:space="preserve"> aligning terms across merged pharmacy teams</w:t>
      </w:r>
      <w:r w:rsidR="00B272D4" w:rsidRPr="00116B84">
        <w:rPr>
          <w:rFonts w:ascii="Trebuchet MS" w:eastAsia="Arial" w:hAnsi="Trebuchet MS" w:cs="Arial"/>
        </w:rPr>
        <w:t xml:space="preserve">) </w:t>
      </w:r>
      <w:r w:rsidRPr="004732A8">
        <w:rPr>
          <w:rFonts w:ascii="Trebuchet MS" w:eastAsia="Arial" w:hAnsi="Trebuchet MS" w:cs="Arial"/>
        </w:rPr>
        <w:t xml:space="preserve">is not lawful (CIPD, 2025). </w:t>
      </w:r>
    </w:p>
    <w:p w14:paraId="37B46288" w14:textId="0904BA0B" w:rsidR="004732A8" w:rsidRPr="004732A8" w:rsidRDefault="004732A8" w:rsidP="00116B84">
      <w:pPr>
        <w:spacing w:before="205" w:after="205" w:line="300" w:lineRule="auto"/>
        <w:jc w:val="both"/>
        <w:rPr>
          <w:rFonts w:ascii="Trebuchet MS" w:eastAsia="Arial" w:hAnsi="Trebuchet MS" w:cs="Arial"/>
        </w:rPr>
      </w:pPr>
      <w:r w:rsidRPr="004732A8">
        <w:rPr>
          <w:rFonts w:ascii="Trebuchet MS" w:eastAsia="Arial" w:hAnsi="Trebuchet MS" w:cs="Arial"/>
        </w:rPr>
        <w:t>Employees also have rights to be informed and consulted about the transfer. Both incoming and outgoing employers must inform employees or their representatives about the fact of the transfer, its timing, the reasons for it, its likely implications and any proposed organisational measures (</w:t>
      </w:r>
      <w:proofErr w:type="spellStart"/>
      <w:r w:rsidRPr="004732A8">
        <w:rPr>
          <w:rFonts w:ascii="Trebuchet MS" w:eastAsia="Arial" w:hAnsi="Trebuchet MS" w:cs="Arial"/>
        </w:rPr>
        <w:t>Acas</w:t>
      </w:r>
      <w:proofErr w:type="spellEnd"/>
      <w:r w:rsidRPr="004732A8">
        <w:rPr>
          <w:rFonts w:ascii="Trebuchet MS" w:eastAsia="Arial" w:hAnsi="Trebuchet MS" w:cs="Arial"/>
        </w:rPr>
        <w:t>, 2026). If measures</w:t>
      </w:r>
      <w:r w:rsidR="00B63F41" w:rsidRPr="00116B84">
        <w:rPr>
          <w:rFonts w:ascii="Trebuchet MS" w:eastAsia="Arial" w:hAnsi="Trebuchet MS" w:cs="Arial"/>
        </w:rPr>
        <w:t xml:space="preserve"> </w:t>
      </w:r>
      <w:r w:rsidRPr="004732A8">
        <w:rPr>
          <w:rFonts w:ascii="Trebuchet MS" w:eastAsia="Arial" w:hAnsi="Trebuchet MS" w:cs="Arial"/>
        </w:rPr>
        <w:t>such as changes to job duties or work locations</w:t>
      </w:r>
      <w:r w:rsidR="00B63F41" w:rsidRPr="00116B84">
        <w:rPr>
          <w:rFonts w:ascii="Trebuchet MS" w:eastAsia="Arial" w:hAnsi="Trebuchet MS" w:cs="Arial"/>
        </w:rPr>
        <w:t xml:space="preserve"> </w:t>
      </w:r>
      <w:r w:rsidR="00B63F41" w:rsidRPr="004732A8">
        <w:rPr>
          <w:rFonts w:ascii="Trebuchet MS" w:eastAsia="Arial" w:hAnsi="Trebuchet MS" w:cs="Arial"/>
        </w:rPr>
        <w:t>are proposed</w:t>
      </w:r>
      <w:r w:rsidR="00B63F41" w:rsidRPr="00116B84">
        <w:rPr>
          <w:rFonts w:ascii="Trebuchet MS" w:eastAsia="Arial" w:hAnsi="Trebuchet MS" w:cs="Arial"/>
        </w:rPr>
        <w:t xml:space="preserve">  </w:t>
      </w:r>
      <w:r w:rsidRPr="004732A8">
        <w:rPr>
          <w:rFonts w:ascii="Trebuchet MS" w:eastAsia="Arial" w:hAnsi="Trebuchet MS" w:cs="Arial"/>
        </w:rPr>
        <w:t xml:space="preserve">the employer must consult meaningfully. Failure to do so can lead to protective awards of up to 13 weeks’ pay per employee. </w:t>
      </w:r>
    </w:p>
    <w:p w14:paraId="6BA40F52" w14:textId="7A2EB26A" w:rsidR="001C492D" w:rsidRPr="00116B84" w:rsidRDefault="004732A8" w:rsidP="00116B84">
      <w:pPr>
        <w:spacing w:before="205" w:after="205" w:line="300" w:lineRule="auto"/>
        <w:jc w:val="both"/>
        <w:rPr>
          <w:rFonts w:ascii="Trebuchet MS" w:eastAsia="Arial" w:hAnsi="Trebuchet MS" w:cs="Arial"/>
        </w:rPr>
      </w:pPr>
      <w:r w:rsidRPr="004732A8">
        <w:rPr>
          <w:rFonts w:ascii="Trebuchet MS" w:eastAsia="Arial" w:hAnsi="Trebuchet MS" w:cs="Arial"/>
        </w:rPr>
        <w:t xml:space="preserve">In addition, the outgoing employer must provide Employee Liability Information (ELI) to the incoming employer, including contractual particulars, disciplinary records and details of any ongoing claims, typically at least 28 days before the transfer (GOV.UK, </w:t>
      </w:r>
      <w:proofErr w:type="spellStart"/>
      <w:r w:rsidR="003431D1">
        <w:rPr>
          <w:rFonts w:ascii="Trebuchet MS" w:eastAsia="Arial" w:hAnsi="Trebuchet MS" w:cs="Arial"/>
        </w:rPr>
        <w:t>n.d</w:t>
      </w:r>
      <w:proofErr w:type="spellEnd"/>
      <w:r w:rsidRPr="004732A8">
        <w:rPr>
          <w:rFonts w:ascii="Trebuchet MS" w:eastAsia="Arial" w:hAnsi="Trebuchet MS" w:cs="Arial"/>
        </w:rPr>
        <w:t xml:space="preserve">). </w:t>
      </w:r>
    </w:p>
    <w:p w14:paraId="1E34DE64" w14:textId="1561FFEE" w:rsidR="004732A8" w:rsidRPr="004732A8" w:rsidRDefault="004732A8" w:rsidP="00116B84">
      <w:pPr>
        <w:spacing w:before="205" w:after="205" w:line="300" w:lineRule="auto"/>
        <w:jc w:val="both"/>
        <w:rPr>
          <w:rFonts w:ascii="Trebuchet MS" w:eastAsia="Arial" w:hAnsi="Trebuchet MS" w:cs="Arial"/>
        </w:rPr>
      </w:pPr>
      <w:r w:rsidRPr="004732A8">
        <w:rPr>
          <w:rFonts w:ascii="Trebuchet MS" w:eastAsia="Arial" w:hAnsi="Trebuchet MS" w:cs="Arial"/>
        </w:rPr>
        <w:t>Finally, employees have the right to object to transferring, although this ends their employment at the transfer date without entitlement to redundancy pay (</w:t>
      </w:r>
      <w:proofErr w:type="spellStart"/>
      <w:r w:rsidRPr="004732A8">
        <w:rPr>
          <w:rFonts w:ascii="Trebuchet MS" w:eastAsia="Arial" w:hAnsi="Trebuchet MS" w:cs="Arial"/>
        </w:rPr>
        <w:t>Acas</w:t>
      </w:r>
      <w:proofErr w:type="spellEnd"/>
      <w:r w:rsidRPr="004732A8">
        <w:rPr>
          <w:rFonts w:ascii="Trebuchet MS" w:eastAsia="Arial" w:hAnsi="Trebuchet MS" w:cs="Arial"/>
        </w:rPr>
        <w:t>, 2026).</w:t>
      </w:r>
    </w:p>
    <w:p w14:paraId="002AD79A" w14:textId="1E0E6E98" w:rsidR="002372CF" w:rsidRPr="004030C4" w:rsidRDefault="002372CF" w:rsidP="002372CF">
      <w:pPr>
        <w:spacing w:after="0" w:line="240" w:lineRule="auto"/>
        <w:rPr>
          <w:rFonts w:ascii="Trebuchet MS" w:eastAsia="Arial" w:hAnsi="Trebuchet MS" w:cs="Arial"/>
          <w:b/>
          <w:bCs/>
        </w:rPr>
      </w:pPr>
      <w:r w:rsidRPr="004030C4">
        <w:rPr>
          <w:rFonts w:ascii="Trebuchet MS" w:eastAsia="Arial" w:hAnsi="Trebuchet MS" w:cs="Arial"/>
          <w:b/>
          <w:bCs/>
        </w:rPr>
        <w:t>AC 4.1</w:t>
      </w:r>
    </w:p>
    <w:p w14:paraId="4974F016" w14:textId="636C7EA9" w:rsidR="003C3295" w:rsidRPr="003C3295" w:rsidRDefault="003C3295" w:rsidP="0084604E">
      <w:pPr>
        <w:spacing w:before="205" w:after="205" w:line="300" w:lineRule="auto"/>
        <w:jc w:val="both"/>
        <w:rPr>
          <w:rFonts w:ascii="Trebuchet MS" w:hAnsi="Trebuchet MS"/>
        </w:rPr>
      </w:pPr>
      <w:r w:rsidRPr="003C3295">
        <w:rPr>
          <w:rFonts w:ascii="Trebuchet MS" w:hAnsi="Trebuchet MS"/>
        </w:rPr>
        <w:t>Under the Working Time Regulations 1998 (WTR 1998), all workers</w:t>
      </w:r>
      <w:r w:rsidR="00DE2583">
        <w:rPr>
          <w:rFonts w:ascii="Trebuchet MS" w:hAnsi="Trebuchet MS"/>
        </w:rPr>
        <w:t xml:space="preserve"> </w:t>
      </w:r>
      <w:r w:rsidRPr="003C3295">
        <w:rPr>
          <w:rFonts w:ascii="Trebuchet MS" w:hAnsi="Trebuchet MS"/>
        </w:rPr>
        <w:t xml:space="preserve">are legally entitled to paid annual leave and employers must calculate holiday pay in a manner that is fair, </w:t>
      </w:r>
      <w:r w:rsidRPr="003C3295">
        <w:rPr>
          <w:rFonts w:ascii="Trebuchet MS" w:hAnsi="Trebuchet MS"/>
        </w:rPr>
        <w:lastRenderedPageBreak/>
        <w:t xml:space="preserve">transparent and compliant with statutory rules. Holiday pay must reflect a worker’s normal weekly pay, ensuring they are not financially disadvantaged when taking leave. </w:t>
      </w:r>
      <w:proofErr w:type="spellStart"/>
      <w:r w:rsidRPr="003C3295">
        <w:rPr>
          <w:rFonts w:ascii="Trebuchet MS" w:hAnsi="Trebuchet MS"/>
        </w:rPr>
        <w:t>Acas</w:t>
      </w:r>
      <w:proofErr w:type="spellEnd"/>
      <w:r w:rsidRPr="003C3295">
        <w:rPr>
          <w:rFonts w:ascii="Trebuchet MS" w:hAnsi="Trebuchet MS"/>
        </w:rPr>
        <w:t xml:space="preserve"> makes clear that workers “should get the same pay when they’re on holiday as when they’re at work,” which establishes the requirement for parity between working time and holiday pay (</w:t>
      </w:r>
      <w:proofErr w:type="spellStart"/>
      <w:r w:rsidRPr="003C3295">
        <w:rPr>
          <w:rFonts w:ascii="Trebuchet MS" w:hAnsi="Trebuchet MS"/>
        </w:rPr>
        <w:t>Acas</w:t>
      </w:r>
      <w:proofErr w:type="spellEnd"/>
      <w:r w:rsidRPr="003C3295">
        <w:rPr>
          <w:rFonts w:ascii="Trebuchet MS" w:hAnsi="Trebuchet MS"/>
        </w:rPr>
        <w:t xml:space="preserve">, 2026). </w:t>
      </w:r>
    </w:p>
    <w:p w14:paraId="262B5097" w14:textId="22B27A82" w:rsidR="003C3295" w:rsidRPr="003C3295" w:rsidRDefault="003C3295" w:rsidP="0084604E">
      <w:pPr>
        <w:spacing w:before="205" w:after="205" w:line="300" w:lineRule="auto"/>
        <w:jc w:val="both"/>
        <w:rPr>
          <w:rFonts w:ascii="Trebuchet MS" w:hAnsi="Trebuchet MS"/>
        </w:rPr>
      </w:pPr>
      <w:r w:rsidRPr="003C3295">
        <w:rPr>
          <w:rFonts w:ascii="Trebuchet MS" w:hAnsi="Trebuchet MS"/>
        </w:rPr>
        <w:t>The regulatory framework requires employers to begin calculations by identifying a statutory week, which usually runs from Sunday to Saturday. Holiday pay must be based on the last full week worked, ending on or before the first day of leave. A different seven</w:t>
      </w:r>
      <w:r w:rsidRPr="003C3295">
        <w:rPr>
          <w:rFonts w:ascii="Trebuchet MS" w:hAnsi="Trebuchet MS"/>
        </w:rPr>
        <w:noBreakHyphen/>
        <w:t>day period may only be used if this reflects the employer’s established pay cycle</w:t>
      </w:r>
      <w:r w:rsidR="00BA6E3D">
        <w:rPr>
          <w:rFonts w:ascii="Trebuchet MS" w:hAnsi="Trebuchet MS"/>
        </w:rPr>
        <w:t xml:space="preserve"> </w:t>
      </w:r>
      <w:r w:rsidRPr="003C3295">
        <w:rPr>
          <w:rFonts w:ascii="Trebuchet MS" w:hAnsi="Trebuchet MS"/>
        </w:rPr>
        <w:t>such as Thursday to Wednesday</w:t>
      </w:r>
      <w:r w:rsidR="00BA6E3D">
        <w:rPr>
          <w:rFonts w:ascii="Trebuchet MS" w:hAnsi="Trebuchet MS"/>
        </w:rPr>
        <w:t xml:space="preserve">, </w:t>
      </w:r>
      <w:r w:rsidRPr="003C3295">
        <w:rPr>
          <w:rFonts w:ascii="Trebuchet MS" w:hAnsi="Trebuchet MS"/>
        </w:rPr>
        <w:t>ensuring consistency with statutory definitions (</w:t>
      </w:r>
      <w:proofErr w:type="spellStart"/>
      <w:r w:rsidRPr="003C3295">
        <w:rPr>
          <w:rFonts w:ascii="Trebuchet MS" w:hAnsi="Trebuchet MS"/>
        </w:rPr>
        <w:t>Acas</w:t>
      </w:r>
      <w:proofErr w:type="spellEnd"/>
      <w:r w:rsidRPr="003C3295">
        <w:rPr>
          <w:rFonts w:ascii="Trebuchet MS" w:hAnsi="Trebuchet MS"/>
        </w:rPr>
        <w:t xml:space="preserve">, 2026). </w:t>
      </w:r>
    </w:p>
    <w:p w14:paraId="66BF671A" w14:textId="0E2DF7A2" w:rsidR="003C3295" w:rsidRPr="003C3295" w:rsidRDefault="003C3295" w:rsidP="0084604E">
      <w:pPr>
        <w:spacing w:before="205" w:after="205" w:line="300" w:lineRule="auto"/>
        <w:jc w:val="both"/>
        <w:rPr>
          <w:rFonts w:ascii="Trebuchet MS" w:hAnsi="Trebuchet MS"/>
        </w:rPr>
      </w:pPr>
      <w:r w:rsidRPr="003C3295">
        <w:rPr>
          <w:rFonts w:ascii="Trebuchet MS" w:hAnsi="Trebuchet MS"/>
        </w:rPr>
        <w:t xml:space="preserve">For staff with fixed hours, holiday pay is paid at the worker’s usual weekly rate. </w:t>
      </w:r>
      <w:r w:rsidR="00A74248">
        <w:rPr>
          <w:rFonts w:ascii="Trebuchet MS" w:hAnsi="Trebuchet MS"/>
        </w:rPr>
        <w:t>A</w:t>
      </w:r>
      <w:r w:rsidRPr="003C3295">
        <w:rPr>
          <w:rFonts w:ascii="Trebuchet MS" w:hAnsi="Trebuchet MS"/>
        </w:rPr>
        <w:t xml:space="preserve"> worker contracted for 37 hours and earning £500 per week, must be paid the same amount when taking a week of annual leave (</w:t>
      </w:r>
      <w:proofErr w:type="spellStart"/>
      <w:r w:rsidRPr="003C3295">
        <w:rPr>
          <w:rFonts w:ascii="Trebuchet MS" w:hAnsi="Trebuchet MS"/>
        </w:rPr>
        <w:t>Acas</w:t>
      </w:r>
      <w:proofErr w:type="spellEnd"/>
      <w:r w:rsidRPr="003C3295">
        <w:rPr>
          <w:rFonts w:ascii="Trebuchet MS" w:hAnsi="Trebuchet MS"/>
        </w:rPr>
        <w:t>, 2026). However, this does not apply to nurse bank staff, whose hours vary. These workers fall under the category of irregular</w:t>
      </w:r>
      <w:r w:rsidRPr="003C3295">
        <w:rPr>
          <w:rFonts w:ascii="Trebuchet MS" w:hAnsi="Trebuchet MS"/>
        </w:rPr>
        <w:noBreakHyphen/>
        <w:t>hours or part</w:t>
      </w:r>
      <w:r w:rsidRPr="003C3295">
        <w:rPr>
          <w:rFonts w:ascii="Trebuchet MS" w:hAnsi="Trebuchet MS"/>
        </w:rPr>
        <w:noBreakHyphen/>
        <w:t xml:space="preserve">year workers, for whom specific averaging rules apply. </w:t>
      </w:r>
    </w:p>
    <w:p w14:paraId="57E33DC4" w14:textId="719A3901" w:rsidR="003C3295" w:rsidRPr="003C3295" w:rsidRDefault="003C3295" w:rsidP="0084604E">
      <w:pPr>
        <w:spacing w:before="205" w:after="205" w:line="300" w:lineRule="auto"/>
        <w:jc w:val="both"/>
        <w:rPr>
          <w:rFonts w:ascii="Trebuchet MS" w:hAnsi="Trebuchet MS"/>
        </w:rPr>
      </w:pPr>
      <w:r w:rsidRPr="003C3295">
        <w:rPr>
          <w:rFonts w:ascii="Trebuchet MS" w:hAnsi="Trebuchet MS"/>
        </w:rPr>
        <w:t>For irregular</w:t>
      </w:r>
      <w:r w:rsidRPr="003C3295">
        <w:rPr>
          <w:rFonts w:ascii="Trebuchet MS" w:hAnsi="Trebuchet MS"/>
        </w:rPr>
        <w:noBreakHyphen/>
        <w:t>hours and part</w:t>
      </w:r>
      <w:r w:rsidRPr="003C3295">
        <w:rPr>
          <w:rFonts w:ascii="Trebuchet MS" w:hAnsi="Trebuchet MS"/>
        </w:rPr>
        <w:noBreakHyphen/>
        <w:t>year staff, holiday pay must be calculated based on the average pay received in the previous 52 paid weeks, irrespective of when the leave year begins. Where the worker has fewer than 52 paid weeks, only the weeks actually worked are included (</w:t>
      </w:r>
      <w:proofErr w:type="spellStart"/>
      <w:r w:rsidRPr="003C3295">
        <w:rPr>
          <w:rFonts w:ascii="Trebuchet MS" w:hAnsi="Trebuchet MS"/>
        </w:rPr>
        <w:t>Acas</w:t>
      </w:r>
      <w:proofErr w:type="spellEnd"/>
      <w:r w:rsidRPr="003C3295">
        <w:rPr>
          <w:rFonts w:ascii="Trebuchet MS" w:hAnsi="Trebuchet MS"/>
        </w:rPr>
        <w:t>, 2026). The calculation must incorporate all elements of “normal remuneration”, including payments for contractual tasks (such as commission), payments linked to seniority or professional status, and any overtime that has been paid regularly over the previous year (</w:t>
      </w:r>
      <w:proofErr w:type="spellStart"/>
      <w:r w:rsidRPr="003C3295">
        <w:rPr>
          <w:rFonts w:ascii="Trebuchet MS" w:hAnsi="Trebuchet MS"/>
        </w:rPr>
        <w:t>Acas</w:t>
      </w:r>
      <w:proofErr w:type="spellEnd"/>
      <w:r w:rsidRPr="003C3295">
        <w:rPr>
          <w:rFonts w:ascii="Trebuchet MS" w:hAnsi="Trebuchet MS"/>
        </w:rPr>
        <w:t xml:space="preserve">, 2026). </w:t>
      </w:r>
    </w:p>
    <w:p w14:paraId="43C56291" w14:textId="10B8C587" w:rsidR="003C3295" w:rsidRPr="003C3295" w:rsidRDefault="003C3295" w:rsidP="0084604E">
      <w:pPr>
        <w:spacing w:before="205" w:after="205" w:line="300" w:lineRule="auto"/>
        <w:jc w:val="both"/>
        <w:rPr>
          <w:rFonts w:ascii="Trebuchet MS" w:hAnsi="Trebuchet MS"/>
        </w:rPr>
      </w:pPr>
      <w:r w:rsidRPr="003C3295">
        <w:rPr>
          <w:rFonts w:ascii="Trebuchet MS" w:hAnsi="Trebuchet MS"/>
        </w:rPr>
        <w:t>Recent amendments to the WTR 1998 have also legalised rolled</w:t>
      </w:r>
      <w:r w:rsidRPr="003C3295">
        <w:rPr>
          <w:rFonts w:ascii="Trebuchet MS" w:hAnsi="Trebuchet MS"/>
        </w:rPr>
        <w:noBreakHyphen/>
        <w:t>up holiday pay for irregular</w:t>
      </w:r>
      <w:r w:rsidRPr="003C3295">
        <w:rPr>
          <w:rFonts w:ascii="Trebuchet MS" w:hAnsi="Trebuchet MS"/>
        </w:rPr>
        <w:noBreakHyphen/>
        <w:t>hours and part</w:t>
      </w:r>
      <w:r w:rsidRPr="003C3295">
        <w:rPr>
          <w:rFonts w:ascii="Trebuchet MS" w:hAnsi="Trebuchet MS"/>
        </w:rPr>
        <w:noBreakHyphen/>
        <w:t>year workers. Regulation 16A requires that rolled</w:t>
      </w:r>
      <w:r w:rsidRPr="003C3295">
        <w:rPr>
          <w:rFonts w:ascii="Trebuchet MS" w:hAnsi="Trebuchet MS"/>
        </w:rPr>
        <w:noBreakHyphen/>
        <w:t>up holiday pay must be calculated using a 12.07% uplift to reflect 5.6 weeks’ annual leave, adjusted where contractual leave exceeds the statutory minimum, paid at the end of each pay period in which holiday accrues, and clearly itemised on payslips. Rolled</w:t>
      </w:r>
      <w:r w:rsidRPr="003C3295">
        <w:rPr>
          <w:rFonts w:ascii="Trebuchet MS" w:hAnsi="Trebuchet MS"/>
        </w:rPr>
        <w:noBreakHyphen/>
        <w:t>up pay remains unlawful for workers outside these categories.</w:t>
      </w:r>
    </w:p>
    <w:p w14:paraId="066330C4" w14:textId="3F0F3FE5" w:rsidR="003C3295" w:rsidRPr="003C3295" w:rsidRDefault="00D545E1" w:rsidP="0084604E">
      <w:pPr>
        <w:spacing w:before="205" w:after="205" w:line="300" w:lineRule="auto"/>
        <w:jc w:val="both"/>
        <w:rPr>
          <w:rFonts w:ascii="Trebuchet MS" w:hAnsi="Trebuchet MS"/>
        </w:rPr>
      </w:pPr>
      <w:r>
        <w:rPr>
          <w:rFonts w:ascii="Trebuchet MS" w:hAnsi="Trebuchet MS"/>
        </w:rPr>
        <w:t>W</w:t>
      </w:r>
      <w:r w:rsidR="003C3295" w:rsidRPr="003C3295">
        <w:rPr>
          <w:rFonts w:ascii="Trebuchet MS" w:hAnsi="Trebuchet MS"/>
        </w:rPr>
        <w:t xml:space="preserve">orkers accrue statutory leave in accordance with the hours they have actually worked, an essential consideration for bank staff whose weekly hours fluctuate (GOV.UK, </w:t>
      </w:r>
      <w:proofErr w:type="spellStart"/>
      <w:r w:rsidR="003431D1">
        <w:rPr>
          <w:rFonts w:ascii="Trebuchet MS" w:hAnsi="Trebuchet MS"/>
        </w:rPr>
        <w:t>n.d</w:t>
      </w:r>
      <w:proofErr w:type="spellEnd"/>
      <w:r w:rsidR="003C3295" w:rsidRPr="003C3295">
        <w:rPr>
          <w:rFonts w:ascii="Trebuchet MS" w:hAnsi="Trebuchet MS"/>
        </w:rPr>
        <w:t xml:space="preserve">). </w:t>
      </w:r>
    </w:p>
    <w:p w14:paraId="503137B6" w14:textId="6C44E519" w:rsidR="00E90BAA" w:rsidRPr="000F5276" w:rsidRDefault="00E90BAA" w:rsidP="00E90BAA">
      <w:pPr>
        <w:spacing w:line="240" w:lineRule="auto"/>
        <w:rPr>
          <w:rFonts w:ascii="Trebuchet MS" w:hAnsi="Trebuchet MS" w:cstheme="minorHAnsi"/>
          <w:b/>
          <w:bCs/>
        </w:rPr>
      </w:pPr>
      <w:r w:rsidRPr="000F5276">
        <w:rPr>
          <w:rFonts w:ascii="Trebuchet MS" w:hAnsi="Trebuchet MS" w:cstheme="minorHAnsi"/>
          <w:b/>
          <w:bCs/>
        </w:rPr>
        <w:t>AC 4.2</w:t>
      </w:r>
    </w:p>
    <w:p w14:paraId="134AC13C" w14:textId="13654B17" w:rsidR="00A56136" w:rsidRDefault="00106844" w:rsidP="000F5276">
      <w:pPr>
        <w:spacing w:before="210" w:after="210" w:line="300" w:lineRule="auto"/>
        <w:jc w:val="both"/>
        <w:rPr>
          <w:rFonts w:ascii="Trebuchet MS" w:hAnsi="Trebuchet MS"/>
        </w:rPr>
      </w:pPr>
      <w:r w:rsidRPr="00106844">
        <w:rPr>
          <w:rFonts w:ascii="Trebuchet MS" w:hAnsi="Trebuchet MS"/>
        </w:rPr>
        <w:t>Maternity leave is a long</w:t>
      </w:r>
      <w:r w:rsidRPr="00106844">
        <w:rPr>
          <w:rFonts w:ascii="Trebuchet MS" w:hAnsi="Trebuchet MS"/>
        </w:rPr>
        <w:noBreakHyphen/>
        <w:t>established statutory right providing up to 52 weeks of leave</w:t>
      </w:r>
      <w:r w:rsidR="005D393D">
        <w:rPr>
          <w:rFonts w:ascii="Trebuchet MS" w:hAnsi="Trebuchet MS"/>
        </w:rPr>
        <w:t xml:space="preserve">, </w:t>
      </w:r>
      <w:r w:rsidRPr="00106844">
        <w:rPr>
          <w:rFonts w:ascii="Trebuchet MS" w:hAnsi="Trebuchet MS"/>
        </w:rPr>
        <w:t>comprising 26 weeks of Ordinary Maternity Leave (OML) and 26 weeks of Additional Maternity Leave (AML). During both OML and AML, the employment contract continues uninterrupted, protecting continuity of service and preserving all contractual terms except remuneration</w:t>
      </w:r>
      <w:r w:rsidR="003A504E">
        <w:rPr>
          <w:rFonts w:ascii="Trebuchet MS" w:hAnsi="Trebuchet MS"/>
        </w:rPr>
        <w:t xml:space="preserve">. </w:t>
      </w:r>
      <w:r w:rsidRPr="00106844">
        <w:rPr>
          <w:rFonts w:ascii="Trebuchet MS" w:hAnsi="Trebuchet MS"/>
        </w:rPr>
        <w:t>The employee taking maternity leave retains a strong right to return to the same job following OML, or where total maternity and S</w:t>
      </w:r>
      <w:r w:rsidR="00AD45A3" w:rsidRPr="00DA229E">
        <w:rPr>
          <w:rFonts w:ascii="Trebuchet MS" w:hAnsi="Trebuchet MS"/>
        </w:rPr>
        <w:t xml:space="preserve">hared </w:t>
      </w:r>
      <w:r w:rsidRPr="00106844">
        <w:rPr>
          <w:rFonts w:ascii="Trebuchet MS" w:hAnsi="Trebuchet MS"/>
        </w:rPr>
        <w:t>P</w:t>
      </w:r>
      <w:r w:rsidR="00AD45A3" w:rsidRPr="00DA229E">
        <w:rPr>
          <w:rFonts w:ascii="Trebuchet MS" w:hAnsi="Trebuchet MS"/>
        </w:rPr>
        <w:t xml:space="preserve">arental </w:t>
      </w:r>
      <w:r w:rsidRPr="00106844">
        <w:rPr>
          <w:rFonts w:ascii="Trebuchet MS" w:hAnsi="Trebuchet MS"/>
        </w:rPr>
        <w:t>L</w:t>
      </w:r>
      <w:r w:rsidR="00AD45A3" w:rsidRPr="00DA229E">
        <w:rPr>
          <w:rFonts w:ascii="Trebuchet MS" w:hAnsi="Trebuchet MS"/>
        </w:rPr>
        <w:t>eave (SPL)</w:t>
      </w:r>
      <w:r w:rsidRPr="00106844">
        <w:rPr>
          <w:rFonts w:ascii="Trebuchet MS" w:hAnsi="Trebuchet MS"/>
        </w:rPr>
        <w:t xml:space="preserve"> taken together does not exceed 26 weeks. Where more than 26 weeks’ leave has been taken, the </w:t>
      </w:r>
      <w:r w:rsidRPr="00106844">
        <w:rPr>
          <w:rFonts w:ascii="Trebuchet MS" w:hAnsi="Trebuchet MS"/>
        </w:rPr>
        <w:lastRenderedPageBreak/>
        <w:t xml:space="preserve">right extends to a </w:t>
      </w:r>
      <w:r w:rsidRPr="00106844">
        <w:rPr>
          <w:rFonts w:ascii="Trebuchet MS" w:hAnsi="Trebuchet MS"/>
          <w:i/>
          <w:iCs/>
        </w:rPr>
        <w:t>suitable alternative role</w:t>
      </w:r>
      <w:r w:rsidRPr="00106844">
        <w:rPr>
          <w:rFonts w:ascii="Trebuchet MS" w:hAnsi="Trebuchet MS"/>
        </w:rPr>
        <w:t xml:space="preserve"> on no less favourable terms if the original job cannot reasonably be offered </w:t>
      </w:r>
      <w:r w:rsidR="00A118A5">
        <w:rPr>
          <w:rFonts w:ascii="Trebuchet MS" w:hAnsi="Trebuchet MS"/>
        </w:rPr>
        <w:t>(CIPD, 2025)</w:t>
      </w:r>
    </w:p>
    <w:p w14:paraId="6BAE116C" w14:textId="423C02F8" w:rsidR="00106844" w:rsidRPr="00106844" w:rsidRDefault="00106844" w:rsidP="000F5276">
      <w:pPr>
        <w:spacing w:before="210" w:after="210" w:line="300" w:lineRule="auto"/>
        <w:jc w:val="both"/>
        <w:rPr>
          <w:rFonts w:ascii="Trebuchet MS" w:hAnsi="Trebuchet MS"/>
        </w:rPr>
      </w:pPr>
      <w:r w:rsidRPr="00106844">
        <w:rPr>
          <w:rFonts w:ascii="Trebuchet MS" w:hAnsi="Trebuchet MS"/>
        </w:rPr>
        <w:t>Statutory Maternity Pay (SMP) is available for up to 39 weeks, with the first six weeks paid at 90% of average earnings and the remainder at the prescribed statutory rate.</w:t>
      </w:r>
    </w:p>
    <w:p w14:paraId="0FDF51F3" w14:textId="5F40E29B" w:rsidR="00106844" w:rsidRPr="00106844" w:rsidRDefault="00106844" w:rsidP="000F5276">
      <w:pPr>
        <w:spacing w:before="210" w:after="210" w:line="300" w:lineRule="auto"/>
        <w:jc w:val="both"/>
        <w:rPr>
          <w:rFonts w:ascii="Trebuchet MS" w:hAnsi="Trebuchet MS"/>
        </w:rPr>
      </w:pPr>
      <w:r w:rsidRPr="00106844">
        <w:rPr>
          <w:rFonts w:ascii="Trebuchet MS" w:hAnsi="Trebuchet MS"/>
        </w:rPr>
        <w:t>In contrast, Shared Parental Leave offers families greater flexibility in how they organise childcare during the child’s first year. Once the birth parent curtails maternity leave, up to 50 weeks of SPL and 37 weeks of Shared Parental Pay (</w:t>
      </w:r>
      <w:proofErr w:type="spellStart"/>
      <w:r w:rsidRPr="00106844">
        <w:rPr>
          <w:rFonts w:ascii="Trebuchet MS" w:hAnsi="Trebuchet MS"/>
        </w:rPr>
        <w:t>ShPP</w:t>
      </w:r>
      <w:proofErr w:type="spellEnd"/>
      <w:r w:rsidRPr="00106844">
        <w:rPr>
          <w:rFonts w:ascii="Trebuchet MS" w:hAnsi="Trebuchet MS"/>
        </w:rPr>
        <w:t>) can be shared between both parents. SPL enables parents to take leave concurrently or sequentially, allowing them to tailor arrangements to their circumstances. Eligibility rules are more complex</w:t>
      </w:r>
      <w:r w:rsidR="00D0684D">
        <w:rPr>
          <w:rFonts w:ascii="Trebuchet MS" w:hAnsi="Trebuchet MS"/>
        </w:rPr>
        <w:t>.</w:t>
      </w:r>
      <w:r w:rsidRPr="00106844">
        <w:rPr>
          <w:rFonts w:ascii="Trebuchet MS" w:hAnsi="Trebuchet MS"/>
        </w:rPr>
        <w:t xml:space="preserve"> </w:t>
      </w:r>
      <w:r w:rsidR="007D7E8F">
        <w:rPr>
          <w:rFonts w:ascii="Trebuchet MS" w:hAnsi="Trebuchet MS"/>
        </w:rPr>
        <w:t>B</w:t>
      </w:r>
      <w:r w:rsidRPr="00106844">
        <w:rPr>
          <w:rFonts w:ascii="Trebuchet MS" w:hAnsi="Trebuchet MS"/>
        </w:rPr>
        <w:t xml:space="preserve">oth parents must meet service and earnings thresholds to qualify for SPL and </w:t>
      </w:r>
      <w:proofErr w:type="spellStart"/>
      <w:r w:rsidRPr="00106844">
        <w:rPr>
          <w:rFonts w:ascii="Trebuchet MS" w:hAnsi="Trebuchet MS"/>
        </w:rPr>
        <w:t>ShPP</w:t>
      </w:r>
      <w:proofErr w:type="spellEnd"/>
      <w:r w:rsidRPr="00106844">
        <w:rPr>
          <w:rFonts w:ascii="Trebuchet MS" w:hAnsi="Trebuchet MS"/>
        </w:rPr>
        <w:t xml:space="preserve">, and crucially, SPL is available only to those who meet the statutory definition of “employee”. </w:t>
      </w:r>
      <w:r w:rsidR="00E40A85">
        <w:rPr>
          <w:rFonts w:ascii="Trebuchet MS" w:hAnsi="Trebuchet MS"/>
        </w:rPr>
        <w:t>Where</w:t>
      </w:r>
      <w:r w:rsidRPr="00106844">
        <w:rPr>
          <w:rFonts w:ascii="Trebuchet MS" w:hAnsi="Trebuchet MS"/>
        </w:rPr>
        <w:t xml:space="preserve"> only the partner seeks SPL, the birth parent must meet economic activity tests to “unlock” entitlement for the partner.</w:t>
      </w:r>
    </w:p>
    <w:p w14:paraId="0557988B" w14:textId="21BAA705" w:rsidR="00106844" w:rsidRPr="00106844" w:rsidRDefault="00106844" w:rsidP="000F5276">
      <w:pPr>
        <w:spacing w:before="210" w:after="210" w:line="300" w:lineRule="auto"/>
        <w:jc w:val="both"/>
        <w:rPr>
          <w:rFonts w:ascii="Trebuchet MS" w:hAnsi="Trebuchet MS"/>
        </w:rPr>
      </w:pPr>
      <w:r w:rsidRPr="00106844">
        <w:rPr>
          <w:rFonts w:ascii="Trebuchet MS" w:hAnsi="Trebuchet MS"/>
        </w:rPr>
        <w:t>Although SPL provides a right to return to the same job following leave of 26 weeks or less, longer periods</w:t>
      </w:r>
      <w:r w:rsidR="00D61A39">
        <w:rPr>
          <w:rFonts w:ascii="Trebuchet MS" w:hAnsi="Trebuchet MS"/>
        </w:rPr>
        <w:t xml:space="preserve">, </w:t>
      </w:r>
      <w:r w:rsidRPr="00106844">
        <w:rPr>
          <w:rFonts w:ascii="Trebuchet MS" w:hAnsi="Trebuchet MS"/>
        </w:rPr>
        <w:t>particularly when combined with maternity leave</w:t>
      </w:r>
      <w:r w:rsidR="00D61A39">
        <w:rPr>
          <w:rFonts w:ascii="Trebuchet MS" w:hAnsi="Trebuchet MS"/>
        </w:rPr>
        <w:t xml:space="preserve"> </w:t>
      </w:r>
      <w:r w:rsidRPr="00106844">
        <w:rPr>
          <w:rFonts w:ascii="Trebuchet MS" w:hAnsi="Trebuchet MS"/>
        </w:rPr>
        <w:t>may limit this right to a suitable alternative role. Additionally, SPL’s administrative processes and notification requirements are often cited as more burdensome and confusing for employees compared with maternity leave.</w:t>
      </w:r>
    </w:p>
    <w:p w14:paraId="18BE4C5F" w14:textId="14E6D844" w:rsidR="00295EC4" w:rsidRPr="00295EC4" w:rsidRDefault="00295EC4" w:rsidP="000F5276">
      <w:pPr>
        <w:spacing w:before="210" w:after="210" w:line="300" w:lineRule="auto"/>
        <w:jc w:val="both"/>
        <w:rPr>
          <w:rFonts w:ascii="Trebuchet MS" w:hAnsi="Trebuchet MS"/>
        </w:rPr>
      </w:pPr>
      <w:r w:rsidRPr="00295EC4">
        <w:rPr>
          <w:rFonts w:ascii="Trebuchet MS" w:hAnsi="Trebuchet MS"/>
        </w:rPr>
        <w:t>In terms of pay, Statutory Maternity Pay (SMP) is more generous at the outset, providing six weeks at 90% of average weekly earnings, followed by 33 weeks at the statutory rate or 90% if lower (</w:t>
      </w:r>
      <w:proofErr w:type="spellStart"/>
      <w:r w:rsidRPr="00295EC4">
        <w:rPr>
          <w:rFonts w:ascii="Trebuchet MS" w:hAnsi="Trebuchet MS"/>
        </w:rPr>
        <w:t>Clarkslegal</w:t>
      </w:r>
      <w:proofErr w:type="spellEnd"/>
      <w:r w:rsidRPr="00295EC4">
        <w:rPr>
          <w:rFonts w:ascii="Trebuchet MS" w:hAnsi="Trebuchet MS"/>
        </w:rPr>
        <w:t>, 2025). Shared Parental Pay (</w:t>
      </w:r>
      <w:proofErr w:type="spellStart"/>
      <w:r w:rsidRPr="00295EC4">
        <w:rPr>
          <w:rFonts w:ascii="Trebuchet MS" w:hAnsi="Trebuchet MS"/>
        </w:rPr>
        <w:t>ShPP</w:t>
      </w:r>
      <w:proofErr w:type="spellEnd"/>
      <w:r w:rsidRPr="00295EC4">
        <w:rPr>
          <w:rFonts w:ascii="Trebuchet MS" w:hAnsi="Trebuchet MS"/>
        </w:rPr>
        <w:t>), however, is available only if maternity pay is curtailed early and provides up to 37 weeks of statutory</w:t>
      </w:r>
      <w:r w:rsidRPr="00295EC4">
        <w:rPr>
          <w:rFonts w:ascii="Trebuchet MS" w:hAnsi="Trebuchet MS"/>
        </w:rPr>
        <w:noBreakHyphen/>
        <w:t>rate pay, without the higher</w:t>
      </w:r>
      <w:r w:rsidRPr="00295EC4">
        <w:rPr>
          <w:rFonts w:ascii="Trebuchet MS" w:hAnsi="Trebuchet MS"/>
        </w:rPr>
        <w:noBreakHyphen/>
        <w:t xml:space="preserve">paid 90% period that maternity leave offers (GOV.UK, </w:t>
      </w:r>
      <w:proofErr w:type="spellStart"/>
      <w:r w:rsidR="003431D1">
        <w:rPr>
          <w:rFonts w:ascii="Trebuchet MS" w:hAnsi="Trebuchet MS"/>
        </w:rPr>
        <w:t>n.d</w:t>
      </w:r>
      <w:r w:rsidRPr="00295EC4">
        <w:rPr>
          <w:rFonts w:ascii="Trebuchet MS" w:hAnsi="Trebuchet MS"/>
        </w:rPr>
        <w:t>Financial</w:t>
      </w:r>
      <w:proofErr w:type="spellEnd"/>
      <w:r w:rsidRPr="00295EC4">
        <w:rPr>
          <w:rFonts w:ascii="Trebuchet MS" w:hAnsi="Trebuchet MS"/>
        </w:rPr>
        <w:t xml:space="preserve"> and practical considerations are central to a parent’s decision</w:t>
      </w:r>
      <w:r w:rsidR="00C5673E">
        <w:rPr>
          <w:rFonts w:ascii="Trebuchet MS" w:hAnsi="Trebuchet MS"/>
        </w:rPr>
        <w:t>,</w:t>
      </w:r>
      <w:r w:rsidRPr="00295EC4">
        <w:rPr>
          <w:rFonts w:ascii="Trebuchet MS" w:hAnsi="Trebuchet MS"/>
        </w:rPr>
        <w:t xml:space="preserve"> </w:t>
      </w:r>
      <w:r w:rsidR="00C5673E">
        <w:rPr>
          <w:rFonts w:ascii="Trebuchet MS" w:hAnsi="Trebuchet MS"/>
        </w:rPr>
        <w:t>G</w:t>
      </w:r>
      <w:r w:rsidRPr="00295EC4">
        <w:rPr>
          <w:rFonts w:ascii="Trebuchet MS" w:hAnsi="Trebuchet MS"/>
        </w:rPr>
        <w:t xml:space="preserve">overnment reviews highlight that uptake of SPL remains low, partly because </w:t>
      </w:r>
      <w:proofErr w:type="spellStart"/>
      <w:r w:rsidRPr="00295EC4">
        <w:rPr>
          <w:rFonts w:ascii="Trebuchet MS" w:hAnsi="Trebuchet MS"/>
        </w:rPr>
        <w:t>ShPP</w:t>
      </w:r>
      <w:proofErr w:type="spellEnd"/>
      <w:r w:rsidRPr="00295EC4">
        <w:rPr>
          <w:rFonts w:ascii="Trebuchet MS" w:hAnsi="Trebuchet MS"/>
        </w:rPr>
        <w:t xml:space="preserve"> is less financially attractive than the early higher</w:t>
      </w:r>
      <w:r w:rsidRPr="00295EC4">
        <w:rPr>
          <w:rFonts w:ascii="Trebuchet MS" w:hAnsi="Trebuchet MS"/>
        </w:rPr>
        <w:noBreakHyphen/>
        <w:t>rate SMP and because families may prefer the simplicity of maternity leave (Government Review, 2025). However, SPL provides flexibility for families wishing to share childcare more equally in the first year, particularly where both partners wish to take extended leave or alternate working patterns.</w:t>
      </w:r>
    </w:p>
    <w:p w14:paraId="17ED1EE8" w14:textId="3CC56B9A" w:rsidR="002372CF" w:rsidRPr="00366645" w:rsidRDefault="001F06C8" w:rsidP="0022118A">
      <w:pPr>
        <w:rPr>
          <w:rFonts w:ascii="Trebuchet MS" w:hAnsi="Trebuchet MS"/>
          <w:b/>
          <w:bCs/>
        </w:rPr>
      </w:pPr>
      <w:r w:rsidRPr="00366645">
        <w:rPr>
          <w:rFonts w:ascii="Trebuchet MS" w:hAnsi="Trebuchet MS"/>
          <w:b/>
          <w:bCs/>
        </w:rPr>
        <w:t>AC 4.3</w:t>
      </w:r>
    </w:p>
    <w:p w14:paraId="21B832A9" w14:textId="14161054" w:rsidR="00962767" w:rsidRPr="00962767" w:rsidRDefault="00962767" w:rsidP="00962767">
      <w:pPr>
        <w:spacing w:before="205" w:after="205" w:line="300" w:lineRule="auto"/>
        <w:jc w:val="both"/>
        <w:rPr>
          <w:rFonts w:ascii="Trebuchet MS" w:hAnsi="Trebuchet MS"/>
        </w:rPr>
      </w:pPr>
      <w:r w:rsidRPr="00962767">
        <w:rPr>
          <w:rFonts w:ascii="Trebuchet MS" w:hAnsi="Trebuchet MS"/>
        </w:rPr>
        <w:t xml:space="preserve">The statutory framework governing flexible working is primarily set out in the Employment Rights Act </w:t>
      </w:r>
      <w:r w:rsidR="00E57E14">
        <w:rPr>
          <w:rFonts w:ascii="Trebuchet MS" w:hAnsi="Trebuchet MS"/>
        </w:rPr>
        <w:t xml:space="preserve">(ERA) </w:t>
      </w:r>
      <w:r w:rsidRPr="00962767">
        <w:rPr>
          <w:rFonts w:ascii="Trebuchet MS" w:hAnsi="Trebuchet MS"/>
        </w:rPr>
        <w:t xml:space="preserve">1996. An employee may make a statutory flexible working request only if they meet the eligibility criteria: they must hold employee status and must not have submitted more than two statutory requests in the previous 12 months (GOV.UK, </w:t>
      </w:r>
      <w:proofErr w:type="spellStart"/>
      <w:r w:rsidR="003431D1">
        <w:rPr>
          <w:rFonts w:ascii="Trebuchet MS" w:hAnsi="Trebuchet MS"/>
        </w:rPr>
        <w:t>n.d</w:t>
      </w:r>
      <w:proofErr w:type="spellEnd"/>
      <w:r w:rsidRPr="00962767">
        <w:rPr>
          <w:rFonts w:ascii="Trebuchet MS" w:hAnsi="Trebuchet MS"/>
        </w:rPr>
        <w:t xml:space="preserve">). As Daniels (2024) emphasises, the statutory right attaches to employment status and is distinct from informal workplace flexibility policies. </w:t>
      </w:r>
    </w:p>
    <w:p w14:paraId="50C8CDB8" w14:textId="77777777" w:rsidR="0037429A" w:rsidRDefault="00962767" w:rsidP="00962767">
      <w:pPr>
        <w:spacing w:before="205" w:after="205" w:line="300" w:lineRule="auto"/>
        <w:jc w:val="both"/>
        <w:rPr>
          <w:rFonts w:ascii="Trebuchet MS" w:hAnsi="Trebuchet MS"/>
        </w:rPr>
      </w:pPr>
      <w:r w:rsidRPr="00962767">
        <w:rPr>
          <w:rFonts w:ascii="Trebuchet MS" w:hAnsi="Trebuchet MS"/>
        </w:rPr>
        <w:t>A flexible working request may involve a proposal to vary hours, change working days, or alter the work location</w:t>
      </w:r>
      <w:r w:rsidR="00B42FB7">
        <w:rPr>
          <w:rFonts w:ascii="Trebuchet MS" w:hAnsi="Trebuchet MS"/>
        </w:rPr>
        <w:t>. F</w:t>
      </w:r>
      <w:r w:rsidRPr="00962767">
        <w:rPr>
          <w:rFonts w:ascii="Trebuchet MS" w:hAnsi="Trebuchet MS"/>
        </w:rPr>
        <w:t xml:space="preserve">or example, homeworking or hybrid arrangements (CIPD, 2024). </w:t>
      </w:r>
    </w:p>
    <w:p w14:paraId="327C3C56" w14:textId="618D3C66" w:rsidR="00962767" w:rsidRPr="00962767" w:rsidRDefault="00962767" w:rsidP="00962767">
      <w:pPr>
        <w:spacing w:before="205" w:after="205" w:line="300" w:lineRule="auto"/>
        <w:jc w:val="both"/>
        <w:rPr>
          <w:rFonts w:ascii="Trebuchet MS" w:hAnsi="Trebuchet MS"/>
        </w:rPr>
      </w:pPr>
      <w:r w:rsidRPr="00962767">
        <w:rPr>
          <w:rFonts w:ascii="Trebuchet MS" w:hAnsi="Trebuchet MS"/>
        </w:rPr>
        <w:lastRenderedPageBreak/>
        <w:t xml:space="preserve">To be valid, a statutory request must be made in writing, clearly state that it is a statutory request, and include the date of submission, the proposed change, the intended start date, and details of any previous statutory requests (GOV.UK, </w:t>
      </w:r>
      <w:proofErr w:type="spellStart"/>
      <w:r w:rsidR="003431D1">
        <w:rPr>
          <w:rFonts w:ascii="Trebuchet MS" w:hAnsi="Trebuchet MS"/>
        </w:rPr>
        <w:t>n.d</w:t>
      </w:r>
      <w:proofErr w:type="spellEnd"/>
      <w:r w:rsidRPr="00962767">
        <w:rPr>
          <w:rFonts w:ascii="Trebuchet MS" w:hAnsi="Trebuchet MS"/>
        </w:rPr>
        <w:t xml:space="preserve">). </w:t>
      </w:r>
    </w:p>
    <w:p w14:paraId="5546CB0D" w14:textId="77777777" w:rsidR="003C6A27" w:rsidRDefault="00962767" w:rsidP="00962767">
      <w:pPr>
        <w:spacing w:before="205" w:after="205" w:line="300" w:lineRule="auto"/>
        <w:jc w:val="both"/>
        <w:rPr>
          <w:rFonts w:ascii="Trebuchet MS" w:hAnsi="Trebuchet MS"/>
        </w:rPr>
      </w:pPr>
      <w:r w:rsidRPr="00962767">
        <w:rPr>
          <w:rFonts w:ascii="Trebuchet MS" w:hAnsi="Trebuchet MS"/>
        </w:rPr>
        <w:t xml:space="preserve">Employers must handle requests in a reasonable manner, following the </w:t>
      </w:r>
      <w:proofErr w:type="spellStart"/>
      <w:r w:rsidRPr="00962767">
        <w:rPr>
          <w:rFonts w:ascii="Trebuchet MS" w:hAnsi="Trebuchet MS"/>
        </w:rPr>
        <w:t>Acas</w:t>
      </w:r>
      <w:proofErr w:type="spellEnd"/>
      <w:r w:rsidRPr="00962767">
        <w:rPr>
          <w:rFonts w:ascii="Trebuchet MS" w:hAnsi="Trebuchet MS"/>
        </w:rPr>
        <w:t xml:space="preserve"> Code of Practice, by consulting with the employee and reaching a decision within two months, unless an extension is agreed (</w:t>
      </w:r>
      <w:proofErr w:type="spellStart"/>
      <w:r w:rsidRPr="00962767">
        <w:rPr>
          <w:rFonts w:ascii="Trebuchet MS" w:hAnsi="Trebuchet MS"/>
        </w:rPr>
        <w:t>Acas</w:t>
      </w:r>
      <w:proofErr w:type="spellEnd"/>
      <w:r w:rsidRPr="00962767">
        <w:rPr>
          <w:rFonts w:ascii="Trebuchet MS" w:hAnsi="Trebuchet MS"/>
        </w:rPr>
        <w:t xml:space="preserve">, 2024). </w:t>
      </w:r>
    </w:p>
    <w:p w14:paraId="6AB40215" w14:textId="77777777" w:rsidR="00C44A6F" w:rsidRDefault="00962767" w:rsidP="00962767">
      <w:pPr>
        <w:spacing w:before="205" w:after="205" w:line="300" w:lineRule="auto"/>
        <w:jc w:val="both"/>
        <w:rPr>
          <w:rFonts w:ascii="Trebuchet MS" w:hAnsi="Trebuchet MS"/>
        </w:rPr>
      </w:pPr>
      <w:r w:rsidRPr="00962767">
        <w:rPr>
          <w:rFonts w:ascii="Trebuchet MS" w:hAnsi="Trebuchet MS"/>
        </w:rPr>
        <w:t xml:space="preserve">Outcomes include acceptance, acceptance subject to a trial period, or rejection. </w:t>
      </w:r>
    </w:p>
    <w:p w14:paraId="14C90996" w14:textId="0ACF676E" w:rsidR="002D5449" w:rsidRPr="00683D15" w:rsidRDefault="00C44A6F" w:rsidP="00962767">
      <w:pPr>
        <w:spacing w:before="205" w:after="205" w:line="300" w:lineRule="auto"/>
        <w:jc w:val="both"/>
        <w:rPr>
          <w:rFonts w:ascii="Trebuchet MS" w:hAnsi="Trebuchet MS"/>
          <w:sz w:val="16"/>
          <w:szCs w:val="16"/>
        </w:rPr>
      </w:pPr>
      <w:r w:rsidRPr="00946F24">
        <w:rPr>
          <w:rFonts w:ascii="Trebuchet MS" w:hAnsi="Trebuchet MS"/>
        </w:rPr>
        <w:t>Employers</w:t>
      </w:r>
      <w:r w:rsidRPr="00C44A6F">
        <w:rPr>
          <w:rFonts w:ascii="Trebuchet MS" w:hAnsi="Trebuchet MS"/>
        </w:rPr>
        <w:t xml:space="preserve"> may only re</w:t>
      </w:r>
      <w:r w:rsidRPr="00946F24">
        <w:rPr>
          <w:rFonts w:ascii="Trebuchet MS" w:hAnsi="Trebuchet MS"/>
        </w:rPr>
        <w:t>ject</w:t>
      </w:r>
      <w:r w:rsidRPr="00C44A6F">
        <w:rPr>
          <w:rFonts w:ascii="Trebuchet MS" w:hAnsi="Trebuchet MS"/>
        </w:rPr>
        <w:t xml:space="preserve"> a request on one or more of the eight prescribed business grounds set out in the Employment Rights Act</w:t>
      </w:r>
      <w:r w:rsidR="00946F24" w:rsidRPr="00946F24">
        <w:rPr>
          <w:rFonts w:ascii="Trebuchet MS" w:hAnsi="Trebuchet MS"/>
        </w:rPr>
        <w:t xml:space="preserve"> 1996</w:t>
      </w:r>
      <w:r w:rsidRPr="00C44A6F">
        <w:rPr>
          <w:rFonts w:ascii="Trebuchet MS" w:hAnsi="Trebuchet MS"/>
        </w:rPr>
        <w:t xml:space="preserve">. These </w:t>
      </w:r>
      <w:r w:rsidR="00764339">
        <w:rPr>
          <w:rFonts w:ascii="Trebuchet MS" w:hAnsi="Trebuchet MS"/>
        </w:rPr>
        <w:t>are outline</w:t>
      </w:r>
      <w:r w:rsidR="00E82DC4">
        <w:rPr>
          <w:rFonts w:ascii="Trebuchet MS" w:hAnsi="Trebuchet MS"/>
        </w:rPr>
        <w:t>d</w:t>
      </w:r>
      <w:r w:rsidR="00764339">
        <w:rPr>
          <w:rFonts w:ascii="Trebuchet MS" w:hAnsi="Trebuchet MS"/>
        </w:rPr>
        <w:t xml:space="preserve"> </w:t>
      </w:r>
      <w:r w:rsidR="00E82DC4">
        <w:rPr>
          <w:rFonts w:ascii="Trebuchet MS" w:hAnsi="Trebuchet MS"/>
        </w:rPr>
        <w:t>as follows</w:t>
      </w:r>
      <w:r w:rsidR="00764339">
        <w:rPr>
          <w:rFonts w:ascii="Trebuchet MS" w:hAnsi="Trebuchet MS"/>
        </w:rPr>
        <w:t>:</w:t>
      </w:r>
    </w:p>
    <w:p w14:paraId="47731BAC" w14:textId="531318E6" w:rsidR="00FF47BB" w:rsidRDefault="00681680" w:rsidP="00681680">
      <w:pPr>
        <w:spacing w:before="205" w:after="205" w:line="300" w:lineRule="auto"/>
        <w:jc w:val="center"/>
        <w:rPr>
          <w:rFonts w:ascii="Trebuchet MS" w:hAnsi="Trebuchet MS"/>
        </w:rPr>
      </w:pPr>
      <w:r w:rsidRPr="00681680">
        <w:rPr>
          <w:rFonts w:ascii="Trebuchet MS" w:hAnsi="Trebuchet MS"/>
          <w:noProof/>
        </w:rPr>
        <w:drawing>
          <wp:inline distT="0" distB="0" distL="0" distR="0" wp14:anchorId="228FD674" wp14:editId="1EAF15FC">
            <wp:extent cx="3067478" cy="2619741"/>
            <wp:effectExtent l="19050" t="19050" r="19050" b="28575"/>
            <wp:docPr id="1126300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00861" name=""/>
                    <pic:cNvPicPr/>
                  </pic:nvPicPr>
                  <pic:blipFill>
                    <a:blip r:embed="rId7"/>
                    <a:stretch>
                      <a:fillRect/>
                    </a:stretch>
                  </pic:blipFill>
                  <pic:spPr>
                    <a:xfrm>
                      <a:off x="0" y="0"/>
                      <a:ext cx="3067478" cy="2619741"/>
                    </a:xfrm>
                    <a:prstGeom prst="rect">
                      <a:avLst/>
                    </a:prstGeom>
                    <a:ln w="19050">
                      <a:solidFill>
                        <a:schemeClr val="accent1"/>
                      </a:solidFill>
                    </a:ln>
                  </pic:spPr>
                </pic:pic>
              </a:graphicData>
            </a:graphic>
          </wp:inline>
        </w:drawing>
      </w:r>
    </w:p>
    <w:p w14:paraId="3DDAD4B2" w14:textId="7BC4F0A4" w:rsidR="00683D15" w:rsidRPr="00DC1510" w:rsidRDefault="00424AAF" w:rsidP="00DC1510">
      <w:pPr>
        <w:spacing w:before="205" w:after="205" w:line="300" w:lineRule="auto"/>
        <w:jc w:val="center"/>
        <w:rPr>
          <w:rFonts w:ascii="Trebuchet MS" w:hAnsi="Trebuchet MS"/>
          <w:sz w:val="16"/>
          <w:szCs w:val="16"/>
        </w:rPr>
      </w:pPr>
      <w:r w:rsidRPr="00DC1510">
        <w:rPr>
          <w:rFonts w:ascii="Trebuchet MS" w:hAnsi="Trebuchet MS"/>
          <w:sz w:val="16"/>
          <w:szCs w:val="16"/>
        </w:rPr>
        <w:t xml:space="preserve">Fig 2: Employer grounds for refusing </w:t>
      </w:r>
      <w:r w:rsidR="00DC1510" w:rsidRPr="00DC1510">
        <w:rPr>
          <w:rFonts w:ascii="Trebuchet MS" w:hAnsi="Trebuchet MS"/>
          <w:sz w:val="16"/>
          <w:szCs w:val="16"/>
        </w:rPr>
        <w:t>flexible</w:t>
      </w:r>
      <w:r w:rsidRPr="00DC1510">
        <w:rPr>
          <w:rFonts w:ascii="Trebuchet MS" w:hAnsi="Trebuchet MS"/>
          <w:sz w:val="16"/>
          <w:szCs w:val="16"/>
        </w:rPr>
        <w:t xml:space="preserve"> working requests (The Legal Partners</w:t>
      </w:r>
      <w:r w:rsidR="00DC1510">
        <w:rPr>
          <w:rFonts w:ascii="Trebuchet MS" w:hAnsi="Trebuchet MS"/>
          <w:sz w:val="16"/>
          <w:szCs w:val="16"/>
        </w:rPr>
        <w:t>,</w:t>
      </w:r>
      <w:r w:rsidRPr="00DC1510">
        <w:rPr>
          <w:rFonts w:ascii="Trebuchet MS" w:hAnsi="Trebuchet MS"/>
          <w:sz w:val="16"/>
          <w:szCs w:val="16"/>
        </w:rPr>
        <w:t xml:space="preserve"> 2024)</w:t>
      </w:r>
    </w:p>
    <w:p w14:paraId="7D4FA2F7" w14:textId="5634ACED" w:rsidR="00C44A6F" w:rsidRDefault="00C44A6F" w:rsidP="00962767">
      <w:pPr>
        <w:spacing w:before="205" w:after="205" w:line="300" w:lineRule="auto"/>
        <w:jc w:val="both"/>
        <w:rPr>
          <w:rFonts w:ascii="Trebuchet MS" w:hAnsi="Trebuchet MS"/>
        </w:rPr>
      </w:pPr>
      <w:r w:rsidRPr="00C44A6F">
        <w:rPr>
          <w:rFonts w:ascii="Trebuchet MS" w:hAnsi="Trebuchet MS"/>
        </w:rPr>
        <w:t>These statutory grounds ensure decisions are made transparently and according to objective business criteria</w:t>
      </w:r>
      <w:r w:rsidR="00ED0A14">
        <w:rPr>
          <w:rFonts w:ascii="Trebuchet MS" w:hAnsi="Trebuchet MS"/>
        </w:rPr>
        <w:t>.</w:t>
      </w:r>
    </w:p>
    <w:p w14:paraId="5AA71807" w14:textId="0730CF63" w:rsidR="00C30222" w:rsidRDefault="00C30222" w:rsidP="00C30222">
      <w:pPr>
        <w:spacing w:before="205" w:after="205" w:line="300" w:lineRule="auto"/>
        <w:jc w:val="both"/>
        <w:rPr>
          <w:rFonts w:ascii="Trebuchet MS" w:hAnsi="Trebuchet MS"/>
        </w:rPr>
      </w:pPr>
      <w:r w:rsidRPr="00693447">
        <w:rPr>
          <w:rFonts w:ascii="Trebuchet MS" w:hAnsi="Trebuchet MS"/>
        </w:rPr>
        <w:t>An employer’s f</w:t>
      </w:r>
      <w:r w:rsidRPr="00C30222">
        <w:rPr>
          <w:rFonts w:ascii="Trebuchet MS" w:hAnsi="Trebuchet MS"/>
        </w:rPr>
        <w:t xml:space="preserve">ailure to follow the statutory procedure for handling flexible working requests </w:t>
      </w:r>
      <w:r w:rsidR="0046766A" w:rsidRPr="00693447">
        <w:rPr>
          <w:rFonts w:ascii="Trebuchet MS" w:hAnsi="Trebuchet MS"/>
        </w:rPr>
        <w:t>could lead to</w:t>
      </w:r>
      <w:r w:rsidRPr="00C30222">
        <w:rPr>
          <w:rFonts w:ascii="Trebuchet MS" w:hAnsi="Trebuchet MS"/>
        </w:rPr>
        <w:t xml:space="preserve"> an employee bring</w:t>
      </w:r>
      <w:r w:rsidR="0046766A" w:rsidRPr="00693447">
        <w:rPr>
          <w:rFonts w:ascii="Trebuchet MS" w:hAnsi="Trebuchet MS"/>
        </w:rPr>
        <w:t>ing</w:t>
      </w:r>
      <w:r w:rsidRPr="00C30222">
        <w:rPr>
          <w:rFonts w:ascii="Trebuchet MS" w:hAnsi="Trebuchet MS"/>
        </w:rPr>
        <w:t xml:space="preserve"> a tribunal claim for procedural breach under s.80H ERA 1996, which can result in an order for reconsideration and compensation of up to eight weeks’ pay. Additional protections arise under s.47E ERA 1996, which prohibits subjecting an employee to any detriment linked to making a request, while dismissals connected to flexible working may amount to automatic unfair dismissal under s.104C ERA 1996, attracting remedies such as reinstatement, re</w:t>
      </w:r>
      <w:r w:rsidRPr="00C30222">
        <w:rPr>
          <w:rFonts w:ascii="Trebuchet MS" w:hAnsi="Trebuchet MS"/>
        </w:rPr>
        <w:noBreakHyphen/>
        <w:t>engagement, or compensatory awards. Claims must normally be lodged within three months of the employer’s decision, the date the request was wrongly treated as withdrawn, or the point at which a response should have been provided</w:t>
      </w:r>
      <w:r w:rsidR="0023587B">
        <w:rPr>
          <w:rFonts w:ascii="Trebuchet MS" w:hAnsi="Trebuchet MS"/>
        </w:rPr>
        <w:t xml:space="preserve"> </w:t>
      </w:r>
      <w:r w:rsidRPr="00C30222">
        <w:rPr>
          <w:rFonts w:ascii="Trebuchet MS" w:hAnsi="Trebuchet MS"/>
        </w:rPr>
        <w:t xml:space="preserve">(GOV.UK, </w:t>
      </w:r>
      <w:proofErr w:type="spellStart"/>
      <w:r w:rsidR="008B44B5">
        <w:rPr>
          <w:rFonts w:ascii="Trebuchet MS" w:hAnsi="Trebuchet MS"/>
        </w:rPr>
        <w:t>n.d</w:t>
      </w:r>
      <w:proofErr w:type="spellEnd"/>
      <w:r w:rsidRPr="00C30222">
        <w:rPr>
          <w:rFonts w:ascii="Trebuchet MS" w:hAnsi="Trebuchet MS"/>
        </w:rPr>
        <w:t>)</w:t>
      </w:r>
    </w:p>
    <w:p w14:paraId="62EA28B2" w14:textId="77777777" w:rsidR="00AF4C20" w:rsidRDefault="00AF4C20" w:rsidP="00C30222">
      <w:pPr>
        <w:spacing w:before="205" w:after="205" w:line="300" w:lineRule="auto"/>
        <w:jc w:val="both"/>
        <w:rPr>
          <w:rFonts w:ascii="Trebuchet MS" w:hAnsi="Trebuchet MS"/>
        </w:rPr>
      </w:pPr>
    </w:p>
    <w:p w14:paraId="2877D0C8" w14:textId="77777777" w:rsidR="008B44B5" w:rsidRPr="00C30222" w:rsidRDefault="008B44B5" w:rsidP="00C30222">
      <w:pPr>
        <w:spacing w:before="205" w:after="205" w:line="300" w:lineRule="auto"/>
        <w:jc w:val="both"/>
        <w:rPr>
          <w:rFonts w:ascii="Trebuchet MS" w:hAnsi="Trebuchet MS"/>
        </w:rPr>
      </w:pPr>
    </w:p>
    <w:p w14:paraId="6CE7D51C" w14:textId="6DA37477" w:rsidR="00024059" w:rsidRPr="00024059" w:rsidRDefault="00D06BA4" w:rsidP="00024059">
      <w:pPr>
        <w:spacing w:before="205" w:after="205" w:line="300" w:lineRule="auto"/>
        <w:jc w:val="both"/>
        <w:rPr>
          <w:rFonts w:ascii="Trebuchet MS" w:hAnsi="Trebuchet MS"/>
          <w:b/>
          <w:bCs/>
        </w:rPr>
      </w:pPr>
      <w:r>
        <w:rPr>
          <w:rFonts w:ascii="Trebuchet MS" w:hAnsi="Trebuchet MS"/>
          <w:b/>
          <w:bCs/>
        </w:rPr>
        <w:lastRenderedPageBreak/>
        <w:t>B</w:t>
      </w:r>
      <w:r w:rsidR="00024059" w:rsidRPr="00024059">
        <w:rPr>
          <w:rFonts w:ascii="Trebuchet MS" w:hAnsi="Trebuchet MS"/>
          <w:b/>
          <w:bCs/>
        </w:rPr>
        <w:t>ibliography</w:t>
      </w:r>
    </w:p>
    <w:p w14:paraId="51F0EF0F" w14:textId="48DD6FDC" w:rsidR="00344F1C" w:rsidRPr="0071208A" w:rsidRDefault="00344F1C" w:rsidP="009B0AE5">
      <w:pPr>
        <w:spacing w:before="205" w:after="205" w:line="300" w:lineRule="auto"/>
        <w:rPr>
          <w:rFonts w:ascii="Trebuchet MS" w:hAnsi="Trebuchet MS"/>
        </w:rPr>
      </w:pPr>
      <w:proofErr w:type="spellStart"/>
      <w:r w:rsidRPr="0071208A">
        <w:rPr>
          <w:rFonts w:ascii="Trebuchet MS" w:hAnsi="Trebuchet MS"/>
        </w:rPr>
        <w:t>Acas</w:t>
      </w:r>
      <w:proofErr w:type="spellEnd"/>
      <w:r w:rsidRPr="0071208A">
        <w:rPr>
          <w:rFonts w:ascii="Trebuchet MS" w:hAnsi="Trebuchet MS"/>
        </w:rPr>
        <w:t xml:space="preserve"> (2024) </w:t>
      </w:r>
      <w:r w:rsidRPr="0071208A">
        <w:rPr>
          <w:rFonts w:ascii="Trebuchet MS" w:hAnsi="Trebuchet MS"/>
          <w:i/>
          <w:iCs/>
        </w:rPr>
        <w:t>Code of Practice on requests for flexible working</w:t>
      </w:r>
      <w:r w:rsidRPr="0071208A">
        <w:rPr>
          <w:rFonts w:ascii="Trebuchet MS" w:hAnsi="Trebuchet MS"/>
        </w:rPr>
        <w:t xml:space="preserve">. Available at: </w:t>
      </w:r>
      <w:hyperlink r:id="rId8" w:history="1">
        <w:r w:rsidR="002602DE" w:rsidRPr="0071208A">
          <w:rPr>
            <w:rStyle w:val="Hyperlink"/>
            <w:rFonts w:ascii="Trebuchet MS" w:hAnsi="Trebuchet MS"/>
            <w:color w:val="auto"/>
            <w:u w:val="none"/>
          </w:rPr>
          <w:t>https://www.acas.org.uk/acas-code-of-practice-on-flexible-working-requests/html</w:t>
        </w:r>
      </w:hyperlink>
      <w:r w:rsidRPr="0071208A">
        <w:rPr>
          <w:rFonts w:ascii="Trebuchet MS" w:hAnsi="Trebuchet MS"/>
        </w:rPr>
        <w:t xml:space="preserve"> </w:t>
      </w:r>
    </w:p>
    <w:p w14:paraId="04D5FB6A" w14:textId="12B860FC" w:rsidR="002602DE" w:rsidRPr="002602DE" w:rsidRDefault="002602DE" w:rsidP="002602DE">
      <w:pPr>
        <w:spacing w:before="205" w:after="205" w:line="300" w:lineRule="auto"/>
        <w:rPr>
          <w:rFonts w:ascii="Trebuchet MS" w:hAnsi="Trebuchet MS"/>
        </w:rPr>
      </w:pPr>
      <w:proofErr w:type="spellStart"/>
      <w:r w:rsidRPr="002602DE">
        <w:rPr>
          <w:rFonts w:ascii="Trebuchet MS" w:hAnsi="Trebuchet MS"/>
        </w:rPr>
        <w:t>Acas</w:t>
      </w:r>
      <w:proofErr w:type="spellEnd"/>
      <w:r w:rsidRPr="002602DE">
        <w:rPr>
          <w:rFonts w:ascii="Trebuchet MS" w:hAnsi="Trebuchet MS"/>
        </w:rPr>
        <w:t xml:space="preserve"> (</w:t>
      </w:r>
      <w:r w:rsidRPr="0071208A">
        <w:rPr>
          <w:rFonts w:ascii="Trebuchet MS" w:hAnsi="Trebuchet MS"/>
        </w:rPr>
        <w:t>2024</w:t>
      </w:r>
      <w:r w:rsidRPr="002602DE">
        <w:rPr>
          <w:rFonts w:ascii="Trebuchet MS" w:hAnsi="Trebuchet MS"/>
        </w:rPr>
        <w:t xml:space="preserve">) </w:t>
      </w:r>
      <w:r w:rsidRPr="002602DE">
        <w:rPr>
          <w:rFonts w:ascii="Trebuchet MS" w:hAnsi="Trebuchet MS"/>
          <w:i/>
          <w:iCs/>
        </w:rPr>
        <w:t>Equal pay and the law</w:t>
      </w:r>
      <w:r w:rsidRPr="002602DE">
        <w:rPr>
          <w:rFonts w:ascii="Trebuchet MS" w:hAnsi="Trebuchet MS"/>
        </w:rPr>
        <w:t>. Available at: https://www.acas.org.uk/equal-pay/equal-pay-law</w:t>
      </w:r>
    </w:p>
    <w:p w14:paraId="6AD1C4C2" w14:textId="1A1A145B" w:rsidR="00024059" w:rsidRPr="0071208A" w:rsidRDefault="00024059" w:rsidP="009B0AE5">
      <w:pPr>
        <w:spacing w:before="205" w:after="205" w:line="300" w:lineRule="auto"/>
        <w:rPr>
          <w:rFonts w:ascii="Trebuchet MS" w:hAnsi="Trebuchet MS"/>
        </w:rPr>
      </w:pPr>
      <w:proofErr w:type="spellStart"/>
      <w:r w:rsidRPr="0071208A">
        <w:rPr>
          <w:rFonts w:ascii="Trebuchet MS" w:hAnsi="Trebuchet MS"/>
        </w:rPr>
        <w:t>Acas</w:t>
      </w:r>
      <w:proofErr w:type="spellEnd"/>
      <w:r w:rsidRPr="0071208A">
        <w:rPr>
          <w:rFonts w:ascii="Trebuchet MS" w:hAnsi="Trebuchet MS"/>
        </w:rPr>
        <w:t xml:space="preserve"> (2026) </w:t>
      </w:r>
      <w:r w:rsidRPr="0071208A">
        <w:rPr>
          <w:rFonts w:ascii="Trebuchet MS" w:hAnsi="Trebuchet MS"/>
          <w:i/>
          <w:iCs/>
        </w:rPr>
        <w:t>Flexible working, redundancy, and early conciliation guidance</w:t>
      </w:r>
      <w:r w:rsidRPr="0071208A">
        <w:rPr>
          <w:rFonts w:ascii="Trebuchet MS" w:hAnsi="Trebuchet MS"/>
        </w:rPr>
        <w:t xml:space="preserve">. Available at: https://www.acas.org.uk </w:t>
      </w:r>
    </w:p>
    <w:p w14:paraId="52C02D24" w14:textId="191F0919" w:rsidR="00FA1168" w:rsidRPr="0071208A" w:rsidRDefault="00FA1168" w:rsidP="009B0AE5">
      <w:pPr>
        <w:spacing w:before="205" w:after="205" w:line="300" w:lineRule="auto"/>
        <w:rPr>
          <w:rFonts w:ascii="Trebuchet MS" w:hAnsi="Trebuchet MS"/>
        </w:rPr>
      </w:pPr>
      <w:proofErr w:type="spellStart"/>
      <w:r w:rsidRPr="0071208A">
        <w:rPr>
          <w:rFonts w:ascii="Trebuchet MS" w:hAnsi="Trebuchet MS"/>
        </w:rPr>
        <w:t>Acas</w:t>
      </w:r>
      <w:proofErr w:type="spellEnd"/>
      <w:r w:rsidRPr="0071208A">
        <w:rPr>
          <w:rFonts w:ascii="Trebuchet MS" w:hAnsi="Trebuchet MS"/>
        </w:rPr>
        <w:t xml:space="preserve"> (2026) </w:t>
      </w:r>
      <w:r w:rsidRPr="0071208A">
        <w:rPr>
          <w:rFonts w:ascii="Trebuchet MS" w:hAnsi="Trebuchet MS"/>
          <w:i/>
          <w:iCs/>
        </w:rPr>
        <w:t>Shared parental leave and pay: Checking eligibility</w:t>
      </w:r>
      <w:r w:rsidRPr="0071208A">
        <w:rPr>
          <w:rFonts w:ascii="Trebuchet MS" w:hAnsi="Trebuchet MS"/>
        </w:rPr>
        <w:t xml:space="preserve">. Available at: </w:t>
      </w:r>
      <w:hyperlink r:id="rId9" w:history="1">
        <w:r w:rsidR="00FF45C4" w:rsidRPr="0071208A">
          <w:rPr>
            <w:rStyle w:val="Hyperlink"/>
            <w:rFonts w:ascii="Trebuchet MS" w:hAnsi="Trebuchet MS"/>
            <w:color w:val="auto"/>
            <w:u w:val="none"/>
          </w:rPr>
          <w:t>https://www.acas.org.uk/shared-parental-leave-and-pay/checking-eligibility-for-shared-parental-leave</w:t>
        </w:r>
      </w:hyperlink>
    </w:p>
    <w:p w14:paraId="680316F5" w14:textId="77777777" w:rsidR="0071208A" w:rsidRPr="0071208A" w:rsidRDefault="0071208A" w:rsidP="0071208A">
      <w:pPr>
        <w:spacing w:before="205" w:after="205" w:line="300" w:lineRule="auto"/>
        <w:rPr>
          <w:rFonts w:ascii="Trebuchet MS" w:hAnsi="Trebuchet MS"/>
        </w:rPr>
      </w:pPr>
      <w:proofErr w:type="spellStart"/>
      <w:r w:rsidRPr="0071208A">
        <w:rPr>
          <w:rFonts w:ascii="Trebuchet MS" w:hAnsi="Trebuchet MS"/>
        </w:rPr>
        <w:t>Acas</w:t>
      </w:r>
      <w:proofErr w:type="spellEnd"/>
      <w:r w:rsidRPr="0071208A">
        <w:rPr>
          <w:rFonts w:ascii="Trebuchet MS" w:hAnsi="Trebuchet MS"/>
        </w:rPr>
        <w:t xml:space="preserve"> (2026) </w:t>
      </w:r>
      <w:r w:rsidRPr="0071208A">
        <w:rPr>
          <w:rFonts w:ascii="Trebuchet MS" w:hAnsi="Trebuchet MS"/>
          <w:i/>
          <w:iCs/>
        </w:rPr>
        <w:t>Calculating holiday pay</w:t>
      </w:r>
      <w:r w:rsidRPr="0071208A">
        <w:rPr>
          <w:rFonts w:ascii="Trebuchet MS" w:hAnsi="Trebuchet MS"/>
        </w:rPr>
        <w:t>. Available at: https://www.acas.org.uk/checking-holiday-entitlement/calculating-holiday-pay</w:t>
      </w:r>
    </w:p>
    <w:p w14:paraId="4CF51C57" w14:textId="425FE594" w:rsidR="00FF45C4" w:rsidRPr="00FF45C4" w:rsidRDefault="00FF45C4" w:rsidP="00FF45C4">
      <w:pPr>
        <w:spacing w:before="205" w:after="205" w:line="300" w:lineRule="auto"/>
        <w:rPr>
          <w:rFonts w:ascii="Trebuchet MS" w:hAnsi="Trebuchet MS"/>
        </w:rPr>
      </w:pPr>
      <w:proofErr w:type="spellStart"/>
      <w:r w:rsidRPr="0071208A">
        <w:rPr>
          <w:rFonts w:ascii="Trebuchet MS" w:hAnsi="Trebuchet MS"/>
        </w:rPr>
        <w:t>A</w:t>
      </w:r>
      <w:r w:rsidRPr="00FF45C4">
        <w:rPr>
          <w:rFonts w:ascii="Trebuchet MS" w:hAnsi="Trebuchet MS"/>
        </w:rPr>
        <w:t>cas</w:t>
      </w:r>
      <w:proofErr w:type="spellEnd"/>
      <w:r w:rsidRPr="00FF45C4">
        <w:rPr>
          <w:rFonts w:ascii="Trebuchet MS" w:hAnsi="Trebuchet MS"/>
        </w:rPr>
        <w:t xml:space="preserve"> (</w:t>
      </w:r>
      <w:r w:rsidR="009B7275" w:rsidRPr="0071208A">
        <w:rPr>
          <w:rFonts w:ascii="Trebuchet MS" w:hAnsi="Trebuchet MS"/>
        </w:rPr>
        <w:t>2026</w:t>
      </w:r>
      <w:r w:rsidRPr="00FF45C4">
        <w:rPr>
          <w:rFonts w:ascii="Trebuchet MS" w:hAnsi="Trebuchet MS"/>
        </w:rPr>
        <w:t xml:space="preserve">) </w:t>
      </w:r>
      <w:r w:rsidRPr="00FF45C4">
        <w:rPr>
          <w:rFonts w:ascii="Trebuchet MS" w:hAnsi="Trebuchet MS"/>
          <w:i/>
          <w:iCs/>
        </w:rPr>
        <w:t>TUPE transfers</w:t>
      </w:r>
      <w:r w:rsidRPr="00FF45C4">
        <w:rPr>
          <w:rFonts w:ascii="Trebuchet MS" w:hAnsi="Trebuchet MS"/>
        </w:rPr>
        <w:t>.</w:t>
      </w:r>
      <w:r w:rsidR="009B7275" w:rsidRPr="0071208A">
        <w:rPr>
          <w:rFonts w:ascii="Trebuchet MS" w:hAnsi="Trebuchet MS"/>
        </w:rPr>
        <w:t xml:space="preserve"> </w:t>
      </w:r>
      <w:r w:rsidRPr="00FF45C4">
        <w:rPr>
          <w:rFonts w:ascii="Trebuchet MS" w:hAnsi="Trebuchet MS"/>
        </w:rPr>
        <w:t>Available at: https://www.acas.org.uk/tupe-transfers</w:t>
      </w:r>
    </w:p>
    <w:p w14:paraId="1628482E" w14:textId="77777777" w:rsidR="00344F1C" w:rsidRPr="0071208A" w:rsidRDefault="00344F1C" w:rsidP="009B0AE5">
      <w:pPr>
        <w:spacing w:before="205" w:after="205" w:line="300" w:lineRule="auto"/>
        <w:rPr>
          <w:rFonts w:ascii="Trebuchet MS" w:hAnsi="Trebuchet MS"/>
        </w:rPr>
      </w:pPr>
      <w:proofErr w:type="spellStart"/>
      <w:r w:rsidRPr="0071208A">
        <w:rPr>
          <w:rFonts w:ascii="Trebuchet MS" w:hAnsi="Trebuchet MS"/>
        </w:rPr>
        <w:t>Acas</w:t>
      </w:r>
      <w:proofErr w:type="spellEnd"/>
      <w:r w:rsidRPr="0071208A">
        <w:rPr>
          <w:rFonts w:ascii="Trebuchet MS" w:hAnsi="Trebuchet MS"/>
        </w:rPr>
        <w:t xml:space="preserve"> (2026) </w:t>
      </w:r>
      <w:r w:rsidRPr="0071208A">
        <w:rPr>
          <w:rFonts w:ascii="Trebuchet MS" w:hAnsi="Trebuchet MS"/>
          <w:i/>
          <w:iCs/>
        </w:rPr>
        <w:t>Step 6: Work out redundancy pay</w:t>
      </w:r>
      <w:r w:rsidRPr="0071208A">
        <w:rPr>
          <w:rFonts w:ascii="Trebuchet MS" w:hAnsi="Trebuchet MS"/>
        </w:rPr>
        <w:t xml:space="preserve">. Available at: https://www.acas.org.uk/manage-staff-redundancies/work-out-redundancy-pay </w:t>
      </w:r>
    </w:p>
    <w:p w14:paraId="48EB9D33" w14:textId="2FF09BD6" w:rsidR="00795753" w:rsidRPr="009B0AE5" w:rsidRDefault="00795753" w:rsidP="009B0AE5">
      <w:pPr>
        <w:spacing w:before="205" w:after="205" w:line="300" w:lineRule="auto"/>
        <w:rPr>
          <w:rFonts w:ascii="Trebuchet MS" w:hAnsi="Trebuchet MS"/>
        </w:rPr>
      </w:pPr>
      <w:r w:rsidRPr="00795753">
        <w:rPr>
          <w:rFonts w:ascii="Trebuchet MS" w:hAnsi="Trebuchet MS"/>
        </w:rPr>
        <w:t xml:space="preserve">Brodies LLP (2024) </w:t>
      </w:r>
      <w:r w:rsidRPr="00795753">
        <w:rPr>
          <w:rFonts w:ascii="Trebuchet MS" w:hAnsi="Trebuchet MS"/>
          <w:i/>
          <w:iCs/>
        </w:rPr>
        <w:t>Recruitment: relying on the general occupational requirement exception</w:t>
      </w:r>
      <w:r w:rsidRPr="00795753">
        <w:rPr>
          <w:rFonts w:ascii="Trebuchet MS" w:hAnsi="Trebuchet MS"/>
        </w:rPr>
        <w:t xml:space="preserve">. Available at: </w:t>
      </w:r>
      <w:hyperlink r:id="rId10" w:history="1">
        <w:r w:rsidR="001E66D0" w:rsidRPr="00795753">
          <w:rPr>
            <w:rStyle w:val="Hyperlink"/>
            <w:rFonts w:ascii="Trebuchet MS" w:hAnsi="Trebuchet MS"/>
            <w:color w:val="auto"/>
            <w:u w:val="none"/>
          </w:rPr>
          <w:t>https://brodies.com/insights/employment-and-immigration/genuine-occupational-requirements</w:t>
        </w:r>
      </w:hyperlink>
    </w:p>
    <w:p w14:paraId="780DE0AC" w14:textId="77777777" w:rsidR="0069238B" w:rsidRPr="009B0AE5" w:rsidRDefault="001E66D0" w:rsidP="009B0AE5">
      <w:pPr>
        <w:spacing w:before="205" w:after="205" w:line="300" w:lineRule="auto"/>
        <w:rPr>
          <w:rFonts w:ascii="Trebuchet MS" w:hAnsi="Trebuchet MS"/>
        </w:rPr>
      </w:pPr>
      <w:r w:rsidRPr="001E66D0">
        <w:rPr>
          <w:rFonts w:ascii="Trebuchet MS" w:hAnsi="Trebuchet MS"/>
        </w:rPr>
        <w:t xml:space="preserve">Cheese, P. (2024) </w:t>
      </w:r>
      <w:r w:rsidRPr="001E66D0">
        <w:rPr>
          <w:rFonts w:ascii="Trebuchet MS" w:hAnsi="Trebuchet MS"/>
          <w:i/>
          <w:iCs/>
        </w:rPr>
        <w:t>A new era for employment rights</w:t>
      </w:r>
      <w:r w:rsidRPr="001E66D0">
        <w:rPr>
          <w:rFonts w:ascii="Trebuchet MS" w:hAnsi="Trebuchet MS"/>
        </w:rPr>
        <w:t>. Available at: https://community.cipd.co.uk/cipd-blogs/b/peter_cheese/posts/a-new-era-for-employment-rights</w:t>
      </w:r>
      <w:r w:rsidR="0069238B" w:rsidRPr="009B0AE5">
        <w:rPr>
          <w:rFonts w:ascii="Trebuchet MS" w:hAnsi="Trebuchet MS"/>
        </w:rPr>
        <w:t xml:space="preserve"> </w:t>
      </w:r>
    </w:p>
    <w:p w14:paraId="06CCA91F" w14:textId="17914414" w:rsidR="0069238B" w:rsidRPr="009B0AE5" w:rsidRDefault="0069238B" w:rsidP="009B0AE5">
      <w:pPr>
        <w:spacing w:before="205" w:after="205" w:line="300" w:lineRule="auto"/>
        <w:rPr>
          <w:rFonts w:ascii="Trebuchet MS" w:hAnsi="Trebuchet MS"/>
        </w:rPr>
      </w:pPr>
      <w:r w:rsidRPr="009B0AE5">
        <w:rPr>
          <w:rFonts w:ascii="Trebuchet MS" w:hAnsi="Trebuchet MS"/>
        </w:rPr>
        <w:t xml:space="preserve">CIPD (2021) </w:t>
      </w:r>
      <w:r w:rsidRPr="009B0AE5">
        <w:rPr>
          <w:rFonts w:ascii="Trebuchet MS" w:hAnsi="Trebuchet MS"/>
          <w:i/>
          <w:iCs/>
        </w:rPr>
        <w:t>UK employment law already strikes the right balance for employers and workers</w:t>
      </w:r>
      <w:r w:rsidRPr="009B0AE5">
        <w:rPr>
          <w:rFonts w:ascii="Trebuchet MS" w:hAnsi="Trebuchet MS"/>
        </w:rPr>
        <w:t>. CIPD. Available at: https://www.cipd.org/uk/about/press-releases/150121uk-employment-law-strikes-right-balance</w:t>
      </w:r>
    </w:p>
    <w:p w14:paraId="554A41B3" w14:textId="77777777" w:rsidR="00641AB1" w:rsidRPr="009B0AE5" w:rsidRDefault="00FA1168" w:rsidP="009B0AE5">
      <w:pPr>
        <w:spacing w:before="205" w:after="205" w:line="300" w:lineRule="auto"/>
        <w:rPr>
          <w:rFonts w:ascii="Trebuchet MS" w:hAnsi="Trebuchet MS"/>
        </w:rPr>
      </w:pPr>
      <w:r w:rsidRPr="009B0AE5">
        <w:rPr>
          <w:rFonts w:ascii="Trebuchet MS" w:hAnsi="Trebuchet MS"/>
        </w:rPr>
        <w:t xml:space="preserve">CIPD (2024) </w:t>
      </w:r>
      <w:r w:rsidRPr="009B0AE5">
        <w:rPr>
          <w:rFonts w:ascii="Trebuchet MS" w:hAnsi="Trebuchet MS"/>
          <w:i/>
          <w:iCs/>
        </w:rPr>
        <w:t>How to request flexible working</w:t>
      </w:r>
      <w:r w:rsidRPr="009B0AE5">
        <w:rPr>
          <w:rFonts w:ascii="Trebuchet MS" w:hAnsi="Trebuchet MS"/>
        </w:rPr>
        <w:t>. Available at: https://www.cipd.org/uk/knowledge/guides/requesting-flexible-working-guide/</w:t>
      </w:r>
      <w:r w:rsidR="00641AB1" w:rsidRPr="009B0AE5">
        <w:rPr>
          <w:rFonts w:ascii="Trebuchet MS" w:hAnsi="Trebuchet MS"/>
        </w:rPr>
        <w:t xml:space="preserve"> </w:t>
      </w:r>
    </w:p>
    <w:p w14:paraId="2C21F02F" w14:textId="6748BA3B" w:rsidR="00641AB1" w:rsidRPr="009B0AE5" w:rsidRDefault="00641AB1" w:rsidP="009B0AE5">
      <w:pPr>
        <w:spacing w:before="205" w:after="205" w:line="300" w:lineRule="auto"/>
        <w:rPr>
          <w:rFonts w:ascii="Trebuchet MS" w:hAnsi="Trebuchet MS"/>
        </w:rPr>
      </w:pPr>
      <w:r w:rsidRPr="009B0AE5">
        <w:rPr>
          <w:rFonts w:ascii="Trebuchet MS" w:hAnsi="Trebuchet MS"/>
        </w:rPr>
        <w:t xml:space="preserve">CIPD (2024) </w:t>
      </w:r>
      <w:r w:rsidRPr="009B0AE5">
        <w:rPr>
          <w:rFonts w:ascii="Trebuchet MS" w:hAnsi="Trebuchet MS"/>
          <w:i/>
          <w:iCs/>
        </w:rPr>
        <w:t>Employment Rights Bill is a landmark moment for British workers’ rights, says CIPD</w:t>
      </w:r>
      <w:r w:rsidRPr="009B0AE5">
        <w:rPr>
          <w:rFonts w:ascii="Trebuchet MS" w:hAnsi="Trebuchet MS"/>
        </w:rPr>
        <w:t xml:space="preserve">. Available at: https://www.cipd.org/uk/about/news/employment-rights-bill-british-workers-rights-cipd/ </w:t>
      </w:r>
    </w:p>
    <w:p w14:paraId="5D8F67AE" w14:textId="77777777" w:rsidR="00641AB1" w:rsidRPr="009B0AE5" w:rsidRDefault="006C6336" w:rsidP="009B0AE5">
      <w:pPr>
        <w:spacing w:before="205" w:after="205" w:line="300" w:lineRule="auto"/>
        <w:rPr>
          <w:rFonts w:ascii="Trebuchet MS" w:hAnsi="Trebuchet MS"/>
        </w:rPr>
      </w:pPr>
      <w:r w:rsidRPr="006C6336">
        <w:rPr>
          <w:rFonts w:ascii="Trebuchet MS" w:hAnsi="Trebuchet MS"/>
        </w:rPr>
        <w:t>CIPD (2025)</w:t>
      </w:r>
      <w:r w:rsidR="00AD4175" w:rsidRPr="009B0AE5">
        <w:rPr>
          <w:rFonts w:ascii="Trebuchet MS" w:hAnsi="Trebuchet MS"/>
        </w:rPr>
        <w:t xml:space="preserve"> </w:t>
      </w:r>
      <w:r w:rsidRPr="006C6336">
        <w:rPr>
          <w:rFonts w:ascii="Trebuchet MS" w:hAnsi="Trebuchet MS"/>
          <w:i/>
          <w:iCs/>
        </w:rPr>
        <w:t>Employment law changes in July 2025.</w:t>
      </w:r>
      <w:r w:rsidRPr="006C6336">
        <w:rPr>
          <w:rFonts w:ascii="Trebuchet MS" w:hAnsi="Trebuchet MS"/>
        </w:rPr>
        <w:t xml:space="preserve"> Available at: https://www.cipd.org/uk/views-and-insights/thought-leadership/insight/employment-law-changes-july-2025/ </w:t>
      </w:r>
    </w:p>
    <w:p w14:paraId="25F3B2C9" w14:textId="61896B9B" w:rsidR="00641AB1" w:rsidRPr="009B0AE5" w:rsidRDefault="00641AB1" w:rsidP="009B0AE5">
      <w:pPr>
        <w:spacing w:before="205" w:after="205" w:line="300" w:lineRule="auto"/>
        <w:rPr>
          <w:rStyle w:val="Hyperlink"/>
          <w:rFonts w:ascii="Trebuchet MS" w:hAnsi="Trebuchet MS"/>
        </w:rPr>
      </w:pPr>
      <w:r w:rsidRPr="009B0AE5">
        <w:rPr>
          <w:rFonts w:ascii="Trebuchet MS" w:hAnsi="Trebuchet MS"/>
        </w:rPr>
        <w:lastRenderedPageBreak/>
        <w:t xml:space="preserve">CIPD (2025) </w:t>
      </w:r>
      <w:r w:rsidRPr="009B0AE5">
        <w:rPr>
          <w:rFonts w:ascii="Trebuchet MS" w:hAnsi="Trebuchet MS"/>
          <w:i/>
          <w:iCs/>
        </w:rPr>
        <w:t>Briefing: Supreme Court clarifies definition of “sex” in the Equality Act</w:t>
      </w:r>
      <w:r w:rsidRPr="009B0AE5">
        <w:rPr>
          <w:rFonts w:ascii="Trebuchet MS" w:hAnsi="Trebuchet MS"/>
        </w:rPr>
        <w:t xml:space="preserve">. Available at: https://prd.cipd.org/uk/views-and-insights/thought-leadership/insight/definition-sex-equality-act/ </w:t>
      </w:r>
    </w:p>
    <w:p w14:paraId="631E6C46" w14:textId="77777777" w:rsidR="009A3192" w:rsidRPr="009A3192" w:rsidRDefault="009A3192" w:rsidP="009B0AE5">
      <w:pPr>
        <w:spacing w:before="205" w:after="205" w:line="300" w:lineRule="auto"/>
        <w:rPr>
          <w:rFonts w:ascii="Trebuchet MS" w:hAnsi="Trebuchet MS"/>
        </w:rPr>
      </w:pPr>
      <w:r w:rsidRPr="009A3192">
        <w:rPr>
          <w:rFonts w:ascii="Trebuchet MS" w:hAnsi="Trebuchet MS"/>
        </w:rPr>
        <w:t xml:space="preserve">CIPD (2025) </w:t>
      </w:r>
      <w:r w:rsidRPr="009A3192">
        <w:rPr>
          <w:rFonts w:ascii="Trebuchet MS" w:hAnsi="Trebuchet MS"/>
          <w:i/>
          <w:iCs/>
        </w:rPr>
        <w:t>TUPE (transfer of undertakings): An introduction</w:t>
      </w:r>
      <w:r w:rsidRPr="009A3192">
        <w:rPr>
          <w:rFonts w:ascii="Trebuchet MS" w:hAnsi="Trebuchet MS"/>
        </w:rPr>
        <w:t xml:space="preserve">. Available at: https://www.cipd.org/uk/knowledge/factsheets/tupe-factsheet/ </w:t>
      </w:r>
    </w:p>
    <w:p w14:paraId="5ADFB732" w14:textId="77777777" w:rsidR="00641AB1" w:rsidRPr="009B0AE5" w:rsidRDefault="00641AB1" w:rsidP="009B0AE5">
      <w:pPr>
        <w:spacing w:before="205" w:after="205" w:line="300" w:lineRule="auto"/>
        <w:rPr>
          <w:rFonts w:ascii="Trebuchet MS" w:hAnsi="Trebuchet MS"/>
        </w:rPr>
      </w:pPr>
      <w:r w:rsidRPr="009B0AE5">
        <w:rPr>
          <w:rFonts w:ascii="Trebuchet MS" w:hAnsi="Trebuchet MS"/>
        </w:rPr>
        <w:t xml:space="preserve">CIPD (2025) </w:t>
      </w:r>
      <w:r w:rsidRPr="009B0AE5">
        <w:rPr>
          <w:rFonts w:ascii="Trebuchet MS" w:hAnsi="Trebuchet MS"/>
          <w:i/>
          <w:iCs/>
        </w:rPr>
        <w:t>Maternity, paternity and adoption rights</w:t>
      </w:r>
      <w:r w:rsidRPr="009B0AE5">
        <w:rPr>
          <w:rFonts w:ascii="Trebuchet MS" w:hAnsi="Trebuchet MS"/>
        </w:rPr>
        <w:t>. Available at: https://www.cipd.org/uk/knowledge/factsheets/maternity-paternity-rights-factsheet/</w:t>
      </w:r>
    </w:p>
    <w:p w14:paraId="79124CB9" w14:textId="77777777" w:rsidR="0069238B" w:rsidRPr="009B0AE5" w:rsidRDefault="006C6336" w:rsidP="009B0AE5">
      <w:pPr>
        <w:spacing w:before="205" w:after="205" w:line="300" w:lineRule="auto"/>
        <w:rPr>
          <w:rFonts w:ascii="Trebuchet MS" w:hAnsi="Trebuchet MS"/>
        </w:rPr>
      </w:pPr>
      <w:r w:rsidRPr="006C6336">
        <w:rPr>
          <w:rFonts w:ascii="Trebuchet MS" w:hAnsi="Trebuchet MS"/>
        </w:rPr>
        <w:t>CIPD (2025)</w:t>
      </w:r>
      <w:r w:rsidR="00AD4175" w:rsidRPr="009B0AE5">
        <w:rPr>
          <w:rFonts w:ascii="Trebuchet MS" w:hAnsi="Trebuchet MS"/>
        </w:rPr>
        <w:t xml:space="preserve"> </w:t>
      </w:r>
      <w:r w:rsidRPr="006C6336">
        <w:rPr>
          <w:rFonts w:ascii="Trebuchet MS" w:hAnsi="Trebuchet MS"/>
          <w:i/>
          <w:iCs/>
        </w:rPr>
        <w:t>Maternity, paternity and adoption rights factsheet.</w:t>
      </w:r>
      <w:r w:rsidRPr="006C6336">
        <w:rPr>
          <w:rFonts w:ascii="Trebuchet MS" w:hAnsi="Trebuchet MS"/>
        </w:rPr>
        <w:t xml:space="preserve"> Available at: https://www.cipd.org/uk/knowledge/factsheets/maternity-paternity-rights-factsheet/ </w:t>
      </w:r>
    </w:p>
    <w:p w14:paraId="3BA2249D" w14:textId="10BB35F9" w:rsidR="006C6336" w:rsidRPr="006C6336" w:rsidRDefault="0069238B" w:rsidP="009B0AE5">
      <w:pPr>
        <w:spacing w:before="205" w:after="205" w:line="300" w:lineRule="auto"/>
        <w:rPr>
          <w:rFonts w:ascii="Trebuchet MS" w:hAnsi="Trebuchet MS"/>
        </w:rPr>
      </w:pPr>
      <w:r w:rsidRPr="009B0AE5">
        <w:rPr>
          <w:rFonts w:ascii="Trebuchet MS" w:hAnsi="Trebuchet MS"/>
        </w:rPr>
        <w:t xml:space="preserve">CIPD (2025) </w:t>
      </w:r>
      <w:r w:rsidRPr="009B0AE5">
        <w:rPr>
          <w:rFonts w:ascii="Trebuchet MS" w:hAnsi="Trebuchet MS"/>
          <w:i/>
          <w:iCs/>
        </w:rPr>
        <w:t>Equal pay: UK employment law</w:t>
      </w:r>
      <w:r w:rsidRPr="009B0AE5">
        <w:rPr>
          <w:rFonts w:ascii="Trebuchet MS" w:hAnsi="Trebuchet MS"/>
        </w:rPr>
        <w:t>. Available at: https://www.cipd.org/uk/knowledge/employment-law/equal-pay/ (Accessed: 29 March 2026).</w:t>
      </w:r>
    </w:p>
    <w:p w14:paraId="751D3E05" w14:textId="63AC9D80" w:rsidR="0069238B" w:rsidRPr="009B0AE5" w:rsidRDefault="006C6336" w:rsidP="009B0AE5">
      <w:pPr>
        <w:spacing w:before="205" w:after="205" w:line="300" w:lineRule="auto"/>
        <w:rPr>
          <w:rFonts w:ascii="Trebuchet MS" w:hAnsi="Trebuchet MS"/>
        </w:rPr>
      </w:pPr>
      <w:r w:rsidRPr="006C6336">
        <w:rPr>
          <w:rFonts w:ascii="Trebuchet MS" w:hAnsi="Trebuchet MS"/>
        </w:rPr>
        <w:t>CIPD (2026)</w:t>
      </w:r>
      <w:r w:rsidR="00AD4175" w:rsidRPr="009B0AE5">
        <w:rPr>
          <w:rFonts w:ascii="Trebuchet MS" w:hAnsi="Trebuchet MS"/>
        </w:rPr>
        <w:t xml:space="preserve"> </w:t>
      </w:r>
      <w:r w:rsidRPr="006C6336">
        <w:rPr>
          <w:rFonts w:ascii="Trebuchet MS" w:hAnsi="Trebuchet MS"/>
          <w:i/>
          <w:iCs/>
        </w:rPr>
        <w:t>UK employment law to know ahead of April 2026 implementation wave.</w:t>
      </w:r>
      <w:r w:rsidRPr="006C6336">
        <w:rPr>
          <w:rFonts w:ascii="Trebuchet MS" w:hAnsi="Trebuchet MS"/>
        </w:rPr>
        <w:t xml:space="preserve"> Available at: https://www.cipd.org/uk/views-and-insights/thought-leadership/insight/employment-law-changes-march-2026/ </w:t>
      </w:r>
    </w:p>
    <w:p w14:paraId="528B826E" w14:textId="0E6A99E6" w:rsidR="00F65549" w:rsidRPr="009B0AE5" w:rsidRDefault="006C6336" w:rsidP="009B0AE5">
      <w:pPr>
        <w:spacing w:before="205" w:after="205" w:line="300" w:lineRule="auto"/>
        <w:rPr>
          <w:rFonts w:ascii="Trebuchet MS" w:hAnsi="Trebuchet MS"/>
        </w:rPr>
      </w:pPr>
      <w:r w:rsidRPr="006C6336">
        <w:rPr>
          <w:rFonts w:ascii="Trebuchet MS" w:hAnsi="Trebuchet MS"/>
        </w:rPr>
        <w:t>CIPD (2026)</w:t>
      </w:r>
      <w:r w:rsidR="00641AB1" w:rsidRPr="009B0AE5">
        <w:rPr>
          <w:rFonts w:ascii="Trebuchet MS" w:hAnsi="Trebuchet MS"/>
        </w:rPr>
        <w:t xml:space="preserve"> </w:t>
      </w:r>
      <w:r w:rsidRPr="006C6336">
        <w:rPr>
          <w:rFonts w:ascii="Trebuchet MS" w:hAnsi="Trebuchet MS"/>
          <w:i/>
          <w:iCs/>
        </w:rPr>
        <w:t>Employment Rights Act 2025: Preparation checklist and guidance.</w:t>
      </w:r>
      <w:r w:rsidRPr="006C6336">
        <w:rPr>
          <w:rFonts w:ascii="Trebuchet MS" w:hAnsi="Trebuchet MS"/>
        </w:rPr>
        <w:t xml:space="preserve"> Available at: https://www.linkedin.com/posts/cipd_cipd</w:t>
      </w:r>
    </w:p>
    <w:p w14:paraId="0BE4968A" w14:textId="11C54FEC" w:rsidR="00CC5289" w:rsidRPr="009B0AE5" w:rsidRDefault="00CC5289" w:rsidP="009B0AE5">
      <w:pPr>
        <w:spacing w:before="205" w:after="205" w:line="300" w:lineRule="auto"/>
        <w:rPr>
          <w:rStyle w:val="Hyperlink"/>
          <w:rFonts w:ascii="Trebuchet MS" w:hAnsi="Trebuchet MS"/>
        </w:rPr>
      </w:pPr>
      <w:r w:rsidRPr="009B0AE5">
        <w:rPr>
          <w:rFonts w:ascii="Trebuchet MS" w:hAnsi="Trebuchet MS"/>
        </w:rPr>
        <w:t xml:space="preserve">CIPD (2026) </w:t>
      </w:r>
      <w:r w:rsidRPr="009B0AE5">
        <w:rPr>
          <w:rFonts w:ascii="Trebuchet MS" w:hAnsi="Trebuchet MS"/>
          <w:i/>
          <w:iCs/>
        </w:rPr>
        <w:t>Dismissal: UK employment law</w:t>
      </w:r>
      <w:r w:rsidRPr="009B0AE5">
        <w:rPr>
          <w:rFonts w:ascii="Trebuchet MS" w:hAnsi="Trebuchet MS"/>
        </w:rPr>
        <w:t xml:space="preserve">. Available at: https://www.cipd.org/uk/knowledge/employment-law/dismissal/ </w:t>
      </w:r>
    </w:p>
    <w:p w14:paraId="57471FBF" w14:textId="3D6F9863" w:rsidR="003571F2" w:rsidRPr="009B0AE5" w:rsidRDefault="003571F2" w:rsidP="009B0AE5">
      <w:pPr>
        <w:spacing w:before="205" w:after="205" w:line="300" w:lineRule="auto"/>
        <w:rPr>
          <w:rFonts w:ascii="Trebuchet MS" w:hAnsi="Trebuchet MS"/>
        </w:rPr>
      </w:pPr>
      <w:r w:rsidRPr="003571F2">
        <w:rPr>
          <w:rFonts w:ascii="Trebuchet MS" w:hAnsi="Trebuchet MS"/>
        </w:rPr>
        <w:t>CIPD HR</w:t>
      </w:r>
      <w:r w:rsidRPr="003571F2">
        <w:rPr>
          <w:rFonts w:ascii="Trebuchet MS" w:hAnsi="Trebuchet MS"/>
        </w:rPr>
        <w:noBreakHyphen/>
        <w:t xml:space="preserve">inform (2024) </w:t>
      </w:r>
      <w:r w:rsidRPr="003571F2">
        <w:rPr>
          <w:rFonts w:ascii="Trebuchet MS" w:hAnsi="Trebuchet MS"/>
          <w:i/>
          <w:iCs/>
        </w:rPr>
        <w:t>Redundancy: Termination of Employment</w:t>
      </w:r>
      <w:r w:rsidRPr="003571F2">
        <w:rPr>
          <w:rFonts w:ascii="Trebuchet MS" w:hAnsi="Trebuchet MS"/>
        </w:rPr>
        <w:t xml:space="preserve">. Available at: </w:t>
      </w:r>
      <w:hyperlink r:id="rId11" w:history="1">
        <w:r w:rsidR="00BC0753" w:rsidRPr="003571F2">
          <w:rPr>
            <w:rStyle w:val="Hyperlink"/>
            <w:rFonts w:ascii="Trebuchet MS" w:hAnsi="Trebuchet MS"/>
            <w:color w:val="auto"/>
            <w:u w:val="none"/>
          </w:rPr>
          <w:t>https://www.hr-inform.co.uk/employment_law/redundancy</w:t>
        </w:r>
      </w:hyperlink>
    </w:p>
    <w:p w14:paraId="62022892" w14:textId="77777777" w:rsidR="00BC0753" w:rsidRPr="00BC0753" w:rsidRDefault="00BC0753" w:rsidP="009B0AE5">
      <w:pPr>
        <w:spacing w:before="205" w:after="205" w:line="300" w:lineRule="auto"/>
        <w:rPr>
          <w:rFonts w:ascii="Trebuchet MS" w:hAnsi="Trebuchet MS"/>
        </w:rPr>
      </w:pPr>
      <w:r w:rsidRPr="00BC0753">
        <w:rPr>
          <w:rFonts w:ascii="Trebuchet MS" w:hAnsi="Trebuchet MS"/>
        </w:rPr>
        <w:t xml:space="preserve">Citation (2026) </w:t>
      </w:r>
      <w:r w:rsidRPr="00BC0753">
        <w:rPr>
          <w:rFonts w:ascii="Trebuchet MS" w:hAnsi="Trebuchet MS"/>
          <w:i/>
          <w:iCs/>
        </w:rPr>
        <w:t>Employment tribunal time limits</w:t>
      </w:r>
      <w:r w:rsidRPr="00BC0753">
        <w:rPr>
          <w:rFonts w:ascii="Trebuchet MS" w:hAnsi="Trebuchet MS"/>
        </w:rPr>
        <w:t>. Updated 13 January 2026. Available at: https://www.citation.co.uk/news/blog/what-is-the-current-law-on-employment-tribunal-time-limits/</w:t>
      </w:r>
    </w:p>
    <w:p w14:paraId="25FC71EF" w14:textId="77777777" w:rsidR="0023696C" w:rsidRPr="0023696C" w:rsidRDefault="0023696C" w:rsidP="009B0AE5">
      <w:pPr>
        <w:spacing w:before="205" w:after="205" w:line="300" w:lineRule="auto"/>
        <w:rPr>
          <w:rFonts w:ascii="Trebuchet MS" w:hAnsi="Trebuchet MS"/>
        </w:rPr>
      </w:pPr>
      <w:proofErr w:type="spellStart"/>
      <w:r w:rsidRPr="0023696C">
        <w:rPr>
          <w:rFonts w:ascii="Trebuchet MS" w:hAnsi="Trebuchet MS"/>
        </w:rPr>
        <w:t>Clarkslegal</w:t>
      </w:r>
      <w:proofErr w:type="spellEnd"/>
      <w:r w:rsidRPr="0023696C">
        <w:rPr>
          <w:rFonts w:ascii="Trebuchet MS" w:hAnsi="Trebuchet MS"/>
        </w:rPr>
        <w:t xml:space="preserve"> LLP (2025) </w:t>
      </w:r>
      <w:r w:rsidRPr="0023696C">
        <w:rPr>
          <w:rFonts w:ascii="Trebuchet MS" w:hAnsi="Trebuchet MS"/>
          <w:i/>
          <w:iCs/>
        </w:rPr>
        <w:t>Employment law reform: UK Government launches review of parental leave and pay</w:t>
      </w:r>
      <w:r w:rsidRPr="0023696C">
        <w:rPr>
          <w:rFonts w:ascii="Trebuchet MS" w:hAnsi="Trebuchet MS"/>
        </w:rPr>
        <w:t xml:space="preserve">. Available at: https://clarkslegal.com/insights/articles/employment-law-reform-uk-government-launches-review-of-parental-leave-and-pay/ </w:t>
      </w:r>
    </w:p>
    <w:p w14:paraId="1D1039AB" w14:textId="77777777" w:rsidR="004D48ED" w:rsidRPr="004D48ED" w:rsidRDefault="004D48ED" w:rsidP="009B0AE5">
      <w:pPr>
        <w:spacing w:before="205" w:after="205" w:line="300" w:lineRule="auto"/>
        <w:rPr>
          <w:rFonts w:ascii="Trebuchet MS" w:hAnsi="Trebuchet MS"/>
        </w:rPr>
      </w:pPr>
      <w:r w:rsidRPr="004D48ED">
        <w:rPr>
          <w:rFonts w:ascii="Trebuchet MS" w:hAnsi="Trebuchet MS"/>
        </w:rPr>
        <w:t xml:space="preserve">Citizens Advice (2026) </w:t>
      </w:r>
      <w:r w:rsidRPr="004D48ED">
        <w:rPr>
          <w:rFonts w:ascii="Trebuchet MS" w:hAnsi="Trebuchet MS"/>
          <w:i/>
          <w:iCs/>
        </w:rPr>
        <w:t>Claiming constructive dismissal</w:t>
      </w:r>
      <w:r w:rsidRPr="004D48ED">
        <w:rPr>
          <w:rFonts w:ascii="Trebuchet MS" w:hAnsi="Trebuchet MS"/>
        </w:rPr>
        <w:t>. Available at: https://www.citizensadvice.org.uk/work/dismissal/check-your-rights-if-youre-dismissed/claiming-constructive-dismissal/</w:t>
      </w:r>
    </w:p>
    <w:p w14:paraId="476848AE" w14:textId="3016735C" w:rsidR="00623446" w:rsidRPr="009B0AE5" w:rsidRDefault="00623446" w:rsidP="009B0AE5">
      <w:pPr>
        <w:spacing w:before="205" w:after="205" w:line="300" w:lineRule="auto"/>
        <w:rPr>
          <w:rFonts w:ascii="Trebuchet MS" w:hAnsi="Trebuchet MS"/>
        </w:rPr>
      </w:pPr>
      <w:r w:rsidRPr="009B0AE5">
        <w:rPr>
          <w:rFonts w:ascii="Trebuchet MS" w:hAnsi="Trebuchet MS"/>
        </w:rPr>
        <w:t>Daniels, K. (202</w:t>
      </w:r>
      <w:r w:rsidR="000E61D9" w:rsidRPr="009B0AE5">
        <w:rPr>
          <w:rFonts w:ascii="Trebuchet MS" w:hAnsi="Trebuchet MS"/>
        </w:rPr>
        <w:t>4</w:t>
      </w:r>
      <w:r w:rsidRPr="009B0AE5">
        <w:rPr>
          <w:rFonts w:ascii="Trebuchet MS" w:hAnsi="Trebuchet MS"/>
        </w:rPr>
        <w:t xml:space="preserve">) </w:t>
      </w:r>
      <w:r w:rsidRPr="009B0AE5">
        <w:rPr>
          <w:rFonts w:ascii="Trebuchet MS" w:hAnsi="Trebuchet MS"/>
          <w:i/>
          <w:iCs/>
        </w:rPr>
        <w:t>Introduction to Employment Law: Fundamentals for HR and Business Students</w:t>
      </w:r>
      <w:r w:rsidRPr="009B0AE5">
        <w:rPr>
          <w:rFonts w:ascii="Trebuchet MS" w:hAnsi="Trebuchet MS"/>
        </w:rPr>
        <w:t xml:space="preserve">. </w:t>
      </w:r>
      <w:r w:rsidR="000E61D9" w:rsidRPr="009B0AE5">
        <w:rPr>
          <w:rFonts w:ascii="Trebuchet MS" w:hAnsi="Trebuchet MS"/>
        </w:rPr>
        <w:t>7</w:t>
      </w:r>
      <w:r w:rsidRPr="009B0AE5">
        <w:rPr>
          <w:rFonts w:ascii="Trebuchet MS" w:hAnsi="Trebuchet MS"/>
        </w:rPr>
        <w:t xml:space="preserve">th </w:t>
      </w:r>
      <w:proofErr w:type="spellStart"/>
      <w:r w:rsidRPr="009B0AE5">
        <w:rPr>
          <w:rFonts w:ascii="Trebuchet MS" w:hAnsi="Trebuchet MS"/>
        </w:rPr>
        <w:t>edn</w:t>
      </w:r>
      <w:proofErr w:type="spellEnd"/>
      <w:r w:rsidRPr="009B0AE5">
        <w:rPr>
          <w:rFonts w:ascii="Trebuchet MS" w:hAnsi="Trebuchet MS"/>
        </w:rPr>
        <w:t>. London: CIPD/Kogan Page.</w:t>
      </w:r>
    </w:p>
    <w:p w14:paraId="5888CD77" w14:textId="3AED6851" w:rsidR="00024059" w:rsidRPr="009B0AE5" w:rsidRDefault="00024059" w:rsidP="009B0AE5">
      <w:pPr>
        <w:spacing w:before="205" w:after="205" w:line="300" w:lineRule="auto"/>
        <w:rPr>
          <w:rFonts w:ascii="Trebuchet MS" w:hAnsi="Trebuchet MS"/>
        </w:rPr>
      </w:pPr>
      <w:r w:rsidRPr="009B0AE5">
        <w:rPr>
          <w:rFonts w:ascii="Trebuchet MS" w:hAnsi="Trebuchet MS"/>
        </w:rPr>
        <w:t xml:space="preserve">DLA Piper (2024) </w:t>
      </w:r>
      <w:r w:rsidRPr="009B0AE5">
        <w:rPr>
          <w:rFonts w:ascii="Trebuchet MS" w:hAnsi="Trebuchet MS"/>
          <w:i/>
          <w:iCs/>
        </w:rPr>
        <w:t>Holiday pay reform analysis</w:t>
      </w:r>
      <w:r w:rsidRPr="009B0AE5">
        <w:rPr>
          <w:rFonts w:ascii="Trebuchet MS" w:hAnsi="Trebuchet MS"/>
        </w:rPr>
        <w:t xml:space="preserve">. Available at: https://knowledge.dlapiper.com </w:t>
      </w:r>
    </w:p>
    <w:p w14:paraId="16473DE7" w14:textId="77777777" w:rsidR="003C76A3" w:rsidRPr="003C76A3" w:rsidRDefault="003C76A3" w:rsidP="009B0AE5">
      <w:pPr>
        <w:spacing w:before="205" w:after="205" w:line="300" w:lineRule="auto"/>
        <w:rPr>
          <w:rFonts w:ascii="Trebuchet MS" w:hAnsi="Trebuchet MS"/>
        </w:rPr>
      </w:pPr>
      <w:r w:rsidRPr="003C76A3">
        <w:rPr>
          <w:rFonts w:ascii="Trebuchet MS" w:hAnsi="Trebuchet MS"/>
        </w:rPr>
        <w:lastRenderedPageBreak/>
        <w:t xml:space="preserve">Eversheds Sutherland (2024) </w:t>
      </w:r>
      <w:r w:rsidRPr="003C76A3">
        <w:rPr>
          <w:rFonts w:ascii="Trebuchet MS" w:hAnsi="Trebuchet MS"/>
          <w:i/>
          <w:iCs/>
        </w:rPr>
        <w:t>Government publishes guidance on their reforms to holiday pay and leave entitlement</w:t>
      </w:r>
      <w:r w:rsidRPr="003C76A3">
        <w:rPr>
          <w:rFonts w:ascii="Trebuchet MS" w:hAnsi="Trebuchet MS"/>
        </w:rPr>
        <w:t>. Available at: https://www.eversheds-sutherland.com/en/global/insights/education-briefing-government-publishes-guidance-05-01-24</w:t>
      </w:r>
    </w:p>
    <w:p w14:paraId="66200565" w14:textId="77777777" w:rsidR="00183A16" w:rsidRPr="00183A16" w:rsidRDefault="00183A16" w:rsidP="009B0AE5">
      <w:pPr>
        <w:spacing w:before="205" w:after="205" w:line="300" w:lineRule="auto"/>
        <w:rPr>
          <w:rFonts w:ascii="Trebuchet MS" w:hAnsi="Trebuchet MS"/>
        </w:rPr>
      </w:pPr>
      <w:r w:rsidRPr="00183A16">
        <w:rPr>
          <w:rFonts w:ascii="Trebuchet MS" w:hAnsi="Trebuchet MS"/>
        </w:rPr>
        <w:t xml:space="preserve">Equality and Human Rights Commission (2024) </w:t>
      </w:r>
      <w:r w:rsidRPr="00183A16">
        <w:rPr>
          <w:rFonts w:ascii="Trebuchet MS" w:hAnsi="Trebuchet MS"/>
          <w:i/>
          <w:iCs/>
        </w:rPr>
        <w:t>Discriminatory advert guidance updated</w:t>
      </w:r>
      <w:r w:rsidRPr="00183A16">
        <w:rPr>
          <w:rFonts w:ascii="Trebuchet MS" w:hAnsi="Trebuchet MS"/>
        </w:rPr>
        <w:t>. Available at: https://www.equalityhumanrights.com/discriminatory-advert-guidance-updated</w:t>
      </w:r>
    </w:p>
    <w:p w14:paraId="213B23B1" w14:textId="1BFC774E" w:rsidR="0031362F" w:rsidRPr="007972FE" w:rsidRDefault="0031362F" w:rsidP="009B0AE5">
      <w:pPr>
        <w:spacing w:before="205" w:after="205" w:line="300" w:lineRule="auto"/>
        <w:rPr>
          <w:rFonts w:ascii="Trebuchet MS" w:hAnsi="Trebuchet MS"/>
        </w:rPr>
      </w:pPr>
      <w:r w:rsidRPr="007972FE">
        <w:rPr>
          <w:rFonts w:ascii="Trebuchet MS" w:hAnsi="Trebuchet MS"/>
        </w:rPr>
        <w:t>GOV.UK (</w:t>
      </w:r>
      <w:r w:rsidR="00E97FDF" w:rsidRPr="007972FE">
        <w:rPr>
          <w:rFonts w:ascii="Trebuchet MS" w:hAnsi="Trebuchet MS"/>
        </w:rPr>
        <w:t>no date</w:t>
      </w:r>
      <w:r w:rsidRPr="007972FE">
        <w:rPr>
          <w:rFonts w:ascii="Trebuchet MS" w:hAnsi="Trebuchet MS"/>
        </w:rPr>
        <w:t xml:space="preserve">) </w:t>
      </w:r>
      <w:r w:rsidRPr="007972FE">
        <w:rPr>
          <w:rFonts w:ascii="Trebuchet MS" w:hAnsi="Trebuchet MS"/>
          <w:i/>
          <w:iCs/>
        </w:rPr>
        <w:t>Redundancy: Your rights – Consultation</w:t>
      </w:r>
      <w:r w:rsidRPr="007972FE">
        <w:rPr>
          <w:rFonts w:ascii="Trebuchet MS" w:hAnsi="Trebuchet MS"/>
        </w:rPr>
        <w:t>. Available at: https://www.gov.uk/redundancy-your-rights/consultation</w:t>
      </w:r>
    </w:p>
    <w:p w14:paraId="6BDD538E" w14:textId="38585D07" w:rsidR="00E97FDF" w:rsidRPr="00E97FDF" w:rsidRDefault="00E97FDF" w:rsidP="00E97FDF">
      <w:pPr>
        <w:spacing w:before="205" w:after="205" w:line="300" w:lineRule="auto"/>
        <w:rPr>
          <w:rFonts w:ascii="Trebuchet MS" w:hAnsi="Trebuchet MS"/>
        </w:rPr>
      </w:pPr>
      <w:r w:rsidRPr="00E97FDF">
        <w:rPr>
          <w:rFonts w:ascii="Trebuchet MS" w:hAnsi="Trebuchet MS"/>
        </w:rPr>
        <w:t xml:space="preserve">GOV.UK (no date) </w:t>
      </w:r>
      <w:r w:rsidRPr="00E97FDF">
        <w:rPr>
          <w:rFonts w:ascii="Trebuchet MS" w:hAnsi="Trebuchet MS"/>
          <w:i/>
          <w:iCs/>
        </w:rPr>
        <w:t>Business transfers, takeovers and TUPE: Transfers of employment contracts</w:t>
      </w:r>
      <w:r w:rsidRPr="00E97FDF">
        <w:rPr>
          <w:rFonts w:ascii="Trebuchet MS" w:hAnsi="Trebuchet MS"/>
        </w:rPr>
        <w:t>.</w:t>
      </w:r>
      <w:r w:rsidRPr="007972FE">
        <w:rPr>
          <w:rFonts w:ascii="Trebuchet MS" w:hAnsi="Trebuchet MS"/>
        </w:rPr>
        <w:t xml:space="preserve"> </w:t>
      </w:r>
      <w:r w:rsidRPr="00E97FDF">
        <w:rPr>
          <w:rFonts w:ascii="Trebuchet MS" w:hAnsi="Trebuchet MS"/>
        </w:rPr>
        <w:t>Available at: https://www.gov.uk/transfers-takeovers</w:t>
      </w:r>
    </w:p>
    <w:p w14:paraId="56F6AA0E" w14:textId="20D811CC" w:rsidR="00B1186B" w:rsidRPr="00B1186B" w:rsidRDefault="00B1186B" w:rsidP="009B0AE5">
      <w:pPr>
        <w:spacing w:before="205" w:after="205" w:line="300" w:lineRule="auto"/>
        <w:rPr>
          <w:rFonts w:ascii="Trebuchet MS" w:hAnsi="Trebuchet MS"/>
        </w:rPr>
      </w:pPr>
      <w:r w:rsidRPr="007972FE">
        <w:rPr>
          <w:rFonts w:ascii="Trebuchet MS" w:hAnsi="Trebuchet MS"/>
        </w:rPr>
        <w:t>GOV.UK (</w:t>
      </w:r>
      <w:r w:rsidR="00E52E9F" w:rsidRPr="007972FE">
        <w:rPr>
          <w:rFonts w:ascii="Trebuchet MS" w:hAnsi="Trebuchet MS"/>
        </w:rPr>
        <w:t>no date</w:t>
      </w:r>
      <w:r w:rsidRPr="007972FE">
        <w:rPr>
          <w:rFonts w:ascii="Trebuchet MS" w:hAnsi="Trebuchet MS"/>
        </w:rPr>
        <w:t xml:space="preserve">) </w:t>
      </w:r>
      <w:r w:rsidRPr="007972FE">
        <w:rPr>
          <w:rFonts w:ascii="Trebuchet MS" w:hAnsi="Trebuchet MS"/>
          <w:i/>
          <w:iCs/>
        </w:rPr>
        <w:t>Positive action in the workplace: guidance for employers</w:t>
      </w:r>
      <w:r w:rsidRPr="007972FE">
        <w:rPr>
          <w:rFonts w:ascii="Trebuchet MS" w:hAnsi="Trebuchet MS"/>
        </w:rPr>
        <w:t>. Available at: https://www.gov.uk/government/publications/positive-action-in-the</w:t>
      </w:r>
      <w:r w:rsidRPr="00B1186B">
        <w:rPr>
          <w:rFonts w:ascii="Trebuchet MS" w:hAnsi="Trebuchet MS"/>
        </w:rPr>
        <w:t>-workplace-guidance-for-employers/positive-action-in-the-workplace</w:t>
      </w:r>
    </w:p>
    <w:p w14:paraId="236FE337" w14:textId="28F5BA72" w:rsidR="00D54A41" w:rsidRPr="009B0AE5" w:rsidRDefault="00D54A41" w:rsidP="009B0AE5">
      <w:pPr>
        <w:spacing w:before="205" w:after="205" w:line="300" w:lineRule="auto"/>
        <w:rPr>
          <w:rFonts w:ascii="Trebuchet MS" w:hAnsi="Trebuchet MS"/>
        </w:rPr>
      </w:pPr>
      <w:r w:rsidRPr="009B0AE5">
        <w:rPr>
          <w:rFonts w:ascii="Trebuchet MS" w:hAnsi="Trebuchet MS"/>
        </w:rPr>
        <w:t>GOV.UK (</w:t>
      </w:r>
      <w:r w:rsidR="00503120">
        <w:rPr>
          <w:rFonts w:ascii="Trebuchet MS" w:hAnsi="Trebuchet MS"/>
        </w:rPr>
        <w:t>no date</w:t>
      </w:r>
      <w:r w:rsidRPr="009B0AE5">
        <w:rPr>
          <w:rFonts w:ascii="Trebuchet MS" w:hAnsi="Trebuchet MS"/>
        </w:rPr>
        <w:t xml:space="preserve">) </w:t>
      </w:r>
      <w:r w:rsidRPr="009B0AE5">
        <w:rPr>
          <w:rFonts w:ascii="Trebuchet MS" w:hAnsi="Trebuchet MS"/>
          <w:i/>
          <w:iCs/>
        </w:rPr>
        <w:t>Holiday entitlement and rights</w:t>
      </w:r>
      <w:r w:rsidRPr="009B0AE5">
        <w:rPr>
          <w:rFonts w:ascii="Trebuchet MS" w:hAnsi="Trebuchet MS"/>
        </w:rPr>
        <w:t>. Available at: https://www.gov.uk/holiday-entitlement-rights</w:t>
      </w:r>
    </w:p>
    <w:p w14:paraId="2C62566D" w14:textId="38DBC8DE" w:rsidR="00024059" w:rsidRPr="009B0AE5" w:rsidRDefault="00024059" w:rsidP="009B0AE5">
      <w:pPr>
        <w:spacing w:before="205" w:after="205" w:line="300" w:lineRule="auto"/>
        <w:rPr>
          <w:rFonts w:ascii="Trebuchet MS" w:hAnsi="Trebuchet MS"/>
        </w:rPr>
      </w:pPr>
      <w:r w:rsidRPr="009B0AE5">
        <w:rPr>
          <w:rFonts w:ascii="Trebuchet MS" w:hAnsi="Trebuchet MS"/>
        </w:rPr>
        <w:t>GOV.UK (</w:t>
      </w:r>
      <w:r w:rsidR="00503120">
        <w:rPr>
          <w:rFonts w:ascii="Trebuchet MS" w:hAnsi="Trebuchet MS"/>
        </w:rPr>
        <w:t>no date</w:t>
      </w:r>
      <w:r w:rsidRPr="009B0AE5">
        <w:rPr>
          <w:rFonts w:ascii="Trebuchet MS" w:hAnsi="Trebuchet MS"/>
        </w:rPr>
        <w:t xml:space="preserve">) </w:t>
      </w:r>
      <w:r w:rsidRPr="009B0AE5">
        <w:rPr>
          <w:rFonts w:ascii="Trebuchet MS" w:hAnsi="Trebuchet MS"/>
          <w:i/>
          <w:iCs/>
        </w:rPr>
        <w:t>Flexible working, redundancy selection, and parental leave guidance</w:t>
      </w:r>
      <w:r w:rsidRPr="009B0AE5">
        <w:rPr>
          <w:rFonts w:ascii="Trebuchet MS" w:hAnsi="Trebuchet MS"/>
        </w:rPr>
        <w:t xml:space="preserve">. Available at: https://www.gov.uk </w:t>
      </w:r>
    </w:p>
    <w:p w14:paraId="40FD7D90" w14:textId="0C143096" w:rsidR="00800629" w:rsidRPr="009B0AE5" w:rsidRDefault="00800629" w:rsidP="009B0AE5">
      <w:pPr>
        <w:spacing w:before="205" w:after="205" w:line="300" w:lineRule="auto"/>
        <w:rPr>
          <w:rFonts w:ascii="Trebuchet MS" w:hAnsi="Trebuchet MS"/>
        </w:rPr>
      </w:pPr>
      <w:r w:rsidRPr="009B0AE5">
        <w:rPr>
          <w:rFonts w:ascii="Trebuchet MS" w:hAnsi="Trebuchet MS"/>
        </w:rPr>
        <w:t>GOV.UK (</w:t>
      </w:r>
      <w:r w:rsidR="00503120">
        <w:rPr>
          <w:rFonts w:ascii="Trebuchet MS" w:hAnsi="Trebuchet MS"/>
        </w:rPr>
        <w:t>no date</w:t>
      </w:r>
      <w:r w:rsidRPr="009B0AE5">
        <w:rPr>
          <w:rFonts w:ascii="Trebuchet MS" w:hAnsi="Trebuchet MS"/>
        </w:rPr>
        <w:t xml:space="preserve">) </w:t>
      </w:r>
      <w:r w:rsidRPr="009B0AE5">
        <w:rPr>
          <w:rFonts w:ascii="Trebuchet MS" w:hAnsi="Trebuchet MS"/>
          <w:i/>
          <w:iCs/>
        </w:rPr>
        <w:t>Applying for flexible working</w:t>
      </w:r>
      <w:r w:rsidRPr="009B0AE5">
        <w:rPr>
          <w:rFonts w:ascii="Trebuchet MS" w:hAnsi="Trebuchet MS"/>
        </w:rPr>
        <w:t xml:space="preserve">. Available at: https://www.gov.uk/flexible-working/applying-for-flexible-working </w:t>
      </w:r>
    </w:p>
    <w:p w14:paraId="1D34051E" w14:textId="6BE38E8D" w:rsidR="00164BA8" w:rsidRPr="009B0AE5" w:rsidRDefault="00164BA8" w:rsidP="009B0AE5">
      <w:pPr>
        <w:spacing w:before="205" w:after="205" w:line="300" w:lineRule="auto"/>
        <w:rPr>
          <w:rFonts w:ascii="Trebuchet MS" w:hAnsi="Trebuchet MS"/>
        </w:rPr>
      </w:pPr>
      <w:r w:rsidRPr="009B0AE5">
        <w:rPr>
          <w:rFonts w:ascii="Trebuchet MS" w:hAnsi="Trebuchet MS"/>
        </w:rPr>
        <w:t>GOV.UK (</w:t>
      </w:r>
      <w:r w:rsidR="00503120">
        <w:rPr>
          <w:rFonts w:ascii="Trebuchet MS" w:hAnsi="Trebuchet MS"/>
        </w:rPr>
        <w:t>no date</w:t>
      </w:r>
      <w:r w:rsidRPr="009B0AE5">
        <w:rPr>
          <w:rFonts w:ascii="Trebuchet MS" w:hAnsi="Trebuchet MS"/>
        </w:rPr>
        <w:t xml:space="preserve">) </w:t>
      </w:r>
      <w:r w:rsidRPr="009B0AE5">
        <w:rPr>
          <w:rFonts w:ascii="Trebuchet MS" w:hAnsi="Trebuchet MS"/>
          <w:i/>
          <w:iCs/>
        </w:rPr>
        <w:t>Shared Parental Leave and Pay: How it works</w:t>
      </w:r>
      <w:r w:rsidRPr="009B0AE5">
        <w:rPr>
          <w:rFonts w:ascii="Trebuchet MS" w:hAnsi="Trebuchet MS"/>
        </w:rPr>
        <w:t xml:space="preserve">. Available at: https://www.gov.uk/shared-parental-leave-and-pay </w:t>
      </w:r>
    </w:p>
    <w:p w14:paraId="4A805069" w14:textId="161EEE16" w:rsidR="00F81927" w:rsidRPr="009B0AE5" w:rsidRDefault="00F81927" w:rsidP="009B0AE5">
      <w:pPr>
        <w:spacing w:before="205" w:after="205" w:line="300" w:lineRule="auto"/>
        <w:rPr>
          <w:rFonts w:ascii="Trebuchet MS" w:hAnsi="Trebuchet MS"/>
        </w:rPr>
      </w:pPr>
      <w:r w:rsidRPr="009B0AE5">
        <w:rPr>
          <w:rFonts w:ascii="Trebuchet MS" w:hAnsi="Trebuchet MS"/>
        </w:rPr>
        <w:t>GOV.UK (</w:t>
      </w:r>
      <w:r w:rsidR="00503120">
        <w:rPr>
          <w:rFonts w:ascii="Trebuchet MS" w:hAnsi="Trebuchet MS"/>
        </w:rPr>
        <w:t>no date</w:t>
      </w:r>
      <w:r w:rsidRPr="009B0AE5">
        <w:rPr>
          <w:rFonts w:ascii="Trebuchet MS" w:hAnsi="Trebuchet MS"/>
        </w:rPr>
        <w:t xml:space="preserve">) </w:t>
      </w:r>
      <w:r w:rsidRPr="009B0AE5">
        <w:rPr>
          <w:rFonts w:ascii="Trebuchet MS" w:hAnsi="Trebuchet MS"/>
          <w:i/>
          <w:iCs/>
        </w:rPr>
        <w:t>Calculate your statutory redundancy pay</w:t>
      </w:r>
      <w:r w:rsidRPr="009B0AE5">
        <w:rPr>
          <w:rFonts w:ascii="Trebuchet MS" w:hAnsi="Trebuchet MS"/>
        </w:rPr>
        <w:t xml:space="preserve">. Available at: </w:t>
      </w:r>
      <w:hyperlink r:id="rId12" w:history="1">
        <w:r w:rsidR="0051050F" w:rsidRPr="009B0AE5">
          <w:rPr>
            <w:rStyle w:val="Hyperlink"/>
            <w:rFonts w:ascii="Trebuchet MS" w:hAnsi="Trebuchet MS"/>
            <w:color w:val="auto"/>
            <w:u w:val="none"/>
          </w:rPr>
          <w:t>https://www.gov.uk/calculate-your-redundancy-pay</w:t>
        </w:r>
      </w:hyperlink>
    </w:p>
    <w:p w14:paraId="546B3085" w14:textId="77777777" w:rsidR="005E578C" w:rsidRPr="009B0AE5" w:rsidRDefault="005E578C" w:rsidP="009B0AE5">
      <w:pPr>
        <w:spacing w:before="205" w:after="205" w:line="300" w:lineRule="auto"/>
        <w:rPr>
          <w:rFonts w:ascii="Trebuchet MS" w:hAnsi="Trebuchet MS"/>
        </w:rPr>
      </w:pPr>
      <w:r w:rsidRPr="009B0AE5">
        <w:rPr>
          <w:rFonts w:ascii="Trebuchet MS" w:hAnsi="Trebuchet MS"/>
        </w:rPr>
        <w:t xml:space="preserve">HM Revenue &amp; Customs (2025) </w:t>
      </w:r>
      <w:r w:rsidRPr="009B0AE5">
        <w:rPr>
          <w:rFonts w:ascii="Trebuchet MS" w:hAnsi="Trebuchet MS"/>
          <w:i/>
          <w:iCs/>
        </w:rPr>
        <w:t>Statutory Payments Manual – SPM160400: Employment and earnings test</w:t>
      </w:r>
      <w:r w:rsidRPr="009B0AE5">
        <w:rPr>
          <w:rFonts w:ascii="Trebuchet MS" w:hAnsi="Trebuchet MS"/>
        </w:rPr>
        <w:t>. Available at: https://www.gov.uk/hmrc-internal-manuals/statutory-payments-manual/spm160400</w:t>
      </w:r>
    </w:p>
    <w:p w14:paraId="55118FEA" w14:textId="739463D2" w:rsidR="003434F2" w:rsidRPr="009B0AE5" w:rsidRDefault="003434F2" w:rsidP="009B0AE5">
      <w:pPr>
        <w:spacing w:before="205" w:after="205" w:line="300" w:lineRule="auto"/>
        <w:rPr>
          <w:rFonts w:ascii="Trebuchet MS" w:hAnsi="Trebuchet MS"/>
        </w:rPr>
      </w:pPr>
      <w:r w:rsidRPr="009B0AE5">
        <w:rPr>
          <w:rFonts w:ascii="Trebuchet MS" w:hAnsi="Trebuchet MS"/>
        </w:rPr>
        <w:t xml:space="preserve">House of Commons Library (2020) </w:t>
      </w:r>
      <w:r w:rsidRPr="009B0AE5">
        <w:rPr>
          <w:rFonts w:ascii="Trebuchet MS" w:hAnsi="Trebuchet MS"/>
          <w:i/>
          <w:iCs/>
        </w:rPr>
        <w:t>End of Brexit transition: Workers’ rights</w:t>
      </w:r>
      <w:r w:rsidRPr="009B0AE5">
        <w:rPr>
          <w:rFonts w:ascii="Trebuchet MS" w:hAnsi="Trebuchet MS"/>
        </w:rPr>
        <w:t xml:space="preserve">. Available at: https://commonslibrary.parliament.uk/research-briefings/cbp-9099/ </w:t>
      </w:r>
    </w:p>
    <w:p w14:paraId="63F28F8D" w14:textId="1EC67257" w:rsidR="00024059" w:rsidRPr="009B0AE5" w:rsidRDefault="00024059" w:rsidP="009B0AE5">
      <w:pPr>
        <w:spacing w:before="205" w:after="205" w:line="300" w:lineRule="auto"/>
        <w:rPr>
          <w:rFonts w:ascii="Trebuchet MS" w:hAnsi="Trebuchet MS"/>
        </w:rPr>
      </w:pPr>
      <w:r w:rsidRPr="009B0AE5">
        <w:rPr>
          <w:rFonts w:ascii="Trebuchet MS" w:hAnsi="Trebuchet MS"/>
        </w:rPr>
        <w:t xml:space="preserve">Law Society (2025) </w:t>
      </w:r>
      <w:r w:rsidRPr="009B0AE5">
        <w:rPr>
          <w:rFonts w:ascii="Trebuchet MS" w:hAnsi="Trebuchet MS"/>
          <w:i/>
          <w:iCs/>
        </w:rPr>
        <w:t>Post-Brexit retained EU law and ECJ judgment status</w:t>
      </w:r>
      <w:r w:rsidRPr="009B0AE5">
        <w:rPr>
          <w:rFonts w:ascii="Trebuchet MS" w:hAnsi="Trebuchet MS"/>
        </w:rPr>
        <w:t xml:space="preserve">. Available at: https://www.lawsociety.org.uk </w:t>
      </w:r>
    </w:p>
    <w:p w14:paraId="204CCFB4" w14:textId="77777777" w:rsidR="005C1CE9" w:rsidRPr="005C1CE9" w:rsidRDefault="005C1CE9" w:rsidP="009B0AE5">
      <w:pPr>
        <w:spacing w:before="205" w:after="205" w:line="300" w:lineRule="auto"/>
        <w:rPr>
          <w:rFonts w:ascii="Trebuchet MS" w:hAnsi="Trebuchet MS"/>
        </w:rPr>
      </w:pPr>
      <w:r w:rsidRPr="005C1CE9">
        <w:rPr>
          <w:rFonts w:ascii="Trebuchet MS" w:hAnsi="Trebuchet MS"/>
        </w:rPr>
        <w:t xml:space="preserve">Legislation.gov.uk (2026) </w:t>
      </w:r>
      <w:r w:rsidRPr="005C1CE9">
        <w:rPr>
          <w:rFonts w:ascii="Trebuchet MS" w:hAnsi="Trebuchet MS"/>
          <w:i/>
          <w:iCs/>
        </w:rPr>
        <w:t>Employment Rights Act 1996 (Revised).</w:t>
      </w:r>
      <w:r w:rsidRPr="005C1CE9">
        <w:rPr>
          <w:rFonts w:ascii="Trebuchet MS" w:hAnsi="Trebuchet MS"/>
        </w:rPr>
        <w:t xml:space="preserve"> Available at: https://www.legislation.gov.uk/ukpga/1996/18/contents </w:t>
      </w:r>
    </w:p>
    <w:p w14:paraId="6B79FDA5" w14:textId="3E1D419B" w:rsidR="00024059" w:rsidRPr="007972FE" w:rsidRDefault="00024059" w:rsidP="009B0AE5">
      <w:pPr>
        <w:spacing w:before="205" w:after="205" w:line="300" w:lineRule="auto"/>
        <w:rPr>
          <w:rFonts w:ascii="Trebuchet MS" w:hAnsi="Trebuchet MS"/>
        </w:rPr>
      </w:pPr>
      <w:r w:rsidRPr="007972FE">
        <w:rPr>
          <w:rFonts w:ascii="Trebuchet MS" w:hAnsi="Trebuchet MS"/>
        </w:rPr>
        <w:lastRenderedPageBreak/>
        <w:t xml:space="preserve">Legislation.gov.uk (2023) </w:t>
      </w:r>
      <w:r w:rsidRPr="007972FE">
        <w:rPr>
          <w:rFonts w:ascii="Trebuchet MS" w:hAnsi="Trebuchet MS"/>
          <w:i/>
          <w:iCs/>
        </w:rPr>
        <w:t>Employment Rights (Amendment, Revocation and Transitional Provision) Regulations 2023</w:t>
      </w:r>
      <w:r w:rsidRPr="007972FE">
        <w:rPr>
          <w:rFonts w:ascii="Trebuchet MS" w:hAnsi="Trebuchet MS"/>
        </w:rPr>
        <w:t xml:space="preserve">. Available at: https://www.legislation.gov.uk </w:t>
      </w:r>
    </w:p>
    <w:p w14:paraId="42C6B192" w14:textId="77777777" w:rsidR="00E226A4" w:rsidRPr="00E226A4" w:rsidRDefault="00E226A4" w:rsidP="00E226A4">
      <w:pPr>
        <w:spacing w:before="205" w:after="205" w:line="300" w:lineRule="auto"/>
        <w:rPr>
          <w:rFonts w:ascii="Trebuchet MS" w:hAnsi="Trebuchet MS"/>
        </w:rPr>
      </w:pPr>
      <w:r w:rsidRPr="00E226A4">
        <w:rPr>
          <w:rFonts w:ascii="Trebuchet MS" w:hAnsi="Trebuchet MS"/>
        </w:rPr>
        <w:t xml:space="preserve">Legislation.gov.uk (no date) </w:t>
      </w:r>
      <w:r w:rsidRPr="00E226A4">
        <w:rPr>
          <w:rFonts w:ascii="Trebuchet MS" w:hAnsi="Trebuchet MS"/>
          <w:i/>
          <w:iCs/>
        </w:rPr>
        <w:t>Equality Act 2010, Schedule 9: Work – exceptions</w:t>
      </w:r>
      <w:r w:rsidRPr="00E226A4">
        <w:rPr>
          <w:rFonts w:ascii="Trebuchet MS" w:hAnsi="Trebuchet MS"/>
        </w:rPr>
        <w:t>.</w:t>
      </w:r>
      <w:r w:rsidRPr="00E226A4">
        <w:rPr>
          <w:rFonts w:ascii="Trebuchet MS" w:hAnsi="Trebuchet MS"/>
        </w:rPr>
        <w:br/>
        <w:t xml:space="preserve">Available at: https://www.legislation.gov.uk/ukpga/2010/15/schedule/9 </w:t>
      </w:r>
    </w:p>
    <w:p w14:paraId="6793C9C1" w14:textId="72540960" w:rsidR="00CE3D5A" w:rsidRPr="009B0AE5" w:rsidRDefault="00CE3D5A" w:rsidP="009B0AE5">
      <w:pPr>
        <w:spacing w:before="205" w:after="205" w:line="300" w:lineRule="auto"/>
        <w:rPr>
          <w:rFonts w:ascii="Trebuchet MS" w:hAnsi="Trebuchet MS"/>
        </w:rPr>
      </w:pPr>
      <w:r w:rsidRPr="009B0AE5">
        <w:rPr>
          <w:rFonts w:ascii="Trebuchet MS" w:hAnsi="Trebuchet MS"/>
        </w:rPr>
        <w:t xml:space="preserve">Morris, A. (2026) </w:t>
      </w:r>
      <w:r w:rsidRPr="009B0AE5">
        <w:rPr>
          <w:rFonts w:ascii="Trebuchet MS" w:hAnsi="Trebuchet MS"/>
          <w:i/>
          <w:iCs/>
        </w:rPr>
        <w:t>Equality, Diversity and Inclusion UK: 2026 Employer Guide</w:t>
      </w:r>
      <w:r w:rsidRPr="009B0AE5">
        <w:rPr>
          <w:rFonts w:ascii="Trebuchet MS" w:hAnsi="Trebuchet MS"/>
        </w:rPr>
        <w:t xml:space="preserve">. </w:t>
      </w:r>
      <w:proofErr w:type="spellStart"/>
      <w:r w:rsidRPr="009B0AE5">
        <w:rPr>
          <w:rFonts w:ascii="Trebuchet MS" w:hAnsi="Trebuchet MS"/>
        </w:rPr>
        <w:t>DavidsonMorris</w:t>
      </w:r>
      <w:proofErr w:type="spellEnd"/>
      <w:r w:rsidRPr="009B0AE5">
        <w:rPr>
          <w:rFonts w:ascii="Trebuchet MS" w:hAnsi="Trebuchet MS"/>
        </w:rPr>
        <w:t>.</w:t>
      </w:r>
      <w:r w:rsidR="007B3AB8">
        <w:rPr>
          <w:rFonts w:ascii="Trebuchet MS" w:hAnsi="Trebuchet MS"/>
        </w:rPr>
        <w:t xml:space="preserve"> </w:t>
      </w:r>
      <w:r w:rsidRPr="009B0AE5">
        <w:rPr>
          <w:rFonts w:ascii="Trebuchet MS" w:hAnsi="Trebuchet MS"/>
        </w:rPr>
        <w:t>Available at: https://www.davidsonmorris.com/equality-diversity-and-inclusion/</w:t>
      </w:r>
    </w:p>
    <w:p w14:paraId="447850D8" w14:textId="036AB486" w:rsidR="00024059" w:rsidRPr="009B0AE5" w:rsidRDefault="00024059" w:rsidP="009B0AE5">
      <w:pPr>
        <w:spacing w:before="205" w:after="205" w:line="300" w:lineRule="auto"/>
        <w:rPr>
          <w:rFonts w:ascii="Trebuchet MS" w:hAnsi="Trebuchet MS"/>
        </w:rPr>
      </w:pPr>
      <w:r w:rsidRPr="009B0AE5">
        <w:rPr>
          <w:rFonts w:ascii="Trebuchet MS" w:hAnsi="Trebuchet MS"/>
        </w:rPr>
        <w:t xml:space="preserve">NHS Employers (2025) </w:t>
      </w:r>
      <w:r w:rsidRPr="009B0AE5">
        <w:rPr>
          <w:rFonts w:ascii="Trebuchet MS" w:hAnsi="Trebuchet MS"/>
          <w:i/>
          <w:iCs/>
        </w:rPr>
        <w:t>Agenda for Change job evaluation and equal pay protection</w:t>
      </w:r>
      <w:r w:rsidRPr="009B0AE5">
        <w:rPr>
          <w:rFonts w:ascii="Trebuchet MS" w:hAnsi="Trebuchet MS"/>
        </w:rPr>
        <w:t xml:space="preserve">. Available at: https://www.nhsemployers.org </w:t>
      </w:r>
    </w:p>
    <w:p w14:paraId="289E747D" w14:textId="6B47FD15" w:rsidR="003331E2" w:rsidRPr="003331E2" w:rsidRDefault="003331E2" w:rsidP="009B0AE5">
      <w:pPr>
        <w:spacing w:before="205" w:after="205" w:line="300" w:lineRule="auto"/>
        <w:rPr>
          <w:rFonts w:ascii="Trebuchet MS" w:hAnsi="Trebuchet MS"/>
        </w:rPr>
      </w:pPr>
      <w:r w:rsidRPr="003331E2">
        <w:rPr>
          <w:rFonts w:ascii="Trebuchet MS" w:hAnsi="Trebuchet MS"/>
        </w:rPr>
        <w:t xml:space="preserve">Personnel Today (2018) </w:t>
      </w:r>
      <w:r w:rsidRPr="003331E2">
        <w:rPr>
          <w:rFonts w:ascii="Trebuchet MS" w:hAnsi="Trebuchet MS"/>
          <w:i/>
          <w:iCs/>
        </w:rPr>
        <w:t>30 landmark employment law judgments</w:t>
      </w:r>
      <w:r w:rsidRPr="003331E2">
        <w:rPr>
          <w:rFonts w:ascii="Trebuchet MS" w:hAnsi="Trebuchet MS"/>
        </w:rPr>
        <w:t xml:space="preserve">. Available at: https://www.personneltoday.com/hr/landmark-employment-law-judgments-pt30/ </w:t>
      </w:r>
    </w:p>
    <w:p w14:paraId="76E3EA4A" w14:textId="76309D3B" w:rsidR="00024059" w:rsidRPr="006A7B02" w:rsidRDefault="00024059" w:rsidP="009B0AE5">
      <w:pPr>
        <w:spacing w:before="205" w:after="205" w:line="300" w:lineRule="auto"/>
        <w:rPr>
          <w:rFonts w:ascii="Trebuchet MS" w:hAnsi="Trebuchet MS"/>
        </w:rPr>
      </w:pPr>
      <w:r w:rsidRPr="006A7B02">
        <w:rPr>
          <w:rFonts w:ascii="Trebuchet MS" w:hAnsi="Trebuchet MS"/>
        </w:rPr>
        <w:t xml:space="preserve">Pinsent Masons (2024) </w:t>
      </w:r>
      <w:r w:rsidRPr="006A7B02">
        <w:rPr>
          <w:rFonts w:ascii="Trebuchet MS" w:hAnsi="Trebuchet MS"/>
          <w:i/>
          <w:iCs/>
        </w:rPr>
        <w:t xml:space="preserve">Lipton v BA </w:t>
      </w:r>
      <w:proofErr w:type="spellStart"/>
      <w:r w:rsidRPr="006A7B02">
        <w:rPr>
          <w:rFonts w:ascii="Trebuchet MS" w:hAnsi="Trebuchet MS"/>
          <w:i/>
          <w:iCs/>
        </w:rPr>
        <w:t>CityFlyer</w:t>
      </w:r>
      <w:proofErr w:type="spellEnd"/>
      <w:r w:rsidRPr="006A7B02">
        <w:rPr>
          <w:rFonts w:ascii="Trebuchet MS" w:hAnsi="Trebuchet MS"/>
          <w:i/>
          <w:iCs/>
        </w:rPr>
        <w:t xml:space="preserve"> analysis</w:t>
      </w:r>
      <w:r w:rsidRPr="006A7B02">
        <w:rPr>
          <w:rFonts w:ascii="Trebuchet MS" w:hAnsi="Trebuchet MS"/>
        </w:rPr>
        <w:t xml:space="preserve">. Available at: https://www.pinsentmasons.com </w:t>
      </w:r>
    </w:p>
    <w:p w14:paraId="7A0F8511" w14:textId="2BBA6859" w:rsidR="007635E4" w:rsidRPr="006A7B02" w:rsidRDefault="007635E4" w:rsidP="009B0AE5">
      <w:pPr>
        <w:spacing w:before="205" w:after="205" w:line="300" w:lineRule="auto"/>
        <w:rPr>
          <w:rFonts w:ascii="Trebuchet MS" w:hAnsi="Trebuchet MS"/>
        </w:rPr>
      </w:pPr>
      <w:r w:rsidRPr="006A7B02">
        <w:rPr>
          <w:rFonts w:ascii="Trebuchet MS" w:hAnsi="Trebuchet MS"/>
        </w:rPr>
        <w:t xml:space="preserve">PwC (2023) </w:t>
      </w:r>
      <w:r w:rsidRPr="006A7B02">
        <w:rPr>
          <w:rFonts w:ascii="Trebuchet MS" w:hAnsi="Trebuchet MS"/>
          <w:i/>
          <w:iCs/>
        </w:rPr>
        <w:t>Harpur Trust v Brazel – Holiday Pay Impact</w:t>
      </w:r>
      <w:r w:rsidRPr="006A7B02">
        <w:rPr>
          <w:rFonts w:ascii="Trebuchet MS" w:hAnsi="Trebuchet MS"/>
        </w:rPr>
        <w:t>. Available at:</w:t>
      </w:r>
      <w:r w:rsidRPr="006A7B02">
        <w:rPr>
          <w:rFonts w:ascii="Trebuchet MS" w:hAnsi="Trebuchet MS"/>
        </w:rPr>
        <w:br/>
      </w:r>
      <w:hyperlink r:id="rId13" w:history="1">
        <w:r w:rsidR="006A7B02" w:rsidRPr="006A7B02">
          <w:rPr>
            <w:rStyle w:val="Hyperlink"/>
            <w:rFonts w:ascii="Trebuchet MS" w:hAnsi="Trebuchet MS"/>
            <w:color w:val="auto"/>
            <w:u w:val="none"/>
          </w:rPr>
          <w:t>https://www.pwc.co.uk/services/human-resource-services/insights/harpur-trust-vs-brazel.html</w:t>
        </w:r>
      </w:hyperlink>
    </w:p>
    <w:p w14:paraId="7E4D2C67" w14:textId="77777777" w:rsidR="006A7B02" w:rsidRPr="006A7B02" w:rsidRDefault="006A7B02" w:rsidP="006A7B02">
      <w:pPr>
        <w:spacing w:before="205" w:after="205" w:line="300" w:lineRule="auto"/>
        <w:rPr>
          <w:rFonts w:ascii="Trebuchet MS" w:hAnsi="Trebuchet MS"/>
        </w:rPr>
      </w:pPr>
      <w:r w:rsidRPr="006A7B02">
        <w:rPr>
          <w:rFonts w:ascii="Trebuchet MS" w:hAnsi="Trebuchet MS"/>
        </w:rPr>
        <w:t xml:space="preserve">The Legal Partners (2024) </w:t>
      </w:r>
      <w:r w:rsidRPr="006A7B02">
        <w:rPr>
          <w:rFonts w:ascii="Trebuchet MS" w:hAnsi="Trebuchet MS"/>
          <w:i/>
          <w:iCs/>
        </w:rPr>
        <w:t>Employers’ guide to the ‘Day 1’ right to request flexible working</w:t>
      </w:r>
      <w:r w:rsidRPr="006A7B02">
        <w:rPr>
          <w:rFonts w:ascii="Trebuchet MS" w:hAnsi="Trebuchet MS"/>
        </w:rPr>
        <w:t>. Available at: https://www.thelegalpartners.com/employers-guide-to-navigating-the-day-1-right-to-request-flexible-working/</w:t>
      </w:r>
    </w:p>
    <w:p w14:paraId="70F0AA89" w14:textId="16BA12D2" w:rsidR="00024059" w:rsidRPr="006A7B02" w:rsidRDefault="00024059" w:rsidP="009B0AE5">
      <w:pPr>
        <w:spacing w:before="205" w:after="205" w:line="300" w:lineRule="auto"/>
        <w:rPr>
          <w:rFonts w:ascii="Trebuchet MS" w:hAnsi="Trebuchet MS"/>
        </w:rPr>
      </w:pPr>
      <w:r w:rsidRPr="006A7B02">
        <w:rPr>
          <w:rFonts w:ascii="Trebuchet MS" w:hAnsi="Trebuchet MS"/>
        </w:rPr>
        <w:t xml:space="preserve">Thorntons Solicitors (2025) </w:t>
      </w:r>
      <w:r w:rsidRPr="006A7B02">
        <w:rPr>
          <w:rFonts w:ascii="Trebuchet MS" w:hAnsi="Trebuchet MS"/>
          <w:i/>
          <w:iCs/>
        </w:rPr>
        <w:t>Flexible working: legal obligations and refusal reasons</w:t>
      </w:r>
      <w:r w:rsidRPr="006A7B02">
        <w:rPr>
          <w:rFonts w:ascii="Trebuchet MS" w:hAnsi="Trebuchet MS"/>
        </w:rPr>
        <w:t xml:space="preserve">. Available at: https://www.thorntons-law.co.uk </w:t>
      </w:r>
    </w:p>
    <w:p w14:paraId="2BFEFB8E" w14:textId="77777777" w:rsidR="005E578C" w:rsidRPr="009B0AE5" w:rsidRDefault="005E578C" w:rsidP="009B0AE5">
      <w:pPr>
        <w:spacing w:before="205" w:after="205" w:line="300" w:lineRule="auto"/>
        <w:rPr>
          <w:rFonts w:ascii="Trebuchet MS" w:hAnsi="Trebuchet MS"/>
        </w:rPr>
      </w:pPr>
      <w:r w:rsidRPr="006A7B02">
        <w:rPr>
          <w:rFonts w:ascii="Trebuchet MS" w:hAnsi="Trebuchet MS"/>
        </w:rPr>
        <w:t>Thorntons Solicitors (2025) ‘The changing legal framework around flexible working – what employers need to know’. Available at: https://www.thorntons-law.co.uk/knowledge/the-changing-legal-framework</w:t>
      </w:r>
      <w:r w:rsidRPr="009B0AE5">
        <w:rPr>
          <w:rFonts w:ascii="Trebuchet MS" w:hAnsi="Trebuchet MS"/>
        </w:rPr>
        <w:t xml:space="preserve">-around-flexible-working-what-employers-need-to-know </w:t>
      </w:r>
    </w:p>
    <w:p w14:paraId="6FE1A79C" w14:textId="21FFDAB3" w:rsidR="00F271DF" w:rsidRPr="00F271DF" w:rsidRDefault="00F271DF" w:rsidP="00F271DF">
      <w:pPr>
        <w:spacing w:before="205" w:after="205" w:line="300" w:lineRule="auto"/>
        <w:rPr>
          <w:rFonts w:ascii="Trebuchet MS" w:hAnsi="Trebuchet MS"/>
        </w:rPr>
      </w:pPr>
      <w:r w:rsidRPr="00212540">
        <w:rPr>
          <w:rFonts w:ascii="Trebuchet MS" w:hAnsi="Trebuchet MS"/>
        </w:rPr>
        <w:t>T</w:t>
      </w:r>
      <w:r w:rsidRPr="00F271DF">
        <w:rPr>
          <w:rFonts w:ascii="Trebuchet MS" w:hAnsi="Trebuchet MS"/>
        </w:rPr>
        <w:t xml:space="preserve">rowers &amp; </w:t>
      </w:r>
      <w:proofErr w:type="spellStart"/>
      <w:r w:rsidRPr="00F271DF">
        <w:rPr>
          <w:rFonts w:ascii="Trebuchet MS" w:hAnsi="Trebuchet MS"/>
        </w:rPr>
        <w:t>Hamlins</w:t>
      </w:r>
      <w:proofErr w:type="spellEnd"/>
      <w:r w:rsidRPr="00F271DF">
        <w:rPr>
          <w:rFonts w:ascii="Trebuchet MS" w:hAnsi="Trebuchet MS"/>
        </w:rPr>
        <w:t xml:space="preserve"> (2023) </w:t>
      </w:r>
      <w:r w:rsidRPr="00F271DF">
        <w:rPr>
          <w:rFonts w:ascii="Trebuchet MS" w:hAnsi="Trebuchet MS"/>
          <w:i/>
          <w:iCs/>
        </w:rPr>
        <w:t>Application of genuine occupational requirement was not a proportionate means of achieving a legitimate aim</w:t>
      </w:r>
      <w:r w:rsidRPr="00F271DF">
        <w:rPr>
          <w:rFonts w:ascii="Trebuchet MS" w:hAnsi="Trebuchet MS"/>
        </w:rPr>
        <w:t xml:space="preserve">. Available at: https://www.trowers.com/insights/2023/june/application-of-genuine-occupational-requirement </w:t>
      </w:r>
    </w:p>
    <w:p w14:paraId="2FC3827F" w14:textId="68C0F559" w:rsidR="00337160" w:rsidRPr="00906766" w:rsidRDefault="00337160" w:rsidP="009B0AE5">
      <w:pPr>
        <w:spacing w:before="205" w:after="205" w:line="300" w:lineRule="auto"/>
        <w:rPr>
          <w:rFonts w:ascii="Trebuchet MS" w:hAnsi="Trebuchet MS"/>
        </w:rPr>
      </w:pPr>
      <w:r w:rsidRPr="00906766">
        <w:rPr>
          <w:rFonts w:ascii="Trebuchet MS" w:hAnsi="Trebuchet MS"/>
        </w:rPr>
        <w:t xml:space="preserve">UK Government (2010) </w:t>
      </w:r>
      <w:r w:rsidRPr="00906766">
        <w:rPr>
          <w:rFonts w:ascii="Trebuchet MS" w:hAnsi="Trebuchet MS"/>
          <w:i/>
          <w:iCs/>
        </w:rPr>
        <w:t>Equality Act 2010 (c.15).</w:t>
      </w:r>
      <w:r w:rsidRPr="00906766">
        <w:rPr>
          <w:rFonts w:ascii="Trebuchet MS" w:hAnsi="Trebuchet MS"/>
        </w:rPr>
        <w:t xml:space="preserve"> Available at: </w:t>
      </w:r>
      <w:hyperlink r:id="rId14" w:history="1">
        <w:r w:rsidR="00EE4BE8" w:rsidRPr="00906766">
          <w:rPr>
            <w:rStyle w:val="Hyperlink"/>
            <w:rFonts w:ascii="Trebuchet MS" w:hAnsi="Trebuchet MS"/>
            <w:color w:val="auto"/>
            <w:u w:val="none"/>
          </w:rPr>
          <w:t>https://www.legislation.gov.uk/ukpga/2010/15</w:t>
        </w:r>
      </w:hyperlink>
    </w:p>
    <w:p w14:paraId="081DC533" w14:textId="2119AE0A" w:rsidR="00EE4BE8" w:rsidRPr="00906766" w:rsidRDefault="00EE4BE8" w:rsidP="00EE4BE8">
      <w:pPr>
        <w:spacing w:before="205" w:after="205" w:line="300" w:lineRule="auto"/>
        <w:rPr>
          <w:rFonts w:ascii="Trebuchet MS" w:hAnsi="Trebuchet MS"/>
        </w:rPr>
      </w:pPr>
      <w:r w:rsidRPr="00EE4BE8">
        <w:rPr>
          <w:rFonts w:ascii="Trebuchet MS" w:hAnsi="Trebuchet MS"/>
        </w:rPr>
        <w:t xml:space="preserve">UK Government (1992) </w:t>
      </w:r>
      <w:r w:rsidRPr="00EE4BE8">
        <w:rPr>
          <w:rFonts w:ascii="Trebuchet MS" w:hAnsi="Trebuchet MS"/>
          <w:i/>
          <w:iCs/>
        </w:rPr>
        <w:t>Trade Union and Labour Relations (Consolidation) Act 1992</w:t>
      </w:r>
      <w:r w:rsidR="006E325C" w:rsidRPr="00906766">
        <w:rPr>
          <w:rFonts w:ascii="Trebuchet MS" w:hAnsi="Trebuchet MS"/>
        </w:rPr>
        <w:t xml:space="preserve"> </w:t>
      </w:r>
      <w:r w:rsidRPr="00EE4BE8">
        <w:rPr>
          <w:rFonts w:ascii="Trebuchet MS" w:hAnsi="Trebuchet MS"/>
        </w:rPr>
        <w:t xml:space="preserve">Available at: </w:t>
      </w:r>
      <w:hyperlink r:id="rId15" w:history="1">
        <w:r w:rsidR="0045175B" w:rsidRPr="00EE4BE8">
          <w:rPr>
            <w:rStyle w:val="Hyperlink"/>
            <w:rFonts w:ascii="Trebuchet MS" w:hAnsi="Trebuchet MS"/>
            <w:color w:val="auto"/>
            <w:u w:val="none"/>
          </w:rPr>
          <w:t>https://www.legislation.gov.uk/ukpga/1992/5</w:t>
        </w:r>
      </w:hyperlink>
    </w:p>
    <w:p w14:paraId="6329B131" w14:textId="19ED2E5E" w:rsidR="007243FF" w:rsidRPr="0039366D" w:rsidRDefault="0045175B" w:rsidP="007972FE">
      <w:pPr>
        <w:spacing w:before="205" w:after="205" w:line="300" w:lineRule="auto"/>
        <w:rPr>
          <w:rFonts w:ascii="Trebuchet MS" w:hAnsi="Trebuchet MS"/>
        </w:rPr>
      </w:pPr>
      <w:r w:rsidRPr="0045175B">
        <w:rPr>
          <w:rFonts w:ascii="Trebuchet MS" w:hAnsi="Trebuchet MS"/>
        </w:rPr>
        <w:t xml:space="preserve">UK Government (1998) </w:t>
      </w:r>
      <w:r w:rsidRPr="0045175B">
        <w:rPr>
          <w:rFonts w:ascii="Trebuchet MS" w:hAnsi="Trebuchet MS"/>
          <w:i/>
          <w:iCs/>
        </w:rPr>
        <w:t>The Working Time Regulations 1998 (SI 1998/1833)</w:t>
      </w:r>
      <w:r w:rsidRPr="0045175B">
        <w:rPr>
          <w:rFonts w:ascii="Trebuchet MS" w:hAnsi="Trebuchet MS"/>
        </w:rPr>
        <w:t>. Available at: https://www.legislation.gov.uk/uksi/1998/1833/contents</w:t>
      </w:r>
    </w:p>
    <w:sectPr w:rsidR="007243FF" w:rsidRPr="003936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018A"/>
    <w:multiLevelType w:val="multilevel"/>
    <w:tmpl w:val="81F0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A4456"/>
    <w:multiLevelType w:val="multilevel"/>
    <w:tmpl w:val="C5E0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61B7F"/>
    <w:multiLevelType w:val="multilevel"/>
    <w:tmpl w:val="3F4A4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8089E"/>
    <w:multiLevelType w:val="multilevel"/>
    <w:tmpl w:val="7594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8345E"/>
    <w:multiLevelType w:val="multilevel"/>
    <w:tmpl w:val="92AE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696F62"/>
    <w:multiLevelType w:val="multilevel"/>
    <w:tmpl w:val="C18E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B70946"/>
    <w:multiLevelType w:val="multilevel"/>
    <w:tmpl w:val="00203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49199E"/>
    <w:multiLevelType w:val="multilevel"/>
    <w:tmpl w:val="07106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8632C"/>
    <w:multiLevelType w:val="multilevel"/>
    <w:tmpl w:val="B908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087CBE"/>
    <w:multiLevelType w:val="multilevel"/>
    <w:tmpl w:val="C06A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1B43B3"/>
    <w:multiLevelType w:val="multilevel"/>
    <w:tmpl w:val="E8F0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312D9"/>
    <w:multiLevelType w:val="multilevel"/>
    <w:tmpl w:val="A2DEA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E5515A"/>
    <w:multiLevelType w:val="multilevel"/>
    <w:tmpl w:val="6594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5D1155"/>
    <w:multiLevelType w:val="multilevel"/>
    <w:tmpl w:val="57BE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BA1CF1"/>
    <w:multiLevelType w:val="hybridMultilevel"/>
    <w:tmpl w:val="203283F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15:restartNumberingAfterBreak="0">
    <w:nsid w:val="21EA5976"/>
    <w:multiLevelType w:val="multilevel"/>
    <w:tmpl w:val="BFDE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9873E6"/>
    <w:multiLevelType w:val="multilevel"/>
    <w:tmpl w:val="FFDE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536D57"/>
    <w:multiLevelType w:val="multilevel"/>
    <w:tmpl w:val="E9DA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70740B"/>
    <w:multiLevelType w:val="multilevel"/>
    <w:tmpl w:val="1250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9F5FAB"/>
    <w:multiLevelType w:val="multilevel"/>
    <w:tmpl w:val="CF36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90172A"/>
    <w:multiLevelType w:val="multilevel"/>
    <w:tmpl w:val="CC8C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781ACB"/>
    <w:multiLevelType w:val="multilevel"/>
    <w:tmpl w:val="328E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070D4B"/>
    <w:multiLevelType w:val="multilevel"/>
    <w:tmpl w:val="76AC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0217E7"/>
    <w:multiLevelType w:val="multilevel"/>
    <w:tmpl w:val="4FD05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916721"/>
    <w:multiLevelType w:val="multilevel"/>
    <w:tmpl w:val="7410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A01BDA"/>
    <w:multiLevelType w:val="multilevel"/>
    <w:tmpl w:val="4130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AA4A2C"/>
    <w:multiLevelType w:val="multilevel"/>
    <w:tmpl w:val="628E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0415DF"/>
    <w:multiLevelType w:val="multilevel"/>
    <w:tmpl w:val="836C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017B68"/>
    <w:multiLevelType w:val="multilevel"/>
    <w:tmpl w:val="2E1AF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161A20"/>
    <w:multiLevelType w:val="multilevel"/>
    <w:tmpl w:val="C2DC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522362"/>
    <w:multiLevelType w:val="multilevel"/>
    <w:tmpl w:val="5B90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4739ED"/>
    <w:multiLevelType w:val="multilevel"/>
    <w:tmpl w:val="1080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BC0756"/>
    <w:multiLevelType w:val="multilevel"/>
    <w:tmpl w:val="19A8A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F827DF"/>
    <w:multiLevelType w:val="multilevel"/>
    <w:tmpl w:val="7FDA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0653AB"/>
    <w:multiLevelType w:val="multilevel"/>
    <w:tmpl w:val="425A0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C4548F3"/>
    <w:multiLevelType w:val="multilevel"/>
    <w:tmpl w:val="BEE4C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17226F"/>
    <w:multiLevelType w:val="multilevel"/>
    <w:tmpl w:val="65B4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AC10C9"/>
    <w:multiLevelType w:val="multilevel"/>
    <w:tmpl w:val="5A6C7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1A614E5"/>
    <w:multiLevelType w:val="multilevel"/>
    <w:tmpl w:val="93E4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2C2376"/>
    <w:multiLevelType w:val="multilevel"/>
    <w:tmpl w:val="4D08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E10161"/>
    <w:multiLevelType w:val="multilevel"/>
    <w:tmpl w:val="2F98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1D0850"/>
    <w:multiLevelType w:val="multilevel"/>
    <w:tmpl w:val="0890E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E6B038D"/>
    <w:multiLevelType w:val="multilevel"/>
    <w:tmpl w:val="CFCEC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EFB7AE5"/>
    <w:multiLevelType w:val="multilevel"/>
    <w:tmpl w:val="1102E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31F56E7"/>
    <w:multiLevelType w:val="multilevel"/>
    <w:tmpl w:val="3282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A741D8"/>
    <w:multiLevelType w:val="multilevel"/>
    <w:tmpl w:val="8B50E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6A6568"/>
    <w:multiLevelType w:val="multilevel"/>
    <w:tmpl w:val="1692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C6749B"/>
    <w:multiLevelType w:val="multilevel"/>
    <w:tmpl w:val="432E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CC2872"/>
    <w:multiLevelType w:val="multilevel"/>
    <w:tmpl w:val="BB2E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C406B8"/>
    <w:multiLevelType w:val="multilevel"/>
    <w:tmpl w:val="CA76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88674">
    <w:abstractNumId w:val="41"/>
  </w:num>
  <w:num w:numId="2" w16cid:durableId="1053118417">
    <w:abstractNumId w:val="33"/>
  </w:num>
  <w:num w:numId="3" w16cid:durableId="988555867">
    <w:abstractNumId w:val="42"/>
  </w:num>
  <w:num w:numId="4" w16cid:durableId="317079055">
    <w:abstractNumId w:val="43"/>
  </w:num>
  <w:num w:numId="5" w16cid:durableId="1863126409">
    <w:abstractNumId w:val="44"/>
  </w:num>
  <w:num w:numId="6" w16cid:durableId="1522278234">
    <w:abstractNumId w:val="22"/>
  </w:num>
  <w:num w:numId="7" w16cid:durableId="558319257">
    <w:abstractNumId w:val="23"/>
  </w:num>
  <w:num w:numId="8" w16cid:durableId="1253851374">
    <w:abstractNumId w:val="5"/>
  </w:num>
  <w:num w:numId="9" w16cid:durableId="260261436">
    <w:abstractNumId w:val="13"/>
  </w:num>
  <w:num w:numId="10" w16cid:durableId="1849053995">
    <w:abstractNumId w:val="26"/>
  </w:num>
  <w:num w:numId="11" w16cid:durableId="2091072880">
    <w:abstractNumId w:val="39"/>
  </w:num>
  <w:num w:numId="12" w16cid:durableId="416439990">
    <w:abstractNumId w:val="45"/>
  </w:num>
  <w:num w:numId="13" w16cid:durableId="650251609">
    <w:abstractNumId w:val="48"/>
  </w:num>
  <w:num w:numId="14" w16cid:durableId="1232886185">
    <w:abstractNumId w:val="36"/>
  </w:num>
  <w:num w:numId="15" w16cid:durableId="207768227">
    <w:abstractNumId w:val="17"/>
  </w:num>
  <w:num w:numId="16" w16cid:durableId="1723366445">
    <w:abstractNumId w:val="37"/>
  </w:num>
  <w:num w:numId="17" w16cid:durableId="1811970769">
    <w:abstractNumId w:val="1"/>
  </w:num>
  <w:num w:numId="18" w16cid:durableId="1147935478">
    <w:abstractNumId w:val="8"/>
  </w:num>
  <w:num w:numId="19" w16cid:durableId="1091240966">
    <w:abstractNumId w:val="0"/>
  </w:num>
  <w:num w:numId="20" w16cid:durableId="1920867448">
    <w:abstractNumId w:val="31"/>
  </w:num>
  <w:num w:numId="21" w16cid:durableId="89618368">
    <w:abstractNumId w:val="49"/>
  </w:num>
  <w:num w:numId="22" w16cid:durableId="1608929503">
    <w:abstractNumId w:val="40"/>
  </w:num>
  <w:num w:numId="23" w16cid:durableId="1942450975">
    <w:abstractNumId w:val="20"/>
  </w:num>
  <w:num w:numId="24" w16cid:durableId="973634433">
    <w:abstractNumId w:val="25"/>
  </w:num>
  <w:num w:numId="25" w16cid:durableId="631133736">
    <w:abstractNumId w:val="15"/>
  </w:num>
  <w:num w:numId="26" w16cid:durableId="291641652">
    <w:abstractNumId w:val="47"/>
  </w:num>
  <w:num w:numId="27" w16cid:durableId="1156413164">
    <w:abstractNumId w:val="18"/>
  </w:num>
  <w:num w:numId="28" w16cid:durableId="1761830920">
    <w:abstractNumId w:val="24"/>
  </w:num>
  <w:num w:numId="29" w16cid:durableId="2051149314">
    <w:abstractNumId w:val="7"/>
  </w:num>
  <w:num w:numId="30" w16cid:durableId="1651786041">
    <w:abstractNumId w:val="6"/>
  </w:num>
  <w:num w:numId="31" w16cid:durableId="1513639076">
    <w:abstractNumId w:val="2"/>
  </w:num>
  <w:num w:numId="32" w16cid:durableId="1573854273">
    <w:abstractNumId w:val="38"/>
  </w:num>
  <w:num w:numId="33" w16cid:durableId="325911199">
    <w:abstractNumId w:val="46"/>
  </w:num>
  <w:num w:numId="34" w16cid:durableId="1936744579">
    <w:abstractNumId w:val="3"/>
  </w:num>
  <w:num w:numId="35" w16cid:durableId="598220839">
    <w:abstractNumId w:val="12"/>
  </w:num>
  <w:num w:numId="36" w16cid:durableId="651132752">
    <w:abstractNumId w:val="9"/>
  </w:num>
  <w:num w:numId="37" w16cid:durableId="1697731449">
    <w:abstractNumId w:val="16"/>
  </w:num>
  <w:num w:numId="38" w16cid:durableId="177157749">
    <w:abstractNumId w:val="29"/>
  </w:num>
  <w:num w:numId="39" w16cid:durableId="2107772179">
    <w:abstractNumId w:val="21"/>
  </w:num>
  <w:num w:numId="40" w16cid:durableId="248462243">
    <w:abstractNumId w:val="27"/>
  </w:num>
  <w:num w:numId="41" w16cid:durableId="1440297371">
    <w:abstractNumId w:val="4"/>
  </w:num>
  <w:num w:numId="42" w16cid:durableId="1532500331">
    <w:abstractNumId w:val="30"/>
  </w:num>
  <w:num w:numId="43" w16cid:durableId="1528828677">
    <w:abstractNumId w:val="35"/>
  </w:num>
  <w:num w:numId="44" w16cid:durableId="53896840">
    <w:abstractNumId w:val="28"/>
  </w:num>
  <w:num w:numId="45" w16cid:durableId="40516711">
    <w:abstractNumId w:val="11"/>
  </w:num>
  <w:num w:numId="46" w16cid:durableId="1454595252">
    <w:abstractNumId w:val="19"/>
  </w:num>
  <w:num w:numId="47" w16cid:durableId="235241258">
    <w:abstractNumId w:val="10"/>
  </w:num>
  <w:num w:numId="48" w16cid:durableId="1637685371">
    <w:abstractNumId w:val="34"/>
  </w:num>
  <w:num w:numId="49" w16cid:durableId="2055422144">
    <w:abstractNumId w:val="32"/>
  </w:num>
  <w:num w:numId="50" w16cid:durableId="278055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28F"/>
    <w:rsid w:val="00001AE2"/>
    <w:rsid w:val="0001150D"/>
    <w:rsid w:val="00011DA3"/>
    <w:rsid w:val="00024059"/>
    <w:rsid w:val="00026FB7"/>
    <w:rsid w:val="000311AB"/>
    <w:rsid w:val="000358D0"/>
    <w:rsid w:val="000411A7"/>
    <w:rsid w:val="00046E80"/>
    <w:rsid w:val="00047FA0"/>
    <w:rsid w:val="000519FC"/>
    <w:rsid w:val="00052342"/>
    <w:rsid w:val="000540F9"/>
    <w:rsid w:val="00056BC4"/>
    <w:rsid w:val="00065C2E"/>
    <w:rsid w:val="000830FF"/>
    <w:rsid w:val="000847A8"/>
    <w:rsid w:val="000858CE"/>
    <w:rsid w:val="00095E6B"/>
    <w:rsid w:val="000B7977"/>
    <w:rsid w:val="000B7F64"/>
    <w:rsid w:val="000D1399"/>
    <w:rsid w:val="000E61D9"/>
    <w:rsid w:val="000F4964"/>
    <w:rsid w:val="000F5276"/>
    <w:rsid w:val="00106844"/>
    <w:rsid w:val="00116B84"/>
    <w:rsid w:val="00131868"/>
    <w:rsid w:val="0014651A"/>
    <w:rsid w:val="00153B72"/>
    <w:rsid w:val="00162A08"/>
    <w:rsid w:val="00164BA8"/>
    <w:rsid w:val="00182634"/>
    <w:rsid w:val="00183A16"/>
    <w:rsid w:val="00186AF9"/>
    <w:rsid w:val="00195569"/>
    <w:rsid w:val="001B3B69"/>
    <w:rsid w:val="001C492D"/>
    <w:rsid w:val="001E2309"/>
    <w:rsid w:val="001E33AD"/>
    <w:rsid w:val="001E3BA9"/>
    <w:rsid w:val="001E66D0"/>
    <w:rsid w:val="001E7D3B"/>
    <w:rsid w:val="001F06C8"/>
    <w:rsid w:val="002021C2"/>
    <w:rsid w:val="00212540"/>
    <w:rsid w:val="0022118A"/>
    <w:rsid w:val="002235DD"/>
    <w:rsid w:val="0023587B"/>
    <w:rsid w:val="0023696C"/>
    <w:rsid w:val="002372CF"/>
    <w:rsid w:val="00253E40"/>
    <w:rsid w:val="002602DE"/>
    <w:rsid w:val="002749C2"/>
    <w:rsid w:val="00274F7D"/>
    <w:rsid w:val="00282334"/>
    <w:rsid w:val="00284A29"/>
    <w:rsid w:val="00295390"/>
    <w:rsid w:val="00295EC4"/>
    <w:rsid w:val="002A0A8B"/>
    <w:rsid w:val="002A588D"/>
    <w:rsid w:val="002B4043"/>
    <w:rsid w:val="002B5F68"/>
    <w:rsid w:val="002C3ADB"/>
    <w:rsid w:val="002C60E6"/>
    <w:rsid w:val="002D125B"/>
    <w:rsid w:val="002D2ECB"/>
    <w:rsid w:val="002D3030"/>
    <w:rsid w:val="002D35A7"/>
    <w:rsid w:val="002D3C68"/>
    <w:rsid w:val="002D5449"/>
    <w:rsid w:val="002E7FEB"/>
    <w:rsid w:val="002F50EF"/>
    <w:rsid w:val="00301FDF"/>
    <w:rsid w:val="0031362F"/>
    <w:rsid w:val="00315148"/>
    <w:rsid w:val="00316B6F"/>
    <w:rsid w:val="0032494A"/>
    <w:rsid w:val="00326C08"/>
    <w:rsid w:val="00330464"/>
    <w:rsid w:val="003331E2"/>
    <w:rsid w:val="00337160"/>
    <w:rsid w:val="0034116E"/>
    <w:rsid w:val="003431D1"/>
    <w:rsid w:val="003434F2"/>
    <w:rsid w:val="00344F1C"/>
    <w:rsid w:val="00347736"/>
    <w:rsid w:val="003571F2"/>
    <w:rsid w:val="00366645"/>
    <w:rsid w:val="00371EC5"/>
    <w:rsid w:val="0037429A"/>
    <w:rsid w:val="00374CC4"/>
    <w:rsid w:val="00375BE8"/>
    <w:rsid w:val="0038319C"/>
    <w:rsid w:val="0039366D"/>
    <w:rsid w:val="003A3D91"/>
    <w:rsid w:val="003A504E"/>
    <w:rsid w:val="003B1C21"/>
    <w:rsid w:val="003B5893"/>
    <w:rsid w:val="003C1D7A"/>
    <w:rsid w:val="003C307B"/>
    <w:rsid w:val="003C3295"/>
    <w:rsid w:val="003C428D"/>
    <w:rsid w:val="003C64FC"/>
    <w:rsid w:val="003C6A27"/>
    <w:rsid w:val="003C76A3"/>
    <w:rsid w:val="003D0CCD"/>
    <w:rsid w:val="003F38C5"/>
    <w:rsid w:val="004030C4"/>
    <w:rsid w:val="00424AAF"/>
    <w:rsid w:val="0043630C"/>
    <w:rsid w:val="0045175B"/>
    <w:rsid w:val="0045259A"/>
    <w:rsid w:val="004568C8"/>
    <w:rsid w:val="0046766A"/>
    <w:rsid w:val="004732A8"/>
    <w:rsid w:val="00475000"/>
    <w:rsid w:val="00486693"/>
    <w:rsid w:val="00494CDB"/>
    <w:rsid w:val="004A73EC"/>
    <w:rsid w:val="004A7D28"/>
    <w:rsid w:val="004B1881"/>
    <w:rsid w:val="004D025F"/>
    <w:rsid w:val="004D0574"/>
    <w:rsid w:val="004D08BB"/>
    <w:rsid w:val="004D48ED"/>
    <w:rsid w:val="004F146A"/>
    <w:rsid w:val="00503120"/>
    <w:rsid w:val="0051050F"/>
    <w:rsid w:val="00520398"/>
    <w:rsid w:val="00522F8F"/>
    <w:rsid w:val="0052714E"/>
    <w:rsid w:val="00530E3A"/>
    <w:rsid w:val="005374EA"/>
    <w:rsid w:val="0054799A"/>
    <w:rsid w:val="00556B9C"/>
    <w:rsid w:val="00565F6B"/>
    <w:rsid w:val="00582C20"/>
    <w:rsid w:val="005C1CE9"/>
    <w:rsid w:val="005D2798"/>
    <w:rsid w:val="005D393D"/>
    <w:rsid w:val="005E578C"/>
    <w:rsid w:val="005F6446"/>
    <w:rsid w:val="00602B43"/>
    <w:rsid w:val="00606FBD"/>
    <w:rsid w:val="0060750D"/>
    <w:rsid w:val="00611201"/>
    <w:rsid w:val="00611B90"/>
    <w:rsid w:val="006211AD"/>
    <w:rsid w:val="00623446"/>
    <w:rsid w:val="006249E1"/>
    <w:rsid w:val="006254D2"/>
    <w:rsid w:val="0063342F"/>
    <w:rsid w:val="006348F8"/>
    <w:rsid w:val="00635154"/>
    <w:rsid w:val="00641AB1"/>
    <w:rsid w:val="00656CDA"/>
    <w:rsid w:val="00667092"/>
    <w:rsid w:val="00681680"/>
    <w:rsid w:val="00682BB1"/>
    <w:rsid w:val="00683D15"/>
    <w:rsid w:val="00685C4D"/>
    <w:rsid w:val="0069238B"/>
    <w:rsid w:val="00693447"/>
    <w:rsid w:val="006A7B02"/>
    <w:rsid w:val="006B0DD8"/>
    <w:rsid w:val="006C2667"/>
    <w:rsid w:val="006C6336"/>
    <w:rsid w:val="006D5C80"/>
    <w:rsid w:val="006D71BB"/>
    <w:rsid w:val="006E325C"/>
    <w:rsid w:val="006F1565"/>
    <w:rsid w:val="006F4C81"/>
    <w:rsid w:val="006F4DCC"/>
    <w:rsid w:val="0071208A"/>
    <w:rsid w:val="0071282F"/>
    <w:rsid w:val="007243FF"/>
    <w:rsid w:val="0073411C"/>
    <w:rsid w:val="00744659"/>
    <w:rsid w:val="0075159A"/>
    <w:rsid w:val="00753137"/>
    <w:rsid w:val="00754DE5"/>
    <w:rsid w:val="00760399"/>
    <w:rsid w:val="007627CC"/>
    <w:rsid w:val="007635E4"/>
    <w:rsid w:val="00764064"/>
    <w:rsid w:val="00764339"/>
    <w:rsid w:val="0077276A"/>
    <w:rsid w:val="0078660D"/>
    <w:rsid w:val="00795753"/>
    <w:rsid w:val="007972FE"/>
    <w:rsid w:val="00797777"/>
    <w:rsid w:val="007A49C5"/>
    <w:rsid w:val="007A522A"/>
    <w:rsid w:val="007B3AB8"/>
    <w:rsid w:val="007B4A6E"/>
    <w:rsid w:val="007C1FC5"/>
    <w:rsid w:val="007C6CDB"/>
    <w:rsid w:val="007D7E8F"/>
    <w:rsid w:val="007E68D1"/>
    <w:rsid w:val="007F26E8"/>
    <w:rsid w:val="00800629"/>
    <w:rsid w:val="0080626B"/>
    <w:rsid w:val="00817C0A"/>
    <w:rsid w:val="00822630"/>
    <w:rsid w:val="00824212"/>
    <w:rsid w:val="00843F5C"/>
    <w:rsid w:val="00845BC9"/>
    <w:rsid w:val="0084604E"/>
    <w:rsid w:val="0086227C"/>
    <w:rsid w:val="00870B31"/>
    <w:rsid w:val="00872FAC"/>
    <w:rsid w:val="008808A9"/>
    <w:rsid w:val="00882436"/>
    <w:rsid w:val="00882466"/>
    <w:rsid w:val="008846CD"/>
    <w:rsid w:val="0088485F"/>
    <w:rsid w:val="00884D88"/>
    <w:rsid w:val="008862D0"/>
    <w:rsid w:val="00886597"/>
    <w:rsid w:val="008B44B5"/>
    <w:rsid w:val="008B6858"/>
    <w:rsid w:val="008E4F75"/>
    <w:rsid w:val="008E75DD"/>
    <w:rsid w:val="008F076D"/>
    <w:rsid w:val="008F1F7E"/>
    <w:rsid w:val="00902803"/>
    <w:rsid w:val="00906766"/>
    <w:rsid w:val="009119AB"/>
    <w:rsid w:val="009152A4"/>
    <w:rsid w:val="009354A4"/>
    <w:rsid w:val="00942AD4"/>
    <w:rsid w:val="009431F5"/>
    <w:rsid w:val="00945229"/>
    <w:rsid w:val="00946349"/>
    <w:rsid w:val="00946F24"/>
    <w:rsid w:val="00947083"/>
    <w:rsid w:val="009559CD"/>
    <w:rsid w:val="00957077"/>
    <w:rsid w:val="009605F2"/>
    <w:rsid w:val="00962767"/>
    <w:rsid w:val="0096682D"/>
    <w:rsid w:val="00973BDC"/>
    <w:rsid w:val="0099158C"/>
    <w:rsid w:val="0099254D"/>
    <w:rsid w:val="009A00A9"/>
    <w:rsid w:val="009A3192"/>
    <w:rsid w:val="009B0AE5"/>
    <w:rsid w:val="009B13B8"/>
    <w:rsid w:val="009B2C74"/>
    <w:rsid w:val="009B2DE0"/>
    <w:rsid w:val="009B7275"/>
    <w:rsid w:val="009D36E6"/>
    <w:rsid w:val="009E550C"/>
    <w:rsid w:val="009F23AA"/>
    <w:rsid w:val="009F7BF0"/>
    <w:rsid w:val="00A118A5"/>
    <w:rsid w:val="00A54768"/>
    <w:rsid w:val="00A56136"/>
    <w:rsid w:val="00A56B33"/>
    <w:rsid w:val="00A63DAD"/>
    <w:rsid w:val="00A6706A"/>
    <w:rsid w:val="00A677D5"/>
    <w:rsid w:val="00A7019A"/>
    <w:rsid w:val="00A74248"/>
    <w:rsid w:val="00A85A9C"/>
    <w:rsid w:val="00AA0A1F"/>
    <w:rsid w:val="00AA328F"/>
    <w:rsid w:val="00AA3BF3"/>
    <w:rsid w:val="00AB05C2"/>
    <w:rsid w:val="00AB3D62"/>
    <w:rsid w:val="00AC043E"/>
    <w:rsid w:val="00AD4175"/>
    <w:rsid w:val="00AD45A3"/>
    <w:rsid w:val="00AE03F1"/>
    <w:rsid w:val="00AE26FF"/>
    <w:rsid w:val="00AE29AF"/>
    <w:rsid w:val="00AF4C20"/>
    <w:rsid w:val="00AF6F86"/>
    <w:rsid w:val="00B038A7"/>
    <w:rsid w:val="00B1038D"/>
    <w:rsid w:val="00B1186B"/>
    <w:rsid w:val="00B1723B"/>
    <w:rsid w:val="00B20807"/>
    <w:rsid w:val="00B272D4"/>
    <w:rsid w:val="00B31926"/>
    <w:rsid w:val="00B42493"/>
    <w:rsid w:val="00B42FB7"/>
    <w:rsid w:val="00B50620"/>
    <w:rsid w:val="00B539CB"/>
    <w:rsid w:val="00B60C02"/>
    <w:rsid w:val="00B63F41"/>
    <w:rsid w:val="00B81FFD"/>
    <w:rsid w:val="00B868D1"/>
    <w:rsid w:val="00B8773E"/>
    <w:rsid w:val="00B87E76"/>
    <w:rsid w:val="00BA583E"/>
    <w:rsid w:val="00BA6E3D"/>
    <w:rsid w:val="00BB5448"/>
    <w:rsid w:val="00BB6BBD"/>
    <w:rsid w:val="00BC0753"/>
    <w:rsid w:val="00BC7FD8"/>
    <w:rsid w:val="00BD0329"/>
    <w:rsid w:val="00BD0F4C"/>
    <w:rsid w:val="00BD629B"/>
    <w:rsid w:val="00BE2E9E"/>
    <w:rsid w:val="00BE5223"/>
    <w:rsid w:val="00BF2E76"/>
    <w:rsid w:val="00BF3752"/>
    <w:rsid w:val="00C108AC"/>
    <w:rsid w:val="00C13E50"/>
    <w:rsid w:val="00C15DAD"/>
    <w:rsid w:val="00C30222"/>
    <w:rsid w:val="00C349E0"/>
    <w:rsid w:val="00C4189C"/>
    <w:rsid w:val="00C44A6F"/>
    <w:rsid w:val="00C46F70"/>
    <w:rsid w:val="00C54641"/>
    <w:rsid w:val="00C5673E"/>
    <w:rsid w:val="00C83B7A"/>
    <w:rsid w:val="00C847D4"/>
    <w:rsid w:val="00C914BE"/>
    <w:rsid w:val="00C91A1D"/>
    <w:rsid w:val="00C97105"/>
    <w:rsid w:val="00CA7EFD"/>
    <w:rsid w:val="00CB1929"/>
    <w:rsid w:val="00CB434A"/>
    <w:rsid w:val="00CC071C"/>
    <w:rsid w:val="00CC5289"/>
    <w:rsid w:val="00CD5804"/>
    <w:rsid w:val="00CE3D5A"/>
    <w:rsid w:val="00CE6FAD"/>
    <w:rsid w:val="00CF38FA"/>
    <w:rsid w:val="00CF593B"/>
    <w:rsid w:val="00D000CC"/>
    <w:rsid w:val="00D034E0"/>
    <w:rsid w:val="00D0684D"/>
    <w:rsid w:val="00D06BA4"/>
    <w:rsid w:val="00D2294C"/>
    <w:rsid w:val="00D32C7D"/>
    <w:rsid w:val="00D4004F"/>
    <w:rsid w:val="00D545E1"/>
    <w:rsid w:val="00D54A41"/>
    <w:rsid w:val="00D61A39"/>
    <w:rsid w:val="00D8315E"/>
    <w:rsid w:val="00D8320F"/>
    <w:rsid w:val="00DA229E"/>
    <w:rsid w:val="00DA771D"/>
    <w:rsid w:val="00DB0D5A"/>
    <w:rsid w:val="00DC1510"/>
    <w:rsid w:val="00DD2D4E"/>
    <w:rsid w:val="00DD578D"/>
    <w:rsid w:val="00DE2583"/>
    <w:rsid w:val="00DE66E4"/>
    <w:rsid w:val="00DF0D7D"/>
    <w:rsid w:val="00DF5DE0"/>
    <w:rsid w:val="00E226A4"/>
    <w:rsid w:val="00E25166"/>
    <w:rsid w:val="00E253CA"/>
    <w:rsid w:val="00E3441E"/>
    <w:rsid w:val="00E40A85"/>
    <w:rsid w:val="00E52E9F"/>
    <w:rsid w:val="00E54378"/>
    <w:rsid w:val="00E545A0"/>
    <w:rsid w:val="00E57E14"/>
    <w:rsid w:val="00E82DC4"/>
    <w:rsid w:val="00E85952"/>
    <w:rsid w:val="00E90BAA"/>
    <w:rsid w:val="00E97FDF"/>
    <w:rsid w:val="00EA000A"/>
    <w:rsid w:val="00EA50A4"/>
    <w:rsid w:val="00EB45C3"/>
    <w:rsid w:val="00ED0A14"/>
    <w:rsid w:val="00ED25D0"/>
    <w:rsid w:val="00ED3DF3"/>
    <w:rsid w:val="00ED5A2C"/>
    <w:rsid w:val="00EE36E3"/>
    <w:rsid w:val="00EE4BE8"/>
    <w:rsid w:val="00F01120"/>
    <w:rsid w:val="00F21398"/>
    <w:rsid w:val="00F23479"/>
    <w:rsid w:val="00F271DF"/>
    <w:rsid w:val="00F451A6"/>
    <w:rsid w:val="00F456E2"/>
    <w:rsid w:val="00F6033B"/>
    <w:rsid w:val="00F61393"/>
    <w:rsid w:val="00F65549"/>
    <w:rsid w:val="00F800DA"/>
    <w:rsid w:val="00F803F3"/>
    <w:rsid w:val="00F81927"/>
    <w:rsid w:val="00F8300D"/>
    <w:rsid w:val="00F87AD4"/>
    <w:rsid w:val="00FA1168"/>
    <w:rsid w:val="00FA3F2F"/>
    <w:rsid w:val="00FB38DD"/>
    <w:rsid w:val="00FB418D"/>
    <w:rsid w:val="00FB6AFA"/>
    <w:rsid w:val="00FC5321"/>
    <w:rsid w:val="00FC5BF1"/>
    <w:rsid w:val="00FC6803"/>
    <w:rsid w:val="00FD57D2"/>
    <w:rsid w:val="00FE63C6"/>
    <w:rsid w:val="00FF45C4"/>
    <w:rsid w:val="00FF47BB"/>
    <w:rsid w:val="0D258259"/>
    <w:rsid w:val="15453597"/>
    <w:rsid w:val="3064286D"/>
    <w:rsid w:val="36595C58"/>
    <w:rsid w:val="394E4E9C"/>
    <w:rsid w:val="4995FD9A"/>
    <w:rsid w:val="5844B61F"/>
    <w:rsid w:val="6C80AF59"/>
    <w:rsid w:val="6E326992"/>
    <w:rsid w:val="70C4C8B6"/>
    <w:rsid w:val="713AB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65E0"/>
  <w15:chartTrackingRefBased/>
  <w15:docId w15:val="{AAB0D0A3-D600-40CD-A7F2-ABD3F6DF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568C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568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28F"/>
    <w:rPr>
      <w:color w:val="0563C1" w:themeColor="hyperlink"/>
      <w:u w:val="single"/>
    </w:rPr>
  </w:style>
  <w:style w:type="character" w:styleId="UnresolvedMention">
    <w:name w:val="Unresolved Mention"/>
    <w:basedOn w:val="DefaultParagraphFont"/>
    <w:uiPriority w:val="99"/>
    <w:semiHidden/>
    <w:unhideWhenUsed/>
    <w:rsid w:val="00AA328F"/>
    <w:rPr>
      <w:color w:val="605E5C"/>
      <w:shd w:val="clear" w:color="auto" w:fill="E1DFDD"/>
    </w:rPr>
  </w:style>
  <w:style w:type="character" w:customStyle="1" w:styleId="Heading2Char">
    <w:name w:val="Heading 2 Char"/>
    <w:basedOn w:val="DefaultParagraphFont"/>
    <w:link w:val="Heading2"/>
    <w:uiPriority w:val="9"/>
    <w:rsid w:val="004568C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568C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568C8"/>
    <w:rPr>
      <w:b/>
      <w:bCs/>
    </w:rPr>
  </w:style>
  <w:style w:type="paragraph" w:styleId="NormalWeb">
    <w:name w:val="Normal (Web)"/>
    <w:basedOn w:val="Normal"/>
    <w:uiPriority w:val="99"/>
    <w:semiHidden/>
    <w:unhideWhenUsed/>
    <w:rsid w:val="004568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568C8"/>
    <w:rPr>
      <w:i/>
      <w:iCs/>
    </w:rPr>
  </w:style>
  <w:style w:type="character" w:customStyle="1" w:styleId="Heading1Char">
    <w:name w:val="Heading 1 Char"/>
    <w:basedOn w:val="DefaultParagraphFont"/>
    <w:link w:val="Heading1"/>
    <w:uiPriority w:val="9"/>
    <w:rsid w:val="00011DA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86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492">
      <w:bodyDiv w:val="1"/>
      <w:marLeft w:val="0"/>
      <w:marRight w:val="0"/>
      <w:marTop w:val="0"/>
      <w:marBottom w:val="0"/>
      <w:divBdr>
        <w:top w:val="none" w:sz="0" w:space="0" w:color="auto"/>
        <w:left w:val="none" w:sz="0" w:space="0" w:color="auto"/>
        <w:bottom w:val="none" w:sz="0" w:space="0" w:color="auto"/>
        <w:right w:val="none" w:sz="0" w:space="0" w:color="auto"/>
      </w:divBdr>
      <w:divsChild>
        <w:div w:id="1509439378">
          <w:marLeft w:val="0"/>
          <w:marRight w:val="0"/>
          <w:marTop w:val="0"/>
          <w:marBottom w:val="0"/>
          <w:divBdr>
            <w:top w:val="none" w:sz="0" w:space="0" w:color="auto"/>
            <w:left w:val="none" w:sz="0" w:space="0" w:color="auto"/>
            <w:bottom w:val="none" w:sz="0" w:space="0" w:color="auto"/>
            <w:right w:val="none" w:sz="0" w:space="0" w:color="auto"/>
          </w:divBdr>
        </w:div>
      </w:divsChild>
    </w:div>
    <w:div w:id="32314694">
      <w:bodyDiv w:val="1"/>
      <w:marLeft w:val="0"/>
      <w:marRight w:val="0"/>
      <w:marTop w:val="0"/>
      <w:marBottom w:val="0"/>
      <w:divBdr>
        <w:top w:val="none" w:sz="0" w:space="0" w:color="auto"/>
        <w:left w:val="none" w:sz="0" w:space="0" w:color="auto"/>
        <w:bottom w:val="none" w:sz="0" w:space="0" w:color="auto"/>
        <w:right w:val="none" w:sz="0" w:space="0" w:color="auto"/>
      </w:divBdr>
      <w:divsChild>
        <w:div w:id="1437019689">
          <w:marLeft w:val="0"/>
          <w:marRight w:val="0"/>
          <w:marTop w:val="0"/>
          <w:marBottom w:val="0"/>
          <w:divBdr>
            <w:top w:val="none" w:sz="0" w:space="0" w:color="auto"/>
            <w:left w:val="none" w:sz="0" w:space="0" w:color="auto"/>
            <w:bottom w:val="none" w:sz="0" w:space="0" w:color="auto"/>
            <w:right w:val="none" w:sz="0" w:space="0" w:color="auto"/>
          </w:divBdr>
        </w:div>
      </w:divsChild>
    </w:div>
    <w:div w:id="77218079">
      <w:bodyDiv w:val="1"/>
      <w:marLeft w:val="0"/>
      <w:marRight w:val="0"/>
      <w:marTop w:val="0"/>
      <w:marBottom w:val="0"/>
      <w:divBdr>
        <w:top w:val="none" w:sz="0" w:space="0" w:color="auto"/>
        <w:left w:val="none" w:sz="0" w:space="0" w:color="auto"/>
        <w:bottom w:val="none" w:sz="0" w:space="0" w:color="auto"/>
        <w:right w:val="none" w:sz="0" w:space="0" w:color="auto"/>
      </w:divBdr>
      <w:divsChild>
        <w:div w:id="846331951">
          <w:marLeft w:val="0"/>
          <w:marRight w:val="0"/>
          <w:marTop w:val="0"/>
          <w:marBottom w:val="0"/>
          <w:divBdr>
            <w:top w:val="none" w:sz="0" w:space="0" w:color="auto"/>
            <w:left w:val="none" w:sz="0" w:space="0" w:color="auto"/>
            <w:bottom w:val="none" w:sz="0" w:space="0" w:color="auto"/>
            <w:right w:val="none" w:sz="0" w:space="0" w:color="auto"/>
          </w:divBdr>
        </w:div>
      </w:divsChild>
    </w:div>
    <w:div w:id="137501792">
      <w:bodyDiv w:val="1"/>
      <w:marLeft w:val="0"/>
      <w:marRight w:val="0"/>
      <w:marTop w:val="0"/>
      <w:marBottom w:val="0"/>
      <w:divBdr>
        <w:top w:val="none" w:sz="0" w:space="0" w:color="auto"/>
        <w:left w:val="none" w:sz="0" w:space="0" w:color="auto"/>
        <w:bottom w:val="none" w:sz="0" w:space="0" w:color="auto"/>
        <w:right w:val="none" w:sz="0" w:space="0" w:color="auto"/>
      </w:divBdr>
      <w:divsChild>
        <w:div w:id="409692995">
          <w:marLeft w:val="0"/>
          <w:marRight w:val="0"/>
          <w:marTop w:val="0"/>
          <w:marBottom w:val="0"/>
          <w:divBdr>
            <w:top w:val="none" w:sz="0" w:space="0" w:color="auto"/>
            <w:left w:val="none" w:sz="0" w:space="0" w:color="auto"/>
            <w:bottom w:val="none" w:sz="0" w:space="0" w:color="auto"/>
            <w:right w:val="none" w:sz="0" w:space="0" w:color="auto"/>
          </w:divBdr>
        </w:div>
      </w:divsChild>
    </w:div>
    <w:div w:id="160968762">
      <w:bodyDiv w:val="1"/>
      <w:marLeft w:val="0"/>
      <w:marRight w:val="0"/>
      <w:marTop w:val="0"/>
      <w:marBottom w:val="0"/>
      <w:divBdr>
        <w:top w:val="none" w:sz="0" w:space="0" w:color="auto"/>
        <w:left w:val="none" w:sz="0" w:space="0" w:color="auto"/>
        <w:bottom w:val="none" w:sz="0" w:space="0" w:color="auto"/>
        <w:right w:val="none" w:sz="0" w:space="0" w:color="auto"/>
      </w:divBdr>
      <w:divsChild>
        <w:div w:id="1707757517">
          <w:marLeft w:val="0"/>
          <w:marRight w:val="0"/>
          <w:marTop w:val="0"/>
          <w:marBottom w:val="0"/>
          <w:divBdr>
            <w:top w:val="none" w:sz="0" w:space="0" w:color="auto"/>
            <w:left w:val="none" w:sz="0" w:space="0" w:color="auto"/>
            <w:bottom w:val="none" w:sz="0" w:space="0" w:color="auto"/>
            <w:right w:val="none" w:sz="0" w:space="0" w:color="auto"/>
          </w:divBdr>
        </w:div>
      </w:divsChild>
    </w:div>
    <w:div w:id="228662518">
      <w:bodyDiv w:val="1"/>
      <w:marLeft w:val="0"/>
      <w:marRight w:val="0"/>
      <w:marTop w:val="0"/>
      <w:marBottom w:val="0"/>
      <w:divBdr>
        <w:top w:val="none" w:sz="0" w:space="0" w:color="auto"/>
        <w:left w:val="none" w:sz="0" w:space="0" w:color="auto"/>
        <w:bottom w:val="none" w:sz="0" w:space="0" w:color="auto"/>
        <w:right w:val="none" w:sz="0" w:space="0" w:color="auto"/>
      </w:divBdr>
    </w:div>
    <w:div w:id="263999921">
      <w:bodyDiv w:val="1"/>
      <w:marLeft w:val="0"/>
      <w:marRight w:val="0"/>
      <w:marTop w:val="0"/>
      <w:marBottom w:val="0"/>
      <w:divBdr>
        <w:top w:val="none" w:sz="0" w:space="0" w:color="auto"/>
        <w:left w:val="none" w:sz="0" w:space="0" w:color="auto"/>
        <w:bottom w:val="none" w:sz="0" w:space="0" w:color="auto"/>
        <w:right w:val="none" w:sz="0" w:space="0" w:color="auto"/>
      </w:divBdr>
      <w:divsChild>
        <w:div w:id="682633336">
          <w:marLeft w:val="0"/>
          <w:marRight w:val="0"/>
          <w:marTop w:val="0"/>
          <w:marBottom w:val="0"/>
          <w:divBdr>
            <w:top w:val="none" w:sz="0" w:space="0" w:color="auto"/>
            <w:left w:val="none" w:sz="0" w:space="0" w:color="auto"/>
            <w:bottom w:val="none" w:sz="0" w:space="0" w:color="auto"/>
            <w:right w:val="none" w:sz="0" w:space="0" w:color="auto"/>
          </w:divBdr>
        </w:div>
      </w:divsChild>
    </w:div>
    <w:div w:id="281420911">
      <w:bodyDiv w:val="1"/>
      <w:marLeft w:val="0"/>
      <w:marRight w:val="0"/>
      <w:marTop w:val="0"/>
      <w:marBottom w:val="0"/>
      <w:divBdr>
        <w:top w:val="none" w:sz="0" w:space="0" w:color="auto"/>
        <w:left w:val="none" w:sz="0" w:space="0" w:color="auto"/>
        <w:bottom w:val="none" w:sz="0" w:space="0" w:color="auto"/>
        <w:right w:val="none" w:sz="0" w:space="0" w:color="auto"/>
      </w:divBdr>
      <w:divsChild>
        <w:div w:id="2003703036">
          <w:marLeft w:val="0"/>
          <w:marRight w:val="0"/>
          <w:marTop w:val="0"/>
          <w:marBottom w:val="0"/>
          <w:divBdr>
            <w:top w:val="none" w:sz="0" w:space="0" w:color="auto"/>
            <w:left w:val="none" w:sz="0" w:space="0" w:color="auto"/>
            <w:bottom w:val="none" w:sz="0" w:space="0" w:color="auto"/>
            <w:right w:val="none" w:sz="0" w:space="0" w:color="auto"/>
          </w:divBdr>
        </w:div>
      </w:divsChild>
    </w:div>
    <w:div w:id="318316769">
      <w:bodyDiv w:val="1"/>
      <w:marLeft w:val="0"/>
      <w:marRight w:val="0"/>
      <w:marTop w:val="0"/>
      <w:marBottom w:val="0"/>
      <w:divBdr>
        <w:top w:val="none" w:sz="0" w:space="0" w:color="auto"/>
        <w:left w:val="none" w:sz="0" w:space="0" w:color="auto"/>
        <w:bottom w:val="none" w:sz="0" w:space="0" w:color="auto"/>
        <w:right w:val="none" w:sz="0" w:space="0" w:color="auto"/>
      </w:divBdr>
      <w:divsChild>
        <w:div w:id="391344583">
          <w:marLeft w:val="0"/>
          <w:marRight w:val="0"/>
          <w:marTop w:val="0"/>
          <w:marBottom w:val="0"/>
          <w:divBdr>
            <w:top w:val="none" w:sz="0" w:space="0" w:color="auto"/>
            <w:left w:val="none" w:sz="0" w:space="0" w:color="auto"/>
            <w:bottom w:val="none" w:sz="0" w:space="0" w:color="auto"/>
            <w:right w:val="none" w:sz="0" w:space="0" w:color="auto"/>
          </w:divBdr>
        </w:div>
      </w:divsChild>
    </w:div>
    <w:div w:id="335309754">
      <w:bodyDiv w:val="1"/>
      <w:marLeft w:val="0"/>
      <w:marRight w:val="0"/>
      <w:marTop w:val="0"/>
      <w:marBottom w:val="0"/>
      <w:divBdr>
        <w:top w:val="none" w:sz="0" w:space="0" w:color="auto"/>
        <w:left w:val="none" w:sz="0" w:space="0" w:color="auto"/>
        <w:bottom w:val="none" w:sz="0" w:space="0" w:color="auto"/>
        <w:right w:val="none" w:sz="0" w:space="0" w:color="auto"/>
      </w:divBdr>
      <w:divsChild>
        <w:div w:id="1514301057">
          <w:marLeft w:val="0"/>
          <w:marRight w:val="0"/>
          <w:marTop w:val="0"/>
          <w:marBottom w:val="0"/>
          <w:divBdr>
            <w:top w:val="none" w:sz="0" w:space="0" w:color="auto"/>
            <w:left w:val="none" w:sz="0" w:space="0" w:color="auto"/>
            <w:bottom w:val="none" w:sz="0" w:space="0" w:color="auto"/>
            <w:right w:val="none" w:sz="0" w:space="0" w:color="auto"/>
          </w:divBdr>
        </w:div>
      </w:divsChild>
    </w:div>
    <w:div w:id="424111440">
      <w:bodyDiv w:val="1"/>
      <w:marLeft w:val="0"/>
      <w:marRight w:val="0"/>
      <w:marTop w:val="0"/>
      <w:marBottom w:val="0"/>
      <w:divBdr>
        <w:top w:val="none" w:sz="0" w:space="0" w:color="auto"/>
        <w:left w:val="none" w:sz="0" w:space="0" w:color="auto"/>
        <w:bottom w:val="none" w:sz="0" w:space="0" w:color="auto"/>
        <w:right w:val="none" w:sz="0" w:space="0" w:color="auto"/>
      </w:divBdr>
      <w:divsChild>
        <w:div w:id="1435438732">
          <w:marLeft w:val="0"/>
          <w:marRight w:val="0"/>
          <w:marTop w:val="0"/>
          <w:marBottom w:val="0"/>
          <w:divBdr>
            <w:top w:val="none" w:sz="0" w:space="0" w:color="auto"/>
            <w:left w:val="none" w:sz="0" w:space="0" w:color="auto"/>
            <w:bottom w:val="none" w:sz="0" w:space="0" w:color="auto"/>
            <w:right w:val="none" w:sz="0" w:space="0" w:color="auto"/>
          </w:divBdr>
        </w:div>
      </w:divsChild>
    </w:div>
    <w:div w:id="446046812">
      <w:bodyDiv w:val="1"/>
      <w:marLeft w:val="0"/>
      <w:marRight w:val="0"/>
      <w:marTop w:val="0"/>
      <w:marBottom w:val="0"/>
      <w:divBdr>
        <w:top w:val="none" w:sz="0" w:space="0" w:color="auto"/>
        <w:left w:val="none" w:sz="0" w:space="0" w:color="auto"/>
        <w:bottom w:val="none" w:sz="0" w:space="0" w:color="auto"/>
        <w:right w:val="none" w:sz="0" w:space="0" w:color="auto"/>
      </w:divBdr>
      <w:divsChild>
        <w:div w:id="1927153932">
          <w:marLeft w:val="0"/>
          <w:marRight w:val="0"/>
          <w:marTop w:val="0"/>
          <w:marBottom w:val="0"/>
          <w:divBdr>
            <w:top w:val="none" w:sz="0" w:space="0" w:color="auto"/>
            <w:left w:val="none" w:sz="0" w:space="0" w:color="auto"/>
            <w:bottom w:val="none" w:sz="0" w:space="0" w:color="auto"/>
            <w:right w:val="none" w:sz="0" w:space="0" w:color="auto"/>
          </w:divBdr>
        </w:div>
      </w:divsChild>
    </w:div>
    <w:div w:id="452674716">
      <w:bodyDiv w:val="1"/>
      <w:marLeft w:val="0"/>
      <w:marRight w:val="0"/>
      <w:marTop w:val="0"/>
      <w:marBottom w:val="0"/>
      <w:divBdr>
        <w:top w:val="none" w:sz="0" w:space="0" w:color="auto"/>
        <w:left w:val="none" w:sz="0" w:space="0" w:color="auto"/>
        <w:bottom w:val="none" w:sz="0" w:space="0" w:color="auto"/>
        <w:right w:val="none" w:sz="0" w:space="0" w:color="auto"/>
      </w:divBdr>
      <w:divsChild>
        <w:div w:id="13238286">
          <w:marLeft w:val="0"/>
          <w:marRight w:val="0"/>
          <w:marTop w:val="0"/>
          <w:marBottom w:val="0"/>
          <w:divBdr>
            <w:top w:val="none" w:sz="0" w:space="0" w:color="auto"/>
            <w:left w:val="none" w:sz="0" w:space="0" w:color="auto"/>
            <w:bottom w:val="none" w:sz="0" w:space="0" w:color="auto"/>
            <w:right w:val="none" w:sz="0" w:space="0" w:color="auto"/>
          </w:divBdr>
        </w:div>
      </w:divsChild>
    </w:div>
    <w:div w:id="469371852">
      <w:bodyDiv w:val="1"/>
      <w:marLeft w:val="0"/>
      <w:marRight w:val="0"/>
      <w:marTop w:val="0"/>
      <w:marBottom w:val="0"/>
      <w:divBdr>
        <w:top w:val="none" w:sz="0" w:space="0" w:color="auto"/>
        <w:left w:val="none" w:sz="0" w:space="0" w:color="auto"/>
        <w:bottom w:val="none" w:sz="0" w:space="0" w:color="auto"/>
        <w:right w:val="none" w:sz="0" w:space="0" w:color="auto"/>
      </w:divBdr>
      <w:divsChild>
        <w:div w:id="532153702">
          <w:marLeft w:val="0"/>
          <w:marRight w:val="0"/>
          <w:marTop w:val="0"/>
          <w:marBottom w:val="0"/>
          <w:divBdr>
            <w:top w:val="none" w:sz="0" w:space="0" w:color="auto"/>
            <w:left w:val="none" w:sz="0" w:space="0" w:color="auto"/>
            <w:bottom w:val="none" w:sz="0" w:space="0" w:color="auto"/>
            <w:right w:val="none" w:sz="0" w:space="0" w:color="auto"/>
          </w:divBdr>
        </w:div>
      </w:divsChild>
    </w:div>
    <w:div w:id="554706832">
      <w:bodyDiv w:val="1"/>
      <w:marLeft w:val="0"/>
      <w:marRight w:val="0"/>
      <w:marTop w:val="0"/>
      <w:marBottom w:val="0"/>
      <w:divBdr>
        <w:top w:val="none" w:sz="0" w:space="0" w:color="auto"/>
        <w:left w:val="none" w:sz="0" w:space="0" w:color="auto"/>
        <w:bottom w:val="none" w:sz="0" w:space="0" w:color="auto"/>
        <w:right w:val="none" w:sz="0" w:space="0" w:color="auto"/>
      </w:divBdr>
      <w:divsChild>
        <w:div w:id="109055658">
          <w:marLeft w:val="0"/>
          <w:marRight w:val="0"/>
          <w:marTop w:val="0"/>
          <w:marBottom w:val="0"/>
          <w:divBdr>
            <w:top w:val="none" w:sz="0" w:space="0" w:color="auto"/>
            <w:left w:val="none" w:sz="0" w:space="0" w:color="auto"/>
            <w:bottom w:val="none" w:sz="0" w:space="0" w:color="auto"/>
            <w:right w:val="none" w:sz="0" w:space="0" w:color="auto"/>
          </w:divBdr>
          <w:divsChild>
            <w:div w:id="974679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7030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082872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849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62300347">
      <w:bodyDiv w:val="1"/>
      <w:marLeft w:val="0"/>
      <w:marRight w:val="0"/>
      <w:marTop w:val="0"/>
      <w:marBottom w:val="0"/>
      <w:divBdr>
        <w:top w:val="none" w:sz="0" w:space="0" w:color="auto"/>
        <w:left w:val="none" w:sz="0" w:space="0" w:color="auto"/>
        <w:bottom w:val="none" w:sz="0" w:space="0" w:color="auto"/>
        <w:right w:val="none" w:sz="0" w:space="0" w:color="auto"/>
      </w:divBdr>
      <w:divsChild>
        <w:div w:id="1813595812">
          <w:marLeft w:val="0"/>
          <w:marRight w:val="0"/>
          <w:marTop w:val="0"/>
          <w:marBottom w:val="0"/>
          <w:divBdr>
            <w:top w:val="none" w:sz="0" w:space="0" w:color="auto"/>
            <w:left w:val="none" w:sz="0" w:space="0" w:color="auto"/>
            <w:bottom w:val="none" w:sz="0" w:space="0" w:color="auto"/>
            <w:right w:val="none" w:sz="0" w:space="0" w:color="auto"/>
          </w:divBdr>
        </w:div>
      </w:divsChild>
    </w:div>
    <w:div w:id="569080998">
      <w:bodyDiv w:val="1"/>
      <w:marLeft w:val="0"/>
      <w:marRight w:val="0"/>
      <w:marTop w:val="0"/>
      <w:marBottom w:val="0"/>
      <w:divBdr>
        <w:top w:val="none" w:sz="0" w:space="0" w:color="auto"/>
        <w:left w:val="none" w:sz="0" w:space="0" w:color="auto"/>
        <w:bottom w:val="none" w:sz="0" w:space="0" w:color="auto"/>
        <w:right w:val="none" w:sz="0" w:space="0" w:color="auto"/>
      </w:divBdr>
      <w:divsChild>
        <w:div w:id="139227675">
          <w:marLeft w:val="0"/>
          <w:marRight w:val="0"/>
          <w:marTop w:val="0"/>
          <w:marBottom w:val="0"/>
          <w:divBdr>
            <w:top w:val="none" w:sz="0" w:space="0" w:color="auto"/>
            <w:left w:val="none" w:sz="0" w:space="0" w:color="auto"/>
            <w:bottom w:val="none" w:sz="0" w:space="0" w:color="auto"/>
            <w:right w:val="none" w:sz="0" w:space="0" w:color="auto"/>
          </w:divBdr>
        </w:div>
      </w:divsChild>
    </w:div>
    <w:div w:id="678318412">
      <w:bodyDiv w:val="1"/>
      <w:marLeft w:val="0"/>
      <w:marRight w:val="0"/>
      <w:marTop w:val="0"/>
      <w:marBottom w:val="0"/>
      <w:divBdr>
        <w:top w:val="none" w:sz="0" w:space="0" w:color="auto"/>
        <w:left w:val="none" w:sz="0" w:space="0" w:color="auto"/>
        <w:bottom w:val="none" w:sz="0" w:space="0" w:color="auto"/>
        <w:right w:val="none" w:sz="0" w:space="0" w:color="auto"/>
      </w:divBdr>
      <w:divsChild>
        <w:div w:id="688483540">
          <w:marLeft w:val="0"/>
          <w:marRight w:val="0"/>
          <w:marTop w:val="0"/>
          <w:marBottom w:val="0"/>
          <w:divBdr>
            <w:top w:val="none" w:sz="0" w:space="0" w:color="auto"/>
            <w:left w:val="none" w:sz="0" w:space="0" w:color="auto"/>
            <w:bottom w:val="none" w:sz="0" w:space="0" w:color="auto"/>
            <w:right w:val="none" w:sz="0" w:space="0" w:color="auto"/>
          </w:divBdr>
        </w:div>
      </w:divsChild>
    </w:div>
    <w:div w:id="690649679">
      <w:bodyDiv w:val="1"/>
      <w:marLeft w:val="0"/>
      <w:marRight w:val="0"/>
      <w:marTop w:val="0"/>
      <w:marBottom w:val="0"/>
      <w:divBdr>
        <w:top w:val="none" w:sz="0" w:space="0" w:color="auto"/>
        <w:left w:val="none" w:sz="0" w:space="0" w:color="auto"/>
        <w:bottom w:val="none" w:sz="0" w:space="0" w:color="auto"/>
        <w:right w:val="none" w:sz="0" w:space="0" w:color="auto"/>
      </w:divBdr>
      <w:divsChild>
        <w:div w:id="730158577">
          <w:marLeft w:val="0"/>
          <w:marRight w:val="0"/>
          <w:marTop w:val="0"/>
          <w:marBottom w:val="0"/>
          <w:divBdr>
            <w:top w:val="none" w:sz="0" w:space="0" w:color="auto"/>
            <w:left w:val="none" w:sz="0" w:space="0" w:color="auto"/>
            <w:bottom w:val="none" w:sz="0" w:space="0" w:color="auto"/>
            <w:right w:val="none" w:sz="0" w:space="0" w:color="auto"/>
          </w:divBdr>
        </w:div>
      </w:divsChild>
    </w:div>
    <w:div w:id="696662209">
      <w:bodyDiv w:val="1"/>
      <w:marLeft w:val="0"/>
      <w:marRight w:val="0"/>
      <w:marTop w:val="0"/>
      <w:marBottom w:val="0"/>
      <w:divBdr>
        <w:top w:val="none" w:sz="0" w:space="0" w:color="auto"/>
        <w:left w:val="none" w:sz="0" w:space="0" w:color="auto"/>
        <w:bottom w:val="none" w:sz="0" w:space="0" w:color="auto"/>
        <w:right w:val="none" w:sz="0" w:space="0" w:color="auto"/>
      </w:divBdr>
      <w:divsChild>
        <w:div w:id="1254894950">
          <w:marLeft w:val="0"/>
          <w:marRight w:val="0"/>
          <w:marTop w:val="0"/>
          <w:marBottom w:val="0"/>
          <w:divBdr>
            <w:top w:val="none" w:sz="0" w:space="0" w:color="auto"/>
            <w:left w:val="none" w:sz="0" w:space="0" w:color="auto"/>
            <w:bottom w:val="none" w:sz="0" w:space="0" w:color="auto"/>
            <w:right w:val="none" w:sz="0" w:space="0" w:color="auto"/>
          </w:divBdr>
        </w:div>
      </w:divsChild>
    </w:div>
    <w:div w:id="770009774">
      <w:bodyDiv w:val="1"/>
      <w:marLeft w:val="0"/>
      <w:marRight w:val="0"/>
      <w:marTop w:val="0"/>
      <w:marBottom w:val="0"/>
      <w:divBdr>
        <w:top w:val="none" w:sz="0" w:space="0" w:color="auto"/>
        <w:left w:val="none" w:sz="0" w:space="0" w:color="auto"/>
        <w:bottom w:val="none" w:sz="0" w:space="0" w:color="auto"/>
        <w:right w:val="none" w:sz="0" w:space="0" w:color="auto"/>
      </w:divBdr>
    </w:div>
    <w:div w:id="833182278">
      <w:bodyDiv w:val="1"/>
      <w:marLeft w:val="0"/>
      <w:marRight w:val="0"/>
      <w:marTop w:val="0"/>
      <w:marBottom w:val="0"/>
      <w:divBdr>
        <w:top w:val="none" w:sz="0" w:space="0" w:color="auto"/>
        <w:left w:val="none" w:sz="0" w:space="0" w:color="auto"/>
        <w:bottom w:val="none" w:sz="0" w:space="0" w:color="auto"/>
        <w:right w:val="none" w:sz="0" w:space="0" w:color="auto"/>
      </w:divBdr>
      <w:divsChild>
        <w:div w:id="296035395">
          <w:marLeft w:val="0"/>
          <w:marRight w:val="0"/>
          <w:marTop w:val="0"/>
          <w:marBottom w:val="0"/>
          <w:divBdr>
            <w:top w:val="none" w:sz="0" w:space="0" w:color="auto"/>
            <w:left w:val="none" w:sz="0" w:space="0" w:color="auto"/>
            <w:bottom w:val="none" w:sz="0" w:space="0" w:color="auto"/>
            <w:right w:val="none" w:sz="0" w:space="0" w:color="auto"/>
          </w:divBdr>
        </w:div>
      </w:divsChild>
    </w:div>
    <w:div w:id="834998569">
      <w:bodyDiv w:val="1"/>
      <w:marLeft w:val="0"/>
      <w:marRight w:val="0"/>
      <w:marTop w:val="0"/>
      <w:marBottom w:val="0"/>
      <w:divBdr>
        <w:top w:val="none" w:sz="0" w:space="0" w:color="auto"/>
        <w:left w:val="none" w:sz="0" w:space="0" w:color="auto"/>
        <w:bottom w:val="none" w:sz="0" w:space="0" w:color="auto"/>
        <w:right w:val="none" w:sz="0" w:space="0" w:color="auto"/>
      </w:divBdr>
      <w:divsChild>
        <w:div w:id="1655647997">
          <w:marLeft w:val="0"/>
          <w:marRight w:val="0"/>
          <w:marTop w:val="0"/>
          <w:marBottom w:val="0"/>
          <w:divBdr>
            <w:top w:val="none" w:sz="0" w:space="0" w:color="auto"/>
            <w:left w:val="none" w:sz="0" w:space="0" w:color="auto"/>
            <w:bottom w:val="none" w:sz="0" w:space="0" w:color="auto"/>
            <w:right w:val="none" w:sz="0" w:space="0" w:color="auto"/>
          </w:divBdr>
        </w:div>
      </w:divsChild>
    </w:div>
    <w:div w:id="874120514">
      <w:bodyDiv w:val="1"/>
      <w:marLeft w:val="0"/>
      <w:marRight w:val="0"/>
      <w:marTop w:val="0"/>
      <w:marBottom w:val="0"/>
      <w:divBdr>
        <w:top w:val="none" w:sz="0" w:space="0" w:color="auto"/>
        <w:left w:val="none" w:sz="0" w:space="0" w:color="auto"/>
        <w:bottom w:val="none" w:sz="0" w:space="0" w:color="auto"/>
        <w:right w:val="none" w:sz="0" w:space="0" w:color="auto"/>
      </w:divBdr>
    </w:div>
    <w:div w:id="985427728">
      <w:bodyDiv w:val="1"/>
      <w:marLeft w:val="0"/>
      <w:marRight w:val="0"/>
      <w:marTop w:val="0"/>
      <w:marBottom w:val="0"/>
      <w:divBdr>
        <w:top w:val="none" w:sz="0" w:space="0" w:color="auto"/>
        <w:left w:val="none" w:sz="0" w:space="0" w:color="auto"/>
        <w:bottom w:val="none" w:sz="0" w:space="0" w:color="auto"/>
        <w:right w:val="none" w:sz="0" w:space="0" w:color="auto"/>
      </w:divBdr>
    </w:div>
    <w:div w:id="1041321602">
      <w:bodyDiv w:val="1"/>
      <w:marLeft w:val="0"/>
      <w:marRight w:val="0"/>
      <w:marTop w:val="0"/>
      <w:marBottom w:val="0"/>
      <w:divBdr>
        <w:top w:val="none" w:sz="0" w:space="0" w:color="auto"/>
        <w:left w:val="none" w:sz="0" w:space="0" w:color="auto"/>
        <w:bottom w:val="none" w:sz="0" w:space="0" w:color="auto"/>
        <w:right w:val="none" w:sz="0" w:space="0" w:color="auto"/>
      </w:divBdr>
    </w:div>
    <w:div w:id="1064639824">
      <w:bodyDiv w:val="1"/>
      <w:marLeft w:val="0"/>
      <w:marRight w:val="0"/>
      <w:marTop w:val="0"/>
      <w:marBottom w:val="0"/>
      <w:divBdr>
        <w:top w:val="none" w:sz="0" w:space="0" w:color="auto"/>
        <w:left w:val="none" w:sz="0" w:space="0" w:color="auto"/>
        <w:bottom w:val="none" w:sz="0" w:space="0" w:color="auto"/>
        <w:right w:val="none" w:sz="0" w:space="0" w:color="auto"/>
      </w:divBdr>
    </w:div>
    <w:div w:id="1096706315">
      <w:bodyDiv w:val="1"/>
      <w:marLeft w:val="0"/>
      <w:marRight w:val="0"/>
      <w:marTop w:val="0"/>
      <w:marBottom w:val="0"/>
      <w:divBdr>
        <w:top w:val="none" w:sz="0" w:space="0" w:color="auto"/>
        <w:left w:val="none" w:sz="0" w:space="0" w:color="auto"/>
        <w:bottom w:val="none" w:sz="0" w:space="0" w:color="auto"/>
        <w:right w:val="none" w:sz="0" w:space="0" w:color="auto"/>
      </w:divBdr>
      <w:divsChild>
        <w:div w:id="2014411850">
          <w:marLeft w:val="0"/>
          <w:marRight w:val="0"/>
          <w:marTop w:val="0"/>
          <w:marBottom w:val="0"/>
          <w:divBdr>
            <w:top w:val="none" w:sz="0" w:space="0" w:color="auto"/>
            <w:left w:val="none" w:sz="0" w:space="0" w:color="auto"/>
            <w:bottom w:val="none" w:sz="0" w:space="0" w:color="auto"/>
            <w:right w:val="none" w:sz="0" w:space="0" w:color="auto"/>
          </w:divBdr>
        </w:div>
      </w:divsChild>
    </w:div>
    <w:div w:id="1320497360">
      <w:bodyDiv w:val="1"/>
      <w:marLeft w:val="0"/>
      <w:marRight w:val="0"/>
      <w:marTop w:val="0"/>
      <w:marBottom w:val="0"/>
      <w:divBdr>
        <w:top w:val="none" w:sz="0" w:space="0" w:color="auto"/>
        <w:left w:val="none" w:sz="0" w:space="0" w:color="auto"/>
        <w:bottom w:val="none" w:sz="0" w:space="0" w:color="auto"/>
        <w:right w:val="none" w:sz="0" w:space="0" w:color="auto"/>
      </w:divBdr>
    </w:div>
    <w:div w:id="1324241126">
      <w:bodyDiv w:val="1"/>
      <w:marLeft w:val="0"/>
      <w:marRight w:val="0"/>
      <w:marTop w:val="0"/>
      <w:marBottom w:val="0"/>
      <w:divBdr>
        <w:top w:val="none" w:sz="0" w:space="0" w:color="auto"/>
        <w:left w:val="none" w:sz="0" w:space="0" w:color="auto"/>
        <w:bottom w:val="none" w:sz="0" w:space="0" w:color="auto"/>
        <w:right w:val="none" w:sz="0" w:space="0" w:color="auto"/>
      </w:divBdr>
      <w:divsChild>
        <w:div w:id="962537230">
          <w:marLeft w:val="0"/>
          <w:marRight w:val="0"/>
          <w:marTop w:val="0"/>
          <w:marBottom w:val="0"/>
          <w:divBdr>
            <w:top w:val="none" w:sz="0" w:space="0" w:color="auto"/>
            <w:left w:val="none" w:sz="0" w:space="0" w:color="auto"/>
            <w:bottom w:val="none" w:sz="0" w:space="0" w:color="auto"/>
            <w:right w:val="none" w:sz="0" w:space="0" w:color="auto"/>
          </w:divBdr>
        </w:div>
      </w:divsChild>
    </w:div>
    <w:div w:id="1338925691">
      <w:bodyDiv w:val="1"/>
      <w:marLeft w:val="0"/>
      <w:marRight w:val="0"/>
      <w:marTop w:val="0"/>
      <w:marBottom w:val="0"/>
      <w:divBdr>
        <w:top w:val="none" w:sz="0" w:space="0" w:color="auto"/>
        <w:left w:val="none" w:sz="0" w:space="0" w:color="auto"/>
        <w:bottom w:val="none" w:sz="0" w:space="0" w:color="auto"/>
        <w:right w:val="none" w:sz="0" w:space="0" w:color="auto"/>
      </w:divBdr>
      <w:divsChild>
        <w:div w:id="4983744">
          <w:marLeft w:val="0"/>
          <w:marRight w:val="0"/>
          <w:marTop w:val="0"/>
          <w:marBottom w:val="0"/>
          <w:divBdr>
            <w:top w:val="none" w:sz="0" w:space="0" w:color="auto"/>
            <w:left w:val="none" w:sz="0" w:space="0" w:color="auto"/>
            <w:bottom w:val="none" w:sz="0" w:space="0" w:color="auto"/>
            <w:right w:val="none" w:sz="0" w:space="0" w:color="auto"/>
          </w:divBdr>
        </w:div>
      </w:divsChild>
    </w:div>
    <w:div w:id="1362704677">
      <w:bodyDiv w:val="1"/>
      <w:marLeft w:val="0"/>
      <w:marRight w:val="0"/>
      <w:marTop w:val="0"/>
      <w:marBottom w:val="0"/>
      <w:divBdr>
        <w:top w:val="none" w:sz="0" w:space="0" w:color="auto"/>
        <w:left w:val="none" w:sz="0" w:space="0" w:color="auto"/>
        <w:bottom w:val="none" w:sz="0" w:space="0" w:color="auto"/>
        <w:right w:val="none" w:sz="0" w:space="0" w:color="auto"/>
      </w:divBdr>
      <w:divsChild>
        <w:div w:id="2048026156">
          <w:marLeft w:val="0"/>
          <w:marRight w:val="0"/>
          <w:marTop w:val="0"/>
          <w:marBottom w:val="0"/>
          <w:divBdr>
            <w:top w:val="none" w:sz="0" w:space="0" w:color="auto"/>
            <w:left w:val="none" w:sz="0" w:space="0" w:color="auto"/>
            <w:bottom w:val="none" w:sz="0" w:space="0" w:color="auto"/>
            <w:right w:val="none" w:sz="0" w:space="0" w:color="auto"/>
          </w:divBdr>
        </w:div>
      </w:divsChild>
    </w:div>
    <w:div w:id="1426414598">
      <w:bodyDiv w:val="1"/>
      <w:marLeft w:val="0"/>
      <w:marRight w:val="0"/>
      <w:marTop w:val="0"/>
      <w:marBottom w:val="0"/>
      <w:divBdr>
        <w:top w:val="none" w:sz="0" w:space="0" w:color="auto"/>
        <w:left w:val="none" w:sz="0" w:space="0" w:color="auto"/>
        <w:bottom w:val="none" w:sz="0" w:space="0" w:color="auto"/>
        <w:right w:val="none" w:sz="0" w:space="0" w:color="auto"/>
      </w:divBdr>
      <w:divsChild>
        <w:div w:id="1396204646">
          <w:marLeft w:val="0"/>
          <w:marRight w:val="0"/>
          <w:marTop w:val="0"/>
          <w:marBottom w:val="0"/>
          <w:divBdr>
            <w:top w:val="none" w:sz="0" w:space="0" w:color="auto"/>
            <w:left w:val="none" w:sz="0" w:space="0" w:color="auto"/>
            <w:bottom w:val="none" w:sz="0" w:space="0" w:color="auto"/>
            <w:right w:val="none" w:sz="0" w:space="0" w:color="auto"/>
          </w:divBdr>
        </w:div>
      </w:divsChild>
    </w:div>
    <w:div w:id="1481269029">
      <w:bodyDiv w:val="1"/>
      <w:marLeft w:val="0"/>
      <w:marRight w:val="0"/>
      <w:marTop w:val="0"/>
      <w:marBottom w:val="0"/>
      <w:divBdr>
        <w:top w:val="none" w:sz="0" w:space="0" w:color="auto"/>
        <w:left w:val="none" w:sz="0" w:space="0" w:color="auto"/>
        <w:bottom w:val="none" w:sz="0" w:space="0" w:color="auto"/>
        <w:right w:val="none" w:sz="0" w:space="0" w:color="auto"/>
      </w:divBdr>
      <w:divsChild>
        <w:div w:id="1243754431">
          <w:marLeft w:val="0"/>
          <w:marRight w:val="0"/>
          <w:marTop w:val="0"/>
          <w:marBottom w:val="0"/>
          <w:divBdr>
            <w:top w:val="none" w:sz="0" w:space="0" w:color="auto"/>
            <w:left w:val="none" w:sz="0" w:space="0" w:color="auto"/>
            <w:bottom w:val="none" w:sz="0" w:space="0" w:color="auto"/>
            <w:right w:val="none" w:sz="0" w:space="0" w:color="auto"/>
          </w:divBdr>
        </w:div>
      </w:divsChild>
    </w:div>
    <w:div w:id="1631593068">
      <w:bodyDiv w:val="1"/>
      <w:marLeft w:val="0"/>
      <w:marRight w:val="0"/>
      <w:marTop w:val="0"/>
      <w:marBottom w:val="0"/>
      <w:divBdr>
        <w:top w:val="none" w:sz="0" w:space="0" w:color="auto"/>
        <w:left w:val="none" w:sz="0" w:space="0" w:color="auto"/>
        <w:bottom w:val="none" w:sz="0" w:space="0" w:color="auto"/>
        <w:right w:val="none" w:sz="0" w:space="0" w:color="auto"/>
      </w:divBdr>
      <w:divsChild>
        <w:div w:id="1112239254">
          <w:marLeft w:val="0"/>
          <w:marRight w:val="0"/>
          <w:marTop w:val="0"/>
          <w:marBottom w:val="0"/>
          <w:divBdr>
            <w:top w:val="none" w:sz="0" w:space="0" w:color="auto"/>
            <w:left w:val="none" w:sz="0" w:space="0" w:color="auto"/>
            <w:bottom w:val="none" w:sz="0" w:space="0" w:color="auto"/>
            <w:right w:val="none" w:sz="0" w:space="0" w:color="auto"/>
          </w:divBdr>
        </w:div>
      </w:divsChild>
    </w:div>
    <w:div w:id="1632633743">
      <w:bodyDiv w:val="1"/>
      <w:marLeft w:val="0"/>
      <w:marRight w:val="0"/>
      <w:marTop w:val="0"/>
      <w:marBottom w:val="0"/>
      <w:divBdr>
        <w:top w:val="none" w:sz="0" w:space="0" w:color="auto"/>
        <w:left w:val="none" w:sz="0" w:space="0" w:color="auto"/>
        <w:bottom w:val="none" w:sz="0" w:space="0" w:color="auto"/>
        <w:right w:val="none" w:sz="0" w:space="0" w:color="auto"/>
      </w:divBdr>
      <w:divsChild>
        <w:div w:id="1238247993">
          <w:marLeft w:val="0"/>
          <w:marRight w:val="0"/>
          <w:marTop w:val="0"/>
          <w:marBottom w:val="0"/>
          <w:divBdr>
            <w:top w:val="none" w:sz="0" w:space="0" w:color="auto"/>
            <w:left w:val="none" w:sz="0" w:space="0" w:color="auto"/>
            <w:bottom w:val="none" w:sz="0" w:space="0" w:color="auto"/>
            <w:right w:val="none" w:sz="0" w:space="0" w:color="auto"/>
          </w:divBdr>
        </w:div>
      </w:divsChild>
    </w:div>
    <w:div w:id="1713580289">
      <w:bodyDiv w:val="1"/>
      <w:marLeft w:val="0"/>
      <w:marRight w:val="0"/>
      <w:marTop w:val="0"/>
      <w:marBottom w:val="0"/>
      <w:divBdr>
        <w:top w:val="none" w:sz="0" w:space="0" w:color="auto"/>
        <w:left w:val="none" w:sz="0" w:space="0" w:color="auto"/>
        <w:bottom w:val="none" w:sz="0" w:space="0" w:color="auto"/>
        <w:right w:val="none" w:sz="0" w:space="0" w:color="auto"/>
      </w:divBdr>
      <w:divsChild>
        <w:div w:id="2145193887">
          <w:marLeft w:val="0"/>
          <w:marRight w:val="0"/>
          <w:marTop w:val="0"/>
          <w:marBottom w:val="0"/>
          <w:divBdr>
            <w:top w:val="none" w:sz="0" w:space="0" w:color="auto"/>
            <w:left w:val="none" w:sz="0" w:space="0" w:color="auto"/>
            <w:bottom w:val="none" w:sz="0" w:space="0" w:color="auto"/>
            <w:right w:val="none" w:sz="0" w:space="0" w:color="auto"/>
          </w:divBdr>
        </w:div>
      </w:divsChild>
    </w:div>
    <w:div w:id="1719935227">
      <w:bodyDiv w:val="1"/>
      <w:marLeft w:val="0"/>
      <w:marRight w:val="0"/>
      <w:marTop w:val="0"/>
      <w:marBottom w:val="0"/>
      <w:divBdr>
        <w:top w:val="none" w:sz="0" w:space="0" w:color="auto"/>
        <w:left w:val="none" w:sz="0" w:space="0" w:color="auto"/>
        <w:bottom w:val="none" w:sz="0" w:space="0" w:color="auto"/>
        <w:right w:val="none" w:sz="0" w:space="0" w:color="auto"/>
      </w:divBdr>
      <w:divsChild>
        <w:div w:id="713770298">
          <w:marLeft w:val="0"/>
          <w:marRight w:val="0"/>
          <w:marTop w:val="0"/>
          <w:marBottom w:val="0"/>
          <w:divBdr>
            <w:top w:val="none" w:sz="0" w:space="0" w:color="auto"/>
            <w:left w:val="none" w:sz="0" w:space="0" w:color="auto"/>
            <w:bottom w:val="none" w:sz="0" w:space="0" w:color="auto"/>
            <w:right w:val="none" w:sz="0" w:space="0" w:color="auto"/>
          </w:divBdr>
        </w:div>
      </w:divsChild>
    </w:div>
    <w:div w:id="1735614818">
      <w:bodyDiv w:val="1"/>
      <w:marLeft w:val="0"/>
      <w:marRight w:val="0"/>
      <w:marTop w:val="0"/>
      <w:marBottom w:val="0"/>
      <w:divBdr>
        <w:top w:val="none" w:sz="0" w:space="0" w:color="auto"/>
        <w:left w:val="none" w:sz="0" w:space="0" w:color="auto"/>
        <w:bottom w:val="none" w:sz="0" w:space="0" w:color="auto"/>
        <w:right w:val="none" w:sz="0" w:space="0" w:color="auto"/>
      </w:divBdr>
      <w:divsChild>
        <w:div w:id="838812573">
          <w:marLeft w:val="0"/>
          <w:marRight w:val="0"/>
          <w:marTop w:val="0"/>
          <w:marBottom w:val="0"/>
          <w:divBdr>
            <w:top w:val="none" w:sz="0" w:space="0" w:color="auto"/>
            <w:left w:val="none" w:sz="0" w:space="0" w:color="auto"/>
            <w:bottom w:val="none" w:sz="0" w:space="0" w:color="auto"/>
            <w:right w:val="none" w:sz="0" w:space="0" w:color="auto"/>
          </w:divBdr>
        </w:div>
      </w:divsChild>
    </w:div>
    <w:div w:id="1777601919">
      <w:bodyDiv w:val="1"/>
      <w:marLeft w:val="0"/>
      <w:marRight w:val="0"/>
      <w:marTop w:val="0"/>
      <w:marBottom w:val="0"/>
      <w:divBdr>
        <w:top w:val="none" w:sz="0" w:space="0" w:color="auto"/>
        <w:left w:val="none" w:sz="0" w:space="0" w:color="auto"/>
        <w:bottom w:val="none" w:sz="0" w:space="0" w:color="auto"/>
        <w:right w:val="none" w:sz="0" w:space="0" w:color="auto"/>
      </w:divBdr>
      <w:divsChild>
        <w:div w:id="1119301755">
          <w:marLeft w:val="0"/>
          <w:marRight w:val="0"/>
          <w:marTop w:val="0"/>
          <w:marBottom w:val="0"/>
          <w:divBdr>
            <w:top w:val="none" w:sz="0" w:space="0" w:color="auto"/>
            <w:left w:val="none" w:sz="0" w:space="0" w:color="auto"/>
            <w:bottom w:val="none" w:sz="0" w:space="0" w:color="auto"/>
            <w:right w:val="none" w:sz="0" w:space="0" w:color="auto"/>
          </w:divBdr>
        </w:div>
      </w:divsChild>
    </w:div>
    <w:div w:id="1785884799">
      <w:bodyDiv w:val="1"/>
      <w:marLeft w:val="0"/>
      <w:marRight w:val="0"/>
      <w:marTop w:val="0"/>
      <w:marBottom w:val="0"/>
      <w:divBdr>
        <w:top w:val="none" w:sz="0" w:space="0" w:color="auto"/>
        <w:left w:val="none" w:sz="0" w:space="0" w:color="auto"/>
        <w:bottom w:val="none" w:sz="0" w:space="0" w:color="auto"/>
        <w:right w:val="none" w:sz="0" w:space="0" w:color="auto"/>
      </w:divBdr>
      <w:divsChild>
        <w:div w:id="1909850298">
          <w:marLeft w:val="0"/>
          <w:marRight w:val="0"/>
          <w:marTop w:val="0"/>
          <w:marBottom w:val="0"/>
          <w:divBdr>
            <w:top w:val="none" w:sz="0" w:space="0" w:color="auto"/>
            <w:left w:val="none" w:sz="0" w:space="0" w:color="auto"/>
            <w:bottom w:val="none" w:sz="0" w:space="0" w:color="auto"/>
            <w:right w:val="none" w:sz="0" w:space="0" w:color="auto"/>
          </w:divBdr>
        </w:div>
      </w:divsChild>
    </w:div>
    <w:div w:id="1794131675">
      <w:bodyDiv w:val="1"/>
      <w:marLeft w:val="0"/>
      <w:marRight w:val="0"/>
      <w:marTop w:val="0"/>
      <w:marBottom w:val="0"/>
      <w:divBdr>
        <w:top w:val="none" w:sz="0" w:space="0" w:color="auto"/>
        <w:left w:val="none" w:sz="0" w:space="0" w:color="auto"/>
        <w:bottom w:val="none" w:sz="0" w:space="0" w:color="auto"/>
        <w:right w:val="none" w:sz="0" w:space="0" w:color="auto"/>
      </w:divBdr>
      <w:divsChild>
        <w:div w:id="1112094269">
          <w:marLeft w:val="0"/>
          <w:marRight w:val="0"/>
          <w:marTop w:val="0"/>
          <w:marBottom w:val="0"/>
          <w:divBdr>
            <w:top w:val="none" w:sz="0" w:space="0" w:color="auto"/>
            <w:left w:val="none" w:sz="0" w:space="0" w:color="auto"/>
            <w:bottom w:val="none" w:sz="0" w:space="0" w:color="auto"/>
            <w:right w:val="none" w:sz="0" w:space="0" w:color="auto"/>
          </w:divBdr>
        </w:div>
      </w:divsChild>
    </w:div>
    <w:div w:id="1884171740">
      <w:bodyDiv w:val="1"/>
      <w:marLeft w:val="0"/>
      <w:marRight w:val="0"/>
      <w:marTop w:val="0"/>
      <w:marBottom w:val="0"/>
      <w:divBdr>
        <w:top w:val="none" w:sz="0" w:space="0" w:color="auto"/>
        <w:left w:val="none" w:sz="0" w:space="0" w:color="auto"/>
        <w:bottom w:val="none" w:sz="0" w:space="0" w:color="auto"/>
        <w:right w:val="none" w:sz="0" w:space="0" w:color="auto"/>
      </w:divBdr>
      <w:divsChild>
        <w:div w:id="664864017">
          <w:marLeft w:val="0"/>
          <w:marRight w:val="0"/>
          <w:marTop w:val="0"/>
          <w:marBottom w:val="0"/>
          <w:divBdr>
            <w:top w:val="none" w:sz="0" w:space="0" w:color="auto"/>
            <w:left w:val="none" w:sz="0" w:space="0" w:color="auto"/>
            <w:bottom w:val="none" w:sz="0" w:space="0" w:color="auto"/>
            <w:right w:val="none" w:sz="0" w:space="0" w:color="auto"/>
          </w:divBdr>
        </w:div>
      </w:divsChild>
    </w:div>
    <w:div w:id="1962033220">
      <w:bodyDiv w:val="1"/>
      <w:marLeft w:val="0"/>
      <w:marRight w:val="0"/>
      <w:marTop w:val="0"/>
      <w:marBottom w:val="0"/>
      <w:divBdr>
        <w:top w:val="none" w:sz="0" w:space="0" w:color="auto"/>
        <w:left w:val="none" w:sz="0" w:space="0" w:color="auto"/>
        <w:bottom w:val="none" w:sz="0" w:space="0" w:color="auto"/>
        <w:right w:val="none" w:sz="0" w:space="0" w:color="auto"/>
      </w:divBdr>
      <w:divsChild>
        <w:div w:id="1175002360">
          <w:marLeft w:val="0"/>
          <w:marRight w:val="0"/>
          <w:marTop w:val="0"/>
          <w:marBottom w:val="0"/>
          <w:divBdr>
            <w:top w:val="none" w:sz="0" w:space="0" w:color="auto"/>
            <w:left w:val="none" w:sz="0" w:space="0" w:color="auto"/>
            <w:bottom w:val="none" w:sz="0" w:space="0" w:color="auto"/>
            <w:right w:val="none" w:sz="0" w:space="0" w:color="auto"/>
          </w:divBdr>
        </w:div>
      </w:divsChild>
    </w:div>
    <w:div w:id="1997605682">
      <w:bodyDiv w:val="1"/>
      <w:marLeft w:val="0"/>
      <w:marRight w:val="0"/>
      <w:marTop w:val="0"/>
      <w:marBottom w:val="0"/>
      <w:divBdr>
        <w:top w:val="none" w:sz="0" w:space="0" w:color="auto"/>
        <w:left w:val="none" w:sz="0" w:space="0" w:color="auto"/>
        <w:bottom w:val="none" w:sz="0" w:space="0" w:color="auto"/>
        <w:right w:val="none" w:sz="0" w:space="0" w:color="auto"/>
      </w:divBdr>
      <w:divsChild>
        <w:div w:id="1755012739">
          <w:marLeft w:val="0"/>
          <w:marRight w:val="0"/>
          <w:marTop w:val="0"/>
          <w:marBottom w:val="0"/>
          <w:divBdr>
            <w:top w:val="none" w:sz="0" w:space="0" w:color="auto"/>
            <w:left w:val="none" w:sz="0" w:space="0" w:color="auto"/>
            <w:bottom w:val="none" w:sz="0" w:space="0" w:color="auto"/>
            <w:right w:val="none" w:sz="0" w:space="0" w:color="auto"/>
          </w:divBdr>
        </w:div>
      </w:divsChild>
    </w:div>
    <w:div w:id="2008706516">
      <w:bodyDiv w:val="1"/>
      <w:marLeft w:val="0"/>
      <w:marRight w:val="0"/>
      <w:marTop w:val="0"/>
      <w:marBottom w:val="0"/>
      <w:divBdr>
        <w:top w:val="none" w:sz="0" w:space="0" w:color="auto"/>
        <w:left w:val="none" w:sz="0" w:space="0" w:color="auto"/>
        <w:bottom w:val="none" w:sz="0" w:space="0" w:color="auto"/>
        <w:right w:val="none" w:sz="0" w:space="0" w:color="auto"/>
      </w:divBdr>
      <w:divsChild>
        <w:div w:id="1597253151">
          <w:marLeft w:val="0"/>
          <w:marRight w:val="0"/>
          <w:marTop w:val="0"/>
          <w:marBottom w:val="0"/>
          <w:divBdr>
            <w:top w:val="none" w:sz="0" w:space="0" w:color="auto"/>
            <w:left w:val="none" w:sz="0" w:space="0" w:color="auto"/>
            <w:bottom w:val="none" w:sz="0" w:space="0" w:color="auto"/>
            <w:right w:val="none" w:sz="0" w:space="0" w:color="auto"/>
          </w:divBdr>
        </w:div>
      </w:divsChild>
    </w:div>
    <w:div w:id="2023505258">
      <w:bodyDiv w:val="1"/>
      <w:marLeft w:val="0"/>
      <w:marRight w:val="0"/>
      <w:marTop w:val="0"/>
      <w:marBottom w:val="0"/>
      <w:divBdr>
        <w:top w:val="none" w:sz="0" w:space="0" w:color="auto"/>
        <w:left w:val="none" w:sz="0" w:space="0" w:color="auto"/>
        <w:bottom w:val="none" w:sz="0" w:space="0" w:color="auto"/>
        <w:right w:val="none" w:sz="0" w:space="0" w:color="auto"/>
      </w:divBdr>
      <w:divsChild>
        <w:div w:id="1080296161">
          <w:marLeft w:val="0"/>
          <w:marRight w:val="0"/>
          <w:marTop w:val="0"/>
          <w:marBottom w:val="0"/>
          <w:divBdr>
            <w:top w:val="none" w:sz="0" w:space="0" w:color="auto"/>
            <w:left w:val="none" w:sz="0" w:space="0" w:color="auto"/>
            <w:bottom w:val="none" w:sz="0" w:space="0" w:color="auto"/>
            <w:right w:val="none" w:sz="0" w:space="0" w:color="auto"/>
          </w:divBdr>
        </w:div>
      </w:divsChild>
    </w:div>
    <w:div w:id="2033459855">
      <w:bodyDiv w:val="1"/>
      <w:marLeft w:val="0"/>
      <w:marRight w:val="0"/>
      <w:marTop w:val="0"/>
      <w:marBottom w:val="0"/>
      <w:divBdr>
        <w:top w:val="none" w:sz="0" w:space="0" w:color="auto"/>
        <w:left w:val="none" w:sz="0" w:space="0" w:color="auto"/>
        <w:bottom w:val="none" w:sz="0" w:space="0" w:color="auto"/>
        <w:right w:val="none" w:sz="0" w:space="0" w:color="auto"/>
      </w:divBdr>
      <w:divsChild>
        <w:div w:id="723260420">
          <w:marLeft w:val="0"/>
          <w:marRight w:val="0"/>
          <w:marTop w:val="0"/>
          <w:marBottom w:val="0"/>
          <w:divBdr>
            <w:top w:val="none" w:sz="0" w:space="0" w:color="auto"/>
            <w:left w:val="none" w:sz="0" w:space="0" w:color="auto"/>
            <w:bottom w:val="none" w:sz="0" w:space="0" w:color="auto"/>
            <w:right w:val="none" w:sz="0" w:space="0" w:color="auto"/>
          </w:divBdr>
        </w:div>
      </w:divsChild>
    </w:div>
    <w:div w:id="2056999582">
      <w:bodyDiv w:val="1"/>
      <w:marLeft w:val="0"/>
      <w:marRight w:val="0"/>
      <w:marTop w:val="0"/>
      <w:marBottom w:val="0"/>
      <w:divBdr>
        <w:top w:val="none" w:sz="0" w:space="0" w:color="auto"/>
        <w:left w:val="none" w:sz="0" w:space="0" w:color="auto"/>
        <w:bottom w:val="none" w:sz="0" w:space="0" w:color="auto"/>
        <w:right w:val="none" w:sz="0" w:space="0" w:color="auto"/>
      </w:divBdr>
      <w:divsChild>
        <w:div w:id="1446582177">
          <w:marLeft w:val="0"/>
          <w:marRight w:val="0"/>
          <w:marTop w:val="0"/>
          <w:marBottom w:val="0"/>
          <w:divBdr>
            <w:top w:val="none" w:sz="0" w:space="0" w:color="auto"/>
            <w:left w:val="none" w:sz="0" w:space="0" w:color="auto"/>
            <w:bottom w:val="none" w:sz="0" w:space="0" w:color="auto"/>
            <w:right w:val="none" w:sz="0" w:space="0" w:color="auto"/>
          </w:divBdr>
        </w:div>
      </w:divsChild>
    </w:div>
    <w:div w:id="2062709919">
      <w:bodyDiv w:val="1"/>
      <w:marLeft w:val="0"/>
      <w:marRight w:val="0"/>
      <w:marTop w:val="0"/>
      <w:marBottom w:val="0"/>
      <w:divBdr>
        <w:top w:val="none" w:sz="0" w:space="0" w:color="auto"/>
        <w:left w:val="none" w:sz="0" w:space="0" w:color="auto"/>
        <w:bottom w:val="none" w:sz="0" w:space="0" w:color="auto"/>
        <w:right w:val="none" w:sz="0" w:space="0" w:color="auto"/>
      </w:divBdr>
      <w:divsChild>
        <w:div w:id="599026098">
          <w:marLeft w:val="0"/>
          <w:marRight w:val="0"/>
          <w:marTop w:val="0"/>
          <w:marBottom w:val="0"/>
          <w:divBdr>
            <w:top w:val="none" w:sz="0" w:space="0" w:color="auto"/>
            <w:left w:val="none" w:sz="0" w:space="0" w:color="auto"/>
            <w:bottom w:val="none" w:sz="0" w:space="0" w:color="auto"/>
            <w:right w:val="none" w:sz="0" w:space="0" w:color="auto"/>
          </w:divBdr>
        </w:div>
      </w:divsChild>
    </w:div>
    <w:div w:id="2079015880">
      <w:bodyDiv w:val="1"/>
      <w:marLeft w:val="0"/>
      <w:marRight w:val="0"/>
      <w:marTop w:val="0"/>
      <w:marBottom w:val="0"/>
      <w:divBdr>
        <w:top w:val="none" w:sz="0" w:space="0" w:color="auto"/>
        <w:left w:val="none" w:sz="0" w:space="0" w:color="auto"/>
        <w:bottom w:val="none" w:sz="0" w:space="0" w:color="auto"/>
        <w:right w:val="none" w:sz="0" w:space="0" w:color="auto"/>
      </w:divBdr>
      <w:divsChild>
        <w:div w:id="1511067542">
          <w:marLeft w:val="0"/>
          <w:marRight w:val="0"/>
          <w:marTop w:val="0"/>
          <w:marBottom w:val="0"/>
          <w:divBdr>
            <w:top w:val="none" w:sz="0" w:space="0" w:color="auto"/>
            <w:left w:val="none" w:sz="0" w:space="0" w:color="auto"/>
            <w:bottom w:val="none" w:sz="0" w:space="0" w:color="auto"/>
            <w:right w:val="none" w:sz="0" w:space="0" w:color="auto"/>
          </w:divBdr>
        </w:div>
      </w:divsChild>
    </w:div>
    <w:div w:id="2124616363">
      <w:bodyDiv w:val="1"/>
      <w:marLeft w:val="0"/>
      <w:marRight w:val="0"/>
      <w:marTop w:val="0"/>
      <w:marBottom w:val="0"/>
      <w:divBdr>
        <w:top w:val="none" w:sz="0" w:space="0" w:color="auto"/>
        <w:left w:val="none" w:sz="0" w:space="0" w:color="auto"/>
        <w:bottom w:val="none" w:sz="0" w:space="0" w:color="auto"/>
        <w:right w:val="none" w:sz="0" w:space="0" w:color="auto"/>
      </w:divBdr>
    </w:div>
    <w:div w:id="2128425284">
      <w:bodyDiv w:val="1"/>
      <w:marLeft w:val="0"/>
      <w:marRight w:val="0"/>
      <w:marTop w:val="0"/>
      <w:marBottom w:val="0"/>
      <w:divBdr>
        <w:top w:val="none" w:sz="0" w:space="0" w:color="auto"/>
        <w:left w:val="none" w:sz="0" w:space="0" w:color="auto"/>
        <w:bottom w:val="none" w:sz="0" w:space="0" w:color="auto"/>
        <w:right w:val="none" w:sz="0" w:space="0" w:color="auto"/>
      </w:divBdr>
      <w:divsChild>
        <w:div w:id="196436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acas-code-of-practice-on-flexible-working-requests/html" TargetMode="External"/><Relationship Id="rId13" Type="http://schemas.openxmlformats.org/officeDocument/2006/relationships/hyperlink" Target="https://www.pwc.co.uk/services/human-resource-services/insights/harpur-trust-vs-brazel.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v.uk/calculate-your-redundancy-pa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r-inform.co.uk/employment_law/redundancy" TargetMode="External"/><Relationship Id="rId5" Type="http://schemas.openxmlformats.org/officeDocument/2006/relationships/webSettings" Target="webSettings.xml"/><Relationship Id="rId15" Type="http://schemas.openxmlformats.org/officeDocument/2006/relationships/hyperlink" Target="https://www.legislation.gov.uk/ukpga/1992/5" TargetMode="External"/><Relationship Id="rId10" Type="http://schemas.openxmlformats.org/officeDocument/2006/relationships/hyperlink" Target="https://brodies.com/insights/employment-and-immigration/genuine-occupational-requirements" TargetMode="External"/><Relationship Id="rId4" Type="http://schemas.openxmlformats.org/officeDocument/2006/relationships/settings" Target="settings.xml"/><Relationship Id="rId9" Type="http://schemas.openxmlformats.org/officeDocument/2006/relationships/hyperlink" Target="https://www.acas.org.uk/shared-parental-leave-and-pay/checking-eligibility-for-shared-parental-leave" TargetMode="External"/><Relationship Id="rId14" Type="http://schemas.openxmlformats.org/officeDocument/2006/relationships/hyperlink" Target="https://www.legislation.gov.uk/ukpga/201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169EB-9BB6-457F-87F1-7BA85D7DE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14</Pages>
  <Words>5036</Words>
  <Characters>32237</Characters>
  <Application>Microsoft Office Word</Application>
  <DocSecurity>0</DocSecurity>
  <Lines>511</Lines>
  <Paragraphs>159</Paragraphs>
  <ScaleCrop>false</ScaleCrop>
  <Company>Coleg Gwent</Company>
  <LinksUpToDate>false</LinksUpToDate>
  <CharactersWithSpaces>37114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Astell</dc:creator>
  <cp:keywords/>
  <dc:description/>
  <cp:lastModifiedBy>Lynda Astell</cp:lastModifiedBy>
  <cp:revision>124</cp:revision>
  <cp:lastPrinted>2026-03-30T19:14:00Z</cp:lastPrinted>
  <dcterms:created xsi:type="dcterms:W3CDTF">2026-03-29T15:35:00Z</dcterms:created>
  <dcterms:modified xsi:type="dcterms:W3CDTF">2026-03-30T19:52:00Z</dcterms:modified>
</cp:coreProperties>
</file>