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9CC9" w14:textId="77777777" w:rsidR="00A31DCA" w:rsidRPr="00E02468" w:rsidRDefault="00A31DCA" w:rsidP="00A31DCA">
      <w:pPr>
        <w:spacing w:line="360" w:lineRule="auto"/>
        <w:jc w:val="center"/>
        <w:rPr>
          <w:rFonts w:ascii="Arial" w:hAnsi="Arial" w:cs="Arial"/>
          <w:b/>
          <w:bCs/>
          <w:sz w:val="28"/>
          <w:szCs w:val="24"/>
          <w:lang w:val="en-GB"/>
        </w:rPr>
      </w:pPr>
      <w:r w:rsidRPr="00E02468">
        <w:rPr>
          <w:rFonts w:ascii="Arial" w:hAnsi="Arial" w:cs="Arial"/>
          <w:noProof/>
          <w:sz w:val="24"/>
          <w:szCs w:val="24"/>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4DA1E98" w14:textId="1DF80D8C" w:rsidR="009049B6" w:rsidRPr="00E02468" w:rsidRDefault="00A31DCA" w:rsidP="00877CAB">
      <w:pPr>
        <w:spacing w:line="360" w:lineRule="auto"/>
        <w:jc w:val="center"/>
        <w:rPr>
          <w:rFonts w:ascii="Arial" w:hAnsi="Arial" w:cs="Arial"/>
          <w:b/>
          <w:bCs/>
          <w:sz w:val="32"/>
          <w:szCs w:val="24"/>
          <w:lang w:val="en-GB"/>
        </w:rPr>
      </w:pPr>
      <w:r w:rsidRPr="00E02468">
        <w:rPr>
          <w:rFonts w:ascii="Arial" w:hAnsi="Arial" w:cs="Arial"/>
          <w:b/>
          <w:bCs/>
          <w:sz w:val="32"/>
          <w:szCs w:val="24"/>
          <w:lang w:val="en-GB"/>
        </w:rPr>
        <w:t>Master of Business Administration</w:t>
      </w:r>
    </w:p>
    <w:p w14:paraId="0696FD44" w14:textId="3FB474E5" w:rsidR="00A31DCA" w:rsidRPr="00E02468" w:rsidRDefault="00A31DCA" w:rsidP="00877CAB">
      <w:pPr>
        <w:spacing w:after="0" w:line="276" w:lineRule="auto"/>
        <w:jc w:val="center"/>
        <w:rPr>
          <w:rFonts w:ascii="Arial" w:hAnsi="Arial" w:cs="Arial"/>
          <w:b/>
          <w:bCs/>
          <w:sz w:val="28"/>
          <w:szCs w:val="24"/>
          <w:lang w:val="en-GB"/>
        </w:rPr>
      </w:pPr>
      <w:r w:rsidRPr="00E02468">
        <w:rPr>
          <w:rFonts w:ascii="Arial" w:hAnsi="Arial" w:cs="Arial"/>
          <w:b/>
          <w:bCs/>
          <w:sz w:val="28"/>
          <w:szCs w:val="24"/>
          <w:lang w:val="en-GB"/>
        </w:rPr>
        <w:t>Student Name:</w:t>
      </w:r>
      <w:r w:rsidRPr="00E02468">
        <w:rPr>
          <w:rFonts w:ascii="Arial" w:hAnsi="Arial" w:cs="Arial"/>
          <w:sz w:val="28"/>
          <w:szCs w:val="24"/>
          <w:lang w:val="en-GB"/>
        </w:rPr>
        <w:t xml:space="preserve"> </w:t>
      </w:r>
      <w:r w:rsidR="00C75BAC" w:rsidRPr="00E02468">
        <w:rPr>
          <w:rFonts w:ascii="Arial" w:hAnsi="Arial" w:cs="Arial"/>
          <w:b/>
          <w:sz w:val="28"/>
          <w:szCs w:val="24"/>
          <w:lang w:val="en-GB"/>
        </w:rPr>
        <w:t>Sultana Akter</w:t>
      </w:r>
    </w:p>
    <w:p w14:paraId="01195B8F" w14:textId="4F5D8C2D" w:rsidR="009049B6" w:rsidRPr="00E02468" w:rsidRDefault="00A31DCA" w:rsidP="00877CAB">
      <w:pPr>
        <w:spacing w:after="0" w:line="276" w:lineRule="auto"/>
        <w:jc w:val="center"/>
        <w:rPr>
          <w:rFonts w:ascii="Arial" w:hAnsi="Arial" w:cs="Arial"/>
          <w:sz w:val="28"/>
          <w:szCs w:val="24"/>
          <w:lang w:val="en-GB"/>
        </w:rPr>
      </w:pPr>
      <w:r w:rsidRPr="00E02468">
        <w:rPr>
          <w:rFonts w:ascii="Arial" w:hAnsi="Arial" w:cs="Arial"/>
          <w:b/>
          <w:bCs/>
          <w:sz w:val="28"/>
          <w:szCs w:val="24"/>
          <w:lang w:val="en-GB"/>
        </w:rPr>
        <w:t>Student Number:</w:t>
      </w:r>
      <w:r w:rsidR="004B2D5C" w:rsidRPr="00E02468">
        <w:rPr>
          <w:rFonts w:ascii="Arial" w:hAnsi="Arial" w:cs="Arial"/>
          <w:lang w:val="en-GB"/>
        </w:rPr>
        <w:t xml:space="preserve"> </w:t>
      </w:r>
      <w:r w:rsidR="008C0F42" w:rsidRPr="00E02468">
        <w:rPr>
          <w:rFonts w:ascii="Arial" w:hAnsi="Arial" w:cs="Arial"/>
          <w:b/>
          <w:bCs/>
          <w:sz w:val="28"/>
          <w:szCs w:val="24"/>
          <w:lang w:val="en-GB"/>
        </w:rPr>
        <w:t>2422835</w:t>
      </w:r>
    </w:p>
    <w:p w14:paraId="569B70D7" w14:textId="77777777" w:rsidR="00877CAB" w:rsidRPr="00E02468" w:rsidRDefault="00877CAB" w:rsidP="00877CAB">
      <w:pPr>
        <w:spacing w:line="276" w:lineRule="auto"/>
        <w:jc w:val="center"/>
        <w:rPr>
          <w:rFonts w:ascii="Arial" w:hAnsi="Arial" w:cs="Arial"/>
          <w:b/>
          <w:bCs/>
          <w:sz w:val="28"/>
          <w:szCs w:val="24"/>
          <w:lang w:val="en-GB"/>
        </w:rPr>
      </w:pPr>
    </w:p>
    <w:p w14:paraId="5A9EC223" w14:textId="52D77336" w:rsidR="009049B6" w:rsidRPr="00E02468" w:rsidRDefault="009049B6" w:rsidP="00877CAB">
      <w:pPr>
        <w:spacing w:after="0" w:line="276" w:lineRule="auto"/>
        <w:jc w:val="center"/>
        <w:rPr>
          <w:rFonts w:ascii="Arial" w:hAnsi="Arial" w:cs="Arial"/>
          <w:b/>
          <w:bCs/>
          <w:sz w:val="28"/>
          <w:szCs w:val="24"/>
          <w:lang w:val="en-GB"/>
        </w:rPr>
      </w:pPr>
      <w:r w:rsidRPr="00E02468">
        <w:rPr>
          <w:rFonts w:ascii="Arial" w:hAnsi="Arial" w:cs="Arial"/>
          <w:b/>
          <w:bCs/>
          <w:sz w:val="28"/>
          <w:szCs w:val="24"/>
          <w:lang w:val="en-GB"/>
        </w:rPr>
        <w:t>Module C</w:t>
      </w:r>
      <w:r w:rsidR="00A31DCA" w:rsidRPr="00E02468">
        <w:rPr>
          <w:rFonts w:ascii="Arial" w:hAnsi="Arial" w:cs="Arial"/>
          <w:b/>
          <w:bCs/>
          <w:sz w:val="28"/>
          <w:szCs w:val="24"/>
          <w:lang w:val="en-GB"/>
        </w:rPr>
        <w:t>ode:</w:t>
      </w:r>
      <w:r w:rsidR="008F05D2" w:rsidRPr="00E02468">
        <w:rPr>
          <w:rFonts w:ascii="Arial" w:hAnsi="Arial" w:cs="Arial"/>
          <w:lang w:val="en-GB"/>
        </w:rPr>
        <w:t xml:space="preserve"> </w:t>
      </w:r>
      <w:r w:rsidR="008F05D2" w:rsidRPr="00E02468">
        <w:rPr>
          <w:rFonts w:ascii="Arial" w:hAnsi="Arial" w:cs="Arial"/>
          <w:b/>
          <w:bCs/>
          <w:sz w:val="28"/>
          <w:szCs w:val="24"/>
          <w:lang w:val="en-GB"/>
        </w:rPr>
        <w:t>LCMB7035</w:t>
      </w:r>
    </w:p>
    <w:p w14:paraId="0DE4BC8F" w14:textId="1E196BCF" w:rsidR="00A31DCA" w:rsidRPr="00E02468" w:rsidRDefault="00A31DCA" w:rsidP="00877CAB">
      <w:pPr>
        <w:spacing w:after="0" w:line="276" w:lineRule="auto"/>
        <w:jc w:val="center"/>
        <w:rPr>
          <w:rFonts w:ascii="Arial" w:hAnsi="Arial" w:cs="Arial"/>
          <w:b/>
          <w:bCs/>
          <w:sz w:val="28"/>
          <w:szCs w:val="24"/>
          <w:lang w:val="en-GB"/>
        </w:rPr>
      </w:pPr>
      <w:r w:rsidRPr="00E02468">
        <w:rPr>
          <w:rFonts w:ascii="Arial" w:hAnsi="Arial" w:cs="Arial"/>
          <w:b/>
          <w:bCs/>
          <w:sz w:val="28"/>
          <w:szCs w:val="24"/>
          <w:lang w:val="en-GB"/>
        </w:rPr>
        <w:t xml:space="preserve">Module Name: </w:t>
      </w:r>
      <w:r w:rsidR="008F05D2" w:rsidRPr="00E02468">
        <w:rPr>
          <w:rFonts w:ascii="Arial" w:hAnsi="Arial" w:cs="Arial"/>
          <w:b/>
          <w:bCs/>
          <w:sz w:val="28"/>
          <w:szCs w:val="24"/>
          <w:lang w:val="en-GB"/>
        </w:rPr>
        <w:t xml:space="preserve">Dissertation </w:t>
      </w:r>
    </w:p>
    <w:p w14:paraId="502C829C" w14:textId="77777777" w:rsidR="00877CAB" w:rsidRPr="00E02468" w:rsidRDefault="00877CAB" w:rsidP="00877CAB">
      <w:pPr>
        <w:spacing w:line="276" w:lineRule="auto"/>
        <w:jc w:val="center"/>
        <w:rPr>
          <w:rFonts w:ascii="Arial" w:hAnsi="Arial" w:cs="Arial"/>
          <w:b/>
          <w:bCs/>
          <w:sz w:val="28"/>
          <w:szCs w:val="24"/>
          <w:lang w:val="en-GB"/>
        </w:rPr>
      </w:pPr>
    </w:p>
    <w:p w14:paraId="1B227B4A" w14:textId="1AE191B0" w:rsidR="0065437D" w:rsidRPr="00E02468" w:rsidRDefault="00A31DCA" w:rsidP="00877CAB">
      <w:pPr>
        <w:spacing w:line="276" w:lineRule="auto"/>
        <w:jc w:val="center"/>
        <w:rPr>
          <w:rFonts w:ascii="Arial" w:hAnsi="Arial" w:cs="Arial"/>
          <w:b/>
          <w:bCs/>
          <w:sz w:val="28"/>
          <w:szCs w:val="24"/>
          <w:lang w:val="en-GB"/>
        </w:rPr>
      </w:pPr>
      <w:r w:rsidRPr="00E02468">
        <w:rPr>
          <w:rFonts w:ascii="Arial" w:hAnsi="Arial" w:cs="Arial"/>
          <w:b/>
          <w:bCs/>
          <w:sz w:val="28"/>
          <w:szCs w:val="24"/>
          <w:lang w:val="en-GB"/>
        </w:rPr>
        <w:t xml:space="preserve">Title: </w:t>
      </w:r>
      <w:r w:rsidR="00771D07" w:rsidRPr="00E02468">
        <w:rPr>
          <w:rFonts w:ascii="Arial" w:hAnsi="Arial" w:cs="Arial"/>
          <w:b/>
          <w:bCs/>
          <w:sz w:val="28"/>
          <w:szCs w:val="24"/>
          <w:lang w:val="en-GB"/>
        </w:rPr>
        <w:t>"</w:t>
      </w:r>
      <w:r w:rsidR="00E665BE" w:rsidRPr="00E02468">
        <w:rPr>
          <w:rFonts w:ascii="Arial" w:hAnsi="Arial" w:cs="Arial"/>
          <w:b/>
          <w:bCs/>
          <w:sz w:val="28"/>
          <w:szCs w:val="24"/>
          <w:lang w:val="en-GB"/>
        </w:rPr>
        <w:t>The Influence of Human Capital Management Practices on Customer Service Qualit</w:t>
      </w:r>
      <w:r w:rsidR="009049B6" w:rsidRPr="00E02468">
        <w:rPr>
          <w:rFonts w:ascii="Arial" w:hAnsi="Arial" w:cs="Arial"/>
          <w:b/>
          <w:bCs/>
          <w:sz w:val="28"/>
          <w:szCs w:val="24"/>
          <w:lang w:val="en-GB"/>
        </w:rPr>
        <w:t>y in the UK Restaurant Industry</w:t>
      </w:r>
      <w:r w:rsidR="00771D07" w:rsidRPr="00E02468">
        <w:rPr>
          <w:rFonts w:ascii="Arial" w:hAnsi="Arial" w:cs="Arial"/>
          <w:b/>
          <w:bCs/>
          <w:sz w:val="28"/>
          <w:szCs w:val="24"/>
          <w:lang w:val="en-GB"/>
        </w:rPr>
        <w:t>"</w:t>
      </w:r>
    </w:p>
    <w:p w14:paraId="178A9135" w14:textId="77777777" w:rsidR="009049B6" w:rsidRPr="00E02468" w:rsidRDefault="009049B6" w:rsidP="00A31DCA">
      <w:pPr>
        <w:spacing w:line="360" w:lineRule="auto"/>
        <w:jc w:val="center"/>
        <w:rPr>
          <w:rFonts w:ascii="Arial" w:hAnsi="Arial" w:cs="Arial"/>
          <w:b/>
          <w:bCs/>
          <w:sz w:val="28"/>
          <w:szCs w:val="24"/>
          <w:lang w:val="en-GB"/>
        </w:rPr>
      </w:pPr>
    </w:p>
    <w:p w14:paraId="09021493" w14:textId="0F44E8B2" w:rsidR="006E29E7" w:rsidRPr="00E02468" w:rsidRDefault="006E29E7" w:rsidP="00877CAB">
      <w:pPr>
        <w:spacing w:after="0" w:line="360" w:lineRule="auto"/>
        <w:jc w:val="center"/>
        <w:rPr>
          <w:rFonts w:ascii="Arial" w:hAnsi="Arial" w:cs="Arial"/>
          <w:b/>
          <w:bCs/>
          <w:sz w:val="28"/>
          <w:szCs w:val="24"/>
          <w:lang w:val="en-GB"/>
        </w:rPr>
      </w:pPr>
      <w:r w:rsidRPr="00E02468">
        <w:rPr>
          <w:rFonts w:ascii="Arial" w:hAnsi="Arial" w:cs="Arial"/>
          <w:b/>
          <w:bCs/>
          <w:sz w:val="28"/>
          <w:szCs w:val="24"/>
          <w:lang w:val="en-GB"/>
        </w:rPr>
        <w:t xml:space="preserve">Supervisor: </w:t>
      </w:r>
      <w:r w:rsidR="00877CAB" w:rsidRPr="00E02468">
        <w:rPr>
          <w:rFonts w:ascii="Arial" w:hAnsi="Arial" w:cs="Arial"/>
          <w:b/>
          <w:bCs/>
          <w:sz w:val="28"/>
          <w:szCs w:val="24"/>
          <w:lang w:val="en-GB"/>
        </w:rPr>
        <w:t>Dr.</w:t>
      </w:r>
      <w:r w:rsidR="00E02468" w:rsidRPr="00E02468">
        <w:rPr>
          <w:rFonts w:ascii="Arial" w:hAnsi="Arial" w:cs="Arial"/>
          <w:b/>
          <w:bCs/>
          <w:sz w:val="28"/>
          <w:szCs w:val="24"/>
          <w:lang w:val="en-GB"/>
        </w:rPr>
        <w:t xml:space="preserve"> </w:t>
      </w:r>
      <w:r w:rsidR="00877CAB" w:rsidRPr="00E02468">
        <w:rPr>
          <w:rFonts w:ascii="Arial" w:hAnsi="Arial" w:cs="Arial"/>
          <w:b/>
          <w:bCs/>
          <w:sz w:val="28"/>
          <w:szCs w:val="24"/>
          <w:lang w:val="en-GB"/>
        </w:rPr>
        <w:t>Ghulam Mujtaba</w:t>
      </w:r>
    </w:p>
    <w:p w14:paraId="044431BD" w14:textId="2FBF4D0D" w:rsidR="00E23192" w:rsidRPr="00E02468" w:rsidRDefault="00493CD3" w:rsidP="00877CAB">
      <w:pPr>
        <w:spacing w:after="0" w:line="360" w:lineRule="auto"/>
        <w:jc w:val="center"/>
        <w:rPr>
          <w:rFonts w:ascii="Arial" w:hAnsi="Arial" w:cs="Arial"/>
          <w:b/>
          <w:bCs/>
          <w:sz w:val="28"/>
          <w:szCs w:val="24"/>
          <w:lang w:val="en-GB"/>
        </w:rPr>
      </w:pPr>
      <w:r w:rsidRPr="00E02468">
        <w:rPr>
          <w:rFonts w:ascii="Arial" w:hAnsi="Arial" w:cs="Arial"/>
          <w:b/>
          <w:bCs/>
          <w:sz w:val="28"/>
          <w:szCs w:val="24"/>
          <w:lang w:val="en-GB"/>
        </w:rPr>
        <w:t xml:space="preserve">Words Count: </w:t>
      </w:r>
      <w:r w:rsidR="00DF1239" w:rsidRPr="00E02468">
        <w:rPr>
          <w:rFonts w:ascii="Arial" w:hAnsi="Arial" w:cs="Arial"/>
          <w:b/>
          <w:bCs/>
          <w:sz w:val="28"/>
          <w:szCs w:val="24"/>
          <w:lang w:val="en-GB"/>
        </w:rPr>
        <w:t>16457</w:t>
      </w:r>
    </w:p>
    <w:p w14:paraId="194345E7" w14:textId="0F9EE2F2" w:rsidR="00933FB2" w:rsidRPr="00E02468" w:rsidRDefault="00933FB2" w:rsidP="00877CAB">
      <w:pPr>
        <w:spacing w:after="0" w:line="360" w:lineRule="auto"/>
        <w:jc w:val="center"/>
        <w:rPr>
          <w:rFonts w:ascii="Arial" w:hAnsi="Arial" w:cs="Arial"/>
          <w:b/>
          <w:bCs/>
          <w:sz w:val="28"/>
          <w:szCs w:val="24"/>
          <w:lang w:val="en-GB"/>
        </w:rPr>
      </w:pPr>
    </w:p>
    <w:p w14:paraId="5D7514C3" w14:textId="7D12495E" w:rsidR="00933FB2" w:rsidRPr="00E02468" w:rsidRDefault="00933FB2" w:rsidP="00933FB2">
      <w:pPr>
        <w:spacing w:after="0" w:line="360" w:lineRule="auto"/>
        <w:jc w:val="both"/>
        <w:rPr>
          <w:rFonts w:ascii="Arial" w:hAnsi="Arial" w:cs="Arial"/>
          <w:b/>
          <w:bCs/>
          <w:sz w:val="28"/>
          <w:szCs w:val="24"/>
          <w:lang w:val="en-GB"/>
        </w:rPr>
      </w:pPr>
    </w:p>
    <w:p w14:paraId="4195A3F8" w14:textId="5A454652" w:rsidR="00933FB2" w:rsidRPr="00E02468" w:rsidRDefault="00933FB2" w:rsidP="00933FB2">
      <w:pPr>
        <w:spacing w:after="0" w:line="360" w:lineRule="auto"/>
        <w:jc w:val="both"/>
        <w:rPr>
          <w:rFonts w:ascii="Arial" w:hAnsi="Arial" w:cs="Arial"/>
          <w:b/>
          <w:bCs/>
          <w:sz w:val="28"/>
          <w:szCs w:val="24"/>
          <w:lang w:val="en-GB"/>
        </w:rPr>
      </w:pPr>
    </w:p>
    <w:p w14:paraId="2EA79AB2" w14:textId="4BFDC46E" w:rsidR="00933FB2" w:rsidRPr="00E02468" w:rsidRDefault="00933FB2" w:rsidP="00933FB2">
      <w:pPr>
        <w:spacing w:after="0" w:line="360" w:lineRule="auto"/>
        <w:jc w:val="both"/>
        <w:rPr>
          <w:rFonts w:ascii="Arial" w:hAnsi="Arial" w:cs="Arial"/>
          <w:b/>
          <w:bCs/>
          <w:sz w:val="28"/>
          <w:szCs w:val="24"/>
          <w:lang w:val="en-GB"/>
        </w:rPr>
      </w:pPr>
    </w:p>
    <w:p w14:paraId="61658587" w14:textId="04CA390D" w:rsidR="00933FB2" w:rsidRPr="00E02468" w:rsidRDefault="00933FB2" w:rsidP="00933FB2">
      <w:pPr>
        <w:spacing w:after="0" w:line="360" w:lineRule="auto"/>
        <w:jc w:val="both"/>
        <w:rPr>
          <w:rFonts w:ascii="Arial" w:hAnsi="Arial" w:cs="Arial"/>
          <w:b/>
          <w:bCs/>
          <w:sz w:val="28"/>
          <w:szCs w:val="24"/>
          <w:lang w:val="en-GB"/>
        </w:rPr>
      </w:pPr>
    </w:p>
    <w:p w14:paraId="5CFB5607" w14:textId="31CD3D9B" w:rsidR="00933FB2" w:rsidRPr="00E02468" w:rsidRDefault="00933FB2" w:rsidP="00933FB2">
      <w:pPr>
        <w:spacing w:after="0" w:line="360" w:lineRule="auto"/>
        <w:jc w:val="both"/>
        <w:rPr>
          <w:rFonts w:ascii="Arial" w:hAnsi="Arial" w:cs="Arial"/>
          <w:b/>
          <w:bCs/>
          <w:sz w:val="28"/>
          <w:szCs w:val="24"/>
          <w:lang w:val="en-GB"/>
        </w:rPr>
      </w:pPr>
    </w:p>
    <w:p w14:paraId="29C13BE0" w14:textId="78668C2B" w:rsidR="00933FB2" w:rsidRPr="00E02468" w:rsidRDefault="00933FB2" w:rsidP="00933FB2">
      <w:pPr>
        <w:spacing w:after="0" w:line="360" w:lineRule="auto"/>
        <w:jc w:val="both"/>
        <w:rPr>
          <w:rFonts w:ascii="Arial" w:hAnsi="Arial" w:cs="Arial"/>
          <w:b/>
          <w:bCs/>
          <w:sz w:val="28"/>
          <w:szCs w:val="24"/>
          <w:lang w:val="en-GB"/>
        </w:rPr>
      </w:pPr>
    </w:p>
    <w:p w14:paraId="111C485B" w14:textId="3D3A8DB3" w:rsidR="00933FB2" w:rsidRPr="00E02468" w:rsidRDefault="00933FB2" w:rsidP="00933FB2">
      <w:pPr>
        <w:spacing w:after="0" w:line="360" w:lineRule="auto"/>
        <w:jc w:val="both"/>
        <w:rPr>
          <w:rFonts w:ascii="Arial" w:hAnsi="Arial" w:cs="Arial"/>
          <w:b/>
          <w:bCs/>
          <w:sz w:val="28"/>
          <w:szCs w:val="24"/>
          <w:lang w:val="en-GB"/>
        </w:rPr>
      </w:pPr>
    </w:p>
    <w:p w14:paraId="0A5AF36F" w14:textId="4077DDA3" w:rsidR="00933FB2" w:rsidRPr="00E02468" w:rsidRDefault="00933FB2" w:rsidP="00933FB2">
      <w:pPr>
        <w:spacing w:after="0" w:line="360" w:lineRule="auto"/>
        <w:jc w:val="both"/>
        <w:rPr>
          <w:rFonts w:ascii="Arial" w:hAnsi="Arial" w:cs="Arial"/>
          <w:b/>
          <w:bCs/>
          <w:sz w:val="28"/>
          <w:szCs w:val="24"/>
          <w:lang w:val="en-GB"/>
        </w:rPr>
      </w:pPr>
    </w:p>
    <w:p w14:paraId="517E90BA" w14:textId="4F69CDD9" w:rsidR="00933FB2" w:rsidRPr="00E02468" w:rsidRDefault="00933FB2" w:rsidP="00933FB2">
      <w:pPr>
        <w:spacing w:after="0" w:line="360" w:lineRule="auto"/>
        <w:jc w:val="both"/>
        <w:rPr>
          <w:rFonts w:ascii="Arial" w:hAnsi="Arial" w:cs="Arial"/>
          <w:b/>
          <w:bCs/>
          <w:sz w:val="28"/>
          <w:szCs w:val="24"/>
          <w:lang w:val="en-GB"/>
        </w:rPr>
      </w:pPr>
    </w:p>
    <w:p w14:paraId="290ADE31" w14:textId="0D95139B" w:rsidR="00933FB2" w:rsidRPr="00E02468" w:rsidRDefault="00933FB2" w:rsidP="00933FB2">
      <w:pPr>
        <w:spacing w:after="0" w:line="360" w:lineRule="auto"/>
        <w:jc w:val="both"/>
        <w:rPr>
          <w:rFonts w:ascii="Arial" w:hAnsi="Arial" w:cs="Arial"/>
          <w:b/>
          <w:bCs/>
          <w:sz w:val="28"/>
          <w:szCs w:val="24"/>
          <w:lang w:val="en-GB"/>
        </w:rPr>
      </w:pPr>
    </w:p>
    <w:p w14:paraId="2B1DC739" w14:textId="053EFC18" w:rsidR="00933FB2" w:rsidRPr="00E02468" w:rsidRDefault="00933FB2" w:rsidP="00933FB2">
      <w:pPr>
        <w:spacing w:after="0" w:line="360" w:lineRule="auto"/>
        <w:jc w:val="both"/>
        <w:rPr>
          <w:rFonts w:ascii="Arial" w:hAnsi="Arial" w:cs="Arial"/>
          <w:b/>
          <w:bCs/>
          <w:sz w:val="28"/>
          <w:szCs w:val="24"/>
          <w:lang w:val="en-GB"/>
        </w:rPr>
      </w:pPr>
    </w:p>
    <w:p w14:paraId="20A66479"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lang w:val="en-GB" w:eastAsia="en-GB"/>
        </w:rPr>
      </w:pPr>
      <w:r w:rsidRPr="00E02468">
        <w:rPr>
          <w:rFonts w:ascii="Arial" w:eastAsia="Arial" w:hAnsi="Arial" w:cs="Arial"/>
          <w:noProof/>
        </w:rPr>
        <w:drawing>
          <wp:inline distT="0" distB="0" distL="0" distR="0" wp14:anchorId="2E71636F" wp14:editId="4F005F88">
            <wp:extent cx="2844800" cy="11684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44800" cy="1168400"/>
                    </a:xfrm>
                    <a:prstGeom prst="rect">
                      <a:avLst/>
                    </a:prstGeom>
                    <a:ln/>
                  </pic:spPr>
                </pic:pic>
              </a:graphicData>
            </a:graphic>
          </wp:inline>
        </w:drawing>
      </w:r>
    </w:p>
    <w:p w14:paraId="2A69447C"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28"/>
          <w:szCs w:val="28"/>
          <w:lang w:val="en-GB" w:eastAsia="en-GB"/>
        </w:rPr>
      </w:pPr>
    </w:p>
    <w:p w14:paraId="23752151"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lang w:val="en-GB" w:eastAsia="en-GB"/>
        </w:rPr>
      </w:pPr>
      <w:r w:rsidRPr="00E02468">
        <w:rPr>
          <w:rFonts w:ascii="Arial" w:eastAsia="Arial" w:hAnsi="Arial" w:cs="Arial"/>
          <w:b/>
          <w:bCs/>
          <w:sz w:val="28"/>
          <w:szCs w:val="28"/>
          <w:lang w:val="en-GB" w:eastAsia="en-GB"/>
        </w:rPr>
        <w:t>Master’s Degrees by Examination and Dissertation</w:t>
      </w:r>
    </w:p>
    <w:p w14:paraId="5F8BD2DA"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lang w:val="en-GB" w:eastAsia="en-GB"/>
        </w:rPr>
      </w:pPr>
      <w:r w:rsidRPr="00E02468">
        <w:rPr>
          <w:rFonts w:ascii="Arial" w:eastAsia="Arial" w:hAnsi="Arial" w:cs="Arial"/>
          <w:b/>
          <w:bCs/>
          <w:sz w:val="28"/>
          <w:szCs w:val="28"/>
          <w:lang w:val="en-GB" w:eastAsia="en-GB"/>
        </w:rPr>
        <w:t>Declaration Form</w:t>
      </w:r>
    </w:p>
    <w:p w14:paraId="1224D867"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lang w:val="en-GB" w:eastAsia="en-GB"/>
        </w:rPr>
      </w:pPr>
    </w:p>
    <w:p w14:paraId="2A8EADC7" w14:textId="13406AD2"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lang w:val="en-GB" w:eastAsia="en-GB"/>
        </w:rPr>
      </w:pPr>
      <w:r w:rsidRPr="00E02468">
        <w:rPr>
          <w:rFonts w:ascii="Arial" w:eastAsia="Arial" w:hAnsi="Arial" w:cs="Arial"/>
          <w:sz w:val="24"/>
          <w:szCs w:val="24"/>
          <w:lang w:val="en-GB" w:eastAsia="en-GB"/>
        </w:rPr>
        <w:t xml:space="preserve">I, Sultana Akter,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EAD7446"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lang w:val="en-GB" w:eastAsia="en-GB"/>
        </w:rPr>
      </w:pPr>
      <w:r w:rsidRPr="00E02468">
        <w:rPr>
          <w:rFonts w:ascii="Arial" w:eastAsia="Arial" w:hAnsi="Arial" w:cs="Arial"/>
          <w:sz w:val="24"/>
          <w:szCs w:val="24"/>
          <w:lang w:val="en-GB" w:eastAsia="en-GB"/>
        </w:rPr>
        <w:t xml:space="preserve"> </w:t>
      </w:r>
    </w:p>
    <w:p w14:paraId="1F527820" w14:textId="7FD3E7E9"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lang w:val="en-GB" w:eastAsia="en-GB"/>
        </w:rPr>
      </w:pPr>
      <w:r w:rsidRPr="00E02468">
        <w:rPr>
          <w:rFonts w:ascii="Arial" w:eastAsia="Arial" w:hAnsi="Arial" w:cs="Arial"/>
          <w:sz w:val="24"/>
          <w:szCs w:val="24"/>
          <w:lang w:val="en-GB" w:eastAsia="en-GB"/>
        </w:rPr>
        <w:t>Signature: Sultana Akter</w:t>
      </w:r>
    </w:p>
    <w:p w14:paraId="39D71D2C"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lang w:val="en-GB" w:eastAsia="en-GB"/>
        </w:rPr>
      </w:pPr>
      <w:bookmarkStart w:id="0" w:name="_heading=h.9gp2flq0d865" w:colFirst="0" w:colLast="0"/>
      <w:bookmarkEnd w:id="0"/>
      <w:r w:rsidRPr="00E02468">
        <w:rPr>
          <w:rFonts w:ascii="Arial" w:eastAsia="Arial" w:hAnsi="Arial" w:cs="Arial"/>
          <w:sz w:val="24"/>
          <w:szCs w:val="24"/>
          <w:lang w:val="en-GB" w:eastAsia="en-GB"/>
        </w:rPr>
        <w:t xml:space="preserve">Date: </w:t>
      </w:r>
    </w:p>
    <w:p w14:paraId="0C86E7A5" w14:textId="77777777" w:rsidR="001A5135" w:rsidRPr="00E02468" w:rsidRDefault="001A5135" w:rsidP="001A5135">
      <w:pPr>
        <w:pBdr>
          <w:top w:val="single" w:sz="4" w:space="1" w:color="000000"/>
          <w:left w:val="single" w:sz="4" w:space="4" w:color="000000"/>
          <w:bottom w:val="single" w:sz="4" w:space="31" w:color="000000"/>
          <w:right w:val="single" w:sz="4" w:space="4" w:color="000000"/>
        </w:pBdr>
        <w:spacing w:after="120"/>
        <w:rPr>
          <w:rFonts w:ascii="Arial" w:eastAsia="Arial" w:hAnsi="Arial" w:cs="Arial"/>
          <w:lang w:val="en-GB" w:eastAsia="en-GB"/>
        </w:rPr>
      </w:pPr>
    </w:p>
    <w:p w14:paraId="3EBC9E73" w14:textId="7F4AE497" w:rsidR="001A5135" w:rsidRPr="00E02468" w:rsidRDefault="001A5135" w:rsidP="001A5135">
      <w:pPr>
        <w:rPr>
          <w:rFonts w:ascii="Arial" w:hAnsi="Arial" w:cs="Arial"/>
          <w:lang w:val="en-GB"/>
        </w:rPr>
      </w:pPr>
    </w:p>
    <w:p w14:paraId="77306CAA" w14:textId="68C0A685" w:rsidR="001A5135" w:rsidRPr="00E02468" w:rsidRDefault="001A5135" w:rsidP="001A5135">
      <w:pPr>
        <w:rPr>
          <w:rFonts w:ascii="Arial" w:hAnsi="Arial" w:cs="Arial"/>
          <w:lang w:val="en-GB"/>
        </w:rPr>
      </w:pPr>
    </w:p>
    <w:p w14:paraId="41C12ECF" w14:textId="47C29263" w:rsidR="001A5135" w:rsidRPr="00E02468" w:rsidRDefault="001A5135" w:rsidP="001A5135">
      <w:pPr>
        <w:rPr>
          <w:rFonts w:ascii="Arial" w:hAnsi="Arial" w:cs="Arial"/>
          <w:lang w:val="en-GB"/>
        </w:rPr>
      </w:pPr>
    </w:p>
    <w:p w14:paraId="0E76C712" w14:textId="7DBFAE9D" w:rsidR="001A5135" w:rsidRPr="00E02468" w:rsidRDefault="001A5135" w:rsidP="001A5135">
      <w:pPr>
        <w:rPr>
          <w:rFonts w:ascii="Arial" w:hAnsi="Arial" w:cs="Arial"/>
          <w:lang w:val="en-GB"/>
        </w:rPr>
      </w:pPr>
    </w:p>
    <w:p w14:paraId="3D9ABC44" w14:textId="47CBF58E" w:rsidR="001A5135" w:rsidRPr="00E02468" w:rsidRDefault="001A5135" w:rsidP="001A5135">
      <w:pPr>
        <w:rPr>
          <w:rFonts w:ascii="Arial" w:hAnsi="Arial" w:cs="Arial"/>
          <w:lang w:val="en-GB"/>
        </w:rPr>
      </w:pPr>
    </w:p>
    <w:p w14:paraId="76982EA3" w14:textId="542AC082" w:rsidR="00645535" w:rsidRPr="00E02468" w:rsidRDefault="00645535" w:rsidP="001A5135">
      <w:pPr>
        <w:rPr>
          <w:rFonts w:ascii="Arial" w:hAnsi="Arial" w:cs="Arial"/>
          <w:lang w:val="en-GB"/>
        </w:rPr>
      </w:pPr>
    </w:p>
    <w:p w14:paraId="072812D3" w14:textId="2766CE31" w:rsidR="00645535" w:rsidRPr="00E02468" w:rsidRDefault="00645535" w:rsidP="001A5135">
      <w:pPr>
        <w:rPr>
          <w:rFonts w:ascii="Arial" w:hAnsi="Arial" w:cs="Arial"/>
          <w:lang w:val="en-GB"/>
        </w:rPr>
      </w:pPr>
    </w:p>
    <w:p w14:paraId="2E0107B7" w14:textId="77777777" w:rsidR="00645535" w:rsidRPr="00E02468" w:rsidRDefault="00645535" w:rsidP="001A5135">
      <w:pPr>
        <w:rPr>
          <w:rFonts w:ascii="Arial" w:hAnsi="Arial" w:cs="Arial"/>
          <w:lang w:val="en-GB"/>
        </w:rPr>
      </w:pPr>
    </w:p>
    <w:p w14:paraId="546D0769" w14:textId="77777777" w:rsidR="002F4559" w:rsidRPr="00E02468" w:rsidRDefault="002F4559" w:rsidP="002F4559">
      <w:pPr>
        <w:pStyle w:val="Heading1"/>
        <w:jc w:val="center"/>
        <w:rPr>
          <w:rFonts w:cs="Arial"/>
          <w:lang w:val="en-GB"/>
        </w:rPr>
      </w:pPr>
      <w:bookmarkStart w:id="1" w:name="_Toc240932091"/>
      <w:r w:rsidRPr="00E02468">
        <w:rPr>
          <w:rFonts w:cs="Arial"/>
          <w:lang w:val="en-GB"/>
        </w:rPr>
        <w:t>AI Use Acknowledgement</w:t>
      </w:r>
      <w:bookmarkEnd w:id="1"/>
    </w:p>
    <w:p w14:paraId="75C2246D" w14:textId="77777777" w:rsidR="002F4559" w:rsidRPr="00E02468" w:rsidRDefault="002F4559" w:rsidP="002F4559">
      <w:pPr>
        <w:spacing w:after="0" w:line="360" w:lineRule="auto"/>
        <w:jc w:val="both"/>
        <w:rPr>
          <w:rFonts w:ascii="Arial" w:hAnsi="Arial" w:cs="Arial"/>
          <w:b/>
          <w:bCs/>
          <w:sz w:val="28"/>
          <w:szCs w:val="24"/>
          <w:lang w:val="en-GB"/>
        </w:rPr>
      </w:pPr>
    </w:p>
    <w:p w14:paraId="33FC6F45" w14:textId="77777777" w:rsidR="002F4559" w:rsidRPr="00E02468" w:rsidRDefault="002F4559" w:rsidP="002F4559">
      <w:pPr>
        <w:spacing w:after="0" w:line="360" w:lineRule="auto"/>
        <w:jc w:val="both"/>
        <w:rPr>
          <w:rFonts w:ascii="Arial" w:hAnsi="Arial" w:cs="Arial"/>
          <w:bCs/>
          <w:sz w:val="24"/>
          <w:szCs w:val="24"/>
          <w:lang w:val="en-GB"/>
        </w:rPr>
      </w:pPr>
      <w:r w:rsidRPr="00E02468">
        <w:rPr>
          <w:rFonts w:ascii="Arial" w:hAnsi="Arial" w:cs="Arial"/>
          <w:bCs/>
          <w:sz w:val="24"/>
          <w:szCs w:val="24"/>
          <w:lang w:val="en-GB"/>
        </w:rPr>
        <w:t>I confirm that Artificial Intelligence (AI) tools were not used in the preparation, writing, analysis, interpretation, or editing of this dissertation. The research, literature review, data analysis, discussion, conclusions, and recommendations were completed independently by the author.</w:t>
      </w:r>
    </w:p>
    <w:p w14:paraId="764585B3" w14:textId="77777777" w:rsidR="002F4559" w:rsidRPr="00E02468" w:rsidRDefault="002F4559" w:rsidP="002F4559">
      <w:pPr>
        <w:spacing w:after="0" w:line="360" w:lineRule="auto"/>
        <w:jc w:val="both"/>
        <w:rPr>
          <w:rFonts w:ascii="Arial" w:hAnsi="Arial" w:cs="Arial"/>
          <w:bCs/>
          <w:sz w:val="24"/>
          <w:szCs w:val="24"/>
          <w:lang w:val="en-GB"/>
        </w:rPr>
      </w:pPr>
    </w:p>
    <w:p w14:paraId="5C59CF20" w14:textId="110F44C3" w:rsidR="002F4559" w:rsidRPr="00E02468" w:rsidRDefault="002F4559" w:rsidP="002F4559">
      <w:pPr>
        <w:spacing w:after="0" w:line="360" w:lineRule="auto"/>
        <w:jc w:val="both"/>
        <w:rPr>
          <w:rFonts w:ascii="Arial" w:hAnsi="Arial" w:cs="Arial"/>
          <w:bCs/>
          <w:sz w:val="24"/>
          <w:szCs w:val="24"/>
          <w:lang w:val="en-GB"/>
        </w:rPr>
      </w:pPr>
      <w:r w:rsidRPr="00E02468">
        <w:rPr>
          <w:rFonts w:ascii="Arial" w:hAnsi="Arial" w:cs="Arial"/>
          <w:bCs/>
          <w:sz w:val="24"/>
          <w:szCs w:val="24"/>
          <w:lang w:val="en-GB"/>
        </w:rPr>
        <w:t xml:space="preserve">All sources used in the dissertation were identified, evaluated and referenced by the author in accordance with the University’s academic integrity and Harvard referencing requirements. </w:t>
      </w:r>
      <w:r w:rsidR="002B17CD" w:rsidRPr="00E02468">
        <w:rPr>
          <w:rFonts w:ascii="Arial" w:hAnsi="Arial" w:cs="Arial"/>
          <w:bCs/>
          <w:sz w:val="24"/>
          <w:szCs w:val="24"/>
          <w:lang w:val="en-GB"/>
        </w:rPr>
        <w:t>The author takes the entire responsibility for the accuracy, originality, interpretation and final content of the submitted dissertation.</w:t>
      </w:r>
    </w:p>
    <w:p w14:paraId="7872E46C" w14:textId="6AB20D40" w:rsidR="002F4559" w:rsidRPr="00E02468" w:rsidRDefault="002F4559" w:rsidP="002F4559">
      <w:pPr>
        <w:spacing w:after="0" w:line="360" w:lineRule="auto"/>
        <w:jc w:val="both"/>
        <w:rPr>
          <w:rFonts w:ascii="Arial" w:hAnsi="Arial" w:cs="Arial"/>
          <w:bCs/>
          <w:sz w:val="24"/>
          <w:szCs w:val="24"/>
          <w:lang w:val="en-GB"/>
        </w:rPr>
      </w:pPr>
    </w:p>
    <w:p w14:paraId="4BB34091" w14:textId="36C0DF3B" w:rsidR="002F4559" w:rsidRPr="00E02468" w:rsidRDefault="002F4559" w:rsidP="002F4559">
      <w:pPr>
        <w:spacing w:after="0" w:line="360" w:lineRule="auto"/>
        <w:jc w:val="both"/>
        <w:rPr>
          <w:rFonts w:ascii="Arial" w:hAnsi="Arial" w:cs="Arial"/>
          <w:bCs/>
          <w:sz w:val="24"/>
          <w:szCs w:val="24"/>
          <w:lang w:val="en-GB"/>
        </w:rPr>
      </w:pPr>
    </w:p>
    <w:p w14:paraId="2040AB22" w14:textId="6BF202E0" w:rsidR="002F4559" w:rsidRPr="00E02468" w:rsidRDefault="002F4559" w:rsidP="002F4559">
      <w:pPr>
        <w:spacing w:after="0" w:line="360" w:lineRule="auto"/>
        <w:jc w:val="both"/>
        <w:rPr>
          <w:rFonts w:ascii="Arial" w:hAnsi="Arial" w:cs="Arial"/>
          <w:bCs/>
          <w:sz w:val="24"/>
          <w:szCs w:val="24"/>
          <w:lang w:val="en-GB"/>
        </w:rPr>
      </w:pPr>
    </w:p>
    <w:p w14:paraId="3E654F2D" w14:textId="4F9B384E" w:rsidR="002F4559" w:rsidRPr="00E02468" w:rsidRDefault="002F4559" w:rsidP="002F4559">
      <w:pPr>
        <w:spacing w:after="0" w:line="360" w:lineRule="auto"/>
        <w:jc w:val="both"/>
        <w:rPr>
          <w:rFonts w:ascii="Arial" w:hAnsi="Arial" w:cs="Arial"/>
          <w:bCs/>
          <w:sz w:val="24"/>
          <w:szCs w:val="24"/>
          <w:lang w:val="en-GB"/>
        </w:rPr>
      </w:pPr>
    </w:p>
    <w:p w14:paraId="10CBE2B4" w14:textId="78C4C91C" w:rsidR="002F4559" w:rsidRPr="00E02468" w:rsidRDefault="002F4559" w:rsidP="002F4559">
      <w:pPr>
        <w:spacing w:after="0" w:line="360" w:lineRule="auto"/>
        <w:jc w:val="both"/>
        <w:rPr>
          <w:rFonts w:ascii="Arial" w:hAnsi="Arial" w:cs="Arial"/>
          <w:bCs/>
          <w:sz w:val="24"/>
          <w:szCs w:val="24"/>
          <w:lang w:val="en-GB"/>
        </w:rPr>
      </w:pPr>
    </w:p>
    <w:p w14:paraId="30644071" w14:textId="1108FFE7" w:rsidR="002F4559" w:rsidRPr="00E02468" w:rsidRDefault="002F4559" w:rsidP="002F4559">
      <w:pPr>
        <w:spacing w:after="0" w:line="360" w:lineRule="auto"/>
        <w:jc w:val="both"/>
        <w:rPr>
          <w:rFonts w:ascii="Arial" w:hAnsi="Arial" w:cs="Arial"/>
          <w:bCs/>
          <w:sz w:val="24"/>
          <w:szCs w:val="24"/>
          <w:lang w:val="en-GB"/>
        </w:rPr>
      </w:pPr>
    </w:p>
    <w:p w14:paraId="214DF405" w14:textId="46973903" w:rsidR="002F4559" w:rsidRPr="00E02468" w:rsidRDefault="002F4559" w:rsidP="002F4559">
      <w:pPr>
        <w:spacing w:after="0" w:line="360" w:lineRule="auto"/>
        <w:jc w:val="both"/>
        <w:rPr>
          <w:rFonts w:ascii="Arial" w:hAnsi="Arial" w:cs="Arial"/>
          <w:bCs/>
          <w:sz w:val="24"/>
          <w:szCs w:val="24"/>
          <w:lang w:val="en-GB"/>
        </w:rPr>
      </w:pPr>
    </w:p>
    <w:p w14:paraId="3272EFB9" w14:textId="7E63588E" w:rsidR="002F4559" w:rsidRPr="00E02468" w:rsidRDefault="002F4559" w:rsidP="002F4559">
      <w:pPr>
        <w:spacing w:after="0" w:line="360" w:lineRule="auto"/>
        <w:jc w:val="both"/>
        <w:rPr>
          <w:rFonts w:ascii="Arial" w:hAnsi="Arial" w:cs="Arial"/>
          <w:bCs/>
          <w:sz w:val="24"/>
          <w:szCs w:val="24"/>
          <w:lang w:val="en-GB"/>
        </w:rPr>
      </w:pPr>
    </w:p>
    <w:p w14:paraId="4449434F" w14:textId="49A81420" w:rsidR="002F4559" w:rsidRPr="00E02468" w:rsidRDefault="002F4559" w:rsidP="002F4559">
      <w:pPr>
        <w:spacing w:after="0" w:line="360" w:lineRule="auto"/>
        <w:jc w:val="both"/>
        <w:rPr>
          <w:rFonts w:ascii="Arial" w:hAnsi="Arial" w:cs="Arial"/>
          <w:bCs/>
          <w:sz w:val="24"/>
          <w:szCs w:val="24"/>
          <w:lang w:val="en-GB"/>
        </w:rPr>
      </w:pPr>
    </w:p>
    <w:p w14:paraId="5018F514" w14:textId="052B0DDB" w:rsidR="002F4559" w:rsidRPr="00E02468" w:rsidRDefault="002F4559" w:rsidP="002F4559">
      <w:pPr>
        <w:spacing w:after="0" w:line="360" w:lineRule="auto"/>
        <w:jc w:val="both"/>
        <w:rPr>
          <w:rFonts w:ascii="Arial" w:hAnsi="Arial" w:cs="Arial"/>
          <w:bCs/>
          <w:sz w:val="24"/>
          <w:szCs w:val="24"/>
          <w:lang w:val="en-GB"/>
        </w:rPr>
      </w:pPr>
    </w:p>
    <w:p w14:paraId="5FBF4D3E" w14:textId="6FD000ED" w:rsidR="002F4559" w:rsidRPr="00E02468" w:rsidRDefault="002F4559" w:rsidP="002F4559">
      <w:pPr>
        <w:spacing w:after="0" w:line="360" w:lineRule="auto"/>
        <w:jc w:val="both"/>
        <w:rPr>
          <w:rFonts w:ascii="Arial" w:hAnsi="Arial" w:cs="Arial"/>
          <w:bCs/>
          <w:sz w:val="24"/>
          <w:szCs w:val="24"/>
          <w:lang w:val="en-GB"/>
        </w:rPr>
      </w:pPr>
    </w:p>
    <w:p w14:paraId="19C06FEC" w14:textId="69940F18" w:rsidR="002F4559" w:rsidRPr="00E02468" w:rsidRDefault="002F4559" w:rsidP="002F4559">
      <w:pPr>
        <w:spacing w:after="0" w:line="360" w:lineRule="auto"/>
        <w:jc w:val="both"/>
        <w:rPr>
          <w:rFonts w:ascii="Arial" w:hAnsi="Arial" w:cs="Arial"/>
          <w:bCs/>
          <w:sz w:val="24"/>
          <w:szCs w:val="24"/>
          <w:lang w:val="en-GB"/>
        </w:rPr>
      </w:pPr>
    </w:p>
    <w:p w14:paraId="7013F37E" w14:textId="76E59487" w:rsidR="002F4559" w:rsidRPr="00E02468" w:rsidRDefault="002F4559" w:rsidP="002F4559">
      <w:pPr>
        <w:spacing w:after="0" w:line="360" w:lineRule="auto"/>
        <w:jc w:val="both"/>
        <w:rPr>
          <w:rFonts w:ascii="Arial" w:hAnsi="Arial" w:cs="Arial"/>
          <w:bCs/>
          <w:sz w:val="24"/>
          <w:szCs w:val="24"/>
          <w:lang w:val="en-GB"/>
        </w:rPr>
      </w:pPr>
    </w:p>
    <w:p w14:paraId="607FF8E0" w14:textId="59C9F74D" w:rsidR="002F4559" w:rsidRPr="00E02468" w:rsidRDefault="002F4559" w:rsidP="002F4559">
      <w:pPr>
        <w:spacing w:after="0" w:line="360" w:lineRule="auto"/>
        <w:jc w:val="both"/>
        <w:rPr>
          <w:rFonts w:ascii="Arial" w:hAnsi="Arial" w:cs="Arial"/>
          <w:bCs/>
          <w:sz w:val="24"/>
          <w:szCs w:val="24"/>
          <w:lang w:val="en-GB"/>
        </w:rPr>
      </w:pPr>
    </w:p>
    <w:p w14:paraId="34212721" w14:textId="0E30D260" w:rsidR="002F4559" w:rsidRPr="00E02468" w:rsidRDefault="002F4559" w:rsidP="002F4559">
      <w:pPr>
        <w:spacing w:after="0" w:line="360" w:lineRule="auto"/>
        <w:jc w:val="both"/>
        <w:rPr>
          <w:rFonts w:ascii="Arial" w:hAnsi="Arial" w:cs="Arial"/>
          <w:bCs/>
          <w:sz w:val="24"/>
          <w:szCs w:val="24"/>
          <w:lang w:val="en-GB"/>
        </w:rPr>
      </w:pPr>
    </w:p>
    <w:p w14:paraId="0203635A" w14:textId="57072931" w:rsidR="002F4559" w:rsidRPr="00E02468" w:rsidRDefault="002F4559" w:rsidP="002F4559">
      <w:pPr>
        <w:spacing w:after="0" w:line="360" w:lineRule="auto"/>
        <w:jc w:val="both"/>
        <w:rPr>
          <w:rFonts w:ascii="Arial" w:hAnsi="Arial" w:cs="Arial"/>
          <w:bCs/>
          <w:sz w:val="24"/>
          <w:szCs w:val="24"/>
          <w:lang w:val="en-GB"/>
        </w:rPr>
      </w:pPr>
    </w:p>
    <w:p w14:paraId="48C4312B" w14:textId="299F0C79" w:rsidR="002F4559" w:rsidRPr="00E02468" w:rsidRDefault="002F4559" w:rsidP="002F4559">
      <w:pPr>
        <w:spacing w:after="0" w:line="360" w:lineRule="auto"/>
        <w:jc w:val="both"/>
        <w:rPr>
          <w:rFonts w:ascii="Arial" w:hAnsi="Arial" w:cs="Arial"/>
          <w:bCs/>
          <w:sz w:val="24"/>
          <w:szCs w:val="24"/>
          <w:lang w:val="en-GB"/>
        </w:rPr>
      </w:pPr>
    </w:p>
    <w:p w14:paraId="55AE4D3B" w14:textId="60923E52" w:rsidR="002F4559" w:rsidRPr="00E02468" w:rsidRDefault="002F4559" w:rsidP="002F4559">
      <w:pPr>
        <w:spacing w:after="0" w:line="360" w:lineRule="auto"/>
        <w:jc w:val="both"/>
        <w:rPr>
          <w:rFonts w:ascii="Arial" w:hAnsi="Arial" w:cs="Arial"/>
          <w:bCs/>
          <w:sz w:val="24"/>
          <w:szCs w:val="24"/>
          <w:lang w:val="en-GB"/>
        </w:rPr>
      </w:pPr>
    </w:p>
    <w:p w14:paraId="656DBAEF" w14:textId="3DA95949" w:rsidR="002F4559" w:rsidRPr="00E02468" w:rsidRDefault="002F4559" w:rsidP="002F4559">
      <w:pPr>
        <w:spacing w:after="0" w:line="360" w:lineRule="auto"/>
        <w:jc w:val="both"/>
        <w:rPr>
          <w:rFonts w:ascii="Arial" w:hAnsi="Arial" w:cs="Arial"/>
          <w:bCs/>
          <w:sz w:val="24"/>
          <w:szCs w:val="24"/>
          <w:lang w:val="en-GB"/>
        </w:rPr>
      </w:pPr>
    </w:p>
    <w:p w14:paraId="24D32607" w14:textId="5366B295" w:rsidR="002F4559" w:rsidRPr="00E02468" w:rsidRDefault="002F4559" w:rsidP="002F4559">
      <w:pPr>
        <w:spacing w:after="0" w:line="360" w:lineRule="auto"/>
        <w:jc w:val="both"/>
        <w:rPr>
          <w:rFonts w:ascii="Arial" w:hAnsi="Arial" w:cs="Arial"/>
          <w:bCs/>
          <w:sz w:val="24"/>
          <w:szCs w:val="24"/>
          <w:lang w:val="en-GB"/>
        </w:rPr>
      </w:pPr>
    </w:p>
    <w:p w14:paraId="25DDE861" w14:textId="6E08B9D6" w:rsidR="002F4559" w:rsidRPr="00E02468" w:rsidRDefault="002F4559" w:rsidP="002F4559">
      <w:pPr>
        <w:spacing w:after="0" w:line="360" w:lineRule="auto"/>
        <w:jc w:val="both"/>
        <w:rPr>
          <w:rFonts w:ascii="Arial" w:hAnsi="Arial" w:cs="Arial"/>
          <w:bCs/>
          <w:sz w:val="24"/>
          <w:szCs w:val="24"/>
          <w:lang w:val="en-GB"/>
        </w:rPr>
      </w:pPr>
    </w:p>
    <w:p w14:paraId="5FCE2B4B" w14:textId="2621DB08" w:rsidR="002F4559" w:rsidRPr="00E02468" w:rsidRDefault="002F4559" w:rsidP="002F4559">
      <w:pPr>
        <w:spacing w:after="0" w:line="360" w:lineRule="auto"/>
        <w:jc w:val="both"/>
        <w:rPr>
          <w:rFonts w:ascii="Arial" w:hAnsi="Arial" w:cs="Arial"/>
          <w:bCs/>
          <w:sz w:val="24"/>
          <w:szCs w:val="24"/>
          <w:lang w:val="en-GB"/>
        </w:rPr>
      </w:pPr>
    </w:p>
    <w:p w14:paraId="0A0166CA" w14:textId="77777777" w:rsidR="005025AB" w:rsidRPr="00E02468" w:rsidRDefault="005025AB" w:rsidP="005025AB">
      <w:pPr>
        <w:pStyle w:val="Heading1"/>
        <w:jc w:val="center"/>
        <w:rPr>
          <w:rFonts w:cs="Arial"/>
          <w:lang w:val="en-GB"/>
        </w:rPr>
      </w:pPr>
      <w:bookmarkStart w:id="2" w:name="_Toc240932092"/>
      <w:r w:rsidRPr="00E02468">
        <w:rPr>
          <w:rFonts w:cs="Arial"/>
          <w:lang w:val="en-GB"/>
        </w:rPr>
        <w:t>Acknowledgements</w:t>
      </w:r>
      <w:bookmarkEnd w:id="2"/>
    </w:p>
    <w:p w14:paraId="72D1080E" w14:textId="77777777" w:rsidR="005025AB" w:rsidRPr="00E02468" w:rsidRDefault="005025AB" w:rsidP="005025AB">
      <w:pPr>
        <w:spacing w:after="0" w:line="360" w:lineRule="auto"/>
        <w:jc w:val="both"/>
        <w:rPr>
          <w:rFonts w:ascii="Arial" w:hAnsi="Arial" w:cs="Arial"/>
          <w:bCs/>
          <w:sz w:val="24"/>
          <w:szCs w:val="24"/>
          <w:lang w:val="en-GB"/>
        </w:rPr>
      </w:pPr>
    </w:p>
    <w:p w14:paraId="582EF586" w14:textId="436307B8" w:rsidR="005025AB" w:rsidRPr="00E02468" w:rsidRDefault="00D875CD" w:rsidP="005025AB">
      <w:pPr>
        <w:spacing w:after="0" w:line="360" w:lineRule="auto"/>
        <w:jc w:val="both"/>
        <w:rPr>
          <w:rFonts w:ascii="Arial" w:hAnsi="Arial" w:cs="Arial"/>
          <w:bCs/>
          <w:sz w:val="24"/>
          <w:szCs w:val="24"/>
          <w:lang w:val="en-GB"/>
        </w:rPr>
      </w:pPr>
      <w:r w:rsidRPr="00E02468">
        <w:rPr>
          <w:rFonts w:ascii="Arial" w:hAnsi="Arial" w:cs="Arial"/>
          <w:bCs/>
          <w:sz w:val="24"/>
          <w:szCs w:val="24"/>
          <w:lang w:val="en-GB"/>
        </w:rPr>
        <w:t>I wish to express my heartfelt thanks to all those who helped in the completion of this dissertation</w:t>
      </w:r>
      <w:r w:rsidR="005025AB" w:rsidRPr="00E02468">
        <w:rPr>
          <w:rFonts w:ascii="Arial" w:hAnsi="Arial" w:cs="Arial"/>
          <w:bCs/>
          <w:sz w:val="24"/>
          <w:szCs w:val="24"/>
          <w:lang w:val="en-GB"/>
        </w:rPr>
        <w:t>.</w:t>
      </w:r>
    </w:p>
    <w:p w14:paraId="1C8DFA03" w14:textId="77777777" w:rsidR="005025AB" w:rsidRPr="00E02468" w:rsidRDefault="005025AB" w:rsidP="005025AB">
      <w:pPr>
        <w:spacing w:after="0" w:line="360" w:lineRule="auto"/>
        <w:jc w:val="both"/>
        <w:rPr>
          <w:rFonts w:ascii="Arial" w:hAnsi="Arial" w:cs="Arial"/>
          <w:bCs/>
          <w:sz w:val="24"/>
          <w:szCs w:val="24"/>
          <w:lang w:val="en-GB"/>
        </w:rPr>
      </w:pPr>
    </w:p>
    <w:p w14:paraId="0DBD00E3" w14:textId="77777777" w:rsidR="005025AB" w:rsidRPr="00E02468" w:rsidRDefault="005025AB" w:rsidP="005025AB">
      <w:pPr>
        <w:spacing w:after="0" w:line="360" w:lineRule="auto"/>
        <w:jc w:val="both"/>
        <w:rPr>
          <w:rFonts w:ascii="Arial" w:hAnsi="Arial" w:cs="Arial"/>
          <w:bCs/>
          <w:sz w:val="24"/>
          <w:szCs w:val="24"/>
          <w:lang w:val="en-GB"/>
        </w:rPr>
      </w:pPr>
      <w:r w:rsidRPr="00E02468">
        <w:rPr>
          <w:rFonts w:ascii="Arial" w:hAnsi="Arial" w:cs="Arial"/>
          <w:bCs/>
          <w:sz w:val="24"/>
          <w:szCs w:val="24"/>
          <w:lang w:val="en-GB"/>
        </w:rPr>
        <w:t>First and foremost, I would like to thank my dissertation supervisor for providing valuable guidance, constructive feedback and academic support throughout the research process. Their advice helped me to refine the research focus, develop the methodology and improve the overall quality of this dissertation.</w:t>
      </w:r>
    </w:p>
    <w:p w14:paraId="26D7B5FF" w14:textId="77777777" w:rsidR="005025AB" w:rsidRPr="00E02468" w:rsidRDefault="005025AB" w:rsidP="005025AB">
      <w:pPr>
        <w:spacing w:after="0" w:line="360" w:lineRule="auto"/>
        <w:jc w:val="both"/>
        <w:rPr>
          <w:rFonts w:ascii="Arial" w:hAnsi="Arial" w:cs="Arial"/>
          <w:bCs/>
          <w:sz w:val="24"/>
          <w:szCs w:val="24"/>
          <w:lang w:val="en-GB"/>
        </w:rPr>
      </w:pPr>
    </w:p>
    <w:p w14:paraId="30AB7130" w14:textId="77777777" w:rsidR="00532402" w:rsidRPr="00E02468" w:rsidRDefault="00532402" w:rsidP="00532402">
      <w:pPr>
        <w:spacing w:after="0" w:line="360" w:lineRule="auto"/>
        <w:jc w:val="both"/>
        <w:rPr>
          <w:rFonts w:ascii="Arial" w:hAnsi="Arial" w:cs="Arial"/>
          <w:bCs/>
          <w:sz w:val="24"/>
          <w:szCs w:val="24"/>
          <w:lang w:val="en-GB"/>
        </w:rPr>
      </w:pPr>
      <w:r w:rsidRPr="00E02468">
        <w:rPr>
          <w:rFonts w:ascii="Arial" w:hAnsi="Arial" w:cs="Arial"/>
          <w:bCs/>
          <w:sz w:val="24"/>
          <w:szCs w:val="24"/>
          <w:lang w:val="en-GB"/>
        </w:rPr>
        <w:t>I would also like to thank all the academic staff of the Institute of Inner-City Learning, London Campus for the knowledge, guidance and learning opportunities given at every level of the Master of Business Administration programme.</w:t>
      </w:r>
    </w:p>
    <w:p w14:paraId="3C220120" w14:textId="77777777" w:rsidR="00532402" w:rsidRPr="00E02468" w:rsidRDefault="00532402" w:rsidP="00532402">
      <w:pPr>
        <w:spacing w:after="0" w:line="360" w:lineRule="auto"/>
        <w:jc w:val="both"/>
        <w:rPr>
          <w:rFonts w:ascii="Arial" w:hAnsi="Arial" w:cs="Arial"/>
          <w:bCs/>
          <w:sz w:val="24"/>
          <w:szCs w:val="24"/>
          <w:lang w:val="en-GB"/>
        </w:rPr>
      </w:pPr>
    </w:p>
    <w:p w14:paraId="7F9200ED" w14:textId="77777777" w:rsidR="00532402" w:rsidRPr="00E02468" w:rsidRDefault="00532402" w:rsidP="00532402">
      <w:pPr>
        <w:spacing w:after="0" w:line="360" w:lineRule="auto"/>
        <w:jc w:val="both"/>
        <w:rPr>
          <w:rFonts w:ascii="Arial" w:hAnsi="Arial" w:cs="Arial"/>
          <w:bCs/>
          <w:sz w:val="24"/>
          <w:szCs w:val="24"/>
          <w:lang w:val="en-GB"/>
        </w:rPr>
      </w:pPr>
      <w:r w:rsidRPr="00E02468">
        <w:rPr>
          <w:rFonts w:ascii="Arial" w:hAnsi="Arial" w:cs="Arial"/>
          <w:bCs/>
          <w:sz w:val="24"/>
          <w:szCs w:val="24"/>
          <w:lang w:val="en-GB"/>
        </w:rPr>
        <w:t>I would also like to express my gratitude to my family and friends, for their encouragement, patience and support throughout the process of the completion of this research. Their knowledge and willingness to assist me were instrumental in keeping me going during my dissertation.</w:t>
      </w:r>
    </w:p>
    <w:p w14:paraId="1F3A7398" w14:textId="77777777" w:rsidR="00532402" w:rsidRPr="00E02468" w:rsidRDefault="00532402" w:rsidP="00532402">
      <w:pPr>
        <w:spacing w:after="0" w:line="360" w:lineRule="auto"/>
        <w:jc w:val="both"/>
        <w:rPr>
          <w:rFonts w:ascii="Arial" w:hAnsi="Arial" w:cs="Arial"/>
          <w:bCs/>
          <w:sz w:val="24"/>
          <w:szCs w:val="24"/>
          <w:lang w:val="en-GB"/>
        </w:rPr>
      </w:pPr>
    </w:p>
    <w:p w14:paraId="1A916F8E" w14:textId="4D6261F5" w:rsidR="005025AB" w:rsidRPr="00E02468" w:rsidRDefault="00532402" w:rsidP="00532402">
      <w:pPr>
        <w:spacing w:after="0" w:line="360" w:lineRule="auto"/>
        <w:jc w:val="both"/>
        <w:rPr>
          <w:rFonts w:ascii="Arial" w:hAnsi="Arial" w:cs="Arial"/>
          <w:bCs/>
          <w:sz w:val="24"/>
          <w:szCs w:val="24"/>
          <w:lang w:val="en-GB"/>
        </w:rPr>
      </w:pPr>
      <w:r w:rsidRPr="00E02468">
        <w:rPr>
          <w:rFonts w:ascii="Arial" w:hAnsi="Arial" w:cs="Arial"/>
          <w:bCs/>
          <w:sz w:val="24"/>
          <w:szCs w:val="24"/>
          <w:lang w:val="en-GB"/>
        </w:rPr>
        <w:t>Lastly, I would like to recognise the work of the researchers, academic writers, government entities and professional organisations who published their research which helped to form the foundation of this dissertation</w:t>
      </w:r>
      <w:r w:rsidR="005025AB" w:rsidRPr="00E02468">
        <w:rPr>
          <w:rFonts w:ascii="Arial" w:hAnsi="Arial" w:cs="Arial"/>
          <w:bCs/>
          <w:sz w:val="24"/>
          <w:szCs w:val="24"/>
          <w:lang w:val="en-GB"/>
        </w:rPr>
        <w:t>. Their research and publicly available reports were valuable in developing the analysis of Human Capital Management and customer service quality in the UK restaurant industry.</w:t>
      </w:r>
    </w:p>
    <w:p w14:paraId="58714AC3" w14:textId="77777777" w:rsidR="005025AB" w:rsidRPr="00E02468" w:rsidRDefault="005025AB" w:rsidP="005025AB">
      <w:pPr>
        <w:spacing w:after="0" w:line="360" w:lineRule="auto"/>
        <w:jc w:val="both"/>
        <w:rPr>
          <w:rFonts w:ascii="Arial" w:hAnsi="Arial" w:cs="Arial"/>
          <w:bCs/>
          <w:sz w:val="24"/>
          <w:szCs w:val="24"/>
          <w:lang w:val="en-GB"/>
        </w:rPr>
      </w:pPr>
    </w:p>
    <w:p w14:paraId="7BDC9659" w14:textId="70503968" w:rsidR="002F4559" w:rsidRPr="00E02468" w:rsidRDefault="005025AB" w:rsidP="005025AB">
      <w:pPr>
        <w:spacing w:after="0" w:line="360" w:lineRule="auto"/>
        <w:jc w:val="both"/>
        <w:rPr>
          <w:rFonts w:ascii="Arial" w:hAnsi="Arial" w:cs="Arial"/>
          <w:bCs/>
          <w:sz w:val="24"/>
          <w:szCs w:val="24"/>
          <w:lang w:val="en-GB"/>
        </w:rPr>
      </w:pPr>
      <w:r w:rsidRPr="00E02468">
        <w:rPr>
          <w:rFonts w:ascii="Arial" w:hAnsi="Arial" w:cs="Arial"/>
          <w:bCs/>
          <w:sz w:val="24"/>
          <w:szCs w:val="24"/>
          <w:lang w:val="en-GB"/>
        </w:rPr>
        <w:t>I am grateful to everyone who contributed, directly or indirectly, to the successful completion of this dissertation.</w:t>
      </w:r>
    </w:p>
    <w:p w14:paraId="50B74D28" w14:textId="0B9AC270" w:rsidR="00CF0CE9" w:rsidRPr="00E02468" w:rsidRDefault="00CF0CE9" w:rsidP="005025AB">
      <w:pPr>
        <w:spacing w:after="0" w:line="360" w:lineRule="auto"/>
        <w:jc w:val="both"/>
        <w:rPr>
          <w:rFonts w:ascii="Arial" w:hAnsi="Arial" w:cs="Arial"/>
          <w:bCs/>
          <w:sz w:val="24"/>
          <w:szCs w:val="24"/>
          <w:lang w:val="en-GB"/>
        </w:rPr>
      </w:pPr>
    </w:p>
    <w:p w14:paraId="4B21F916" w14:textId="715D95E2" w:rsidR="00CF0CE9" w:rsidRPr="00E02468" w:rsidRDefault="00CF0CE9" w:rsidP="005025AB">
      <w:pPr>
        <w:spacing w:after="0" w:line="360" w:lineRule="auto"/>
        <w:jc w:val="both"/>
        <w:rPr>
          <w:rFonts w:ascii="Arial" w:hAnsi="Arial" w:cs="Arial"/>
          <w:bCs/>
          <w:sz w:val="24"/>
          <w:szCs w:val="24"/>
          <w:lang w:val="en-GB"/>
        </w:rPr>
      </w:pPr>
    </w:p>
    <w:p w14:paraId="2E4BF796" w14:textId="363AB31B" w:rsidR="00CF0CE9" w:rsidRPr="00E02468" w:rsidRDefault="00CF0CE9" w:rsidP="005025AB">
      <w:pPr>
        <w:spacing w:after="0" w:line="360" w:lineRule="auto"/>
        <w:jc w:val="both"/>
        <w:rPr>
          <w:rFonts w:ascii="Arial" w:hAnsi="Arial" w:cs="Arial"/>
          <w:bCs/>
          <w:sz w:val="24"/>
          <w:szCs w:val="24"/>
          <w:lang w:val="en-GB"/>
        </w:rPr>
      </w:pPr>
    </w:p>
    <w:p w14:paraId="04F5E66F" w14:textId="6BAD4DC4" w:rsidR="00CF0CE9" w:rsidRPr="00E02468" w:rsidRDefault="00CF0CE9" w:rsidP="005025AB">
      <w:pPr>
        <w:spacing w:after="0" w:line="360" w:lineRule="auto"/>
        <w:jc w:val="both"/>
        <w:rPr>
          <w:rFonts w:ascii="Arial" w:hAnsi="Arial" w:cs="Arial"/>
          <w:bCs/>
          <w:sz w:val="24"/>
          <w:szCs w:val="24"/>
          <w:lang w:val="en-GB"/>
        </w:rPr>
      </w:pPr>
    </w:p>
    <w:p w14:paraId="728D4992" w14:textId="314C5010" w:rsidR="00CF0CE9" w:rsidRPr="00E02468" w:rsidRDefault="00CF0CE9" w:rsidP="005025AB">
      <w:pPr>
        <w:spacing w:after="0" w:line="360" w:lineRule="auto"/>
        <w:jc w:val="both"/>
        <w:rPr>
          <w:rFonts w:ascii="Arial" w:hAnsi="Arial" w:cs="Arial"/>
          <w:bCs/>
          <w:sz w:val="24"/>
          <w:szCs w:val="24"/>
          <w:lang w:val="en-GB"/>
        </w:rPr>
      </w:pPr>
    </w:p>
    <w:p w14:paraId="57A8508D" w14:textId="1726106E" w:rsidR="00CF0CE9" w:rsidRPr="00E02468" w:rsidRDefault="00CF0CE9" w:rsidP="005025AB">
      <w:pPr>
        <w:spacing w:after="0" w:line="360" w:lineRule="auto"/>
        <w:jc w:val="both"/>
        <w:rPr>
          <w:rFonts w:ascii="Arial" w:hAnsi="Arial" w:cs="Arial"/>
          <w:bCs/>
          <w:sz w:val="24"/>
          <w:szCs w:val="24"/>
          <w:lang w:val="en-GB"/>
        </w:rPr>
      </w:pPr>
    </w:p>
    <w:p w14:paraId="58062C94" w14:textId="77777777" w:rsidR="00CF0CE9" w:rsidRPr="00E02468" w:rsidRDefault="00CF0CE9" w:rsidP="00CF0CE9">
      <w:pPr>
        <w:pStyle w:val="Heading1"/>
        <w:jc w:val="center"/>
        <w:rPr>
          <w:rFonts w:cs="Arial"/>
          <w:lang w:val="en-GB"/>
        </w:rPr>
      </w:pPr>
      <w:bookmarkStart w:id="3" w:name="_Toc240932093"/>
      <w:r w:rsidRPr="00E02468">
        <w:rPr>
          <w:rFonts w:cs="Arial"/>
          <w:lang w:val="en-GB"/>
        </w:rPr>
        <w:t>Abstract</w:t>
      </w:r>
      <w:bookmarkEnd w:id="3"/>
    </w:p>
    <w:p w14:paraId="7FE901CE" w14:textId="77777777" w:rsidR="00CF0CE9" w:rsidRPr="00E02468" w:rsidRDefault="00CF0CE9" w:rsidP="00CF0CE9">
      <w:pPr>
        <w:spacing w:after="0" w:line="360" w:lineRule="auto"/>
        <w:jc w:val="both"/>
        <w:rPr>
          <w:rFonts w:ascii="Arial" w:hAnsi="Arial" w:cs="Arial"/>
          <w:bCs/>
          <w:sz w:val="24"/>
          <w:szCs w:val="24"/>
          <w:lang w:val="en-GB"/>
        </w:rPr>
      </w:pPr>
    </w:p>
    <w:p w14:paraId="2A510668" w14:textId="6A4961CF" w:rsidR="00CF0CE9" w:rsidRPr="00E02468" w:rsidRDefault="0040375C" w:rsidP="00CF0CE9">
      <w:pPr>
        <w:spacing w:after="0" w:line="360" w:lineRule="auto"/>
        <w:jc w:val="both"/>
        <w:rPr>
          <w:rFonts w:ascii="Arial" w:hAnsi="Arial" w:cs="Arial"/>
          <w:bCs/>
          <w:sz w:val="24"/>
          <w:szCs w:val="24"/>
          <w:lang w:val="en-GB"/>
        </w:rPr>
      </w:pPr>
      <w:r w:rsidRPr="00E02468">
        <w:rPr>
          <w:rFonts w:ascii="Arial" w:hAnsi="Arial" w:cs="Arial"/>
          <w:bCs/>
          <w:sz w:val="24"/>
          <w:szCs w:val="24"/>
          <w:lang w:val="en-GB"/>
        </w:rPr>
        <w:t>This dissertation aims to explore how Human Capital Management (HCM) practices affect Customer Service Quality in the UK Restaurants. The dissertation uses a qualitative analysis of secondary data to examine the impact of HCM practices on CSQ. The study subjects the six key HCM practices—the recruitment and selection function, the training and development function, employee engagement, performance management, reward and recognition, and employee retention. It tries to come to an understanding of the impact of these practices on employee performance and thus on the quality of customer service and customer satisfaction. A qualitative secondary research design was used which was underpinned by an interpretivist philosophy and inductive research. Peer-reviewed academic research, books, government publications and relevant reports from the hospitality industry were the sources of evidence that were systematically located, with a particular focus upon the latter sources and a lesser focus on the former sources. Recurring patterns, relationships and differences across elements of the selected evidence were identified using thematic analysis. The results suggest that the HCM practices have a positive relationship with the capability of employees, their motivation, engagement and retention, which in turn influences the service performance of the employees towards the customers. Training and development and employee engagement and retention stood out as key areas for successful service consistency, with recruitment, performance management and reward and recognition complementing these. The study concludes that HCM needs to be treated as a 'whole' rather than a series of 'practices'. Good workplace investment can be a solid foundation for improving the quality of service, satisfaction and, consequently, the restaurant's performance. The study offers theoretical and practical suggestions for the understanding and management of human resources in the UK restaurant sector</w:t>
      </w:r>
      <w:r w:rsidR="00CF0CE9" w:rsidRPr="00E02468">
        <w:rPr>
          <w:rFonts w:ascii="Arial" w:hAnsi="Arial" w:cs="Arial"/>
          <w:bCs/>
          <w:sz w:val="24"/>
          <w:szCs w:val="24"/>
          <w:lang w:val="en-GB"/>
        </w:rPr>
        <w:t>.</w:t>
      </w:r>
    </w:p>
    <w:p w14:paraId="4446D7BC" w14:textId="6CCF2687" w:rsidR="00A10131" w:rsidRPr="00E02468" w:rsidRDefault="00A10131" w:rsidP="00CF0CE9">
      <w:pPr>
        <w:spacing w:after="0" w:line="360" w:lineRule="auto"/>
        <w:jc w:val="both"/>
        <w:rPr>
          <w:rFonts w:ascii="Arial" w:hAnsi="Arial" w:cs="Arial"/>
          <w:bCs/>
          <w:sz w:val="24"/>
          <w:szCs w:val="24"/>
          <w:lang w:val="en-GB"/>
        </w:rPr>
      </w:pPr>
    </w:p>
    <w:p w14:paraId="62060413" w14:textId="1BD730A2" w:rsidR="00A10131" w:rsidRPr="00E02468" w:rsidRDefault="00A10131" w:rsidP="00CF0CE9">
      <w:pPr>
        <w:spacing w:after="0" w:line="360" w:lineRule="auto"/>
        <w:jc w:val="both"/>
        <w:rPr>
          <w:rFonts w:ascii="Arial" w:hAnsi="Arial" w:cs="Arial"/>
          <w:bCs/>
          <w:sz w:val="24"/>
          <w:szCs w:val="24"/>
          <w:lang w:val="en-GB"/>
        </w:rPr>
      </w:pPr>
    </w:p>
    <w:p w14:paraId="297187A0" w14:textId="036CD7A0" w:rsidR="00A10131" w:rsidRPr="00E02468" w:rsidRDefault="00A10131" w:rsidP="00CF0CE9">
      <w:pPr>
        <w:spacing w:after="0" w:line="360" w:lineRule="auto"/>
        <w:jc w:val="both"/>
        <w:rPr>
          <w:rFonts w:ascii="Arial" w:hAnsi="Arial" w:cs="Arial"/>
          <w:bCs/>
          <w:sz w:val="24"/>
          <w:szCs w:val="24"/>
          <w:lang w:val="en-GB"/>
        </w:rPr>
      </w:pPr>
    </w:p>
    <w:p w14:paraId="42E07258" w14:textId="76CD2207" w:rsidR="00A10131" w:rsidRPr="00E02468" w:rsidRDefault="00A10131" w:rsidP="00CF0CE9">
      <w:pPr>
        <w:spacing w:after="0" w:line="360" w:lineRule="auto"/>
        <w:jc w:val="both"/>
        <w:rPr>
          <w:rFonts w:ascii="Arial" w:hAnsi="Arial" w:cs="Arial"/>
          <w:bCs/>
          <w:sz w:val="24"/>
          <w:szCs w:val="24"/>
          <w:lang w:val="en-GB"/>
        </w:rPr>
      </w:pPr>
    </w:p>
    <w:p w14:paraId="369F56F0" w14:textId="4A3D26F6" w:rsidR="007A4FCD" w:rsidRPr="00E02468" w:rsidRDefault="007A4FCD" w:rsidP="00CF0CE9">
      <w:pPr>
        <w:spacing w:after="0" w:line="360" w:lineRule="auto"/>
        <w:jc w:val="both"/>
        <w:rPr>
          <w:rFonts w:ascii="Arial" w:hAnsi="Arial" w:cs="Arial"/>
          <w:bCs/>
          <w:sz w:val="24"/>
          <w:szCs w:val="24"/>
          <w:lang w:val="en-GB"/>
        </w:rPr>
      </w:pPr>
    </w:p>
    <w:p w14:paraId="7A33A014" w14:textId="0D0CFFC8" w:rsidR="00933FB2" w:rsidRPr="00E02468" w:rsidRDefault="00933FB2" w:rsidP="00933FB2">
      <w:pPr>
        <w:spacing w:after="0" w:line="360" w:lineRule="auto"/>
        <w:jc w:val="both"/>
        <w:rPr>
          <w:rFonts w:ascii="Arial" w:hAnsi="Arial" w:cs="Arial"/>
          <w:b/>
          <w:bCs/>
          <w:sz w:val="28"/>
          <w:szCs w:val="24"/>
          <w:lang w:val="en-GB"/>
        </w:rPr>
      </w:pPr>
    </w:p>
    <w:sdt>
      <w:sdtPr>
        <w:rPr>
          <w:rFonts w:asciiTheme="minorHAnsi" w:eastAsiaTheme="minorHAnsi" w:hAnsiTheme="minorHAnsi" w:cs="Arial"/>
          <w:color w:val="auto"/>
          <w:sz w:val="24"/>
          <w:szCs w:val="24"/>
          <w:lang w:val="en-GB"/>
        </w:rPr>
        <w:id w:val="-1417852449"/>
        <w:docPartObj>
          <w:docPartGallery w:val="Table of Contents"/>
          <w:docPartUnique/>
        </w:docPartObj>
      </w:sdtPr>
      <w:sdtEndPr>
        <w:rPr>
          <w:b/>
          <w:bCs/>
          <w:noProof/>
        </w:rPr>
      </w:sdtEndPr>
      <w:sdtContent>
        <w:p w14:paraId="309D21C6" w14:textId="2F09DFBF" w:rsidR="00933FB2" w:rsidRPr="00E02468" w:rsidRDefault="00933FB2" w:rsidP="00E02468">
          <w:pPr>
            <w:pStyle w:val="TOCHeading"/>
            <w:spacing w:after="240"/>
            <w:jc w:val="center"/>
            <w:rPr>
              <w:rFonts w:cs="Arial"/>
              <w:b/>
              <w:sz w:val="28"/>
              <w:szCs w:val="24"/>
              <w:lang w:val="en-GB"/>
            </w:rPr>
          </w:pPr>
          <w:r w:rsidRPr="00E02468">
            <w:rPr>
              <w:rFonts w:cs="Arial"/>
              <w:b/>
              <w:sz w:val="28"/>
              <w:szCs w:val="24"/>
              <w:lang w:val="en-GB"/>
            </w:rPr>
            <w:t>Contents</w:t>
          </w:r>
        </w:p>
        <w:p w14:paraId="2CF05932" w14:textId="4C371C0B" w:rsidR="00DF1239" w:rsidRPr="00E02468" w:rsidRDefault="00933FB2" w:rsidP="00DF1239">
          <w:pPr>
            <w:pStyle w:val="TOC1"/>
            <w:tabs>
              <w:tab w:val="right" w:leader="dot" w:pos="9016"/>
            </w:tabs>
            <w:jc w:val="both"/>
            <w:rPr>
              <w:rFonts w:ascii="Arial" w:eastAsiaTheme="minorEastAsia" w:hAnsi="Arial" w:cs="Arial"/>
              <w:noProof/>
              <w:sz w:val="24"/>
              <w:szCs w:val="24"/>
              <w:lang w:val="en-GB" w:eastAsia="en-GB"/>
            </w:rPr>
          </w:pPr>
          <w:r w:rsidRPr="00E02468">
            <w:rPr>
              <w:rFonts w:ascii="Arial" w:hAnsi="Arial" w:cs="Arial"/>
              <w:sz w:val="24"/>
              <w:szCs w:val="24"/>
              <w:lang w:val="en-GB"/>
            </w:rPr>
            <w:fldChar w:fldCharType="begin"/>
          </w:r>
          <w:r w:rsidRPr="00E02468">
            <w:rPr>
              <w:rFonts w:ascii="Arial" w:hAnsi="Arial" w:cs="Arial"/>
              <w:sz w:val="24"/>
              <w:szCs w:val="24"/>
              <w:lang w:val="en-GB"/>
            </w:rPr>
            <w:instrText xml:space="preserve"> TOC \o "1-3" \h \z \u </w:instrText>
          </w:r>
          <w:r w:rsidRPr="00E02468">
            <w:rPr>
              <w:rFonts w:ascii="Arial" w:hAnsi="Arial" w:cs="Arial"/>
              <w:sz w:val="24"/>
              <w:szCs w:val="24"/>
              <w:lang w:val="en-GB"/>
            </w:rPr>
            <w:fldChar w:fldCharType="separate"/>
          </w:r>
          <w:hyperlink w:anchor="_Toc240932091" w:history="1">
            <w:r w:rsidR="00DF1239" w:rsidRPr="00E02468">
              <w:rPr>
                <w:rStyle w:val="Hyperlink"/>
                <w:rFonts w:ascii="Arial" w:hAnsi="Arial" w:cs="Arial"/>
                <w:noProof/>
                <w:sz w:val="24"/>
                <w:szCs w:val="24"/>
                <w:lang w:val="en-GB"/>
              </w:rPr>
              <w:t>AI Use Acknowledgement</w:t>
            </w:r>
            <w:r w:rsidR="00DF1239" w:rsidRPr="00E02468">
              <w:rPr>
                <w:rFonts w:ascii="Arial" w:hAnsi="Arial" w:cs="Arial"/>
                <w:noProof/>
                <w:webHidden/>
                <w:sz w:val="24"/>
                <w:szCs w:val="24"/>
              </w:rPr>
              <w:tab/>
            </w:r>
            <w:r w:rsidR="00DF1239" w:rsidRPr="00E02468">
              <w:rPr>
                <w:rFonts w:ascii="Arial" w:hAnsi="Arial" w:cs="Arial"/>
                <w:noProof/>
                <w:webHidden/>
                <w:sz w:val="24"/>
                <w:szCs w:val="24"/>
              </w:rPr>
              <w:fldChar w:fldCharType="begin"/>
            </w:r>
            <w:r w:rsidR="00DF1239" w:rsidRPr="00E02468">
              <w:rPr>
                <w:rFonts w:ascii="Arial" w:hAnsi="Arial" w:cs="Arial"/>
                <w:noProof/>
                <w:webHidden/>
                <w:sz w:val="24"/>
                <w:szCs w:val="24"/>
              </w:rPr>
              <w:instrText xml:space="preserve"> PAGEREF _Toc240932091 \h </w:instrText>
            </w:r>
            <w:r w:rsidR="00DF1239" w:rsidRPr="00E02468">
              <w:rPr>
                <w:rFonts w:ascii="Arial" w:hAnsi="Arial" w:cs="Arial"/>
                <w:noProof/>
                <w:webHidden/>
                <w:sz w:val="24"/>
                <w:szCs w:val="24"/>
              </w:rPr>
            </w:r>
            <w:r w:rsidR="00DF1239" w:rsidRPr="00E02468">
              <w:rPr>
                <w:rFonts w:ascii="Arial" w:hAnsi="Arial" w:cs="Arial"/>
                <w:noProof/>
                <w:webHidden/>
                <w:sz w:val="24"/>
                <w:szCs w:val="24"/>
              </w:rPr>
              <w:fldChar w:fldCharType="separate"/>
            </w:r>
            <w:r w:rsidR="00DF1239" w:rsidRPr="00E02468">
              <w:rPr>
                <w:rFonts w:ascii="Arial" w:hAnsi="Arial" w:cs="Arial"/>
                <w:noProof/>
                <w:webHidden/>
                <w:sz w:val="24"/>
                <w:szCs w:val="24"/>
              </w:rPr>
              <w:t>3</w:t>
            </w:r>
            <w:r w:rsidR="00DF1239" w:rsidRPr="00E02468">
              <w:rPr>
                <w:rFonts w:ascii="Arial" w:hAnsi="Arial" w:cs="Arial"/>
                <w:noProof/>
                <w:webHidden/>
                <w:sz w:val="24"/>
                <w:szCs w:val="24"/>
              </w:rPr>
              <w:fldChar w:fldCharType="end"/>
            </w:r>
          </w:hyperlink>
        </w:p>
        <w:p w14:paraId="1B9A9328" w14:textId="1F306C9D"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2" w:history="1">
            <w:r w:rsidRPr="00E02468">
              <w:rPr>
                <w:rStyle w:val="Hyperlink"/>
                <w:rFonts w:ascii="Arial" w:hAnsi="Arial" w:cs="Arial"/>
                <w:noProof/>
                <w:sz w:val="24"/>
                <w:szCs w:val="24"/>
                <w:lang w:val="en-GB"/>
              </w:rPr>
              <w:t>Acknowledgements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w:t>
            </w:r>
            <w:r w:rsidRPr="00E02468">
              <w:rPr>
                <w:rFonts w:ascii="Arial" w:hAnsi="Arial" w:cs="Arial"/>
                <w:noProof/>
                <w:webHidden/>
                <w:sz w:val="24"/>
                <w:szCs w:val="24"/>
              </w:rPr>
              <w:fldChar w:fldCharType="end"/>
            </w:r>
          </w:hyperlink>
        </w:p>
        <w:p w14:paraId="140C1DA8" w14:textId="38541021"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3" w:history="1">
            <w:r w:rsidRPr="00E02468">
              <w:rPr>
                <w:rStyle w:val="Hyperlink"/>
                <w:rFonts w:ascii="Arial" w:hAnsi="Arial" w:cs="Arial"/>
                <w:noProof/>
                <w:sz w:val="24"/>
                <w:szCs w:val="24"/>
                <w:lang w:val="en-GB"/>
              </w:rPr>
              <w:t>Abstract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w:t>
            </w:r>
            <w:r w:rsidRPr="00E02468">
              <w:rPr>
                <w:rFonts w:ascii="Arial" w:hAnsi="Arial" w:cs="Arial"/>
                <w:noProof/>
                <w:webHidden/>
                <w:sz w:val="24"/>
                <w:szCs w:val="24"/>
              </w:rPr>
              <w:fldChar w:fldCharType="end"/>
            </w:r>
          </w:hyperlink>
        </w:p>
        <w:p w14:paraId="2FDA6B62" w14:textId="61DF3014"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4" w:history="1">
            <w:r w:rsidRPr="00E02468">
              <w:rPr>
                <w:rStyle w:val="Hyperlink"/>
                <w:rFonts w:ascii="Arial" w:hAnsi="Arial" w:cs="Arial"/>
                <w:noProof/>
                <w:sz w:val="24"/>
                <w:szCs w:val="24"/>
                <w:lang w:val="en-GB"/>
              </w:rPr>
              <w:t>List of Tables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10</w:t>
            </w:r>
            <w:r w:rsidRPr="00E02468">
              <w:rPr>
                <w:rFonts w:ascii="Arial" w:hAnsi="Arial" w:cs="Arial"/>
                <w:noProof/>
                <w:webHidden/>
                <w:sz w:val="24"/>
                <w:szCs w:val="24"/>
              </w:rPr>
              <w:fldChar w:fldCharType="end"/>
            </w:r>
          </w:hyperlink>
        </w:p>
        <w:p w14:paraId="69564EAA" w14:textId="36596E0D"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5" w:history="1">
            <w:r w:rsidRPr="00E02468">
              <w:rPr>
                <w:rStyle w:val="Hyperlink"/>
                <w:rFonts w:ascii="Arial" w:hAnsi="Arial" w:cs="Arial"/>
                <w:noProof/>
                <w:sz w:val="24"/>
                <w:szCs w:val="24"/>
                <w:lang w:val="en-GB"/>
              </w:rPr>
              <w:t>List of Figures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10</w:t>
            </w:r>
            <w:r w:rsidRPr="00E02468">
              <w:rPr>
                <w:rFonts w:ascii="Arial" w:hAnsi="Arial" w:cs="Arial"/>
                <w:noProof/>
                <w:webHidden/>
                <w:sz w:val="24"/>
                <w:szCs w:val="24"/>
              </w:rPr>
              <w:fldChar w:fldCharType="end"/>
            </w:r>
          </w:hyperlink>
        </w:p>
        <w:p w14:paraId="2F14B536" w14:textId="075E86F2"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6" w:history="1">
            <w:r w:rsidRPr="00E02468">
              <w:rPr>
                <w:rStyle w:val="Hyperlink"/>
                <w:rFonts w:ascii="Arial" w:hAnsi="Arial" w:cs="Arial"/>
                <w:noProof/>
                <w:sz w:val="24"/>
                <w:szCs w:val="24"/>
                <w:lang w:val="en-GB"/>
              </w:rPr>
              <w:t>List of Abbreviations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11</w:t>
            </w:r>
            <w:r w:rsidRPr="00E02468">
              <w:rPr>
                <w:rFonts w:ascii="Arial" w:hAnsi="Arial" w:cs="Arial"/>
                <w:noProof/>
                <w:webHidden/>
                <w:sz w:val="24"/>
                <w:szCs w:val="24"/>
              </w:rPr>
              <w:fldChar w:fldCharType="end"/>
            </w:r>
          </w:hyperlink>
        </w:p>
        <w:p w14:paraId="4878B035" w14:textId="39AE2FE0"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7" w:history="1">
            <w:r w:rsidRPr="00E02468">
              <w:rPr>
                <w:rStyle w:val="Hyperlink"/>
                <w:rFonts w:ascii="Arial" w:hAnsi="Arial" w:cs="Arial"/>
                <w:noProof/>
                <w:sz w:val="24"/>
                <w:szCs w:val="24"/>
                <w:lang w:val="en-GB"/>
              </w:rPr>
              <w:t>Glossary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12</w:t>
            </w:r>
            <w:r w:rsidRPr="00E02468">
              <w:rPr>
                <w:rFonts w:ascii="Arial" w:hAnsi="Arial" w:cs="Arial"/>
                <w:noProof/>
                <w:webHidden/>
                <w:sz w:val="24"/>
                <w:szCs w:val="24"/>
              </w:rPr>
              <w:fldChar w:fldCharType="end"/>
            </w:r>
          </w:hyperlink>
        </w:p>
        <w:p w14:paraId="590CC80E" w14:textId="610E71A2"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098" w:history="1">
            <w:r w:rsidRPr="00E02468">
              <w:rPr>
                <w:rStyle w:val="Hyperlink"/>
                <w:rFonts w:ascii="Arial" w:eastAsia="Times New Roman" w:hAnsi="Arial" w:cs="Arial"/>
                <w:noProof/>
                <w:sz w:val="24"/>
                <w:szCs w:val="24"/>
                <w:lang w:val="en-GB" w:eastAsia="en-GB"/>
              </w:rPr>
              <w:t>Chapter 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w:t>
            </w:r>
            <w:r w:rsidRPr="00E02468">
              <w:rPr>
                <w:rFonts w:ascii="Arial" w:hAnsi="Arial" w:cs="Arial"/>
                <w:noProof/>
                <w:webHidden/>
                <w:sz w:val="24"/>
                <w:szCs w:val="24"/>
              </w:rPr>
              <w:fldChar w:fldCharType="end"/>
            </w:r>
          </w:hyperlink>
        </w:p>
        <w:p w14:paraId="5A63A304" w14:textId="37D22817"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099" w:history="1">
            <w:r w:rsidRPr="00E02468">
              <w:rPr>
                <w:rStyle w:val="Hyperlink"/>
                <w:rFonts w:ascii="Arial" w:eastAsia="Times New Roman" w:hAnsi="Arial" w:cs="Arial"/>
                <w:noProof/>
                <w:sz w:val="24"/>
                <w:szCs w:val="24"/>
                <w:lang w:val="en-GB" w:eastAsia="en-GB"/>
              </w:rPr>
              <w:t>1.1 Background of the UK Restaurant Industry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_Toc240932099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w:t>
            </w:r>
            <w:r w:rsidRPr="00E02468">
              <w:rPr>
                <w:rFonts w:ascii="Arial" w:hAnsi="Arial" w:cs="Arial"/>
                <w:noProof/>
                <w:webHidden/>
                <w:sz w:val="24"/>
                <w:szCs w:val="24"/>
              </w:rPr>
              <w:fldChar w:fldCharType="end"/>
            </w:r>
          </w:hyperlink>
        </w:p>
        <w:p w14:paraId="3B71B9CE" w14:textId="201564B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0" w:history="1">
            <w:r w:rsidRPr="00E02468">
              <w:rPr>
                <w:rStyle w:val="Hyperlink"/>
                <w:rFonts w:ascii="Arial" w:hAnsi="Arial" w:cs="Arial"/>
                <w:noProof/>
                <w:sz w:val="24"/>
                <w:szCs w:val="24"/>
                <w:lang w:val="en-GB" w:eastAsia="en-GB"/>
              </w:rPr>
              <w:t>1.2 Research Problem</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w:t>
            </w:r>
            <w:r w:rsidRPr="00E02468">
              <w:rPr>
                <w:rFonts w:ascii="Arial" w:hAnsi="Arial" w:cs="Arial"/>
                <w:noProof/>
                <w:webHidden/>
                <w:sz w:val="24"/>
                <w:szCs w:val="24"/>
              </w:rPr>
              <w:fldChar w:fldCharType="end"/>
            </w:r>
          </w:hyperlink>
        </w:p>
        <w:p w14:paraId="14F1D627" w14:textId="331756D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1" w:history="1">
            <w:r w:rsidRPr="00E02468">
              <w:rPr>
                <w:rStyle w:val="Hyperlink"/>
                <w:rFonts w:ascii="Arial" w:hAnsi="Arial" w:cs="Arial"/>
                <w:noProof/>
                <w:sz w:val="24"/>
                <w:szCs w:val="24"/>
                <w:lang w:val="en-GB" w:eastAsia="en-GB"/>
              </w:rPr>
              <w:t>1.3 Research Aim</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w:t>
            </w:r>
            <w:r w:rsidRPr="00E02468">
              <w:rPr>
                <w:rFonts w:ascii="Arial" w:hAnsi="Arial" w:cs="Arial"/>
                <w:noProof/>
                <w:webHidden/>
                <w:sz w:val="24"/>
                <w:szCs w:val="24"/>
              </w:rPr>
              <w:fldChar w:fldCharType="end"/>
            </w:r>
          </w:hyperlink>
        </w:p>
        <w:p w14:paraId="1CB14021" w14:textId="59C5717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2" w:history="1">
            <w:r w:rsidRPr="00E02468">
              <w:rPr>
                <w:rStyle w:val="Hyperlink"/>
                <w:rFonts w:ascii="Arial" w:hAnsi="Arial" w:cs="Arial"/>
                <w:noProof/>
                <w:sz w:val="24"/>
                <w:szCs w:val="24"/>
                <w:lang w:val="en-GB" w:eastAsia="en-GB"/>
              </w:rPr>
              <w:t>1.4 Research Objectives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w:t>
            </w:r>
            <w:r w:rsidRPr="00E02468">
              <w:rPr>
                <w:rFonts w:ascii="Arial" w:hAnsi="Arial" w:cs="Arial"/>
                <w:noProof/>
                <w:webHidden/>
                <w:sz w:val="24"/>
                <w:szCs w:val="24"/>
              </w:rPr>
              <w:fldChar w:fldCharType="end"/>
            </w:r>
          </w:hyperlink>
        </w:p>
        <w:p w14:paraId="56F60109" w14:textId="1D3C5F97"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3" w:history="1">
            <w:r w:rsidRPr="00E02468">
              <w:rPr>
                <w:rStyle w:val="Hyperlink"/>
                <w:rFonts w:ascii="Arial" w:hAnsi="Arial" w:cs="Arial"/>
                <w:noProof/>
                <w:sz w:val="24"/>
                <w:szCs w:val="24"/>
                <w:lang w:val="en-GB" w:eastAsia="en-GB"/>
              </w:rPr>
              <w:t>1.5 Research Questions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w:t>
            </w:r>
            <w:r w:rsidRPr="00E02468">
              <w:rPr>
                <w:rFonts w:ascii="Arial" w:hAnsi="Arial" w:cs="Arial"/>
                <w:noProof/>
                <w:webHidden/>
                <w:sz w:val="24"/>
                <w:szCs w:val="24"/>
              </w:rPr>
              <w:fldChar w:fldCharType="end"/>
            </w:r>
          </w:hyperlink>
        </w:p>
        <w:p w14:paraId="3692A850" w14:textId="18116AC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4" w:history="1">
            <w:r w:rsidRPr="00E02468">
              <w:rPr>
                <w:rStyle w:val="Hyperlink"/>
                <w:rFonts w:ascii="Arial" w:eastAsia="Times New Roman" w:hAnsi="Arial" w:cs="Arial"/>
                <w:noProof/>
                <w:sz w:val="24"/>
                <w:szCs w:val="24"/>
                <w:lang w:val="en-GB" w:eastAsia="en-GB"/>
              </w:rPr>
              <w:t>1.6 Significance of the Study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w:t>
            </w:r>
            <w:r w:rsidRPr="00E02468">
              <w:rPr>
                <w:rFonts w:ascii="Arial" w:hAnsi="Arial" w:cs="Arial"/>
                <w:noProof/>
                <w:webHidden/>
                <w:sz w:val="24"/>
                <w:szCs w:val="24"/>
              </w:rPr>
              <w:fldChar w:fldCharType="end"/>
            </w:r>
          </w:hyperlink>
        </w:p>
        <w:p w14:paraId="334FCA13" w14:textId="2F2315B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5" w:history="1">
            <w:r w:rsidRPr="00E02468">
              <w:rPr>
                <w:rStyle w:val="Hyperlink"/>
                <w:rFonts w:ascii="Arial" w:hAnsi="Arial" w:cs="Arial"/>
                <w:noProof/>
                <w:sz w:val="24"/>
                <w:szCs w:val="24"/>
                <w:lang w:val="en-GB" w:eastAsia="en-GB"/>
              </w:rPr>
              <w:t>1.7 Scope of the Study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w:t>
            </w:r>
            <w:r w:rsidRPr="00E02468">
              <w:rPr>
                <w:rFonts w:ascii="Arial" w:hAnsi="Arial" w:cs="Arial"/>
                <w:noProof/>
                <w:webHidden/>
                <w:sz w:val="24"/>
                <w:szCs w:val="24"/>
              </w:rPr>
              <w:fldChar w:fldCharType="end"/>
            </w:r>
          </w:hyperlink>
        </w:p>
        <w:p w14:paraId="1707F98C" w14:textId="4F0BAA1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6" w:history="1">
            <w:r w:rsidRPr="00E02468">
              <w:rPr>
                <w:rStyle w:val="Hyperlink"/>
                <w:rFonts w:ascii="Arial" w:eastAsia="Times New Roman" w:hAnsi="Arial" w:cs="Arial"/>
                <w:noProof/>
                <w:sz w:val="24"/>
                <w:szCs w:val="24"/>
                <w:lang w:val="en-GB" w:eastAsia="en-GB"/>
              </w:rPr>
              <w:t>1.8 Research Gap</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w:t>
            </w:r>
            <w:r w:rsidRPr="00E02468">
              <w:rPr>
                <w:rFonts w:ascii="Arial" w:hAnsi="Arial" w:cs="Arial"/>
                <w:noProof/>
                <w:webHidden/>
                <w:sz w:val="24"/>
                <w:szCs w:val="24"/>
              </w:rPr>
              <w:fldChar w:fldCharType="end"/>
            </w:r>
          </w:hyperlink>
        </w:p>
        <w:p w14:paraId="27FD1DA4" w14:textId="2F4C9D6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07" w:history="1">
            <w:r w:rsidRPr="00E02468">
              <w:rPr>
                <w:rStyle w:val="Hyperlink"/>
                <w:rFonts w:ascii="Arial" w:hAnsi="Arial" w:cs="Arial"/>
                <w:noProof/>
                <w:sz w:val="24"/>
                <w:szCs w:val="24"/>
                <w:lang w:val="en-GB" w:eastAsia="en-GB"/>
              </w:rPr>
              <w:t>1.9 Theoretical Framework</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w:t>
            </w:r>
            <w:r w:rsidRPr="00E02468">
              <w:rPr>
                <w:rFonts w:ascii="Arial" w:hAnsi="Arial" w:cs="Arial"/>
                <w:noProof/>
                <w:webHidden/>
                <w:sz w:val="24"/>
                <w:szCs w:val="24"/>
              </w:rPr>
              <w:fldChar w:fldCharType="end"/>
            </w:r>
          </w:hyperlink>
        </w:p>
        <w:p w14:paraId="3466F5BE" w14:textId="227E8CE9"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08" w:history="1">
            <w:r w:rsidRPr="00E02468">
              <w:rPr>
                <w:rStyle w:val="Hyperlink"/>
                <w:rFonts w:ascii="Arial" w:hAnsi="Arial" w:cs="Arial"/>
                <w:noProof/>
                <w:sz w:val="24"/>
                <w:szCs w:val="24"/>
                <w:lang w:val="en-GB" w:eastAsia="en-GB"/>
              </w:rPr>
              <w:t>1.9.1 Human Capital Theory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w:t>
            </w:r>
            <w:r w:rsidRPr="00E02468">
              <w:rPr>
                <w:rFonts w:ascii="Arial" w:hAnsi="Arial" w:cs="Arial"/>
                <w:noProof/>
                <w:webHidden/>
                <w:sz w:val="24"/>
                <w:szCs w:val="24"/>
              </w:rPr>
              <w:fldChar w:fldCharType="end"/>
            </w:r>
          </w:hyperlink>
        </w:p>
        <w:p w14:paraId="6CEE59B4" w14:textId="1CE25FC8"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09" w:history="1">
            <w:r w:rsidRPr="00E02468">
              <w:rPr>
                <w:rStyle w:val="Hyperlink"/>
                <w:rFonts w:ascii="Arial" w:hAnsi="Arial" w:cs="Arial"/>
                <w:noProof/>
                <w:sz w:val="24"/>
                <w:szCs w:val="24"/>
                <w:lang w:val="en-GB" w:eastAsia="en-GB"/>
              </w:rPr>
              <w:t>1.9.2 Resource-Based View</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_Toc240932109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w:t>
            </w:r>
            <w:r w:rsidRPr="00E02468">
              <w:rPr>
                <w:rFonts w:ascii="Arial" w:hAnsi="Arial" w:cs="Arial"/>
                <w:noProof/>
                <w:webHidden/>
                <w:sz w:val="24"/>
                <w:szCs w:val="24"/>
              </w:rPr>
              <w:fldChar w:fldCharType="end"/>
            </w:r>
          </w:hyperlink>
        </w:p>
        <w:p w14:paraId="0EF44CDF" w14:textId="1480ACDB"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10" w:history="1">
            <w:r w:rsidRPr="00E02468">
              <w:rPr>
                <w:rStyle w:val="Hyperlink"/>
                <w:rFonts w:ascii="Arial" w:hAnsi="Arial" w:cs="Arial"/>
                <w:noProof/>
                <w:sz w:val="24"/>
                <w:szCs w:val="24"/>
                <w:lang w:val="en-GB" w:eastAsia="en-GB"/>
              </w:rPr>
              <w:t>1.9.3 Ability-Motivation-Opportunity (AMO) Theory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w:t>
            </w:r>
            <w:r w:rsidRPr="00E02468">
              <w:rPr>
                <w:rFonts w:ascii="Arial" w:hAnsi="Arial" w:cs="Arial"/>
                <w:noProof/>
                <w:webHidden/>
                <w:sz w:val="24"/>
                <w:szCs w:val="24"/>
              </w:rPr>
              <w:fldChar w:fldCharType="end"/>
            </w:r>
          </w:hyperlink>
        </w:p>
        <w:p w14:paraId="4D35D1DD" w14:textId="5AF37E3E"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11" w:history="1">
            <w:r w:rsidRPr="00E02468">
              <w:rPr>
                <w:rStyle w:val="Hyperlink"/>
                <w:rFonts w:ascii="Arial" w:hAnsi="Arial" w:cs="Arial"/>
                <w:noProof/>
                <w:sz w:val="24"/>
                <w:szCs w:val="24"/>
                <w:lang w:val="en-GB" w:eastAsia="en-GB"/>
              </w:rPr>
              <w:t>1.9.4 SERVQUAL Model</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w:t>
            </w:r>
            <w:r w:rsidRPr="00E02468">
              <w:rPr>
                <w:rFonts w:ascii="Arial" w:hAnsi="Arial" w:cs="Arial"/>
                <w:noProof/>
                <w:webHidden/>
                <w:sz w:val="24"/>
                <w:szCs w:val="24"/>
              </w:rPr>
              <w:fldChar w:fldCharType="end"/>
            </w:r>
          </w:hyperlink>
        </w:p>
        <w:p w14:paraId="24C0F6BC" w14:textId="0D2658AA"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12" w:history="1">
            <w:r w:rsidRPr="00E02468">
              <w:rPr>
                <w:rStyle w:val="Hyperlink"/>
                <w:rFonts w:ascii="Arial" w:hAnsi="Arial" w:cs="Arial"/>
                <w:noProof/>
                <w:sz w:val="24"/>
                <w:szCs w:val="24"/>
                <w:lang w:val="en-GB" w:eastAsia="en-GB"/>
              </w:rPr>
              <w:t>1.10 Dissertation Structure</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w:t>
            </w:r>
            <w:r w:rsidRPr="00E02468">
              <w:rPr>
                <w:rFonts w:ascii="Arial" w:hAnsi="Arial" w:cs="Arial"/>
                <w:noProof/>
                <w:webHidden/>
                <w:sz w:val="24"/>
                <w:szCs w:val="24"/>
              </w:rPr>
              <w:fldChar w:fldCharType="end"/>
            </w:r>
          </w:hyperlink>
        </w:p>
        <w:p w14:paraId="19C64FE8" w14:textId="0E914B20"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113" w:history="1">
            <w:r w:rsidRPr="00E02468">
              <w:rPr>
                <w:rStyle w:val="Hyperlink"/>
                <w:rFonts w:ascii="Arial" w:hAnsi="Arial" w:cs="Arial"/>
                <w:noProof/>
                <w:sz w:val="24"/>
                <w:szCs w:val="24"/>
                <w:lang w:val="en-GB" w:eastAsia="en-GB"/>
              </w:rPr>
              <w:t>Chapter 2: Literature Review</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7</w:t>
            </w:r>
            <w:r w:rsidRPr="00E02468">
              <w:rPr>
                <w:rFonts w:ascii="Arial" w:hAnsi="Arial" w:cs="Arial"/>
                <w:noProof/>
                <w:webHidden/>
                <w:sz w:val="24"/>
                <w:szCs w:val="24"/>
              </w:rPr>
              <w:fldChar w:fldCharType="end"/>
            </w:r>
          </w:hyperlink>
        </w:p>
        <w:p w14:paraId="67F4474D" w14:textId="4CE7394A"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14" w:history="1">
            <w:r w:rsidRPr="00E02468">
              <w:rPr>
                <w:rStyle w:val="Hyperlink"/>
                <w:rFonts w:ascii="Arial" w:hAnsi="Arial" w:cs="Arial"/>
                <w:noProof/>
                <w:sz w:val="24"/>
                <w:szCs w:val="24"/>
                <w:lang w:val="en-GB" w:eastAsia="en-GB"/>
              </w:rPr>
              <w:t>2.1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7</w:t>
            </w:r>
            <w:r w:rsidRPr="00E02468">
              <w:rPr>
                <w:rFonts w:ascii="Arial" w:hAnsi="Arial" w:cs="Arial"/>
                <w:noProof/>
                <w:webHidden/>
                <w:sz w:val="24"/>
                <w:szCs w:val="24"/>
              </w:rPr>
              <w:fldChar w:fldCharType="end"/>
            </w:r>
          </w:hyperlink>
        </w:p>
        <w:p w14:paraId="216054E1" w14:textId="59A1F4E0"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15" w:history="1">
            <w:r w:rsidRPr="00E02468">
              <w:rPr>
                <w:rStyle w:val="Hyperlink"/>
                <w:rFonts w:ascii="Arial" w:hAnsi="Arial" w:cs="Arial"/>
                <w:noProof/>
                <w:sz w:val="24"/>
                <w:szCs w:val="24"/>
                <w:lang w:val="en-GB" w:eastAsia="en-GB"/>
              </w:rPr>
              <w:t>2.2 Concept of Human Capital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7</w:t>
            </w:r>
            <w:r w:rsidRPr="00E02468">
              <w:rPr>
                <w:rFonts w:ascii="Arial" w:hAnsi="Arial" w:cs="Arial"/>
                <w:noProof/>
                <w:webHidden/>
                <w:sz w:val="24"/>
                <w:szCs w:val="24"/>
              </w:rPr>
              <w:fldChar w:fldCharType="end"/>
            </w:r>
          </w:hyperlink>
        </w:p>
        <w:p w14:paraId="07A4F18A" w14:textId="5BFAF446"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16" w:history="1">
            <w:r w:rsidRPr="00E02468">
              <w:rPr>
                <w:rStyle w:val="Hyperlink"/>
                <w:rFonts w:ascii="Arial" w:hAnsi="Arial" w:cs="Arial"/>
                <w:noProof/>
                <w:sz w:val="24"/>
                <w:szCs w:val="24"/>
                <w:lang w:val="en-GB" w:eastAsia="en-GB"/>
              </w:rPr>
              <w:t>2.2.1 Definition of Human Capital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7</w:t>
            </w:r>
            <w:r w:rsidRPr="00E02468">
              <w:rPr>
                <w:rFonts w:ascii="Arial" w:hAnsi="Arial" w:cs="Arial"/>
                <w:noProof/>
                <w:webHidden/>
                <w:sz w:val="24"/>
                <w:szCs w:val="24"/>
              </w:rPr>
              <w:fldChar w:fldCharType="end"/>
            </w:r>
          </w:hyperlink>
        </w:p>
        <w:p w14:paraId="5DD2FEA4" w14:textId="267F320F"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17" w:history="1">
            <w:r w:rsidRPr="00E02468">
              <w:rPr>
                <w:rStyle w:val="Hyperlink"/>
                <w:rFonts w:ascii="Arial" w:hAnsi="Arial" w:cs="Arial"/>
                <w:noProof/>
                <w:sz w:val="24"/>
                <w:szCs w:val="24"/>
                <w:lang w:val="en-GB" w:eastAsia="en-GB"/>
              </w:rPr>
              <w:t>2.2.2 Leading Practices in HRM</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8</w:t>
            </w:r>
            <w:r w:rsidRPr="00E02468">
              <w:rPr>
                <w:rFonts w:ascii="Arial" w:hAnsi="Arial" w:cs="Arial"/>
                <w:noProof/>
                <w:webHidden/>
                <w:sz w:val="24"/>
                <w:szCs w:val="24"/>
              </w:rPr>
              <w:fldChar w:fldCharType="end"/>
            </w:r>
          </w:hyperlink>
        </w:p>
        <w:p w14:paraId="027FCCAC" w14:textId="1DEE1C0C"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18" w:history="1">
            <w:r w:rsidRPr="00E02468">
              <w:rPr>
                <w:rStyle w:val="Hyperlink"/>
                <w:rFonts w:ascii="Arial" w:hAnsi="Arial" w:cs="Arial"/>
                <w:noProof/>
                <w:sz w:val="24"/>
                <w:szCs w:val="24"/>
                <w:lang w:val="en-GB" w:eastAsia="en-GB"/>
              </w:rPr>
              <w:t>2.2.3 Strategic Importance of HCM</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8</w:t>
            </w:r>
            <w:r w:rsidRPr="00E02468">
              <w:rPr>
                <w:rFonts w:ascii="Arial" w:hAnsi="Arial" w:cs="Arial"/>
                <w:noProof/>
                <w:webHidden/>
                <w:sz w:val="24"/>
                <w:szCs w:val="24"/>
              </w:rPr>
              <w:fldChar w:fldCharType="end"/>
            </w:r>
          </w:hyperlink>
        </w:p>
        <w:p w14:paraId="7BDB95F5" w14:textId="21F0119D"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19" w:history="1">
            <w:r w:rsidRPr="00E02468">
              <w:rPr>
                <w:rStyle w:val="Hyperlink"/>
                <w:rFonts w:ascii="Arial" w:hAnsi="Arial" w:cs="Arial"/>
                <w:noProof/>
                <w:sz w:val="24"/>
                <w:szCs w:val="24"/>
                <w:lang w:val="en-GB" w:eastAsia="en-GB"/>
              </w:rPr>
              <w:t>2.3 Human Capital Management Practices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_Toc240932119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9</w:t>
            </w:r>
            <w:r w:rsidRPr="00E02468">
              <w:rPr>
                <w:rFonts w:ascii="Arial" w:hAnsi="Arial" w:cs="Arial"/>
                <w:noProof/>
                <w:webHidden/>
                <w:sz w:val="24"/>
                <w:szCs w:val="24"/>
              </w:rPr>
              <w:fldChar w:fldCharType="end"/>
            </w:r>
          </w:hyperlink>
        </w:p>
        <w:p w14:paraId="3214D00B" w14:textId="451E9B99"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0" w:history="1">
            <w:r w:rsidRPr="00E02468">
              <w:rPr>
                <w:rStyle w:val="Hyperlink"/>
                <w:rFonts w:ascii="Arial" w:hAnsi="Arial" w:cs="Arial"/>
                <w:noProof/>
                <w:sz w:val="24"/>
                <w:szCs w:val="24"/>
                <w:lang w:val="en-GB" w:eastAsia="en-GB"/>
              </w:rPr>
              <w:t>2.3.1 Recruitment and Selection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9</w:t>
            </w:r>
            <w:r w:rsidRPr="00E02468">
              <w:rPr>
                <w:rFonts w:ascii="Arial" w:hAnsi="Arial" w:cs="Arial"/>
                <w:noProof/>
                <w:webHidden/>
                <w:sz w:val="24"/>
                <w:szCs w:val="24"/>
              </w:rPr>
              <w:fldChar w:fldCharType="end"/>
            </w:r>
          </w:hyperlink>
        </w:p>
        <w:p w14:paraId="637E0019" w14:textId="33DBFFED"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1" w:history="1">
            <w:r w:rsidRPr="00E02468">
              <w:rPr>
                <w:rStyle w:val="Hyperlink"/>
                <w:rFonts w:ascii="Arial" w:hAnsi="Arial" w:cs="Arial"/>
                <w:noProof/>
                <w:sz w:val="24"/>
                <w:szCs w:val="24"/>
                <w:lang w:val="en-GB" w:eastAsia="en-GB"/>
              </w:rPr>
              <w:t>2.3.2 Training and Development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10</w:t>
            </w:r>
            <w:r w:rsidRPr="00E02468">
              <w:rPr>
                <w:rFonts w:ascii="Arial" w:hAnsi="Arial" w:cs="Arial"/>
                <w:noProof/>
                <w:webHidden/>
                <w:sz w:val="24"/>
                <w:szCs w:val="24"/>
              </w:rPr>
              <w:fldChar w:fldCharType="end"/>
            </w:r>
          </w:hyperlink>
        </w:p>
        <w:p w14:paraId="73D6B192" w14:textId="2334D3BD"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2" w:history="1">
            <w:r w:rsidRPr="00E02468">
              <w:rPr>
                <w:rStyle w:val="Hyperlink"/>
                <w:rFonts w:ascii="Arial" w:hAnsi="Arial" w:cs="Arial"/>
                <w:noProof/>
                <w:sz w:val="24"/>
                <w:szCs w:val="24"/>
                <w:lang w:val="en-GB" w:eastAsia="en-GB"/>
              </w:rPr>
              <w:t>2.3.3 Employee Engagement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10</w:t>
            </w:r>
            <w:r w:rsidRPr="00E02468">
              <w:rPr>
                <w:rFonts w:ascii="Arial" w:hAnsi="Arial" w:cs="Arial"/>
                <w:noProof/>
                <w:webHidden/>
                <w:sz w:val="24"/>
                <w:szCs w:val="24"/>
              </w:rPr>
              <w:fldChar w:fldCharType="end"/>
            </w:r>
          </w:hyperlink>
        </w:p>
        <w:p w14:paraId="0E671CDD" w14:textId="49CDC739"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3" w:history="1">
            <w:r w:rsidRPr="00E02468">
              <w:rPr>
                <w:rStyle w:val="Hyperlink"/>
                <w:rFonts w:ascii="Arial" w:hAnsi="Arial" w:cs="Arial"/>
                <w:noProof/>
                <w:sz w:val="24"/>
                <w:szCs w:val="24"/>
                <w:lang w:val="en-GB" w:eastAsia="en-GB"/>
              </w:rPr>
              <w:t>2.3.4 Performance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11</w:t>
            </w:r>
            <w:r w:rsidRPr="00E02468">
              <w:rPr>
                <w:rFonts w:ascii="Arial" w:hAnsi="Arial" w:cs="Arial"/>
                <w:noProof/>
                <w:webHidden/>
                <w:sz w:val="24"/>
                <w:szCs w:val="24"/>
              </w:rPr>
              <w:fldChar w:fldCharType="end"/>
            </w:r>
          </w:hyperlink>
        </w:p>
        <w:p w14:paraId="24CAF047" w14:textId="1F3D938D"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4" w:history="1">
            <w:r w:rsidRPr="00E02468">
              <w:rPr>
                <w:rStyle w:val="Hyperlink"/>
                <w:rFonts w:ascii="Arial" w:hAnsi="Arial" w:cs="Arial"/>
                <w:noProof/>
                <w:sz w:val="24"/>
                <w:szCs w:val="24"/>
                <w:lang w:val="en-GB" w:eastAsia="en-GB"/>
              </w:rPr>
              <w:t>2.3.5 Reward and Recognition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12</w:t>
            </w:r>
            <w:r w:rsidRPr="00E02468">
              <w:rPr>
                <w:rFonts w:ascii="Arial" w:hAnsi="Arial" w:cs="Arial"/>
                <w:noProof/>
                <w:webHidden/>
                <w:sz w:val="24"/>
                <w:szCs w:val="24"/>
              </w:rPr>
              <w:fldChar w:fldCharType="end"/>
            </w:r>
          </w:hyperlink>
        </w:p>
        <w:p w14:paraId="18708ACB" w14:textId="2D7C18D0"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5" w:history="1">
            <w:r w:rsidRPr="00E02468">
              <w:rPr>
                <w:rStyle w:val="Hyperlink"/>
                <w:rFonts w:ascii="Arial" w:hAnsi="Arial" w:cs="Arial"/>
                <w:noProof/>
                <w:sz w:val="24"/>
                <w:szCs w:val="24"/>
                <w:lang w:val="en-GB" w:eastAsia="en-GB"/>
              </w:rPr>
              <w:t>2.3.6 Employee Retention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12</w:t>
            </w:r>
            <w:r w:rsidRPr="00E02468">
              <w:rPr>
                <w:rFonts w:ascii="Arial" w:hAnsi="Arial" w:cs="Arial"/>
                <w:noProof/>
                <w:webHidden/>
                <w:sz w:val="24"/>
                <w:szCs w:val="24"/>
              </w:rPr>
              <w:fldChar w:fldCharType="end"/>
            </w:r>
          </w:hyperlink>
        </w:p>
        <w:p w14:paraId="30894DA9" w14:textId="4108690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26" w:history="1">
            <w:r w:rsidRPr="00E02468">
              <w:rPr>
                <w:rStyle w:val="Hyperlink"/>
                <w:rFonts w:ascii="Arial" w:hAnsi="Arial" w:cs="Arial"/>
                <w:noProof/>
                <w:sz w:val="24"/>
                <w:szCs w:val="24"/>
                <w:lang w:val="en-GB" w:eastAsia="en-GB"/>
              </w:rPr>
              <w:t>2.4 Customer Service Quality in the UK Restaurant Industry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13</w:t>
            </w:r>
            <w:r w:rsidRPr="00E02468">
              <w:rPr>
                <w:rFonts w:ascii="Arial" w:hAnsi="Arial" w:cs="Arial"/>
                <w:noProof/>
                <w:webHidden/>
                <w:sz w:val="24"/>
                <w:szCs w:val="24"/>
              </w:rPr>
              <w:fldChar w:fldCharType="end"/>
            </w:r>
          </w:hyperlink>
        </w:p>
        <w:p w14:paraId="1E7523EA" w14:textId="5D30C3A2"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7" w:history="1">
            <w:r w:rsidRPr="00E02468">
              <w:rPr>
                <w:rStyle w:val="Hyperlink"/>
                <w:rFonts w:ascii="Arial" w:hAnsi="Arial" w:cs="Arial"/>
                <w:noProof/>
                <w:sz w:val="24"/>
                <w:szCs w:val="24"/>
                <w:lang w:val="en-GB" w:eastAsia="en-GB"/>
              </w:rPr>
              <w:t>2.4.1 Concept of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13</w:t>
            </w:r>
            <w:r w:rsidRPr="00E02468">
              <w:rPr>
                <w:rFonts w:ascii="Arial" w:hAnsi="Arial" w:cs="Arial"/>
                <w:noProof/>
                <w:webHidden/>
                <w:sz w:val="24"/>
                <w:szCs w:val="24"/>
              </w:rPr>
              <w:fldChar w:fldCharType="end"/>
            </w:r>
          </w:hyperlink>
        </w:p>
        <w:p w14:paraId="0EEF817B" w14:textId="7EFBE326"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8" w:history="1">
            <w:r w:rsidRPr="00E02468">
              <w:rPr>
                <w:rStyle w:val="Hyperlink"/>
                <w:rFonts w:ascii="Arial" w:hAnsi="Arial" w:cs="Arial"/>
                <w:noProof/>
                <w:sz w:val="24"/>
                <w:szCs w:val="24"/>
                <w:lang w:val="en-GB" w:eastAsia="en-GB"/>
              </w:rPr>
              <w:t>2.4.2 Dimensions of Restaurant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13</w:t>
            </w:r>
            <w:r w:rsidRPr="00E02468">
              <w:rPr>
                <w:rFonts w:ascii="Arial" w:hAnsi="Arial" w:cs="Arial"/>
                <w:noProof/>
                <w:webHidden/>
                <w:sz w:val="24"/>
                <w:szCs w:val="24"/>
              </w:rPr>
              <w:fldChar w:fldCharType="end"/>
            </w:r>
          </w:hyperlink>
        </w:p>
        <w:p w14:paraId="15470B60" w14:textId="1158C2E5"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29" w:history="1">
            <w:r w:rsidRPr="00E02468">
              <w:rPr>
                <w:rStyle w:val="Hyperlink"/>
                <w:rFonts w:ascii="Arial" w:hAnsi="Arial" w:cs="Arial"/>
                <w:noProof/>
                <w:sz w:val="24"/>
                <w:szCs w:val="24"/>
                <w:lang w:val="en-GB" w:eastAsia="en-GB"/>
              </w:rPr>
              <w:t>2.4.3 Customer Satisfaction and Restaurant Performance</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_Toc240932129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14</w:t>
            </w:r>
            <w:r w:rsidRPr="00E02468">
              <w:rPr>
                <w:rFonts w:ascii="Arial" w:hAnsi="Arial" w:cs="Arial"/>
                <w:noProof/>
                <w:webHidden/>
                <w:sz w:val="24"/>
                <w:szCs w:val="24"/>
              </w:rPr>
              <w:fldChar w:fldCharType="end"/>
            </w:r>
          </w:hyperlink>
        </w:p>
        <w:p w14:paraId="618C247C" w14:textId="22380FE5"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0" w:history="1">
            <w:r w:rsidRPr="00E02468">
              <w:rPr>
                <w:rStyle w:val="Hyperlink"/>
                <w:rFonts w:ascii="Arial" w:hAnsi="Arial" w:cs="Arial"/>
                <w:noProof/>
                <w:sz w:val="24"/>
                <w:szCs w:val="24"/>
                <w:lang w:val="en-GB" w:eastAsia="en-GB"/>
              </w:rPr>
              <w:t>2.4.4 Contemporary Challenges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15</w:t>
            </w:r>
            <w:r w:rsidRPr="00E02468">
              <w:rPr>
                <w:rFonts w:ascii="Arial" w:hAnsi="Arial" w:cs="Arial"/>
                <w:noProof/>
                <w:webHidden/>
                <w:sz w:val="24"/>
                <w:szCs w:val="24"/>
              </w:rPr>
              <w:fldChar w:fldCharType="end"/>
            </w:r>
          </w:hyperlink>
        </w:p>
        <w:p w14:paraId="5860953E" w14:textId="0CDC9E4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31" w:history="1">
            <w:r w:rsidRPr="00E02468">
              <w:rPr>
                <w:rStyle w:val="Hyperlink"/>
                <w:rFonts w:ascii="Arial" w:hAnsi="Arial" w:cs="Arial"/>
                <w:noProof/>
                <w:sz w:val="24"/>
                <w:szCs w:val="24"/>
                <w:lang w:val="en-GB" w:eastAsia="en-GB"/>
              </w:rPr>
              <w:t>2.5 Relationship Between HCM Practices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15</w:t>
            </w:r>
            <w:r w:rsidRPr="00E02468">
              <w:rPr>
                <w:rFonts w:ascii="Arial" w:hAnsi="Arial" w:cs="Arial"/>
                <w:noProof/>
                <w:webHidden/>
                <w:sz w:val="24"/>
                <w:szCs w:val="24"/>
              </w:rPr>
              <w:fldChar w:fldCharType="end"/>
            </w:r>
          </w:hyperlink>
        </w:p>
        <w:p w14:paraId="0C4A5075" w14:textId="2FC50F67"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2" w:history="1">
            <w:r w:rsidRPr="00E02468">
              <w:rPr>
                <w:rStyle w:val="Hyperlink"/>
                <w:rFonts w:ascii="Arial" w:hAnsi="Arial" w:cs="Arial"/>
                <w:noProof/>
                <w:sz w:val="24"/>
                <w:szCs w:val="24"/>
                <w:lang w:val="en-GB" w:eastAsia="en-GB"/>
              </w:rPr>
              <w:t>2.5.1 Recruitment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15</w:t>
            </w:r>
            <w:r w:rsidRPr="00E02468">
              <w:rPr>
                <w:rFonts w:ascii="Arial" w:hAnsi="Arial" w:cs="Arial"/>
                <w:noProof/>
                <w:webHidden/>
                <w:sz w:val="24"/>
                <w:szCs w:val="24"/>
              </w:rPr>
              <w:fldChar w:fldCharType="end"/>
            </w:r>
          </w:hyperlink>
        </w:p>
        <w:p w14:paraId="19FD3F52" w14:textId="5228B27B"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3" w:history="1">
            <w:r w:rsidRPr="00E02468">
              <w:rPr>
                <w:rStyle w:val="Hyperlink"/>
                <w:rFonts w:ascii="Arial" w:hAnsi="Arial" w:cs="Arial"/>
                <w:noProof/>
                <w:sz w:val="24"/>
                <w:szCs w:val="24"/>
                <w:lang w:val="en-GB" w:eastAsia="en-GB"/>
              </w:rPr>
              <w:t>2.5.2 Training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15</w:t>
            </w:r>
            <w:r w:rsidRPr="00E02468">
              <w:rPr>
                <w:rFonts w:ascii="Arial" w:hAnsi="Arial" w:cs="Arial"/>
                <w:noProof/>
                <w:webHidden/>
                <w:sz w:val="24"/>
                <w:szCs w:val="24"/>
              </w:rPr>
              <w:fldChar w:fldCharType="end"/>
            </w:r>
          </w:hyperlink>
        </w:p>
        <w:p w14:paraId="2372E3B7" w14:textId="75918F42"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4" w:history="1">
            <w:r w:rsidRPr="00E02468">
              <w:rPr>
                <w:rStyle w:val="Hyperlink"/>
                <w:rFonts w:ascii="Arial" w:hAnsi="Arial" w:cs="Arial"/>
                <w:noProof/>
                <w:sz w:val="24"/>
                <w:szCs w:val="24"/>
                <w:lang w:val="en-GB" w:eastAsia="en-GB"/>
              </w:rPr>
              <w:t>2.5.3 Employee Engagement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16</w:t>
            </w:r>
            <w:r w:rsidRPr="00E02468">
              <w:rPr>
                <w:rFonts w:ascii="Arial" w:hAnsi="Arial" w:cs="Arial"/>
                <w:noProof/>
                <w:webHidden/>
                <w:sz w:val="24"/>
                <w:szCs w:val="24"/>
              </w:rPr>
              <w:fldChar w:fldCharType="end"/>
            </w:r>
          </w:hyperlink>
        </w:p>
        <w:p w14:paraId="09969C6E" w14:textId="1B123A1B"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5" w:history="1">
            <w:r w:rsidRPr="00E02468">
              <w:rPr>
                <w:rStyle w:val="Hyperlink"/>
                <w:rFonts w:ascii="Arial" w:hAnsi="Arial" w:cs="Arial"/>
                <w:noProof/>
                <w:sz w:val="24"/>
                <w:szCs w:val="24"/>
                <w:lang w:val="en-GB" w:eastAsia="en-GB"/>
              </w:rPr>
              <w:t>2.5.4 Performance Management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16</w:t>
            </w:r>
            <w:r w:rsidRPr="00E02468">
              <w:rPr>
                <w:rFonts w:ascii="Arial" w:hAnsi="Arial" w:cs="Arial"/>
                <w:noProof/>
                <w:webHidden/>
                <w:sz w:val="24"/>
                <w:szCs w:val="24"/>
              </w:rPr>
              <w:fldChar w:fldCharType="end"/>
            </w:r>
          </w:hyperlink>
        </w:p>
        <w:p w14:paraId="71FBDD3B" w14:textId="14598213"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6" w:history="1">
            <w:r w:rsidRPr="00E02468">
              <w:rPr>
                <w:rStyle w:val="Hyperlink"/>
                <w:rFonts w:ascii="Arial" w:hAnsi="Arial" w:cs="Arial"/>
                <w:noProof/>
                <w:sz w:val="24"/>
                <w:szCs w:val="24"/>
                <w:lang w:val="en-GB" w:eastAsia="en-GB"/>
              </w:rPr>
              <w:t>2.5.5 Reward and Recognition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16</w:t>
            </w:r>
            <w:r w:rsidRPr="00E02468">
              <w:rPr>
                <w:rFonts w:ascii="Arial" w:hAnsi="Arial" w:cs="Arial"/>
                <w:noProof/>
                <w:webHidden/>
                <w:sz w:val="24"/>
                <w:szCs w:val="24"/>
              </w:rPr>
              <w:fldChar w:fldCharType="end"/>
            </w:r>
          </w:hyperlink>
        </w:p>
        <w:p w14:paraId="66632641" w14:textId="1DD2E570"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7" w:history="1">
            <w:r w:rsidRPr="00E02468">
              <w:rPr>
                <w:rStyle w:val="Hyperlink"/>
                <w:rFonts w:ascii="Arial" w:hAnsi="Arial" w:cs="Arial"/>
                <w:noProof/>
                <w:sz w:val="24"/>
                <w:szCs w:val="24"/>
                <w:lang w:val="en-GB" w:eastAsia="en-GB"/>
              </w:rPr>
              <w:t>2.5.6 Employee Retention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16</w:t>
            </w:r>
            <w:r w:rsidRPr="00E02468">
              <w:rPr>
                <w:rFonts w:ascii="Arial" w:hAnsi="Arial" w:cs="Arial"/>
                <w:noProof/>
                <w:webHidden/>
                <w:sz w:val="24"/>
                <w:szCs w:val="24"/>
              </w:rPr>
              <w:fldChar w:fldCharType="end"/>
            </w:r>
          </w:hyperlink>
        </w:p>
        <w:p w14:paraId="04BF7557" w14:textId="4C47F234"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38" w:history="1">
            <w:r w:rsidRPr="00E02468">
              <w:rPr>
                <w:rStyle w:val="Hyperlink"/>
                <w:rFonts w:ascii="Arial" w:hAnsi="Arial" w:cs="Arial"/>
                <w:noProof/>
                <w:sz w:val="24"/>
                <w:szCs w:val="24"/>
                <w:lang w:val="en-GB" w:eastAsia="en-GB"/>
              </w:rPr>
              <w:t>2.5.7 Employee Performance as a Mediating Mechanism</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17</w:t>
            </w:r>
            <w:r w:rsidRPr="00E02468">
              <w:rPr>
                <w:rFonts w:ascii="Arial" w:hAnsi="Arial" w:cs="Arial"/>
                <w:noProof/>
                <w:webHidden/>
                <w:sz w:val="24"/>
                <w:szCs w:val="24"/>
              </w:rPr>
              <w:fldChar w:fldCharType="end"/>
            </w:r>
          </w:hyperlink>
        </w:p>
        <w:p w14:paraId="40054965" w14:textId="04ABCDB9"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39" w:history="1">
            <w:r w:rsidRPr="00E02468">
              <w:rPr>
                <w:rStyle w:val="Hyperlink"/>
                <w:rFonts w:ascii="Arial" w:hAnsi="Arial" w:cs="Arial"/>
                <w:noProof/>
                <w:sz w:val="24"/>
                <w:szCs w:val="24"/>
                <w:lang w:val="en-GB" w:eastAsia="en-GB"/>
              </w:rPr>
              <w:t>2.6 Critical Comparison and Synthesis of Previous Studies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_Toc240932139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17</w:t>
            </w:r>
            <w:r w:rsidRPr="00E02468">
              <w:rPr>
                <w:rFonts w:ascii="Arial" w:hAnsi="Arial" w:cs="Arial"/>
                <w:noProof/>
                <w:webHidden/>
                <w:sz w:val="24"/>
                <w:szCs w:val="24"/>
              </w:rPr>
              <w:fldChar w:fldCharType="end"/>
            </w:r>
          </w:hyperlink>
        </w:p>
        <w:p w14:paraId="25DD89C6" w14:textId="185A91DF"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0" w:history="1">
            <w:r w:rsidRPr="00E02468">
              <w:rPr>
                <w:rStyle w:val="Hyperlink"/>
                <w:rFonts w:ascii="Arial" w:hAnsi="Arial" w:cs="Arial"/>
                <w:noProof/>
                <w:sz w:val="24"/>
                <w:szCs w:val="24"/>
                <w:lang w:val="en-GB" w:eastAsia="en-GB"/>
              </w:rPr>
              <w:t>2.7 Conceptual Framework</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18</w:t>
            </w:r>
            <w:r w:rsidRPr="00E02468">
              <w:rPr>
                <w:rFonts w:ascii="Arial" w:hAnsi="Arial" w:cs="Arial"/>
                <w:noProof/>
                <w:webHidden/>
                <w:sz w:val="24"/>
                <w:szCs w:val="24"/>
              </w:rPr>
              <w:fldChar w:fldCharType="end"/>
            </w:r>
          </w:hyperlink>
        </w:p>
        <w:p w14:paraId="3EFB41DA" w14:textId="3D25C73D"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1" w:history="1">
            <w:r w:rsidRPr="00E02468">
              <w:rPr>
                <w:rStyle w:val="Hyperlink"/>
                <w:rFonts w:ascii="Arial" w:hAnsi="Arial" w:cs="Arial"/>
                <w:noProof/>
                <w:sz w:val="24"/>
                <w:szCs w:val="24"/>
                <w:lang w:val="en-GB" w:eastAsia="en-GB"/>
              </w:rPr>
              <w:t>2.8 Research Hypotheses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19</w:t>
            </w:r>
            <w:r w:rsidRPr="00E02468">
              <w:rPr>
                <w:rFonts w:ascii="Arial" w:hAnsi="Arial" w:cs="Arial"/>
                <w:noProof/>
                <w:webHidden/>
                <w:sz w:val="24"/>
                <w:szCs w:val="24"/>
              </w:rPr>
              <w:fldChar w:fldCharType="end"/>
            </w:r>
          </w:hyperlink>
        </w:p>
        <w:p w14:paraId="481A28A1" w14:textId="6F1A832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2" w:history="1">
            <w:r w:rsidRPr="00E02468">
              <w:rPr>
                <w:rStyle w:val="Hyperlink"/>
                <w:rFonts w:ascii="Arial" w:hAnsi="Arial" w:cs="Arial"/>
                <w:noProof/>
                <w:sz w:val="24"/>
                <w:szCs w:val="24"/>
                <w:lang w:val="en-GB" w:eastAsia="en-GB"/>
              </w:rPr>
              <w:t>2.9 Chapter Summary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20</w:t>
            </w:r>
            <w:r w:rsidRPr="00E02468">
              <w:rPr>
                <w:rFonts w:ascii="Arial" w:hAnsi="Arial" w:cs="Arial"/>
                <w:noProof/>
                <w:webHidden/>
                <w:sz w:val="24"/>
                <w:szCs w:val="24"/>
              </w:rPr>
              <w:fldChar w:fldCharType="end"/>
            </w:r>
          </w:hyperlink>
        </w:p>
        <w:p w14:paraId="2E957990" w14:textId="2B622628"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143" w:history="1">
            <w:r w:rsidRPr="00E02468">
              <w:rPr>
                <w:rStyle w:val="Hyperlink"/>
                <w:rFonts w:ascii="Arial" w:hAnsi="Arial" w:cs="Arial"/>
                <w:noProof/>
                <w:sz w:val="24"/>
                <w:szCs w:val="24"/>
                <w:lang w:val="en-GB" w:eastAsia="en-GB"/>
              </w:rPr>
              <w:t>Chapter 3: Research Methodology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21</w:t>
            </w:r>
            <w:r w:rsidRPr="00E02468">
              <w:rPr>
                <w:rFonts w:ascii="Arial" w:hAnsi="Arial" w:cs="Arial"/>
                <w:noProof/>
                <w:webHidden/>
                <w:sz w:val="24"/>
                <w:szCs w:val="24"/>
              </w:rPr>
              <w:fldChar w:fldCharType="end"/>
            </w:r>
          </w:hyperlink>
        </w:p>
        <w:p w14:paraId="37655152" w14:textId="288456A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4" w:history="1">
            <w:r w:rsidRPr="00E02468">
              <w:rPr>
                <w:rStyle w:val="Hyperlink"/>
                <w:rFonts w:ascii="Arial" w:hAnsi="Arial" w:cs="Arial"/>
                <w:noProof/>
                <w:sz w:val="24"/>
                <w:szCs w:val="24"/>
                <w:lang w:val="en-GB" w:eastAsia="en-GB"/>
              </w:rPr>
              <w:t>3.1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21</w:t>
            </w:r>
            <w:r w:rsidRPr="00E02468">
              <w:rPr>
                <w:rFonts w:ascii="Arial" w:hAnsi="Arial" w:cs="Arial"/>
                <w:noProof/>
                <w:webHidden/>
                <w:sz w:val="24"/>
                <w:szCs w:val="24"/>
              </w:rPr>
              <w:fldChar w:fldCharType="end"/>
            </w:r>
          </w:hyperlink>
        </w:p>
        <w:p w14:paraId="44ED7F9F" w14:textId="16F27E2B"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5" w:history="1">
            <w:r w:rsidRPr="00E02468">
              <w:rPr>
                <w:rStyle w:val="Hyperlink"/>
                <w:rFonts w:ascii="Arial" w:hAnsi="Arial" w:cs="Arial"/>
                <w:noProof/>
                <w:sz w:val="24"/>
                <w:szCs w:val="24"/>
                <w:lang w:val="en-GB" w:eastAsia="en-GB"/>
              </w:rPr>
              <w:t>3.2 Research Aim and Research Questions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21</w:t>
            </w:r>
            <w:r w:rsidRPr="00E02468">
              <w:rPr>
                <w:rFonts w:ascii="Arial" w:hAnsi="Arial" w:cs="Arial"/>
                <w:noProof/>
                <w:webHidden/>
                <w:sz w:val="24"/>
                <w:szCs w:val="24"/>
              </w:rPr>
              <w:fldChar w:fldCharType="end"/>
            </w:r>
          </w:hyperlink>
        </w:p>
        <w:p w14:paraId="6645BF84" w14:textId="1357415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6" w:history="1">
            <w:r w:rsidRPr="00E02468">
              <w:rPr>
                <w:rStyle w:val="Hyperlink"/>
                <w:rFonts w:ascii="Arial" w:hAnsi="Arial" w:cs="Arial"/>
                <w:noProof/>
                <w:sz w:val="24"/>
                <w:szCs w:val="24"/>
                <w:lang w:val="en-GB" w:eastAsia="en-GB"/>
              </w:rPr>
              <w:t>3.3 Research Philosophy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22</w:t>
            </w:r>
            <w:r w:rsidRPr="00E02468">
              <w:rPr>
                <w:rFonts w:ascii="Arial" w:hAnsi="Arial" w:cs="Arial"/>
                <w:noProof/>
                <w:webHidden/>
                <w:sz w:val="24"/>
                <w:szCs w:val="24"/>
              </w:rPr>
              <w:fldChar w:fldCharType="end"/>
            </w:r>
          </w:hyperlink>
        </w:p>
        <w:p w14:paraId="1CD1131B" w14:textId="07CB2F3B"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7" w:history="1">
            <w:r w:rsidRPr="00E02468">
              <w:rPr>
                <w:rStyle w:val="Hyperlink"/>
                <w:rFonts w:ascii="Arial" w:hAnsi="Arial" w:cs="Arial"/>
                <w:noProof/>
                <w:sz w:val="24"/>
                <w:szCs w:val="24"/>
                <w:lang w:val="en-GB" w:eastAsia="en-GB"/>
              </w:rPr>
              <w:t>3.4 Research Approach</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22</w:t>
            </w:r>
            <w:r w:rsidRPr="00E02468">
              <w:rPr>
                <w:rFonts w:ascii="Arial" w:hAnsi="Arial" w:cs="Arial"/>
                <w:noProof/>
                <w:webHidden/>
                <w:sz w:val="24"/>
                <w:szCs w:val="24"/>
              </w:rPr>
              <w:fldChar w:fldCharType="end"/>
            </w:r>
          </w:hyperlink>
        </w:p>
        <w:p w14:paraId="1BD6B8B8" w14:textId="26D155A8"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48" w:history="1">
            <w:r w:rsidRPr="00E02468">
              <w:rPr>
                <w:rStyle w:val="Hyperlink"/>
                <w:rFonts w:ascii="Arial" w:hAnsi="Arial" w:cs="Arial"/>
                <w:noProof/>
                <w:sz w:val="24"/>
                <w:szCs w:val="24"/>
                <w:lang w:val="en-GB" w:eastAsia="en-GB"/>
              </w:rPr>
              <w:t>3.4.1 Inductive Approach</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22</w:t>
            </w:r>
            <w:r w:rsidRPr="00E02468">
              <w:rPr>
                <w:rFonts w:ascii="Arial" w:hAnsi="Arial" w:cs="Arial"/>
                <w:noProof/>
                <w:webHidden/>
                <w:sz w:val="24"/>
                <w:szCs w:val="24"/>
              </w:rPr>
              <w:fldChar w:fldCharType="end"/>
            </w:r>
          </w:hyperlink>
        </w:p>
        <w:p w14:paraId="17793061" w14:textId="47FD03A5"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49" w:history="1">
            <w:r w:rsidRPr="00E02468">
              <w:rPr>
                <w:rStyle w:val="Hyperlink"/>
                <w:rFonts w:ascii="Arial" w:hAnsi="Arial" w:cs="Arial"/>
                <w:noProof/>
                <w:sz w:val="24"/>
                <w:szCs w:val="24"/>
                <w:lang w:val="en-GB" w:eastAsia="en-GB"/>
              </w:rPr>
              <w:t>3.5 Research Design and Strategy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_Toc240932149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23</w:t>
            </w:r>
            <w:r w:rsidRPr="00E02468">
              <w:rPr>
                <w:rFonts w:ascii="Arial" w:hAnsi="Arial" w:cs="Arial"/>
                <w:noProof/>
                <w:webHidden/>
                <w:sz w:val="24"/>
                <w:szCs w:val="24"/>
              </w:rPr>
              <w:fldChar w:fldCharType="end"/>
            </w:r>
          </w:hyperlink>
        </w:p>
        <w:p w14:paraId="1F41C24C" w14:textId="0DA81354"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50" w:history="1">
            <w:r w:rsidRPr="00E02468">
              <w:rPr>
                <w:rStyle w:val="Hyperlink"/>
                <w:rFonts w:ascii="Arial" w:hAnsi="Arial" w:cs="Arial"/>
                <w:noProof/>
                <w:sz w:val="24"/>
                <w:szCs w:val="24"/>
                <w:lang w:val="en-GB" w:eastAsia="en-GB"/>
              </w:rPr>
              <w:t>3.5.1 Qualitative Research Design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23</w:t>
            </w:r>
            <w:r w:rsidRPr="00E02468">
              <w:rPr>
                <w:rFonts w:ascii="Arial" w:hAnsi="Arial" w:cs="Arial"/>
                <w:noProof/>
                <w:webHidden/>
                <w:sz w:val="24"/>
                <w:szCs w:val="24"/>
              </w:rPr>
              <w:fldChar w:fldCharType="end"/>
            </w:r>
          </w:hyperlink>
        </w:p>
        <w:p w14:paraId="38C794E8" w14:textId="40A8EABE"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51" w:history="1">
            <w:r w:rsidRPr="00E02468">
              <w:rPr>
                <w:rStyle w:val="Hyperlink"/>
                <w:rFonts w:ascii="Arial" w:hAnsi="Arial" w:cs="Arial"/>
                <w:noProof/>
                <w:sz w:val="24"/>
                <w:szCs w:val="24"/>
                <w:lang w:val="en-GB" w:eastAsia="en-GB"/>
              </w:rPr>
              <w:t>3.5.2 Secondary Research Strategy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23</w:t>
            </w:r>
            <w:r w:rsidRPr="00E02468">
              <w:rPr>
                <w:rFonts w:ascii="Arial" w:hAnsi="Arial" w:cs="Arial"/>
                <w:noProof/>
                <w:webHidden/>
                <w:sz w:val="24"/>
                <w:szCs w:val="24"/>
              </w:rPr>
              <w:fldChar w:fldCharType="end"/>
            </w:r>
          </w:hyperlink>
        </w:p>
        <w:p w14:paraId="5BA86411" w14:textId="46BC554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2" w:history="1">
            <w:r w:rsidRPr="00E02468">
              <w:rPr>
                <w:rStyle w:val="Hyperlink"/>
                <w:rFonts w:ascii="Arial" w:hAnsi="Arial" w:cs="Arial"/>
                <w:noProof/>
                <w:sz w:val="24"/>
                <w:szCs w:val="24"/>
                <w:lang w:val="en-GB" w:eastAsia="en-GB"/>
              </w:rPr>
              <w:t>3.6 Data Sources and Search Strategy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24</w:t>
            </w:r>
            <w:r w:rsidRPr="00E02468">
              <w:rPr>
                <w:rFonts w:ascii="Arial" w:hAnsi="Arial" w:cs="Arial"/>
                <w:noProof/>
                <w:webHidden/>
                <w:sz w:val="24"/>
                <w:szCs w:val="24"/>
              </w:rPr>
              <w:fldChar w:fldCharType="end"/>
            </w:r>
          </w:hyperlink>
        </w:p>
        <w:p w14:paraId="6613CD92" w14:textId="2A38A425"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53" w:history="1">
            <w:r w:rsidRPr="00E02468">
              <w:rPr>
                <w:rStyle w:val="Hyperlink"/>
                <w:rFonts w:ascii="Arial" w:hAnsi="Arial" w:cs="Arial"/>
                <w:noProof/>
                <w:sz w:val="24"/>
                <w:szCs w:val="24"/>
                <w:lang w:val="en-GB" w:eastAsia="en-GB"/>
              </w:rPr>
              <w:t>3.7.1 Inclusion Criteria</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25</w:t>
            </w:r>
            <w:r w:rsidRPr="00E02468">
              <w:rPr>
                <w:rFonts w:ascii="Arial" w:hAnsi="Arial" w:cs="Arial"/>
                <w:noProof/>
                <w:webHidden/>
                <w:sz w:val="24"/>
                <w:szCs w:val="24"/>
              </w:rPr>
              <w:fldChar w:fldCharType="end"/>
            </w:r>
          </w:hyperlink>
        </w:p>
        <w:p w14:paraId="20C23B60" w14:textId="29D1581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4" w:history="1">
            <w:r w:rsidRPr="00E02468">
              <w:rPr>
                <w:rStyle w:val="Hyperlink"/>
                <w:rFonts w:ascii="Arial" w:hAnsi="Arial" w:cs="Arial"/>
                <w:noProof/>
                <w:sz w:val="24"/>
                <w:szCs w:val="24"/>
                <w:lang w:val="en-GB" w:eastAsia="en-GB"/>
              </w:rPr>
              <w:t>3.8 Sampling Strategy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26</w:t>
            </w:r>
            <w:r w:rsidRPr="00E02468">
              <w:rPr>
                <w:rFonts w:ascii="Arial" w:hAnsi="Arial" w:cs="Arial"/>
                <w:noProof/>
                <w:webHidden/>
                <w:sz w:val="24"/>
                <w:szCs w:val="24"/>
              </w:rPr>
              <w:fldChar w:fldCharType="end"/>
            </w:r>
          </w:hyperlink>
        </w:p>
        <w:p w14:paraId="566C837A" w14:textId="1200344B"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5" w:history="1">
            <w:r w:rsidRPr="00E02468">
              <w:rPr>
                <w:rStyle w:val="Hyperlink"/>
                <w:rFonts w:ascii="Arial" w:hAnsi="Arial" w:cs="Arial"/>
                <w:noProof/>
                <w:sz w:val="24"/>
                <w:szCs w:val="24"/>
                <w:lang w:val="en-GB" w:eastAsia="en-GB"/>
              </w:rPr>
              <w:t>3.9 Data Collection Procedure</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27</w:t>
            </w:r>
            <w:r w:rsidRPr="00E02468">
              <w:rPr>
                <w:rFonts w:ascii="Arial" w:hAnsi="Arial" w:cs="Arial"/>
                <w:noProof/>
                <w:webHidden/>
                <w:sz w:val="24"/>
                <w:szCs w:val="24"/>
              </w:rPr>
              <w:fldChar w:fldCharType="end"/>
            </w:r>
          </w:hyperlink>
        </w:p>
        <w:p w14:paraId="1BFCC29A" w14:textId="472BE39D"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6" w:history="1">
            <w:r w:rsidRPr="00E02468">
              <w:rPr>
                <w:rStyle w:val="Hyperlink"/>
                <w:rFonts w:ascii="Arial" w:hAnsi="Arial" w:cs="Arial"/>
                <w:noProof/>
                <w:sz w:val="24"/>
                <w:szCs w:val="24"/>
                <w:lang w:val="en-GB" w:eastAsia="en-GB"/>
              </w:rPr>
              <w:t>3.10 Data Analysis: Thematic Analysis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28</w:t>
            </w:r>
            <w:r w:rsidRPr="00E02468">
              <w:rPr>
                <w:rFonts w:ascii="Arial" w:hAnsi="Arial" w:cs="Arial"/>
                <w:noProof/>
                <w:webHidden/>
                <w:sz w:val="24"/>
                <w:szCs w:val="24"/>
              </w:rPr>
              <w:fldChar w:fldCharType="end"/>
            </w:r>
          </w:hyperlink>
        </w:p>
        <w:p w14:paraId="4AC25B45" w14:textId="6437D82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7" w:history="1">
            <w:r w:rsidRPr="00E02468">
              <w:rPr>
                <w:rStyle w:val="Hyperlink"/>
                <w:rFonts w:ascii="Arial" w:hAnsi="Arial" w:cs="Arial"/>
                <w:noProof/>
                <w:sz w:val="24"/>
                <w:szCs w:val="24"/>
                <w:lang w:val="en-GB" w:eastAsia="en-GB"/>
              </w:rPr>
              <w:t>3.11 Quality, Reliability and Validity/Rigour</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30</w:t>
            </w:r>
            <w:r w:rsidRPr="00E02468">
              <w:rPr>
                <w:rFonts w:ascii="Arial" w:hAnsi="Arial" w:cs="Arial"/>
                <w:noProof/>
                <w:webHidden/>
                <w:sz w:val="24"/>
                <w:szCs w:val="24"/>
              </w:rPr>
              <w:fldChar w:fldCharType="end"/>
            </w:r>
          </w:hyperlink>
        </w:p>
        <w:p w14:paraId="1D34514B" w14:textId="71BCF4E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8" w:history="1">
            <w:r w:rsidRPr="00E02468">
              <w:rPr>
                <w:rStyle w:val="Hyperlink"/>
                <w:rFonts w:ascii="Arial" w:hAnsi="Arial" w:cs="Arial"/>
                <w:noProof/>
                <w:sz w:val="24"/>
                <w:szCs w:val="24"/>
                <w:lang w:val="en-GB" w:eastAsia="en-GB"/>
              </w:rPr>
              <w:t>3.12 Ethical Considerations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31</w:t>
            </w:r>
            <w:r w:rsidRPr="00E02468">
              <w:rPr>
                <w:rFonts w:ascii="Arial" w:hAnsi="Arial" w:cs="Arial"/>
                <w:noProof/>
                <w:webHidden/>
                <w:sz w:val="24"/>
                <w:szCs w:val="24"/>
              </w:rPr>
              <w:fldChar w:fldCharType="end"/>
            </w:r>
          </w:hyperlink>
        </w:p>
        <w:p w14:paraId="7B1F5AF2" w14:textId="4702A7BC"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59" w:history="1">
            <w:r w:rsidRPr="00E02468">
              <w:rPr>
                <w:rStyle w:val="Hyperlink"/>
                <w:rFonts w:ascii="Arial" w:hAnsi="Arial" w:cs="Arial"/>
                <w:noProof/>
                <w:sz w:val="24"/>
                <w:szCs w:val="24"/>
                <w:lang w:val="en-GB" w:eastAsia="en-GB"/>
              </w:rPr>
              <w:t>3.13 Data Protection and Storage</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_Toc240932159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31</w:t>
            </w:r>
            <w:r w:rsidRPr="00E02468">
              <w:rPr>
                <w:rFonts w:ascii="Arial" w:hAnsi="Arial" w:cs="Arial"/>
                <w:noProof/>
                <w:webHidden/>
                <w:sz w:val="24"/>
                <w:szCs w:val="24"/>
              </w:rPr>
              <w:fldChar w:fldCharType="end"/>
            </w:r>
          </w:hyperlink>
        </w:p>
        <w:p w14:paraId="7CF0F8A9" w14:textId="41E8058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0" w:history="1">
            <w:r w:rsidRPr="00E02468">
              <w:rPr>
                <w:rStyle w:val="Hyperlink"/>
                <w:rFonts w:ascii="Arial" w:hAnsi="Arial" w:cs="Arial"/>
                <w:noProof/>
                <w:sz w:val="24"/>
                <w:szCs w:val="24"/>
                <w:lang w:val="en-GB" w:eastAsia="en-GB"/>
              </w:rPr>
              <w:t>3.14 Methodological Limitations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32</w:t>
            </w:r>
            <w:r w:rsidRPr="00E02468">
              <w:rPr>
                <w:rFonts w:ascii="Arial" w:hAnsi="Arial" w:cs="Arial"/>
                <w:noProof/>
                <w:webHidden/>
                <w:sz w:val="24"/>
                <w:szCs w:val="24"/>
              </w:rPr>
              <w:fldChar w:fldCharType="end"/>
            </w:r>
          </w:hyperlink>
        </w:p>
        <w:p w14:paraId="43806A40" w14:textId="5A35299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1" w:history="1">
            <w:r w:rsidRPr="00E02468">
              <w:rPr>
                <w:rStyle w:val="Hyperlink"/>
                <w:rFonts w:ascii="Arial" w:hAnsi="Arial" w:cs="Arial"/>
                <w:noProof/>
                <w:sz w:val="24"/>
                <w:szCs w:val="24"/>
                <w:lang w:val="en-GB" w:eastAsia="en-GB"/>
              </w:rPr>
              <w:t>3.15 Chapter Summary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33</w:t>
            </w:r>
            <w:r w:rsidRPr="00E02468">
              <w:rPr>
                <w:rFonts w:ascii="Arial" w:hAnsi="Arial" w:cs="Arial"/>
                <w:noProof/>
                <w:webHidden/>
                <w:sz w:val="24"/>
                <w:szCs w:val="24"/>
              </w:rPr>
              <w:fldChar w:fldCharType="end"/>
            </w:r>
          </w:hyperlink>
        </w:p>
        <w:p w14:paraId="3078E0A8" w14:textId="50711566"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162" w:history="1">
            <w:r w:rsidRPr="00E02468">
              <w:rPr>
                <w:rStyle w:val="Hyperlink"/>
                <w:rFonts w:ascii="Arial" w:hAnsi="Arial" w:cs="Arial"/>
                <w:noProof/>
                <w:sz w:val="24"/>
                <w:szCs w:val="24"/>
                <w:lang w:val="en-GB" w:eastAsia="en-GB"/>
              </w:rPr>
              <w:t>Chapter 4: Data Analysis and Findings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34</w:t>
            </w:r>
            <w:r w:rsidRPr="00E02468">
              <w:rPr>
                <w:rFonts w:ascii="Arial" w:hAnsi="Arial" w:cs="Arial"/>
                <w:noProof/>
                <w:webHidden/>
                <w:sz w:val="24"/>
                <w:szCs w:val="24"/>
              </w:rPr>
              <w:fldChar w:fldCharType="end"/>
            </w:r>
          </w:hyperlink>
        </w:p>
        <w:p w14:paraId="284F6AD8" w14:textId="4D7C60E3"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3" w:history="1">
            <w:r w:rsidRPr="00E02468">
              <w:rPr>
                <w:rStyle w:val="Hyperlink"/>
                <w:rFonts w:ascii="Arial" w:hAnsi="Arial" w:cs="Arial"/>
                <w:noProof/>
                <w:sz w:val="24"/>
                <w:szCs w:val="24"/>
                <w:lang w:val="en-GB" w:eastAsia="en-GB"/>
              </w:rPr>
              <w:t>4.1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34</w:t>
            </w:r>
            <w:r w:rsidRPr="00E02468">
              <w:rPr>
                <w:rFonts w:ascii="Arial" w:hAnsi="Arial" w:cs="Arial"/>
                <w:noProof/>
                <w:webHidden/>
                <w:sz w:val="24"/>
                <w:szCs w:val="24"/>
              </w:rPr>
              <w:fldChar w:fldCharType="end"/>
            </w:r>
          </w:hyperlink>
        </w:p>
        <w:p w14:paraId="09C2A3D5" w14:textId="34EF8D3F"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4" w:history="1">
            <w:r w:rsidRPr="00E02468">
              <w:rPr>
                <w:rStyle w:val="Hyperlink"/>
                <w:rFonts w:ascii="Arial" w:hAnsi="Arial" w:cs="Arial"/>
                <w:noProof/>
                <w:sz w:val="24"/>
                <w:szCs w:val="24"/>
                <w:lang w:val="en-GB" w:eastAsia="en-GB"/>
              </w:rPr>
              <w:t>4.2 Overview of the Evidence</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34</w:t>
            </w:r>
            <w:r w:rsidRPr="00E02468">
              <w:rPr>
                <w:rFonts w:ascii="Arial" w:hAnsi="Arial" w:cs="Arial"/>
                <w:noProof/>
                <w:webHidden/>
                <w:sz w:val="24"/>
                <w:szCs w:val="24"/>
              </w:rPr>
              <w:fldChar w:fldCharType="end"/>
            </w:r>
          </w:hyperlink>
        </w:p>
        <w:p w14:paraId="0B13E12C" w14:textId="7C76461A"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5" w:history="1">
            <w:r w:rsidRPr="00E02468">
              <w:rPr>
                <w:rStyle w:val="Hyperlink"/>
                <w:rFonts w:ascii="Arial" w:hAnsi="Arial" w:cs="Arial"/>
                <w:noProof/>
                <w:sz w:val="24"/>
                <w:szCs w:val="24"/>
                <w:lang w:val="en-GB" w:eastAsia="en-GB"/>
              </w:rPr>
              <w:t>4.3 Recruitment and Selection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36</w:t>
            </w:r>
            <w:r w:rsidRPr="00E02468">
              <w:rPr>
                <w:rFonts w:ascii="Arial" w:hAnsi="Arial" w:cs="Arial"/>
                <w:noProof/>
                <w:webHidden/>
                <w:sz w:val="24"/>
                <w:szCs w:val="24"/>
              </w:rPr>
              <w:fldChar w:fldCharType="end"/>
            </w:r>
          </w:hyperlink>
        </w:p>
        <w:p w14:paraId="14B210B5" w14:textId="10C2BBE6"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6" w:history="1">
            <w:r w:rsidRPr="00E02468">
              <w:rPr>
                <w:rStyle w:val="Hyperlink"/>
                <w:rFonts w:ascii="Arial" w:hAnsi="Arial" w:cs="Arial"/>
                <w:noProof/>
                <w:sz w:val="24"/>
                <w:szCs w:val="24"/>
                <w:lang w:val="en-GB" w:eastAsia="en-GB"/>
              </w:rPr>
              <w:t>4.4 Training and Development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37</w:t>
            </w:r>
            <w:r w:rsidRPr="00E02468">
              <w:rPr>
                <w:rFonts w:ascii="Arial" w:hAnsi="Arial" w:cs="Arial"/>
                <w:noProof/>
                <w:webHidden/>
                <w:sz w:val="24"/>
                <w:szCs w:val="24"/>
              </w:rPr>
              <w:fldChar w:fldCharType="end"/>
            </w:r>
          </w:hyperlink>
        </w:p>
        <w:p w14:paraId="0E379A51" w14:textId="4B3DCC3C"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7" w:history="1">
            <w:r w:rsidRPr="00E02468">
              <w:rPr>
                <w:rStyle w:val="Hyperlink"/>
                <w:rFonts w:ascii="Arial" w:hAnsi="Arial" w:cs="Arial"/>
                <w:noProof/>
                <w:sz w:val="24"/>
                <w:szCs w:val="24"/>
                <w:lang w:val="en-GB" w:eastAsia="en-GB"/>
              </w:rPr>
              <w:t>4.5 Employee Engagement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38</w:t>
            </w:r>
            <w:r w:rsidRPr="00E02468">
              <w:rPr>
                <w:rFonts w:ascii="Arial" w:hAnsi="Arial" w:cs="Arial"/>
                <w:noProof/>
                <w:webHidden/>
                <w:sz w:val="24"/>
                <w:szCs w:val="24"/>
              </w:rPr>
              <w:fldChar w:fldCharType="end"/>
            </w:r>
          </w:hyperlink>
        </w:p>
        <w:p w14:paraId="0627CF80" w14:textId="43228F3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8" w:history="1">
            <w:r w:rsidRPr="00E02468">
              <w:rPr>
                <w:rStyle w:val="Hyperlink"/>
                <w:rFonts w:ascii="Arial" w:hAnsi="Arial" w:cs="Arial"/>
                <w:noProof/>
                <w:sz w:val="24"/>
                <w:szCs w:val="24"/>
                <w:lang w:val="en-GB" w:eastAsia="en-GB"/>
              </w:rPr>
              <w:t>4.6 Performance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39</w:t>
            </w:r>
            <w:r w:rsidRPr="00E02468">
              <w:rPr>
                <w:rFonts w:ascii="Arial" w:hAnsi="Arial" w:cs="Arial"/>
                <w:noProof/>
                <w:webHidden/>
                <w:sz w:val="24"/>
                <w:szCs w:val="24"/>
              </w:rPr>
              <w:fldChar w:fldCharType="end"/>
            </w:r>
          </w:hyperlink>
        </w:p>
        <w:p w14:paraId="40500C36" w14:textId="407BC0E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69" w:history="1">
            <w:r w:rsidRPr="00E02468">
              <w:rPr>
                <w:rStyle w:val="Hyperlink"/>
                <w:rFonts w:ascii="Arial" w:hAnsi="Arial" w:cs="Arial"/>
                <w:noProof/>
                <w:sz w:val="24"/>
                <w:szCs w:val="24"/>
                <w:lang w:val="en-GB" w:eastAsia="en-GB"/>
              </w:rPr>
              <w:t>4.7 Reward and Recognition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_Toc240932169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40</w:t>
            </w:r>
            <w:r w:rsidRPr="00E02468">
              <w:rPr>
                <w:rFonts w:ascii="Arial" w:hAnsi="Arial" w:cs="Arial"/>
                <w:noProof/>
                <w:webHidden/>
                <w:sz w:val="24"/>
                <w:szCs w:val="24"/>
              </w:rPr>
              <w:fldChar w:fldCharType="end"/>
            </w:r>
          </w:hyperlink>
        </w:p>
        <w:p w14:paraId="59F13B9F" w14:textId="3FC0617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0" w:history="1">
            <w:r w:rsidRPr="00E02468">
              <w:rPr>
                <w:rStyle w:val="Hyperlink"/>
                <w:rFonts w:ascii="Arial" w:hAnsi="Arial" w:cs="Arial"/>
                <w:noProof/>
                <w:sz w:val="24"/>
                <w:szCs w:val="24"/>
                <w:lang w:val="en-GB" w:eastAsia="en-GB"/>
              </w:rPr>
              <w:t>4.8 Employee Retention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41</w:t>
            </w:r>
            <w:r w:rsidRPr="00E02468">
              <w:rPr>
                <w:rFonts w:ascii="Arial" w:hAnsi="Arial" w:cs="Arial"/>
                <w:noProof/>
                <w:webHidden/>
                <w:sz w:val="24"/>
                <w:szCs w:val="24"/>
              </w:rPr>
              <w:fldChar w:fldCharType="end"/>
            </w:r>
          </w:hyperlink>
        </w:p>
        <w:p w14:paraId="168931F5" w14:textId="13E717A7"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1" w:history="1">
            <w:r w:rsidRPr="00E02468">
              <w:rPr>
                <w:rStyle w:val="Hyperlink"/>
                <w:rFonts w:ascii="Arial" w:hAnsi="Arial" w:cs="Arial"/>
                <w:noProof/>
                <w:sz w:val="24"/>
                <w:szCs w:val="24"/>
                <w:lang w:val="en-GB" w:eastAsia="en-GB"/>
              </w:rPr>
              <w:t>4.9 Employee Performance and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41</w:t>
            </w:r>
            <w:r w:rsidRPr="00E02468">
              <w:rPr>
                <w:rFonts w:ascii="Arial" w:hAnsi="Arial" w:cs="Arial"/>
                <w:noProof/>
                <w:webHidden/>
                <w:sz w:val="24"/>
                <w:szCs w:val="24"/>
              </w:rPr>
              <w:fldChar w:fldCharType="end"/>
            </w:r>
          </w:hyperlink>
        </w:p>
        <w:p w14:paraId="284E4CC3" w14:textId="32C260FE"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2" w:history="1">
            <w:r w:rsidRPr="00E02468">
              <w:rPr>
                <w:rStyle w:val="Hyperlink"/>
                <w:rFonts w:ascii="Arial" w:hAnsi="Arial" w:cs="Arial"/>
                <w:noProof/>
                <w:sz w:val="24"/>
                <w:szCs w:val="24"/>
                <w:lang w:val="en-GB" w:eastAsia="en-GB"/>
              </w:rPr>
              <w:t>4.10 Customer Service Quality and Customer Satisfaction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43</w:t>
            </w:r>
            <w:r w:rsidRPr="00E02468">
              <w:rPr>
                <w:rFonts w:ascii="Arial" w:hAnsi="Arial" w:cs="Arial"/>
                <w:noProof/>
                <w:webHidden/>
                <w:sz w:val="24"/>
                <w:szCs w:val="24"/>
              </w:rPr>
              <w:fldChar w:fldCharType="end"/>
            </w:r>
          </w:hyperlink>
        </w:p>
        <w:p w14:paraId="5EE396A0" w14:textId="2D4041D4"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3" w:history="1">
            <w:r w:rsidRPr="00E02468">
              <w:rPr>
                <w:rStyle w:val="Hyperlink"/>
                <w:rFonts w:ascii="Arial" w:hAnsi="Arial" w:cs="Arial"/>
                <w:noProof/>
                <w:sz w:val="24"/>
                <w:szCs w:val="24"/>
                <w:lang w:val="en-GB" w:eastAsia="en-GB"/>
              </w:rPr>
              <w:t>4.11 Findings Compared with Previous Studies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44</w:t>
            </w:r>
            <w:r w:rsidRPr="00E02468">
              <w:rPr>
                <w:rFonts w:ascii="Arial" w:hAnsi="Arial" w:cs="Arial"/>
                <w:noProof/>
                <w:webHidden/>
                <w:sz w:val="24"/>
                <w:szCs w:val="24"/>
              </w:rPr>
              <w:fldChar w:fldCharType="end"/>
            </w:r>
          </w:hyperlink>
        </w:p>
        <w:p w14:paraId="5C166465" w14:textId="22EBFBCD"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4" w:history="1">
            <w:r w:rsidRPr="00E02468">
              <w:rPr>
                <w:rStyle w:val="Hyperlink"/>
                <w:rFonts w:ascii="Arial" w:hAnsi="Arial" w:cs="Arial"/>
                <w:noProof/>
                <w:sz w:val="24"/>
                <w:szCs w:val="24"/>
                <w:lang w:val="en-GB" w:eastAsia="en-GB"/>
              </w:rPr>
              <w:t>4.12 Summary Against the Research Propositions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45</w:t>
            </w:r>
            <w:r w:rsidRPr="00E02468">
              <w:rPr>
                <w:rFonts w:ascii="Arial" w:hAnsi="Arial" w:cs="Arial"/>
                <w:noProof/>
                <w:webHidden/>
                <w:sz w:val="24"/>
                <w:szCs w:val="24"/>
              </w:rPr>
              <w:fldChar w:fldCharType="end"/>
            </w:r>
          </w:hyperlink>
        </w:p>
        <w:p w14:paraId="62166296" w14:textId="02F4ED9B"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5" w:history="1">
            <w:r w:rsidRPr="00E02468">
              <w:rPr>
                <w:rStyle w:val="Hyperlink"/>
                <w:rFonts w:ascii="Arial" w:hAnsi="Arial" w:cs="Arial"/>
                <w:noProof/>
                <w:sz w:val="24"/>
                <w:szCs w:val="24"/>
                <w:lang w:val="en-GB" w:eastAsia="en-GB"/>
              </w:rPr>
              <w:t>4.13 Chapter Summary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46</w:t>
            </w:r>
            <w:r w:rsidRPr="00E02468">
              <w:rPr>
                <w:rFonts w:ascii="Arial" w:hAnsi="Arial" w:cs="Arial"/>
                <w:noProof/>
                <w:webHidden/>
                <w:sz w:val="24"/>
                <w:szCs w:val="24"/>
              </w:rPr>
              <w:fldChar w:fldCharType="end"/>
            </w:r>
          </w:hyperlink>
        </w:p>
        <w:p w14:paraId="0FD103EA" w14:textId="71A4659B"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176" w:history="1">
            <w:r w:rsidRPr="00E02468">
              <w:rPr>
                <w:rStyle w:val="Hyperlink"/>
                <w:rFonts w:ascii="Arial" w:hAnsi="Arial" w:cs="Arial"/>
                <w:noProof/>
                <w:sz w:val="24"/>
                <w:szCs w:val="24"/>
                <w:lang w:val="en-GB" w:eastAsia="en-GB"/>
              </w:rPr>
              <w:t>Chapter 5: Discussion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47</w:t>
            </w:r>
            <w:r w:rsidRPr="00E02468">
              <w:rPr>
                <w:rFonts w:ascii="Arial" w:hAnsi="Arial" w:cs="Arial"/>
                <w:noProof/>
                <w:webHidden/>
                <w:sz w:val="24"/>
                <w:szCs w:val="24"/>
              </w:rPr>
              <w:fldChar w:fldCharType="end"/>
            </w:r>
          </w:hyperlink>
        </w:p>
        <w:p w14:paraId="608FDF4E" w14:textId="340870F9"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7" w:history="1">
            <w:r w:rsidRPr="00E02468">
              <w:rPr>
                <w:rStyle w:val="Hyperlink"/>
                <w:rFonts w:ascii="Arial" w:hAnsi="Arial" w:cs="Arial"/>
                <w:noProof/>
                <w:sz w:val="24"/>
                <w:szCs w:val="24"/>
                <w:lang w:val="en-GB" w:eastAsia="en-GB"/>
              </w:rPr>
              <w:t>5.1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47</w:t>
            </w:r>
            <w:r w:rsidRPr="00E02468">
              <w:rPr>
                <w:rFonts w:ascii="Arial" w:hAnsi="Arial" w:cs="Arial"/>
                <w:noProof/>
                <w:webHidden/>
                <w:sz w:val="24"/>
                <w:szCs w:val="24"/>
              </w:rPr>
              <w:fldChar w:fldCharType="end"/>
            </w:r>
          </w:hyperlink>
        </w:p>
        <w:p w14:paraId="0A768F20" w14:textId="0BDB7BF7"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8" w:history="1">
            <w:r w:rsidRPr="00E02468">
              <w:rPr>
                <w:rStyle w:val="Hyperlink"/>
                <w:rFonts w:ascii="Arial" w:hAnsi="Arial" w:cs="Arial"/>
                <w:noProof/>
                <w:sz w:val="24"/>
                <w:szCs w:val="24"/>
                <w:lang w:val="en-GB" w:eastAsia="en-GB"/>
              </w:rPr>
              <w:t>5.2 Discussion of Research Question 1: What role does Human Capital Management play in the UK restaurant industry?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47</w:t>
            </w:r>
            <w:r w:rsidRPr="00E02468">
              <w:rPr>
                <w:rFonts w:ascii="Arial" w:hAnsi="Arial" w:cs="Arial"/>
                <w:noProof/>
                <w:webHidden/>
                <w:sz w:val="24"/>
                <w:szCs w:val="24"/>
              </w:rPr>
              <w:fldChar w:fldCharType="end"/>
            </w:r>
          </w:hyperlink>
        </w:p>
        <w:p w14:paraId="015D85A9" w14:textId="1015087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79" w:history="1">
            <w:r w:rsidRPr="00E02468">
              <w:rPr>
                <w:rStyle w:val="Hyperlink"/>
                <w:rFonts w:ascii="Arial" w:hAnsi="Arial" w:cs="Arial"/>
                <w:noProof/>
                <w:sz w:val="24"/>
                <w:szCs w:val="24"/>
                <w:lang w:val="en-GB" w:eastAsia="en-GB"/>
              </w:rPr>
              <w:t>5.3 Discussion of Research Question 2: Which Human Capital Management practices most strongly influence customer service quality?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_Toc240932179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48</w:t>
            </w:r>
            <w:r w:rsidRPr="00E02468">
              <w:rPr>
                <w:rFonts w:ascii="Arial" w:hAnsi="Arial" w:cs="Arial"/>
                <w:noProof/>
                <w:webHidden/>
                <w:sz w:val="24"/>
                <w:szCs w:val="24"/>
              </w:rPr>
              <w:fldChar w:fldCharType="end"/>
            </w:r>
          </w:hyperlink>
        </w:p>
        <w:p w14:paraId="7BDD5F5C" w14:textId="4C832F6B"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0" w:history="1">
            <w:r w:rsidRPr="00E02468">
              <w:rPr>
                <w:rStyle w:val="Hyperlink"/>
                <w:rFonts w:ascii="Arial" w:hAnsi="Arial" w:cs="Arial"/>
                <w:noProof/>
                <w:sz w:val="24"/>
                <w:szCs w:val="24"/>
                <w:lang w:val="en-GB" w:eastAsia="en-GB"/>
              </w:rPr>
              <w:t>5.3.1 Recruitment and Selection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48</w:t>
            </w:r>
            <w:r w:rsidRPr="00E02468">
              <w:rPr>
                <w:rFonts w:ascii="Arial" w:hAnsi="Arial" w:cs="Arial"/>
                <w:noProof/>
                <w:webHidden/>
                <w:sz w:val="24"/>
                <w:szCs w:val="24"/>
              </w:rPr>
              <w:fldChar w:fldCharType="end"/>
            </w:r>
          </w:hyperlink>
        </w:p>
        <w:p w14:paraId="76A04AC0" w14:textId="5DACE1F7"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1" w:history="1">
            <w:r w:rsidRPr="00E02468">
              <w:rPr>
                <w:rStyle w:val="Hyperlink"/>
                <w:rFonts w:ascii="Arial" w:hAnsi="Arial" w:cs="Arial"/>
                <w:noProof/>
                <w:sz w:val="24"/>
                <w:szCs w:val="24"/>
                <w:lang w:val="en-GB" w:eastAsia="en-GB"/>
              </w:rPr>
              <w:t>5.3.2 Training and Development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49</w:t>
            </w:r>
            <w:r w:rsidRPr="00E02468">
              <w:rPr>
                <w:rFonts w:ascii="Arial" w:hAnsi="Arial" w:cs="Arial"/>
                <w:noProof/>
                <w:webHidden/>
                <w:sz w:val="24"/>
                <w:szCs w:val="24"/>
              </w:rPr>
              <w:fldChar w:fldCharType="end"/>
            </w:r>
          </w:hyperlink>
        </w:p>
        <w:p w14:paraId="7E609691" w14:textId="1C6C4AE9"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2" w:history="1">
            <w:r w:rsidRPr="00E02468">
              <w:rPr>
                <w:rStyle w:val="Hyperlink"/>
                <w:rFonts w:ascii="Arial" w:hAnsi="Arial" w:cs="Arial"/>
                <w:noProof/>
                <w:sz w:val="24"/>
                <w:szCs w:val="24"/>
                <w:lang w:val="en-GB" w:eastAsia="en-GB"/>
              </w:rPr>
              <w:t>5.3.3 Employee Engagement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49</w:t>
            </w:r>
            <w:r w:rsidRPr="00E02468">
              <w:rPr>
                <w:rFonts w:ascii="Arial" w:hAnsi="Arial" w:cs="Arial"/>
                <w:noProof/>
                <w:webHidden/>
                <w:sz w:val="24"/>
                <w:szCs w:val="24"/>
              </w:rPr>
              <w:fldChar w:fldCharType="end"/>
            </w:r>
          </w:hyperlink>
        </w:p>
        <w:p w14:paraId="5A7D2B64" w14:textId="3CC2CE81"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3" w:history="1">
            <w:r w:rsidRPr="00E02468">
              <w:rPr>
                <w:rStyle w:val="Hyperlink"/>
                <w:rFonts w:ascii="Arial" w:hAnsi="Arial" w:cs="Arial"/>
                <w:noProof/>
                <w:sz w:val="24"/>
                <w:szCs w:val="24"/>
                <w:lang w:val="en-GB" w:eastAsia="en-GB"/>
              </w:rPr>
              <w:t>5.3.4 Performance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50</w:t>
            </w:r>
            <w:r w:rsidRPr="00E02468">
              <w:rPr>
                <w:rFonts w:ascii="Arial" w:hAnsi="Arial" w:cs="Arial"/>
                <w:noProof/>
                <w:webHidden/>
                <w:sz w:val="24"/>
                <w:szCs w:val="24"/>
              </w:rPr>
              <w:fldChar w:fldCharType="end"/>
            </w:r>
          </w:hyperlink>
        </w:p>
        <w:p w14:paraId="0EF678C4" w14:textId="3989BE98"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4" w:history="1">
            <w:r w:rsidRPr="00E02468">
              <w:rPr>
                <w:rStyle w:val="Hyperlink"/>
                <w:rFonts w:ascii="Arial" w:hAnsi="Arial" w:cs="Arial"/>
                <w:noProof/>
                <w:sz w:val="24"/>
                <w:szCs w:val="24"/>
                <w:lang w:val="en-GB" w:eastAsia="en-GB"/>
              </w:rPr>
              <w:t>5.3.5 Reward and Recognition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50</w:t>
            </w:r>
            <w:r w:rsidRPr="00E02468">
              <w:rPr>
                <w:rFonts w:ascii="Arial" w:hAnsi="Arial" w:cs="Arial"/>
                <w:noProof/>
                <w:webHidden/>
                <w:sz w:val="24"/>
                <w:szCs w:val="24"/>
              </w:rPr>
              <w:fldChar w:fldCharType="end"/>
            </w:r>
          </w:hyperlink>
        </w:p>
        <w:p w14:paraId="2083BE16" w14:textId="075485D0"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5" w:history="1">
            <w:r w:rsidRPr="00E02468">
              <w:rPr>
                <w:rStyle w:val="Hyperlink"/>
                <w:rFonts w:ascii="Arial" w:hAnsi="Arial" w:cs="Arial"/>
                <w:noProof/>
                <w:sz w:val="24"/>
                <w:szCs w:val="24"/>
                <w:lang w:val="en-GB" w:eastAsia="en-GB"/>
              </w:rPr>
              <w:t>5.3.6 Employee Retention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50</w:t>
            </w:r>
            <w:r w:rsidRPr="00E02468">
              <w:rPr>
                <w:rFonts w:ascii="Arial" w:hAnsi="Arial" w:cs="Arial"/>
                <w:noProof/>
                <w:webHidden/>
                <w:sz w:val="24"/>
                <w:szCs w:val="24"/>
              </w:rPr>
              <w:fldChar w:fldCharType="end"/>
            </w:r>
          </w:hyperlink>
        </w:p>
        <w:p w14:paraId="79202562" w14:textId="5B454315"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86" w:history="1">
            <w:r w:rsidRPr="00E02468">
              <w:rPr>
                <w:rStyle w:val="Hyperlink"/>
                <w:rFonts w:ascii="Arial" w:hAnsi="Arial" w:cs="Arial"/>
                <w:noProof/>
                <w:sz w:val="24"/>
                <w:szCs w:val="24"/>
                <w:lang w:val="en-GB" w:eastAsia="en-GB"/>
              </w:rPr>
              <w:t>5.4 Discussion of Research Question 3: How do Human Capital Management practices improve employee performance and customer satisfaction?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51</w:t>
            </w:r>
            <w:r w:rsidRPr="00E02468">
              <w:rPr>
                <w:rFonts w:ascii="Arial" w:hAnsi="Arial" w:cs="Arial"/>
                <w:noProof/>
                <w:webHidden/>
                <w:sz w:val="24"/>
                <w:szCs w:val="24"/>
              </w:rPr>
              <w:fldChar w:fldCharType="end"/>
            </w:r>
          </w:hyperlink>
        </w:p>
        <w:p w14:paraId="6147272C" w14:textId="1F592BEA"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87" w:history="1">
            <w:r w:rsidRPr="00E02468">
              <w:rPr>
                <w:rStyle w:val="Hyperlink"/>
                <w:rFonts w:ascii="Arial" w:hAnsi="Arial" w:cs="Arial"/>
                <w:noProof/>
                <w:sz w:val="24"/>
                <w:szCs w:val="24"/>
                <w:lang w:val="en-GB" w:eastAsia="en-GB"/>
              </w:rPr>
              <w:t>5.5 Discussion of Research Question 4: What recommendations can improve customer service quality through effective Human Capital Management?</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52</w:t>
            </w:r>
            <w:r w:rsidRPr="00E02468">
              <w:rPr>
                <w:rFonts w:ascii="Arial" w:hAnsi="Arial" w:cs="Arial"/>
                <w:noProof/>
                <w:webHidden/>
                <w:sz w:val="24"/>
                <w:szCs w:val="24"/>
              </w:rPr>
              <w:fldChar w:fldCharType="end"/>
            </w:r>
          </w:hyperlink>
        </w:p>
        <w:p w14:paraId="01B6A585" w14:textId="6F8B940E"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88" w:history="1">
            <w:r w:rsidRPr="00E02468">
              <w:rPr>
                <w:rStyle w:val="Hyperlink"/>
                <w:rFonts w:ascii="Arial" w:hAnsi="Arial" w:cs="Arial"/>
                <w:noProof/>
                <w:sz w:val="24"/>
                <w:szCs w:val="24"/>
                <w:lang w:val="en-GB" w:eastAsia="en-GB"/>
              </w:rPr>
              <w:t>5.6 Discussion Through the Theoretical Framework</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53</w:t>
            </w:r>
            <w:r w:rsidRPr="00E02468">
              <w:rPr>
                <w:rFonts w:ascii="Arial" w:hAnsi="Arial" w:cs="Arial"/>
                <w:noProof/>
                <w:webHidden/>
                <w:sz w:val="24"/>
                <w:szCs w:val="24"/>
              </w:rPr>
              <w:fldChar w:fldCharType="end"/>
            </w:r>
          </w:hyperlink>
        </w:p>
        <w:p w14:paraId="56F88D52" w14:textId="4871AFED"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89" w:history="1">
            <w:r w:rsidRPr="00E02468">
              <w:rPr>
                <w:rStyle w:val="Hyperlink"/>
                <w:rFonts w:ascii="Arial" w:hAnsi="Arial" w:cs="Arial"/>
                <w:noProof/>
                <w:sz w:val="24"/>
                <w:szCs w:val="24"/>
                <w:lang w:val="en-GB" w:eastAsia="en-GB"/>
              </w:rPr>
              <w:t>5.6.1 Human Capital Theory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_Toc240932189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53</w:t>
            </w:r>
            <w:r w:rsidRPr="00E02468">
              <w:rPr>
                <w:rFonts w:ascii="Arial" w:hAnsi="Arial" w:cs="Arial"/>
                <w:noProof/>
                <w:webHidden/>
                <w:sz w:val="24"/>
                <w:szCs w:val="24"/>
              </w:rPr>
              <w:fldChar w:fldCharType="end"/>
            </w:r>
          </w:hyperlink>
        </w:p>
        <w:p w14:paraId="185270DD" w14:textId="05E200D0"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90" w:history="1">
            <w:r w:rsidRPr="00E02468">
              <w:rPr>
                <w:rStyle w:val="Hyperlink"/>
                <w:rFonts w:ascii="Arial" w:hAnsi="Arial" w:cs="Arial"/>
                <w:noProof/>
                <w:sz w:val="24"/>
                <w:szCs w:val="24"/>
                <w:lang w:val="en-GB" w:eastAsia="en-GB"/>
              </w:rPr>
              <w:t>5.6.2 Resource-Based View</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53</w:t>
            </w:r>
            <w:r w:rsidRPr="00E02468">
              <w:rPr>
                <w:rFonts w:ascii="Arial" w:hAnsi="Arial" w:cs="Arial"/>
                <w:noProof/>
                <w:webHidden/>
                <w:sz w:val="24"/>
                <w:szCs w:val="24"/>
              </w:rPr>
              <w:fldChar w:fldCharType="end"/>
            </w:r>
          </w:hyperlink>
        </w:p>
        <w:p w14:paraId="2DC0923F" w14:textId="0507CD5C"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91" w:history="1">
            <w:r w:rsidRPr="00E02468">
              <w:rPr>
                <w:rStyle w:val="Hyperlink"/>
                <w:rFonts w:ascii="Arial" w:hAnsi="Arial" w:cs="Arial"/>
                <w:noProof/>
                <w:sz w:val="24"/>
                <w:szCs w:val="24"/>
                <w:lang w:val="en-GB" w:eastAsia="en-GB"/>
              </w:rPr>
              <w:t>5.6.3 AMO Theory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53</w:t>
            </w:r>
            <w:r w:rsidRPr="00E02468">
              <w:rPr>
                <w:rFonts w:ascii="Arial" w:hAnsi="Arial" w:cs="Arial"/>
                <w:noProof/>
                <w:webHidden/>
                <w:sz w:val="24"/>
                <w:szCs w:val="24"/>
              </w:rPr>
              <w:fldChar w:fldCharType="end"/>
            </w:r>
          </w:hyperlink>
        </w:p>
        <w:p w14:paraId="4FB74B0F" w14:textId="6F61DB45" w:rsidR="00DF1239" w:rsidRPr="00E02468" w:rsidRDefault="00DF1239" w:rsidP="00DF1239">
          <w:pPr>
            <w:pStyle w:val="TOC3"/>
            <w:tabs>
              <w:tab w:val="right" w:leader="dot" w:pos="9016"/>
            </w:tabs>
            <w:jc w:val="both"/>
            <w:rPr>
              <w:rFonts w:ascii="Arial" w:eastAsiaTheme="minorEastAsia" w:hAnsi="Arial" w:cs="Arial"/>
              <w:noProof/>
              <w:sz w:val="24"/>
              <w:szCs w:val="24"/>
              <w:lang w:val="en-GB" w:eastAsia="en-GB"/>
            </w:rPr>
          </w:pPr>
          <w:hyperlink w:anchor="_Toc240932192" w:history="1">
            <w:r w:rsidRPr="00E02468">
              <w:rPr>
                <w:rStyle w:val="Hyperlink"/>
                <w:rFonts w:ascii="Arial" w:hAnsi="Arial" w:cs="Arial"/>
                <w:noProof/>
                <w:sz w:val="24"/>
                <w:szCs w:val="24"/>
                <w:lang w:val="en-GB" w:eastAsia="en-GB"/>
              </w:rPr>
              <w:t>5.6.4 SERVQUAL</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53</w:t>
            </w:r>
            <w:r w:rsidRPr="00E02468">
              <w:rPr>
                <w:rFonts w:ascii="Arial" w:hAnsi="Arial" w:cs="Arial"/>
                <w:noProof/>
                <w:webHidden/>
                <w:sz w:val="24"/>
                <w:szCs w:val="24"/>
              </w:rPr>
              <w:fldChar w:fldCharType="end"/>
            </w:r>
          </w:hyperlink>
        </w:p>
        <w:p w14:paraId="45C765ED" w14:textId="1EB81536"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3" w:history="1">
            <w:r w:rsidRPr="00E02468">
              <w:rPr>
                <w:rStyle w:val="Hyperlink"/>
                <w:rFonts w:ascii="Arial" w:hAnsi="Arial" w:cs="Arial"/>
                <w:noProof/>
                <w:sz w:val="24"/>
                <w:szCs w:val="24"/>
                <w:lang w:val="en-GB" w:eastAsia="en-GB"/>
              </w:rPr>
              <w:t>5.7 Contribution to the Research Gap</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54</w:t>
            </w:r>
            <w:r w:rsidRPr="00E02468">
              <w:rPr>
                <w:rFonts w:ascii="Arial" w:hAnsi="Arial" w:cs="Arial"/>
                <w:noProof/>
                <w:webHidden/>
                <w:sz w:val="24"/>
                <w:szCs w:val="24"/>
              </w:rPr>
              <w:fldChar w:fldCharType="end"/>
            </w:r>
          </w:hyperlink>
        </w:p>
        <w:p w14:paraId="0D9E0905" w14:textId="6AA7BDA1"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4" w:history="1">
            <w:r w:rsidRPr="00E02468">
              <w:rPr>
                <w:rStyle w:val="Hyperlink"/>
                <w:rFonts w:ascii="Arial" w:hAnsi="Arial" w:cs="Arial"/>
                <w:noProof/>
                <w:sz w:val="24"/>
                <w:szCs w:val="24"/>
                <w:lang w:val="en-GB" w:eastAsia="en-GB"/>
              </w:rPr>
              <w:t>5.8 Discussion Against the Research Objectives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54</w:t>
            </w:r>
            <w:r w:rsidRPr="00E02468">
              <w:rPr>
                <w:rFonts w:ascii="Arial" w:hAnsi="Arial" w:cs="Arial"/>
                <w:noProof/>
                <w:webHidden/>
                <w:sz w:val="24"/>
                <w:szCs w:val="24"/>
              </w:rPr>
              <w:fldChar w:fldCharType="end"/>
            </w:r>
          </w:hyperlink>
        </w:p>
        <w:p w14:paraId="02CCC915" w14:textId="02FC3319"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5" w:history="1">
            <w:r w:rsidRPr="00E02468">
              <w:rPr>
                <w:rStyle w:val="Hyperlink"/>
                <w:rFonts w:ascii="Arial" w:hAnsi="Arial" w:cs="Arial"/>
                <w:noProof/>
                <w:sz w:val="24"/>
                <w:szCs w:val="24"/>
                <w:lang w:val="en-GB" w:eastAsia="en-GB"/>
              </w:rPr>
              <w:t>5.9 Overall Answer to the Research Questions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55</w:t>
            </w:r>
            <w:r w:rsidRPr="00E02468">
              <w:rPr>
                <w:rFonts w:ascii="Arial" w:hAnsi="Arial" w:cs="Arial"/>
                <w:noProof/>
                <w:webHidden/>
                <w:sz w:val="24"/>
                <w:szCs w:val="24"/>
              </w:rPr>
              <w:fldChar w:fldCharType="end"/>
            </w:r>
          </w:hyperlink>
        </w:p>
        <w:p w14:paraId="054AC9F4" w14:textId="520FCB3C"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6" w:history="1">
            <w:r w:rsidRPr="00E02468">
              <w:rPr>
                <w:rStyle w:val="Hyperlink"/>
                <w:rFonts w:ascii="Arial" w:hAnsi="Arial" w:cs="Arial"/>
                <w:noProof/>
                <w:sz w:val="24"/>
                <w:szCs w:val="24"/>
                <w:lang w:val="en-GB" w:eastAsia="en-GB"/>
              </w:rPr>
              <w:t>5.10 Chapter Summary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56</w:t>
            </w:r>
            <w:r w:rsidRPr="00E02468">
              <w:rPr>
                <w:rFonts w:ascii="Arial" w:hAnsi="Arial" w:cs="Arial"/>
                <w:noProof/>
                <w:webHidden/>
                <w:sz w:val="24"/>
                <w:szCs w:val="24"/>
              </w:rPr>
              <w:fldChar w:fldCharType="end"/>
            </w:r>
          </w:hyperlink>
        </w:p>
        <w:p w14:paraId="21324646" w14:textId="024C44B9"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197" w:history="1">
            <w:r w:rsidRPr="00E02468">
              <w:rPr>
                <w:rStyle w:val="Hyperlink"/>
                <w:rFonts w:ascii="Arial" w:hAnsi="Arial" w:cs="Arial"/>
                <w:noProof/>
                <w:sz w:val="24"/>
                <w:szCs w:val="24"/>
                <w:lang w:val="en-GB" w:eastAsia="en-GB"/>
              </w:rPr>
              <w:t>Chapter 6: Conclusion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57</w:t>
            </w:r>
            <w:r w:rsidRPr="00E02468">
              <w:rPr>
                <w:rFonts w:ascii="Arial" w:hAnsi="Arial" w:cs="Arial"/>
                <w:noProof/>
                <w:webHidden/>
                <w:sz w:val="24"/>
                <w:szCs w:val="24"/>
              </w:rPr>
              <w:fldChar w:fldCharType="end"/>
            </w:r>
          </w:hyperlink>
        </w:p>
        <w:p w14:paraId="20BEB17B" w14:textId="78AC226F"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8" w:history="1">
            <w:r w:rsidRPr="00E02468">
              <w:rPr>
                <w:rStyle w:val="Hyperlink"/>
                <w:rFonts w:ascii="Arial" w:hAnsi="Arial" w:cs="Arial"/>
                <w:noProof/>
                <w:sz w:val="24"/>
                <w:szCs w:val="24"/>
                <w:lang w:val="en-GB" w:eastAsia="en-GB"/>
              </w:rPr>
              <w:t>6.1 Introduction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57</w:t>
            </w:r>
            <w:r w:rsidRPr="00E02468">
              <w:rPr>
                <w:rFonts w:ascii="Arial" w:hAnsi="Arial" w:cs="Arial"/>
                <w:noProof/>
                <w:webHidden/>
                <w:sz w:val="24"/>
                <w:szCs w:val="24"/>
              </w:rPr>
              <w:fldChar w:fldCharType="end"/>
            </w:r>
          </w:hyperlink>
        </w:p>
        <w:p w14:paraId="4EAB7FE8" w14:textId="5ACBD614"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199" w:history="1">
            <w:r w:rsidRPr="00E02468">
              <w:rPr>
                <w:rStyle w:val="Hyperlink"/>
                <w:rFonts w:ascii="Arial" w:hAnsi="Arial" w:cs="Arial"/>
                <w:noProof/>
                <w:sz w:val="24"/>
                <w:szCs w:val="24"/>
                <w:lang w:val="en-GB" w:eastAsia="en-GB"/>
              </w:rPr>
              <w:t>6.2 Overall Conclusion of the Study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_Toc240932199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57</w:t>
            </w:r>
            <w:r w:rsidRPr="00E02468">
              <w:rPr>
                <w:rFonts w:ascii="Arial" w:hAnsi="Arial" w:cs="Arial"/>
                <w:noProof/>
                <w:webHidden/>
                <w:sz w:val="24"/>
                <w:szCs w:val="24"/>
              </w:rPr>
              <w:fldChar w:fldCharType="end"/>
            </w:r>
          </w:hyperlink>
        </w:p>
        <w:p w14:paraId="2456BCAA" w14:textId="762DCB08"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0" w:history="1">
            <w:r w:rsidRPr="00E02468">
              <w:rPr>
                <w:rStyle w:val="Hyperlink"/>
                <w:rFonts w:ascii="Arial" w:hAnsi="Arial" w:cs="Arial"/>
                <w:noProof/>
                <w:sz w:val="24"/>
                <w:szCs w:val="24"/>
                <w:lang w:val="en-GB" w:eastAsia="en-GB"/>
              </w:rPr>
              <w:t>6.3 Conclusions Against the Research Questions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_Toc240932200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58</w:t>
            </w:r>
            <w:r w:rsidRPr="00E02468">
              <w:rPr>
                <w:rFonts w:ascii="Arial" w:hAnsi="Arial" w:cs="Arial"/>
                <w:noProof/>
                <w:webHidden/>
                <w:sz w:val="24"/>
                <w:szCs w:val="24"/>
              </w:rPr>
              <w:fldChar w:fldCharType="end"/>
            </w:r>
          </w:hyperlink>
        </w:p>
        <w:p w14:paraId="2E908B98" w14:textId="6CCF87D7"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1" w:history="1">
            <w:r w:rsidRPr="00E02468">
              <w:rPr>
                <w:rStyle w:val="Hyperlink"/>
                <w:rFonts w:ascii="Arial" w:hAnsi="Arial" w:cs="Arial"/>
                <w:noProof/>
                <w:sz w:val="24"/>
                <w:szCs w:val="24"/>
                <w:lang w:val="en-GB" w:eastAsia="en-GB"/>
              </w:rPr>
              <w:t>6.4 Conclusions Regarding the Overall HCM Relationship</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_Toc240932201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59</w:t>
            </w:r>
            <w:r w:rsidRPr="00E02468">
              <w:rPr>
                <w:rFonts w:ascii="Arial" w:hAnsi="Arial" w:cs="Arial"/>
                <w:noProof/>
                <w:webHidden/>
                <w:sz w:val="24"/>
                <w:szCs w:val="24"/>
              </w:rPr>
              <w:fldChar w:fldCharType="end"/>
            </w:r>
          </w:hyperlink>
        </w:p>
        <w:p w14:paraId="7A4804C8" w14:textId="14E132B9"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2" w:history="1">
            <w:r w:rsidRPr="00E02468">
              <w:rPr>
                <w:rStyle w:val="Hyperlink"/>
                <w:rFonts w:ascii="Arial" w:hAnsi="Arial" w:cs="Arial"/>
                <w:noProof/>
                <w:sz w:val="24"/>
                <w:szCs w:val="24"/>
                <w:lang w:val="en-GB" w:eastAsia="en-GB"/>
              </w:rPr>
              <w:t>6.5 Contribution to the Research Gap</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_Toc240932202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60</w:t>
            </w:r>
            <w:r w:rsidRPr="00E02468">
              <w:rPr>
                <w:rFonts w:ascii="Arial" w:hAnsi="Arial" w:cs="Arial"/>
                <w:noProof/>
                <w:webHidden/>
                <w:sz w:val="24"/>
                <w:szCs w:val="24"/>
              </w:rPr>
              <w:fldChar w:fldCharType="end"/>
            </w:r>
          </w:hyperlink>
        </w:p>
        <w:p w14:paraId="37EC6032" w14:textId="1E2AEA8F"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3" w:history="1">
            <w:r w:rsidRPr="00E02468">
              <w:rPr>
                <w:rStyle w:val="Hyperlink"/>
                <w:rFonts w:ascii="Arial" w:hAnsi="Arial" w:cs="Arial"/>
                <w:noProof/>
                <w:sz w:val="24"/>
                <w:szCs w:val="24"/>
                <w:lang w:val="en-GB" w:eastAsia="en-GB"/>
              </w:rPr>
              <w:t>6.6 Theoretical Contribution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_Toc240932203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61</w:t>
            </w:r>
            <w:r w:rsidRPr="00E02468">
              <w:rPr>
                <w:rFonts w:ascii="Arial" w:hAnsi="Arial" w:cs="Arial"/>
                <w:noProof/>
                <w:webHidden/>
                <w:sz w:val="24"/>
                <w:szCs w:val="24"/>
              </w:rPr>
              <w:fldChar w:fldCharType="end"/>
            </w:r>
          </w:hyperlink>
        </w:p>
        <w:p w14:paraId="02333B9B" w14:textId="2A467F3E"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4" w:history="1">
            <w:r w:rsidRPr="00E02468">
              <w:rPr>
                <w:rStyle w:val="Hyperlink"/>
                <w:rFonts w:ascii="Arial" w:hAnsi="Arial" w:cs="Arial"/>
                <w:noProof/>
                <w:sz w:val="24"/>
                <w:szCs w:val="24"/>
                <w:lang w:val="en-GB" w:eastAsia="en-GB"/>
              </w:rPr>
              <w:t>6.7 Practical Recommendations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_Toc240932204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62</w:t>
            </w:r>
            <w:r w:rsidRPr="00E02468">
              <w:rPr>
                <w:rFonts w:ascii="Arial" w:hAnsi="Arial" w:cs="Arial"/>
                <w:noProof/>
                <w:webHidden/>
                <w:sz w:val="24"/>
                <w:szCs w:val="24"/>
              </w:rPr>
              <w:fldChar w:fldCharType="end"/>
            </w:r>
          </w:hyperlink>
        </w:p>
        <w:p w14:paraId="028249D5" w14:textId="4E85EBA2"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5" w:history="1">
            <w:r w:rsidRPr="00E02468">
              <w:rPr>
                <w:rStyle w:val="Hyperlink"/>
                <w:rFonts w:ascii="Arial" w:hAnsi="Arial" w:cs="Arial"/>
                <w:noProof/>
                <w:sz w:val="24"/>
                <w:szCs w:val="24"/>
                <w:lang w:val="en-GB" w:eastAsia="en-GB"/>
              </w:rPr>
              <w:t>6.8 Limitations of the Study</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_Toc240932205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63</w:t>
            </w:r>
            <w:r w:rsidRPr="00E02468">
              <w:rPr>
                <w:rFonts w:ascii="Arial" w:hAnsi="Arial" w:cs="Arial"/>
                <w:noProof/>
                <w:webHidden/>
                <w:sz w:val="24"/>
                <w:szCs w:val="24"/>
              </w:rPr>
              <w:fldChar w:fldCharType="end"/>
            </w:r>
          </w:hyperlink>
        </w:p>
        <w:p w14:paraId="5B571D69" w14:textId="2F73A814"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6" w:history="1">
            <w:r w:rsidRPr="00E02468">
              <w:rPr>
                <w:rStyle w:val="Hyperlink"/>
                <w:rFonts w:ascii="Arial" w:hAnsi="Arial" w:cs="Arial"/>
                <w:noProof/>
                <w:sz w:val="24"/>
                <w:szCs w:val="24"/>
                <w:lang w:val="en-GB" w:eastAsia="en-GB"/>
              </w:rPr>
              <w:t>6.9 Recommendations for Future Research</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_Toc240932206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64</w:t>
            </w:r>
            <w:r w:rsidRPr="00E02468">
              <w:rPr>
                <w:rFonts w:ascii="Arial" w:hAnsi="Arial" w:cs="Arial"/>
                <w:noProof/>
                <w:webHidden/>
                <w:sz w:val="24"/>
                <w:szCs w:val="24"/>
              </w:rPr>
              <w:fldChar w:fldCharType="end"/>
            </w:r>
          </w:hyperlink>
        </w:p>
        <w:p w14:paraId="38103C5A" w14:textId="38FF263D" w:rsidR="00DF1239" w:rsidRPr="00E02468" w:rsidRDefault="00DF1239" w:rsidP="00DF1239">
          <w:pPr>
            <w:pStyle w:val="TOC2"/>
            <w:tabs>
              <w:tab w:val="right" w:leader="dot" w:pos="9016"/>
            </w:tabs>
            <w:jc w:val="both"/>
            <w:rPr>
              <w:rFonts w:ascii="Arial" w:eastAsiaTheme="minorEastAsia" w:hAnsi="Arial" w:cs="Arial"/>
              <w:noProof/>
              <w:sz w:val="24"/>
              <w:szCs w:val="24"/>
              <w:lang w:val="en-GB" w:eastAsia="en-GB"/>
            </w:rPr>
          </w:pPr>
          <w:hyperlink w:anchor="_Toc240932207" w:history="1">
            <w:r w:rsidRPr="00E02468">
              <w:rPr>
                <w:rStyle w:val="Hyperlink"/>
                <w:rFonts w:ascii="Arial" w:hAnsi="Arial" w:cs="Arial"/>
                <w:noProof/>
                <w:sz w:val="24"/>
                <w:szCs w:val="24"/>
                <w:lang w:val="en-GB" w:eastAsia="en-GB"/>
              </w:rPr>
              <w:t>6.10 Final Conclusion</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_Toc240932207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64</w:t>
            </w:r>
            <w:r w:rsidRPr="00E02468">
              <w:rPr>
                <w:rFonts w:ascii="Arial" w:hAnsi="Arial" w:cs="Arial"/>
                <w:noProof/>
                <w:webHidden/>
                <w:sz w:val="24"/>
                <w:szCs w:val="24"/>
              </w:rPr>
              <w:fldChar w:fldCharType="end"/>
            </w:r>
          </w:hyperlink>
        </w:p>
        <w:p w14:paraId="61E81A84" w14:textId="03EC6C1C" w:rsidR="00DF1239" w:rsidRPr="00E02468" w:rsidRDefault="00DF1239" w:rsidP="00DF1239">
          <w:pPr>
            <w:pStyle w:val="TOC1"/>
            <w:tabs>
              <w:tab w:val="right" w:leader="dot" w:pos="9016"/>
            </w:tabs>
            <w:jc w:val="both"/>
            <w:rPr>
              <w:rFonts w:ascii="Arial" w:eastAsiaTheme="minorEastAsia" w:hAnsi="Arial" w:cs="Arial"/>
              <w:noProof/>
              <w:sz w:val="24"/>
              <w:szCs w:val="24"/>
              <w:lang w:val="en-GB" w:eastAsia="en-GB"/>
            </w:rPr>
          </w:pPr>
          <w:hyperlink w:anchor="_Toc240932208" w:history="1">
            <w:r w:rsidRPr="00E02468">
              <w:rPr>
                <w:rStyle w:val="Hyperlink"/>
                <w:rFonts w:ascii="Arial" w:eastAsia="Times New Roman" w:hAnsi="Arial" w:cs="Arial"/>
                <w:noProof/>
                <w:sz w:val="24"/>
                <w:szCs w:val="24"/>
                <w:lang w:val="en-GB" w:eastAsia="en-GB"/>
              </w:rPr>
              <w:t>References</w:t>
            </w:r>
            <w:r w:rsidRPr="00E02468">
              <w:rPr>
                <w:rFonts w:ascii="Arial" w:hAnsi="Arial" w:cs="Arial"/>
                <w:noProof/>
                <w:webHidden/>
                <w:sz w:val="24"/>
                <w:szCs w:val="24"/>
              </w:rPr>
              <w:tab/>
            </w:r>
            <w:r w:rsidRPr="00E02468">
              <w:rPr>
                <w:rFonts w:ascii="Arial" w:hAnsi="Arial" w:cs="Arial"/>
                <w:noProof/>
                <w:webHidden/>
                <w:sz w:val="24"/>
                <w:szCs w:val="24"/>
              </w:rPr>
              <w:fldChar w:fldCharType="begin"/>
            </w:r>
            <w:r w:rsidRPr="00E02468">
              <w:rPr>
                <w:rFonts w:ascii="Arial" w:hAnsi="Arial" w:cs="Arial"/>
                <w:noProof/>
                <w:webHidden/>
                <w:sz w:val="24"/>
                <w:szCs w:val="24"/>
              </w:rPr>
              <w:instrText xml:space="preserve"> PAGEREF _Toc240932208 \h </w:instrText>
            </w:r>
            <w:r w:rsidRPr="00E02468">
              <w:rPr>
                <w:rFonts w:ascii="Arial" w:hAnsi="Arial" w:cs="Arial"/>
                <w:noProof/>
                <w:webHidden/>
                <w:sz w:val="24"/>
                <w:szCs w:val="24"/>
              </w:rPr>
            </w:r>
            <w:r w:rsidRPr="00E02468">
              <w:rPr>
                <w:rFonts w:ascii="Arial" w:hAnsi="Arial" w:cs="Arial"/>
                <w:noProof/>
                <w:webHidden/>
                <w:sz w:val="24"/>
                <w:szCs w:val="24"/>
              </w:rPr>
              <w:fldChar w:fldCharType="separate"/>
            </w:r>
            <w:r w:rsidRPr="00E02468">
              <w:rPr>
                <w:rFonts w:ascii="Arial" w:hAnsi="Arial" w:cs="Arial"/>
                <w:noProof/>
                <w:webHidden/>
                <w:sz w:val="24"/>
                <w:szCs w:val="24"/>
              </w:rPr>
              <w:t>66</w:t>
            </w:r>
            <w:r w:rsidRPr="00E02468">
              <w:rPr>
                <w:rFonts w:ascii="Arial" w:hAnsi="Arial" w:cs="Arial"/>
                <w:noProof/>
                <w:webHidden/>
                <w:sz w:val="24"/>
                <w:szCs w:val="24"/>
              </w:rPr>
              <w:fldChar w:fldCharType="end"/>
            </w:r>
          </w:hyperlink>
        </w:p>
        <w:p w14:paraId="46BD46E4" w14:textId="08FB54C9" w:rsidR="007A4FCD" w:rsidRPr="00E02468" w:rsidRDefault="00933FB2" w:rsidP="00DF1239">
          <w:pPr>
            <w:jc w:val="both"/>
            <w:rPr>
              <w:rFonts w:ascii="Arial" w:hAnsi="Arial" w:cs="Arial"/>
              <w:sz w:val="24"/>
              <w:szCs w:val="24"/>
              <w:lang w:val="en-GB"/>
            </w:rPr>
          </w:pPr>
          <w:r w:rsidRPr="00E02468">
            <w:rPr>
              <w:rFonts w:ascii="Arial" w:hAnsi="Arial" w:cs="Arial"/>
              <w:b/>
              <w:bCs/>
              <w:noProof/>
              <w:sz w:val="24"/>
              <w:szCs w:val="24"/>
              <w:lang w:val="en-GB"/>
            </w:rPr>
            <w:fldChar w:fldCharType="end"/>
          </w:r>
        </w:p>
      </w:sdtContent>
    </w:sdt>
    <w:p w14:paraId="10D5A79E" w14:textId="77777777" w:rsidR="007A4FCD" w:rsidRPr="00E02468" w:rsidRDefault="007A4FCD" w:rsidP="007A4FCD">
      <w:pPr>
        <w:rPr>
          <w:rFonts w:ascii="Arial" w:hAnsi="Arial" w:cs="Arial"/>
          <w:sz w:val="24"/>
          <w:szCs w:val="24"/>
          <w:lang w:val="en-GB"/>
        </w:rPr>
      </w:pPr>
    </w:p>
    <w:p w14:paraId="73CA11C5" w14:textId="6F8C0F05" w:rsidR="007A4FCD" w:rsidRPr="00E02468" w:rsidRDefault="007A4FCD" w:rsidP="007A4FCD">
      <w:pPr>
        <w:rPr>
          <w:rFonts w:ascii="Arial" w:hAnsi="Arial" w:cs="Arial"/>
          <w:sz w:val="24"/>
          <w:szCs w:val="24"/>
          <w:lang w:val="en-GB"/>
        </w:rPr>
      </w:pPr>
    </w:p>
    <w:p w14:paraId="6B291C9D" w14:textId="6814BB21" w:rsidR="007A4FCD" w:rsidRPr="00E02468" w:rsidRDefault="007A4FCD" w:rsidP="007A4FCD">
      <w:pPr>
        <w:rPr>
          <w:rFonts w:ascii="Arial" w:hAnsi="Arial" w:cs="Arial"/>
          <w:sz w:val="24"/>
          <w:szCs w:val="24"/>
          <w:lang w:val="en-GB"/>
        </w:rPr>
      </w:pPr>
    </w:p>
    <w:p w14:paraId="7E5BC7B6" w14:textId="22099272" w:rsidR="007A4FCD" w:rsidRPr="00E02468" w:rsidRDefault="007A4FCD" w:rsidP="007A4FCD">
      <w:pPr>
        <w:rPr>
          <w:rFonts w:ascii="Arial" w:hAnsi="Arial" w:cs="Arial"/>
          <w:sz w:val="24"/>
          <w:szCs w:val="24"/>
          <w:lang w:val="en-GB"/>
        </w:rPr>
      </w:pPr>
    </w:p>
    <w:p w14:paraId="6443E6AB" w14:textId="1BF5245C" w:rsidR="007A4FCD" w:rsidRPr="00E02468" w:rsidRDefault="007A4FCD" w:rsidP="007A4FCD">
      <w:pPr>
        <w:rPr>
          <w:rFonts w:ascii="Arial" w:hAnsi="Arial" w:cs="Arial"/>
          <w:sz w:val="24"/>
          <w:szCs w:val="24"/>
          <w:lang w:val="en-GB"/>
        </w:rPr>
      </w:pPr>
    </w:p>
    <w:p w14:paraId="2680A907" w14:textId="14C7CE5A" w:rsidR="007A4FCD" w:rsidRPr="00E02468" w:rsidRDefault="007A4FCD" w:rsidP="007A4FCD">
      <w:pPr>
        <w:rPr>
          <w:rFonts w:ascii="Arial" w:hAnsi="Arial" w:cs="Arial"/>
          <w:sz w:val="24"/>
          <w:szCs w:val="24"/>
          <w:lang w:val="en-GB"/>
        </w:rPr>
      </w:pPr>
    </w:p>
    <w:p w14:paraId="50440160" w14:textId="5BF59FEF" w:rsidR="007A4FCD" w:rsidRPr="00E02468" w:rsidRDefault="007A4FCD" w:rsidP="007A4FCD">
      <w:pPr>
        <w:rPr>
          <w:rFonts w:ascii="Arial" w:hAnsi="Arial" w:cs="Arial"/>
          <w:sz w:val="24"/>
          <w:szCs w:val="24"/>
          <w:lang w:val="en-GB"/>
        </w:rPr>
      </w:pPr>
    </w:p>
    <w:p w14:paraId="7905686A" w14:textId="5F83AD7B" w:rsidR="007A4FCD" w:rsidRPr="00E02468" w:rsidRDefault="007A4FCD" w:rsidP="007A4FCD">
      <w:pPr>
        <w:rPr>
          <w:rFonts w:ascii="Arial" w:hAnsi="Arial" w:cs="Arial"/>
          <w:sz w:val="24"/>
          <w:szCs w:val="24"/>
          <w:lang w:val="en-GB"/>
        </w:rPr>
      </w:pPr>
    </w:p>
    <w:p w14:paraId="59A33501" w14:textId="653541BA" w:rsidR="007A4FCD" w:rsidRPr="00E02468" w:rsidRDefault="007A4FCD" w:rsidP="007A4FCD">
      <w:pPr>
        <w:rPr>
          <w:rFonts w:ascii="Arial" w:hAnsi="Arial" w:cs="Arial"/>
          <w:sz w:val="24"/>
          <w:szCs w:val="24"/>
          <w:lang w:val="en-GB"/>
        </w:rPr>
      </w:pPr>
    </w:p>
    <w:p w14:paraId="472758A8" w14:textId="30FFEFCD" w:rsidR="007A4FCD" w:rsidRPr="00E02468" w:rsidRDefault="007A4FCD" w:rsidP="007A4FCD">
      <w:pPr>
        <w:rPr>
          <w:rFonts w:ascii="Arial" w:hAnsi="Arial" w:cs="Arial"/>
          <w:sz w:val="24"/>
          <w:szCs w:val="24"/>
          <w:lang w:val="en-GB"/>
        </w:rPr>
      </w:pPr>
    </w:p>
    <w:p w14:paraId="659F5F3E" w14:textId="2E15AA36" w:rsidR="007A4FCD" w:rsidRPr="00E02468" w:rsidRDefault="007A4FCD" w:rsidP="007A4FCD">
      <w:pPr>
        <w:rPr>
          <w:rFonts w:ascii="Arial" w:hAnsi="Arial" w:cs="Arial"/>
          <w:sz w:val="24"/>
          <w:szCs w:val="24"/>
          <w:lang w:val="en-GB"/>
        </w:rPr>
      </w:pPr>
    </w:p>
    <w:p w14:paraId="102FA78C" w14:textId="0F3B55BE" w:rsidR="007A4FCD" w:rsidRPr="00E02468" w:rsidRDefault="007A4FCD" w:rsidP="007A4FCD">
      <w:pPr>
        <w:rPr>
          <w:rFonts w:ascii="Arial" w:hAnsi="Arial" w:cs="Arial"/>
          <w:sz w:val="24"/>
          <w:szCs w:val="24"/>
          <w:lang w:val="en-GB"/>
        </w:rPr>
      </w:pPr>
    </w:p>
    <w:p w14:paraId="6A2B6AC5" w14:textId="7084A48C" w:rsidR="007A4FCD" w:rsidRPr="00E02468" w:rsidRDefault="007A4FCD" w:rsidP="007A4FCD">
      <w:pPr>
        <w:rPr>
          <w:rFonts w:ascii="Arial" w:hAnsi="Arial" w:cs="Arial"/>
          <w:sz w:val="24"/>
          <w:szCs w:val="24"/>
          <w:lang w:val="en-GB"/>
        </w:rPr>
      </w:pPr>
    </w:p>
    <w:p w14:paraId="5629B245" w14:textId="6B6456DA" w:rsidR="007A4FCD" w:rsidRPr="00E02468" w:rsidRDefault="007A4FCD" w:rsidP="00BC68AC">
      <w:pPr>
        <w:pStyle w:val="Heading1"/>
        <w:jc w:val="center"/>
        <w:rPr>
          <w:rFonts w:cs="Arial"/>
          <w:lang w:val="en-GB"/>
        </w:rPr>
      </w:pPr>
      <w:bookmarkStart w:id="4" w:name="_Toc240932094"/>
      <w:r w:rsidRPr="00E02468">
        <w:rPr>
          <w:rFonts w:cs="Arial"/>
          <w:lang w:val="en-GB"/>
        </w:rPr>
        <w:t>List of Tables</w:t>
      </w:r>
      <w:bookmarkEnd w:id="4"/>
    </w:p>
    <w:p w14:paraId="2389FDAF" w14:textId="7CC2CD7C"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r w:rsidRPr="00E02468">
        <w:rPr>
          <w:rFonts w:ascii="Arial" w:hAnsi="Arial" w:cs="Arial"/>
          <w:sz w:val="24"/>
          <w:szCs w:val="24"/>
          <w:lang w:val="en-GB"/>
        </w:rPr>
        <w:fldChar w:fldCharType="begin"/>
      </w:r>
      <w:r w:rsidRPr="00E02468">
        <w:rPr>
          <w:rFonts w:ascii="Arial" w:hAnsi="Arial" w:cs="Arial"/>
          <w:sz w:val="24"/>
          <w:szCs w:val="24"/>
          <w:lang w:val="en-GB"/>
        </w:rPr>
        <w:instrText xml:space="preserve"> TOC \h \z \c "Table" </w:instrText>
      </w:r>
      <w:r w:rsidRPr="00E02468">
        <w:rPr>
          <w:rFonts w:ascii="Arial" w:hAnsi="Arial" w:cs="Arial"/>
          <w:sz w:val="24"/>
          <w:szCs w:val="24"/>
          <w:lang w:val="en-GB"/>
        </w:rPr>
        <w:fldChar w:fldCharType="separate"/>
      </w:r>
      <w:hyperlink w:anchor="_Toc240932209" w:history="1">
        <w:r w:rsidRPr="00E02468">
          <w:rPr>
            <w:rStyle w:val="Hyperlink"/>
            <w:rFonts w:ascii="Arial" w:hAnsi="Arial" w:cs="Arial"/>
            <w:noProof/>
            <w:lang w:val="en-GB"/>
          </w:rPr>
          <w:t>Table 1.Inclusion and Exclusion Criteria</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_Toc240932209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25</w:t>
        </w:r>
        <w:r w:rsidRPr="00E02468">
          <w:rPr>
            <w:rFonts w:ascii="Arial" w:hAnsi="Arial" w:cs="Arial"/>
            <w:noProof/>
            <w:webHidden/>
          </w:rPr>
          <w:fldChar w:fldCharType="end"/>
        </w:r>
      </w:hyperlink>
    </w:p>
    <w:p w14:paraId="7FD5DFA3" w14:textId="07F14922"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0" w:history="1">
        <w:r w:rsidRPr="00E02468">
          <w:rPr>
            <w:rStyle w:val="Hyperlink"/>
            <w:rFonts w:ascii="Arial" w:hAnsi="Arial" w:cs="Arial"/>
            <w:noProof/>
            <w:lang w:val="en-GB"/>
          </w:rPr>
          <w:t>Table 2.Coding Framework</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_Toc240932210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29</w:t>
        </w:r>
        <w:r w:rsidRPr="00E02468">
          <w:rPr>
            <w:rFonts w:ascii="Arial" w:hAnsi="Arial" w:cs="Arial"/>
            <w:noProof/>
            <w:webHidden/>
          </w:rPr>
          <w:fldChar w:fldCharType="end"/>
        </w:r>
      </w:hyperlink>
    </w:p>
    <w:p w14:paraId="4AF171D7" w14:textId="43A81DA3"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1" w:history="1">
        <w:r w:rsidRPr="00E02468">
          <w:rPr>
            <w:rStyle w:val="Hyperlink"/>
            <w:rFonts w:ascii="Arial" w:hAnsi="Arial" w:cs="Arial"/>
            <w:noProof/>
          </w:rPr>
          <w:t>Table 3: Key Numerical Evidence</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_Toc240932211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35</w:t>
        </w:r>
        <w:r w:rsidRPr="00E02468">
          <w:rPr>
            <w:rFonts w:ascii="Arial" w:hAnsi="Arial" w:cs="Arial"/>
            <w:noProof/>
            <w:webHidden/>
          </w:rPr>
          <w:fldChar w:fldCharType="end"/>
        </w:r>
      </w:hyperlink>
    </w:p>
    <w:p w14:paraId="2BA9283D" w14:textId="06AEBFAC"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2" w:history="1">
        <w:r w:rsidRPr="00E02468">
          <w:rPr>
            <w:rStyle w:val="Hyperlink"/>
            <w:rFonts w:ascii="Arial" w:hAnsi="Arial" w:cs="Arial"/>
            <w:noProof/>
          </w:rPr>
          <w:t>Table 4: Training and Service Quality Evidence</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_Toc240932212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37</w:t>
        </w:r>
        <w:r w:rsidRPr="00E02468">
          <w:rPr>
            <w:rFonts w:ascii="Arial" w:hAnsi="Arial" w:cs="Arial"/>
            <w:noProof/>
            <w:webHidden/>
          </w:rPr>
          <w:fldChar w:fldCharType="end"/>
        </w:r>
      </w:hyperlink>
    </w:p>
    <w:p w14:paraId="13796B8D" w14:textId="68DBFE94"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3" w:history="1">
        <w:r w:rsidRPr="00E02468">
          <w:rPr>
            <w:rStyle w:val="Hyperlink"/>
            <w:rFonts w:ascii="Arial" w:hAnsi="Arial" w:cs="Arial"/>
            <w:noProof/>
          </w:rPr>
          <w:t>Table 5: Employee Engagement Evidence</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_Toc240932213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38</w:t>
        </w:r>
        <w:r w:rsidRPr="00E02468">
          <w:rPr>
            <w:rFonts w:ascii="Arial" w:hAnsi="Arial" w:cs="Arial"/>
            <w:noProof/>
            <w:webHidden/>
          </w:rPr>
          <w:fldChar w:fldCharType="end"/>
        </w:r>
      </w:hyperlink>
    </w:p>
    <w:p w14:paraId="341FCD53" w14:textId="323BE79B"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4" w:history="1">
        <w:r w:rsidRPr="00E02468">
          <w:rPr>
            <w:rStyle w:val="Hyperlink"/>
            <w:rFonts w:ascii="Arial" w:hAnsi="Arial" w:cs="Arial"/>
            <w:noProof/>
          </w:rPr>
          <w:t>Table 6: Performance Management and Service Quality</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_Toc240932214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39</w:t>
        </w:r>
        <w:r w:rsidRPr="00E02468">
          <w:rPr>
            <w:rFonts w:ascii="Arial" w:hAnsi="Arial" w:cs="Arial"/>
            <w:noProof/>
            <w:webHidden/>
          </w:rPr>
          <w:fldChar w:fldCharType="end"/>
        </w:r>
      </w:hyperlink>
    </w:p>
    <w:p w14:paraId="4314BF78" w14:textId="0B3EA56B"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5" w:history="1">
        <w:r w:rsidRPr="00E02468">
          <w:rPr>
            <w:rStyle w:val="Hyperlink"/>
            <w:rFonts w:ascii="Arial" w:hAnsi="Arial" w:cs="Arial"/>
            <w:noProof/>
          </w:rPr>
          <w:t>Table 7: Reward and Recognition Mechanisms</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_Toc240932215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40</w:t>
        </w:r>
        <w:r w:rsidRPr="00E02468">
          <w:rPr>
            <w:rFonts w:ascii="Arial" w:hAnsi="Arial" w:cs="Arial"/>
            <w:noProof/>
            <w:webHidden/>
          </w:rPr>
          <w:fldChar w:fldCharType="end"/>
        </w:r>
      </w:hyperlink>
    </w:p>
    <w:p w14:paraId="0E024207" w14:textId="12C3366C"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6" w:history="1">
        <w:r w:rsidRPr="00E02468">
          <w:rPr>
            <w:rStyle w:val="Hyperlink"/>
            <w:rFonts w:ascii="Arial" w:hAnsi="Arial" w:cs="Arial"/>
            <w:noProof/>
          </w:rPr>
          <w:t>Table 8: Integrated HCM–Service Quality Relationship</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_Toc240932216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42</w:t>
        </w:r>
        <w:r w:rsidRPr="00E02468">
          <w:rPr>
            <w:rFonts w:ascii="Arial" w:hAnsi="Arial" w:cs="Arial"/>
            <w:noProof/>
            <w:webHidden/>
          </w:rPr>
          <w:fldChar w:fldCharType="end"/>
        </w:r>
      </w:hyperlink>
    </w:p>
    <w:p w14:paraId="07ABBB72" w14:textId="6DDEF743"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7" w:history="1">
        <w:r w:rsidRPr="00E02468">
          <w:rPr>
            <w:rStyle w:val="Hyperlink"/>
            <w:rFonts w:ascii="Arial" w:hAnsi="Arial" w:cs="Arial"/>
            <w:noProof/>
          </w:rPr>
          <w:t>Table 9: Comparison with Previous Research</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_Toc240932217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44</w:t>
        </w:r>
        <w:r w:rsidRPr="00E02468">
          <w:rPr>
            <w:rFonts w:ascii="Arial" w:hAnsi="Arial" w:cs="Arial"/>
            <w:noProof/>
            <w:webHidden/>
          </w:rPr>
          <w:fldChar w:fldCharType="end"/>
        </w:r>
      </w:hyperlink>
    </w:p>
    <w:p w14:paraId="6242C107" w14:textId="4EB490A8"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8" w:history="1">
        <w:r w:rsidRPr="00E02468">
          <w:rPr>
            <w:rStyle w:val="Hyperlink"/>
            <w:rFonts w:ascii="Arial" w:hAnsi="Arial" w:cs="Arial"/>
            <w:noProof/>
          </w:rPr>
          <w:t>Table 10: Evidence Against H1–H8</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_Toc240932218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45</w:t>
        </w:r>
        <w:r w:rsidRPr="00E02468">
          <w:rPr>
            <w:rFonts w:ascii="Arial" w:hAnsi="Arial" w:cs="Arial"/>
            <w:noProof/>
            <w:webHidden/>
          </w:rPr>
          <w:fldChar w:fldCharType="end"/>
        </w:r>
      </w:hyperlink>
    </w:p>
    <w:p w14:paraId="35F427B9" w14:textId="21F5A257"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19" w:history="1">
        <w:r w:rsidRPr="00E02468">
          <w:rPr>
            <w:rStyle w:val="Hyperlink"/>
            <w:rFonts w:ascii="Arial" w:hAnsi="Arial" w:cs="Arial"/>
            <w:noProof/>
          </w:rPr>
          <w:t>Table 11.Discussion Against the Research Objectives</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_Toc240932219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54</w:t>
        </w:r>
        <w:r w:rsidRPr="00E02468">
          <w:rPr>
            <w:rFonts w:ascii="Arial" w:hAnsi="Arial" w:cs="Arial"/>
            <w:noProof/>
            <w:webHidden/>
          </w:rPr>
          <w:fldChar w:fldCharType="end"/>
        </w:r>
      </w:hyperlink>
    </w:p>
    <w:p w14:paraId="72A4B98C" w14:textId="6304C5D3" w:rsidR="00EE1E4B" w:rsidRPr="00E02468" w:rsidRDefault="00EE1E4B" w:rsidP="00E02468">
      <w:pPr>
        <w:pStyle w:val="TableofFigures"/>
        <w:tabs>
          <w:tab w:val="right" w:leader="dot" w:pos="9016"/>
        </w:tabs>
        <w:spacing w:line="360" w:lineRule="auto"/>
        <w:rPr>
          <w:rFonts w:ascii="Arial" w:eastAsiaTheme="minorEastAsia" w:hAnsi="Arial" w:cs="Arial"/>
          <w:noProof/>
          <w:lang w:val="en-GB" w:eastAsia="en-GB"/>
        </w:rPr>
      </w:pPr>
      <w:hyperlink w:anchor="_Toc240932220" w:history="1">
        <w:r w:rsidRPr="00E02468">
          <w:rPr>
            <w:rStyle w:val="Hyperlink"/>
            <w:rFonts w:ascii="Arial" w:hAnsi="Arial" w:cs="Arial"/>
            <w:noProof/>
          </w:rPr>
          <w:t>Table 12.Answer to the Research Questions</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_Toc240932220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55</w:t>
        </w:r>
        <w:r w:rsidRPr="00E02468">
          <w:rPr>
            <w:rFonts w:ascii="Arial" w:hAnsi="Arial" w:cs="Arial"/>
            <w:noProof/>
            <w:webHidden/>
          </w:rPr>
          <w:fldChar w:fldCharType="end"/>
        </w:r>
      </w:hyperlink>
    </w:p>
    <w:p w14:paraId="0364EA60" w14:textId="7E23E9E4" w:rsidR="00BC68AC" w:rsidRPr="00E02468" w:rsidRDefault="00EE1E4B" w:rsidP="00E02468">
      <w:pPr>
        <w:spacing w:line="360" w:lineRule="auto"/>
        <w:rPr>
          <w:rFonts w:ascii="Arial" w:hAnsi="Arial" w:cs="Arial"/>
          <w:sz w:val="24"/>
          <w:szCs w:val="24"/>
          <w:lang w:val="en-GB"/>
        </w:rPr>
      </w:pPr>
      <w:r w:rsidRPr="00E02468">
        <w:rPr>
          <w:rFonts w:ascii="Arial" w:hAnsi="Arial" w:cs="Arial"/>
          <w:sz w:val="24"/>
          <w:szCs w:val="24"/>
          <w:lang w:val="en-GB"/>
        </w:rPr>
        <w:fldChar w:fldCharType="end"/>
      </w:r>
    </w:p>
    <w:p w14:paraId="23C31368" w14:textId="77777777" w:rsidR="007A4FCD" w:rsidRPr="00E02468" w:rsidRDefault="007A4FCD" w:rsidP="007A4FCD">
      <w:pPr>
        <w:rPr>
          <w:rFonts w:ascii="Arial" w:hAnsi="Arial" w:cs="Arial"/>
          <w:sz w:val="24"/>
          <w:szCs w:val="24"/>
          <w:lang w:val="en-GB"/>
        </w:rPr>
      </w:pPr>
    </w:p>
    <w:p w14:paraId="1F27193D" w14:textId="7AA603E1" w:rsidR="007A4FCD" w:rsidRPr="00E02468" w:rsidRDefault="007A4FCD" w:rsidP="00BC68AC">
      <w:pPr>
        <w:pStyle w:val="Heading1"/>
        <w:jc w:val="center"/>
        <w:rPr>
          <w:rFonts w:cs="Arial"/>
          <w:lang w:val="en-GB"/>
        </w:rPr>
      </w:pPr>
      <w:bookmarkStart w:id="5" w:name="_Toc240932095"/>
      <w:r w:rsidRPr="00E02468">
        <w:rPr>
          <w:rFonts w:cs="Arial"/>
          <w:lang w:val="en-GB"/>
        </w:rPr>
        <w:t>List of Figures</w:t>
      </w:r>
      <w:bookmarkEnd w:id="5"/>
    </w:p>
    <w:p w14:paraId="2060CB19" w14:textId="264410C9" w:rsidR="00EE1E4B" w:rsidRPr="00E02468" w:rsidRDefault="00EE1E4B" w:rsidP="00E02468">
      <w:pPr>
        <w:pStyle w:val="TableofFigures"/>
        <w:tabs>
          <w:tab w:val="right" w:leader="dot" w:pos="9016"/>
        </w:tabs>
        <w:spacing w:line="276" w:lineRule="auto"/>
        <w:rPr>
          <w:rFonts w:ascii="Arial" w:eastAsiaTheme="minorEastAsia" w:hAnsi="Arial" w:cs="Arial"/>
          <w:noProof/>
          <w:lang w:val="en-GB" w:eastAsia="en-GB"/>
        </w:rPr>
      </w:pPr>
      <w:r w:rsidRPr="00E02468">
        <w:rPr>
          <w:rFonts w:ascii="Arial" w:hAnsi="Arial" w:cs="Arial"/>
          <w:sz w:val="24"/>
          <w:szCs w:val="24"/>
          <w:lang w:val="en-GB"/>
        </w:rPr>
        <w:fldChar w:fldCharType="begin"/>
      </w:r>
      <w:r w:rsidRPr="00E02468">
        <w:rPr>
          <w:rFonts w:ascii="Arial" w:hAnsi="Arial" w:cs="Arial"/>
          <w:sz w:val="24"/>
          <w:szCs w:val="24"/>
          <w:lang w:val="en-GB"/>
        </w:rPr>
        <w:instrText xml:space="preserve"> TOC \h \z \c "Figure" </w:instrText>
      </w:r>
      <w:r w:rsidRPr="00E02468">
        <w:rPr>
          <w:rFonts w:ascii="Arial" w:hAnsi="Arial" w:cs="Arial"/>
          <w:sz w:val="24"/>
          <w:szCs w:val="24"/>
          <w:lang w:val="en-GB"/>
        </w:rPr>
        <w:fldChar w:fldCharType="separate"/>
      </w:r>
      <w:hyperlink w:anchor="_Toc240932221" w:history="1">
        <w:r w:rsidRPr="00E02468">
          <w:rPr>
            <w:rStyle w:val="Hyperlink"/>
            <w:rFonts w:ascii="Arial" w:hAnsi="Arial" w:cs="Arial"/>
            <w:noProof/>
            <w:lang w:val="en-GB"/>
          </w:rPr>
          <w:t>Figure 1. Conceptual framework</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_Toc240932221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19</w:t>
        </w:r>
        <w:r w:rsidRPr="00E02468">
          <w:rPr>
            <w:rFonts w:ascii="Arial" w:hAnsi="Arial" w:cs="Arial"/>
            <w:noProof/>
            <w:webHidden/>
          </w:rPr>
          <w:fldChar w:fldCharType="end"/>
        </w:r>
      </w:hyperlink>
    </w:p>
    <w:p w14:paraId="3C5C4D35" w14:textId="7F066322" w:rsidR="00EE1E4B" w:rsidRPr="00E02468" w:rsidRDefault="00EE1E4B" w:rsidP="00E02468">
      <w:pPr>
        <w:pStyle w:val="TableofFigures"/>
        <w:tabs>
          <w:tab w:val="right" w:leader="dot" w:pos="9016"/>
        </w:tabs>
        <w:spacing w:line="276" w:lineRule="auto"/>
        <w:rPr>
          <w:rFonts w:ascii="Arial" w:eastAsiaTheme="minorEastAsia" w:hAnsi="Arial" w:cs="Arial"/>
          <w:noProof/>
          <w:lang w:val="en-GB" w:eastAsia="en-GB"/>
        </w:rPr>
      </w:pPr>
      <w:hyperlink w:anchor="_Toc240932222" w:history="1">
        <w:r w:rsidRPr="00E02468">
          <w:rPr>
            <w:rStyle w:val="Hyperlink"/>
            <w:rFonts w:ascii="Arial" w:hAnsi="Arial" w:cs="Arial"/>
            <w:noProof/>
          </w:rPr>
          <w:t>Figure 2: Recruitment and Workforce Pressure</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_Toc240932222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36</w:t>
        </w:r>
        <w:r w:rsidRPr="00E02468">
          <w:rPr>
            <w:rFonts w:ascii="Arial" w:hAnsi="Arial" w:cs="Arial"/>
            <w:noProof/>
            <w:webHidden/>
          </w:rPr>
          <w:fldChar w:fldCharType="end"/>
        </w:r>
      </w:hyperlink>
    </w:p>
    <w:p w14:paraId="3C0ABCE6" w14:textId="463C06F4" w:rsidR="00EE1E4B" w:rsidRPr="00E02468" w:rsidRDefault="00EE1E4B" w:rsidP="00E02468">
      <w:pPr>
        <w:pStyle w:val="TableofFigures"/>
        <w:tabs>
          <w:tab w:val="right" w:leader="dot" w:pos="9016"/>
        </w:tabs>
        <w:spacing w:line="276" w:lineRule="auto"/>
        <w:rPr>
          <w:rFonts w:ascii="Arial" w:eastAsiaTheme="minorEastAsia" w:hAnsi="Arial" w:cs="Arial"/>
          <w:noProof/>
          <w:lang w:val="en-GB" w:eastAsia="en-GB"/>
        </w:rPr>
      </w:pPr>
      <w:hyperlink w:anchor="_Toc240932223" w:history="1">
        <w:r w:rsidRPr="00E02468">
          <w:rPr>
            <w:rStyle w:val="Hyperlink"/>
            <w:rFonts w:ascii="Arial" w:hAnsi="Arial" w:cs="Arial"/>
            <w:noProof/>
          </w:rPr>
          <w:t>Figure 3: Hospitality Employee Turnover</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_Toc240932223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41</w:t>
        </w:r>
        <w:r w:rsidRPr="00E02468">
          <w:rPr>
            <w:rFonts w:ascii="Arial" w:hAnsi="Arial" w:cs="Arial"/>
            <w:noProof/>
            <w:webHidden/>
          </w:rPr>
          <w:fldChar w:fldCharType="end"/>
        </w:r>
      </w:hyperlink>
    </w:p>
    <w:p w14:paraId="02FDAACF" w14:textId="086C9CA1" w:rsidR="00EE1E4B" w:rsidRPr="00E02468" w:rsidRDefault="00EE1E4B" w:rsidP="00E02468">
      <w:pPr>
        <w:pStyle w:val="TableofFigures"/>
        <w:tabs>
          <w:tab w:val="right" w:leader="dot" w:pos="9016"/>
        </w:tabs>
        <w:spacing w:line="276" w:lineRule="auto"/>
        <w:rPr>
          <w:rFonts w:ascii="Arial" w:eastAsiaTheme="minorEastAsia" w:hAnsi="Arial" w:cs="Arial"/>
          <w:noProof/>
          <w:lang w:val="en-GB" w:eastAsia="en-GB"/>
        </w:rPr>
      </w:pPr>
      <w:hyperlink w:anchor="_Toc240932224" w:history="1">
        <w:r w:rsidRPr="00E02468">
          <w:rPr>
            <w:rStyle w:val="Hyperlink"/>
            <w:rFonts w:ascii="Arial" w:hAnsi="Arial" w:cs="Arial"/>
            <w:noProof/>
          </w:rPr>
          <w:t>Figure 4: Conceptual Findings Model</w:t>
        </w:r>
        <w:r w:rsidRPr="00E02468">
          <w:rPr>
            <w:rFonts w:ascii="Arial" w:hAnsi="Arial" w:cs="Arial"/>
            <w:noProof/>
            <w:webHidden/>
          </w:rPr>
          <w:tab/>
        </w:r>
        <w:r w:rsidRPr="00E02468">
          <w:rPr>
            <w:rFonts w:ascii="Arial" w:hAnsi="Arial" w:cs="Arial"/>
            <w:noProof/>
            <w:webHidden/>
          </w:rPr>
          <w:fldChar w:fldCharType="begin"/>
        </w:r>
        <w:r w:rsidRPr="00E02468">
          <w:rPr>
            <w:rFonts w:ascii="Arial" w:hAnsi="Arial" w:cs="Arial"/>
            <w:noProof/>
            <w:webHidden/>
          </w:rPr>
          <w:instrText xml:space="preserve"> PAGEREF _Toc240932224 \h </w:instrText>
        </w:r>
        <w:r w:rsidRPr="00E02468">
          <w:rPr>
            <w:rFonts w:ascii="Arial" w:hAnsi="Arial" w:cs="Arial"/>
            <w:noProof/>
            <w:webHidden/>
          </w:rPr>
        </w:r>
        <w:r w:rsidRPr="00E02468">
          <w:rPr>
            <w:rFonts w:ascii="Arial" w:hAnsi="Arial" w:cs="Arial"/>
            <w:noProof/>
            <w:webHidden/>
          </w:rPr>
          <w:fldChar w:fldCharType="separate"/>
        </w:r>
        <w:r w:rsidRPr="00E02468">
          <w:rPr>
            <w:rFonts w:ascii="Arial" w:hAnsi="Arial" w:cs="Arial"/>
            <w:noProof/>
            <w:webHidden/>
          </w:rPr>
          <w:t>43</w:t>
        </w:r>
        <w:r w:rsidRPr="00E02468">
          <w:rPr>
            <w:rFonts w:ascii="Arial" w:hAnsi="Arial" w:cs="Arial"/>
            <w:noProof/>
            <w:webHidden/>
          </w:rPr>
          <w:fldChar w:fldCharType="end"/>
        </w:r>
      </w:hyperlink>
    </w:p>
    <w:p w14:paraId="4DEFCB7E" w14:textId="2C4B8CD4" w:rsidR="00BC68AC" w:rsidRPr="00E02468" w:rsidRDefault="00EE1E4B" w:rsidP="00E02468">
      <w:pPr>
        <w:spacing w:line="276" w:lineRule="auto"/>
        <w:rPr>
          <w:rFonts w:ascii="Arial" w:hAnsi="Arial" w:cs="Arial"/>
          <w:sz w:val="24"/>
          <w:szCs w:val="24"/>
          <w:lang w:val="en-GB"/>
        </w:rPr>
      </w:pPr>
      <w:r w:rsidRPr="00E02468">
        <w:rPr>
          <w:rFonts w:ascii="Arial" w:hAnsi="Arial" w:cs="Arial"/>
          <w:sz w:val="24"/>
          <w:szCs w:val="24"/>
          <w:lang w:val="en-GB"/>
        </w:rPr>
        <w:fldChar w:fldCharType="end"/>
      </w:r>
    </w:p>
    <w:p w14:paraId="6CCD73E3" w14:textId="20E3C633" w:rsidR="007A4FCD" w:rsidRPr="00E02468" w:rsidRDefault="007A4FCD" w:rsidP="007A4FCD">
      <w:pPr>
        <w:rPr>
          <w:rFonts w:ascii="Arial" w:hAnsi="Arial" w:cs="Arial"/>
          <w:sz w:val="24"/>
          <w:szCs w:val="24"/>
          <w:lang w:val="en-GB"/>
        </w:rPr>
      </w:pPr>
    </w:p>
    <w:p w14:paraId="5D375A62" w14:textId="2F9342DC" w:rsidR="007A4FCD" w:rsidRPr="00E02468" w:rsidRDefault="007A4FCD" w:rsidP="007A4FCD">
      <w:pPr>
        <w:rPr>
          <w:rFonts w:ascii="Arial" w:hAnsi="Arial" w:cs="Arial"/>
          <w:sz w:val="24"/>
          <w:szCs w:val="24"/>
          <w:lang w:val="en-GB"/>
        </w:rPr>
      </w:pPr>
    </w:p>
    <w:p w14:paraId="3F78C2EB" w14:textId="16DA98C6" w:rsidR="007A4FCD" w:rsidRPr="00E02468" w:rsidRDefault="007A4FCD" w:rsidP="007A4FCD">
      <w:pPr>
        <w:rPr>
          <w:rFonts w:ascii="Arial" w:hAnsi="Arial" w:cs="Arial"/>
          <w:sz w:val="24"/>
          <w:szCs w:val="24"/>
          <w:lang w:val="en-GB"/>
        </w:rPr>
      </w:pPr>
    </w:p>
    <w:p w14:paraId="5B23B0E1" w14:textId="0345967C" w:rsidR="007A4FCD" w:rsidRPr="00E02468" w:rsidRDefault="007A4FCD" w:rsidP="007A4FCD">
      <w:pPr>
        <w:rPr>
          <w:rFonts w:ascii="Arial" w:hAnsi="Arial" w:cs="Arial"/>
          <w:sz w:val="24"/>
          <w:szCs w:val="24"/>
          <w:lang w:val="en-GB"/>
        </w:rPr>
      </w:pPr>
    </w:p>
    <w:p w14:paraId="1FAAD85C" w14:textId="783AF592" w:rsidR="007A4FCD" w:rsidRPr="00E02468" w:rsidRDefault="007A4FCD" w:rsidP="007A4FCD">
      <w:pPr>
        <w:rPr>
          <w:rFonts w:ascii="Arial" w:hAnsi="Arial" w:cs="Arial"/>
          <w:sz w:val="24"/>
          <w:szCs w:val="24"/>
          <w:lang w:val="en-GB"/>
        </w:rPr>
      </w:pPr>
    </w:p>
    <w:p w14:paraId="08EBE312" w14:textId="5C72D4EC" w:rsidR="007A4FCD" w:rsidRPr="00E02468" w:rsidRDefault="007A4FCD" w:rsidP="007A4FCD">
      <w:pPr>
        <w:rPr>
          <w:rFonts w:ascii="Arial" w:hAnsi="Arial" w:cs="Arial"/>
          <w:sz w:val="24"/>
          <w:szCs w:val="24"/>
          <w:lang w:val="en-GB"/>
        </w:rPr>
      </w:pPr>
    </w:p>
    <w:p w14:paraId="3C5F4218" w14:textId="2D775CD3" w:rsidR="007A4FCD" w:rsidRPr="00E02468" w:rsidRDefault="007A4FCD" w:rsidP="007A4FCD">
      <w:pPr>
        <w:rPr>
          <w:rFonts w:ascii="Arial" w:hAnsi="Arial" w:cs="Arial"/>
          <w:sz w:val="24"/>
          <w:szCs w:val="24"/>
          <w:lang w:val="en-GB"/>
        </w:rPr>
      </w:pPr>
    </w:p>
    <w:p w14:paraId="5730D6C7" w14:textId="07AC7F1E" w:rsidR="007A4FCD" w:rsidRPr="00E02468" w:rsidRDefault="007A4FCD" w:rsidP="007A4FCD">
      <w:pPr>
        <w:rPr>
          <w:rFonts w:ascii="Arial" w:hAnsi="Arial" w:cs="Arial"/>
          <w:sz w:val="24"/>
          <w:szCs w:val="24"/>
          <w:lang w:val="en-GB"/>
        </w:rPr>
      </w:pPr>
    </w:p>
    <w:p w14:paraId="7F9547CF" w14:textId="1CF0CCF5" w:rsidR="007A4FCD" w:rsidRPr="00E02468" w:rsidRDefault="007A4FCD" w:rsidP="007A4FCD">
      <w:pPr>
        <w:rPr>
          <w:rFonts w:ascii="Arial" w:hAnsi="Arial" w:cs="Arial"/>
          <w:sz w:val="24"/>
          <w:szCs w:val="24"/>
          <w:lang w:val="en-GB"/>
        </w:rPr>
      </w:pPr>
    </w:p>
    <w:p w14:paraId="5CF3971D" w14:textId="07F911A6" w:rsidR="007A4FCD" w:rsidRPr="00E02468" w:rsidRDefault="007A4FCD" w:rsidP="007A4FCD">
      <w:pPr>
        <w:rPr>
          <w:rFonts w:ascii="Arial" w:hAnsi="Arial" w:cs="Arial"/>
          <w:sz w:val="24"/>
          <w:szCs w:val="24"/>
          <w:lang w:val="en-GB"/>
        </w:rPr>
      </w:pPr>
    </w:p>
    <w:p w14:paraId="7926C62C" w14:textId="5F8D8104" w:rsidR="007A4FCD" w:rsidRPr="00E02468" w:rsidRDefault="007A4FCD" w:rsidP="007A4FCD">
      <w:pPr>
        <w:rPr>
          <w:rFonts w:ascii="Arial" w:hAnsi="Arial" w:cs="Arial"/>
          <w:sz w:val="24"/>
          <w:szCs w:val="24"/>
          <w:lang w:val="en-GB"/>
        </w:rPr>
      </w:pPr>
    </w:p>
    <w:p w14:paraId="56D142D3" w14:textId="2233D62A" w:rsidR="007A4FCD" w:rsidRPr="00E02468" w:rsidRDefault="007A4FCD" w:rsidP="007A4FCD">
      <w:pPr>
        <w:rPr>
          <w:rFonts w:ascii="Arial" w:hAnsi="Arial" w:cs="Arial"/>
          <w:sz w:val="24"/>
          <w:szCs w:val="24"/>
          <w:lang w:val="en-GB"/>
        </w:rPr>
      </w:pPr>
    </w:p>
    <w:p w14:paraId="4C69A4CC" w14:textId="77777777" w:rsidR="007A4FCD" w:rsidRPr="00E02468" w:rsidRDefault="007A4FCD" w:rsidP="007A4FCD">
      <w:pPr>
        <w:pStyle w:val="Heading1"/>
        <w:jc w:val="center"/>
        <w:rPr>
          <w:rFonts w:cs="Arial"/>
          <w:lang w:val="en-GB"/>
        </w:rPr>
      </w:pPr>
      <w:bookmarkStart w:id="6" w:name="_Toc240932096"/>
      <w:r w:rsidRPr="00E02468">
        <w:rPr>
          <w:rFonts w:cs="Arial"/>
          <w:lang w:val="en-GB"/>
        </w:rPr>
        <w:t>List of Abbreviations</w:t>
      </w:r>
      <w:bookmarkEnd w:id="6"/>
    </w:p>
    <w:tbl>
      <w:tblPr>
        <w:tblStyle w:val="TableGrid"/>
        <w:tblW w:w="0" w:type="auto"/>
        <w:tblLook w:val="04A0" w:firstRow="1" w:lastRow="0" w:firstColumn="1" w:lastColumn="0" w:noHBand="0" w:noVBand="1"/>
      </w:tblPr>
      <w:tblGrid>
        <w:gridCol w:w="4508"/>
        <w:gridCol w:w="4508"/>
      </w:tblGrid>
      <w:tr w:rsidR="007A4FCD" w:rsidRPr="00E02468" w14:paraId="5287486F" w14:textId="77777777" w:rsidTr="007A4FCD">
        <w:tc>
          <w:tcPr>
            <w:tcW w:w="4508" w:type="dxa"/>
          </w:tcPr>
          <w:p w14:paraId="5EF69BE8" w14:textId="77777777" w:rsidR="007A4FCD" w:rsidRPr="00E02468" w:rsidRDefault="007A4FCD" w:rsidP="007A4FCD">
            <w:pPr>
              <w:spacing w:line="360" w:lineRule="auto"/>
              <w:jc w:val="both"/>
              <w:rPr>
                <w:rFonts w:ascii="Arial" w:hAnsi="Arial" w:cs="Arial"/>
                <w:b/>
                <w:sz w:val="24"/>
                <w:szCs w:val="24"/>
                <w:lang w:val="en-GB"/>
              </w:rPr>
            </w:pPr>
            <w:r w:rsidRPr="00E02468">
              <w:rPr>
                <w:rFonts w:ascii="Arial" w:hAnsi="Arial" w:cs="Arial"/>
                <w:b/>
                <w:sz w:val="24"/>
                <w:szCs w:val="24"/>
                <w:lang w:val="en-GB"/>
              </w:rPr>
              <w:t>Abbreviation</w:t>
            </w:r>
          </w:p>
        </w:tc>
        <w:tc>
          <w:tcPr>
            <w:tcW w:w="4508" w:type="dxa"/>
          </w:tcPr>
          <w:p w14:paraId="35C7F178" w14:textId="77777777" w:rsidR="007A4FCD" w:rsidRPr="00E02468" w:rsidRDefault="007A4FCD" w:rsidP="007A4FCD">
            <w:pPr>
              <w:spacing w:line="360" w:lineRule="auto"/>
              <w:jc w:val="both"/>
              <w:rPr>
                <w:rFonts w:ascii="Arial" w:hAnsi="Arial" w:cs="Arial"/>
                <w:b/>
                <w:sz w:val="24"/>
                <w:szCs w:val="24"/>
                <w:lang w:val="en-GB"/>
              </w:rPr>
            </w:pPr>
            <w:r w:rsidRPr="00E02468">
              <w:rPr>
                <w:rFonts w:ascii="Arial" w:hAnsi="Arial" w:cs="Arial"/>
                <w:b/>
                <w:sz w:val="24"/>
                <w:szCs w:val="24"/>
                <w:lang w:val="en-GB"/>
              </w:rPr>
              <w:t>Full Term</w:t>
            </w:r>
          </w:p>
        </w:tc>
      </w:tr>
      <w:tr w:rsidR="007A4FCD" w:rsidRPr="00E02468" w14:paraId="14C52969" w14:textId="77777777" w:rsidTr="007A4FCD">
        <w:tc>
          <w:tcPr>
            <w:tcW w:w="4508" w:type="dxa"/>
          </w:tcPr>
          <w:p w14:paraId="2AF29AE0"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AMO</w:t>
            </w:r>
          </w:p>
        </w:tc>
        <w:tc>
          <w:tcPr>
            <w:tcW w:w="4508" w:type="dxa"/>
          </w:tcPr>
          <w:p w14:paraId="382C40F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Ability–Motivation–Opportunity</w:t>
            </w:r>
          </w:p>
        </w:tc>
      </w:tr>
      <w:tr w:rsidR="007A4FCD" w:rsidRPr="00E02468" w14:paraId="7D905F8F" w14:textId="77777777" w:rsidTr="007A4FCD">
        <w:tc>
          <w:tcPr>
            <w:tcW w:w="4508" w:type="dxa"/>
          </w:tcPr>
          <w:p w14:paraId="6AD26746"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CIPD</w:t>
            </w:r>
          </w:p>
        </w:tc>
        <w:tc>
          <w:tcPr>
            <w:tcW w:w="4508" w:type="dxa"/>
          </w:tcPr>
          <w:p w14:paraId="24D0E93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Chartered Institute of Personnel and Development</w:t>
            </w:r>
          </w:p>
        </w:tc>
      </w:tr>
      <w:tr w:rsidR="007A4FCD" w:rsidRPr="00E02468" w14:paraId="0A1433DB" w14:textId="77777777" w:rsidTr="007A4FCD">
        <w:tc>
          <w:tcPr>
            <w:tcW w:w="4508" w:type="dxa"/>
          </w:tcPr>
          <w:p w14:paraId="26AEFD11"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CSR</w:t>
            </w:r>
          </w:p>
        </w:tc>
        <w:tc>
          <w:tcPr>
            <w:tcW w:w="4508" w:type="dxa"/>
          </w:tcPr>
          <w:p w14:paraId="222F426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Corporate Social Responsibility</w:t>
            </w:r>
          </w:p>
        </w:tc>
      </w:tr>
      <w:tr w:rsidR="007A4FCD" w:rsidRPr="00E02468" w14:paraId="7AB116F8" w14:textId="77777777" w:rsidTr="007A4FCD">
        <w:tc>
          <w:tcPr>
            <w:tcW w:w="4508" w:type="dxa"/>
          </w:tcPr>
          <w:p w14:paraId="44160D6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DBT</w:t>
            </w:r>
          </w:p>
        </w:tc>
        <w:tc>
          <w:tcPr>
            <w:tcW w:w="4508" w:type="dxa"/>
          </w:tcPr>
          <w:p w14:paraId="1D0C449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Department for Business and Trade</w:t>
            </w:r>
          </w:p>
        </w:tc>
      </w:tr>
      <w:tr w:rsidR="007A4FCD" w:rsidRPr="00E02468" w14:paraId="24F02979" w14:textId="77777777" w:rsidTr="007A4FCD">
        <w:tc>
          <w:tcPr>
            <w:tcW w:w="4508" w:type="dxa"/>
          </w:tcPr>
          <w:p w14:paraId="76CB236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HCM</w:t>
            </w:r>
          </w:p>
        </w:tc>
        <w:tc>
          <w:tcPr>
            <w:tcW w:w="4508" w:type="dxa"/>
          </w:tcPr>
          <w:p w14:paraId="6A1AE5D6"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Capital Management</w:t>
            </w:r>
          </w:p>
        </w:tc>
      </w:tr>
      <w:tr w:rsidR="007A4FCD" w:rsidRPr="00E02468" w14:paraId="67471562" w14:textId="77777777" w:rsidTr="007A4FCD">
        <w:tc>
          <w:tcPr>
            <w:tcW w:w="4508" w:type="dxa"/>
          </w:tcPr>
          <w:p w14:paraId="2C73BB8F"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HRM</w:t>
            </w:r>
          </w:p>
        </w:tc>
        <w:tc>
          <w:tcPr>
            <w:tcW w:w="4508" w:type="dxa"/>
          </w:tcPr>
          <w:p w14:paraId="6EEF240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Resource Management</w:t>
            </w:r>
          </w:p>
        </w:tc>
      </w:tr>
      <w:tr w:rsidR="007A4FCD" w:rsidRPr="00E02468" w14:paraId="25D8FD5D" w14:textId="77777777" w:rsidTr="007A4FCD">
        <w:tc>
          <w:tcPr>
            <w:tcW w:w="4508" w:type="dxa"/>
          </w:tcPr>
          <w:p w14:paraId="2D0C4AD0"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KPI</w:t>
            </w:r>
          </w:p>
        </w:tc>
        <w:tc>
          <w:tcPr>
            <w:tcW w:w="4508" w:type="dxa"/>
          </w:tcPr>
          <w:p w14:paraId="4B9ECADA"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Key Performance Indicator</w:t>
            </w:r>
          </w:p>
        </w:tc>
      </w:tr>
      <w:tr w:rsidR="007A4FCD" w:rsidRPr="00E02468" w14:paraId="37292334" w14:textId="77777777" w:rsidTr="007A4FCD">
        <w:tc>
          <w:tcPr>
            <w:tcW w:w="4508" w:type="dxa"/>
          </w:tcPr>
          <w:p w14:paraId="107CAF6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RBV</w:t>
            </w:r>
          </w:p>
        </w:tc>
        <w:tc>
          <w:tcPr>
            <w:tcW w:w="4508" w:type="dxa"/>
          </w:tcPr>
          <w:p w14:paraId="1A61DB5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Resource-Based View</w:t>
            </w:r>
          </w:p>
        </w:tc>
      </w:tr>
      <w:tr w:rsidR="007A4FCD" w:rsidRPr="00E02468" w14:paraId="138D9628" w14:textId="77777777" w:rsidTr="007A4FCD">
        <w:tc>
          <w:tcPr>
            <w:tcW w:w="4508" w:type="dxa"/>
          </w:tcPr>
          <w:p w14:paraId="4038400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RQ</w:t>
            </w:r>
          </w:p>
        </w:tc>
        <w:tc>
          <w:tcPr>
            <w:tcW w:w="4508" w:type="dxa"/>
          </w:tcPr>
          <w:p w14:paraId="48FC5675"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Research Question</w:t>
            </w:r>
          </w:p>
        </w:tc>
      </w:tr>
      <w:tr w:rsidR="007A4FCD" w:rsidRPr="00E02468" w14:paraId="653381BE" w14:textId="77777777" w:rsidTr="007A4FCD">
        <w:tc>
          <w:tcPr>
            <w:tcW w:w="4508" w:type="dxa"/>
          </w:tcPr>
          <w:p w14:paraId="39C6333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SERVQUAL</w:t>
            </w:r>
          </w:p>
        </w:tc>
        <w:tc>
          <w:tcPr>
            <w:tcW w:w="4508" w:type="dxa"/>
          </w:tcPr>
          <w:p w14:paraId="03A828D7"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Service Quality</w:t>
            </w:r>
          </w:p>
        </w:tc>
      </w:tr>
      <w:tr w:rsidR="007A4FCD" w:rsidRPr="00E02468" w14:paraId="31A11BD6" w14:textId="77777777" w:rsidTr="007A4FCD">
        <w:tc>
          <w:tcPr>
            <w:tcW w:w="4508" w:type="dxa"/>
          </w:tcPr>
          <w:p w14:paraId="0405345D"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UK</w:t>
            </w:r>
          </w:p>
        </w:tc>
        <w:tc>
          <w:tcPr>
            <w:tcW w:w="4508" w:type="dxa"/>
          </w:tcPr>
          <w:p w14:paraId="56B67B3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United Kingdom</w:t>
            </w:r>
          </w:p>
        </w:tc>
      </w:tr>
      <w:tr w:rsidR="007A4FCD" w:rsidRPr="00E02468" w14:paraId="027D3EFE" w14:textId="77777777" w:rsidTr="007A4FCD">
        <w:tc>
          <w:tcPr>
            <w:tcW w:w="4508" w:type="dxa"/>
          </w:tcPr>
          <w:p w14:paraId="0CB59F16"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UKH</w:t>
            </w:r>
          </w:p>
        </w:tc>
        <w:tc>
          <w:tcPr>
            <w:tcW w:w="4508" w:type="dxa"/>
          </w:tcPr>
          <w:p w14:paraId="2EA4C744"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UKHospitality</w:t>
            </w:r>
          </w:p>
        </w:tc>
      </w:tr>
      <w:tr w:rsidR="007A4FCD" w:rsidRPr="00E02468" w14:paraId="724B4948" w14:textId="77777777" w:rsidTr="007A4FCD">
        <w:tc>
          <w:tcPr>
            <w:tcW w:w="4508" w:type="dxa"/>
          </w:tcPr>
          <w:p w14:paraId="19E64E19"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WOM</w:t>
            </w:r>
          </w:p>
        </w:tc>
        <w:tc>
          <w:tcPr>
            <w:tcW w:w="4508" w:type="dxa"/>
          </w:tcPr>
          <w:p w14:paraId="334ED4ED"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Word-of-Mouth</w:t>
            </w:r>
          </w:p>
        </w:tc>
      </w:tr>
    </w:tbl>
    <w:p w14:paraId="3A3A07D0" w14:textId="72D610E4" w:rsidR="007A4FCD" w:rsidRPr="00E02468" w:rsidRDefault="007A4FCD" w:rsidP="007A4FCD">
      <w:pPr>
        <w:rPr>
          <w:rFonts w:ascii="Arial" w:hAnsi="Arial" w:cs="Arial"/>
          <w:sz w:val="24"/>
          <w:szCs w:val="24"/>
          <w:lang w:val="en-GB"/>
        </w:rPr>
      </w:pPr>
    </w:p>
    <w:p w14:paraId="1952E7DA" w14:textId="6B50306D" w:rsidR="00933FB2" w:rsidRPr="00E02468" w:rsidRDefault="00933FB2" w:rsidP="007A4FCD">
      <w:pPr>
        <w:rPr>
          <w:rFonts w:ascii="Arial" w:hAnsi="Arial" w:cs="Arial"/>
          <w:sz w:val="24"/>
          <w:szCs w:val="24"/>
          <w:lang w:val="en-GB"/>
        </w:rPr>
      </w:pPr>
    </w:p>
    <w:p w14:paraId="7E5EC499" w14:textId="360A871F" w:rsidR="007A4FCD" w:rsidRPr="00E02468" w:rsidRDefault="007A4FCD" w:rsidP="007A4FCD">
      <w:pPr>
        <w:rPr>
          <w:rFonts w:ascii="Arial" w:hAnsi="Arial" w:cs="Arial"/>
          <w:sz w:val="24"/>
          <w:szCs w:val="24"/>
          <w:lang w:val="en-GB"/>
        </w:rPr>
      </w:pPr>
    </w:p>
    <w:p w14:paraId="4CEE8A40" w14:textId="704B754B" w:rsidR="007A4FCD" w:rsidRPr="00E02468" w:rsidRDefault="007A4FCD" w:rsidP="007A4FCD">
      <w:pPr>
        <w:rPr>
          <w:rFonts w:ascii="Arial" w:hAnsi="Arial" w:cs="Arial"/>
          <w:sz w:val="24"/>
          <w:szCs w:val="24"/>
          <w:lang w:val="en-GB"/>
        </w:rPr>
      </w:pPr>
    </w:p>
    <w:p w14:paraId="19DFB8C2" w14:textId="3FAF9268" w:rsidR="007A4FCD" w:rsidRPr="00E02468" w:rsidRDefault="007A4FCD" w:rsidP="007A4FCD">
      <w:pPr>
        <w:rPr>
          <w:rFonts w:ascii="Arial" w:hAnsi="Arial" w:cs="Arial"/>
          <w:sz w:val="24"/>
          <w:szCs w:val="24"/>
          <w:lang w:val="en-GB"/>
        </w:rPr>
      </w:pPr>
    </w:p>
    <w:p w14:paraId="4D906DEE" w14:textId="04B600D5" w:rsidR="007A4FCD" w:rsidRPr="00E02468" w:rsidRDefault="007A4FCD" w:rsidP="007A4FCD">
      <w:pPr>
        <w:rPr>
          <w:rFonts w:ascii="Arial" w:hAnsi="Arial" w:cs="Arial"/>
          <w:sz w:val="24"/>
          <w:szCs w:val="24"/>
          <w:lang w:val="en-GB"/>
        </w:rPr>
      </w:pPr>
    </w:p>
    <w:p w14:paraId="554A982F" w14:textId="1EA71C57" w:rsidR="007A4FCD" w:rsidRPr="00E02468" w:rsidRDefault="007A4FCD" w:rsidP="007A4FCD">
      <w:pPr>
        <w:rPr>
          <w:rFonts w:ascii="Arial" w:hAnsi="Arial" w:cs="Arial"/>
          <w:sz w:val="24"/>
          <w:szCs w:val="24"/>
          <w:lang w:val="en-GB"/>
        </w:rPr>
      </w:pPr>
    </w:p>
    <w:p w14:paraId="0BF6EEA1" w14:textId="5C3966BA" w:rsidR="007A4FCD" w:rsidRPr="00E02468" w:rsidRDefault="007A4FCD" w:rsidP="007A4FCD">
      <w:pPr>
        <w:rPr>
          <w:rFonts w:ascii="Arial" w:hAnsi="Arial" w:cs="Arial"/>
          <w:sz w:val="24"/>
          <w:szCs w:val="24"/>
          <w:lang w:val="en-GB"/>
        </w:rPr>
      </w:pPr>
    </w:p>
    <w:p w14:paraId="2126C384" w14:textId="2FF7C99E" w:rsidR="007A4FCD" w:rsidRPr="00E02468" w:rsidRDefault="007A4FCD" w:rsidP="007A4FCD">
      <w:pPr>
        <w:rPr>
          <w:rFonts w:ascii="Arial" w:hAnsi="Arial" w:cs="Arial"/>
          <w:sz w:val="24"/>
          <w:szCs w:val="24"/>
          <w:lang w:val="en-GB"/>
        </w:rPr>
      </w:pPr>
    </w:p>
    <w:p w14:paraId="4FFE8FC2" w14:textId="5E209189" w:rsidR="007A4FCD" w:rsidRPr="00E02468" w:rsidRDefault="007A4FCD" w:rsidP="007A4FCD">
      <w:pPr>
        <w:rPr>
          <w:rFonts w:ascii="Arial" w:hAnsi="Arial" w:cs="Arial"/>
          <w:sz w:val="24"/>
          <w:szCs w:val="24"/>
          <w:lang w:val="en-GB"/>
        </w:rPr>
      </w:pPr>
    </w:p>
    <w:p w14:paraId="227C20BE" w14:textId="1678DADD" w:rsidR="007A4FCD" w:rsidRPr="00E02468" w:rsidRDefault="007A4FCD" w:rsidP="007A4FCD">
      <w:pPr>
        <w:rPr>
          <w:rFonts w:ascii="Arial" w:hAnsi="Arial" w:cs="Arial"/>
          <w:sz w:val="24"/>
          <w:szCs w:val="24"/>
          <w:lang w:val="en-GB"/>
        </w:rPr>
      </w:pPr>
    </w:p>
    <w:p w14:paraId="3570FB98" w14:textId="27641C73" w:rsidR="007A4FCD" w:rsidRPr="00E02468" w:rsidRDefault="007A4FCD" w:rsidP="007A4FCD">
      <w:pPr>
        <w:rPr>
          <w:rFonts w:ascii="Arial" w:hAnsi="Arial" w:cs="Arial"/>
          <w:sz w:val="24"/>
          <w:szCs w:val="24"/>
          <w:lang w:val="en-GB"/>
        </w:rPr>
      </w:pPr>
    </w:p>
    <w:p w14:paraId="46A4251B" w14:textId="7FBCAC63" w:rsidR="007A4FCD" w:rsidRPr="00E02468" w:rsidRDefault="007A4FCD" w:rsidP="007A4FCD">
      <w:pPr>
        <w:rPr>
          <w:rFonts w:ascii="Arial" w:hAnsi="Arial" w:cs="Arial"/>
          <w:sz w:val="24"/>
          <w:szCs w:val="24"/>
          <w:lang w:val="en-GB"/>
        </w:rPr>
      </w:pPr>
    </w:p>
    <w:p w14:paraId="042E46C9" w14:textId="58098D22" w:rsidR="007A4FCD" w:rsidRPr="00E02468" w:rsidRDefault="007A4FCD" w:rsidP="007A4FCD">
      <w:pPr>
        <w:rPr>
          <w:rFonts w:ascii="Arial" w:hAnsi="Arial" w:cs="Arial"/>
          <w:sz w:val="24"/>
          <w:szCs w:val="24"/>
          <w:lang w:val="en-GB"/>
        </w:rPr>
      </w:pPr>
    </w:p>
    <w:p w14:paraId="01784352" w14:textId="3F6A5132" w:rsidR="007A4FCD" w:rsidRPr="00E02468" w:rsidRDefault="007A4FCD" w:rsidP="007A4FCD">
      <w:pPr>
        <w:rPr>
          <w:rFonts w:ascii="Arial" w:hAnsi="Arial" w:cs="Arial"/>
          <w:sz w:val="24"/>
          <w:szCs w:val="24"/>
          <w:lang w:val="en-GB"/>
        </w:rPr>
      </w:pPr>
    </w:p>
    <w:p w14:paraId="13FD872B" w14:textId="1AA1BB9D" w:rsidR="007A4FCD" w:rsidRPr="00E02468" w:rsidRDefault="007A4FCD" w:rsidP="007A4FCD">
      <w:pPr>
        <w:pStyle w:val="Heading1"/>
        <w:jc w:val="center"/>
        <w:rPr>
          <w:rFonts w:cs="Arial"/>
          <w:lang w:val="en-GB"/>
        </w:rPr>
      </w:pPr>
      <w:bookmarkStart w:id="7" w:name="_Toc240932097"/>
      <w:r w:rsidRPr="00E02468">
        <w:rPr>
          <w:rFonts w:cs="Arial"/>
          <w:lang w:val="en-GB"/>
        </w:rPr>
        <w:t>Glossary</w:t>
      </w:r>
      <w:bookmarkEnd w:id="7"/>
    </w:p>
    <w:tbl>
      <w:tblPr>
        <w:tblStyle w:val="TableGrid"/>
        <w:tblW w:w="0" w:type="auto"/>
        <w:tblLook w:val="04A0" w:firstRow="1" w:lastRow="0" w:firstColumn="1" w:lastColumn="0" w:noHBand="0" w:noVBand="1"/>
      </w:tblPr>
      <w:tblGrid>
        <w:gridCol w:w="4508"/>
        <w:gridCol w:w="4508"/>
      </w:tblGrid>
      <w:tr w:rsidR="007A4FCD" w:rsidRPr="00E02468" w14:paraId="73BE97A0" w14:textId="77777777" w:rsidTr="007A4FCD">
        <w:tc>
          <w:tcPr>
            <w:tcW w:w="4508" w:type="dxa"/>
          </w:tcPr>
          <w:p w14:paraId="02F8C655" w14:textId="77777777" w:rsidR="007A4FCD" w:rsidRPr="00E02468" w:rsidRDefault="007A4FCD" w:rsidP="007A4FCD">
            <w:pPr>
              <w:spacing w:line="360" w:lineRule="auto"/>
              <w:jc w:val="both"/>
              <w:rPr>
                <w:rFonts w:ascii="Arial" w:hAnsi="Arial" w:cs="Arial"/>
                <w:b/>
                <w:sz w:val="24"/>
                <w:szCs w:val="24"/>
                <w:lang w:val="en-GB"/>
              </w:rPr>
            </w:pPr>
            <w:r w:rsidRPr="00E02468">
              <w:rPr>
                <w:rFonts w:ascii="Arial" w:hAnsi="Arial" w:cs="Arial"/>
                <w:b/>
                <w:sz w:val="24"/>
                <w:szCs w:val="24"/>
                <w:lang w:val="en-GB"/>
              </w:rPr>
              <w:t>Term</w:t>
            </w:r>
          </w:p>
        </w:tc>
        <w:tc>
          <w:tcPr>
            <w:tcW w:w="4508" w:type="dxa"/>
          </w:tcPr>
          <w:p w14:paraId="1CDD6028" w14:textId="77777777" w:rsidR="007A4FCD" w:rsidRPr="00E02468" w:rsidRDefault="007A4FCD" w:rsidP="007A4FCD">
            <w:pPr>
              <w:spacing w:line="360" w:lineRule="auto"/>
              <w:jc w:val="both"/>
              <w:rPr>
                <w:rFonts w:ascii="Arial" w:hAnsi="Arial" w:cs="Arial"/>
                <w:b/>
                <w:sz w:val="24"/>
                <w:szCs w:val="24"/>
                <w:lang w:val="en-GB"/>
              </w:rPr>
            </w:pPr>
            <w:r w:rsidRPr="00E02468">
              <w:rPr>
                <w:rFonts w:ascii="Arial" w:hAnsi="Arial" w:cs="Arial"/>
                <w:b/>
                <w:sz w:val="24"/>
                <w:szCs w:val="24"/>
                <w:lang w:val="en-GB"/>
              </w:rPr>
              <w:t>Definition</w:t>
            </w:r>
          </w:p>
        </w:tc>
      </w:tr>
      <w:tr w:rsidR="007A4FCD" w:rsidRPr="00E02468" w14:paraId="206A215C" w14:textId="77777777" w:rsidTr="007A4FCD">
        <w:tc>
          <w:tcPr>
            <w:tcW w:w="4508" w:type="dxa"/>
          </w:tcPr>
          <w:p w14:paraId="71CBD5B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Ability–Motivation–Opportunity (AMO) Theory</w:t>
            </w:r>
          </w:p>
        </w:tc>
        <w:tc>
          <w:tcPr>
            <w:tcW w:w="4508" w:type="dxa"/>
          </w:tcPr>
          <w:p w14:paraId="33D2288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framework suggesting that employee performance depends on employees having the ability, motivation and opportunity to contribute effectively.</w:t>
            </w:r>
          </w:p>
        </w:tc>
      </w:tr>
      <w:tr w:rsidR="007A4FCD" w:rsidRPr="00E02468" w14:paraId="281DC282" w14:textId="77777777" w:rsidTr="007A4FCD">
        <w:tc>
          <w:tcPr>
            <w:tcW w:w="4508" w:type="dxa"/>
          </w:tcPr>
          <w:p w14:paraId="228E7721"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Customer Satisfaction</w:t>
            </w:r>
          </w:p>
        </w:tc>
        <w:tc>
          <w:tcPr>
            <w:tcW w:w="4508" w:type="dxa"/>
          </w:tcPr>
          <w:p w14:paraId="4E7CE30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extent to which customers perceive that their experience meets or exceeds their expectations.</w:t>
            </w:r>
          </w:p>
        </w:tc>
      </w:tr>
      <w:tr w:rsidR="007A4FCD" w:rsidRPr="00E02468" w14:paraId="46540B65" w14:textId="77777777" w:rsidTr="007A4FCD">
        <w:tc>
          <w:tcPr>
            <w:tcW w:w="4508" w:type="dxa"/>
          </w:tcPr>
          <w:p w14:paraId="18BBB59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Customer Service Quality</w:t>
            </w:r>
          </w:p>
        </w:tc>
        <w:tc>
          <w:tcPr>
            <w:tcW w:w="4508" w:type="dxa"/>
          </w:tcPr>
          <w:p w14:paraId="74323CD1"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perceived quality of service delivered to customers, including aspects such as reliability, responsiveness, assurance, empathy and tangibles.</w:t>
            </w:r>
          </w:p>
        </w:tc>
      </w:tr>
      <w:tr w:rsidR="007A4FCD" w:rsidRPr="00E02468" w14:paraId="044EB173" w14:textId="77777777" w:rsidTr="007A4FCD">
        <w:tc>
          <w:tcPr>
            <w:tcW w:w="4508" w:type="dxa"/>
          </w:tcPr>
          <w:p w14:paraId="21460A1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Employee Engagement</w:t>
            </w:r>
          </w:p>
        </w:tc>
        <w:tc>
          <w:tcPr>
            <w:tcW w:w="4508" w:type="dxa"/>
          </w:tcPr>
          <w:p w14:paraId="16FD08F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level of employees’ psychological involvement, commitment and enthusiasm towards their work and organisation.</w:t>
            </w:r>
          </w:p>
        </w:tc>
      </w:tr>
      <w:tr w:rsidR="007A4FCD" w:rsidRPr="00E02468" w14:paraId="6BCC65C2" w14:textId="77777777" w:rsidTr="007A4FCD">
        <w:tc>
          <w:tcPr>
            <w:tcW w:w="4508" w:type="dxa"/>
          </w:tcPr>
          <w:p w14:paraId="59FA2C9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Employee Performance</w:t>
            </w:r>
          </w:p>
        </w:tc>
        <w:tc>
          <w:tcPr>
            <w:tcW w:w="4508" w:type="dxa"/>
          </w:tcPr>
          <w:p w14:paraId="6D8D9650"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extent to which employees effectively perform their assigned responsibilities and contribute to organisational and service objectives.</w:t>
            </w:r>
          </w:p>
        </w:tc>
      </w:tr>
      <w:tr w:rsidR="007A4FCD" w:rsidRPr="00E02468" w14:paraId="47F9B99B" w14:textId="77777777" w:rsidTr="007A4FCD">
        <w:tc>
          <w:tcPr>
            <w:tcW w:w="4508" w:type="dxa"/>
          </w:tcPr>
          <w:p w14:paraId="1B68B67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Employee Retention</w:t>
            </w:r>
          </w:p>
        </w:tc>
        <w:tc>
          <w:tcPr>
            <w:tcW w:w="4508" w:type="dxa"/>
          </w:tcPr>
          <w:p w14:paraId="1B2DD2B9"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An organisation’s ability to keep employees and reduce unwanted employee turnover.</w:t>
            </w:r>
          </w:p>
        </w:tc>
      </w:tr>
      <w:tr w:rsidR="007A4FCD" w:rsidRPr="00E02468" w14:paraId="1BA3BCEE" w14:textId="77777777" w:rsidTr="007A4FCD">
        <w:tc>
          <w:tcPr>
            <w:tcW w:w="4508" w:type="dxa"/>
          </w:tcPr>
          <w:p w14:paraId="52524434"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Capital</w:t>
            </w:r>
          </w:p>
        </w:tc>
        <w:tc>
          <w:tcPr>
            <w:tcW w:w="4508" w:type="dxa"/>
          </w:tcPr>
          <w:p w14:paraId="390F510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knowledge, skills, abilities, experience and other capabilities possessed by employees that can contribute to organisational value.</w:t>
            </w:r>
          </w:p>
        </w:tc>
      </w:tr>
      <w:tr w:rsidR="007A4FCD" w:rsidRPr="00E02468" w14:paraId="34B8556F" w14:textId="77777777" w:rsidTr="007A4FCD">
        <w:tc>
          <w:tcPr>
            <w:tcW w:w="4508" w:type="dxa"/>
          </w:tcPr>
          <w:p w14:paraId="7393ABF5"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Capital Management (HCM)</w:t>
            </w:r>
          </w:p>
        </w:tc>
        <w:tc>
          <w:tcPr>
            <w:tcW w:w="4508" w:type="dxa"/>
          </w:tcPr>
          <w:p w14:paraId="0338CA5F"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strategic approach to managing and developing employees' knowledge, skills, capabilities and performance to support organisational objectives.</w:t>
            </w:r>
          </w:p>
        </w:tc>
      </w:tr>
      <w:tr w:rsidR="007A4FCD" w:rsidRPr="00E02468" w14:paraId="68845F2A" w14:textId="77777777" w:rsidTr="007A4FCD">
        <w:tc>
          <w:tcPr>
            <w:tcW w:w="4508" w:type="dxa"/>
          </w:tcPr>
          <w:p w14:paraId="1EB262A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Capital Theory</w:t>
            </w:r>
          </w:p>
        </w:tc>
        <w:tc>
          <w:tcPr>
            <w:tcW w:w="4508" w:type="dxa"/>
          </w:tcPr>
          <w:p w14:paraId="3C7ED37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theoretical perspective that views investment in employee education, skills, knowledge and development as a means of improving productivity and economic value.</w:t>
            </w:r>
          </w:p>
        </w:tc>
      </w:tr>
      <w:tr w:rsidR="007A4FCD" w:rsidRPr="00E02468" w14:paraId="597E6757" w14:textId="77777777" w:rsidTr="007A4FCD">
        <w:tc>
          <w:tcPr>
            <w:tcW w:w="4508" w:type="dxa"/>
          </w:tcPr>
          <w:p w14:paraId="3943B8A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Human Resource Management (HRM)</w:t>
            </w:r>
          </w:p>
        </w:tc>
        <w:tc>
          <w:tcPr>
            <w:tcW w:w="4508" w:type="dxa"/>
          </w:tcPr>
          <w:p w14:paraId="760FDC2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organisational management of people through activities such as recruitment, training, performance management, rewards and employee relations.</w:t>
            </w:r>
          </w:p>
        </w:tc>
      </w:tr>
      <w:tr w:rsidR="007A4FCD" w:rsidRPr="00E02468" w14:paraId="07438642" w14:textId="77777777" w:rsidTr="007A4FCD">
        <w:tc>
          <w:tcPr>
            <w:tcW w:w="4508" w:type="dxa"/>
          </w:tcPr>
          <w:p w14:paraId="614F490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Inductive Approach</w:t>
            </w:r>
          </w:p>
        </w:tc>
        <w:tc>
          <w:tcPr>
            <w:tcW w:w="4508" w:type="dxa"/>
          </w:tcPr>
          <w:p w14:paraId="39B24666"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research approach in which patterns, themes or concepts are developed from observations or evidence rather than being tested solely against predetermined theories.</w:t>
            </w:r>
          </w:p>
        </w:tc>
      </w:tr>
      <w:tr w:rsidR="007A4FCD" w:rsidRPr="00E02468" w14:paraId="181C7B48" w14:textId="77777777" w:rsidTr="007A4FCD">
        <w:tc>
          <w:tcPr>
            <w:tcW w:w="4508" w:type="dxa"/>
          </w:tcPr>
          <w:p w14:paraId="4482453A"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Interpretivism</w:t>
            </w:r>
          </w:p>
        </w:tc>
        <w:tc>
          <w:tcPr>
            <w:tcW w:w="4508" w:type="dxa"/>
          </w:tcPr>
          <w:p w14:paraId="54A6A53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research philosophy that emphasises understanding meanings, experiences and social phenomena within their particular contexts.</w:t>
            </w:r>
          </w:p>
        </w:tc>
      </w:tr>
      <w:tr w:rsidR="007A4FCD" w:rsidRPr="00E02468" w14:paraId="449CA8AD" w14:textId="77777777" w:rsidTr="007A4FCD">
        <w:tc>
          <w:tcPr>
            <w:tcW w:w="4508" w:type="dxa"/>
          </w:tcPr>
          <w:p w14:paraId="17B2464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Person–Job Fit</w:t>
            </w:r>
          </w:p>
        </w:tc>
        <w:tc>
          <w:tcPr>
            <w:tcW w:w="4508" w:type="dxa"/>
          </w:tcPr>
          <w:p w14:paraId="2D3E284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degree to which an employee’s skills, abilities, characteristics and preferences match the requirements of a particular job.</w:t>
            </w:r>
          </w:p>
        </w:tc>
      </w:tr>
      <w:tr w:rsidR="007A4FCD" w:rsidRPr="00E02468" w14:paraId="56CFA0FC" w14:textId="77777777" w:rsidTr="007A4FCD">
        <w:tc>
          <w:tcPr>
            <w:tcW w:w="4508" w:type="dxa"/>
          </w:tcPr>
          <w:p w14:paraId="48FFD01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Person–Organisation Fit</w:t>
            </w:r>
          </w:p>
        </w:tc>
        <w:tc>
          <w:tcPr>
            <w:tcW w:w="4508" w:type="dxa"/>
          </w:tcPr>
          <w:p w14:paraId="18DFA52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degree of compatibility between an employee and the values, culture and characteristics of an organisation.</w:t>
            </w:r>
          </w:p>
        </w:tc>
      </w:tr>
      <w:tr w:rsidR="007A4FCD" w:rsidRPr="00E02468" w14:paraId="592E8550" w14:textId="77777777" w:rsidTr="007A4FCD">
        <w:tc>
          <w:tcPr>
            <w:tcW w:w="4508" w:type="dxa"/>
          </w:tcPr>
          <w:p w14:paraId="765FB8E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Qualitative Research</w:t>
            </w:r>
          </w:p>
        </w:tc>
        <w:tc>
          <w:tcPr>
            <w:tcW w:w="4508" w:type="dxa"/>
          </w:tcPr>
          <w:p w14:paraId="5144D865"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Research concerned primarily with understanding meanings, experiences, behaviours, relationships and contexts rather than numerical measurement.</w:t>
            </w:r>
          </w:p>
        </w:tc>
      </w:tr>
      <w:tr w:rsidR="007A4FCD" w:rsidRPr="00E02468" w14:paraId="2DFDEFAD" w14:textId="77777777" w:rsidTr="007A4FCD">
        <w:tc>
          <w:tcPr>
            <w:tcW w:w="4508" w:type="dxa"/>
          </w:tcPr>
          <w:p w14:paraId="68BD3A1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Resource-Based View (RBV)</w:t>
            </w:r>
          </w:p>
        </w:tc>
        <w:tc>
          <w:tcPr>
            <w:tcW w:w="4508" w:type="dxa"/>
          </w:tcPr>
          <w:p w14:paraId="3E6B1B2A"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strategic management perspective which argues that valuable, rare, difficult-to-imitate and non-substitutable organisational resources can provide sustainable competitive advantage.</w:t>
            </w:r>
          </w:p>
        </w:tc>
      </w:tr>
      <w:tr w:rsidR="007A4FCD" w:rsidRPr="00E02468" w14:paraId="3CDB0C21" w14:textId="77777777" w:rsidTr="007A4FCD">
        <w:tc>
          <w:tcPr>
            <w:tcW w:w="4508" w:type="dxa"/>
          </w:tcPr>
          <w:p w14:paraId="01E09C6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Reward and Recognition</w:t>
            </w:r>
          </w:p>
        </w:tc>
        <w:tc>
          <w:tcPr>
            <w:tcW w:w="4508" w:type="dxa"/>
          </w:tcPr>
          <w:p w14:paraId="20DC41F5"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Financial and non-financial mechanisms used to acknowledge, motivate and reinforce desirable employee contributions and performance.</w:t>
            </w:r>
          </w:p>
        </w:tc>
      </w:tr>
      <w:tr w:rsidR="007A4FCD" w:rsidRPr="00E02468" w14:paraId="1D99E203" w14:textId="77777777" w:rsidTr="007A4FCD">
        <w:tc>
          <w:tcPr>
            <w:tcW w:w="4508" w:type="dxa"/>
          </w:tcPr>
          <w:p w14:paraId="3A6D1A57"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Secondary Data</w:t>
            </w:r>
          </w:p>
        </w:tc>
        <w:tc>
          <w:tcPr>
            <w:tcW w:w="4508" w:type="dxa"/>
          </w:tcPr>
          <w:p w14:paraId="069858F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Information originally collected or produced by other researchers, organisations or institutions and subsequently used for a research purpose.</w:t>
            </w:r>
          </w:p>
        </w:tc>
      </w:tr>
      <w:tr w:rsidR="007A4FCD" w:rsidRPr="00E02468" w14:paraId="1BDA791D" w14:textId="77777777" w:rsidTr="007A4FCD">
        <w:tc>
          <w:tcPr>
            <w:tcW w:w="4508" w:type="dxa"/>
          </w:tcPr>
          <w:p w14:paraId="33803E3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Service Encounter</w:t>
            </w:r>
          </w:p>
        </w:tc>
        <w:tc>
          <w:tcPr>
            <w:tcW w:w="4508" w:type="dxa"/>
          </w:tcPr>
          <w:p w14:paraId="59E0B05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An interaction between a customer and an organisation or its employees during the delivery of a service.</w:t>
            </w:r>
          </w:p>
        </w:tc>
      </w:tr>
      <w:tr w:rsidR="007A4FCD" w:rsidRPr="00E02468" w14:paraId="29AE1D25" w14:textId="77777777" w:rsidTr="007A4FCD">
        <w:tc>
          <w:tcPr>
            <w:tcW w:w="4508" w:type="dxa"/>
          </w:tcPr>
          <w:p w14:paraId="27651026"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SERVQUAL</w:t>
            </w:r>
          </w:p>
        </w:tc>
        <w:tc>
          <w:tcPr>
            <w:tcW w:w="4508" w:type="dxa"/>
          </w:tcPr>
          <w:p w14:paraId="6B2947A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service-quality framework developed by Parasuraman, Zeithaml and Berry based on five dimensions: reliability, responsiveness, assurance, empathy and tangibles.</w:t>
            </w:r>
          </w:p>
        </w:tc>
      </w:tr>
      <w:tr w:rsidR="007A4FCD" w:rsidRPr="00E02468" w14:paraId="049D4DC7" w14:textId="77777777" w:rsidTr="007A4FCD">
        <w:tc>
          <w:tcPr>
            <w:tcW w:w="4508" w:type="dxa"/>
          </w:tcPr>
          <w:p w14:paraId="17A0E1B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Strategic Human Capital Management</w:t>
            </w:r>
          </w:p>
        </w:tc>
        <w:tc>
          <w:tcPr>
            <w:tcW w:w="4508" w:type="dxa"/>
          </w:tcPr>
          <w:p w14:paraId="11FF278F"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alignment of human-capital practices with organisational strategy to develop employee capabilities and support long-term organisational performance.</w:t>
            </w:r>
          </w:p>
        </w:tc>
      </w:tr>
      <w:tr w:rsidR="007A4FCD" w:rsidRPr="00E02468" w14:paraId="26298561" w14:textId="77777777" w:rsidTr="007A4FCD">
        <w:tc>
          <w:tcPr>
            <w:tcW w:w="4508" w:type="dxa"/>
          </w:tcPr>
          <w:p w14:paraId="21BD80F2"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Thematic Analysis</w:t>
            </w:r>
          </w:p>
        </w:tc>
        <w:tc>
          <w:tcPr>
            <w:tcW w:w="4508" w:type="dxa"/>
          </w:tcPr>
          <w:p w14:paraId="7E08797C"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A qualitative analytical method used to identify, organise, examine and report recurring patterns or themes within a body of evidence.</w:t>
            </w:r>
          </w:p>
        </w:tc>
      </w:tr>
      <w:tr w:rsidR="007A4FCD" w:rsidRPr="00E02468" w14:paraId="01EB6575" w14:textId="77777777" w:rsidTr="007A4FCD">
        <w:tc>
          <w:tcPr>
            <w:tcW w:w="4508" w:type="dxa"/>
          </w:tcPr>
          <w:p w14:paraId="21EEB37B"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Triangulation</w:t>
            </w:r>
          </w:p>
        </w:tc>
        <w:tc>
          <w:tcPr>
            <w:tcW w:w="4508" w:type="dxa"/>
          </w:tcPr>
          <w:p w14:paraId="5D6835F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use of multiple sources, methods or perspectives to strengthen the credibility and robustness of research findings.</w:t>
            </w:r>
          </w:p>
        </w:tc>
      </w:tr>
      <w:tr w:rsidR="007A4FCD" w:rsidRPr="00E02468" w14:paraId="49FD5B45" w14:textId="77777777" w:rsidTr="007A4FCD">
        <w:tc>
          <w:tcPr>
            <w:tcW w:w="4508" w:type="dxa"/>
          </w:tcPr>
          <w:p w14:paraId="3E9FDE5E"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Turnover</w:t>
            </w:r>
          </w:p>
        </w:tc>
        <w:tc>
          <w:tcPr>
            <w:tcW w:w="4508" w:type="dxa"/>
          </w:tcPr>
          <w:p w14:paraId="1622A414"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rate or process through which employees leave an organisation and are replaced by new employees.</w:t>
            </w:r>
          </w:p>
        </w:tc>
      </w:tr>
      <w:tr w:rsidR="007A4FCD" w:rsidRPr="00E02468" w14:paraId="65ABE4DE" w14:textId="77777777" w:rsidTr="007A4FCD">
        <w:tc>
          <w:tcPr>
            <w:tcW w:w="4508" w:type="dxa"/>
          </w:tcPr>
          <w:p w14:paraId="17A3554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UK Restaurant Industry</w:t>
            </w:r>
          </w:p>
        </w:tc>
        <w:tc>
          <w:tcPr>
            <w:tcW w:w="4508" w:type="dxa"/>
          </w:tcPr>
          <w:p w14:paraId="700AB418"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The sector comprising businesses in the United Kingdom primarily involved in preparing and serving food and beverages to customers.</w:t>
            </w:r>
          </w:p>
        </w:tc>
      </w:tr>
      <w:tr w:rsidR="007A4FCD" w:rsidRPr="00E02468" w14:paraId="7081CEE6" w14:textId="77777777" w:rsidTr="007A4FCD">
        <w:tc>
          <w:tcPr>
            <w:tcW w:w="4508" w:type="dxa"/>
          </w:tcPr>
          <w:p w14:paraId="0E78051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Word-of-Mouth (WOM)</w:t>
            </w:r>
          </w:p>
        </w:tc>
        <w:tc>
          <w:tcPr>
            <w:tcW w:w="4508" w:type="dxa"/>
          </w:tcPr>
          <w:p w14:paraId="2D675703" w14:textId="77777777" w:rsidR="007A4FCD" w:rsidRPr="00E02468" w:rsidRDefault="007A4FCD" w:rsidP="007A4FCD">
            <w:pPr>
              <w:spacing w:line="360" w:lineRule="auto"/>
              <w:jc w:val="both"/>
              <w:rPr>
                <w:rFonts w:ascii="Arial" w:hAnsi="Arial" w:cs="Arial"/>
                <w:sz w:val="24"/>
                <w:szCs w:val="24"/>
                <w:lang w:val="en-GB"/>
              </w:rPr>
            </w:pPr>
            <w:r w:rsidRPr="00E02468">
              <w:rPr>
                <w:rFonts w:ascii="Arial" w:hAnsi="Arial" w:cs="Arial"/>
                <w:sz w:val="24"/>
                <w:szCs w:val="24"/>
                <w:lang w:val="en-GB"/>
              </w:rPr>
              <w:t>Communication in which customers share their experiences, opinions or recommendations about a product, service or organisation with others</w:t>
            </w:r>
          </w:p>
        </w:tc>
      </w:tr>
    </w:tbl>
    <w:p w14:paraId="6CB9BEDB" w14:textId="7F4486EA" w:rsidR="007A4FCD" w:rsidRPr="00E02468" w:rsidRDefault="007A4FCD" w:rsidP="007A4FCD">
      <w:pPr>
        <w:rPr>
          <w:rFonts w:ascii="Arial" w:hAnsi="Arial" w:cs="Arial"/>
          <w:sz w:val="24"/>
          <w:szCs w:val="24"/>
          <w:lang w:val="en-GB"/>
        </w:rPr>
      </w:pPr>
      <w:r w:rsidRPr="00E02468">
        <w:rPr>
          <w:rFonts w:ascii="Arial" w:hAnsi="Arial" w:cs="Arial"/>
          <w:sz w:val="24"/>
          <w:szCs w:val="24"/>
          <w:lang w:val="en-GB"/>
        </w:rPr>
        <w:t>.</w:t>
      </w:r>
    </w:p>
    <w:p w14:paraId="25B9ABB0" w14:textId="49C24411" w:rsidR="007A4FCD" w:rsidRPr="00E02468" w:rsidRDefault="007A4FCD" w:rsidP="007A4FCD">
      <w:pPr>
        <w:rPr>
          <w:rFonts w:ascii="Arial" w:hAnsi="Arial" w:cs="Arial"/>
          <w:sz w:val="24"/>
          <w:szCs w:val="24"/>
          <w:lang w:val="en-GB"/>
        </w:rPr>
      </w:pPr>
    </w:p>
    <w:p w14:paraId="3CBA2CE6" w14:textId="77777777" w:rsidR="007A4FCD" w:rsidRPr="00E02468" w:rsidRDefault="007A4FCD" w:rsidP="007A4FCD">
      <w:pPr>
        <w:rPr>
          <w:rFonts w:ascii="Arial" w:hAnsi="Arial" w:cs="Arial"/>
          <w:sz w:val="24"/>
          <w:szCs w:val="24"/>
          <w:lang w:val="en-GB"/>
        </w:rPr>
        <w:sectPr w:rsidR="007A4FCD" w:rsidRPr="00E02468" w:rsidSect="009049B6">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6E499763" w14:textId="77777777" w:rsidR="008B5DD9" w:rsidRPr="00E02468" w:rsidRDefault="008B5DD9" w:rsidP="00F27943">
      <w:pPr>
        <w:pStyle w:val="Heading1"/>
        <w:spacing w:line="360" w:lineRule="auto"/>
        <w:jc w:val="center"/>
        <w:rPr>
          <w:rFonts w:eastAsia="Times New Roman" w:cs="Arial"/>
          <w:lang w:val="en-GB" w:eastAsia="en-GB"/>
        </w:rPr>
      </w:pPr>
      <w:bookmarkStart w:id="8" w:name="_Toc240932098"/>
      <w:r w:rsidRPr="00E02468">
        <w:rPr>
          <w:rFonts w:eastAsia="Times New Roman" w:cs="Arial"/>
          <w:lang w:val="en-GB" w:eastAsia="en-GB"/>
        </w:rPr>
        <w:t>Chapter 1: Introduction</w:t>
      </w:r>
      <w:bookmarkEnd w:id="8"/>
    </w:p>
    <w:p w14:paraId="1841B345" w14:textId="77777777" w:rsidR="008B5DD9" w:rsidRPr="00E02468" w:rsidRDefault="008B5DD9" w:rsidP="00F27943">
      <w:pPr>
        <w:pStyle w:val="Heading2"/>
        <w:spacing w:line="360" w:lineRule="auto"/>
        <w:rPr>
          <w:rFonts w:eastAsia="Times New Roman" w:cs="Arial"/>
          <w:lang w:val="en-GB" w:eastAsia="en-GB"/>
        </w:rPr>
      </w:pPr>
      <w:bookmarkStart w:id="9" w:name="_Toc240932099"/>
      <w:r w:rsidRPr="00E02468">
        <w:rPr>
          <w:rFonts w:eastAsia="Times New Roman" w:cs="Arial"/>
          <w:lang w:val="en-GB" w:eastAsia="en-GB"/>
        </w:rPr>
        <w:t>1.1 Background of the UK Restaurant Industry</w:t>
      </w:r>
      <w:bookmarkEnd w:id="9"/>
    </w:p>
    <w:p w14:paraId="46AC7A34" w14:textId="77777777" w:rsidR="005D29D7" w:rsidRPr="00E02468" w:rsidRDefault="005D29D7" w:rsidP="00F27943">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UK restaurant sector is a major part of the hospitality industry and plays a key role in the UK's economic growth, jobs, tourism and consumer spending. The hospitality industry supports and provides employment to millions of people in the country, through accommodation, food services and leisure businesses, and is regarded as one of the largest service sectors in the country (ONS, 2024). Restaurants, from independent businesses to multinational chains, have a special significance as they offer both food and customer service, and are closely related to the performance of employees, which is crucial for organisational success.</w:t>
      </w:r>
    </w:p>
    <w:p w14:paraId="61D8F0B2" w14:textId="77777777" w:rsidR="005D29D7"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value creation in restaurants depends on the frontline employees, and is not necessarily technology and physical assets based, as it is in manufacturing industries. Staff conduct themselves to welcome customers, take orders, address the issues, uphold standards of service and ensure dining experiences are positive. Thus, the employees' competence, motivation and behaviour are directly related to the perceived service quality for the customer (Zeithaml, Bitner and Gremler, 2020).</w:t>
      </w:r>
    </w:p>
    <w:p w14:paraId="5A96D00D" w14:textId="40857523" w:rsidR="005D29D7"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restaurant sector has faced numerous labour issues in the UK over the past few years. Labour shortages, increasing running costs, inflation and fluctuating staff expectations have made it challenging for restaurant managers to keep the quality of their service at the expected level (UKHospitality, 2024). These challenges escalated after the COVID-19 pandemic had a major impact on employment trends and has led to increased staff turnover across the hos</w:t>
      </w:r>
      <w:r w:rsidR="00E02468">
        <w:rPr>
          <w:rFonts w:ascii="Arial" w:hAnsi="Arial" w:cs="Arial"/>
          <w:sz w:val="24"/>
          <w:szCs w:val="24"/>
          <w:lang w:val="en-GB" w:eastAsia="en-GB"/>
        </w:rPr>
        <w:t>pitality industry (Baum, 2020).</w:t>
      </w:r>
    </w:p>
    <w:p w14:paraId="66B8786F" w14:textId="1BB904A7" w:rsidR="005D29D7"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Frequent turnover among employees is especially troubling since restaurants spend a lot of money hiring and training employees and they often find other work opportunities. A high turnover can lead to inconsistent service, higher recruitment expenses and restrict organisational knowledge transfer (CIPD, 2024). Meanwhile, customer expectations are continually changing. Today's customers are demanding more than just quality food; they also require a memorable service experience, speedy responses, professional conduct from employees, and personalised service. (Wood, 2021).</w:t>
      </w:r>
    </w:p>
    <w:p w14:paraId="4DF121E0" w14:textId="6205640F" w:rsidR="005D29D7"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With these changes, Human Capital Management (HCM) has gained more significance in the strategic plan. As a result of this, HCM considers workforce as an important asset of the organisation where the knowledge, skills and capacities of the employees are considered as a resource that can be utilized to achieve long-term performance of the organisation instead of as a labour cost (Armstrong and Taylor, 2023). </w:t>
      </w:r>
    </w:p>
    <w:p w14:paraId="36AD6944" w14:textId="77777777" w:rsidR="005D29D7" w:rsidRPr="00E02468" w:rsidRDefault="005D29D7" w:rsidP="004C5FFA">
      <w:pPr>
        <w:pStyle w:val="Heading2"/>
        <w:spacing w:line="360" w:lineRule="auto"/>
        <w:jc w:val="both"/>
        <w:rPr>
          <w:rFonts w:cs="Arial"/>
          <w:lang w:val="en-GB" w:eastAsia="en-GB"/>
        </w:rPr>
      </w:pPr>
      <w:bookmarkStart w:id="10" w:name="_Toc240932100"/>
      <w:r w:rsidRPr="00E02468">
        <w:rPr>
          <w:rFonts w:cs="Arial"/>
          <w:lang w:val="en-GB" w:eastAsia="en-GB"/>
        </w:rPr>
        <w:t>1.2 Research Problem</w:t>
      </w:r>
      <w:bookmarkEnd w:id="10"/>
    </w:p>
    <w:p w14:paraId="35AC15D8" w14:textId="77777777" w:rsidR="005D29D7" w:rsidRPr="00E02468" w:rsidRDefault="005D29D7"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Although HCM has increasingly become recognised as a strategic capability of the organisation, there is still a significant number of HR issues in the UK restaurant sector that have a negative effect on quality of service to a customer. Labour shortages, service delivery failures, employee turnover and lack of opportunity for employee development are common issues faced across the sector (UKHospitality, 2024). As the restaurant business is highly reliant on the relationship between the employees and the customers, flawed employee management systems can directly impact customer satisfaction and organisational productivity.</w:t>
      </w:r>
    </w:p>
    <w:p w14:paraId="25CEC587" w14:textId="77777777" w:rsidR="005D29D7"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Previous studies have shown that the HR practices positively correlate with organisational performance in hospitality organisations (Jiang et al., 2012; Boon, Den Hartog and Lepak, 2019). But many of the studies are not specifically related to restaurants. Restaurants have specific environments, which are different and include fast paced service, high levels of customer interaction, and a high dependence on frontline staff. Therefore, the results of this study may not necessarily be generalizable to other hospitality organisations, and in particular to restaurants in the UK.</w:t>
      </w:r>
    </w:p>
    <w:p w14:paraId="6AEABC0E" w14:textId="35B3F472" w:rsidR="008B5DD9" w:rsidRPr="00E02468" w:rsidRDefault="005D29D7"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Moreover, in past studies the focus has often been on one specific HR practice, such as employee engagement or training, instead of looking at the relationship between multiple HCM practices and the attainment of service quality. This results in a lack of awareness on how recruitment, training, engagement, performance management, rewards and retention are all tied together and how this can improve customer experiences. </w:t>
      </w:r>
    </w:p>
    <w:p w14:paraId="48B3475E" w14:textId="77777777" w:rsidR="008575B8" w:rsidRPr="00E02468" w:rsidRDefault="008575B8" w:rsidP="004C5FFA">
      <w:pPr>
        <w:pStyle w:val="Heading2"/>
        <w:spacing w:line="360" w:lineRule="auto"/>
        <w:rPr>
          <w:rFonts w:cs="Arial"/>
          <w:lang w:val="en-GB" w:eastAsia="en-GB"/>
        </w:rPr>
      </w:pPr>
      <w:bookmarkStart w:id="11" w:name="_Toc235095748"/>
      <w:bookmarkStart w:id="12" w:name="_Toc240932101"/>
      <w:r w:rsidRPr="00E02468">
        <w:rPr>
          <w:rFonts w:cs="Arial"/>
          <w:lang w:val="en-GB" w:eastAsia="en-GB"/>
        </w:rPr>
        <w:t>1.3 Research Aim</w:t>
      </w:r>
      <w:bookmarkEnd w:id="11"/>
      <w:bookmarkEnd w:id="12"/>
    </w:p>
    <w:p w14:paraId="20C5C3FB" w14:textId="77777777" w:rsidR="008575B8" w:rsidRPr="00E02468" w:rsidRDefault="008575B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To examine the influence of Human Capital Management practices on customer service quality in the UK restaurant industry through a qualitative analysis of secondary data.</w:t>
      </w:r>
    </w:p>
    <w:p w14:paraId="5DFC3E10" w14:textId="77777777" w:rsidR="008575B8" w:rsidRPr="00E02468" w:rsidRDefault="008575B8" w:rsidP="004C5FFA">
      <w:pPr>
        <w:pStyle w:val="Heading2"/>
        <w:spacing w:line="360" w:lineRule="auto"/>
        <w:rPr>
          <w:rFonts w:cs="Arial"/>
          <w:lang w:val="en-GB" w:eastAsia="en-GB"/>
        </w:rPr>
      </w:pPr>
      <w:bookmarkStart w:id="13" w:name="_Toc235095749"/>
      <w:bookmarkStart w:id="14" w:name="_Toc240932102"/>
      <w:r w:rsidRPr="00E02468">
        <w:rPr>
          <w:rFonts w:cs="Arial"/>
          <w:lang w:val="en-GB" w:eastAsia="en-GB"/>
        </w:rPr>
        <w:t>1.4 Research Objectives</w:t>
      </w:r>
      <w:bookmarkEnd w:id="13"/>
      <w:bookmarkEnd w:id="14"/>
    </w:p>
    <w:p w14:paraId="30E5C966" w14:textId="77777777" w:rsidR="008575B8" w:rsidRPr="00E02468" w:rsidRDefault="008575B8" w:rsidP="00AE3DA0">
      <w:pPr>
        <w:pStyle w:val="ListParagraph"/>
        <w:numPr>
          <w:ilvl w:val="0"/>
          <w:numId w:val="1"/>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To examine the concept and strategic importance of Human Capital Management in UK restaurants.</w:t>
      </w:r>
    </w:p>
    <w:p w14:paraId="7A6C22DF" w14:textId="77777777" w:rsidR="008575B8" w:rsidRPr="00E02468" w:rsidRDefault="008575B8" w:rsidP="00AE3DA0">
      <w:pPr>
        <w:pStyle w:val="ListParagraph"/>
        <w:numPr>
          <w:ilvl w:val="0"/>
          <w:numId w:val="1"/>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To identify Key Human Capital Management practices influencing customer service quality.</w:t>
      </w:r>
    </w:p>
    <w:p w14:paraId="2182B688" w14:textId="77777777" w:rsidR="008575B8" w:rsidRPr="00E02468" w:rsidRDefault="008575B8" w:rsidP="00AE3DA0">
      <w:pPr>
        <w:pStyle w:val="ListParagraph"/>
        <w:numPr>
          <w:ilvl w:val="0"/>
          <w:numId w:val="1"/>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To evaluate how recruitment, training, employee engagement, performance management, rewards, and employee retention affect customer service quality.</w:t>
      </w:r>
    </w:p>
    <w:p w14:paraId="2EA13A14" w14:textId="77777777" w:rsidR="008575B8" w:rsidRPr="00E02468" w:rsidRDefault="008575B8" w:rsidP="00AE3DA0">
      <w:pPr>
        <w:pStyle w:val="ListParagraph"/>
        <w:numPr>
          <w:ilvl w:val="0"/>
          <w:numId w:val="1"/>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To recommend strategies for improving customer service quality through effective Human Capital Management practices.</w:t>
      </w:r>
    </w:p>
    <w:p w14:paraId="7A3DCD5B" w14:textId="77777777" w:rsidR="008575B8" w:rsidRPr="00E02468" w:rsidRDefault="008575B8" w:rsidP="004C5FFA">
      <w:pPr>
        <w:pStyle w:val="Heading2"/>
        <w:spacing w:line="360" w:lineRule="auto"/>
        <w:rPr>
          <w:rFonts w:cs="Arial"/>
          <w:lang w:val="en-GB" w:eastAsia="en-GB"/>
        </w:rPr>
      </w:pPr>
      <w:bookmarkStart w:id="15" w:name="_Toc235095750"/>
      <w:bookmarkStart w:id="16" w:name="_Toc240932103"/>
      <w:r w:rsidRPr="00E02468">
        <w:rPr>
          <w:rFonts w:cs="Arial"/>
          <w:lang w:val="en-GB" w:eastAsia="en-GB"/>
        </w:rPr>
        <w:t>1.5 Research Questions</w:t>
      </w:r>
      <w:bookmarkEnd w:id="15"/>
      <w:bookmarkEnd w:id="16"/>
    </w:p>
    <w:p w14:paraId="2FFC0FD3" w14:textId="77777777" w:rsidR="008575B8" w:rsidRPr="00E02468" w:rsidRDefault="008575B8" w:rsidP="00AE3DA0">
      <w:pPr>
        <w:pStyle w:val="ListParagraph"/>
        <w:numPr>
          <w:ilvl w:val="0"/>
          <w:numId w:val="2"/>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What role does Human Capital Management play in the UK restaurant industry?</w:t>
      </w:r>
    </w:p>
    <w:p w14:paraId="73F7DD8D" w14:textId="77777777" w:rsidR="008575B8" w:rsidRPr="00E02468" w:rsidRDefault="008575B8" w:rsidP="00AE3DA0">
      <w:pPr>
        <w:pStyle w:val="ListParagraph"/>
        <w:numPr>
          <w:ilvl w:val="0"/>
          <w:numId w:val="2"/>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Which Human Capital Management practices most strongly influence customer service quality?</w:t>
      </w:r>
    </w:p>
    <w:p w14:paraId="06FB6A81" w14:textId="77777777" w:rsidR="008575B8" w:rsidRPr="00E02468" w:rsidRDefault="008575B8" w:rsidP="00AE3DA0">
      <w:pPr>
        <w:pStyle w:val="ListParagraph"/>
        <w:numPr>
          <w:ilvl w:val="0"/>
          <w:numId w:val="2"/>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How do Human Capital Management practices improve employee performance and customer satisfaction?</w:t>
      </w:r>
    </w:p>
    <w:p w14:paraId="7FD6DEA8" w14:textId="41883B6D" w:rsidR="002201A1" w:rsidRPr="00E02468" w:rsidRDefault="008575B8" w:rsidP="00AE3DA0">
      <w:pPr>
        <w:pStyle w:val="ListParagraph"/>
        <w:numPr>
          <w:ilvl w:val="0"/>
          <w:numId w:val="2"/>
        </w:num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What recommendations can improve customer service quality through effective Human Capital Management?</w:t>
      </w:r>
    </w:p>
    <w:p w14:paraId="77E4A53A" w14:textId="1CFBB837" w:rsidR="008B5DD9" w:rsidRPr="00E02468" w:rsidRDefault="008B5DD9" w:rsidP="004C5FFA">
      <w:pPr>
        <w:pStyle w:val="Heading2"/>
        <w:spacing w:line="360" w:lineRule="auto"/>
        <w:rPr>
          <w:rFonts w:eastAsia="Times New Roman" w:cs="Arial"/>
          <w:lang w:val="en-GB" w:eastAsia="en-GB"/>
        </w:rPr>
      </w:pPr>
      <w:bookmarkStart w:id="17" w:name="_Toc240932104"/>
      <w:r w:rsidRPr="00E02468">
        <w:rPr>
          <w:rFonts w:eastAsia="Times New Roman" w:cs="Arial"/>
          <w:lang w:val="en-GB" w:eastAsia="en-GB"/>
        </w:rPr>
        <w:t>1.6 Significance of the Study</w:t>
      </w:r>
      <w:bookmarkEnd w:id="17"/>
    </w:p>
    <w:p w14:paraId="3F8CC5AD" w14:textId="77777777" w:rsidR="00702A4B" w:rsidRPr="00E02468" w:rsidRDefault="00702A4B"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helps to add value to both academic knowledge and managerial practice as it explores the link between Human Capital Management and Customer Service Quality in the restaurant industry in the UK.</w:t>
      </w:r>
    </w:p>
    <w:p w14:paraId="16884C4D" w14:textId="77777777" w:rsidR="00702A4B" w:rsidRPr="00E02468" w:rsidRDefault="00702A4B"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Academically, the research builds on the existing knowledge as it is dedicated to the industry of restaurants and not the whole hospitality industry. It combines the abilities of Human Capital Theory, Resource Based View (RBV), Ability Motivation Opportunity (AMO) Theory and SERVQUAL model to give a holistic theoretical perspective of the effect of employee-related practices on service quality (Becker, 1964; Barney, 1991; Appelbaum et al., 2000; Parasuraman et al., 1988). This holistic approach is a response to the previous studies which have been focussed on one of the two theories.</w:t>
      </w:r>
    </w:p>
    <w:p w14:paraId="05E3E045" w14:textId="77777777" w:rsidR="00702A4B" w:rsidRPr="00E02468" w:rsidRDefault="00702A4B"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also adds value through the ability to present a synthesis of existing academic research and industry evidence about the nature of issues facing the post-pandemic workforce in UK restaurants, to give a more up-to-date understanding of current Human Capital Management (HCM) practices.</w:t>
      </w:r>
    </w:p>
    <w:p w14:paraId="5C18D337" w14:textId="77777777" w:rsidR="00702A4B" w:rsidRPr="00E02468" w:rsidRDefault="00702A4B"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Finally, good Human Capital Management practices can help restaurants to enhance customer satisfaction, boost customer loyalty, and deliver sustainable competitive advantage in a challenging market environment.</w:t>
      </w:r>
    </w:p>
    <w:p w14:paraId="3F6BD54C" w14:textId="77777777" w:rsidR="00702A4B" w:rsidRPr="00E02468" w:rsidRDefault="00702A4B" w:rsidP="004C5FFA">
      <w:pPr>
        <w:pStyle w:val="Heading2"/>
        <w:spacing w:line="360" w:lineRule="auto"/>
        <w:rPr>
          <w:rFonts w:cs="Arial"/>
          <w:lang w:val="en-GB" w:eastAsia="en-GB"/>
        </w:rPr>
      </w:pPr>
      <w:bookmarkStart w:id="18" w:name="_Toc240932105"/>
      <w:r w:rsidRPr="00E02468">
        <w:rPr>
          <w:rFonts w:cs="Arial"/>
          <w:lang w:val="en-GB" w:eastAsia="en-GB"/>
        </w:rPr>
        <w:t>1.7 Scope of the Study</w:t>
      </w:r>
      <w:bookmarkEnd w:id="18"/>
    </w:p>
    <w:p w14:paraId="26E2A92A" w14:textId="77777777" w:rsidR="00702A4B" w:rsidRPr="00E02468" w:rsidRDefault="00702A4B"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This study is specific to the UK restaurant sector and looks at the links between Human Capital Management practices and Customer Service quality. This study explores six key HCM practices: recruitment and selection, training and development, employee engagement, performance management, reward and recognition and employee retention.</w:t>
      </w:r>
    </w:p>
    <w:p w14:paraId="72E35C1B" w14:textId="6E14E2BF" w:rsidR="008B5DD9" w:rsidRPr="00E02468" w:rsidRDefault="00702A4B"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This research uses a qualitative method, and all the data used is secondary data. Peer reviewed journal articles, academic books, government publications and industry reports will be used as the information sources. The study does not include interviews, questionnaires or other primary data collection methods. Therefore, its results are a collation of the available evidence and do not form an assessment of a particular restaurant organisation.</w:t>
      </w:r>
    </w:p>
    <w:p w14:paraId="17517504" w14:textId="77777777" w:rsidR="008B5DD9" w:rsidRPr="00E02468" w:rsidRDefault="008B5DD9" w:rsidP="004C5FFA">
      <w:pPr>
        <w:pStyle w:val="Heading2"/>
        <w:spacing w:line="360" w:lineRule="auto"/>
        <w:rPr>
          <w:rFonts w:eastAsia="Times New Roman" w:cs="Arial"/>
          <w:lang w:val="en-GB" w:eastAsia="en-GB"/>
        </w:rPr>
      </w:pPr>
      <w:bookmarkStart w:id="19" w:name="_Toc240932106"/>
      <w:r w:rsidRPr="00E02468">
        <w:rPr>
          <w:rFonts w:eastAsia="Times New Roman" w:cs="Arial"/>
          <w:lang w:val="en-GB" w:eastAsia="en-GB"/>
        </w:rPr>
        <w:t>1.8 Research Gap</w:t>
      </w:r>
      <w:bookmarkEnd w:id="19"/>
    </w:p>
    <w:p w14:paraId="6108D692" w14:textId="77777777" w:rsidR="00070018"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While the current literature offers important insight into Human Capital Management and organisational performance, there are some crucial research gaps in the customer service quality of the UK restaurant industry.</w:t>
      </w:r>
    </w:p>
    <w:p w14:paraId="2B1C998C"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First, a number of studies have investigated the general hospitality industry, and not restaurants specifically. This is significant as restaurants are in a highly dynamic environment that relies heavily on frontline staff and has frequent customer contact (Nickson, 2022).</w:t>
      </w:r>
    </w:p>
    <w:p w14:paraId="033B6907"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Second, the previous studies tend to focus on the individual practices of the Human Capital Management (HCM) rather than jointly studying how recruitment, employee development, employee motivation, performance management, and rewards and retention practices work together as a system of HCM (Armstrong and Taylor, 2023).</w:t>
      </w:r>
    </w:p>
    <w:p w14:paraId="3796F867" w14:textId="23380E9C"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Third, while Human Capital Theory, RBV and AMO Theory have been used to explain the role of employee capabilities on the performance of the organisation, there are relatively few studies that combine these theoretical viewpoints when looking at the influence of employee capabilities on the service quality of the organisation in the restaurant sector in the UK (Becker, 1964; Barney, 1991; Appelbaum et al., 2000).</w:t>
      </w:r>
    </w:p>
    <w:p w14:paraId="35C46946" w14:textId="77777777" w:rsidR="00070018" w:rsidRPr="00E02468" w:rsidRDefault="00070018" w:rsidP="004C5FFA">
      <w:pPr>
        <w:pStyle w:val="Heading2"/>
        <w:spacing w:line="360" w:lineRule="auto"/>
        <w:jc w:val="both"/>
        <w:rPr>
          <w:rFonts w:cs="Arial"/>
          <w:lang w:val="en-GB" w:eastAsia="en-GB"/>
        </w:rPr>
      </w:pPr>
      <w:bookmarkStart w:id="20" w:name="_Toc240932107"/>
      <w:r w:rsidRPr="00E02468">
        <w:rPr>
          <w:rFonts w:cs="Arial"/>
          <w:lang w:val="en-GB" w:eastAsia="en-GB"/>
        </w:rPr>
        <w:t>1.9 Theoretical Framework</w:t>
      </w:r>
      <w:bookmarkEnd w:id="20"/>
    </w:p>
    <w:p w14:paraId="4B0784CF" w14:textId="3378FD03"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theoretical framework is used as the basis for </w:t>
      </w:r>
      <w:r w:rsidR="004C5FFA" w:rsidRPr="00E02468">
        <w:rPr>
          <w:rFonts w:ascii="Arial" w:hAnsi="Arial" w:cs="Arial"/>
          <w:sz w:val="24"/>
          <w:szCs w:val="24"/>
          <w:lang w:val="en-GB" w:eastAsia="en-GB"/>
        </w:rPr>
        <w:t>analysing</w:t>
      </w:r>
      <w:r w:rsidRPr="00E02468">
        <w:rPr>
          <w:rFonts w:ascii="Arial" w:hAnsi="Arial" w:cs="Arial"/>
          <w:sz w:val="24"/>
          <w:szCs w:val="24"/>
          <w:lang w:val="en-GB" w:eastAsia="en-GB"/>
        </w:rPr>
        <w:t xml:space="preserve"> the effect of Human Capital Management practices on quality of customer services in the UAE Restaurant industry. This research is based on four perspectives of theory.</w:t>
      </w:r>
    </w:p>
    <w:p w14:paraId="7A7EE5FE" w14:textId="77777777" w:rsidR="00070018" w:rsidRPr="00E02468" w:rsidRDefault="00070018" w:rsidP="004C5FFA">
      <w:pPr>
        <w:pStyle w:val="Heading3"/>
        <w:spacing w:line="360" w:lineRule="auto"/>
        <w:jc w:val="both"/>
        <w:rPr>
          <w:rFonts w:cs="Arial"/>
          <w:lang w:val="en-GB" w:eastAsia="en-GB"/>
        </w:rPr>
      </w:pPr>
      <w:bookmarkStart w:id="21" w:name="_Toc240932108"/>
      <w:r w:rsidRPr="00E02468">
        <w:rPr>
          <w:rFonts w:cs="Arial"/>
          <w:lang w:val="en-GB" w:eastAsia="en-GB"/>
        </w:rPr>
        <w:t>1.9.1 Human Capital Theory</w:t>
      </w:r>
      <w:bookmarkEnd w:id="21"/>
    </w:p>
    <w:p w14:paraId="714A3795" w14:textId="217AF7FF" w:rsidR="00070018"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Human Capital Theory suggests that knowledge, skills and competencies of employees are valuable assets that can enhance productivity and organisational performance (Becker, 1964). Provision of employee education, training and development enable organisations to build the capability of their workforce, and enhance service delivery. </w:t>
      </w:r>
    </w:p>
    <w:p w14:paraId="47434823" w14:textId="77777777" w:rsidR="00070018" w:rsidRPr="00E02468" w:rsidRDefault="00070018" w:rsidP="004C5FFA">
      <w:pPr>
        <w:pStyle w:val="Heading3"/>
        <w:spacing w:line="360" w:lineRule="auto"/>
        <w:rPr>
          <w:rFonts w:cs="Arial"/>
          <w:lang w:val="en-GB" w:eastAsia="en-GB"/>
        </w:rPr>
      </w:pPr>
      <w:bookmarkStart w:id="22" w:name="_Toc240932109"/>
      <w:r w:rsidRPr="00E02468">
        <w:rPr>
          <w:rFonts w:cs="Arial"/>
          <w:lang w:val="en-GB" w:eastAsia="en-GB"/>
        </w:rPr>
        <w:t>1.9.2 Resource-Based View</w:t>
      </w:r>
      <w:bookmarkEnd w:id="22"/>
    </w:p>
    <w:p w14:paraId="7B334E0A" w14:textId="49ADD20F" w:rsidR="00070018"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According to the Resource-Based View, an organisation can attain sustainable competitive advantage through the development of resources that are valuable, rare and difficult to imitate (Barney, 1991). So experienced employees are a source of human capital as they have knowledge of the services, skills to deal with customers and an understanding of the organisation which are impossible for the competition to replicate. </w:t>
      </w:r>
    </w:p>
    <w:p w14:paraId="7A45C1FA" w14:textId="77777777" w:rsidR="00070018" w:rsidRPr="00E02468" w:rsidRDefault="00070018" w:rsidP="004C5FFA">
      <w:pPr>
        <w:pStyle w:val="Heading3"/>
        <w:spacing w:line="360" w:lineRule="auto"/>
        <w:rPr>
          <w:rFonts w:cs="Arial"/>
          <w:lang w:val="en-GB" w:eastAsia="en-GB"/>
        </w:rPr>
      </w:pPr>
      <w:bookmarkStart w:id="23" w:name="_Toc240932110"/>
      <w:r w:rsidRPr="00E02468">
        <w:rPr>
          <w:rFonts w:cs="Arial"/>
          <w:lang w:val="en-GB" w:eastAsia="en-GB"/>
        </w:rPr>
        <w:t>1.9.3 Ability-Motivation-Opportunity (AMO) Theory</w:t>
      </w:r>
      <w:bookmarkEnd w:id="23"/>
    </w:p>
    <w:p w14:paraId="612F86D5" w14:textId="1E99AD8C" w:rsidR="00070018"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three elements of opportunity, motivation and ability (Appelbaum et al., 2000) are used to explain employee performance in AMO Theory. Through recruitment and training, employee capability is developed, through rewards systems employee motivation is built up, and through supportive management systems employee opportunities to perform are secured. </w:t>
      </w:r>
    </w:p>
    <w:p w14:paraId="775492AF" w14:textId="77777777" w:rsidR="00070018" w:rsidRPr="00E02468" w:rsidRDefault="00070018" w:rsidP="004C5FFA">
      <w:pPr>
        <w:pStyle w:val="Heading3"/>
        <w:spacing w:line="360" w:lineRule="auto"/>
        <w:rPr>
          <w:rFonts w:cs="Arial"/>
          <w:lang w:val="en-GB" w:eastAsia="en-GB"/>
        </w:rPr>
      </w:pPr>
      <w:bookmarkStart w:id="24" w:name="_Toc240932111"/>
      <w:r w:rsidRPr="00E02468">
        <w:rPr>
          <w:rFonts w:cs="Arial"/>
          <w:lang w:val="en-GB" w:eastAsia="en-GB"/>
        </w:rPr>
        <w:t>1.9.4 SERVQUAL Model</w:t>
      </w:r>
      <w:bookmarkEnd w:id="24"/>
    </w:p>
    <w:p w14:paraId="12CBE058" w14:textId="4DE2E7D2" w:rsidR="004C5FFA"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SERVQUAL is a model that has been developed to explain the perception of service quality in terms of five dimensions: reliability, responsiveness, assurance, empathy and tangibles (Parasuraman, Zeithaml and Berry, 1988). As such, these service dimensions are directly delivered by restaurant employees and SERVQUAL is a suitable framework to understand how restaurant HCM improvements can affect customer satisfaction.</w:t>
      </w:r>
    </w:p>
    <w:p w14:paraId="5A811612" w14:textId="77777777" w:rsidR="00070018" w:rsidRPr="00E02468" w:rsidRDefault="00070018" w:rsidP="004C5FFA">
      <w:pPr>
        <w:pStyle w:val="Heading2"/>
        <w:spacing w:line="360" w:lineRule="auto"/>
        <w:rPr>
          <w:rFonts w:cs="Arial"/>
          <w:lang w:val="en-GB" w:eastAsia="en-GB"/>
        </w:rPr>
      </w:pPr>
      <w:bookmarkStart w:id="25" w:name="_Toc240932112"/>
      <w:r w:rsidRPr="00E02468">
        <w:rPr>
          <w:rFonts w:cs="Arial"/>
          <w:lang w:val="en-GB" w:eastAsia="en-GB"/>
        </w:rPr>
        <w:t>1.10 Dissertation Structure</w:t>
      </w:r>
      <w:bookmarkEnd w:id="25"/>
    </w:p>
    <w:p w14:paraId="2538909A" w14:textId="77777777" w:rsidR="00070018" w:rsidRPr="00E02468" w:rsidRDefault="00070018" w:rsidP="004C5FFA">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This dissertation is comprised of six chapters.</w:t>
      </w:r>
    </w:p>
    <w:p w14:paraId="0610292F"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purpose of this chapter is to introduce the research background, delineate the research problem, state the research aim, objectives, research questions, significance, scope of research, research gap and the theory used for this research.</w:t>
      </w:r>
    </w:p>
    <w:p w14:paraId="35089D42"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b/>
          <w:sz w:val="24"/>
          <w:szCs w:val="24"/>
          <w:lang w:val="en-GB" w:eastAsia="en-GB"/>
        </w:rPr>
        <w:t>In Chapter Two</w:t>
      </w:r>
      <w:r w:rsidRPr="00E02468">
        <w:rPr>
          <w:rFonts w:ascii="Arial" w:hAnsi="Arial" w:cs="Arial"/>
          <w:sz w:val="24"/>
          <w:szCs w:val="24"/>
          <w:lang w:val="en-GB" w:eastAsia="en-GB"/>
        </w:rPr>
        <w:t>, literature review of related studies on Human Capital Management are critically analysed along with theory concepts to develop conceptual framework and research hypotheses.</w:t>
      </w:r>
    </w:p>
    <w:p w14:paraId="2685B4C2"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b/>
          <w:sz w:val="24"/>
          <w:szCs w:val="24"/>
          <w:lang w:val="en-GB" w:eastAsia="en-GB"/>
        </w:rPr>
        <w:t>Chapter Three</w:t>
      </w:r>
      <w:r w:rsidRPr="00E02468">
        <w:rPr>
          <w:rFonts w:ascii="Arial" w:hAnsi="Arial" w:cs="Arial"/>
          <w:sz w:val="24"/>
          <w:szCs w:val="24"/>
          <w:lang w:val="en-GB" w:eastAsia="en-GB"/>
        </w:rPr>
        <w:t xml:space="preserve"> describes the methodology used in the research such as interpretivist philosophy, inductive approach, systematic literature review strategy, secondary data collecting procedures, thematic analysis and ethical considerations.</w:t>
      </w:r>
    </w:p>
    <w:p w14:paraId="727450C3"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of the secondary evidence analysis are presented in qualitative form in Chapter Four and key themes for Human Capital Management practices and customer service quality are identified.</w:t>
      </w:r>
    </w:p>
    <w:p w14:paraId="734B4452" w14:textId="77777777" w:rsidR="00070018"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findings are presented in Chapter Five, which explores them in comparison to the existing literature and theoretical frameworks and their implications for the UK restaurant industry.</w:t>
      </w:r>
    </w:p>
    <w:p w14:paraId="7D7FAC19" w14:textId="0DE23E20" w:rsidR="00F53661" w:rsidRPr="00E02468" w:rsidRDefault="00070018" w:rsidP="005B3EF7">
      <w:pPr>
        <w:spacing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of the dissertation are presented in the form of a summary in chapter six where the research questions are answered, contributions are identified, limitations are acknowledged and recommendations are given for further research</w:t>
      </w:r>
      <w:r w:rsidR="008B5DD9" w:rsidRPr="00E02468">
        <w:rPr>
          <w:rFonts w:ascii="Arial" w:hAnsi="Arial" w:cs="Arial"/>
          <w:sz w:val="24"/>
          <w:szCs w:val="24"/>
          <w:lang w:val="en-GB" w:eastAsia="en-GB"/>
        </w:rPr>
        <w:t>.</w:t>
      </w:r>
    </w:p>
    <w:p w14:paraId="38CA48AF" w14:textId="4AA5A64A" w:rsidR="004C5FFA" w:rsidRPr="00E02468" w:rsidRDefault="004C5FFA" w:rsidP="005B3EF7">
      <w:pPr>
        <w:spacing w:line="360" w:lineRule="auto"/>
        <w:jc w:val="both"/>
        <w:rPr>
          <w:rFonts w:ascii="Arial" w:hAnsi="Arial" w:cs="Arial"/>
          <w:sz w:val="24"/>
          <w:szCs w:val="24"/>
          <w:lang w:val="en-GB" w:eastAsia="en-GB"/>
        </w:rPr>
      </w:pPr>
    </w:p>
    <w:p w14:paraId="77C5324E" w14:textId="704B5A38" w:rsidR="004C77ED" w:rsidRPr="00E02468" w:rsidRDefault="004C77ED" w:rsidP="00992227">
      <w:pPr>
        <w:pStyle w:val="Heading1"/>
        <w:jc w:val="center"/>
        <w:rPr>
          <w:rFonts w:cs="Arial"/>
          <w:lang w:val="en-GB" w:eastAsia="en-GB"/>
        </w:rPr>
      </w:pPr>
      <w:bookmarkStart w:id="26" w:name="_Toc240932113"/>
      <w:r w:rsidRPr="00E02468">
        <w:rPr>
          <w:rFonts w:cs="Arial"/>
          <w:lang w:val="en-GB" w:eastAsia="en-GB"/>
        </w:rPr>
        <w:t>Chapter 2: Literature Review</w:t>
      </w:r>
      <w:bookmarkEnd w:id="26"/>
    </w:p>
    <w:p w14:paraId="4E8535A9" w14:textId="77777777" w:rsidR="000B310E" w:rsidRPr="00E02468" w:rsidRDefault="000B310E" w:rsidP="00992227">
      <w:pPr>
        <w:pStyle w:val="Heading2"/>
        <w:rPr>
          <w:rFonts w:cs="Arial"/>
          <w:lang w:val="en-GB" w:eastAsia="en-GB"/>
        </w:rPr>
      </w:pPr>
      <w:bookmarkStart w:id="27" w:name="_Toc240932114"/>
      <w:r w:rsidRPr="00E02468">
        <w:rPr>
          <w:rFonts w:cs="Arial"/>
          <w:lang w:val="en-GB" w:eastAsia="en-GB"/>
        </w:rPr>
        <w:t>2.1 Introduction</w:t>
      </w:r>
      <w:bookmarkEnd w:id="27"/>
    </w:p>
    <w:p w14:paraId="676883F6" w14:textId="0EF01519"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In service-based organisations, knowledge, skills, motivation and behaviour of employees can have direct impact on the performance of the organisation and customer experiences, which makes Human Capital Management (HCM) a strategic consideration. This is especially true for the UK restaurant sector where the frontline staff plays a vital part in providing service and engaging with the customer. </w:t>
      </w:r>
      <w:r w:rsidR="00992227" w:rsidRPr="00E02468">
        <w:rPr>
          <w:rFonts w:ascii="Arial" w:hAnsi="Arial" w:cs="Arial"/>
          <w:sz w:val="24"/>
          <w:szCs w:val="24"/>
          <w:lang w:val="en-GB" w:eastAsia="en-GB"/>
        </w:rPr>
        <w:t>Therefore,</w:t>
      </w:r>
      <w:r w:rsidRPr="00E02468">
        <w:rPr>
          <w:rFonts w:ascii="Arial" w:hAnsi="Arial" w:cs="Arial"/>
          <w:sz w:val="24"/>
          <w:szCs w:val="24"/>
          <w:lang w:val="en-GB" w:eastAsia="en-GB"/>
        </w:rPr>
        <w:t xml:space="preserve"> management of human capital can be beneficial for employee performance, regularity of services and customer satisfaction (Armstrong and Taylor, 2023). The chapter critically examines the academic literature and industry evidence related to the impact of HCM practices on customer service quality in the restaurant context in the United Kingdom. It explores six of the important HCM practices such as: recruitment and selection, training and development, employee engagement, performance management, reward and recognition, and employee retention. The discussion considers the possibility of such practices affecting employee capacities, motivation and behaviour and in turn the quality of service provided. The chapter also critically reviews the previous research and uses appropriate theories to link the </w:t>
      </w:r>
      <w:r w:rsidR="00695910" w:rsidRPr="00E02468">
        <w:rPr>
          <w:rFonts w:ascii="Arial" w:hAnsi="Arial" w:cs="Arial"/>
          <w:sz w:val="24"/>
          <w:szCs w:val="24"/>
          <w:lang w:val="en-GB" w:eastAsia="en-GB"/>
        </w:rPr>
        <w:t>findings.</w:t>
      </w:r>
    </w:p>
    <w:p w14:paraId="2F9B5FF7" w14:textId="77777777" w:rsidR="000B310E" w:rsidRPr="00E02468" w:rsidRDefault="000B310E" w:rsidP="00992227">
      <w:pPr>
        <w:pStyle w:val="Heading2"/>
        <w:rPr>
          <w:rFonts w:cs="Arial"/>
          <w:lang w:val="en-GB" w:eastAsia="en-GB"/>
        </w:rPr>
      </w:pPr>
      <w:bookmarkStart w:id="28" w:name="_Toc240932115"/>
      <w:r w:rsidRPr="00E02468">
        <w:rPr>
          <w:rFonts w:cs="Arial"/>
          <w:lang w:val="en-GB" w:eastAsia="en-GB"/>
        </w:rPr>
        <w:t>2.2 Concept of Human Capital Management</w:t>
      </w:r>
      <w:bookmarkEnd w:id="28"/>
    </w:p>
    <w:p w14:paraId="76BD5A46" w14:textId="77777777" w:rsidR="000B310E" w:rsidRPr="00E02468" w:rsidRDefault="000B310E" w:rsidP="00992227">
      <w:pPr>
        <w:pStyle w:val="Heading3"/>
        <w:rPr>
          <w:rFonts w:cs="Arial"/>
          <w:lang w:val="en-GB" w:eastAsia="en-GB"/>
        </w:rPr>
      </w:pPr>
      <w:bookmarkStart w:id="29" w:name="_Toc240932116"/>
      <w:r w:rsidRPr="00E02468">
        <w:rPr>
          <w:rFonts w:cs="Arial"/>
          <w:lang w:val="en-GB" w:eastAsia="en-GB"/>
        </w:rPr>
        <w:t>2.2.1 Definition of Human Capital Management</w:t>
      </w:r>
      <w:bookmarkEnd w:id="29"/>
    </w:p>
    <w:p w14:paraId="593D1D93" w14:textId="5A29F770"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Human capital is the knowledge, skills, abilities, experience and other qualities of human beings that can benefit the organization for value creation. Human Capital Management (HCM) is an integrated approach to managing these capabilities, which relies on viewing employees as valuable organisational resources and working to align investments in people with organisational goals and performance (Armstrong and Taylor, 2023). HCM is not just about the administration of human resources but it is also about how an organisation can grow, leverage and utilize human resources to generate value. (Gerhart and Feng, 2021).</w:t>
      </w:r>
    </w:p>
    <w:p w14:paraId="18A46AD8" w14:textId="24DE2523"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Conventional Human Resource Management (HRM) has traditionally focused on operational functions like recruitment, payroll, employee relations and compliance. Strategic HCM is more about value added to the organisation through employees and the development of knowledge, skills and organisational capabilities. This is not intended to mean that HRM is replaced by HCM, but rather to offer a more strategic view in which HR practices can be related to organisational performance (Armstrong and Taylor, 2023). </w:t>
      </w:r>
    </w:p>
    <w:p w14:paraId="76A39D28" w14:textId="3F787151" w:rsidR="000B310E" w:rsidRPr="00E02468" w:rsidRDefault="005B7091" w:rsidP="00992227">
      <w:pPr>
        <w:pStyle w:val="Heading3"/>
        <w:rPr>
          <w:rFonts w:cs="Arial"/>
          <w:lang w:val="en-GB" w:eastAsia="en-GB"/>
        </w:rPr>
      </w:pPr>
      <w:bookmarkStart w:id="30" w:name="_Toc240932117"/>
      <w:r w:rsidRPr="00E02468">
        <w:rPr>
          <w:rFonts w:cs="Arial"/>
          <w:lang w:val="en-GB" w:eastAsia="en-GB"/>
        </w:rPr>
        <w:t>2.2.2</w:t>
      </w:r>
      <w:r w:rsidR="000B310E" w:rsidRPr="00E02468">
        <w:rPr>
          <w:rFonts w:cs="Arial"/>
          <w:lang w:val="en-GB" w:eastAsia="en-GB"/>
        </w:rPr>
        <w:t xml:space="preserve"> Leading Practices in HRM</w:t>
      </w:r>
      <w:bookmarkEnd w:id="30"/>
    </w:p>
    <w:p w14:paraId="7DD10CAD" w14:textId="77777777"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existence of HCM is a manifestation of the overall transformation of personnel administration to Strategic Human Resource Management. Previous conceptions of the personnel management were more oriented towards administration of employment and control and compliance of the workforce. As the strategic HRM began to take shape, it became apparent that people management practices must serve the organisation's strategy and performance. HCM emerged from this strategic stance, focusing more on how to measure, develop and maximize the value delivered by employees (Klimkiewicz, 2023).</w:t>
      </w:r>
    </w:p>
    <w:p w14:paraId="57E04082" w14:textId="77777777"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With the growing significance of knowledge, skills and the interactions involved in service, the significance of HCM has been further reinforced in the service industries. In these organisations, value may often be generated by employee behaviours and interactions, not just by physical assets. Strategic human capital research thus emphasizes that KSA are key building blocks of the organizational success (Coff and Rickley, 2021).</w:t>
      </w:r>
    </w:p>
    <w:p w14:paraId="51179836" w14:textId="77777777" w:rsidR="000B310E" w:rsidRPr="00E02468" w:rsidRDefault="000B310E" w:rsidP="00992227">
      <w:pPr>
        <w:pStyle w:val="Heading3"/>
        <w:rPr>
          <w:rFonts w:cs="Arial"/>
          <w:lang w:val="en-GB" w:eastAsia="en-GB"/>
        </w:rPr>
      </w:pPr>
      <w:bookmarkStart w:id="31" w:name="_Toc240932118"/>
      <w:r w:rsidRPr="00E02468">
        <w:rPr>
          <w:rFonts w:cs="Arial"/>
          <w:lang w:val="en-GB" w:eastAsia="en-GB"/>
        </w:rPr>
        <w:t>2.2.3 Strategic Importance of HCM</w:t>
      </w:r>
      <w:bookmarkEnd w:id="31"/>
    </w:p>
    <w:p w14:paraId="1137396B" w14:textId="77777777" w:rsidR="000B310E"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is important because of its power to enhance the capacity of employees, their motivation, productivity and the performance of the organisation. The knowledge and skills an organisation has can be reinforced by investing in the employee by recruiting, training, development and supportive management of employees. From the point of view of Human Capital Theory, such investment may have productive returns as the accumulated knowledge and skills of employees is an economically valuable asset (Becker, 1964).</w:t>
      </w:r>
    </w:p>
    <w:p w14:paraId="69FB6E41" w14:textId="55940AB6" w:rsidR="005E54A6" w:rsidRPr="00E02468" w:rsidRDefault="000B310E"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Resource Based View (RBV) has also a close relationship with HCM. Human resources can be a source of competitive advantage if the organisation has the ability to build capabilities that are valuable and hard for the competitors to use or duplicate (Barney, 1991; Gerhart and Feng, 2021). It’s especially important in the UK restaurant sector, where the service level is highly reliant on the competence, behaviours and interactions between employees and customers. Restaurants can then benefit from HCM's ability to enhance employee performance, lower employee turnover, and provide mo</w:t>
      </w:r>
      <w:r w:rsidR="003E1280" w:rsidRPr="00E02468">
        <w:rPr>
          <w:rFonts w:ascii="Arial" w:hAnsi="Arial" w:cs="Arial"/>
          <w:sz w:val="24"/>
          <w:szCs w:val="24"/>
          <w:lang w:val="en-GB" w:eastAsia="en-GB"/>
        </w:rPr>
        <w:t>re uniform customer experiences</w:t>
      </w:r>
      <w:r w:rsidRPr="00E02468">
        <w:rPr>
          <w:rFonts w:ascii="Arial" w:hAnsi="Arial" w:cs="Arial"/>
          <w:sz w:val="24"/>
          <w:szCs w:val="24"/>
          <w:lang w:val="en-GB" w:eastAsia="en-GB"/>
        </w:rPr>
        <w:t>. This further emphasizes the need to view HCM as the whole and not as separate HR functions</w:t>
      </w:r>
      <w:r w:rsidR="005E54A6" w:rsidRPr="00E02468">
        <w:rPr>
          <w:rFonts w:ascii="Arial" w:hAnsi="Arial" w:cs="Arial"/>
          <w:sz w:val="24"/>
          <w:szCs w:val="24"/>
          <w:lang w:val="en-GB" w:eastAsia="en-GB"/>
        </w:rPr>
        <w:t>.</w:t>
      </w:r>
    </w:p>
    <w:p w14:paraId="58F1A3FD" w14:textId="77777777" w:rsidR="00F27BCF" w:rsidRPr="00E02468" w:rsidRDefault="00F27BCF" w:rsidP="00992227">
      <w:pPr>
        <w:pStyle w:val="Heading2"/>
        <w:rPr>
          <w:rFonts w:cs="Arial"/>
          <w:lang w:val="en-GB" w:eastAsia="en-GB"/>
        </w:rPr>
      </w:pPr>
      <w:bookmarkStart w:id="32" w:name="_Toc240932119"/>
      <w:r w:rsidRPr="00E02468">
        <w:rPr>
          <w:rFonts w:cs="Arial"/>
          <w:lang w:val="en-GB" w:eastAsia="en-GB"/>
        </w:rPr>
        <w:t>2.3 Human Capital Management Practices</w:t>
      </w:r>
      <w:bookmarkEnd w:id="32"/>
    </w:p>
    <w:p w14:paraId="666D163F" w14:textId="4FD9A96F"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Human Capital Management (HCM) practices refer to the tools and processes used for the recruitment, development, engagement, management and retention of human capital. In highly service oriented businesses like restaurants, it is more crucial for employees to implement these practices as they are directly involv</w:t>
      </w:r>
      <w:r w:rsidR="003E1280" w:rsidRPr="00E02468">
        <w:rPr>
          <w:rFonts w:ascii="Arial" w:hAnsi="Arial" w:cs="Arial"/>
          <w:sz w:val="24"/>
          <w:szCs w:val="24"/>
          <w:lang w:val="en-GB" w:eastAsia="en-GB"/>
        </w:rPr>
        <w:t>ed with the customer experience</w:t>
      </w:r>
      <w:r w:rsidRPr="00E02468">
        <w:rPr>
          <w:rFonts w:ascii="Arial" w:hAnsi="Arial" w:cs="Arial"/>
          <w:sz w:val="24"/>
          <w:szCs w:val="24"/>
          <w:lang w:val="en-GB" w:eastAsia="en-GB"/>
        </w:rPr>
        <w:t>. (Armstrong and Taylor, 2023) The next sections critically analyse six restaurant specific practices within the UK restaurant industry: recruitment and selection, training and development, employee engagement, performance management, reward and recognition, and employee retention.</w:t>
      </w:r>
    </w:p>
    <w:p w14:paraId="01FB5984" w14:textId="77777777" w:rsidR="00425A11" w:rsidRPr="00E02468" w:rsidRDefault="00425A11" w:rsidP="00992227">
      <w:pPr>
        <w:pStyle w:val="Heading3"/>
        <w:rPr>
          <w:rFonts w:cs="Arial"/>
          <w:lang w:val="en-GB" w:eastAsia="en-GB"/>
        </w:rPr>
      </w:pPr>
      <w:bookmarkStart w:id="33" w:name="_Toc240932120"/>
      <w:r w:rsidRPr="00E02468">
        <w:rPr>
          <w:rFonts w:cs="Arial"/>
          <w:lang w:val="en-GB" w:eastAsia="en-GB"/>
        </w:rPr>
        <w:t>2.3.1 Recruitment and Selection</w:t>
      </w:r>
      <w:bookmarkEnd w:id="33"/>
    </w:p>
    <w:p w14:paraId="22A5BC46"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 and selection is a process of attracting and selecting the people with suitable knowledge, skills, behaviours and characteristics needed for the organisation's needs. Recruitment is also a key concern in restaurants as it relates to those who will be working directly with customers and thus play a direct role in the customer's perceptions of service quality. Technical skills are not the only skills that employees need, interpersonal skills are also important, such as communication, courtesy and responsiveness (Nickson, 2022).</w:t>
      </w:r>
    </w:p>
    <w:p w14:paraId="4B34A06C"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Person-job fit is relevant because it is believed that workers who match job requirements are more likely to do a good job. Likewise, person-organisation fit implies that alignment of values between the person and the organisation can help to facilitate employee commitment and suitable behaviors within the workplace. It can then assist in building a team that has the skills to provide customer-focused service (Armstrong and Taylor, 2023).</w:t>
      </w:r>
    </w:p>
    <w:p w14:paraId="3CFB3BA8" w14:textId="1FB9D461"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Despite this, recruitment difficulties persist in the UK hospitality industry due to a lack of staff, turnover and a shortage of employers having sufficient candidates with the right skill set (UKHospitality, 2024). In these cases, restaurants might fill the positions as soon as possible, even if it is not the ideal candidate. Even recruiting staff doesn't ensure high quality of services. It relies on a range of other performance practices to be effective, including training, motivation, performance management and retention. </w:t>
      </w:r>
    </w:p>
    <w:p w14:paraId="0D2C6F81" w14:textId="77777777" w:rsidR="00425A11" w:rsidRPr="00E02468" w:rsidRDefault="00425A11" w:rsidP="00992227">
      <w:pPr>
        <w:pStyle w:val="Heading3"/>
        <w:rPr>
          <w:rFonts w:cs="Arial"/>
          <w:lang w:val="en-GB" w:eastAsia="en-GB"/>
        </w:rPr>
      </w:pPr>
      <w:bookmarkStart w:id="34" w:name="_Toc240932121"/>
      <w:r w:rsidRPr="00E02468">
        <w:rPr>
          <w:rFonts w:cs="Arial"/>
          <w:lang w:val="en-GB" w:eastAsia="en-GB"/>
        </w:rPr>
        <w:t>2.3.2 Training and Development</w:t>
      </w:r>
      <w:bookmarkEnd w:id="34"/>
    </w:p>
    <w:p w14:paraId="7CBE68AC"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and development are critical aspects of HCM, as it improves the knowledge, skills and abilities of the employee to perform effectively. Training can involve food-service procedures, product knowledge, health and safety, communication and complaint handling, customer service skills, in restaurants. Continuous development can also assist workers to meet new customer requirements and operational needs (Armstrong and Taylor, 2023).</w:t>
      </w:r>
    </w:p>
    <w:p w14:paraId="2FC29342"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One of the areas where training is very relevant to service quality is the ability of restaurant staff to answer customer demands and solve issues efficiently and professionally. Appropriate training can result in increased confidence and responsiveness and consistency in employee/customer interactions. In Human Capital Theory, training is seen as an investment in the employees, as it can enhance employees' productivity and performance (Becker, 1964).</w:t>
      </w:r>
    </w:p>
    <w:p w14:paraId="56981FB8" w14:textId="1894952D"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However, the advantages of training cannot be taken for granted. An organisation of restaurants may have financial and operational challenges when they let staff go from their regular positions to attend training. Additionally, the ROI on employee training can be lost through high employee turnover, if trained employees leave the organization. Baum (2020) reminds them of the ongoing labour issues facing the industry as a whole and that they should think about employee development and retention at the same time. </w:t>
      </w:r>
    </w:p>
    <w:p w14:paraId="2505C065" w14:textId="77777777" w:rsidR="00425A11" w:rsidRPr="00E02468" w:rsidRDefault="00425A11" w:rsidP="00992227">
      <w:pPr>
        <w:pStyle w:val="Heading3"/>
        <w:rPr>
          <w:rFonts w:cs="Arial"/>
          <w:lang w:val="en-GB" w:eastAsia="en-GB"/>
        </w:rPr>
      </w:pPr>
      <w:bookmarkStart w:id="35" w:name="_Toc240932122"/>
      <w:r w:rsidRPr="00E02468">
        <w:rPr>
          <w:rFonts w:cs="Arial"/>
          <w:lang w:val="en-GB" w:eastAsia="en-GB"/>
        </w:rPr>
        <w:t>2.3.3 Employee Engagement</w:t>
      </w:r>
      <w:bookmarkEnd w:id="35"/>
    </w:p>
    <w:p w14:paraId="68B2A167"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engagement is when employees feel psychologically attached to, involved in and committed to their work and organisation. Employees who are engaged tend to be more likely to display behaviours and put in discretionary effort that are conducive to the organisation's goals (Albrecht et al., 2021). In restaurants, it might be demonstrated by how willing employees are to come to the customer's aid, to respond to negative feedback in a positive way, and to go above and beyond their job duties.</w:t>
      </w:r>
    </w:p>
    <w:p w14:paraId="27E6EDE5" w14:textId="55FB0583"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By helping employees feel valued and engaged in organisational decision making, communication and supportive leadership and employee participation can bolster engagement. Employee voice is especially important in restaurants because frontline employees are on the frontline of the business, and as a result, they can see what their customers like and dislike and what issues they encounter with the service. </w:t>
      </w:r>
    </w:p>
    <w:p w14:paraId="61413F3C" w14:textId="691953E1"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AMO Theory can also be used to explain the relationship. Engagement can inspire employees to employ their talents and their ability to contribute to the organisation's accomplishments (Appelbaum et al., 2000). However, engagement cannot be seen as a mere employee mindset that can be built with just a few projects. Even if a formal engagement programme is in place, excessive workloads, insufficient rewards, poor career prospects, and the poor management can lead to diminished engagement. </w:t>
      </w:r>
    </w:p>
    <w:p w14:paraId="1F23C0DB" w14:textId="77777777" w:rsidR="00425A11" w:rsidRPr="00E02468" w:rsidRDefault="00425A11" w:rsidP="00992227">
      <w:pPr>
        <w:pStyle w:val="Heading3"/>
        <w:rPr>
          <w:rFonts w:cs="Arial"/>
          <w:lang w:val="en-GB" w:eastAsia="en-GB"/>
        </w:rPr>
      </w:pPr>
      <w:bookmarkStart w:id="36" w:name="_Toc240932123"/>
      <w:r w:rsidRPr="00E02468">
        <w:rPr>
          <w:rFonts w:cs="Arial"/>
          <w:lang w:val="en-GB" w:eastAsia="en-GB"/>
        </w:rPr>
        <w:t>2.3.4 Performance Management</w:t>
      </w:r>
      <w:bookmarkEnd w:id="36"/>
    </w:p>
    <w:p w14:paraId="39AA6627"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 is the process of setting standards, tracking performance, offering feedback and assisting staff to meet organizational goals. In restaurants, the performance management may be used to define benchmarking for service speed, customer interaction, order accuracy, handling of complaints and adherence to operational procedures. Using appropriate performance objectives, employees can gain an understanding of what good customer service is (Armstrong and Taylor, 2023).</w:t>
      </w:r>
    </w:p>
    <w:p w14:paraId="591DC2C7" w14:textId="77777777" w:rsidR="00425A11"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Feedback and coaching can also help identify areas for improvement and weaknesses in performance. Measures of customer service may then be used to determine whether the service standards expected are being met, such as through customer-service indicators, customers' feedback, and managerial observations. Consistency can be achieved through effective performance management as employees are provided with more clear expectations and direction.</w:t>
      </w:r>
    </w:p>
    <w:p w14:paraId="2858D0CF" w14:textId="0086A074" w:rsidR="00034336" w:rsidRPr="00E02468" w:rsidRDefault="00425A1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But the negative impacts of performance management can occur if it becomes too much about managing and numbers. If there is too much pressure to deliver sales and/or speed, staff may feel tempted to focus on what they think are the pressing demands of customers rather than what the customers actually need. </w:t>
      </w:r>
    </w:p>
    <w:p w14:paraId="344AA3C8" w14:textId="77777777" w:rsidR="00D97703" w:rsidRPr="00E02468" w:rsidRDefault="00D97703" w:rsidP="00992227">
      <w:pPr>
        <w:pStyle w:val="Heading3"/>
        <w:rPr>
          <w:rFonts w:cs="Arial"/>
          <w:lang w:val="en-GB" w:eastAsia="en-GB"/>
        </w:rPr>
      </w:pPr>
      <w:bookmarkStart w:id="37" w:name="_Toc240932124"/>
      <w:r w:rsidRPr="00E02468">
        <w:rPr>
          <w:rFonts w:cs="Arial"/>
          <w:lang w:val="en-GB" w:eastAsia="en-GB"/>
        </w:rPr>
        <w:t>2.3.5 Reward and Recognition</w:t>
      </w:r>
      <w:bookmarkEnd w:id="37"/>
    </w:p>
    <w:p w14:paraId="2E79EED2" w14:textId="77777777"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 and recognition are financial and non-financial mechanisms to provide recognition of employee contributions and promote positive behaviours in the workplace. Praise and recognition, career development and opportunities for increased responsibility are considered non-financial rewards, while bonuses and performance incentives are examples of financial rewards. Rewarding employees in the appropriate manner can be a positive motivational and organisational commitment factor (Armstrong and Taylor, 2023).</w:t>
      </w:r>
    </w:p>
    <w:p w14:paraId="16CBCCDA" w14:textId="77777777"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Positive customer feedback/rewards for good behaviour may reinforce behaviours which are customer-focused in the restaurant workplace. Reward systems can also help with retention – showing that employee contributions are valued. Rewards from an AMO perspective, primarily serve the motivational aspect, i.e. the incentive to use abilities in a way that contributes to the organization's goals (Appelbaum et al., 2000).</w:t>
      </w:r>
    </w:p>
    <w:p w14:paraId="237E8384" w14:textId="4C749155"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But incentives for sustained engagement may not be sufficient, however. Respectful management, career progression and job security, as well as a positive work culture, are also values that may be important to employees. Furthermore, when people feel the reward does not go to them fairly, they will be less motivated and trust less in the rewarder. </w:t>
      </w:r>
    </w:p>
    <w:p w14:paraId="47881AE5" w14:textId="77777777" w:rsidR="00D97703" w:rsidRPr="00E02468" w:rsidRDefault="00D97703" w:rsidP="00992227">
      <w:pPr>
        <w:pStyle w:val="Heading3"/>
        <w:rPr>
          <w:rFonts w:cs="Arial"/>
          <w:lang w:val="en-GB" w:eastAsia="en-GB"/>
        </w:rPr>
      </w:pPr>
      <w:bookmarkStart w:id="38" w:name="_Toc240932125"/>
      <w:r w:rsidRPr="00E02468">
        <w:rPr>
          <w:rFonts w:cs="Arial"/>
          <w:lang w:val="en-GB" w:eastAsia="en-GB"/>
        </w:rPr>
        <w:t>2.3.6 Employee Retention</w:t>
      </w:r>
      <w:bookmarkEnd w:id="38"/>
    </w:p>
    <w:p w14:paraId="4B7CA905" w14:textId="77777777"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retention is the capacity of an organisation to keep its employees for a prolonged period and to minimise the unnecessary turnover. Recruitment costs, loss of organisation knowledge and disruption to the service, are particularly important in the restaurant sector where high staff turnover can lead to high retention costs. Staff with significant experience may be knowledgeable about menus, processes and customer expectations, and their departure can lead to a decrease in the service consistency of the restaurant (Baum, 2020).</w:t>
      </w:r>
    </w:p>
    <w:p w14:paraId="086CF8E4" w14:textId="77777777"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Customer experiences can also be indirectly impacted by retention. Retaining experienced members helps newer staff to get the hang of things, keeps service levels consistent and helps build rapport with loyal customers. On the other hand, high turnover could lead to increased pressure on the organisation due to the need for multiple recruitment and training efforts, as well as a loss of consistency.</w:t>
      </w:r>
    </w:p>
    <w:p w14:paraId="5794EEA9" w14:textId="68A386B8" w:rsidR="00D97703"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reasons for employees to stay with an organisation may include a career development and fair rewards, supportive management, training opportunities and positive working conditions. Retention should not be an isolated HCM practice so it should not be addressed as such. Rather, it's the result of effective recruitment, training, engagement, performance</w:t>
      </w:r>
      <w:r w:rsidR="00695910" w:rsidRPr="00E02468">
        <w:rPr>
          <w:rFonts w:ascii="Arial" w:hAnsi="Arial" w:cs="Arial"/>
          <w:sz w:val="24"/>
          <w:szCs w:val="24"/>
          <w:lang w:val="en-GB" w:eastAsia="en-GB"/>
        </w:rPr>
        <w:t xml:space="preserve"> management and reward systems. </w:t>
      </w:r>
      <w:r w:rsidRPr="00E02468">
        <w:rPr>
          <w:rFonts w:ascii="Arial" w:hAnsi="Arial" w:cs="Arial"/>
          <w:sz w:val="24"/>
          <w:szCs w:val="24"/>
          <w:lang w:val="en-GB" w:eastAsia="en-GB"/>
        </w:rPr>
        <w:t xml:space="preserve">(Barney, 1991). </w:t>
      </w:r>
    </w:p>
    <w:p w14:paraId="0794AD34" w14:textId="77777777" w:rsidR="00D97703" w:rsidRPr="00E02468" w:rsidRDefault="00D97703" w:rsidP="00380BDC">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Summary</w:t>
      </w:r>
    </w:p>
    <w:p w14:paraId="5EAFE6BB" w14:textId="6DFF2572" w:rsidR="004C77ED" w:rsidRPr="00E02468" w:rsidRDefault="00D97703"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six HCM practices are not independent activities, but are interrelated. By ensuring employees have the right skills, training builds that skill, motivation is promoted through engagement and reward, performance management offers direction and feedback and retention ensures organisational knowledge and experience remain within the organisation. These practices, coupled with AMO Theory and Human Capital Theory and the RBV, can help improve employee performance and lead to better customer service quality. But the literature also suggests that it is not one HCM practice alone that is enough: success is dependent on the extent to which practices are combined and implemented in particular conditions of the UK restaurant sector</w:t>
      </w:r>
      <w:r w:rsidR="00F27BCF" w:rsidRPr="00E02468">
        <w:rPr>
          <w:rFonts w:ascii="Arial" w:hAnsi="Arial" w:cs="Arial"/>
          <w:sz w:val="24"/>
          <w:szCs w:val="24"/>
          <w:lang w:val="en-GB" w:eastAsia="en-GB"/>
        </w:rPr>
        <w:t>.</w:t>
      </w:r>
    </w:p>
    <w:p w14:paraId="370868CF" w14:textId="77777777" w:rsidR="004003AA" w:rsidRPr="00E02468" w:rsidRDefault="004003AA" w:rsidP="00992227">
      <w:pPr>
        <w:pStyle w:val="Heading2"/>
        <w:rPr>
          <w:rFonts w:cs="Arial"/>
          <w:lang w:val="en-GB" w:eastAsia="en-GB"/>
        </w:rPr>
      </w:pPr>
      <w:bookmarkStart w:id="39" w:name="_Toc240932126"/>
      <w:r w:rsidRPr="00E02468">
        <w:rPr>
          <w:rFonts w:cs="Arial"/>
          <w:lang w:val="en-GB" w:eastAsia="en-GB"/>
        </w:rPr>
        <w:t>2.4 Customer Service Quality in the UK Restaurant Industry</w:t>
      </w:r>
      <w:bookmarkEnd w:id="39"/>
    </w:p>
    <w:p w14:paraId="58A9A517" w14:textId="77777777" w:rsidR="004003AA" w:rsidRPr="00E02468" w:rsidRDefault="004003AA" w:rsidP="00992227">
      <w:pPr>
        <w:pStyle w:val="Heading3"/>
        <w:rPr>
          <w:rFonts w:cs="Arial"/>
          <w:lang w:val="en-GB" w:eastAsia="en-GB"/>
        </w:rPr>
      </w:pPr>
      <w:bookmarkStart w:id="40" w:name="_Toc240932127"/>
      <w:r w:rsidRPr="00E02468">
        <w:rPr>
          <w:rFonts w:cs="Arial"/>
          <w:lang w:val="en-GB" w:eastAsia="en-GB"/>
        </w:rPr>
        <w:t>2.4.1 Concept of Customer Service Quality</w:t>
      </w:r>
      <w:bookmarkEnd w:id="40"/>
    </w:p>
    <w:p w14:paraId="7F2F3FAA" w14:textId="1F54882F" w:rsidR="004003AA" w:rsidRPr="00E02468" w:rsidRDefault="00FA6729"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Quality of customer service is how well and consistently the service is provided to customers as compared to their expectations. The service quality in a restaurant is not the same as the quality of the food since it is mainly related to the way that service is provided and encompasses employee behaviour, communication, responsiveness and professionalism. Food quality is still relevant, but employee-customer interactions have a direct impact on the customer's experience due to the close relationship between employees and customers in restaurants (Nickson, 2022). </w:t>
      </w:r>
    </w:p>
    <w:p w14:paraId="52AA5491" w14:textId="77777777" w:rsidR="004003AA" w:rsidRPr="00E02468" w:rsidRDefault="004003AA" w:rsidP="00992227">
      <w:pPr>
        <w:pStyle w:val="Heading3"/>
        <w:rPr>
          <w:rFonts w:cs="Arial"/>
          <w:lang w:val="en-GB" w:eastAsia="en-GB"/>
        </w:rPr>
      </w:pPr>
      <w:bookmarkStart w:id="41" w:name="_Toc240932128"/>
      <w:r w:rsidRPr="00E02468">
        <w:rPr>
          <w:rFonts w:cs="Arial"/>
          <w:lang w:val="en-GB" w:eastAsia="en-GB"/>
        </w:rPr>
        <w:t>2.4.2 Dimensions of Restaurant Service Quality</w:t>
      </w:r>
      <w:bookmarkEnd w:id="41"/>
    </w:p>
    <w:p w14:paraId="2B8893AD"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According to Parasuraman, Zeithaml and Berry (1988), there are five dimensions of service quality - reliability, responsiveness, assurance, empathy and tangibles.</w:t>
      </w:r>
    </w:p>
    <w:p w14:paraId="319627B2"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Reliability is the ability to provide services in a timely and precise manner. Employees of restaurants contribute by taking the proper order, providing right service to the customer and maintaining service standards.</w:t>
      </w:r>
    </w:p>
    <w:p w14:paraId="687D94F4"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Responsiveness relates to how quickly employees are willing to help. In busy restaurant service, it is imperative that they respond quickly to requests, questions and complaints from customers.</w:t>
      </w:r>
    </w:p>
    <w:p w14:paraId="34C844CF"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Assurance is about employees' knowledge, competence and courtesy to build customer confidence. Employees can exhibit professionalism and product knowledge with the right training.</w:t>
      </w:r>
    </w:p>
    <w:p w14:paraId="02048FD2"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Empathy is about giving customers personalized care and attention, providing them with the care they need. Staff show empathy by listening to, responding to and dealing with complaints appropriately.</w:t>
      </w:r>
    </w:p>
    <w:p w14:paraId="040E1DDF"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Tangibles involve physical facilities, equipment, cleanliness and the appearance of employees. Staff are involved in making things clean and presenting well.</w:t>
      </w:r>
    </w:p>
    <w:p w14:paraId="2C9C986E" w14:textId="77777777"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While SERVQUAL continues to be relevant, current service settings may also include digital ordering, online platforms and evolving customer expectations, necessitating the application of traditional dimensions of service quality in the context of the modern service environment (Wood, 2021).</w:t>
      </w:r>
    </w:p>
    <w:p w14:paraId="0E908913" w14:textId="77777777" w:rsidR="004043E8" w:rsidRPr="00E02468" w:rsidRDefault="004043E8" w:rsidP="00992227">
      <w:pPr>
        <w:pStyle w:val="Heading3"/>
        <w:rPr>
          <w:rFonts w:cs="Arial"/>
          <w:lang w:val="en-GB" w:eastAsia="en-GB"/>
        </w:rPr>
      </w:pPr>
      <w:bookmarkStart w:id="42" w:name="_Toc240932129"/>
      <w:r w:rsidRPr="00E02468">
        <w:rPr>
          <w:rFonts w:cs="Arial"/>
          <w:lang w:val="en-GB" w:eastAsia="en-GB"/>
        </w:rPr>
        <w:t>2.4.3 Customer Satisfaction and Restaurant Performance</w:t>
      </w:r>
      <w:bookmarkEnd w:id="42"/>
    </w:p>
    <w:p w14:paraId="59E74F51" w14:textId="6E94E16E" w:rsidR="004043E8"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Customer satisfaction is closely linked with service quality, as customers are more likely to be satisfied if service is of an acceptable quality. A high level of satisfaction can lead to returning visits, customer loyalty, good word of mouth and good online reviews. On the other hand, if the service is not the best, customers can complain and leave negative reviews, harming the reputation of the restaurant. </w:t>
      </w:r>
      <w:r w:rsidR="00992227" w:rsidRPr="00E02468">
        <w:rPr>
          <w:rFonts w:ascii="Arial" w:hAnsi="Arial" w:cs="Arial"/>
          <w:sz w:val="24"/>
          <w:szCs w:val="24"/>
          <w:lang w:val="en-GB" w:eastAsia="en-GB"/>
        </w:rPr>
        <w:t>Therefore,</w:t>
      </w:r>
      <w:r w:rsidRPr="00E02468">
        <w:rPr>
          <w:rFonts w:ascii="Arial" w:hAnsi="Arial" w:cs="Arial"/>
          <w:sz w:val="24"/>
          <w:szCs w:val="24"/>
          <w:lang w:val="en-GB" w:eastAsia="en-GB"/>
        </w:rPr>
        <w:t xml:space="preserve"> the quality of services provided can be an important determinant of the overall performance of the organisation through its effect on customers' retention, customer income and competitive performance.</w:t>
      </w:r>
    </w:p>
    <w:p w14:paraId="19DABB78" w14:textId="77777777" w:rsidR="004043E8" w:rsidRPr="00E02468" w:rsidRDefault="004043E8" w:rsidP="00992227">
      <w:pPr>
        <w:pStyle w:val="Heading3"/>
        <w:rPr>
          <w:rFonts w:cs="Arial"/>
          <w:lang w:val="en-GB" w:eastAsia="en-GB"/>
        </w:rPr>
      </w:pPr>
      <w:bookmarkStart w:id="43" w:name="_Toc240932130"/>
      <w:r w:rsidRPr="00E02468">
        <w:rPr>
          <w:rFonts w:cs="Arial"/>
          <w:lang w:val="en-GB" w:eastAsia="en-GB"/>
        </w:rPr>
        <w:t>2.4.4 Contemporary Challenges</w:t>
      </w:r>
      <w:bookmarkEnd w:id="43"/>
    </w:p>
    <w:p w14:paraId="17AD2BC8" w14:textId="769378B7" w:rsidR="004C77ED" w:rsidRPr="00E02468" w:rsidRDefault="004043E8"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Customers have greater expectations of speed, convenience, personalisation and responsiveness at UK restaurants. The pressures of digital ordering and online reviews have added to service quality concerns. Meanwhile, a lack of staff and the fluctuation of employees can make it challenging to deliver services in a consistent manner (UKHospitality, 2024). The effective recruitment, development and retention of employees is even more critical since the onset of the COVID-19 pandemic. In order to provide high-quality service to customers, restaurants must manage human resources strategically and ensure that their staff has the skills, motivation and resources to serve customers effectively in a meaningful way.</w:t>
      </w:r>
    </w:p>
    <w:p w14:paraId="22E4A8F5" w14:textId="77777777" w:rsidR="000B0ECF" w:rsidRPr="00E02468" w:rsidRDefault="000B0ECF" w:rsidP="00992227">
      <w:pPr>
        <w:pStyle w:val="Heading2"/>
        <w:jc w:val="both"/>
        <w:rPr>
          <w:rFonts w:cs="Arial"/>
          <w:lang w:val="en-GB" w:eastAsia="en-GB"/>
        </w:rPr>
      </w:pPr>
      <w:bookmarkStart w:id="44" w:name="_Toc240932131"/>
      <w:r w:rsidRPr="00E02468">
        <w:rPr>
          <w:rFonts w:cs="Arial"/>
          <w:lang w:val="en-GB" w:eastAsia="en-GB"/>
        </w:rPr>
        <w:t>2.5 Relationship Between HCM Practices and Customer Service Quality</w:t>
      </w:r>
      <w:bookmarkEnd w:id="44"/>
    </w:p>
    <w:p w14:paraId="393287D6" w14:textId="56549CE1" w:rsidR="000B0ECF" w:rsidRPr="00E02468" w:rsidRDefault="000D13FC"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Human Capital Management (HCM) practices can have a significant impact on the quality of service provided by the organisation as they help build the capacity, motivation and opportunities of employees to perform effectively. The effectiveness of HCM practices can therefore impact customer experiences (Nickson, 2022) directly in the restaurant industry as the frontline employee is a key part of the service delivery process. </w:t>
      </w:r>
    </w:p>
    <w:p w14:paraId="6291E57F" w14:textId="77777777" w:rsidR="000B0ECF" w:rsidRPr="00E02468" w:rsidRDefault="000B0ECF" w:rsidP="00992227">
      <w:pPr>
        <w:pStyle w:val="Heading3"/>
        <w:rPr>
          <w:rFonts w:cs="Arial"/>
          <w:lang w:val="en-GB" w:eastAsia="en-GB"/>
        </w:rPr>
      </w:pPr>
      <w:bookmarkStart w:id="45" w:name="_Toc240932132"/>
      <w:r w:rsidRPr="00E02468">
        <w:rPr>
          <w:rFonts w:cs="Arial"/>
          <w:lang w:val="en-GB" w:eastAsia="en-GB"/>
        </w:rPr>
        <w:t>2.5.1 Recruitment and Customer Service Quality</w:t>
      </w:r>
      <w:bookmarkEnd w:id="45"/>
    </w:p>
    <w:p w14:paraId="121E214A" w14:textId="7B0DBB43" w:rsidR="000B0ECF" w:rsidRPr="00E02468" w:rsidRDefault="000D13FC"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Recruitment and selection can be used to enhance the quality of the service by hiring employees with the necessary technical skills, interpersonal relations and customer service orientations. Personnel with the right employability skills and an appropriate organisational culture might better be able to communicate effectively, understand customer requirements and uphold standards of professional service (Armstrong and Taylor, 2023). </w:t>
      </w:r>
    </w:p>
    <w:p w14:paraId="28EFD9CB" w14:textId="77777777" w:rsidR="000B0ECF" w:rsidRPr="00E02468" w:rsidRDefault="000B0ECF" w:rsidP="00992227">
      <w:pPr>
        <w:pStyle w:val="Heading3"/>
        <w:rPr>
          <w:rFonts w:cs="Arial"/>
          <w:lang w:val="en-GB" w:eastAsia="en-GB"/>
        </w:rPr>
      </w:pPr>
      <w:bookmarkStart w:id="46" w:name="_Toc240932133"/>
      <w:r w:rsidRPr="00E02468">
        <w:rPr>
          <w:rFonts w:cs="Arial"/>
          <w:lang w:val="en-GB" w:eastAsia="en-GB"/>
        </w:rPr>
        <w:t>2.5.2 Training and Customer Service Quality</w:t>
      </w:r>
      <w:bookmarkEnd w:id="46"/>
    </w:p>
    <w:p w14:paraId="047F0B25" w14:textId="77777777" w:rsidR="00B10351" w:rsidRPr="00E02468" w:rsidRDefault="00B10351"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Train employees to develop their ability and knowledge, especially communication, product knowledge, complaint handling and service procedures. Staff can be more assertive, responsive and consistent with customers when they are well trained. In terms of Human Capital Theory, training is an investment that enhances employees' capacity and increases productivity and performance (Becker, 1964). However, the positive effects of training to improve worker skills could be undermined if there is a high turnover of trained employees. </w:t>
      </w:r>
    </w:p>
    <w:p w14:paraId="0194C137" w14:textId="614DE60A" w:rsidR="000B0ECF" w:rsidRPr="00E02468" w:rsidRDefault="000B0ECF" w:rsidP="00992227">
      <w:pPr>
        <w:pStyle w:val="Heading3"/>
        <w:rPr>
          <w:rFonts w:cs="Arial"/>
          <w:lang w:val="en-GB" w:eastAsia="en-GB"/>
        </w:rPr>
      </w:pPr>
      <w:bookmarkStart w:id="47" w:name="_Toc240932134"/>
      <w:r w:rsidRPr="00E02468">
        <w:rPr>
          <w:rFonts w:cs="Arial"/>
          <w:lang w:val="en-GB" w:eastAsia="en-GB"/>
        </w:rPr>
        <w:t>2.5.3 Employee Engagement and Customer Service Quality</w:t>
      </w:r>
      <w:bookmarkEnd w:id="47"/>
    </w:p>
    <w:p w14:paraId="42C51247" w14:textId="2B133F80" w:rsidR="000B0ECF" w:rsidRPr="00E02468" w:rsidRDefault="00ED52A5"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With committed employees, you'll find that they'll show greater commitment and discretionary effort when performing their duties. This can lead to more interactions with positive outcomes, improved responsiveness in restaurants, and a more positive approach towards solving customer issues. Albrecht et al. (2021) propose that employee engagement can be linked to better performance of employees and organisational results. In the AMO model, engagement especially fosters motivation and employees' desire to apply their competencies (Appelbaum et al., 2000).</w:t>
      </w:r>
    </w:p>
    <w:p w14:paraId="1D5B0995" w14:textId="77777777" w:rsidR="000B0ECF" w:rsidRPr="00E02468" w:rsidRDefault="000B0ECF" w:rsidP="00992227">
      <w:pPr>
        <w:pStyle w:val="Heading3"/>
        <w:rPr>
          <w:rFonts w:cs="Arial"/>
          <w:lang w:val="en-GB" w:eastAsia="en-GB"/>
        </w:rPr>
      </w:pPr>
      <w:bookmarkStart w:id="48" w:name="_Toc240932135"/>
      <w:r w:rsidRPr="00E02468">
        <w:rPr>
          <w:rFonts w:cs="Arial"/>
          <w:lang w:val="en-GB" w:eastAsia="en-GB"/>
        </w:rPr>
        <w:t>2.5.4 Performance Management and Customer Service Quality</w:t>
      </w:r>
      <w:bookmarkEnd w:id="48"/>
    </w:p>
    <w:p w14:paraId="488B6BA0" w14:textId="36EACF9A" w:rsidR="000B0ECF" w:rsidRPr="00E02468" w:rsidRDefault="00FF3269"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Performance management can set clear expectations of the level of service and offer staff feedback and coaching on a regular basis. Order accuracy, responsiveness, and customer feedback are some of the indicators that can be used to identify issues in performance and increase the consistency of service (Armstrong and Taylor, 2023). </w:t>
      </w:r>
    </w:p>
    <w:p w14:paraId="27ACB271" w14:textId="77777777" w:rsidR="000B0ECF" w:rsidRPr="00E02468" w:rsidRDefault="000B0ECF" w:rsidP="00992227">
      <w:pPr>
        <w:pStyle w:val="Heading3"/>
        <w:rPr>
          <w:rFonts w:cs="Arial"/>
          <w:lang w:val="en-GB" w:eastAsia="en-GB"/>
        </w:rPr>
      </w:pPr>
      <w:bookmarkStart w:id="49" w:name="_Toc240932136"/>
      <w:r w:rsidRPr="00E02468">
        <w:rPr>
          <w:rFonts w:cs="Arial"/>
          <w:lang w:val="en-GB" w:eastAsia="en-GB"/>
        </w:rPr>
        <w:t>2.5.5 Reward and Recognition and Customer Service Quality</w:t>
      </w:r>
      <w:bookmarkEnd w:id="49"/>
    </w:p>
    <w:p w14:paraId="2746604F" w14:textId="0602AC4C" w:rsidR="000B0ECF" w:rsidRPr="00E02468" w:rsidRDefault="00474A6B"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Rewards, both monetary and non-monetary, can reinforce the motivation of employees and stimulate customer behaviour. Rewards for good service delivery can reinforce positive service behaviours and good pay and career opportunities can improve commitment. But monetary incentives might not be enough - supportive management, recognition and development opportunity are also vital for sustainable motivation.</w:t>
      </w:r>
    </w:p>
    <w:p w14:paraId="51E98692" w14:textId="77777777" w:rsidR="000B0ECF" w:rsidRPr="00E02468" w:rsidRDefault="000B0ECF" w:rsidP="00992227">
      <w:pPr>
        <w:pStyle w:val="Heading3"/>
        <w:rPr>
          <w:rFonts w:cs="Arial"/>
          <w:lang w:val="en-GB" w:eastAsia="en-GB"/>
        </w:rPr>
      </w:pPr>
      <w:bookmarkStart w:id="50" w:name="_Toc240932137"/>
      <w:r w:rsidRPr="00E02468">
        <w:rPr>
          <w:rFonts w:cs="Arial"/>
          <w:lang w:val="en-GB" w:eastAsia="en-GB"/>
        </w:rPr>
        <w:t>2.5.6 Employee Retention and Customer Service Quality</w:t>
      </w:r>
      <w:bookmarkEnd w:id="50"/>
    </w:p>
    <w:p w14:paraId="06DC8102" w14:textId="33CA3C8F" w:rsidR="000B0ECF" w:rsidRPr="00E02468" w:rsidRDefault="00376D7D"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retention can contribute to service quality by maintaining the organisational knowledge, experienced employees and stable teams. Senior staff might be better equipped to grasp the needs and expectations of customers, as well as the company's processes, which can lead to a more uniform level of service and better customer connections. Conversely, a high employee turnover may result in higher hiring and training costs, as well as inconsistent service (Baum, 2020).</w:t>
      </w:r>
    </w:p>
    <w:p w14:paraId="544DE7C4" w14:textId="77777777" w:rsidR="000B0ECF" w:rsidRPr="00E02468" w:rsidRDefault="000B0ECF" w:rsidP="00992227">
      <w:pPr>
        <w:pStyle w:val="Heading3"/>
        <w:rPr>
          <w:rFonts w:cs="Arial"/>
          <w:lang w:val="en-GB" w:eastAsia="en-GB"/>
        </w:rPr>
      </w:pPr>
      <w:bookmarkStart w:id="51" w:name="_Toc240932138"/>
      <w:r w:rsidRPr="00E02468">
        <w:rPr>
          <w:rFonts w:cs="Arial"/>
          <w:lang w:val="en-GB" w:eastAsia="en-GB"/>
        </w:rPr>
        <w:t>2.5.7 Employee Performance as a Mediating Mechanism</w:t>
      </w:r>
      <w:bookmarkEnd w:id="51"/>
    </w:p>
    <w:p w14:paraId="6F99BC5C" w14:textId="77777777" w:rsidR="006B34E7" w:rsidRPr="00E02468" w:rsidRDefault="006B34E7"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According to the literature, the influences of HCM practices on CSQ are mainly that of their impact on employee performance. Workforce suitability is built through recruitment, on-the-job training builds capability, engagement and rewards boost motivation, performance management gives direction and retention keeps experience. The following practices can thus be depicted as:</w:t>
      </w:r>
    </w:p>
    <w:p w14:paraId="63675A34" w14:textId="4F093C7D" w:rsidR="000B0ECF" w:rsidRPr="00E02468" w:rsidRDefault="006B34E7"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performance is thus an intervening mechanism between HCM practices and customer service quality. This link is in line with AMO Theory which suggests that employees' capacity, motivation and opportunity to contribute to the company is essential to their effective performance (Appelbaum et al., 2000)..</w:t>
      </w:r>
    </w:p>
    <w:p w14:paraId="58043D02" w14:textId="77777777" w:rsidR="00627034" w:rsidRPr="00E02468" w:rsidRDefault="00627034" w:rsidP="00992227">
      <w:pPr>
        <w:pStyle w:val="Heading2"/>
        <w:rPr>
          <w:rFonts w:cs="Arial"/>
          <w:lang w:val="en-GB" w:eastAsia="en-GB"/>
        </w:rPr>
      </w:pPr>
      <w:bookmarkStart w:id="52" w:name="_Toc240932139"/>
      <w:r w:rsidRPr="00E02468">
        <w:rPr>
          <w:rFonts w:cs="Arial"/>
          <w:lang w:val="en-GB" w:eastAsia="en-GB"/>
        </w:rPr>
        <w:t>2.6 Critical Comparison and Synthesis of Previous Studies</w:t>
      </w:r>
      <w:bookmarkEnd w:id="52"/>
    </w:p>
    <w:p w14:paraId="60756347" w14:textId="5EADF6F7" w:rsidR="000638BB" w:rsidRPr="00E02468" w:rsidRDefault="000638BB"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links between Human Capital Management (HCM) practices and employee performance and service outcomes are generally supported in previous studies, but vary in degree and kind depending on the context of the organisation. There is a wide consensus that training and development is a key issue. Studies have indicated that employees' knowledge, skills and confidence are enhanced through training, allowing them to better meet customer needs (Armstrong and Taylor, 2023). Likewise, employee engagement is correlated with better commitment, discretionary effort and customer-oriented actions (Albrecht et al., 2021). Selecting the right candidates for the right job can help to create a better match between an employee's skills and their job requirements, and the right rewards can boost motivation and can help to encourage positive customer service behaviours. (Nickson, 2022) </w:t>
      </w:r>
    </w:p>
    <w:p w14:paraId="126E7E9A" w14:textId="1CB3D609" w:rsidR="000638BB" w:rsidRPr="00E02468" w:rsidRDefault="000638BB"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Several points of controversy have also been detected in the literature however. While extrinsic motivators like money can boost motivation, some research highlights the importance of intrinsic motivators, encompassing recognition, autonomy, career advancement, and valuable work. Likewise, training is regarded as an investment in human capital; however, it can have a negative effect on the organisational return if trained staff members leave the organisation (Baum, 2020). A balance between monitoring and freedom of choice can help to enhance consistency with the use of clear standards and feedback, but over-monitoring can increase pressure and decrease employee autonomy in the workplace. </w:t>
      </w:r>
    </w:p>
    <w:p w14:paraId="33FB8B53" w14:textId="697DB8C2" w:rsidR="000638BB" w:rsidRPr="00E02468" w:rsidRDefault="000638BB"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methodological approach of the thus far conducted research has mostly focused on quantitative questionnaires among employees and on cross-sectional designs in order to examine the relationship between HR practices and employee attitudes and organisational outcomes. These studies can deliver measurable evidence but may lack in explaining the mechanism by which HCM practices may affect customer experiences. Research based on case studies and interviews can yield a fuller picture of the context, but may not have as much generalisability. </w:t>
      </w:r>
    </w:p>
    <w:p w14:paraId="13521477" w14:textId="77777777" w:rsidR="00D31548" w:rsidRPr="00E02468" w:rsidRDefault="000638BB" w:rsidP="00D3154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This study further enriches the findings of the previous study, which was based on a qualitative analysis of secondary materials obtained from academic literature and credible industry sources. </w:t>
      </w:r>
      <w:r w:rsidR="00D31548" w:rsidRPr="00E02468">
        <w:rPr>
          <w:rFonts w:ascii="Arial" w:hAnsi="Arial" w:cs="Arial"/>
          <w:sz w:val="24"/>
          <w:szCs w:val="24"/>
          <w:lang w:val="en-GB" w:eastAsia="en-GB"/>
        </w:rPr>
        <w:t>This facilitates the integration of the results of various methodological and organisational settings, as well as the insights it offers on the complexity of the relationships between HCM practices and employee performance and service quality in the UK restaurant sector.</w:t>
      </w:r>
    </w:p>
    <w:p w14:paraId="4EE7C4C3" w14:textId="77777777" w:rsidR="00D31548" w:rsidRPr="00E02468" w:rsidRDefault="00D31548" w:rsidP="00D31548">
      <w:pPr>
        <w:pStyle w:val="Heading2"/>
        <w:rPr>
          <w:rFonts w:cs="Arial"/>
          <w:lang w:val="en-GB" w:eastAsia="en-GB"/>
        </w:rPr>
      </w:pPr>
      <w:bookmarkStart w:id="53" w:name="_Toc240932140"/>
      <w:r w:rsidRPr="00E02468">
        <w:rPr>
          <w:rFonts w:cs="Arial"/>
          <w:lang w:val="en-GB" w:eastAsia="en-GB"/>
        </w:rPr>
        <w:t>2.7 Conceptual Framework</w:t>
      </w:r>
      <w:bookmarkEnd w:id="53"/>
    </w:p>
    <w:p w14:paraId="5F3FCD98" w14:textId="7F3AE074" w:rsidR="00407F72" w:rsidRPr="00E02468" w:rsidRDefault="00D31548" w:rsidP="00D3154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conceptual framework developed for this study shows the expected relationship between Human Capital Management (HCM) practices and customer service quality in the UK Restaurant industry, and the expected outcomes of the customer service quality. The framework incorporates the Human Capital Theory, Resource Based View (RBV) and AMO theory, and the SERVQUAL dimensions are used to conceptualise the customer service quality (Becker, 1964; Barney, 1991; Appelbaum et al., 2000; Parasuraman, Zeithaml and Berry, 1988).</w:t>
      </w:r>
    </w:p>
    <w:p w14:paraId="3408232D" w14:textId="77777777" w:rsidR="00463621" w:rsidRPr="00E02468" w:rsidRDefault="00407F72" w:rsidP="0046362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six HCM practices constitute the independent variables: recruitment and selection, training and development, employee engagement, performance management, reward and recognition, and employee retention. These practices are expected to strengthen employees' skills, motivation and organisational commitment. </w:t>
      </w:r>
      <w:r w:rsidR="00463621" w:rsidRPr="00E02468">
        <w:rPr>
          <w:rFonts w:ascii="Arial" w:hAnsi="Arial" w:cs="Arial"/>
          <w:sz w:val="24"/>
          <w:szCs w:val="24"/>
          <w:lang w:val="en-GB" w:eastAsia="en-GB"/>
        </w:rPr>
        <w:t>Therefore, employee performance is identified as a mediating variable, which serves as the mechanism through which HCM practices lead to better service delivery.</w:t>
      </w:r>
    </w:p>
    <w:p w14:paraId="18E9F105" w14:textId="588BD02A" w:rsidR="00407F72" w:rsidRPr="00E02468" w:rsidRDefault="00463621" w:rsidP="0046362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expected outcomes of the employee performance are expected to impact the quality of customer service that is realised, which has been broken down into the 5 SERVQUAL dimensions; reliability, responsiveness, assurance, empathy and tangibles (Parasuraman, Zeithaml and Berry, 1988)</w:t>
      </w:r>
      <w:r w:rsidR="00407F72" w:rsidRPr="00E02468">
        <w:rPr>
          <w:rFonts w:ascii="Arial" w:hAnsi="Arial" w:cs="Arial"/>
          <w:sz w:val="24"/>
          <w:szCs w:val="24"/>
          <w:lang w:val="en-GB" w:eastAsia="en-GB"/>
        </w:rPr>
        <w:t xml:space="preserve">. Higher service quality is subsequently expected to contribute to customer satisfaction, including customers' positive evaluation of their restaurant experience. </w:t>
      </w:r>
    </w:p>
    <w:p w14:paraId="61CFFE58" w14:textId="77777777" w:rsidR="00407F72" w:rsidRPr="00E02468" w:rsidRDefault="00407F72" w:rsidP="00380BDC">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The proposed relationship can therefore be represented as:</w:t>
      </w:r>
    </w:p>
    <w:p w14:paraId="63BA52B9" w14:textId="77777777" w:rsidR="00AB5EFB" w:rsidRPr="00E02468" w:rsidRDefault="006A00AF" w:rsidP="00AB5EFB">
      <w:pPr>
        <w:keepNext/>
        <w:spacing w:before="240" w:line="360" w:lineRule="auto"/>
        <w:jc w:val="center"/>
        <w:rPr>
          <w:rFonts w:ascii="Arial" w:hAnsi="Arial" w:cs="Arial"/>
          <w:lang w:val="en-GB"/>
        </w:rPr>
      </w:pPr>
      <w:r w:rsidRPr="00E02468">
        <w:rPr>
          <w:rFonts w:ascii="Arial" w:hAnsi="Arial" w:cs="Arial"/>
          <w:noProof/>
          <w:sz w:val="24"/>
          <w:szCs w:val="24"/>
          <w14:ligatures w14:val="standardContextual"/>
        </w:rPr>
        <w:drawing>
          <wp:inline distT="0" distB="0" distL="0" distR="0" wp14:anchorId="62E844B7" wp14:editId="5940AB20">
            <wp:extent cx="1971675" cy="246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811_20004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0665" cy="2488221"/>
                    </a:xfrm>
                    <a:prstGeom prst="rect">
                      <a:avLst/>
                    </a:prstGeom>
                  </pic:spPr>
                </pic:pic>
              </a:graphicData>
            </a:graphic>
          </wp:inline>
        </w:drawing>
      </w:r>
    </w:p>
    <w:p w14:paraId="5995A496" w14:textId="28A4CC1B" w:rsidR="006A00AF" w:rsidRPr="00E02468" w:rsidRDefault="00AB5EFB" w:rsidP="00AB5EFB">
      <w:pPr>
        <w:pStyle w:val="Caption"/>
        <w:jc w:val="center"/>
        <w:rPr>
          <w:rFonts w:ascii="Arial" w:hAnsi="Arial" w:cs="Arial"/>
          <w:sz w:val="36"/>
          <w:szCs w:val="24"/>
          <w:lang w:val="en-GB"/>
        </w:rPr>
      </w:pPr>
      <w:bookmarkStart w:id="54" w:name="_Toc240932221"/>
      <w:r w:rsidRPr="00E02468">
        <w:rPr>
          <w:rFonts w:ascii="Arial" w:hAnsi="Arial" w:cs="Arial"/>
          <w:sz w:val="24"/>
          <w:lang w:val="en-GB"/>
        </w:rPr>
        <w:t xml:space="preserve">Figure </w:t>
      </w:r>
      <w:r w:rsidRPr="00E02468">
        <w:rPr>
          <w:rFonts w:ascii="Arial" w:hAnsi="Arial" w:cs="Arial"/>
          <w:sz w:val="24"/>
          <w:lang w:val="en-GB"/>
        </w:rPr>
        <w:fldChar w:fldCharType="begin"/>
      </w:r>
      <w:r w:rsidRPr="00E02468">
        <w:rPr>
          <w:rFonts w:ascii="Arial" w:hAnsi="Arial" w:cs="Arial"/>
          <w:sz w:val="24"/>
          <w:lang w:val="en-GB"/>
        </w:rPr>
        <w:instrText xml:space="preserve"> SEQ Figure \* ARABIC </w:instrText>
      </w:r>
      <w:r w:rsidRPr="00E02468">
        <w:rPr>
          <w:rFonts w:ascii="Arial" w:hAnsi="Arial" w:cs="Arial"/>
          <w:sz w:val="24"/>
          <w:lang w:val="en-GB"/>
        </w:rPr>
        <w:fldChar w:fldCharType="separate"/>
      </w:r>
      <w:r w:rsidR="00694A87" w:rsidRPr="00E02468">
        <w:rPr>
          <w:rFonts w:ascii="Arial" w:hAnsi="Arial" w:cs="Arial"/>
          <w:noProof/>
          <w:sz w:val="24"/>
          <w:lang w:val="en-GB"/>
        </w:rPr>
        <w:t>1</w:t>
      </w:r>
      <w:r w:rsidRPr="00E02468">
        <w:rPr>
          <w:rFonts w:ascii="Arial" w:hAnsi="Arial" w:cs="Arial"/>
          <w:sz w:val="24"/>
          <w:lang w:val="en-GB"/>
        </w:rPr>
        <w:fldChar w:fldCharType="end"/>
      </w:r>
      <w:r w:rsidRPr="00E02468">
        <w:rPr>
          <w:rFonts w:ascii="Arial" w:hAnsi="Arial" w:cs="Arial"/>
          <w:sz w:val="24"/>
          <w:lang w:val="en-GB"/>
        </w:rPr>
        <w:t>. Conceptual framework</w:t>
      </w:r>
      <w:bookmarkEnd w:id="54"/>
    </w:p>
    <w:p w14:paraId="6E523AE4" w14:textId="635477A0" w:rsidR="004C77ED" w:rsidRPr="00E02468" w:rsidRDefault="004C77ED"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framework is stronger than the previous version because it makes clear that HCM practices do not necessarily influence customer service quality directly only. Their effects can operate through</w:t>
      </w:r>
      <w:r w:rsidR="00700AFC" w:rsidRPr="00E02468">
        <w:rPr>
          <w:rFonts w:ascii="Arial" w:hAnsi="Arial" w:cs="Arial"/>
          <w:sz w:val="24"/>
          <w:szCs w:val="24"/>
          <w:lang w:val="en-GB" w:eastAsia="en-GB"/>
        </w:rPr>
        <w:t xml:space="preserve"> improved employee performance.</w:t>
      </w:r>
    </w:p>
    <w:p w14:paraId="0714CA52" w14:textId="77777777" w:rsidR="000435A2" w:rsidRPr="00E02468" w:rsidRDefault="000435A2" w:rsidP="00A23608">
      <w:pPr>
        <w:pStyle w:val="Heading2"/>
        <w:rPr>
          <w:rFonts w:cs="Arial"/>
          <w:lang w:val="en-GB" w:eastAsia="en-GB"/>
        </w:rPr>
      </w:pPr>
      <w:bookmarkStart w:id="55" w:name="_Toc240932141"/>
      <w:r w:rsidRPr="00E02468">
        <w:rPr>
          <w:rFonts w:cs="Arial"/>
          <w:lang w:val="en-GB" w:eastAsia="en-GB"/>
        </w:rPr>
        <w:t>2.8 Research Hypotheses</w:t>
      </w:r>
      <w:bookmarkEnd w:id="55"/>
    </w:p>
    <w:p w14:paraId="43A26B41"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Based on the conceptual framework and reviewed literature, eight literature-derived hypotheses are developed. As this study uses qualitative secondary data, the hypotheses will not be statistically tested. Instead, they will guide the thematic analysis by providing propositions against which the evidence can be compared.</w:t>
      </w:r>
    </w:p>
    <w:p w14:paraId="48F970AF"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H1</w:t>
      </w:r>
      <w:r w:rsidRPr="00E02468">
        <w:rPr>
          <w:rFonts w:ascii="Arial" w:hAnsi="Arial" w:cs="Arial"/>
          <w:sz w:val="24"/>
          <w:szCs w:val="24"/>
          <w:lang w:val="en-GB" w:eastAsia="en-GB"/>
        </w:rPr>
        <w:t>: Effective recruitment and selection practices are positively associated with employee performance and customer service quality in the UK restaurant industry (Armstrong and Taylor, 2023; Nickson, 2022).</w:t>
      </w:r>
    </w:p>
    <w:p w14:paraId="2464BBC6"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H2</w:t>
      </w:r>
      <w:r w:rsidRPr="00E02468">
        <w:rPr>
          <w:rFonts w:ascii="Arial" w:hAnsi="Arial" w:cs="Arial"/>
          <w:sz w:val="24"/>
          <w:szCs w:val="24"/>
          <w:lang w:val="en-GB" w:eastAsia="en-GB"/>
        </w:rPr>
        <w:t>: Effective training and development practices are positively associated with employee performance and customer service quality (Becker, 1964; Armstrong and Taylor, 2023).</w:t>
      </w:r>
    </w:p>
    <w:p w14:paraId="4784585F"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H3</w:t>
      </w:r>
      <w:r w:rsidRPr="00E02468">
        <w:rPr>
          <w:rFonts w:ascii="Arial" w:hAnsi="Arial" w:cs="Arial"/>
          <w:sz w:val="24"/>
          <w:szCs w:val="24"/>
          <w:lang w:val="en-GB" w:eastAsia="en-GB"/>
        </w:rPr>
        <w:t>: Higher employee engagement is positively associated with employee performance and customer service quality (Albrecht et al., 2021).</w:t>
      </w:r>
    </w:p>
    <w:p w14:paraId="3B3F0C41"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H4:</w:t>
      </w:r>
      <w:r w:rsidRPr="00E02468">
        <w:rPr>
          <w:rFonts w:ascii="Arial" w:hAnsi="Arial" w:cs="Arial"/>
          <w:sz w:val="24"/>
          <w:szCs w:val="24"/>
          <w:lang w:val="en-GB" w:eastAsia="en-GB"/>
        </w:rPr>
        <w:t xml:space="preserve"> Effective performance management practices are positively associated with employee performance and customer service quality (Armstrong and Taylor, 2023).</w:t>
      </w:r>
    </w:p>
    <w:p w14:paraId="7CC5E7FC"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H5:</w:t>
      </w:r>
      <w:r w:rsidRPr="00E02468">
        <w:rPr>
          <w:rFonts w:ascii="Arial" w:hAnsi="Arial" w:cs="Arial"/>
          <w:sz w:val="24"/>
          <w:szCs w:val="24"/>
          <w:lang w:val="en-GB" w:eastAsia="en-GB"/>
        </w:rPr>
        <w:t xml:space="preserve"> Effective reward and recognition practices are positively associated with employee motivation, employee performance and customer service quality (Armstrong and Taylor, 2023).</w:t>
      </w:r>
    </w:p>
    <w:p w14:paraId="4F61AE99"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H6</w:t>
      </w:r>
      <w:r w:rsidRPr="00E02468">
        <w:rPr>
          <w:rFonts w:ascii="Arial" w:hAnsi="Arial" w:cs="Arial"/>
          <w:sz w:val="24"/>
          <w:szCs w:val="24"/>
          <w:lang w:val="en-GB" w:eastAsia="en-GB"/>
        </w:rPr>
        <w:t>: Effective employee retention practices are positively associated with employee performance and consistent customer service quality (Baum, 2020).</w:t>
      </w:r>
    </w:p>
    <w:p w14:paraId="71740DC1"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H7:</w:t>
      </w:r>
      <w:r w:rsidRPr="00E02468">
        <w:rPr>
          <w:rFonts w:ascii="Arial" w:hAnsi="Arial" w:cs="Arial"/>
          <w:sz w:val="24"/>
          <w:szCs w:val="24"/>
          <w:lang w:val="en-GB" w:eastAsia="en-GB"/>
        </w:rPr>
        <w:t xml:space="preserve"> Effective integration of HCM practices is positively associated with employee performance and customer service quality (Barney, 1991; Appelbaum et al., 2000).</w:t>
      </w:r>
    </w:p>
    <w:p w14:paraId="0C408DB7" w14:textId="77777777"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H8:</w:t>
      </w:r>
      <w:r w:rsidRPr="00E02468">
        <w:rPr>
          <w:rFonts w:ascii="Arial" w:hAnsi="Arial" w:cs="Arial"/>
          <w:sz w:val="24"/>
          <w:szCs w:val="24"/>
          <w:lang w:val="en-GB" w:eastAsia="en-GB"/>
        </w:rPr>
        <w:t xml:space="preserve"> Improved employee performance positively influences customer service quality and customer satisfaction (Appelbaum et al., 2000; Parasuraman, Zeithaml and Berry, 1988).</w:t>
      </w:r>
    </w:p>
    <w:p w14:paraId="23896ED6" w14:textId="7AE78B1D" w:rsidR="000435A2" w:rsidRPr="00E02468" w:rsidRDefault="000435A2"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These hypotheses directly correspond to the conceptual framework. Chapter 4 will assess whether the secondary evidence supports, partially supports, or challenges each proposition. </w:t>
      </w:r>
    </w:p>
    <w:p w14:paraId="5E39B768" w14:textId="77777777" w:rsidR="00465467" w:rsidRPr="00E02468" w:rsidRDefault="00465467" w:rsidP="00A23608">
      <w:pPr>
        <w:pStyle w:val="Heading2"/>
        <w:rPr>
          <w:rFonts w:cs="Arial"/>
          <w:lang w:val="en-GB" w:eastAsia="en-GB"/>
        </w:rPr>
      </w:pPr>
      <w:bookmarkStart w:id="56" w:name="_Toc240932142"/>
      <w:r w:rsidRPr="00E02468">
        <w:rPr>
          <w:rFonts w:cs="Arial"/>
          <w:lang w:val="en-GB" w:eastAsia="en-GB"/>
        </w:rPr>
        <w:t>2.9 Chapter Summary</w:t>
      </w:r>
      <w:bookmarkEnd w:id="56"/>
    </w:p>
    <w:p w14:paraId="1493CF6B" w14:textId="5476F6A6" w:rsidR="009852A2" w:rsidRPr="00E02468" w:rsidRDefault="003873F4" w:rsidP="00380BD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chapter undertook a critical review of the literature on Human Capital Management (HCM) and how it will affect customer service quality in the restaurant sector in the UK</w:t>
      </w:r>
      <w:r w:rsidR="00465467" w:rsidRPr="00E02468">
        <w:rPr>
          <w:rFonts w:ascii="Arial" w:hAnsi="Arial" w:cs="Arial"/>
          <w:sz w:val="24"/>
          <w:szCs w:val="24"/>
          <w:lang w:val="en-GB" w:eastAsia="en-GB"/>
        </w:rPr>
        <w:t xml:space="preserve">. The literature indicates that HCM can strengthen organisational performance by developing employee capabilities, motivation and commitment. Six key practices—recruitment and selection, training and development, employee engagement, performance management, reward and recognition, and employee retention—were identified as important mechanisms influencing employee performance and service delivery (Armstrong and Taylor, 2023; Nickson, 2022). The review also established that employee performance plays an important role in translating HCM practices into customer service outcomes. The SERVQUAL dimensions of reliability, responsiveness, assurance, empathy and tangibles provide a useful framework for understanding customer perceptions of service quality (Parasuraman, Zeithaml and Berry, 1988). </w:t>
      </w:r>
    </w:p>
    <w:p w14:paraId="107DDA84" w14:textId="77777777" w:rsidR="00763D18" w:rsidRPr="00E02468" w:rsidRDefault="00763D18" w:rsidP="008A020F">
      <w:pPr>
        <w:pStyle w:val="Heading1"/>
        <w:jc w:val="center"/>
        <w:rPr>
          <w:rFonts w:cs="Arial"/>
          <w:lang w:val="en-GB" w:eastAsia="en-GB"/>
        </w:rPr>
      </w:pPr>
      <w:bookmarkStart w:id="57" w:name="_Toc240932143"/>
      <w:r w:rsidRPr="00E02468">
        <w:rPr>
          <w:rFonts w:cs="Arial"/>
          <w:lang w:val="en-GB" w:eastAsia="en-GB"/>
        </w:rPr>
        <w:t>Chapter 3: Research Methodology</w:t>
      </w:r>
      <w:bookmarkEnd w:id="57"/>
    </w:p>
    <w:p w14:paraId="4DD6A523" w14:textId="16FA9142" w:rsidR="00763D18" w:rsidRPr="00E02468" w:rsidRDefault="00763D18" w:rsidP="008A020F">
      <w:pPr>
        <w:pStyle w:val="Heading2"/>
        <w:rPr>
          <w:rFonts w:cs="Arial"/>
          <w:lang w:val="en-GB" w:eastAsia="en-GB"/>
        </w:rPr>
      </w:pPr>
      <w:bookmarkStart w:id="58" w:name="_Toc240932144"/>
      <w:r w:rsidRPr="00E02468">
        <w:rPr>
          <w:rFonts w:cs="Arial"/>
          <w:lang w:val="en-GB" w:eastAsia="en-GB"/>
        </w:rPr>
        <w:t>3.1 Introduction</w:t>
      </w:r>
      <w:bookmarkEnd w:id="58"/>
    </w:p>
    <w:p w14:paraId="5191B344" w14:textId="0FBF62FC" w:rsidR="00763D18" w:rsidRPr="00E02468" w:rsidRDefault="00907A94"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chapter describes the methodology used to explore the relationship between Human Capital Management (HCM) practices and the quality of customer service in the restaurant sector in the UK. The study is of a qualitative type using secondary data which will allow for an examination of existing academic, governmental and industry evidence to be critically examined and synthesised. Qualitative research would be suitable if the purpose is to understand the meanings, relationships and explanations, in context rather than to simply measure variables statistically (Creswell and Creswell, 2018). The chapter restates the research aim and research questions, discusses the research philosophy, research approach, research design and secondary research strategy. It then describes the data sources, search strategy, inclusion and exclusion criteria, purposive selection of secondary sources and data collection procedure. The chapter then provides an overview of the thematic analysis process based on the framew</w:t>
      </w:r>
      <w:r w:rsidR="00685233" w:rsidRPr="00E02468">
        <w:rPr>
          <w:rFonts w:ascii="Arial" w:hAnsi="Arial" w:cs="Arial"/>
          <w:sz w:val="24"/>
          <w:szCs w:val="24"/>
          <w:lang w:val="en-GB" w:eastAsia="en-GB"/>
        </w:rPr>
        <w:t>ork of Braun and Clarke (2021).</w:t>
      </w:r>
    </w:p>
    <w:p w14:paraId="06B6FC9D" w14:textId="710E62CB" w:rsidR="00763D18" w:rsidRPr="00E02468" w:rsidRDefault="00763D18" w:rsidP="008A020F">
      <w:pPr>
        <w:pStyle w:val="Heading2"/>
        <w:rPr>
          <w:rFonts w:cs="Arial"/>
          <w:lang w:val="en-GB" w:eastAsia="en-GB"/>
        </w:rPr>
      </w:pPr>
      <w:bookmarkStart w:id="59" w:name="_Toc240932145"/>
      <w:r w:rsidRPr="00E02468">
        <w:rPr>
          <w:rFonts w:cs="Arial"/>
          <w:lang w:val="en-GB" w:eastAsia="en-GB"/>
        </w:rPr>
        <w:t>3.2 Research Aim and Research Questions</w:t>
      </w:r>
      <w:bookmarkEnd w:id="59"/>
    </w:p>
    <w:p w14:paraId="38A34C84" w14:textId="2EC75176"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The aim of this dissertation is:</w:t>
      </w:r>
    </w:p>
    <w:p w14:paraId="056A3286" w14:textId="3E67A4AF"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To examine the influence of Human Capital Management practices on customer service quality in the UK restaurant industry through qualitative analysis of secondary data.</w:t>
      </w:r>
    </w:p>
    <w:p w14:paraId="39246F0C" w14:textId="7D346AA0"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The study addresses four research questions:</w:t>
      </w:r>
    </w:p>
    <w:p w14:paraId="2D62D030" w14:textId="7AE30C7A" w:rsidR="00763D18" w:rsidRPr="00E02468" w:rsidRDefault="00763D18" w:rsidP="008A020F">
      <w:pPr>
        <w:pStyle w:val="ListParagraph"/>
        <w:numPr>
          <w:ilvl w:val="0"/>
          <w:numId w:val="20"/>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RQ1: How do Human Capital Management practices influence employee performance in the UK restaurant industry?</w:t>
      </w:r>
    </w:p>
    <w:p w14:paraId="2F7D579B" w14:textId="3B068C06" w:rsidR="00763D18" w:rsidRPr="00E02468" w:rsidRDefault="00763D18" w:rsidP="008A020F">
      <w:pPr>
        <w:pStyle w:val="ListParagraph"/>
        <w:numPr>
          <w:ilvl w:val="0"/>
          <w:numId w:val="20"/>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RQ2: How does employee performance influence customer service quality in UK restaurants?</w:t>
      </w:r>
    </w:p>
    <w:p w14:paraId="0D235DFB" w14:textId="44339ACA" w:rsidR="00763D18" w:rsidRPr="00E02468" w:rsidRDefault="00763D18" w:rsidP="008A020F">
      <w:pPr>
        <w:pStyle w:val="ListParagraph"/>
        <w:numPr>
          <w:ilvl w:val="0"/>
          <w:numId w:val="20"/>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RQ3: Which HCM practices appear most significant in supporting customer satisfaction and service quality?</w:t>
      </w:r>
    </w:p>
    <w:p w14:paraId="44FC2B95" w14:textId="33F7BFA4" w:rsidR="00763D18" w:rsidRPr="00E02468" w:rsidRDefault="00763D18" w:rsidP="00763D18">
      <w:pPr>
        <w:pStyle w:val="ListParagraph"/>
        <w:numPr>
          <w:ilvl w:val="0"/>
          <w:numId w:val="20"/>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RQ4: How can UK restaurant organisations improve customer service quality through effective Human Capital Management?</w:t>
      </w:r>
    </w:p>
    <w:p w14:paraId="72F06EF6" w14:textId="77777777" w:rsidR="00FE746E" w:rsidRPr="00E02468" w:rsidRDefault="00FE746E" w:rsidP="008A020F">
      <w:pPr>
        <w:pStyle w:val="Heading2"/>
        <w:rPr>
          <w:rFonts w:cs="Arial"/>
          <w:lang w:val="en-GB" w:eastAsia="en-GB"/>
        </w:rPr>
      </w:pPr>
      <w:bookmarkStart w:id="60" w:name="_Toc240932146"/>
      <w:r w:rsidRPr="00E02468">
        <w:rPr>
          <w:rFonts w:cs="Arial"/>
          <w:lang w:val="en-GB" w:eastAsia="en-GB"/>
        </w:rPr>
        <w:t>3.3 Research Philosophy</w:t>
      </w:r>
      <w:bookmarkEnd w:id="60"/>
    </w:p>
    <w:p w14:paraId="3629CCDB" w14:textId="100CEAD6" w:rsidR="00FE746E" w:rsidRPr="00E02468" w:rsidRDefault="00FE746E" w:rsidP="00FE746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3.3.1 Interpretivism</w:t>
      </w:r>
    </w:p>
    <w:p w14:paraId="55382B9E" w14:textId="41766758"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Research philosophy is related to the beliefs and suppositions with regard to the production of knowledge and the comprehension of reality (Saunders, Lewis and Thornhill, 2023). The philosophy of this dissertation is interpretivist as the research tries to explain the relationship between HCM practices, employee performance and customer service quality in a certain context.</w:t>
      </w:r>
    </w:p>
    <w:p w14:paraId="57ED330C" w14:textId="2E442ED8"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Interpretivism acknowledges that phenomena in the organisation and in the society may have multiple meanings, which relate to the respective viewpoints, experiences and contexts in which they are interpreted (Bell, Bryman and Harley, 2022). It is not always possible to grasp the concepts of employee engagement, employee motivation, service behaviour and customer satisfaction </w:t>
      </w:r>
      <w:r w:rsidR="007823D4" w:rsidRPr="00E02468">
        <w:rPr>
          <w:rFonts w:ascii="Arial" w:hAnsi="Arial" w:cs="Arial"/>
          <w:sz w:val="24"/>
          <w:szCs w:val="24"/>
          <w:lang w:val="en-GB" w:eastAsia="en-GB"/>
        </w:rPr>
        <w:t xml:space="preserve">only numerically in this study. </w:t>
      </w:r>
      <w:r w:rsidRPr="00E02468">
        <w:rPr>
          <w:rFonts w:ascii="Arial" w:hAnsi="Arial" w:cs="Arial"/>
          <w:sz w:val="24"/>
          <w:szCs w:val="24"/>
          <w:lang w:val="en-GB" w:eastAsia="en-GB"/>
        </w:rPr>
        <w:t>An interpretivist position may be appropriate for qualitative secondary research as the researcher is drawing inferences from the evidence already produced by others, and is not seeking to determine one objec</w:t>
      </w:r>
      <w:r w:rsidR="007823D4" w:rsidRPr="00E02468">
        <w:rPr>
          <w:rFonts w:ascii="Arial" w:hAnsi="Arial" w:cs="Arial"/>
          <w:sz w:val="24"/>
          <w:szCs w:val="24"/>
          <w:lang w:val="en-GB" w:eastAsia="en-GB"/>
        </w:rPr>
        <w:t xml:space="preserve">tive cause/effect relationship </w:t>
      </w:r>
      <w:r w:rsidRPr="00E02468">
        <w:rPr>
          <w:rFonts w:ascii="Arial" w:hAnsi="Arial" w:cs="Arial"/>
          <w:sz w:val="24"/>
          <w:szCs w:val="24"/>
          <w:lang w:val="en-GB" w:eastAsia="en-GB"/>
        </w:rPr>
        <w:t>(Creswell and Creswell, 2018).</w:t>
      </w:r>
    </w:p>
    <w:p w14:paraId="7558E71B" w14:textId="22EC0804"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Positivism on the other hand is more concerned with studying social phenomenon using objective observation and measurement, which is usually related to quantitative research and statistical testing (Saunders, Lewis and Thornhill, 2023). A positivist design may be suitable to validate the statistical significance of the relationship between HCM practices and customer satisfaction. This dissertation, however, does not gather primary numerical data or conduct statistically testing of the hypotheses developed in Chapter 2.</w:t>
      </w:r>
    </w:p>
    <w:p w14:paraId="6EA6ECAB" w14:textId="77777777" w:rsidR="00FE746E" w:rsidRPr="00E02468" w:rsidRDefault="00FE746E" w:rsidP="008A020F">
      <w:pPr>
        <w:pStyle w:val="Heading2"/>
        <w:rPr>
          <w:rFonts w:cs="Arial"/>
          <w:lang w:val="en-GB" w:eastAsia="en-GB"/>
        </w:rPr>
      </w:pPr>
      <w:bookmarkStart w:id="61" w:name="_Toc240932147"/>
      <w:r w:rsidRPr="00E02468">
        <w:rPr>
          <w:rFonts w:cs="Arial"/>
          <w:lang w:val="en-GB" w:eastAsia="en-GB"/>
        </w:rPr>
        <w:t>3.4 Research Approach</w:t>
      </w:r>
      <w:bookmarkEnd w:id="61"/>
    </w:p>
    <w:p w14:paraId="63948043" w14:textId="423B8E4F" w:rsidR="00FE746E" w:rsidRPr="00E02468" w:rsidRDefault="00FE746E" w:rsidP="008A020F">
      <w:pPr>
        <w:pStyle w:val="Heading3"/>
        <w:rPr>
          <w:rFonts w:cs="Arial"/>
          <w:sz w:val="28"/>
          <w:szCs w:val="32"/>
          <w:lang w:val="en-GB" w:eastAsia="en-GB"/>
        </w:rPr>
      </w:pPr>
      <w:bookmarkStart w:id="62" w:name="_Toc240932148"/>
      <w:r w:rsidRPr="00E02468">
        <w:rPr>
          <w:rFonts w:cs="Arial"/>
          <w:lang w:val="en-GB" w:eastAsia="en-GB"/>
        </w:rPr>
        <w:t>3.4.1 Inductive Approach</w:t>
      </w:r>
      <w:bookmarkEnd w:id="62"/>
    </w:p>
    <w:p w14:paraId="2CC4CE52" w14:textId="18137F1F"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research method used is inductive. As opposed to starting with a pre-set of statistical tests of known relationships, induction is the process of forming more general patterns, explanations or insights from observations and evidence (Saunders, Lewis and Thornhill, 2023). This is suitable because the dissertation deals with qualitative evidence to see how many times the same explanations can be found regarding HCM and customer service quality.</w:t>
      </w:r>
    </w:p>
    <w:p w14:paraId="513A1C80" w14:textId="5BB2D23B"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inductive approach allows for coding of evidence from multiple sources and comparing these codes by themes that may emerge. For instance, communication skills and confidence, competence and complaint handling are often cited as aspects of training. These patterns may then form the context for larger issues regarding employee effectiveness and service quality.</w:t>
      </w:r>
    </w:p>
    <w:p w14:paraId="24E92B7F" w14:textId="6922849D"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inductive approach thus supports the interpretivist philosophy and qualitative research design as themes emerge from the evidence and are informed by the concepts from the literature review.</w:t>
      </w:r>
    </w:p>
    <w:p w14:paraId="20365F8F" w14:textId="77777777" w:rsidR="00FE746E" w:rsidRPr="00E02468" w:rsidRDefault="00FE746E" w:rsidP="008A020F">
      <w:pPr>
        <w:pStyle w:val="Heading2"/>
        <w:rPr>
          <w:rFonts w:cs="Arial"/>
          <w:lang w:val="en-GB" w:eastAsia="en-GB"/>
        </w:rPr>
      </w:pPr>
      <w:bookmarkStart w:id="63" w:name="_Toc240932149"/>
      <w:r w:rsidRPr="00E02468">
        <w:rPr>
          <w:rFonts w:cs="Arial"/>
          <w:lang w:val="en-GB" w:eastAsia="en-GB"/>
        </w:rPr>
        <w:t>3.5 Research Design and Strategy</w:t>
      </w:r>
      <w:bookmarkEnd w:id="63"/>
    </w:p>
    <w:p w14:paraId="5BB1E7ED" w14:textId="65647DF2" w:rsidR="00FE746E" w:rsidRPr="00E02468" w:rsidRDefault="00FE746E" w:rsidP="008A020F">
      <w:pPr>
        <w:pStyle w:val="Heading3"/>
        <w:rPr>
          <w:rFonts w:cs="Arial"/>
          <w:lang w:val="en-GB" w:eastAsia="en-GB"/>
        </w:rPr>
      </w:pPr>
      <w:bookmarkStart w:id="64" w:name="_Toc240932150"/>
      <w:r w:rsidRPr="00E02468">
        <w:rPr>
          <w:rFonts w:cs="Arial"/>
          <w:lang w:val="en-GB" w:eastAsia="en-GB"/>
        </w:rPr>
        <w:t>3.5.1 Qualitative Research Design</w:t>
      </w:r>
      <w:bookmarkEnd w:id="64"/>
    </w:p>
    <w:p w14:paraId="5AC0FA3A" w14:textId="44CB0C08"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dissertation uses qualitative research design because the research aims to discover the mechanisms and contextual relationships between HCM practices and employee performance and customer service quality. The use of qualitative research is especially appropriate when the phenomena that is being investigated in the organisation is complex, meaning, experience, relationship and contextual factors are significant (Creswell and Creswell, 2018).</w:t>
      </w:r>
    </w:p>
    <w:p w14:paraId="65ABFBC5" w14:textId="2D7F0807"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qualitative approach enables the researcher to look at evidence relating to employee motivation, engagement, management support, service behaviour and customer interaction that may not be sufficiently captured by numerical measures. The questions have been formulated around how the HCM practices affects the outcomes of services and the mechanisms that could explain the relationships, therefore it is consistent with the research questions.</w:t>
      </w:r>
    </w:p>
    <w:p w14:paraId="583677D1" w14:textId="011BDF25" w:rsidR="00FE746E" w:rsidRPr="00E02468" w:rsidRDefault="00FE746E" w:rsidP="008A020F">
      <w:pPr>
        <w:pStyle w:val="Heading3"/>
        <w:rPr>
          <w:rFonts w:cs="Arial"/>
          <w:lang w:val="en-GB" w:eastAsia="en-GB"/>
        </w:rPr>
      </w:pPr>
      <w:bookmarkStart w:id="65" w:name="_Toc240932151"/>
      <w:r w:rsidRPr="00E02468">
        <w:rPr>
          <w:rFonts w:cs="Arial"/>
          <w:lang w:val="en-GB" w:eastAsia="en-GB"/>
        </w:rPr>
        <w:t>3.5.2 Secondary Research Strategy</w:t>
      </w:r>
      <w:bookmarkEnd w:id="65"/>
    </w:p>
    <w:p w14:paraId="4E666EA3" w14:textId="08A2D392"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research method is not primary data collection, but is secondary documentary research. Secondary research is the analysis of information that has been created previously for research, institutional, governmental or professional objectives (Saunders et al., 2023).</w:t>
      </w:r>
    </w:p>
    <w:p w14:paraId="3F50390F" w14:textId="2D2B1994"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evidence base comprises:</w:t>
      </w:r>
    </w:p>
    <w:p w14:paraId="03A9DD5A" w14:textId="77777777"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Peer-reviewed journal articles;</w:t>
      </w:r>
    </w:p>
    <w:p w14:paraId="269D8490" w14:textId="77777777"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Academic books;</w:t>
      </w:r>
    </w:p>
    <w:p w14:paraId="03F34B01" w14:textId="77777777"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Government publications;</w:t>
      </w:r>
    </w:p>
    <w:p w14:paraId="27910BCE" w14:textId="77777777"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Professional-body reports;</w:t>
      </w:r>
    </w:p>
    <w:p w14:paraId="027E9849" w14:textId="77777777" w:rsidR="00FE746E" w:rsidRPr="00E02468" w:rsidRDefault="00FE746E" w:rsidP="008A020F">
      <w:pPr>
        <w:pStyle w:val="ListParagraph"/>
        <w:numPr>
          <w:ilvl w:val="0"/>
          <w:numId w:val="21"/>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Reports from the hospitality industry; and</w:t>
      </w:r>
    </w:p>
    <w:p w14:paraId="46C12C85" w14:textId="4EC76C41" w:rsidR="00FE746E"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Appropriate newsletters and journals published by the relevant organisations and institutions.</w:t>
      </w:r>
    </w:p>
    <w:p w14:paraId="68679E38" w14:textId="6A723759" w:rsidR="00763D18" w:rsidRPr="00E02468" w:rsidRDefault="00FE746E" w:rsidP="00FE746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strategy is suitable as there is already a significant body of research related to HRM, HCM, employee performance and hospitality service quality. Comparing multiple sources also allows for a comparison across contexts and for convergence and d</w:t>
      </w:r>
      <w:r w:rsidR="00A80E8C" w:rsidRPr="00E02468">
        <w:rPr>
          <w:rFonts w:ascii="Arial" w:hAnsi="Arial" w:cs="Arial"/>
          <w:sz w:val="24"/>
          <w:szCs w:val="24"/>
          <w:lang w:val="en-GB" w:eastAsia="en-GB"/>
        </w:rPr>
        <w:t>ivergence of previous findings. (</w:t>
      </w:r>
      <w:r w:rsidRPr="00E02468">
        <w:rPr>
          <w:rFonts w:ascii="Arial" w:hAnsi="Arial" w:cs="Arial"/>
          <w:sz w:val="24"/>
          <w:szCs w:val="24"/>
          <w:lang w:val="en-GB" w:eastAsia="en-GB"/>
        </w:rPr>
        <w:t>Bowen, 2009).</w:t>
      </w:r>
    </w:p>
    <w:p w14:paraId="75FA59FB" w14:textId="27DF5D9D" w:rsidR="00763D18" w:rsidRPr="00E02468" w:rsidRDefault="00763D18" w:rsidP="008A020F">
      <w:pPr>
        <w:pStyle w:val="Heading2"/>
        <w:rPr>
          <w:rFonts w:cs="Arial"/>
          <w:lang w:val="en-GB" w:eastAsia="en-GB"/>
        </w:rPr>
      </w:pPr>
      <w:bookmarkStart w:id="66" w:name="_Toc240932152"/>
      <w:r w:rsidRPr="00E02468">
        <w:rPr>
          <w:rFonts w:cs="Arial"/>
          <w:lang w:val="en-GB" w:eastAsia="en-GB"/>
        </w:rPr>
        <w:t>3.6 Data Sources and Search Strategy</w:t>
      </w:r>
      <w:bookmarkEnd w:id="66"/>
    </w:p>
    <w:p w14:paraId="5C8A4C47" w14:textId="54BDA5C0"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Secondary evidence was identified through a structured search process designed to locate credible and relevant academic and industry sources. Systematic searching improves transparency and reduces the likelihood that evidence is selected solely according to researcher preference (Snyder, 2019).</w:t>
      </w:r>
    </w:p>
    <w:p w14:paraId="69B5E1F0" w14:textId="0ED388B7"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Academic databases</w:t>
      </w:r>
    </w:p>
    <w:p w14:paraId="6540E018" w14:textId="475128F1"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The principal academic sources searched were:</w:t>
      </w:r>
    </w:p>
    <w:p w14:paraId="04E1ED50"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Scopus;</w:t>
      </w:r>
    </w:p>
    <w:p w14:paraId="6A59C6EA"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ScienceDirect;</w:t>
      </w:r>
    </w:p>
    <w:p w14:paraId="1130E956"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Emerald Insight;</w:t>
      </w:r>
    </w:p>
    <w:p w14:paraId="1C74320E"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SpringerLink;</w:t>
      </w:r>
    </w:p>
    <w:p w14:paraId="30B10433"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Taylor &amp; Francis Online;</w:t>
      </w:r>
    </w:p>
    <w:p w14:paraId="11FAEC73" w14:textId="77777777" w:rsidR="00763D18" w:rsidRPr="00E02468" w:rsidRDefault="00763D18" w:rsidP="008A020F">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Google Scholar; and</w:t>
      </w:r>
    </w:p>
    <w:p w14:paraId="5B339151" w14:textId="543D3604" w:rsidR="00763D18" w:rsidRPr="00E02468" w:rsidRDefault="00763D18" w:rsidP="00763D18">
      <w:pPr>
        <w:pStyle w:val="ListParagraph"/>
        <w:numPr>
          <w:ilvl w:val="0"/>
          <w:numId w:val="22"/>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UWTSD Library databases.</w:t>
      </w:r>
    </w:p>
    <w:p w14:paraId="30F87D2E" w14:textId="77777777" w:rsidR="001272A0" w:rsidRPr="00E02468" w:rsidRDefault="001272A0"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Institutional and industry evidence was also gathered from authoritative sources such as the Office for National Statistics (ONS), CIPD, UKHospitality and publications from the UK Government/Department for Business and Trade.</w:t>
      </w:r>
    </w:p>
    <w:p w14:paraId="4B32125A" w14:textId="77777777" w:rsidR="00E02468" w:rsidRDefault="00E02468" w:rsidP="00763D18">
      <w:pPr>
        <w:spacing w:before="240" w:line="360" w:lineRule="auto"/>
        <w:jc w:val="both"/>
        <w:rPr>
          <w:rFonts w:ascii="Arial" w:hAnsi="Arial" w:cs="Arial"/>
          <w:b/>
          <w:sz w:val="24"/>
          <w:szCs w:val="24"/>
          <w:lang w:val="en-GB" w:eastAsia="en-GB"/>
        </w:rPr>
      </w:pPr>
    </w:p>
    <w:p w14:paraId="29AFC73A" w14:textId="6A71F608"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The following search combinations were used:</w:t>
      </w:r>
    </w:p>
    <w:p w14:paraId="577AB431" w14:textId="77777777" w:rsidR="00763D18" w:rsidRPr="00E02468" w:rsidRDefault="00763D18" w:rsidP="008A020F">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“human capital management” AND “restaurant industry”</w:t>
      </w:r>
    </w:p>
    <w:p w14:paraId="195F9784" w14:textId="77777777" w:rsidR="00763D18" w:rsidRPr="00E02468" w:rsidRDefault="00763D18" w:rsidP="008A020F">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“HRM practices” AND “customer service quality”</w:t>
      </w:r>
    </w:p>
    <w:p w14:paraId="03446305" w14:textId="77777777" w:rsidR="00763D18" w:rsidRPr="00E02468" w:rsidRDefault="00763D18" w:rsidP="008A020F">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training” AND “restaurant service quality”</w:t>
      </w:r>
    </w:p>
    <w:p w14:paraId="719775E7" w14:textId="77777777" w:rsidR="00763D18" w:rsidRPr="00E02468" w:rsidRDefault="00763D18" w:rsidP="008A020F">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engagement” AND “customer satisfaction”</w:t>
      </w:r>
    </w:p>
    <w:p w14:paraId="5A931CE0" w14:textId="77777777" w:rsidR="00763D18" w:rsidRPr="00E02468" w:rsidRDefault="00763D18" w:rsidP="008A020F">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retention” AND “hospitality service quality”</w:t>
      </w:r>
    </w:p>
    <w:p w14:paraId="7BA4EECA" w14:textId="6498266E" w:rsidR="00763D18" w:rsidRPr="00E02468" w:rsidRDefault="00763D18" w:rsidP="00763D18">
      <w:pPr>
        <w:pStyle w:val="ListParagraph"/>
        <w:numPr>
          <w:ilvl w:val="0"/>
          <w:numId w:val="23"/>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 AND “restaurant employees”</w:t>
      </w:r>
    </w:p>
    <w:p w14:paraId="2364777E" w14:textId="77777777" w:rsidR="00733E58" w:rsidRPr="00E02468" w:rsidRDefault="00733E58" w:rsidP="00733E5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search focused on literature from 2020 through 2026, to capture the most recent literature on workforce and service quality issues. Some of the seminal sources, however, were kept as they had laid foundations for a concept or theory, such as Becker's (1964) Human Capital Theory, Barney's (1991) Resource Based View, AMO framework by Appelbaum et al. (2000) and SERVQUAL model by Parasuraman, Zeithaml and Berry (1988).</w:t>
      </w:r>
    </w:p>
    <w:p w14:paraId="6048DC16" w14:textId="77777777" w:rsidR="00733E58" w:rsidRPr="00E02468" w:rsidRDefault="00733E58" w:rsidP="00733E5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Initial screening of search results was by abstract and title. Potentially relevant publications were then evaluated to the pre-established inclusion/exclusion criteria. This process is based on the following principle: that systematic literature searching should be based on clearly specified procedures for identification and evaluation of relevant evidence (Snyder, 2019).</w:t>
      </w:r>
    </w:p>
    <w:p w14:paraId="6630247D" w14:textId="77777777" w:rsidR="00733E58" w:rsidRPr="00E02468" w:rsidRDefault="00733E58" w:rsidP="00733E58">
      <w:pPr>
        <w:pStyle w:val="Heading3"/>
        <w:rPr>
          <w:rFonts w:cs="Arial"/>
          <w:lang w:val="en-GB" w:eastAsia="en-GB"/>
        </w:rPr>
      </w:pPr>
      <w:bookmarkStart w:id="67" w:name="_Toc240932153"/>
      <w:r w:rsidRPr="00E02468">
        <w:rPr>
          <w:rFonts w:cs="Arial"/>
          <w:lang w:val="en-GB" w:eastAsia="en-GB"/>
        </w:rPr>
        <w:t>3.7.1 Inclusion Criteria</w:t>
      </w:r>
      <w:bookmarkEnd w:id="67"/>
    </w:p>
    <w:p w14:paraId="26B4BAEE" w14:textId="1E332B76" w:rsidR="00763D18" w:rsidRPr="00E02468" w:rsidRDefault="00733E58" w:rsidP="00733E5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Explicit criteria were developed before the final evidence set to ensure systematic selection of the evidence rather than arbitrary. Clearly stated eligibility criteria make research more transparent and consistent when using literature (Snyder, 2019).</w:t>
      </w:r>
    </w:p>
    <w:p w14:paraId="748AC70E" w14:textId="451454EA" w:rsidR="008A020F" w:rsidRPr="00E02468" w:rsidRDefault="008A020F" w:rsidP="008A020F">
      <w:pPr>
        <w:pStyle w:val="Caption"/>
        <w:keepNext/>
        <w:jc w:val="both"/>
        <w:rPr>
          <w:rFonts w:ascii="Arial" w:hAnsi="Arial" w:cs="Arial"/>
          <w:sz w:val="24"/>
          <w:lang w:val="en-GB"/>
        </w:rPr>
      </w:pPr>
      <w:bookmarkStart w:id="68" w:name="_Toc240932209"/>
      <w:r w:rsidRPr="00E02468">
        <w:rPr>
          <w:rFonts w:ascii="Arial" w:hAnsi="Arial" w:cs="Arial"/>
          <w:sz w:val="24"/>
          <w:lang w:val="en-GB"/>
        </w:rPr>
        <w:t xml:space="preserve">Table </w:t>
      </w:r>
      <w:r w:rsidRPr="00E02468">
        <w:rPr>
          <w:rFonts w:ascii="Arial" w:hAnsi="Arial" w:cs="Arial"/>
          <w:sz w:val="24"/>
          <w:lang w:val="en-GB"/>
        </w:rPr>
        <w:fldChar w:fldCharType="begin"/>
      </w:r>
      <w:r w:rsidRPr="00E02468">
        <w:rPr>
          <w:rFonts w:ascii="Arial" w:hAnsi="Arial" w:cs="Arial"/>
          <w:sz w:val="24"/>
          <w:lang w:val="en-GB"/>
        </w:rPr>
        <w:instrText xml:space="preserve"> SEQ Table \* ARABIC </w:instrText>
      </w:r>
      <w:r w:rsidRPr="00E02468">
        <w:rPr>
          <w:rFonts w:ascii="Arial" w:hAnsi="Arial" w:cs="Arial"/>
          <w:sz w:val="24"/>
          <w:lang w:val="en-GB"/>
        </w:rPr>
        <w:fldChar w:fldCharType="separate"/>
      </w:r>
      <w:r w:rsidR="00072E5D" w:rsidRPr="00E02468">
        <w:rPr>
          <w:rFonts w:ascii="Arial" w:hAnsi="Arial" w:cs="Arial"/>
          <w:noProof/>
          <w:sz w:val="24"/>
          <w:lang w:val="en-GB"/>
        </w:rPr>
        <w:t>1</w:t>
      </w:r>
      <w:r w:rsidRPr="00E02468">
        <w:rPr>
          <w:rFonts w:ascii="Arial" w:hAnsi="Arial" w:cs="Arial"/>
          <w:sz w:val="24"/>
          <w:lang w:val="en-GB"/>
        </w:rPr>
        <w:fldChar w:fldCharType="end"/>
      </w:r>
      <w:r w:rsidRPr="00E02468">
        <w:rPr>
          <w:rFonts w:ascii="Arial" w:hAnsi="Arial" w:cs="Arial"/>
          <w:sz w:val="24"/>
          <w:lang w:val="en-GB"/>
        </w:rPr>
        <w:t>.Inclusion and Exclusion Criteria</w:t>
      </w:r>
      <w:bookmarkEnd w:id="68"/>
    </w:p>
    <w:tbl>
      <w:tblPr>
        <w:tblStyle w:val="TableGrid"/>
        <w:tblW w:w="0" w:type="auto"/>
        <w:tblLook w:val="04A0" w:firstRow="1" w:lastRow="0" w:firstColumn="1" w:lastColumn="0" w:noHBand="0" w:noVBand="1"/>
      </w:tblPr>
      <w:tblGrid>
        <w:gridCol w:w="4508"/>
        <w:gridCol w:w="4508"/>
      </w:tblGrid>
      <w:tr w:rsidR="000004DB" w:rsidRPr="00E02468" w14:paraId="4A836481" w14:textId="77777777" w:rsidTr="000004DB">
        <w:tc>
          <w:tcPr>
            <w:tcW w:w="4508" w:type="dxa"/>
          </w:tcPr>
          <w:p w14:paraId="2BF0FF7C" w14:textId="77777777" w:rsidR="000004DB" w:rsidRPr="00E02468" w:rsidRDefault="000004DB" w:rsidP="000F6EED">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Inclusion criteria</w:t>
            </w:r>
          </w:p>
        </w:tc>
        <w:tc>
          <w:tcPr>
            <w:tcW w:w="4508" w:type="dxa"/>
          </w:tcPr>
          <w:p w14:paraId="5785FE8E" w14:textId="77777777" w:rsidR="000004DB" w:rsidRPr="00E02468" w:rsidRDefault="000004DB" w:rsidP="000F6EED">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Exclusion criteria</w:t>
            </w:r>
          </w:p>
        </w:tc>
      </w:tr>
      <w:tr w:rsidR="000004DB" w:rsidRPr="00E02468" w14:paraId="4DC230D2" w14:textId="77777777" w:rsidTr="000004DB">
        <w:tc>
          <w:tcPr>
            <w:tcW w:w="4508" w:type="dxa"/>
          </w:tcPr>
          <w:p w14:paraId="2DB37751"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Published academic research</w:t>
            </w:r>
          </w:p>
        </w:tc>
        <w:tc>
          <w:tcPr>
            <w:tcW w:w="4508" w:type="dxa"/>
          </w:tcPr>
          <w:p w14:paraId="58F518B8"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Unverified online content</w:t>
            </w:r>
          </w:p>
        </w:tc>
      </w:tr>
      <w:tr w:rsidR="000004DB" w:rsidRPr="00E02468" w14:paraId="0E286BDF" w14:textId="77777777" w:rsidTr="000004DB">
        <w:tc>
          <w:tcPr>
            <w:tcW w:w="4508" w:type="dxa"/>
          </w:tcPr>
          <w:p w14:paraId="2DD7CA4C"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Peer-reviewed journal articles</w:t>
            </w:r>
          </w:p>
        </w:tc>
        <w:tc>
          <w:tcPr>
            <w:tcW w:w="4508" w:type="dxa"/>
          </w:tcPr>
          <w:p w14:paraId="4A788F90"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Blogs without academic or organisational credibility</w:t>
            </w:r>
          </w:p>
        </w:tc>
      </w:tr>
      <w:tr w:rsidR="000004DB" w:rsidRPr="00E02468" w14:paraId="67A3665B" w14:textId="77777777" w:rsidTr="000004DB">
        <w:tc>
          <w:tcPr>
            <w:tcW w:w="4508" w:type="dxa"/>
          </w:tcPr>
          <w:p w14:paraId="3FBEF459"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Relevant academic books</w:t>
            </w:r>
          </w:p>
        </w:tc>
        <w:tc>
          <w:tcPr>
            <w:tcW w:w="4508" w:type="dxa"/>
          </w:tcPr>
          <w:p w14:paraId="1BB0C5DD"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Sources unrelated to HCM</w:t>
            </w:r>
          </w:p>
        </w:tc>
      </w:tr>
      <w:tr w:rsidR="000004DB" w:rsidRPr="00E02468" w14:paraId="2A8E8B25" w14:textId="77777777" w:rsidTr="000004DB">
        <w:tc>
          <w:tcPr>
            <w:tcW w:w="4508" w:type="dxa"/>
          </w:tcPr>
          <w:p w14:paraId="029A9E4F"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UK restaurant/hospitality evidence</w:t>
            </w:r>
          </w:p>
        </w:tc>
        <w:tc>
          <w:tcPr>
            <w:tcW w:w="4508" w:type="dxa"/>
          </w:tcPr>
          <w:p w14:paraId="00B7E9BC"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Studies with no relevance to service quality</w:t>
            </w:r>
          </w:p>
        </w:tc>
      </w:tr>
      <w:tr w:rsidR="000004DB" w:rsidRPr="00E02468" w14:paraId="080BF45C" w14:textId="77777777" w:rsidTr="000004DB">
        <w:tc>
          <w:tcPr>
            <w:tcW w:w="4508" w:type="dxa"/>
          </w:tcPr>
          <w:p w14:paraId="397CDD9B"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Relevant international hospitality studies for comparison</w:t>
            </w:r>
          </w:p>
        </w:tc>
        <w:tc>
          <w:tcPr>
            <w:tcW w:w="4508" w:type="dxa"/>
          </w:tcPr>
          <w:p w14:paraId="064E61D6"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Duplicate publications</w:t>
            </w:r>
          </w:p>
        </w:tc>
      </w:tr>
      <w:tr w:rsidR="000004DB" w:rsidRPr="00E02468" w14:paraId="7227112E" w14:textId="77777777" w:rsidTr="000004DB">
        <w:tc>
          <w:tcPr>
            <w:tcW w:w="4508" w:type="dxa"/>
          </w:tcPr>
          <w:p w14:paraId="4DAA27F1"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Government and professional reports</w:t>
            </w:r>
          </w:p>
        </w:tc>
        <w:tc>
          <w:tcPr>
            <w:tcW w:w="4508" w:type="dxa"/>
          </w:tcPr>
          <w:p w14:paraId="13CB1D13"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Sources lacking sufficient methodological information</w:t>
            </w:r>
          </w:p>
        </w:tc>
      </w:tr>
      <w:tr w:rsidR="000004DB" w:rsidRPr="00E02468" w14:paraId="0BEBA2E2" w14:textId="77777777" w:rsidTr="000004DB">
        <w:tc>
          <w:tcPr>
            <w:tcW w:w="4508" w:type="dxa"/>
          </w:tcPr>
          <w:p w14:paraId="5FCB0327"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Mainly 2020–2026 sources</w:t>
            </w:r>
          </w:p>
        </w:tc>
        <w:tc>
          <w:tcPr>
            <w:tcW w:w="4508" w:type="dxa"/>
          </w:tcPr>
          <w:p w14:paraId="0A44C94F"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Outdated non-seminal sources</w:t>
            </w:r>
          </w:p>
        </w:tc>
      </w:tr>
      <w:tr w:rsidR="000004DB" w:rsidRPr="00E02468" w14:paraId="1B1F94CF" w14:textId="77777777" w:rsidTr="000004DB">
        <w:tc>
          <w:tcPr>
            <w:tcW w:w="4508" w:type="dxa"/>
          </w:tcPr>
          <w:p w14:paraId="69D48101"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English-language publications</w:t>
            </w:r>
          </w:p>
        </w:tc>
        <w:tc>
          <w:tcPr>
            <w:tcW w:w="4508" w:type="dxa"/>
          </w:tcPr>
          <w:p w14:paraId="1865F974"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Non-English sources where reliable translation was unavailable</w:t>
            </w:r>
          </w:p>
        </w:tc>
      </w:tr>
      <w:tr w:rsidR="000004DB" w:rsidRPr="00E02468" w14:paraId="6ADAFC43" w14:textId="77777777" w:rsidTr="000004DB">
        <w:tc>
          <w:tcPr>
            <w:tcW w:w="4508" w:type="dxa"/>
          </w:tcPr>
          <w:p w14:paraId="259C8F7C"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Evidence relating to HCM practices, employee performance or service quality</w:t>
            </w:r>
          </w:p>
        </w:tc>
        <w:tc>
          <w:tcPr>
            <w:tcW w:w="4508" w:type="dxa"/>
          </w:tcPr>
          <w:p w14:paraId="02394A10" w14:textId="77777777" w:rsidR="000004DB" w:rsidRPr="00E02468" w:rsidRDefault="000004DB" w:rsidP="000F6EED">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Evidence outside the research objectives</w:t>
            </w:r>
          </w:p>
        </w:tc>
      </w:tr>
    </w:tbl>
    <w:p w14:paraId="6AD57F93" w14:textId="2184E1AA"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Seminal older publications were retained where they provided essential theoretical foundations. This avoided the inappropriate exclusion of historically important theories merely because they pre-date the main publication period.</w:t>
      </w:r>
    </w:p>
    <w:p w14:paraId="6765DADB" w14:textId="3F810882" w:rsidR="00763D18" w:rsidRPr="00E02468" w:rsidRDefault="00763D18" w:rsidP="008A020F">
      <w:pPr>
        <w:pStyle w:val="Heading2"/>
        <w:rPr>
          <w:rFonts w:cs="Arial"/>
          <w:lang w:val="en-GB" w:eastAsia="en-GB"/>
        </w:rPr>
      </w:pPr>
      <w:bookmarkStart w:id="69" w:name="_Toc240932154"/>
      <w:r w:rsidRPr="00E02468">
        <w:rPr>
          <w:rFonts w:cs="Arial"/>
          <w:lang w:val="en-GB" w:eastAsia="en-GB"/>
        </w:rPr>
        <w:t>3.8 Sampling Strategy</w:t>
      </w:r>
      <w:bookmarkEnd w:id="69"/>
    </w:p>
    <w:p w14:paraId="4A837244" w14:textId="4525F476" w:rsidR="00763D18" w:rsidRPr="00E02468" w:rsidRDefault="00B02FE6"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Since a study was not done with humans, there is no sampling of participants. Instead, a purposive sampling of secondary sources is used. A purposive selection is a technique whereby information rich sources which are directly relevant to the research questions and objectives are deliberately selected (Saunders, Lewis and Thornhill, 2023).</w:t>
      </w:r>
    </w:p>
    <w:p w14:paraId="7B2689F6" w14:textId="44D977E9"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Sources were selected according to their relevance to:</w:t>
      </w:r>
    </w:p>
    <w:p w14:paraId="1087ABCA"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Human Capital Management;</w:t>
      </w:r>
    </w:p>
    <w:p w14:paraId="3FD61CF4"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 and selection;</w:t>
      </w:r>
    </w:p>
    <w:p w14:paraId="14219BCD"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and development;</w:t>
      </w:r>
    </w:p>
    <w:p w14:paraId="6862D52C"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engagement;</w:t>
      </w:r>
    </w:p>
    <w:p w14:paraId="3298E0B0"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w:t>
      </w:r>
    </w:p>
    <w:p w14:paraId="2DF08266"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 and recognition;</w:t>
      </w:r>
    </w:p>
    <w:p w14:paraId="7EC76150"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retention;</w:t>
      </w:r>
    </w:p>
    <w:p w14:paraId="41ED273C"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performance;</w:t>
      </w:r>
    </w:p>
    <w:p w14:paraId="4206F54D"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Customer service quality;</w:t>
      </w:r>
    </w:p>
    <w:p w14:paraId="1FFD4FE9" w14:textId="77777777" w:rsidR="00763D18" w:rsidRPr="00E02468" w:rsidRDefault="00763D18" w:rsidP="008A020F">
      <w:pPr>
        <w:pStyle w:val="ListParagraph"/>
        <w:numPr>
          <w:ilvl w:val="0"/>
          <w:numId w:val="24"/>
        </w:num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Customer satisfaction; and</w:t>
      </w:r>
    </w:p>
    <w:p w14:paraId="1FA8DCB2" w14:textId="5736ACDF"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UK restaurant or hospitality context.</w:t>
      </w:r>
    </w:p>
    <w:p w14:paraId="7C3249BB" w14:textId="579C1250"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Peer-reviewed academic work and evidence from authoritative institutions was preferred. Other studies on international hospitality were also included where appropriate for theory or practice to enhance the UK context.  </w:t>
      </w:r>
    </w:p>
    <w:p w14:paraId="30438A3D" w14:textId="77777777" w:rsidR="0001381E" w:rsidRPr="00E02468" w:rsidRDefault="0001381E" w:rsidP="0001381E">
      <w:pPr>
        <w:pStyle w:val="Heading2"/>
        <w:rPr>
          <w:rFonts w:cs="Arial"/>
          <w:lang w:val="en-GB" w:eastAsia="en-GB"/>
        </w:rPr>
      </w:pPr>
      <w:bookmarkStart w:id="70" w:name="_Toc240932155"/>
      <w:r w:rsidRPr="00E02468">
        <w:rPr>
          <w:rFonts w:cs="Arial"/>
          <w:lang w:val="en-GB" w:eastAsia="en-GB"/>
        </w:rPr>
        <w:t>3.9 Data Collection Procedure</w:t>
      </w:r>
      <w:bookmarkEnd w:id="70"/>
    </w:p>
    <w:p w14:paraId="2A1B1104"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Secondary data collecting process was conducted in a systematic way to enhance transparency and methodological consistency.</w:t>
      </w:r>
    </w:p>
    <w:p w14:paraId="6B688B89"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1: Definition of research questions and keywords.</w:t>
      </w:r>
    </w:p>
    <w:p w14:paraId="24BDF2BE"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four research questions were formulated first, and then the search terms related to HCM practices and employee performance/service quality were developed.</w:t>
      </w:r>
    </w:p>
    <w:p w14:paraId="26163320"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2: Database searching.</w:t>
      </w:r>
    </w:p>
    <w:p w14:paraId="3CB40CC5"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Combination of keywords and Boolean operators were applied during the search in academic databases and in institutional sources.</w:t>
      </w:r>
    </w:p>
    <w:p w14:paraId="625AB99B"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3: Initial screening.</w:t>
      </w:r>
    </w:p>
    <w:p w14:paraId="4D8F598E"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titles and abstracts were checked to identify possible relevant sources.</w:t>
      </w:r>
    </w:p>
    <w:p w14:paraId="0F6B8C28"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4: Duplicate removal.</w:t>
      </w:r>
    </w:p>
    <w:p w14:paraId="2BEC9FC4"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Records across multiple databases that were duplicated were eliminated.</w:t>
      </w:r>
    </w:p>
    <w:p w14:paraId="2FB9F5C0"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5: Eligibility assessment.</w:t>
      </w:r>
    </w:p>
    <w:p w14:paraId="0C158E89"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inclusion/exclusion criteria were used to evaluate potential sources.</w:t>
      </w:r>
    </w:p>
    <w:p w14:paraId="5AF6F55E" w14:textId="77777777" w:rsidR="00E02468" w:rsidRDefault="00E02468" w:rsidP="0001381E">
      <w:pPr>
        <w:spacing w:before="240" w:line="360" w:lineRule="auto"/>
        <w:jc w:val="both"/>
        <w:rPr>
          <w:rFonts w:ascii="Arial" w:hAnsi="Arial" w:cs="Arial"/>
          <w:b/>
          <w:sz w:val="24"/>
          <w:szCs w:val="24"/>
          <w:lang w:val="en-GB" w:eastAsia="en-GB"/>
        </w:rPr>
      </w:pPr>
    </w:p>
    <w:p w14:paraId="4F2FEC7E" w14:textId="77777777" w:rsidR="00E02468" w:rsidRDefault="00E02468" w:rsidP="0001381E">
      <w:pPr>
        <w:spacing w:before="240" w:line="360" w:lineRule="auto"/>
        <w:jc w:val="both"/>
        <w:rPr>
          <w:rFonts w:ascii="Arial" w:hAnsi="Arial" w:cs="Arial"/>
          <w:b/>
          <w:sz w:val="24"/>
          <w:szCs w:val="24"/>
          <w:lang w:val="en-GB" w:eastAsia="en-GB"/>
        </w:rPr>
      </w:pPr>
    </w:p>
    <w:p w14:paraId="3209D1B2"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Step 6: Full-text retrieval</w:t>
      </w:r>
      <w:r w:rsidRPr="00E02468">
        <w:rPr>
          <w:rFonts w:ascii="Arial" w:hAnsi="Arial" w:cs="Arial"/>
          <w:sz w:val="24"/>
          <w:szCs w:val="24"/>
          <w:lang w:val="en-GB" w:eastAsia="en-GB"/>
        </w:rPr>
        <w:t>.</w:t>
      </w:r>
    </w:p>
    <w:p w14:paraId="3DBE6EC8"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Publications were retrieved and studied in greater detail if they were found to have relevance.</w:t>
      </w:r>
    </w:p>
    <w:p w14:paraId="4DACD5AF"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7: Evidence extraction.</w:t>
      </w:r>
    </w:p>
    <w:p w14:paraId="7A8E6B0B" w14:textId="77777777" w:rsidR="0001381E"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Relevant data about HCM practices, employee performance, service quality and customer outcomes were retrieved.</w:t>
      </w:r>
    </w:p>
    <w:p w14:paraId="44AD8858" w14:textId="77777777" w:rsidR="0001381E" w:rsidRPr="00E02468" w:rsidRDefault="0001381E" w:rsidP="0001381E">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8: Thematic organisation.</w:t>
      </w:r>
    </w:p>
    <w:p w14:paraId="4ED38A6C" w14:textId="651501D5" w:rsidR="00763D18" w:rsidRPr="00E02468" w:rsidRDefault="0001381E" w:rsidP="0001381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Extracted evidence was classified into the six HCM practices and outcome categories</w:t>
      </w:r>
      <w:r w:rsidR="00763D18" w:rsidRPr="00E02468">
        <w:rPr>
          <w:rFonts w:ascii="Arial" w:hAnsi="Arial" w:cs="Arial"/>
          <w:sz w:val="24"/>
          <w:szCs w:val="24"/>
          <w:lang w:val="en-GB" w:eastAsia="en-GB"/>
        </w:rPr>
        <w:t>.</w:t>
      </w:r>
    </w:p>
    <w:p w14:paraId="24722C46" w14:textId="77777777"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Step 9: Preparation for analysis.</w:t>
      </w:r>
    </w:p>
    <w:p w14:paraId="23D9040B" w14:textId="3D2B7A06"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final evidence set was prepared for systematic thematic coding and comparison.</w:t>
      </w:r>
    </w:p>
    <w:p w14:paraId="6ECB941C" w14:textId="244B08F9" w:rsidR="00763D18" w:rsidRPr="00E02468" w:rsidRDefault="00763D18" w:rsidP="00763D1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procedure provides a transparent account of what was searched, where it was searched, how sources were selected and how evidence was prepared for analysis, thereby strengthening methodological transparency (Bowen, 2009).</w:t>
      </w:r>
    </w:p>
    <w:p w14:paraId="3423AFB9" w14:textId="330F5AB2" w:rsidR="00763D18" w:rsidRPr="00E02468" w:rsidRDefault="00763D18" w:rsidP="008A020F">
      <w:pPr>
        <w:pStyle w:val="Heading2"/>
        <w:rPr>
          <w:rFonts w:cs="Arial"/>
          <w:lang w:val="en-GB" w:eastAsia="en-GB"/>
        </w:rPr>
      </w:pPr>
      <w:bookmarkStart w:id="71" w:name="_Toc240932156"/>
      <w:r w:rsidRPr="00E02468">
        <w:rPr>
          <w:rFonts w:cs="Arial"/>
          <w:lang w:val="en-GB" w:eastAsia="en-GB"/>
        </w:rPr>
        <w:t>3.10 Data Analysis: Thematic Analysis</w:t>
      </w:r>
      <w:bookmarkEnd w:id="71"/>
    </w:p>
    <w:p w14:paraId="6BAE54DC"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Thematic analysis was used to analyse the secondary evidence collected. Thematic analysis is a flexible method of qualitative research that involves the identification, analysis and reporting of meaningful patterns within text (Braun and Clarke, 2021). The study aims to look for common relationships in a wide range of academic and industrial resources, making it an ideal dissertation topic for this research.</w:t>
      </w:r>
    </w:p>
    <w:p w14:paraId="19FA5FF4"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Following this, the analysis was conducted in six phases as proposed by Braun and Clarke (2021).</w:t>
      </w:r>
    </w:p>
    <w:p w14:paraId="353FDA00" w14:textId="77777777" w:rsidR="006327B6" w:rsidRPr="00E02468" w:rsidRDefault="006327B6" w:rsidP="006327B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Stage 1: Familiarisation with the data</w:t>
      </w:r>
    </w:p>
    <w:p w14:paraId="6D9AFAFA"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Selected publications were read repeatedly enabling the general understanding of the findings, arguments, contexts and methodological features of the selected papers. Initial notes were taken on concepts that were recurring, including training, engagement, motivation, turnover and service quality.</w:t>
      </w:r>
    </w:p>
    <w:p w14:paraId="6D9B45E0"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Stage 2 is about generating initial codes</w:t>
      </w:r>
      <w:r w:rsidRPr="00E02468">
        <w:rPr>
          <w:rFonts w:ascii="Arial" w:hAnsi="Arial" w:cs="Arial"/>
          <w:sz w:val="24"/>
          <w:szCs w:val="24"/>
          <w:lang w:val="en-GB" w:eastAsia="en-GB"/>
        </w:rPr>
        <w:t>.</w:t>
      </w:r>
    </w:p>
    <w:p w14:paraId="78D4825B"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Relevant parts of every source were coded by the concepts that directly related to the research questions. Across the evidence base coding was undertaken consistently.</w:t>
      </w:r>
    </w:p>
    <w:p w14:paraId="0B99D120" w14:textId="77777777" w:rsidR="006327B6" w:rsidRPr="00E02468" w:rsidRDefault="006327B6" w:rsidP="006327B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Stage 3: Exploring themes</w:t>
      </w:r>
    </w:p>
    <w:p w14:paraId="26F87A0A"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Codes were clustered together under larger themes based on the conceptual structure. Some skills, such as Communication skills, Competence and complain handling, were clustered together for Training and Development.</w:t>
      </w:r>
    </w:p>
    <w:p w14:paraId="256E9B11" w14:textId="77777777" w:rsidR="006327B6" w:rsidRPr="00E02468" w:rsidRDefault="006327B6" w:rsidP="006327B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Stage 4: Reviewing themes</w:t>
      </w:r>
    </w:p>
    <w:p w14:paraId="6C5A425D" w14:textId="0DF1289B" w:rsidR="00763D18"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themes that emerged were discussed with the evidence to see if they were well formed and separate. The results obtained were not discarded if they contradicted each other: differences between studies were analysed critically</w:t>
      </w:r>
      <w:r w:rsidR="00763D18" w:rsidRPr="00E02468">
        <w:rPr>
          <w:rFonts w:ascii="Arial" w:hAnsi="Arial" w:cs="Arial"/>
          <w:sz w:val="24"/>
          <w:szCs w:val="24"/>
          <w:lang w:val="en-GB" w:eastAsia="en-GB"/>
        </w:rPr>
        <w:t>.</w:t>
      </w:r>
    </w:p>
    <w:p w14:paraId="65E54DE7" w14:textId="60811E48" w:rsidR="00763D18" w:rsidRPr="00E02468" w:rsidRDefault="00763D18" w:rsidP="00763D18">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Stage 5: Defining and naming themes</w:t>
      </w:r>
    </w:p>
    <w:p w14:paraId="02D43E17" w14:textId="77777777" w:rsidR="006327B6"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Themes were well designed based on the research questions and conceptual framework.</w:t>
      </w:r>
    </w:p>
    <w:p w14:paraId="235EA95C" w14:textId="77777777" w:rsidR="006327B6" w:rsidRPr="00E02468" w:rsidRDefault="006327B6" w:rsidP="006327B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Stage 6: Creation of final analysis</w:t>
      </w:r>
    </w:p>
    <w:p w14:paraId="4E4FEF5C" w14:textId="4BC73B8E" w:rsidR="00763D18" w:rsidRPr="00E02468" w:rsidRDefault="006327B6" w:rsidP="006327B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final themes were combined into a logical storyline that demonstrates the relationships between HCM practices, employee performance, quality of customer service and customer outcomes (Braun and Clarke, 2021).</w:t>
      </w:r>
    </w:p>
    <w:p w14:paraId="665ED50E" w14:textId="7F86E41B" w:rsidR="008A020F" w:rsidRPr="00E02468" w:rsidRDefault="008A020F" w:rsidP="008A020F">
      <w:pPr>
        <w:pStyle w:val="Caption"/>
        <w:keepNext/>
        <w:rPr>
          <w:rFonts w:ascii="Arial" w:hAnsi="Arial" w:cs="Arial"/>
          <w:sz w:val="24"/>
          <w:lang w:val="en-GB"/>
        </w:rPr>
      </w:pPr>
      <w:bookmarkStart w:id="72" w:name="_Toc240932210"/>
      <w:r w:rsidRPr="00E02468">
        <w:rPr>
          <w:rFonts w:ascii="Arial" w:hAnsi="Arial" w:cs="Arial"/>
          <w:sz w:val="24"/>
          <w:lang w:val="en-GB"/>
        </w:rPr>
        <w:t xml:space="preserve">Table </w:t>
      </w:r>
      <w:r w:rsidRPr="00E02468">
        <w:rPr>
          <w:rFonts w:ascii="Arial" w:hAnsi="Arial" w:cs="Arial"/>
          <w:sz w:val="24"/>
          <w:lang w:val="en-GB"/>
        </w:rPr>
        <w:fldChar w:fldCharType="begin"/>
      </w:r>
      <w:r w:rsidRPr="00E02468">
        <w:rPr>
          <w:rFonts w:ascii="Arial" w:hAnsi="Arial" w:cs="Arial"/>
          <w:sz w:val="24"/>
          <w:lang w:val="en-GB"/>
        </w:rPr>
        <w:instrText xml:space="preserve"> SEQ Table \* ARABIC </w:instrText>
      </w:r>
      <w:r w:rsidRPr="00E02468">
        <w:rPr>
          <w:rFonts w:ascii="Arial" w:hAnsi="Arial" w:cs="Arial"/>
          <w:sz w:val="24"/>
          <w:lang w:val="en-GB"/>
        </w:rPr>
        <w:fldChar w:fldCharType="separate"/>
      </w:r>
      <w:r w:rsidR="00072E5D" w:rsidRPr="00E02468">
        <w:rPr>
          <w:rFonts w:ascii="Arial" w:hAnsi="Arial" w:cs="Arial"/>
          <w:noProof/>
          <w:sz w:val="24"/>
          <w:lang w:val="en-GB"/>
        </w:rPr>
        <w:t>2</w:t>
      </w:r>
      <w:r w:rsidRPr="00E02468">
        <w:rPr>
          <w:rFonts w:ascii="Arial" w:hAnsi="Arial" w:cs="Arial"/>
          <w:sz w:val="24"/>
          <w:lang w:val="en-GB"/>
        </w:rPr>
        <w:fldChar w:fldCharType="end"/>
      </w:r>
      <w:r w:rsidRPr="00E02468">
        <w:rPr>
          <w:rFonts w:ascii="Arial" w:hAnsi="Arial" w:cs="Arial"/>
          <w:sz w:val="24"/>
          <w:lang w:val="en-GB"/>
        </w:rPr>
        <w:t>.Coding Framework</w:t>
      </w:r>
      <w:bookmarkEnd w:id="72"/>
    </w:p>
    <w:tbl>
      <w:tblPr>
        <w:tblStyle w:val="TableGrid"/>
        <w:tblW w:w="0" w:type="auto"/>
        <w:tblLook w:val="04A0" w:firstRow="1" w:lastRow="0" w:firstColumn="1" w:lastColumn="0" w:noHBand="0" w:noVBand="1"/>
      </w:tblPr>
      <w:tblGrid>
        <w:gridCol w:w="4508"/>
        <w:gridCol w:w="4508"/>
      </w:tblGrid>
      <w:tr w:rsidR="000004DB" w:rsidRPr="00E02468" w14:paraId="38FBB735" w14:textId="77777777" w:rsidTr="000004DB">
        <w:tc>
          <w:tcPr>
            <w:tcW w:w="4508" w:type="dxa"/>
          </w:tcPr>
          <w:p w14:paraId="2739A88E" w14:textId="77777777" w:rsidR="000004DB" w:rsidRPr="00E02468" w:rsidRDefault="000004DB" w:rsidP="000F6EED">
            <w:pPr>
              <w:spacing w:before="240" w:line="360" w:lineRule="auto"/>
              <w:jc w:val="both"/>
              <w:rPr>
                <w:rFonts w:ascii="Arial" w:hAnsi="Arial" w:cs="Arial"/>
                <w:b/>
                <w:sz w:val="20"/>
                <w:szCs w:val="24"/>
                <w:lang w:val="en-GB" w:eastAsia="en-GB"/>
              </w:rPr>
            </w:pPr>
            <w:r w:rsidRPr="00E02468">
              <w:rPr>
                <w:rFonts w:ascii="Arial" w:hAnsi="Arial" w:cs="Arial"/>
                <w:b/>
                <w:sz w:val="20"/>
                <w:szCs w:val="24"/>
                <w:lang w:val="en-GB" w:eastAsia="en-GB"/>
              </w:rPr>
              <w:t>Main theme</w:t>
            </w:r>
          </w:p>
        </w:tc>
        <w:tc>
          <w:tcPr>
            <w:tcW w:w="4508" w:type="dxa"/>
          </w:tcPr>
          <w:p w14:paraId="6A04108C" w14:textId="77777777" w:rsidR="000004DB" w:rsidRPr="00E02468" w:rsidRDefault="000004DB" w:rsidP="000F6EED">
            <w:pPr>
              <w:spacing w:before="240" w:line="360" w:lineRule="auto"/>
              <w:jc w:val="both"/>
              <w:rPr>
                <w:rFonts w:ascii="Arial" w:hAnsi="Arial" w:cs="Arial"/>
                <w:b/>
                <w:sz w:val="20"/>
                <w:szCs w:val="24"/>
                <w:lang w:val="en-GB" w:eastAsia="en-GB"/>
              </w:rPr>
            </w:pPr>
            <w:r w:rsidRPr="00E02468">
              <w:rPr>
                <w:rFonts w:ascii="Arial" w:hAnsi="Arial" w:cs="Arial"/>
                <w:b/>
                <w:sz w:val="20"/>
                <w:szCs w:val="24"/>
                <w:lang w:val="en-GB" w:eastAsia="en-GB"/>
              </w:rPr>
              <w:t>Examples of codes</w:t>
            </w:r>
          </w:p>
        </w:tc>
      </w:tr>
      <w:tr w:rsidR="000004DB" w:rsidRPr="00E02468" w14:paraId="5DEDAD2E" w14:textId="77777777" w:rsidTr="000004DB">
        <w:tc>
          <w:tcPr>
            <w:tcW w:w="4508" w:type="dxa"/>
          </w:tcPr>
          <w:p w14:paraId="2BB038C2"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Recruitment and Selection</w:t>
            </w:r>
          </w:p>
        </w:tc>
        <w:tc>
          <w:tcPr>
            <w:tcW w:w="4508" w:type="dxa"/>
          </w:tcPr>
          <w:p w14:paraId="227E2F6A"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Skills, service orientation, person-job fit</w:t>
            </w:r>
          </w:p>
        </w:tc>
      </w:tr>
      <w:tr w:rsidR="000004DB" w:rsidRPr="00E02468" w14:paraId="283BF3E2" w14:textId="77777777" w:rsidTr="000004DB">
        <w:tc>
          <w:tcPr>
            <w:tcW w:w="4508" w:type="dxa"/>
          </w:tcPr>
          <w:p w14:paraId="021995FB"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Training and Development</w:t>
            </w:r>
          </w:p>
        </w:tc>
        <w:tc>
          <w:tcPr>
            <w:tcW w:w="4508" w:type="dxa"/>
          </w:tcPr>
          <w:p w14:paraId="2A9B709D"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Communication, complaint handling, competence</w:t>
            </w:r>
          </w:p>
        </w:tc>
      </w:tr>
      <w:tr w:rsidR="000004DB" w:rsidRPr="00E02468" w14:paraId="373C4DF0" w14:textId="77777777" w:rsidTr="000004DB">
        <w:tc>
          <w:tcPr>
            <w:tcW w:w="4508" w:type="dxa"/>
          </w:tcPr>
          <w:p w14:paraId="1F07DC1A"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Employee Engagement</w:t>
            </w:r>
          </w:p>
        </w:tc>
        <w:tc>
          <w:tcPr>
            <w:tcW w:w="4508" w:type="dxa"/>
          </w:tcPr>
          <w:p w14:paraId="0B93915D"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Commitment, motivation, employee voice</w:t>
            </w:r>
          </w:p>
        </w:tc>
      </w:tr>
      <w:tr w:rsidR="000004DB" w:rsidRPr="00E02468" w14:paraId="6E0A6E9F" w14:textId="77777777" w:rsidTr="000004DB">
        <w:tc>
          <w:tcPr>
            <w:tcW w:w="4508" w:type="dxa"/>
          </w:tcPr>
          <w:p w14:paraId="1F86D006"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Performance Management</w:t>
            </w:r>
          </w:p>
        </w:tc>
        <w:tc>
          <w:tcPr>
            <w:tcW w:w="4508" w:type="dxa"/>
          </w:tcPr>
          <w:p w14:paraId="11E735DF"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Feedback, standards, KPIs, coaching</w:t>
            </w:r>
          </w:p>
        </w:tc>
      </w:tr>
      <w:tr w:rsidR="000004DB" w:rsidRPr="00E02468" w14:paraId="41390A00" w14:textId="77777777" w:rsidTr="000004DB">
        <w:tc>
          <w:tcPr>
            <w:tcW w:w="4508" w:type="dxa"/>
          </w:tcPr>
          <w:p w14:paraId="2142B5F6"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Reward and Recognition</w:t>
            </w:r>
          </w:p>
        </w:tc>
        <w:tc>
          <w:tcPr>
            <w:tcW w:w="4508" w:type="dxa"/>
          </w:tcPr>
          <w:p w14:paraId="174B5CEF"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Pay, incentives, recognition, fairness</w:t>
            </w:r>
          </w:p>
        </w:tc>
      </w:tr>
      <w:tr w:rsidR="000004DB" w:rsidRPr="00E02468" w14:paraId="2EBC8AA8" w14:textId="77777777" w:rsidTr="000004DB">
        <w:tc>
          <w:tcPr>
            <w:tcW w:w="4508" w:type="dxa"/>
          </w:tcPr>
          <w:p w14:paraId="44417F49"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Employee Retention</w:t>
            </w:r>
          </w:p>
        </w:tc>
        <w:tc>
          <w:tcPr>
            <w:tcW w:w="4508" w:type="dxa"/>
          </w:tcPr>
          <w:p w14:paraId="1FBCF2D5"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Turnover, career development, job satisfaction</w:t>
            </w:r>
          </w:p>
        </w:tc>
      </w:tr>
      <w:tr w:rsidR="000004DB" w:rsidRPr="00E02468" w14:paraId="6A6F84BE" w14:textId="77777777" w:rsidTr="000004DB">
        <w:tc>
          <w:tcPr>
            <w:tcW w:w="4508" w:type="dxa"/>
          </w:tcPr>
          <w:p w14:paraId="12200821"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Employee Performance</w:t>
            </w:r>
          </w:p>
        </w:tc>
        <w:tc>
          <w:tcPr>
            <w:tcW w:w="4508" w:type="dxa"/>
          </w:tcPr>
          <w:p w14:paraId="71E49D32"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Capability, productivity, service behaviour</w:t>
            </w:r>
          </w:p>
        </w:tc>
      </w:tr>
      <w:tr w:rsidR="000004DB" w:rsidRPr="00E02468" w14:paraId="13275958" w14:textId="77777777" w:rsidTr="000004DB">
        <w:tc>
          <w:tcPr>
            <w:tcW w:w="4508" w:type="dxa"/>
          </w:tcPr>
          <w:p w14:paraId="53445759"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Customer Service Quality</w:t>
            </w:r>
          </w:p>
        </w:tc>
        <w:tc>
          <w:tcPr>
            <w:tcW w:w="4508" w:type="dxa"/>
          </w:tcPr>
          <w:p w14:paraId="7FD7C180"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Reliability, responsiveness, assurance, empathy, tangibles</w:t>
            </w:r>
          </w:p>
        </w:tc>
      </w:tr>
      <w:tr w:rsidR="000004DB" w:rsidRPr="00E02468" w14:paraId="04F9C4EA" w14:textId="77777777" w:rsidTr="000004DB">
        <w:tc>
          <w:tcPr>
            <w:tcW w:w="4508" w:type="dxa"/>
          </w:tcPr>
          <w:p w14:paraId="679B3299"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Customer Satisfaction</w:t>
            </w:r>
          </w:p>
        </w:tc>
        <w:tc>
          <w:tcPr>
            <w:tcW w:w="4508" w:type="dxa"/>
          </w:tcPr>
          <w:p w14:paraId="47F1092C"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Loyalty, repeat visits, reviews, word-of-mouth</w:t>
            </w:r>
          </w:p>
        </w:tc>
      </w:tr>
      <w:tr w:rsidR="000004DB" w:rsidRPr="00E02468" w14:paraId="05D68BEC" w14:textId="77777777" w:rsidTr="000004DB">
        <w:tc>
          <w:tcPr>
            <w:tcW w:w="4508" w:type="dxa"/>
          </w:tcPr>
          <w:p w14:paraId="7D03F602"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Restaurant Performance</w:t>
            </w:r>
          </w:p>
        </w:tc>
        <w:tc>
          <w:tcPr>
            <w:tcW w:w="4508" w:type="dxa"/>
          </w:tcPr>
          <w:p w14:paraId="1C01A2FD" w14:textId="77777777" w:rsidR="000004DB" w:rsidRPr="00E02468" w:rsidRDefault="000004DB" w:rsidP="000F6EED">
            <w:pPr>
              <w:spacing w:before="240" w:line="360" w:lineRule="auto"/>
              <w:jc w:val="both"/>
              <w:rPr>
                <w:rFonts w:ascii="Arial" w:hAnsi="Arial" w:cs="Arial"/>
                <w:sz w:val="20"/>
                <w:szCs w:val="24"/>
                <w:lang w:val="en-GB" w:eastAsia="en-GB"/>
              </w:rPr>
            </w:pPr>
            <w:r w:rsidRPr="00E02468">
              <w:rPr>
                <w:rFonts w:ascii="Arial" w:hAnsi="Arial" w:cs="Arial"/>
                <w:sz w:val="20"/>
                <w:szCs w:val="24"/>
                <w:lang w:val="en-GB" w:eastAsia="en-GB"/>
              </w:rPr>
              <w:t>Reputation, competitiveness, revenue</w:t>
            </w:r>
          </w:p>
        </w:tc>
      </w:tr>
    </w:tbl>
    <w:p w14:paraId="6F28C849" w14:textId="5D470B8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Analysis of the evidence was also conducted to highlight convergence, divergence and contextual differences. Convergence was explored when multiple sources indicated the same relationships, and divergence was explored when studies rep</w:t>
      </w:r>
      <w:r w:rsidR="007823D4" w:rsidRPr="00E02468">
        <w:rPr>
          <w:rFonts w:ascii="Arial" w:hAnsi="Arial" w:cs="Arial"/>
          <w:sz w:val="24"/>
          <w:szCs w:val="24"/>
          <w:lang w:val="en-GB" w:eastAsia="en-GB"/>
        </w:rPr>
        <w:t>orted different relationships</w:t>
      </w:r>
      <w:r w:rsidRPr="00E02468">
        <w:rPr>
          <w:rFonts w:ascii="Arial" w:hAnsi="Arial" w:cs="Arial"/>
          <w:sz w:val="24"/>
          <w:szCs w:val="24"/>
          <w:lang w:val="en-GB" w:eastAsia="en-GB"/>
        </w:rPr>
        <w:t>.</w:t>
      </w:r>
    </w:p>
    <w:p w14:paraId="0A988AF0" w14:textId="7C512361" w:rsidR="00244CAF" w:rsidRPr="00E02468" w:rsidRDefault="00244CAF" w:rsidP="00244CAF">
      <w:pPr>
        <w:pStyle w:val="Heading2"/>
        <w:rPr>
          <w:rFonts w:cs="Arial"/>
          <w:lang w:val="en-GB" w:eastAsia="en-GB"/>
        </w:rPr>
      </w:pPr>
      <w:bookmarkStart w:id="73" w:name="_Toc240932157"/>
      <w:r w:rsidRPr="00E02468">
        <w:rPr>
          <w:rFonts w:cs="Arial"/>
          <w:lang w:val="en-GB" w:eastAsia="en-GB"/>
        </w:rPr>
        <w:t>3.11 Quality, Reliability and Validity/Rigour</w:t>
      </w:r>
      <w:bookmarkEnd w:id="73"/>
    </w:p>
    <w:p w14:paraId="1916DAC1"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type of research is qualitative secondary research and hence the traditional measure of statistical reliability is not suitable. Rather, the quality of research is evaluated by criteria used to judge the quality of qualitative research, such as credibility, dependability, confirmability and transferability (Lincoln and Guba, 1985).</w:t>
      </w:r>
    </w:p>
    <w:p w14:paraId="1CD2CF1E"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use of credible peer-reviewed academic literature and government and professional sources enhanced credibility. Evidence was analyzed across various forms of publications to ensure that the evidence does not come from only one source or point of view.</w:t>
      </w:r>
    </w:p>
    <w:p w14:paraId="5E6083CB"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Transparency of the search strategy, a pre-defined inclusion and exclusion criteria and a consistent coding framework helped to promote dependability. Keeping notes documenting the decisions made during the search process and the choice of sources provides a record of the choices made in the research process, making it more transparent (Nowell et al., 2017).</w:t>
      </w:r>
    </w:p>
    <w:p w14:paraId="37ACF10B" w14:textId="579E50D0"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Confirmability was considered with accuracy of representation of findings and arguments of original authors rather than by choosing evidence in line with the researcher's expectations. Contradictory finding was kept and critically assessed.</w:t>
      </w:r>
    </w:p>
    <w:p w14:paraId="00A7F4DD"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Transferability was taken into account by differentiating between results that were specific to the UK and those that were generated in other hospitality settings. The majority of the research was used for comparison rather than assumed to be directly applicable to UK restaurants.</w:t>
      </w:r>
    </w:p>
    <w:p w14:paraId="459749C9" w14:textId="32D3AE24" w:rsidR="00763D18"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Lastly, reflexive awareness was maintained throughout the thematic coding process as the qualitative interpretation always involves researcher judgement (Braun and Clarke, 2021). </w:t>
      </w:r>
    </w:p>
    <w:p w14:paraId="248F6662" w14:textId="2635CCCC" w:rsidR="00763D18" w:rsidRPr="00E02468" w:rsidRDefault="00763D18" w:rsidP="0066185D">
      <w:pPr>
        <w:pStyle w:val="Heading2"/>
        <w:rPr>
          <w:rFonts w:cs="Arial"/>
          <w:lang w:val="en-GB" w:eastAsia="en-GB"/>
        </w:rPr>
      </w:pPr>
      <w:bookmarkStart w:id="74" w:name="_Toc240932158"/>
      <w:r w:rsidRPr="00E02468">
        <w:rPr>
          <w:rFonts w:cs="Arial"/>
          <w:lang w:val="en-GB" w:eastAsia="en-GB"/>
        </w:rPr>
        <w:t>3.12 Ethical Considerations</w:t>
      </w:r>
      <w:bookmarkEnd w:id="74"/>
    </w:p>
    <w:p w14:paraId="7E7F7DB8"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There are no human participants in the study and questionnaires, interviews or focus groups are not needed. Personal data or special category personal data are not collected. Rather, only publicly available academic, governmental, professional and industry materials are used in the research.</w:t>
      </w:r>
    </w:p>
    <w:p w14:paraId="7C06E6B0" w14:textId="4DC83658"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However, there are still other secondary evidence that need to be accurately represented and responsibly used in ethical research. Appropriate Harvard referencing of all sources is used and findings from the research are not intentionally distorted, misrepresented or manipulated. Academic integrity is an obligation placed on researchers to acknowledge the contributions of the author(s) and differentiate their own analysis from that of other arguments (Bell, Bryman and Harley, 2022).</w:t>
      </w:r>
    </w:p>
    <w:p w14:paraId="2FCCEF0A" w14:textId="19FFF2AF"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Copyright also is honoured through research in a valid way using others' work and avoiding unnecessary duplication of protected materials. Findings are contextualized and seen in the light of the context and limitations of the original sources, not as universally applicable.</w:t>
      </w:r>
    </w:p>
    <w:p w14:paraId="63FB2B45" w14:textId="77777777" w:rsidR="00244CAF" w:rsidRPr="00E02468" w:rsidRDefault="00244CAF" w:rsidP="00244CA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Research materials and draft of dissertation are kept securely and access to it is only with the researcher and authorised University staff, when applicable. Drafts are sent via the approved University systems.</w:t>
      </w:r>
    </w:p>
    <w:p w14:paraId="079A525F" w14:textId="71690722" w:rsidR="00763D18" w:rsidRPr="00E02468" w:rsidRDefault="00763D18" w:rsidP="0066185D">
      <w:pPr>
        <w:pStyle w:val="Heading2"/>
        <w:rPr>
          <w:rFonts w:cs="Arial"/>
          <w:lang w:val="en-GB" w:eastAsia="en-GB"/>
        </w:rPr>
      </w:pPr>
      <w:bookmarkStart w:id="75" w:name="_Toc240932159"/>
      <w:r w:rsidRPr="00E02468">
        <w:rPr>
          <w:rFonts w:cs="Arial"/>
          <w:lang w:val="en-GB" w:eastAsia="en-GB"/>
        </w:rPr>
        <w:t>3.13 Data Protection and Storage</w:t>
      </w:r>
      <w:bookmarkEnd w:id="75"/>
    </w:p>
    <w:p w14:paraId="7A9C57BF" w14:textId="77777777" w:rsidR="008B631A" w:rsidRPr="00E02468" w:rsidRDefault="008B631A" w:rsidP="008B631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Limited requirements for data protection: No personal information/identifiable information about participants is collected in the study. However, materials used for research are kept in a secure manner and the integrity of the research process is guarded.</w:t>
      </w:r>
    </w:p>
    <w:p w14:paraId="5ADF2E60" w14:textId="77777777" w:rsidR="008B631A" w:rsidRPr="00E02468" w:rsidRDefault="008B631A" w:rsidP="008B631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Research materials, such as downloaded academic papers and reports, evidence and analytical notes, are stored in the University's approved computer and/or approved cloud storage (OneDrive). Where available, password protection and two factor authentication is used. Frequent back-ups minimize the chance of loss.</w:t>
      </w:r>
    </w:p>
    <w:p w14:paraId="3F02F99C" w14:textId="77777777" w:rsidR="008B631A" w:rsidRPr="00E02468" w:rsidRDefault="008B631A" w:rsidP="008B631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Research materials are not available for public use unless there is a need for them to be so. No database of the participants is created and no personally identifiable information is intentionally collected, processed or shared.</w:t>
      </w:r>
    </w:p>
    <w:p w14:paraId="702E9C40" w14:textId="77777777" w:rsidR="008B631A" w:rsidRPr="00E02468" w:rsidRDefault="008B631A" w:rsidP="008B631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To ensure an audit trail of source selection and analysis, research files are organised with appropriate files and folders and are consistently named. If temporary copies are no longer needed they are disposed of securely in compliance with the University's requirements. Records of relevant research are kept or stored in line with institutional policy.</w:t>
      </w:r>
    </w:p>
    <w:p w14:paraId="2D08ED2C" w14:textId="7B278681" w:rsidR="00763D18" w:rsidRPr="00E02468" w:rsidRDefault="008B631A" w:rsidP="008B631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Responsible research-data management is facilitated by these procedures, which ensure the confidentiality, integrity and availability of the data and methodological process is sufficiently open for academic review (Saunders, Lewis and Thornhill, 2023)</w:t>
      </w:r>
      <w:r w:rsidR="00763D18" w:rsidRPr="00E02468">
        <w:rPr>
          <w:rFonts w:ascii="Arial" w:hAnsi="Arial" w:cs="Arial"/>
          <w:sz w:val="24"/>
          <w:szCs w:val="24"/>
          <w:lang w:val="en-GB" w:eastAsia="en-GB"/>
        </w:rPr>
        <w:t>.</w:t>
      </w:r>
    </w:p>
    <w:p w14:paraId="17994DE0" w14:textId="48C25CD2" w:rsidR="00763D18" w:rsidRPr="00E02468" w:rsidRDefault="00763D18" w:rsidP="0066185D">
      <w:pPr>
        <w:pStyle w:val="Heading2"/>
        <w:rPr>
          <w:rFonts w:cs="Arial"/>
          <w:lang w:val="en-GB" w:eastAsia="en-GB"/>
        </w:rPr>
      </w:pPr>
      <w:bookmarkStart w:id="76" w:name="_Toc240932160"/>
      <w:r w:rsidRPr="00E02468">
        <w:rPr>
          <w:rFonts w:cs="Arial"/>
          <w:lang w:val="en-GB" w:eastAsia="en-GB"/>
        </w:rPr>
        <w:t>3.14 Methodological Limitations</w:t>
      </w:r>
      <w:bookmarkEnd w:id="76"/>
    </w:p>
    <w:p w14:paraId="0DC3D4D0" w14:textId="4CB6C887" w:rsidR="00865338"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There are a number of drawbacks associated with qualitative secondary research. The study is based on previous evidence and the researcher cannot control how the studies originally gathered and analysed evidence. Comparability may be affected by differences in research design, samples, definitions and measurement approaches.</w:t>
      </w:r>
    </w:p>
    <w:p w14:paraId="2CC7EB35" w14:textId="77777777" w:rsidR="00865338"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 the research does not offer an insider's view into employees' or customers' experience. It will therefore not be able to uncover any new points of view that may not have been previously documented in the literature. The publication bias may also occur in secondary research as studies showing significant and interesting results may be more likely to be published than studies with less significant results (Snyder, 2019).</w:t>
      </w:r>
    </w:p>
    <w:p w14:paraId="0C971A36" w14:textId="77777777" w:rsidR="00865338"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some evidence may come from hotels, larger hospitality enterprises or global markets and not UK restaurants. Such studies can offer useful comparisons, but the results of these studies may not be entirely applicable to the actual working conditions and labour dynamics of UK restaurants.</w:t>
      </w:r>
    </w:p>
    <w:p w14:paraId="1BD547CF" w14:textId="77777777" w:rsidR="00865338"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Fourth, there may be a limited amount of evidence specific to each restaurant. Conceptual inconsistencies also exist between different studies as they define HCM, employee engagement, performance and service quality differently.</w:t>
      </w:r>
    </w:p>
    <w:p w14:paraId="6030A0E5" w14:textId="77777777" w:rsidR="00865338"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Finally, theming analysis is a process of interpretation by the researcher. While systematic coding helps to minimise inconsistency, it is important to consider that researcher judgement may play a role in the identification and interpretation of themes (Braun and Clarke, 2021).</w:t>
      </w:r>
    </w:p>
    <w:p w14:paraId="4B7AFA10" w14:textId="77777777" w:rsidR="00865338" w:rsidRPr="00E02468" w:rsidRDefault="00865338" w:rsidP="00865338">
      <w:pPr>
        <w:pStyle w:val="Heading2"/>
        <w:rPr>
          <w:rFonts w:cs="Arial"/>
          <w:lang w:val="en-GB" w:eastAsia="en-GB"/>
        </w:rPr>
      </w:pPr>
      <w:bookmarkStart w:id="77" w:name="_Toc240932161"/>
      <w:r w:rsidRPr="00E02468">
        <w:rPr>
          <w:rFonts w:cs="Arial"/>
          <w:lang w:val="en-GB" w:eastAsia="en-GB"/>
        </w:rPr>
        <w:t>3.15 Chapter Summary</w:t>
      </w:r>
      <w:bookmarkEnd w:id="77"/>
    </w:p>
    <w:p w14:paraId="6CE460F0" w14:textId="260D15D9" w:rsidR="009852A2" w:rsidRPr="00E02468" w:rsidRDefault="00865338" w:rsidP="0086533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purpose of this chapter was to provide the methodological backdrop of the study on the effect of HCM practices on customer service quality in the UK restaurant sector. The philosophy that the research has taken is interpretivist, and it has used an inductive approach when examining the relationship between HCM practices and employee/customer outcomes in an attempt to provide a qualitative understanding of the "how" and "why" of the relationship. The research philosophy that has been adopted is interpretivist, and it has taken an inductive approach when examining the relationship between HCM practices and employee/customer outcomes in an attempt to provide a qualitative understanding of the "how" and "why" of the relationship. A qualitative secondary-data design was selected, using purposively selected academic, government and industry sources. A systematic search and screening process was employed to identify relevant evidence and Braun and Clarke's (2021) six-phase thematic analysis framework was adopted for coding and synthesizing the evidence</w:t>
      </w:r>
      <w:r w:rsidR="00763D18" w:rsidRPr="00E02468">
        <w:rPr>
          <w:rFonts w:ascii="Arial" w:hAnsi="Arial" w:cs="Arial"/>
          <w:sz w:val="24"/>
          <w:szCs w:val="24"/>
          <w:lang w:val="en-GB" w:eastAsia="en-GB"/>
        </w:rPr>
        <w:t>. Research rigour was supported through credibility, dependability, confirmability, transferability, triangulation and an audit trail. Ethical compliance, secure data management and methodological limitations were also addressed. The next chapter presents the thematic findings generated from the selected secondary evidence and organises them around the research questions and HCM framework.</w:t>
      </w:r>
    </w:p>
    <w:p w14:paraId="3CCE3596" w14:textId="03134F99" w:rsidR="00B3753B" w:rsidRPr="00E02468" w:rsidRDefault="00B3753B" w:rsidP="00763D18">
      <w:pPr>
        <w:spacing w:before="240" w:line="360" w:lineRule="auto"/>
        <w:jc w:val="both"/>
        <w:rPr>
          <w:rFonts w:ascii="Arial" w:hAnsi="Arial" w:cs="Arial"/>
          <w:sz w:val="24"/>
          <w:szCs w:val="24"/>
          <w:lang w:val="en-GB" w:eastAsia="en-GB"/>
        </w:rPr>
      </w:pPr>
    </w:p>
    <w:p w14:paraId="68C2EA2E" w14:textId="77777777" w:rsidR="00BD63F2" w:rsidRPr="00E02468" w:rsidRDefault="00BD63F2" w:rsidP="004A2D91">
      <w:pPr>
        <w:pStyle w:val="Heading1"/>
        <w:jc w:val="center"/>
        <w:rPr>
          <w:rFonts w:cs="Arial"/>
          <w:lang w:val="en-GB" w:eastAsia="en-GB"/>
        </w:rPr>
      </w:pPr>
      <w:bookmarkStart w:id="78" w:name="_Toc240932162"/>
      <w:r w:rsidRPr="00E02468">
        <w:rPr>
          <w:rFonts w:cs="Arial"/>
          <w:lang w:val="en-GB" w:eastAsia="en-GB"/>
        </w:rPr>
        <w:t>Chapter 4: Data Analysis and Findings</w:t>
      </w:r>
      <w:bookmarkEnd w:id="78"/>
    </w:p>
    <w:p w14:paraId="1F981884" w14:textId="7D8CC7D0" w:rsidR="00BD63F2" w:rsidRPr="00E02468" w:rsidRDefault="00564243" w:rsidP="004A2D91">
      <w:pPr>
        <w:pStyle w:val="Heading2"/>
        <w:rPr>
          <w:rFonts w:cs="Arial"/>
          <w:lang w:val="en-GB" w:eastAsia="en-GB"/>
        </w:rPr>
      </w:pPr>
      <w:bookmarkStart w:id="79" w:name="_Toc240932163"/>
      <w:r w:rsidRPr="00E02468">
        <w:rPr>
          <w:rFonts w:cs="Arial"/>
          <w:lang w:val="en-GB" w:eastAsia="en-GB"/>
        </w:rPr>
        <w:t>4.1 Introduction</w:t>
      </w:r>
      <w:bookmarkEnd w:id="79"/>
    </w:p>
    <w:p w14:paraId="5602BF4D" w14:textId="04F7F71B" w:rsidR="004A2D91" w:rsidRPr="00E02468" w:rsidRDefault="004A2D91" w:rsidP="004A2D9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chapter shares the qualitative analysis of secondary data aimed at exploring the effect of Human Capital Management (HCM) strategies on the quality of customer service in the UK restaurant industry. The analysis in this work is based on six HCM practices which are recruitment and selection, training and development, employee engagement, performance management, reward and recognition, and employee retention. The results then are analysed with regards to employee performance, the quality of customer service and customer satisfaction.</w:t>
      </w:r>
    </w:p>
    <w:p w14:paraId="4271CF0E" w14:textId="0DEFAFF3" w:rsidR="004A2D91" w:rsidRPr="00E02468" w:rsidRDefault="004A2D91" w:rsidP="004A2D9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chapter does not report primary survey responses, as is done in the methodological approach outlined in Chapter 3. Rather, evidence is provided in the form of numbers, from academic research, government data and reports from the hospitality industry, to support the explanation of the qualitative findings. It is crucial, especially for the UK hospitality sector which still struggles with a shortage of staff. For instance, according to Hospitality there are 132,000 hospitality vacancies, which is 48 per cent higher than pre-pandemic (UKHospitality, 2023).</w:t>
      </w:r>
    </w:p>
    <w:p w14:paraId="08650808" w14:textId="0D66E6DA" w:rsidR="00BD63F2" w:rsidRPr="00E02468" w:rsidRDefault="004A2D91"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chapter also draws comparisons with earlier studies to determine if the evidence reinforces, expands or contradicts the literature which was reviewed in Chapter 2.</w:t>
      </w:r>
    </w:p>
    <w:p w14:paraId="2484A2EA" w14:textId="7A7E3B87" w:rsidR="00BD63F2" w:rsidRPr="00E02468" w:rsidRDefault="00564243" w:rsidP="004A2D91">
      <w:pPr>
        <w:pStyle w:val="Heading2"/>
        <w:rPr>
          <w:rFonts w:cs="Arial"/>
          <w:lang w:val="en-GB" w:eastAsia="en-GB"/>
        </w:rPr>
      </w:pPr>
      <w:bookmarkStart w:id="80" w:name="_Toc240932164"/>
      <w:r w:rsidRPr="00E02468">
        <w:rPr>
          <w:rFonts w:cs="Arial"/>
          <w:lang w:val="en-GB" w:eastAsia="en-GB"/>
        </w:rPr>
        <w:t>4.2 Overview of the Evidence</w:t>
      </w:r>
      <w:bookmarkEnd w:id="80"/>
    </w:p>
    <w:p w14:paraId="10544086" w14:textId="77777777" w:rsidR="004A2D91" w:rsidRPr="00E02468" w:rsidRDefault="004A2D91" w:rsidP="004A2D9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secondary evidence shows that availability of workforce and employee continuity continues to be a key challenge for the UK hospitality sector. In the accommodation and food service activities sector, 20% of businesses and 31% of businesses reported having faced recruitment challenges in early October 2024 (ONS, 2024).</w:t>
      </w:r>
    </w:p>
    <w:p w14:paraId="7CBE41E9" w14:textId="32E946A8" w:rsidR="00BD63F2" w:rsidRPr="00E02468" w:rsidRDefault="004A2D91" w:rsidP="004A2D9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Evidence of difficulties with retention are also evident in CIPD data. Hospitality had the highest employee turnover rate for all industries reported at 52% from January 2022 to December 2023. In addition, more than one-third of hospitality employees had been in their role for less than one year during 2023 (CIPD, 2024)</w:t>
      </w:r>
      <w:r w:rsidR="00BD63F2" w:rsidRPr="00E02468">
        <w:rPr>
          <w:rFonts w:ascii="Arial" w:hAnsi="Arial" w:cs="Arial"/>
          <w:sz w:val="24"/>
          <w:szCs w:val="24"/>
          <w:lang w:val="en-GB" w:eastAsia="en-GB"/>
        </w:rPr>
        <w:t>.</w:t>
      </w:r>
    </w:p>
    <w:p w14:paraId="3A486EBA" w14:textId="77777777" w:rsidR="000863C4" w:rsidRPr="00E02468" w:rsidRDefault="000863C4" w:rsidP="004A2D91">
      <w:pPr>
        <w:spacing w:before="240" w:line="360" w:lineRule="auto"/>
        <w:jc w:val="both"/>
        <w:rPr>
          <w:rFonts w:ascii="Arial" w:hAnsi="Arial" w:cs="Arial"/>
          <w:sz w:val="24"/>
          <w:szCs w:val="24"/>
          <w:lang w:val="en-GB" w:eastAsia="en-GB"/>
        </w:rPr>
      </w:pPr>
    </w:p>
    <w:p w14:paraId="1DC979B1" w14:textId="16A3B1CD" w:rsidR="00564243" w:rsidRPr="00E02468" w:rsidRDefault="00564243" w:rsidP="00564243">
      <w:pPr>
        <w:pStyle w:val="Caption"/>
        <w:keepNext/>
        <w:jc w:val="both"/>
        <w:rPr>
          <w:rFonts w:ascii="Arial" w:hAnsi="Arial" w:cs="Arial"/>
          <w:sz w:val="24"/>
        </w:rPr>
      </w:pPr>
      <w:bookmarkStart w:id="81" w:name="_Toc240932211"/>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3</w:t>
      </w:r>
      <w:r w:rsidRPr="00E02468">
        <w:rPr>
          <w:rFonts w:ascii="Arial" w:hAnsi="Arial" w:cs="Arial"/>
          <w:sz w:val="24"/>
        </w:rPr>
        <w:fldChar w:fldCharType="end"/>
      </w:r>
      <w:r w:rsidRPr="00E02468">
        <w:rPr>
          <w:rFonts w:ascii="Arial" w:hAnsi="Arial" w:cs="Arial"/>
          <w:sz w:val="24"/>
        </w:rPr>
        <w:t>: Key Numerical Evidence</w:t>
      </w:r>
      <w:bookmarkEnd w:id="81"/>
    </w:p>
    <w:tbl>
      <w:tblPr>
        <w:tblStyle w:val="TableGrid"/>
        <w:tblW w:w="0" w:type="auto"/>
        <w:tblLook w:val="04A0" w:firstRow="1" w:lastRow="0" w:firstColumn="1" w:lastColumn="0" w:noHBand="0" w:noVBand="1"/>
      </w:tblPr>
      <w:tblGrid>
        <w:gridCol w:w="3005"/>
        <w:gridCol w:w="3005"/>
        <w:gridCol w:w="3006"/>
      </w:tblGrid>
      <w:tr w:rsidR="00564243" w:rsidRPr="00E02468" w14:paraId="429AFD78" w14:textId="77777777" w:rsidTr="00564243">
        <w:tc>
          <w:tcPr>
            <w:tcW w:w="3005" w:type="dxa"/>
          </w:tcPr>
          <w:p w14:paraId="15AC6700" w14:textId="77777777" w:rsidR="00564243" w:rsidRPr="00E02468" w:rsidRDefault="00564243" w:rsidP="00387B3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Evidence area</w:t>
            </w:r>
          </w:p>
        </w:tc>
        <w:tc>
          <w:tcPr>
            <w:tcW w:w="3005" w:type="dxa"/>
          </w:tcPr>
          <w:p w14:paraId="11F8327C" w14:textId="77777777" w:rsidR="00564243" w:rsidRPr="00E02468" w:rsidRDefault="00564243" w:rsidP="00387B3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Numerical finding</w:t>
            </w:r>
          </w:p>
        </w:tc>
        <w:tc>
          <w:tcPr>
            <w:tcW w:w="3006" w:type="dxa"/>
          </w:tcPr>
          <w:p w14:paraId="79B57D75" w14:textId="77777777" w:rsidR="00564243" w:rsidRPr="00E02468" w:rsidRDefault="00564243" w:rsidP="00387B3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Source</w:t>
            </w:r>
          </w:p>
        </w:tc>
      </w:tr>
      <w:tr w:rsidR="00564243" w:rsidRPr="00E02468" w14:paraId="71D78B66" w14:textId="77777777" w:rsidTr="00564243">
        <w:tc>
          <w:tcPr>
            <w:tcW w:w="3005" w:type="dxa"/>
          </w:tcPr>
          <w:p w14:paraId="4EFACA1F"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vacancies</w:t>
            </w:r>
          </w:p>
        </w:tc>
        <w:tc>
          <w:tcPr>
            <w:tcW w:w="3005" w:type="dxa"/>
          </w:tcPr>
          <w:p w14:paraId="0628E5D3"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132,000</w:t>
            </w:r>
          </w:p>
        </w:tc>
        <w:tc>
          <w:tcPr>
            <w:tcW w:w="3006" w:type="dxa"/>
          </w:tcPr>
          <w:p w14:paraId="6A058BF8"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UKHospitality (2023)</w:t>
            </w:r>
          </w:p>
        </w:tc>
      </w:tr>
      <w:tr w:rsidR="00564243" w:rsidRPr="00E02468" w14:paraId="5F9CB746" w14:textId="77777777" w:rsidTr="00564243">
        <w:tc>
          <w:tcPr>
            <w:tcW w:w="3005" w:type="dxa"/>
          </w:tcPr>
          <w:p w14:paraId="750BADE1"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Vacancies above pre-pandemic level</w:t>
            </w:r>
          </w:p>
        </w:tc>
        <w:tc>
          <w:tcPr>
            <w:tcW w:w="3005" w:type="dxa"/>
          </w:tcPr>
          <w:p w14:paraId="5C1A8B3F"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48%</w:t>
            </w:r>
          </w:p>
        </w:tc>
        <w:tc>
          <w:tcPr>
            <w:tcW w:w="3006" w:type="dxa"/>
          </w:tcPr>
          <w:p w14:paraId="015CC921"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UKHospitality (2023)</w:t>
            </w:r>
          </w:p>
        </w:tc>
      </w:tr>
      <w:tr w:rsidR="00564243" w:rsidRPr="00E02468" w14:paraId="3FB68038" w14:textId="77777777" w:rsidTr="00564243">
        <w:tc>
          <w:tcPr>
            <w:tcW w:w="3005" w:type="dxa"/>
          </w:tcPr>
          <w:p w14:paraId="1A2FF2CB"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Accommodation and food businesses experiencing worker shortages</w:t>
            </w:r>
          </w:p>
        </w:tc>
        <w:tc>
          <w:tcPr>
            <w:tcW w:w="3005" w:type="dxa"/>
          </w:tcPr>
          <w:p w14:paraId="3C820613"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20%</w:t>
            </w:r>
          </w:p>
        </w:tc>
        <w:tc>
          <w:tcPr>
            <w:tcW w:w="3006" w:type="dxa"/>
          </w:tcPr>
          <w:p w14:paraId="632FE6CF"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ONS (2024)</w:t>
            </w:r>
          </w:p>
        </w:tc>
      </w:tr>
      <w:tr w:rsidR="00564243" w:rsidRPr="00E02468" w14:paraId="4139B853" w14:textId="77777777" w:rsidTr="00564243">
        <w:tc>
          <w:tcPr>
            <w:tcW w:w="3005" w:type="dxa"/>
          </w:tcPr>
          <w:p w14:paraId="5761C932"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Accommodation and food businesses experiencing recruitment difficulties</w:t>
            </w:r>
          </w:p>
        </w:tc>
        <w:tc>
          <w:tcPr>
            <w:tcW w:w="3005" w:type="dxa"/>
          </w:tcPr>
          <w:p w14:paraId="5D706FBC"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31%</w:t>
            </w:r>
          </w:p>
        </w:tc>
        <w:tc>
          <w:tcPr>
            <w:tcW w:w="3006" w:type="dxa"/>
          </w:tcPr>
          <w:p w14:paraId="3D7B60B4"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ONS (2024)</w:t>
            </w:r>
          </w:p>
        </w:tc>
      </w:tr>
      <w:tr w:rsidR="00564243" w:rsidRPr="00E02468" w14:paraId="672593F5" w14:textId="77777777" w:rsidTr="00564243">
        <w:tc>
          <w:tcPr>
            <w:tcW w:w="3005" w:type="dxa"/>
          </w:tcPr>
          <w:p w14:paraId="5E61274F"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employee turnover</w:t>
            </w:r>
          </w:p>
        </w:tc>
        <w:tc>
          <w:tcPr>
            <w:tcW w:w="3005" w:type="dxa"/>
          </w:tcPr>
          <w:p w14:paraId="502DF5C3"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52%</w:t>
            </w:r>
          </w:p>
        </w:tc>
        <w:tc>
          <w:tcPr>
            <w:tcW w:w="3006" w:type="dxa"/>
          </w:tcPr>
          <w:p w14:paraId="0E3A218B"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CIPD (2024)</w:t>
            </w:r>
          </w:p>
        </w:tc>
      </w:tr>
      <w:tr w:rsidR="00564243" w:rsidRPr="00E02468" w14:paraId="0FBE4EC9" w14:textId="77777777" w:rsidTr="00564243">
        <w:tc>
          <w:tcPr>
            <w:tcW w:w="3005" w:type="dxa"/>
          </w:tcPr>
          <w:p w14:paraId="27A9FC44"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employees in role for less than one year</w:t>
            </w:r>
          </w:p>
        </w:tc>
        <w:tc>
          <w:tcPr>
            <w:tcW w:w="3005" w:type="dxa"/>
          </w:tcPr>
          <w:p w14:paraId="3F3F8383"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More than one-third</w:t>
            </w:r>
          </w:p>
        </w:tc>
        <w:tc>
          <w:tcPr>
            <w:tcW w:w="3006" w:type="dxa"/>
          </w:tcPr>
          <w:p w14:paraId="02A50505"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CIPD (2024)</w:t>
            </w:r>
          </w:p>
        </w:tc>
      </w:tr>
      <w:tr w:rsidR="00564243" w:rsidRPr="00E02468" w14:paraId="1D6B0106" w14:textId="77777777" w:rsidTr="00564243">
        <w:tc>
          <w:tcPr>
            <w:tcW w:w="3005" w:type="dxa"/>
          </w:tcPr>
          <w:p w14:paraId="12E130D1"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Training/service-quality study</w:t>
            </w:r>
          </w:p>
        </w:tc>
        <w:tc>
          <w:tcPr>
            <w:tcW w:w="3005" w:type="dxa"/>
          </w:tcPr>
          <w:p w14:paraId="641A8A74"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120 usable surveys</w:t>
            </w:r>
          </w:p>
        </w:tc>
        <w:tc>
          <w:tcPr>
            <w:tcW w:w="3006" w:type="dxa"/>
          </w:tcPr>
          <w:p w14:paraId="693E7DBF"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Waqanimaravu and Arasanmi (2020)</w:t>
            </w:r>
          </w:p>
        </w:tc>
      </w:tr>
      <w:tr w:rsidR="00564243" w:rsidRPr="00E02468" w14:paraId="1E161AB6" w14:textId="77777777" w:rsidTr="00564243">
        <w:tc>
          <w:tcPr>
            <w:tcW w:w="3005" w:type="dxa"/>
          </w:tcPr>
          <w:p w14:paraId="2D130797"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Restaurant customer study</w:t>
            </w:r>
          </w:p>
        </w:tc>
        <w:tc>
          <w:tcPr>
            <w:tcW w:w="3005" w:type="dxa"/>
          </w:tcPr>
          <w:p w14:paraId="4E16FF7A"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1,358 survey responses</w:t>
            </w:r>
          </w:p>
        </w:tc>
        <w:tc>
          <w:tcPr>
            <w:tcW w:w="3006" w:type="dxa"/>
          </w:tcPr>
          <w:p w14:paraId="6353BA11" w14:textId="77777777" w:rsidR="00564243" w:rsidRPr="00E02468" w:rsidRDefault="00564243" w:rsidP="00387B3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Zibarzani et al. (2022)</w:t>
            </w:r>
          </w:p>
        </w:tc>
      </w:tr>
    </w:tbl>
    <w:p w14:paraId="6393E0EC" w14:textId="08361E6D"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Compiled by the researcher from UKHospitality (2023), ONS (2024), CIPD (2024), Waqanimaravu and Arasanmi (202</w:t>
      </w:r>
      <w:r w:rsidR="00F90669" w:rsidRPr="00E02468">
        <w:rPr>
          <w:rFonts w:ascii="Arial" w:hAnsi="Arial" w:cs="Arial"/>
          <w:sz w:val="24"/>
          <w:szCs w:val="24"/>
          <w:lang w:val="en-GB" w:eastAsia="en-GB"/>
        </w:rPr>
        <w:t>0) and Zibarzani et al. (2022).</w:t>
      </w:r>
    </w:p>
    <w:p w14:paraId="25C2770A" w14:textId="0C2E6A21" w:rsidR="000863C4" w:rsidRPr="00E02468" w:rsidRDefault="000863C4" w:rsidP="000863C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Overall, the evidence suggests that recruitment and retention are not simply administrative HR functions, but should be viewed as strategic issues related to service quality.</w:t>
      </w:r>
    </w:p>
    <w:p w14:paraId="6BAA3A45" w14:textId="77777777" w:rsidR="000863C4" w:rsidRPr="00E02468" w:rsidRDefault="000863C4" w:rsidP="000863C4">
      <w:pPr>
        <w:spacing w:before="240" w:line="360" w:lineRule="auto"/>
        <w:jc w:val="both"/>
        <w:rPr>
          <w:rFonts w:ascii="Arial" w:hAnsi="Arial" w:cs="Arial"/>
          <w:sz w:val="24"/>
          <w:szCs w:val="24"/>
          <w:lang w:val="en-GB" w:eastAsia="en-GB"/>
        </w:rPr>
      </w:pPr>
    </w:p>
    <w:p w14:paraId="0F526BF0" w14:textId="77B74005" w:rsidR="000863C4" w:rsidRPr="00E02468" w:rsidRDefault="000863C4" w:rsidP="000863C4">
      <w:pPr>
        <w:pStyle w:val="Heading2"/>
        <w:rPr>
          <w:rFonts w:cs="Arial"/>
          <w:lang w:val="en-GB" w:eastAsia="en-GB"/>
        </w:rPr>
      </w:pPr>
      <w:bookmarkStart w:id="82" w:name="_Toc240932165"/>
      <w:r w:rsidRPr="00E02468">
        <w:rPr>
          <w:rFonts w:cs="Arial"/>
          <w:lang w:val="en-GB" w:eastAsia="en-GB"/>
        </w:rPr>
        <w:t>4.3 Recruitment and Selection</w:t>
      </w:r>
      <w:bookmarkEnd w:id="82"/>
    </w:p>
    <w:p w14:paraId="69ED7A20" w14:textId="5B56F478" w:rsidR="000863C4" w:rsidRPr="00E02468" w:rsidRDefault="000863C4" w:rsidP="000863C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recruitment and selection of restaurant staff became a key HCM challenge as the frontline is essential to providing customers with a memorable experience. The challenge at hand is illustrated by the UK labour-market evidence. UKHospitality state that there are 132,000 hospitality jobs required, 48% more than before the pandemic (UKHospitality, 2023).</w:t>
      </w:r>
    </w:p>
    <w:p w14:paraId="68CBE2F6" w14:textId="7ABDE14D" w:rsidR="00F90669" w:rsidRPr="00E02468" w:rsidRDefault="000863C4" w:rsidP="000863C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Specifically, in October 2024, 31% of accommodation and food service businesses faced recruitment problems and 20% experienced worker shortages (ONS, 2024)</w:t>
      </w:r>
      <w:r w:rsidR="00F90669" w:rsidRPr="00E02468">
        <w:rPr>
          <w:rFonts w:ascii="Arial" w:hAnsi="Arial" w:cs="Arial"/>
          <w:sz w:val="24"/>
          <w:szCs w:val="24"/>
          <w:lang w:val="en-GB" w:eastAsia="en-GB"/>
        </w:rPr>
        <w:t>.</w:t>
      </w:r>
    </w:p>
    <w:p w14:paraId="2D715312" w14:textId="77777777" w:rsidR="00F90669" w:rsidRPr="00E02468" w:rsidRDefault="00F90669" w:rsidP="00F90669">
      <w:pPr>
        <w:keepNext/>
        <w:spacing w:before="240" w:line="360" w:lineRule="auto"/>
        <w:jc w:val="center"/>
        <w:rPr>
          <w:rFonts w:ascii="Arial" w:hAnsi="Arial" w:cs="Arial"/>
        </w:rPr>
      </w:pPr>
      <w:r w:rsidRPr="00E02468">
        <w:rPr>
          <w:rFonts w:ascii="Arial" w:hAnsi="Arial" w:cs="Arial"/>
          <w:noProof/>
          <w:sz w:val="24"/>
          <w:szCs w:val="24"/>
          <w14:ligatures w14:val="standardContextual"/>
        </w:rPr>
        <w:drawing>
          <wp:inline distT="0" distB="0" distL="0" distR="0" wp14:anchorId="394013EE" wp14:editId="6A2E43D1">
            <wp:extent cx="2590800" cy="346368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914_18101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6178" cy="3470871"/>
                    </a:xfrm>
                    <a:prstGeom prst="rect">
                      <a:avLst/>
                    </a:prstGeom>
                  </pic:spPr>
                </pic:pic>
              </a:graphicData>
            </a:graphic>
          </wp:inline>
        </w:drawing>
      </w:r>
    </w:p>
    <w:p w14:paraId="16C46E00" w14:textId="7FD85AAD" w:rsidR="00F90669" w:rsidRPr="00E02468" w:rsidRDefault="00F90669" w:rsidP="00F90669">
      <w:pPr>
        <w:pStyle w:val="Caption"/>
        <w:jc w:val="center"/>
        <w:rPr>
          <w:rFonts w:ascii="Arial" w:hAnsi="Arial" w:cs="Arial"/>
          <w:sz w:val="36"/>
          <w:szCs w:val="24"/>
          <w:lang w:val="en-GB" w:eastAsia="en-GB"/>
        </w:rPr>
      </w:pPr>
      <w:bookmarkStart w:id="83" w:name="_Toc240932222"/>
      <w:r w:rsidRPr="00E02468">
        <w:rPr>
          <w:rFonts w:ascii="Arial" w:hAnsi="Arial" w:cs="Arial"/>
          <w:sz w:val="24"/>
        </w:rPr>
        <w:t xml:space="preserve">Figure </w:t>
      </w:r>
      <w:r w:rsidRPr="00E02468">
        <w:rPr>
          <w:rFonts w:ascii="Arial" w:hAnsi="Arial" w:cs="Arial"/>
          <w:sz w:val="24"/>
        </w:rPr>
        <w:fldChar w:fldCharType="begin"/>
      </w:r>
      <w:r w:rsidRPr="00E02468">
        <w:rPr>
          <w:rFonts w:ascii="Arial" w:hAnsi="Arial" w:cs="Arial"/>
          <w:sz w:val="24"/>
        </w:rPr>
        <w:instrText xml:space="preserve"> SEQ Figure \* ARABIC </w:instrText>
      </w:r>
      <w:r w:rsidRPr="00E02468">
        <w:rPr>
          <w:rFonts w:ascii="Arial" w:hAnsi="Arial" w:cs="Arial"/>
          <w:sz w:val="24"/>
        </w:rPr>
        <w:fldChar w:fldCharType="separate"/>
      </w:r>
      <w:r w:rsidR="00694A87" w:rsidRPr="00E02468">
        <w:rPr>
          <w:rFonts w:ascii="Arial" w:hAnsi="Arial" w:cs="Arial"/>
          <w:noProof/>
          <w:sz w:val="24"/>
        </w:rPr>
        <w:t>2</w:t>
      </w:r>
      <w:r w:rsidRPr="00E02468">
        <w:rPr>
          <w:rFonts w:ascii="Arial" w:hAnsi="Arial" w:cs="Arial"/>
          <w:sz w:val="24"/>
        </w:rPr>
        <w:fldChar w:fldCharType="end"/>
      </w:r>
      <w:r w:rsidRPr="00E02468">
        <w:rPr>
          <w:rFonts w:ascii="Arial" w:hAnsi="Arial" w:cs="Arial"/>
          <w:sz w:val="24"/>
        </w:rPr>
        <w:t>: Recruitment and Workforce Pressure</w:t>
      </w:r>
      <w:bookmarkEnd w:id="83"/>
    </w:p>
    <w:p w14:paraId="7F3BC414" w14:textId="4A729C63"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UKHos</w:t>
      </w:r>
      <w:r w:rsidR="002E4247" w:rsidRPr="00E02468">
        <w:rPr>
          <w:rFonts w:ascii="Arial" w:hAnsi="Arial" w:cs="Arial"/>
          <w:sz w:val="24"/>
          <w:szCs w:val="24"/>
          <w:lang w:val="en-GB" w:eastAsia="en-GB"/>
        </w:rPr>
        <w:t>pitality (2023) and ONS (2024).</w:t>
      </w:r>
    </w:p>
    <w:p w14:paraId="7ECCD936" w14:textId="516ED6D1" w:rsidR="002E4247" w:rsidRPr="00E02468" w:rsidRDefault="002E4247" w:rsidP="002E424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numbers indicate a possible pressure on restaurants to hire rapidly. Recruitment speed is not to be a substitute for recruitment quality, however. Communication skills, customer service focus, dependability and person-job matchup should be taken into consideration in effective selection. This is consistent with the Human Capital Theory as workers' knowledge and skills can be considered productive factors (Becker, 1964). It also is consistent with the Resource Based View, as valuable employee skills may be a source of organisational competitiveness (Barney, 1991).</w:t>
      </w:r>
    </w:p>
    <w:p w14:paraId="44FA89A8" w14:textId="3D87C9D8" w:rsidR="002E4247" w:rsidRPr="00E02468" w:rsidRDefault="002E4247" w:rsidP="002E424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Thus, H1 is supported by the evidence; effective recruitment and selection can help to improve employee performance and customer service quality. But recruiting is not enough, new recruits need to be trained, encouraged and supported by their managers.</w:t>
      </w:r>
    </w:p>
    <w:p w14:paraId="74C28FE9" w14:textId="29A84AC7" w:rsidR="002E4247" w:rsidRPr="00E02468" w:rsidRDefault="002E4247" w:rsidP="002E4247">
      <w:pPr>
        <w:pStyle w:val="Heading2"/>
        <w:rPr>
          <w:rFonts w:cs="Arial"/>
          <w:lang w:val="en-GB" w:eastAsia="en-GB"/>
        </w:rPr>
      </w:pPr>
      <w:bookmarkStart w:id="84" w:name="_Toc240932166"/>
      <w:r w:rsidRPr="00E02468">
        <w:rPr>
          <w:rFonts w:cs="Arial"/>
          <w:lang w:val="en-GB" w:eastAsia="en-GB"/>
        </w:rPr>
        <w:t>4.4 Training and Development</w:t>
      </w:r>
      <w:bookmarkEnd w:id="84"/>
    </w:p>
    <w:p w14:paraId="1ADFF169" w14:textId="31CC6AB5" w:rsidR="002E4247" w:rsidRPr="00E02468" w:rsidRDefault="002E4247" w:rsidP="002E424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and development had excellent evidence in the literature that was reviewed. Waqanimaravu and Arasanmi (2020) investigated the relationship between employee training and service quality in the hospitality industry with a sample of 120 questionnaires. Waqanimaravu and Arasanmi (2020) used 120 questionnaires to study the relationship between employee training and service quality in the hospitality industry. They found that there was a significant correlation between perceived benefits and training and service quality.</w:t>
      </w:r>
    </w:p>
    <w:p w14:paraId="2A8FD667" w14:textId="41A48790" w:rsidR="00BD63F2" w:rsidRPr="00E02468" w:rsidRDefault="002E4247" w:rsidP="002E424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Similarly, Chikazhe and Nyakunuwa (2022) revealed the positive relationship between employee training and empowerment with perceived service quality with the mediation role of employee motivation and employee communication</w:t>
      </w:r>
      <w:r w:rsidR="00434EE2" w:rsidRPr="00E02468">
        <w:rPr>
          <w:rFonts w:ascii="Arial" w:hAnsi="Arial" w:cs="Arial"/>
          <w:sz w:val="24"/>
          <w:szCs w:val="24"/>
          <w:lang w:val="en-GB" w:eastAsia="en-GB"/>
        </w:rPr>
        <w:t>.</w:t>
      </w:r>
    </w:p>
    <w:p w14:paraId="08E9B985" w14:textId="19FC4719" w:rsidR="00434EE2" w:rsidRPr="00E02468" w:rsidRDefault="00434EE2" w:rsidP="00434EE2">
      <w:pPr>
        <w:pStyle w:val="Caption"/>
        <w:keepNext/>
        <w:rPr>
          <w:rFonts w:ascii="Arial" w:hAnsi="Arial" w:cs="Arial"/>
          <w:sz w:val="24"/>
        </w:rPr>
      </w:pPr>
      <w:bookmarkStart w:id="85" w:name="_Toc240932212"/>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4</w:t>
      </w:r>
      <w:r w:rsidRPr="00E02468">
        <w:rPr>
          <w:rFonts w:ascii="Arial" w:hAnsi="Arial" w:cs="Arial"/>
          <w:sz w:val="24"/>
        </w:rPr>
        <w:fldChar w:fldCharType="end"/>
      </w:r>
      <w:r w:rsidRPr="00E02468">
        <w:rPr>
          <w:rFonts w:ascii="Arial" w:hAnsi="Arial" w:cs="Arial"/>
          <w:sz w:val="24"/>
        </w:rPr>
        <w:t>: Training and Service Quality Evidence</w:t>
      </w:r>
      <w:bookmarkEnd w:id="85"/>
    </w:p>
    <w:tbl>
      <w:tblPr>
        <w:tblStyle w:val="TableGrid"/>
        <w:tblW w:w="0" w:type="auto"/>
        <w:tblLook w:val="04A0" w:firstRow="1" w:lastRow="0" w:firstColumn="1" w:lastColumn="0" w:noHBand="0" w:noVBand="1"/>
      </w:tblPr>
      <w:tblGrid>
        <w:gridCol w:w="3005"/>
        <w:gridCol w:w="3005"/>
        <w:gridCol w:w="3006"/>
      </w:tblGrid>
      <w:tr w:rsidR="00434EE2" w:rsidRPr="00E02468" w14:paraId="02CC95AA" w14:textId="77777777" w:rsidTr="00434EE2">
        <w:tc>
          <w:tcPr>
            <w:tcW w:w="3005" w:type="dxa"/>
          </w:tcPr>
          <w:p w14:paraId="71AA1636" w14:textId="77777777" w:rsidR="00434EE2" w:rsidRPr="00E02468" w:rsidRDefault="00434EE2" w:rsidP="007D2523">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Study</w:t>
            </w:r>
          </w:p>
        </w:tc>
        <w:tc>
          <w:tcPr>
            <w:tcW w:w="3005" w:type="dxa"/>
          </w:tcPr>
          <w:p w14:paraId="25230078" w14:textId="77777777" w:rsidR="00434EE2" w:rsidRPr="00E02468" w:rsidRDefault="00434EE2" w:rsidP="007D2523">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Evidence</w:t>
            </w:r>
          </w:p>
        </w:tc>
        <w:tc>
          <w:tcPr>
            <w:tcW w:w="3006" w:type="dxa"/>
          </w:tcPr>
          <w:p w14:paraId="4AD5AFF8" w14:textId="77777777" w:rsidR="00434EE2" w:rsidRPr="00E02468" w:rsidRDefault="00434EE2" w:rsidP="007D2523">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Main finding</w:t>
            </w:r>
          </w:p>
        </w:tc>
      </w:tr>
      <w:tr w:rsidR="00434EE2" w:rsidRPr="00E02468" w14:paraId="0A3CBBB8" w14:textId="77777777" w:rsidTr="00434EE2">
        <w:tc>
          <w:tcPr>
            <w:tcW w:w="3005" w:type="dxa"/>
          </w:tcPr>
          <w:p w14:paraId="7D9642B1"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Waqanimaravu and Arasanmi (2020)</w:t>
            </w:r>
          </w:p>
        </w:tc>
        <w:tc>
          <w:tcPr>
            <w:tcW w:w="3005" w:type="dxa"/>
          </w:tcPr>
          <w:p w14:paraId="08897964"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120 usable surveys</w:t>
            </w:r>
          </w:p>
        </w:tc>
        <w:tc>
          <w:tcPr>
            <w:tcW w:w="3006" w:type="dxa"/>
          </w:tcPr>
          <w:p w14:paraId="1D02A9E7"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benefits/support significantly related to service quality</w:t>
            </w:r>
          </w:p>
        </w:tc>
      </w:tr>
      <w:tr w:rsidR="00434EE2" w:rsidRPr="00E02468" w14:paraId="3703955B" w14:textId="77777777" w:rsidTr="00434EE2">
        <w:tc>
          <w:tcPr>
            <w:tcW w:w="3005" w:type="dxa"/>
          </w:tcPr>
          <w:p w14:paraId="56FA292E"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Chikazhe and Nyakunuwa (2022)</w:t>
            </w:r>
          </w:p>
        </w:tc>
        <w:tc>
          <w:tcPr>
            <w:tcW w:w="3005" w:type="dxa"/>
          </w:tcPr>
          <w:p w14:paraId="560AB169"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Empirical hospitality/service evidence</w:t>
            </w:r>
          </w:p>
        </w:tc>
        <w:tc>
          <w:tcPr>
            <w:tcW w:w="3006" w:type="dxa"/>
          </w:tcPr>
          <w:p w14:paraId="7344F1F7" w14:textId="77777777" w:rsidR="00434EE2" w:rsidRPr="00E02468" w:rsidRDefault="00434EE2" w:rsidP="007D252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and empowerment positively influenced perceived service quality</w:t>
            </w:r>
          </w:p>
        </w:tc>
      </w:tr>
    </w:tbl>
    <w:p w14:paraId="0610B753" w14:textId="6C35F094"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Waqanimaravu and Arasanmi (2020);</w:t>
      </w:r>
      <w:r w:rsidR="003A5179" w:rsidRPr="00E02468">
        <w:rPr>
          <w:rFonts w:ascii="Arial" w:hAnsi="Arial" w:cs="Arial"/>
          <w:sz w:val="24"/>
          <w:szCs w:val="24"/>
          <w:lang w:val="en-GB" w:eastAsia="en-GB"/>
        </w:rPr>
        <w:t xml:space="preserve"> Chikazhe and Nyakunuwa (2022).</w:t>
      </w:r>
    </w:p>
    <w:p w14:paraId="5DB831DB" w14:textId="31085734" w:rsidR="00215C43" w:rsidRPr="00E02468" w:rsidRDefault="00215C43" w:rsidP="00215C4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uniformity in the results from these studies reinforces H2. Training enhances employees' technical and interpersonal skills such as communication, dealing with complaints, product knowledge and response. The finding is also consistent with AMO theory as training enhances the ability part of employee performance.</w:t>
      </w:r>
    </w:p>
    <w:p w14:paraId="654D96CA" w14:textId="221C36FD" w:rsidR="00215C43" w:rsidRPr="00E02468" w:rsidRDefault="00215C43" w:rsidP="00215C4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But evidence indicates that training is most likely to be effective if the employee is supported to implement what they have learned. Empowerment, communication and managerial support are necessary to the training to have some effects. So the connection is more than just a single intervention, but an integrated HCM process.</w:t>
      </w:r>
    </w:p>
    <w:p w14:paraId="208BB122" w14:textId="7E484599" w:rsidR="00215C43" w:rsidRPr="00E02468" w:rsidRDefault="00215C43" w:rsidP="00215C43">
      <w:pPr>
        <w:pStyle w:val="Heading2"/>
        <w:rPr>
          <w:rFonts w:cs="Arial"/>
          <w:lang w:val="en-GB" w:eastAsia="en-GB"/>
        </w:rPr>
      </w:pPr>
      <w:bookmarkStart w:id="86" w:name="_Toc240932167"/>
      <w:r w:rsidRPr="00E02468">
        <w:rPr>
          <w:rFonts w:cs="Arial"/>
          <w:lang w:val="en-GB" w:eastAsia="en-GB"/>
        </w:rPr>
        <w:t>4.5 Employee Engagement</w:t>
      </w:r>
      <w:bookmarkEnd w:id="86"/>
    </w:p>
    <w:p w14:paraId="568A275F" w14:textId="3F11D1CD" w:rsidR="00215C43" w:rsidRPr="00E02468" w:rsidRDefault="00215C43" w:rsidP="00215C4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engagement was determined to be an important mechanism linking HCM practices and service behaviour. In turn, employees who are engaged are more likely to be committed, more likely to show discretionary effort and more likely to behave in a customer-centric manner.</w:t>
      </w:r>
    </w:p>
    <w:p w14:paraId="2348416D" w14:textId="158DA9BF" w:rsidR="00BD63F2" w:rsidRPr="00E02468" w:rsidRDefault="00215C43" w:rsidP="00215C4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study used qualitative research with six focus groups in three luxury hotels to examine employee engagement and co-creation of hospitality services by Chathoth et al. (2022). They found that organisational factors that affect employee engagement in service co-creation processes include flexibility, empowerment, brand standards and service systems</w:t>
      </w:r>
      <w:r w:rsidR="00BD63F2" w:rsidRPr="00E02468">
        <w:rPr>
          <w:rFonts w:ascii="Arial" w:hAnsi="Arial" w:cs="Arial"/>
          <w:sz w:val="24"/>
          <w:szCs w:val="24"/>
          <w:lang w:val="en-GB" w:eastAsia="en-GB"/>
        </w:rPr>
        <w:t>.</w:t>
      </w:r>
    </w:p>
    <w:p w14:paraId="79AF79B7" w14:textId="6D22B793" w:rsidR="003A5179" w:rsidRPr="00E02468" w:rsidRDefault="003A5179" w:rsidP="003A5179">
      <w:pPr>
        <w:pStyle w:val="Caption"/>
        <w:keepNext/>
        <w:rPr>
          <w:rFonts w:ascii="Arial" w:hAnsi="Arial" w:cs="Arial"/>
          <w:sz w:val="24"/>
        </w:rPr>
      </w:pPr>
      <w:bookmarkStart w:id="87" w:name="_Toc240932213"/>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5</w:t>
      </w:r>
      <w:r w:rsidRPr="00E02468">
        <w:rPr>
          <w:rFonts w:ascii="Arial" w:hAnsi="Arial" w:cs="Arial"/>
          <w:sz w:val="24"/>
        </w:rPr>
        <w:fldChar w:fldCharType="end"/>
      </w:r>
      <w:r w:rsidRPr="00E02468">
        <w:rPr>
          <w:rFonts w:ascii="Arial" w:hAnsi="Arial" w:cs="Arial"/>
          <w:sz w:val="24"/>
        </w:rPr>
        <w:t>: Employee Engagement Evidence</w:t>
      </w:r>
      <w:bookmarkEnd w:id="87"/>
    </w:p>
    <w:tbl>
      <w:tblPr>
        <w:tblStyle w:val="TableGrid"/>
        <w:tblW w:w="0" w:type="auto"/>
        <w:tblLook w:val="04A0" w:firstRow="1" w:lastRow="0" w:firstColumn="1" w:lastColumn="0" w:noHBand="0" w:noVBand="1"/>
      </w:tblPr>
      <w:tblGrid>
        <w:gridCol w:w="3005"/>
        <w:gridCol w:w="3005"/>
        <w:gridCol w:w="3006"/>
      </w:tblGrid>
      <w:tr w:rsidR="003A5179" w:rsidRPr="00E02468" w14:paraId="5EF91F3F" w14:textId="77777777" w:rsidTr="003A5179">
        <w:tc>
          <w:tcPr>
            <w:tcW w:w="3005" w:type="dxa"/>
          </w:tcPr>
          <w:p w14:paraId="26CD9575" w14:textId="77777777" w:rsidR="003A5179" w:rsidRPr="00E02468" w:rsidRDefault="003A5179" w:rsidP="003318CA">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Evidence</w:t>
            </w:r>
          </w:p>
        </w:tc>
        <w:tc>
          <w:tcPr>
            <w:tcW w:w="3005" w:type="dxa"/>
          </w:tcPr>
          <w:p w14:paraId="37EB64FF" w14:textId="77777777" w:rsidR="003A5179" w:rsidRPr="00E02468" w:rsidRDefault="003A5179" w:rsidP="003318CA">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Numerical information</w:t>
            </w:r>
          </w:p>
        </w:tc>
        <w:tc>
          <w:tcPr>
            <w:tcW w:w="3006" w:type="dxa"/>
          </w:tcPr>
          <w:p w14:paraId="5C8E6D04" w14:textId="77777777" w:rsidR="003A5179" w:rsidRPr="00E02468" w:rsidRDefault="003A5179" w:rsidP="003318CA">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Key implication</w:t>
            </w:r>
          </w:p>
        </w:tc>
      </w:tr>
      <w:tr w:rsidR="003A5179" w:rsidRPr="00E02468" w14:paraId="216E5D49" w14:textId="77777777" w:rsidTr="003A5179">
        <w:tc>
          <w:tcPr>
            <w:tcW w:w="3005" w:type="dxa"/>
          </w:tcPr>
          <w:p w14:paraId="1630AA34"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engagement study</w:t>
            </w:r>
          </w:p>
        </w:tc>
        <w:tc>
          <w:tcPr>
            <w:tcW w:w="3005" w:type="dxa"/>
          </w:tcPr>
          <w:p w14:paraId="63FE3919"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6 focus groups; 3 hotels</w:t>
            </w:r>
          </w:p>
        </w:tc>
        <w:tc>
          <w:tcPr>
            <w:tcW w:w="3006" w:type="dxa"/>
          </w:tcPr>
          <w:p w14:paraId="2AE1545E"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Organisational factors influence engagement and service co-creation</w:t>
            </w:r>
          </w:p>
        </w:tc>
      </w:tr>
      <w:tr w:rsidR="003A5179" w:rsidRPr="00E02468" w14:paraId="39ECE272" w14:textId="77777777" w:rsidTr="003A5179">
        <w:tc>
          <w:tcPr>
            <w:tcW w:w="3005" w:type="dxa"/>
          </w:tcPr>
          <w:p w14:paraId="21FD89C5"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Chathoth et al. (2022)</w:t>
            </w:r>
          </w:p>
        </w:tc>
        <w:tc>
          <w:tcPr>
            <w:tcW w:w="3005" w:type="dxa"/>
          </w:tcPr>
          <w:p w14:paraId="169B12A6"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Qualitative evidence</w:t>
            </w:r>
          </w:p>
        </w:tc>
        <w:tc>
          <w:tcPr>
            <w:tcW w:w="3006" w:type="dxa"/>
          </w:tcPr>
          <w:p w14:paraId="56273A1A" w14:textId="77777777" w:rsidR="003A5179" w:rsidRPr="00E02468" w:rsidRDefault="003A5179" w:rsidP="003318CA">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Empowerment and service systems support engagement</w:t>
            </w:r>
          </w:p>
        </w:tc>
      </w:tr>
    </w:tbl>
    <w:p w14:paraId="5280402A" w14:textId="77777777" w:rsidR="00BD63F2" w:rsidRPr="00E02468" w:rsidRDefault="00BD63F2" w:rsidP="00BD63F2">
      <w:pPr>
        <w:spacing w:before="240" w:line="360" w:lineRule="auto"/>
        <w:jc w:val="both"/>
        <w:rPr>
          <w:rFonts w:ascii="Arial" w:hAnsi="Arial" w:cs="Arial"/>
          <w:sz w:val="24"/>
          <w:szCs w:val="24"/>
          <w:lang w:val="en-GB" w:eastAsia="en-GB"/>
        </w:rPr>
      </w:pPr>
    </w:p>
    <w:p w14:paraId="7FA5F40B" w14:textId="1A3D197D"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00215C43" w:rsidRPr="00E02468">
        <w:rPr>
          <w:rFonts w:ascii="Arial" w:hAnsi="Arial" w:cs="Arial"/>
          <w:sz w:val="24"/>
          <w:szCs w:val="24"/>
          <w:lang w:val="en-GB" w:eastAsia="en-GB"/>
        </w:rPr>
        <w:t xml:space="preserve"> Chathoth et al. (2022).</w:t>
      </w:r>
    </w:p>
    <w:p w14:paraId="1890CE53" w14:textId="5053E6FB" w:rsidR="00CD37EB" w:rsidRPr="00E02468" w:rsidRDefault="00CD37EB" w:rsidP="00CD37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supports H3. Employer attitudes seem to be only part of the reason for engagement, as organisational conditions seem to play a part too. Empowering staff can allow staff to be more responsive to customer issues without needing a manager's approval, which may lead to faster responses.</w:t>
      </w:r>
    </w:p>
    <w:p w14:paraId="11E46B4D" w14:textId="6F769FEB" w:rsidR="00CD37EB" w:rsidRPr="00E02468" w:rsidRDefault="00CD37EB" w:rsidP="00CD37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is in line with AMO theory that employees must have ability, motivation and opportunity to contribute in an effective manner. Engagement is thus a link between HCM practices and the actual service behaviour.</w:t>
      </w:r>
    </w:p>
    <w:p w14:paraId="12C3DD42" w14:textId="5E9065BB" w:rsidR="00CD37EB" w:rsidRPr="00E02468" w:rsidRDefault="00CD37EB" w:rsidP="00CD37EB">
      <w:pPr>
        <w:pStyle w:val="Heading2"/>
        <w:rPr>
          <w:rFonts w:cs="Arial"/>
          <w:lang w:val="en-GB" w:eastAsia="en-GB"/>
        </w:rPr>
      </w:pPr>
      <w:bookmarkStart w:id="88" w:name="_Toc240932168"/>
      <w:r w:rsidRPr="00E02468">
        <w:rPr>
          <w:rFonts w:cs="Arial"/>
          <w:lang w:val="en-GB" w:eastAsia="en-GB"/>
        </w:rPr>
        <w:t>4.6 Performance Management</w:t>
      </w:r>
      <w:bookmarkEnd w:id="88"/>
    </w:p>
    <w:p w14:paraId="08F6050E" w14:textId="6914B51B" w:rsidR="00CD37EB" w:rsidRPr="00E02468" w:rsidRDefault="00CD37EB" w:rsidP="00CD37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 provides employees with service standards, feedback and opportunities for improvement. This may involve standards of customer service, accuracy of orders, dealing with complaints, being on time, cooperation, and receiving customer feedback in restaurants.</w:t>
      </w:r>
    </w:p>
    <w:p w14:paraId="7B11A274" w14:textId="1EB75EEE" w:rsidR="00BD63F2" w:rsidRPr="00E02468" w:rsidRDefault="00CD37EB" w:rsidP="00CD37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evidence reviewed shows that employee performance is a critical link between HRM practices and service outcomes. For instance, Papademetriou, Anastasiadou and Papalexandris (2023) analysed HRM, service quality, employee performance and customer satisfaction in inner city hotels in which 360 employees and 360 customers were engaged</w:t>
      </w:r>
      <w:r w:rsidR="00EB5241" w:rsidRPr="00E02468">
        <w:rPr>
          <w:rFonts w:ascii="Arial" w:hAnsi="Arial" w:cs="Arial"/>
          <w:sz w:val="24"/>
          <w:szCs w:val="24"/>
          <w:lang w:val="en-GB" w:eastAsia="en-GB"/>
        </w:rPr>
        <w:t>.</w:t>
      </w:r>
    </w:p>
    <w:p w14:paraId="6B22FAF2" w14:textId="0AE1FAC6" w:rsidR="00EB5241" w:rsidRPr="00E02468" w:rsidRDefault="00EB5241" w:rsidP="00EB5241">
      <w:pPr>
        <w:pStyle w:val="Caption"/>
        <w:keepNext/>
        <w:rPr>
          <w:rFonts w:ascii="Arial" w:hAnsi="Arial" w:cs="Arial"/>
          <w:sz w:val="24"/>
        </w:rPr>
      </w:pPr>
      <w:bookmarkStart w:id="89" w:name="_Toc240932214"/>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6</w:t>
      </w:r>
      <w:r w:rsidRPr="00E02468">
        <w:rPr>
          <w:rFonts w:ascii="Arial" w:hAnsi="Arial" w:cs="Arial"/>
          <w:sz w:val="24"/>
        </w:rPr>
        <w:fldChar w:fldCharType="end"/>
      </w:r>
      <w:r w:rsidRPr="00E02468">
        <w:rPr>
          <w:rFonts w:ascii="Arial" w:hAnsi="Arial" w:cs="Arial"/>
          <w:sz w:val="24"/>
        </w:rPr>
        <w:t>: Performance Management and Service Quality</w:t>
      </w:r>
      <w:bookmarkEnd w:id="89"/>
    </w:p>
    <w:tbl>
      <w:tblPr>
        <w:tblStyle w:val="TableGrid"/>
        <w:tblW w:w="0" w:type="auto"/>
        <w:tblLook w:val="04A0" w:firstRow="1" w:lastRow="0" w:firstColumn="1" w:lastColumn="0" w:noHBand="0" w:noVBand="1"/>
      </w:tblPr>
      <w:tblGrid>
        <w:gridCol w:w="3005"/>
        <w:gridCol w:w="3005"/>
        <w:gridCol w:w="3006"/>
      </w:tblGrid>
      <w:tr w:rsidR="00EB5241" w:rsidRPr="00E02468" w14:paraId="134C745D" w14:textId="77777777" w:rsidTr="00EB5241">
        <w:tc>
          <w:tcPr>
            <w:tcW w:w="3005" w:type="dxa"/>
          </w:tcPr>
          <w:p w14:paraId="2E3B642E" w14:textId="77777777" w:rsidR="00EB5241" w:rsidRPr="00E02468" w:rsidRDefault="00EB5241" w:rsidP="005946B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Performance-management activity</w:t>
            </w:r>
          </w:p>
        </w:tc>
        <w:tc>
          <w:tcPr>
            <w:tcW w:w="3005" w:type="dxa"/>
          </w:tcPr>
          <w:p w14:paraId="377EF1CF" w14:textId="77777777" w:rsidR="00EB5241" w:rsidRPr="00E02468" w:rsidRDefault="00EB5241" w:rsidP="005946B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Employee outcome</w:t>
            </w:r>
          </w:p>
        </w:tc>
        <w:tc>
          <w:tcPr>
            <w:tcW w:w="3006" w:type="dxa"/>
          </w:tcPr>
          <w:p w14:paraId="1C0F556A" w14:textId="77777777" w:rsidR="00EB5241" w:rsidRPr="00E02468" w:rsidRDefault="00EB5241" w:rsidP="005946B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Service-quality implication</w:t>
            </w:r>
          </w:p>
        </w:tc>
      </w:tr>
      <w:tr w:rsidR="00EB5241" w:rsidRPr="00E02468" w14:paraId="3B292442" w14:textId="77777777" w:rsidTr="00EB5241">
        <w:tc>
          <w:tcPr>
            <w:tcW w:w="3005" w:type="dxa"/>
          </w:tcPr>
          <w:p w14:paraId="7718D7BE"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Clear standards</w:t>
            </w:r>
          </w:p>
        </w:tc>
        <w:tc>
          <w:tcPr>
            <w:tcW w:w="3005" w:type="dxa"/>
          </w:tcPr>
          <w:p w14:paraId="0F198A90"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Role clarity</w:t>
            </w:r>
          </w:p>
        </w:tc>
        <w:tc>
          <w:tcPr>
            <w:tcW w:w="3006" w:type="dxa"/>
          </w:tcPr>
          <w:p w14:paraId="61E57793"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reliability</w:t>
            </w:r>
          </w:p>
        </w:tc>
      </w:tr>
      <w:tr w:rsidR="00EB5241" w:rsidRPr="00E02468" w14:paraId="333B53CD" w14:textId="77777777" w:rsidTr="00EB5241">
        <w:tc>
          <w:tcPr>
            <w:tcW w:w="3005" w:type="dxa"/>
          </w:tcPr>
          <w:p w14:paraId="3460DA5C"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Feedback and coaching</w:t>
            </w:r>
          </w:p>
        </w:tc>
        <w:tc>
          <w:tcPr>
            <w:tcW w:w="3005" w:type="dxa"/>
          </w:tcPr>
          <w:p w14:paraId="02A5C1DC"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Capability improvement</w:t>
            </w:r>
          </w:p>
        </w:tc>
        <w:tc>
          <w:tcPr>
            <w:tcW w:w="3006" w:type="dxa"/>
          </w:tcPr>
          <w:p w14:paraId="2C0ABE82"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assurance</w:t>
            </w:r>
          </w:p>
        </w:tc>
      </w:tr>
      <w:tr w:rsidR="00EB5241" w:rsidRPr="00E02468" w14:paraId="49A01208" w14:textId="77777777" w:rsidTr="00EB5241">
        <w:tc>
          <w:tcPr>
            <w:tcW w:w="3005" w:type="dxa"/>
          </w:tcPr>
          <w:p w14:paraId="060AB066"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Customer feedback</w:t>
            </w:r>
          </w:p>
        </w:tc>
        <w:tc>
          <w:tcPr>
            <w:tcW w:w="3005" w:type="dxa"/>
          </w:tcPr>
          <w:p w14:paraId="631DF31F"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Identification of weaknesses</w:t>
            </w:r>
          </w:p>
        </w:tc>
        <w:tc>
          <w:tcPr>
            <w:tcW w:w="3006" w:type="dxa"/>
          </w:tcPr>
          <w:p w14:paraId="0F04E3B3"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Improved responsiveness</w:t>
            </w:r>
          </w:p>
        </w:tc>
      </w:tr>
      <w:tr w:rsidR="00EB5241" w:rsidRPr="00E02468" w14:paraId="3BB7AF45" w14:textId="77777777" w:rsidTr="00EB5241">
        <w:tc>
          <w:tcPr>
            <w:tcW w:w="3005" w:type="dxa"/>
          </w:tcPr>
          <w:p w14:paraId="1CE0AC1A"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review</w:t>
            </w:r>
          </w:p>
        </w:tc>
        <w:tc>
          <w:tcPr>
            <w:tcW w:w="3005" w:type="dxa"/>
          </w:tcPr>
          <w:p w14:paraId="72372A33"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Continuous improvement</w:t>
            </w:r>
          </w:p>
        </w:tc>
        <w:tc>
          <w:tcPr>
            <w:tcW w:w="3006" w:type="dxa"/>
          </w:tcPr>
          <w:p w14:paraId="495ACEAD"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consistency</w:t>
            </w:r>
          </w:p>
        </w:tc>
      </w:tr>
      <w:tr w:rsidR="00EB5241" w:rsidRPr="00E02468" w14:paraId="1B16ADE6" w14:textId="77777777" w:rsidTr="00EB5241">
        <w:tc>
          <w:tcPr>
            <w:tcW w:w="3005" w:type="dxa"/>
          </w:tcPr>
          <w:p w14:paraId="10CBBD8A"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Recognition</w:t>
            </w:r>
          </w:p>
        </w:tc>
        <w:tc>
          <w:tcPr>
            <w:tcW w:w="3005" w:type="dxa"/>
          </w:tcPr>
          <w:p w14:paraId="733317F1"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Motivation</w:t>
            </w:r>
          </w:p>
        </w:tc>
        <w:tc>
          <w:tcPr>
            <w:tcW w:w="3006" w:type="dxa"/>
          </w:tcPr>
          <w:p w14:paraId="0A2A7D54" w14:textId="77777777" w:rsidR="00EB5241" w:rsidRPr="00E02468" w:rsidRDefault="00EB5241" w:rsidP="005946B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customer-oriented effort</w:t>
            </w:r>
          </w:p>
        </w:tc>
      </w:tr>
    </w:tbl>
    <w:p w14:paraId="34665D37" w14:textId="77777777" w:rsidR="00BD63F2" w:rsidRPr="00E02468" w:rsidRDefault="00BD63F2" w:rsidP="00BD63F2">
      <w:pPr>
        <w:spacing w:before="240" w:line="360" w:lineRule="auto"/>
        <w:jc w:val="both"/>
        <w:rPr>
          <w:rFonts w:ascii="Arial" w:hAnsi="Arial" w:cs="Arial"/>
          <w:sz w:val="24"/>
          <w:szCs w:val="24"/>
          <w:lang w:val="en-GB" w:eastAsia="en-GB"/>
        </w:rPr>
      </w:pPr>
    </w:p>
    <w:p w14:paraId="2DAF254E" w14:textId="29662D10"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Synthesised from hospitality HRM and service-quality literature, including Papademetriou et al. (2023).</w:t>
      </w:r>
    </w:p>
    <w:p w14:paraId="36391F5A" w14:textId="7A75AC42" w:rsidR="006928BC" w:rsidRPr="00E02468" w:rsidRDefault="00BD63F2" w:rsidP="006928B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evidence supports H4. </w:t>
      </w:r>
      <w:r w:rsidR="006928BC" w:rsidRPr="00E02468">
        <w:rPr>
          <w:rFonts w:ascii="Arial" w:hAnsi="Arial" w:cs="Arial"/>
          <w:sz w:val="24"/>
          <w:szCs w:val="24"/>
          <w:lang w:val="en-GB" w:eastAsia="en-GB"/>
        </w:rPr>
        <w:t>There is a problem with performance management, however, in that it should not be too punitive but rather developmental. Focusing too heavily on these specific goals could lead workers to become more efficient and/or less compassionate and customised.</w:t>
      </w:r>
    </w:p>
    <w:p w14:paraId="3B051C05" w14:textId="27960236" w:rsidR="006928BC" w:rsidRPr="00E02468" w:rsidRDefault="006928BC" w:rsidP="006928BC">
      <w:pPr>
        <w:pStyle w:val="Heading2"/>
        <w:rPr>
          <w:rFonts w:cs="Arial"/>
          <w:lang w:val="en-GB" w:eastAsia="en-GB"/>
        </w:rPr>
      </w:pPr>
      <w:bookmarkStart w:id="90" w:name="_Toc240932169"/>
      <w:r w:rsidRPr="00E02468">
        <w:rPr>
          <w:rFonts w:cs="Arial"/>
          <w:lang w:val="en-GB" w:eastAsia="en-GB"/>
        </w:rPr>
        <w:t>4.7 Reward and Recognition</w:t>
      </w:r>
      <w:bookmarkEnd w:id="90"/>
    </w:p>
    <w:p w14:paraId="76055DFC" w14:textId="24848453" w:rsidR="006928BC" w:rsidRPr="00E02468" w:rsidRDefault="006928BC" w:rsidP="006928B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 and recognition affects the motivational element of performance. Giving employees fair pay, incentives, recognition and opportunities for promotion can help them stay in the company and show discretionary effort.</w:t>
      </w:r>
    </w:p>
    <w:p w14:paraId="01ADA938" w14:textId="454D6854" w:rsidR="00BD63F2" w:rsidRPr="00E02468" w:rsidRDefault="006928BC" w:rsidP="006928B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literature suggests that rewards are most effective in conjunction with other HCM practices. Target achievement is often driven by financial incentive but it can't replace poor working conditions, weak management and poor training. This is in line with the AMO view in which motivation is considered in addition to ability and opportunity</w:t>
      </w:r>
      <w:r w:rsidR="00BD63F2" w:rsidRPr="00E02468">
        <w:rPr>
          <w:rFonts w:ascii="Arial" w:hAnsi="Arial" w:cs="Arial"/>
          <w:sz w:val="24"/>
          <w:szCs w:val="24"/>
          <w:lang w:val="en-GB" w:eastAsia="en-GB"/>
        </w:rPr>
        <w:t>.</w:t>
      </w:r>
    </w:p>
    <w:p w14:paraId="7D7BE539" w14:textId="60F63FA0" w:rsidR="005C4E8D" w:rsidRPr="00E02468" w:rsidRDefault="005C4E8D" w:rsidP="005C4E8D">
      <w:pPr>
        <w:pStyle w:val="Caption"/>
        <w:keepNext/>
        <w:jc w:val="both"/>
        <w:rPr>
          <w:rFonts w:ascii="Arial" w:hAnsi="Arial" w:cs="Arial"/>
          <w:sz w:val="24"/>
        </w:rPr>
      </w:pPr>
      <w:bookmarkStart w:id="91" w:name="_Toc240932215"/>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7</w:t>
      </w:r>
      <w:r w:rsidRPr="00E02468">
        <w:rPr>
          <w:rFonts w:ascii="Arial" w:hAnsi="Arial" w:cs="Arial"/>
          <w:sz w:val="24"/>
        </w:rPr>
        <w:fldChar w:fldCharType="end"/>
      </w:r>
      <w:r w:rsidRPr="00E02468">
        <w:rPr>
          <w:rFonts w:ascii="Arial" w:hAnsi="Arial" w:cs="Arial"/>
          <w:sz w:val="24"/>
        </w:rPr>
        <w:t>: Reward and Recognition Mechanisms</w:t>
      </w:r>
      <w:bookmarkEnd w:id="91"/>
    </w:p>
    <w:tbl>
      <w:tblPr>
        <w:tblStyle w:val="TableGrid"/>
        <w:tblW w:w="0" w:type="auto"/>
        <w:tblLook w:val="04A0" w:firstRow="1" w:lastRow="0" w:firstColumn="1" w:lastColumn="0" w:noHBand="0" w:noVBand="1"/>
      </w:tblPr>
      <w:tblGrid>
        <w:gridCol w:w="3005"/>
        <w:gridCol w:w="3005"/>
        <w:gridCol w:w="3006"/>
      </w:tblGrid>
      <w:tr w:rsidR="005C4E8D" w:rsidRPr="00E02468" w14:paraId="0E33C65F" w14:textId="77777777" w:rsidTr="005C4E8D">
        <w:tc>
          <w:tcPr>
            <w:tcW w:w="3005" w:type="dxa"/>
          </w:tcPr>
          <w:p w14:paraId="6DFCB23A" w14:textId="77777777" w:rsidR="005C4E8D" w:rsidRPr="00E02468" w:rsidRDefault="005C4E8D" w:rsidP="008A257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HCM practice</w:t>
            </w:r>
          </w:p>
        </w:tc>
        <w:tc>
          <w:tcPr>
            <w:tcW w:w="3005" w:type="dxa"/>
          </w:tcPr>
          <w:p w14:paraId="124E4DB7" w14:textId="77777777" w:rsidR="005C4E8D" w:rsidRPr="00E02468" w:rsidRDefault="005C4E8D" w:rsidP="008A257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Employee effect</w:t>
            </w:r>
          </w:p>
        </w:tc>
        <w:tc>
          <w:tcPr>
            <w:tcW w:w="3006" w:type="dxa"/>
          </w:tcPr>
          <w:p w14:paraId="610815A8" w14:textId="77777777" w:rsidR="005C4E8D" w:rsidRPr="00E02468" w:rsidRDefault="005C4E8D" w:rsidP="008A2570">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Customer-service implication</w:t>
            </w:r>
          </w:p>
        </w:tc>
      </w:tr>
      <w:tr w:rsidR="005C4E8D" w:rsidRPr="00E02468" w14:paraId="5E217BF0" w14:textId="77777777" w:rsidTr="005C4E8D">
        <w:tc>
          <w:tcPr>
            <w:tcW w:w="3005" w:type="dxa"/>
          </w:tcPr>
          <w:p w14:paraId="734DD30C"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Fair financial reward</w:t>
            </w:r>
          </w:p>
        </w:tc>
        <w:tc>
          <w:tcPr>
            <w:tcW w:w="3005" w:type="dxa"/>
          </w:tcPr>
          <w:p w14:paraId="0BA65778"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Perceived fairness</w:t>
            </w:r>
          </w:p>
        </w:tc>
        <w:tc>
          <w:tcPr>
            <w:tcW w:w="3006" w:type="dxa"/>
          </w:tcPr>
          <w:p w14:paraId="07763D7C"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commitment</w:t>
            </w:r>
          </w:p>
        </w:tc>
      </w:tr>
      <w:tr w:rsidR="005C4E8D" w:rsidRPr="00E02468" w14:paraId="0B63D764" w14:textId="77777777" w:rsidTr="005C4E8D">
        <w:tc>
          <w:tcPr>
            <w:tcW w:w="3005" w:type="dxa"/>
          </w:tcPr>
          <w:p w14:paraId="459C8160"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incentives</w:t>
            </w:r>
          </w:p>
        </w:tc>
        <w:tc>
          <w:tcPr>
            <w:tcW w:w="3005" w:type="dxa"/>
          </w:tcPr>
          <w:p w14:paraId="201C1BE4"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Target motivation</w:t>
            </w:r>
          </w:p>
        </w:tc>
        <w:tc>
          <w:tcPr>
            <w:tcW w:w="3006" w:type="dxa"/>
          </w:tcPr>
          <w:p w14:paraId="7166AF66"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Potentially faster response</w:t>
            </w:r>
          </w:p>
        </w:tc>
      </w:tr>
      <w:tr w:rsidR="005C4E8D" w:rsidRPr="00E02468" w14:paraId="4B7BA000" w14:textId="77777777" w:rsidTr="005C4E8D">
        <w:tc>
          <w:tcPr>
            <w:tcW w:w="3005" w:type="dxa"/>
          </w:tcPr>
          <w:p w14:paraId="104ACA35"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Recognition</w:t>
            </w:r>
          </w:p>
        </w:tc>
        <w:tc>
          <w:tcPr>
            <w:tcW w:w="3005" w:type="dxa"/>
          </w:tcPr>
          <w:p w14:paraId="203C138B"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Psychological reinforcement</w:t>
            </w:r>
          </w:p>
        </w:tc>
        <w:tc>
          <w:tcPr>
            <w:tcW w:w="3006" w:type="dxa"/>
          </w:tcPr>
          <w:p w14:paraId="3BC68F7E"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discretionary effort</w:t>
            </w:r>
          </w:p>
        </w:tc>
      </w:tr>
      <w:tr w:rsidR="005C4E8D" w:rsidRPr="00E02468" w14:paraId="512AFAEB" w14:textId="77777777" w:rsidTr="005C4E8D">
        <w:tc>
          <w:tcPr>
            <w:tcW w:w="3005" w:type="dxa"/>
          </w:tcPr>
          <w:p w14:paraId="60B607ED"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Career progression</w:t>
            </w:r>
          </w:p>
        </w:tc>
        <w:tc>
          <w:tcPr>
            <w:tcW w:w="3005" w:type="dxa"/>
          </w:tcPr>
          <w:p w14:paraId="425AE677"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Longer-term commitment</w:t>
            </w:r>
          </w:p>
        </w:tc>
        <w:tc>
          <w:tcPr>
            <w:tcW w:w="3006" w:type="dxa"/>
          </w:tcPr>
          <w:p w14:paraId="34483521"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Greater experience</w:t>
            </w:r>
          </w:p>
        </w:tc>
      </w:tr>
      <w:tr w:rsidR="005C4E8D" w:rsidRPr="00E02468" w14:paraId="6AFFC253" w14:textId="77777777" w:rsidTr="005C4E8D">
        <w:tc>
          <w:tcPr>
            <w:tcW w:w="3005" w:type="dxa"/>
          </w:tcPr>
          <w:p w14:paraId="78E8F198"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Non-financial recognition</w:t>
            </w:r>
          </w:p>
        </w:tc>
        <w:tc>
          <w:tcPr>
            <w:tcW w:w="3005" w:type="dxa"/>
          </w:tcPr>
          <w:p w14:paraId="1B894776"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Engagement</w:t>
            </w:r>
          </w:p>
        </w:tc>
        <w:tc>
          <w:tcPr>
            <w:tcW w:w="3006" w:type="dxa"/>
          </w:tcPr>
          <w:p w14:paraId="7C873B6D" w14:textId="77777777" w:rsidR="005C4E8D" w:rsidRPr="00E02468" w:rsidRDefault="005C4E8D" w:rsidP="008A257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More positive service behaviour</w:t>
            </w:r>
          </w:p>
        </w:tc>
      </w:tr>
    </w:tbl>
    <w:p w14:paraId="76E96F1D" w14:textId="0E32FD7B"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Researcher synthesis based on </w:t>
      </w:r>
      <w:r w:rsidR="006928BC" w:rsidRPr="00E02468">
        <w:rPr>
          <w:rFonts w:ascii="Arial" w:hAnsi="Arial" w:cs="Arial"/>
          <w:sz w:val="24"/>
          <w:szCs w:val="24"/>
          <w:lang w:val="en-GB" w:eastAsia="en-GB"/>
        </w:rPr>
        <w:t>HCM and hospitality literature.</w:t>
      </w:r>
    </w:p>
    <w:p w14:paraId="0A36F299" w14:textId="19F2F122" w:rsidR="00BD63F2" w:rsidRPr="00E02468" w:rsidRDefault="006928BC"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In this sense, the evidence is not enough to support H5, but qualified. Reward should be married to training, engagement and performance management solutions not as a standalone solution</w:t>
      </w:r>
      <w:r w:rsidR="00BD63F2" w:rsidRPr="00E02468">
        <w:rPr>
          <w:rFonts w:ascii="Arial" w:hAnsi="Arial" w:cs="Arial"/>
          <w:sz w:val="24"/>
          <w:szCs w:val="24"/>
          <w:lang w:val="en-GB" w:eastAsia="en-GB"/>
        </w:rPr>
        <w:t>.</w:t>
      </w:r>
    </w:p>
    <w:p w14:paraId="65E54269" w14:textId="3600AD84" w:rsidR="00BD63F2" w:rsidRPr="00E02468" w:rsidRDefault="00C444EB" w:rsidP="00C444EB">
      <w:pPr>
        <w:pStyle w:val="Heading2"/>
        <w:rPr>
          <w:rFonts w:cs="Arial"/>
          <w:lang w:val="en-GB" w:eastAsia="en-GB"/>
        </w:rPr>
      </w:pPr>
      <w:bookmarkStart w:id="92" w:name="_Toc240932170"/>
      <w:r w:rsidRPr="00E02468">
        <w:rPr>
          <w:rFonts w:cs="Arial"/>
          <w:lang w:val="en-GB" w:eastAsia="en-GB"/>
        </w:rPr>
        <w:t>4.8 Employee Retention</w:t>
      </w:r>
      <w:bookmarkEnd w:id="92"/>
    </w:p>
    <w:p w14:paraId="650E57FB" w14:textId="0D3E0FF8" w:rsidR="00C444EB"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Within the UK hospitality industry, it is crucial to keep employees for long-term service as high staff turnover cuts down on experience, the costs of replacing staff, team stability, and service quality.</w:t>
      </w:r>
    </w:p>
    <w:p w14:paraId="38C70C0F" w14:textId="4FE7F25B" w:rsidR="00BD63F2"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According to CIPD (2024), the turnover rate in the hospitality industry is the highest, at 52%, of the industries that were included in its comparison. It has also been noted that over a third of the hospitality workforce were under 1 year of experience (CIPD, 2024)</w:t>
      </w:r>
      <w:r w:rsidR="00BD63F2" w:rsidRPr="00E02468">
        <w:rPr>
          <w:rFonts w:ascii="Arial" w:hAnsi="Arial" w:cs="Arial"/>
          <w:sz w:val="24"/>
          <w:szCs w:val="24"/>
          <w:lang w:val="en-GB" w:eastAsia="en-GB"/>
        </w:rPr>
        <w:t>.</w:t>
      </w:r>
    </w:p>
    <w:p w14:paraId="4058CBA7" w14:textId="77777777" w:rsidR="00C81C29" w:rsidRPr="00E02468" w:rsidRDefault="00C81C29" w:rsidP="00C81C29">
      <w:pPr>
        <w:keepNext/>
        <w:spacing w:before="240" w:line="360" w:lineRule="auto"/>
        <w:jc w:val="center"/>
        <w:rPr>
          <w:rFonts w:ascii="Arial" w:hAnsi="Arial" w:cs="Arial"/>
        </w:rPr>
      </w:pPr>
      <w:r w:rsidRPr="00E02468">
        <w:rPr>
          <w:rFonts w:ascii="Arial" w:hAnsi="Arial" w:cs="Arial"/>
          <w:noProof/>
          <w:sz w:val="24"/>
          <w:szCs w:val="24"/>
          <w14:ligatures w14:val="standardContextual"/>
        </w:rPr>
        <w:drawing>
          <wp:inline distT="0" distB="0" distL="0" distR="0" wp14:anchorId="1E1D3373" wp14:editId="7CC1F8E6">
            <wp:extent cx="3562350" cy="2117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lot_20260914_1821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3509" cy="2123677"/>
                    </a:xfrm>
                    <a:prstGeom prst="rect">
                      <a:avLst/>
                    </a:prstGeom>
                  </pic:spPr>
                </pic:pic>
              </a:graphicData>
            </a:graphic>
          </wp:inline>
        </w:drawing>
      </w:r>
    </w:p>
    <w:p w14:paraId="054BCD66" w14:textId="34876AA3" w:rsidR="00BD63F2" w:rsidRPr="00E02468" w:rsidRDefault="00C81C29" w:rsidP="00C81C29">
      <w:pPr>
        <w:pStyle w:val="Caption"/>
        <w:jc w:val="center"/>
        <w:rPr>
          <w:rFonts w:ascii="Arial" w:hAnsi="Arial" w:cs="Arial"/>
          <w:sz w:val="36"/>
          <w:szCs w:val="24"/>
          <w:lang w:val="en-GB" w:eastAsia="en-GB"/>
        </w:rPr>
      </w:pPr>
      <w:bookmarkStart w:id="93" w:name="_Toc240932223"/>
      <w:r w:rsidRPr="00E02468">
        <w:rPr>
          <w:rFonts w:ascii="Arial" w:hAnsi="Arial" w:cs="Arial"/>
          <w:sz w:val="24"/>
        </w:rPr>
        <w:t xml:space="preserve">Figure </w:t>
      </w:r>
      <w:r w:rsidRPr="00E02468">
        <w:rPr>
          <w:rFonts w:ascii="Arial" w:hAnsi="Arial" w:cs="Arial"/>
          <w:sz w:val="24"/>
        </w:rPr>
        <w:fldChar w:fldCharType="begin"/>
      </w:r>
      <w:r w:rsidRPr="00E02468">
        <w:rPr>
          <w:rFonts w:ascii="Arial" w:hAnsi="Arial" w:cs="Arial"/>
          <w:sz w:val="24"/>
        </w:rPr>
        <w:instrText xml:space="preserve"> SEQ Figure \* ARABIC </w:instrText>
      </w:r>
      <w:r w:rsidRPr="00E02468">
        <w:rPr>
          <w:rFonts w:ascii="Arial" w:hAnsi="Arial" w:cs="Arial"/>
          <w:sz w:val="24"/>
        </w:rPr>
        <w:fldChar w:fldCharType="separate"/>
      </w:r>
      <w:r w:rsidR="00694A87" w:rsidRPr="00E02468">
        <w:rPr>
          <w:rFonts w:ascii="Arial" w:hAnsi="Arial" w:cs="Arial"/>
          <w:noProof/>
          <w:sz w:val="24"/>
        </w:rPr>
        <w:t>3</w:t>
      </w:r>
      <w:r w:rsidRPr="00E02468">
        <w:rPr>
          <w:rFonts w:ascii="Arial" w:hAnsi="Arial" w:cs="Arial"/>
          <w:sz w:val="24"/>
        </w:rPr>
        <w:fldChar w:fldCharType="end"/>
      </w:r>
      <w:r w:rsidRPr="00E02468">
        <w:rPr>
          <w:rFonts w:ascii="Arial" w:hAnsi="Arial" w:cs="Arial"/>
          <w:sz w:val="24"/>
        </w:rPr>
        <w:t>: Hospitality Employee Turnover</w:t>
      </w:r>
      <w:bookmarkEnd w:id="93"/>
    </w:p>
    <w:p w14:paraId="2E3D2C52" w14:textId="79F1CD4F"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CIPD analysis of UK Annual Population Survey da</w:t>
      </w:r>
      <w:r w:rsidR="00C444EB" w:rsidRPr="00E02468">
        <w:rPr>
          <w:rFonts w:ascii="Arial" w:hAnsi="Arial" w:cs="Arial"/>
          <w:sz w:val="24"/>
          <w:szCs w:val="24"/>
          <w:lang w:val="en-GB" w:eastAsia="en-GB"/>
        </w:rPr>
        <w:t>ta, January 2022–December 2023.</w:t>
      </w:r>
    </w:p>
    <w:p w14:paraId="24F351F9" w14:textId="2FAFF8A8" w:rsidR="00C444EB"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difference in the average hospitality rate and the UK average is a clear indication of the nature of the retention problem. High turnover can also impact customer service as when an employee leaves, he or she will lack any of the organisation's knowledge or service procedures and the knowledge of customers.</w:t>
      </w:r>
    </w:p>
    <w:p w14:paraId="4417525F" w14:textId="1EABFBBD" w:rsidR="00BD63F2" w:rsidRPr="00E02468" w:rsidRDefault="00C444EB"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Hence, H6 is endorsed. Career development, recognition, supportive management, fair reward and manageable workloads are some retention strategies that help maintain consistency of services and human capital.</w:t>
      </w:r>
    </w:p>
    <w:p w14:paraId="56C0BAD6" w14:textId="5121B2B9" w:rsidR="00BD63F2" w:rsidRPr="00E02468" w:rsidRDefault="00BD63F2" w:rsidP="00C444EB">
      <w:pPr>
        <w:pStyle w:val="Heading2"/>
        <w:rPr>
          <w:rFonts w:cs="Arial"/>
          <w:lang w:val="en-GB" w:eastAsia="en-GB"/>
        </w:rPr>
      </w:pPr>
      <w:bookmarkStart w:id="94" w:name="_Toc240932171"/>
      <w:r w:rsidRPr="00E02468">
        <w:rPr>
          <w:rFonts w:cs="Arial"/>
          <w:lang w:val="en-GB" w:eastAsia="en-GB"/>
        </w:rPr>
        <w:t>4.9 Employee Performance and Customer Service Quality</w:t>
      </w:r>
      <w:bookmarkEnd w:id="94"/>
    </w:p>
    <w:p w14:paraId="68C8506F" w14:textId="7FB730EC" w:rsidR="00C444EB"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and conclusions from both studies suggest that employee performance is a key mechanism between HCM and CSQ. Training builds ability, engagement and reward work on motivation, recruitment builds the right ability, performance management sets the standard and retention maintains the experience.</w:t>
      </w:r>
    </w:p>
    <w:p w14:paraId="4C3E3732" w14:textId="5B782975" w:rsidR="00BD63F2"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In support of this relationship, Papadimitriou et al. (2023) offer valuable quantitative evidence. They studied 360 employees and 360 customers and investigated HRM and its relationships with service quality, performance and customer satisfaction</w:t>
      </w:r>
      <w:r w:rsidR="001407D2" w:rsidRPr="00E02468">
        <w:rPr>
          <w:rFonts w:ascii="Arial" w:hAnsi="Arial" w:cs="Arial"/>
          <w:sz w:val="24"/>
          <w:szCs w:val="24"/>
          <w:lang w:val="en-GB" w:eastAsia="en-GB"/>
        </w:rPr>
        <w:t>.</w:t>
      </w:r>
    </w:p>
    <w:p w14:paraId="756D5912" w14:textId="5EAAEAF0" w:rsidR="001407D2" w:rsidRPr="00E02468" w:rsidRDefault="001407D2" w:rsidP="001407D2">
      <w:pPr>
        <w:pStyle w:val="Caption"/>
        <w:keepNext/>
        <w:rPr>
          <w:rFonts w:ascii="Arial" w:hAnsi="Arial" w:cs="Arial"/>
          <w:sz w:val="24"/>
        </w:rPr>
      </w:pPr>
      <w:bookmarkStart w:id="95" w:name="_Toc240932216"/>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8</w:t>
      </w:r>
      <w:r w:rsidRPr="00E02468">
        <w:rPr>
          <w:rFonts w:ascii="Arial" w:hAnsi="Arial" w:cs="Arial"/>
          <w:sz w:val="24"/>
        </w:rPr>
        <w:fldChar w:fldCharType="end"/>
      </w:r>
      <w:r w:rsidRPr="00E02468">
        <w:rPr>
          <w:rFonts w:ascii="Arial" w:hAnsi="Arial" w:cs="Arial"/>
          <w:sz w:val="24"/>
        </w:rPr>
        <w:t>: Integrated HCM–Service Quality Relationship</w:t>
      </w:r>
      <w:bookmarkEnd w:id="95"/>
    </w:p>
    <w:tbl>
      <w:tblPr>
        <w:tblStyle w:val="TableGrid"/>
        <w:tblW w:w="0" w:type="auto"/>
        <w:tblLook w:val="04A0" w:firstRow="1" w:lastRow="0" w:firstColumn="1" w:lastColumn="0" w:noHBand="0" w:noVBand="1"/>
      </w:tblPr>
      <w:tblGrid>
        <w:gridCol w:w="3005"/>
        <w:gridCol w:w="3005"/>
        <w:gridCol w:w="3006"/>
      </w:tblGrid>
      <w:tr w:rsidR="001407D2" w:rsidRPr="00E02468" w14:paraId="7CE6647A" w14:textId="77777777" w:rsidTr="001407D2">
        <w:tc>
          <w:tcPr>
            <w:tcW w:w="3005" w:type="dxa"/>
          </w:tcPr>
          <w:p w14:paraId="0AA67379" w14:textId="77777777" w:rsidR="001407D2" w:rsidRPr="00E02468" w:rsidRDefault="001407D2" w:rsidP="00BC497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HCM mechanism</w:t>
            </w:r>
          </w:p>
        </w:tc>
        <w:tc>
          <w:tcPr>
            <w:tcW w:w="3005" w:type="dxa"/>
          </w:tcPr>
          <w:p w14:paraId="2EA89CCF" w14:textId="77777777" w:rsidR="001407D2" w:rsidRPr="00E02468" w:rsidRDefault="001407D2" w:rsidP="00BC497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Employee-level effect</w:t>
            </w:r>
          </w:p>
        </w:tc>
        <w:tc>
          <w:tcPr>
            <w:tcW w:w="3006" w:type="dxa"/>
          </w:tcPr>
          <w:p w14:paraId="15947F5A" w14:textId="77777777" w:rsidR="001407D2" w:rsidRPr="00E02468" w:rsidRDefault="001407D2" w:rsidP="00BC497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Customer outcome</w:t>
            </w:r>
          </w:p>
        </w:tc>
      </w:tr>
      <w:tr w:rsidR="001407D2" w:rsidRPr="00E02468" w14:paraId="48BDA9C0" w14:textId="77777777" w:rsidTr="001407D2">
        <w:tc>
          <w:tcPr>
            <w:tcW w:w="3005" w:type="dxa"/>
          </w:tcPr>
          <w:p w14:paraId="2DA992C9"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w:t>
            </w:r>
          </w:p>
        </w:tc>
        <w:tc>
          <w:tcPr>
            <w:tcW w:w="3005" w:type="dxa"/>
          </w:tcPr>
          <w:p w14:paraId="5D70E33D"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Suitable capabilities</w:t>
            </w:r>
          </w:p>
        </w:tc>
        <w:tc>
          <w:tcPr>
            <w:tcW w:w="3006" w:type="dxa"/>
          </w:tcPr>
          <w:p w14:paraId="4ECA7A2B"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Better assurance/reliability</w:t>
            </w:r>
          </w:p>
        </w:tc>
      </w:tr>
      <w:tr w:rsidR="001407D2" w:rsidRPr="00E02468" w14:paraId="06464E8E" w14:textId="77777777" w:rsidTr="001407D2">
        <w:tc>
          <w:tcPr>
            <w:tcW w:w="3005" w:type="dxa"/>
          </w:tcPr>
          <w:p w14:paraId="2F25F455"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w:t>
            </w:r>
          </w:p>
        </w:tc>
        <w:tc>
          <w:tcPr>
            <w:tcW w:w="3005" w:type="dxa"/>
          </w:tcPr>
          <w:p w14:paraId="5E1B2297"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Knowledge and skills</w:t>
            </w:r>
          </w:p>
        </w:tc>
        <w:tc>
          <w:tcPr>
            <w:tcW w:w="3006" w:type="dxa"/>
          </w:tcPr>
          <w:p w14:paraId="520AE028"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Better responsiveness</w:t>
            </w:r>
          </w:p>
        </w:tc>
      </w:tr>
      <w:tr w:rsidR="001407D2" w:rsidRPr="00E02468" w14:paraId="4DAF927B" w14:textId="77777777" w:rsidTr="001407D2">
        <w:tc>
          <w:tcPr>
            <w:tcW w:w="3005" w:type="dxa"/>
          </w:tcPr>
          <w:p w14:paraId="52403FE7"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Engagement</w:t>
            </w:r>
          </w:p>
        </w:tc>
        <w:tc>
          <w:tcPr>
            <w:tcW w:w="3005" w:type="dxa"/>
          </w:tcPr>
          <w:p w14:paraId="05E0621B"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Commitment and discretionary effort</w:t>
            </w:r>
          </w:p>
        </w:tc>
        <w:tc>
          <w:tcPr>
            <w:tcW w:w="3006" w:type="dxa"/>
          </w:tcPr>
          <w:p w14:paraId="0C20497A"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Better empathy</w:t>
            </w:r>
          </w:p>
        </w:tc>
      </w:tr>
      <w:tr w:rsidR="001407D2" w:rsidRPr="00E02468" w14:paraId="65351453" w14:textId="77777777" w:rsidTr="001407D2">
        <w:tc>
          <w:tcPr>
            <w:tcW w:w="3005" w:type="dxa"/>
          </w:tcPr>
          <w:p w14:paraId="63934542"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w:t>
            </w:r>
          </w:p>
        </w:tc>
        <w:tc>
          <w:tcPr>
            <w:tcW w:w="3005" w:type="dxa"/>
          </w:tcPr>
          <w:p w14:paraId="23D4E73F"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Standards and consistency</w:t>
            </w:r>
          </w:p>
        </w:tc>
        <w:tc>
          <w:tcPr>
            <w:tcW w:w="3006" w:type="dxa"/>
          </w:tcPr>
          <w:p w14:paraId="39B80F70"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Reliable service</w:t>
            </w:r>
          </w:p>
        </w:tc>
      </w:tr>
      <w:tr w:rsidR="001407D2" w:rsidRPr="00E02468" w14:paraId="4EA6BD02" w14:textId="77777777" w:rsidTr="001407D2">
        <w:tc>
          <w:tcPr>
            <w:tcW w:w="3005" w:type="dxa"/>
          </w:tcPr>
          <w:p w14:paraId="4059AFC9"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w:t>
            </w:r>
          </w:p>
        </w:tc>
        <w:tc>
          <w:tcPr>
            <w:tcW w:w="3005" w:type="dxa"/>
          </w:tcPr>
          <w:p w14:paraId="4BB9809E"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Motivation</w:t>
            </w:r>
          </w:p>
        </w:tc>
        <w:tc>
          <w:tcPr>
            <w:tcW w:w="3006" w:type="dxa"/>
          </w:tcPr>
          <w:p w14:paraId="26881BFF"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Positive service behaviour</w:t>
            </w:r>
          </w:p>
        </w:tc>
      </w:tr>
      <w:tr w:rsidR="001407D2" w:rsidRPr="00E02468" w14:paraId="2DBAB96F" w14:textId="77777777" w:rsidTr="001407D2">
        <w:tc>
          <w:tcPr>
            <w:tcW w:w="3005" w:type="dxa"/>
          </w:tcPr>
          <w:p w14:paraId="6DADD87B"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Retention</w:t>
            </w:r>
          </w:p>
        </w:tc>
        <w:tc>
          <w:tcPr>
            <w:tcW w:w="3005" w:type="dxa"/>
          </w:tcPr>
          <w:p w14:paraId="4156CFF5"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Experience and knowledge</w:t>
            </w:r>
          </w:p>
        </w:tc>
        <w:tc>
          <w:tcPr>
            <w:tcW w:w="3006" w:type="dxa"/>
          </w:tcPr>
          <w:p w14:paraId="3A74CBC9" w14:textId="77777777" w:rsidR="001407D2" w:rsidRPr="00E02468" w:rsidRDefault="001407D2" w:rsidP="00BC497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Consistent service</w:t>
            </w:r>
          </w:p>
        </w:tc>
      </w:tr>
    </w:tbl>
    <w:p w14:paraId="45857BCE" w14:textId="0CC9EC9B" w:rsidR="00BD63F2" w:rsidRPr="00E02468" w:rsidRDefault="00BD63F2" w:rsidP="00BD63F2">
      <w:pPr>
        <w:spacing w:before="240" w:line="360" w:lineRule="auto"/>
        <w:jc w:val="both"/>
        <w:rPr>
          <w:rFonts w:ascii="Arial" w:hAnsi="Arial" w:cs="Arial"/>
          <w:sz w:val="24"/>
          <w:szCs w:val="24"/>
          <w:lang w:val="en-GB" w:eastAsia="en-GB"/>
        </w:rPr>
      </w:pPr>
    </w:p>
    <w:p w14:paraId="5BFE2026" w14:textId="4CB21E87"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Researcher synthesis based on Becker (1964), Barney (1991), hospitality HRM literature a</w:t>
      </w:r>
      <w:r w:rsidR="00C444EB" w:rsidRPr="00E02468">
        <w:rPr>
          <w:rFonts w:ascii="Arial" w:hAnsi="Arial" w:cs="Arial"/>
          <w:sz w:val="24"/>
          <w:szCs w:val="24"/>
          <w:lang w:val="en-GB" w:eastAsia="en-GB"/>
        </w:rPr>
        <w:t>nd Papademetriou et al. (2023).</w:t>
      </w:r>
    </w:p>
    <w:p w14:paraId="3F2449D7" w14:textId="77777777"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evidence supports H7 and H8. The overall relationship can therefore be represented as:</w:t>
      </w:r>
    </w:p>
    <w:p w14:paraId="13613482" w14:textId="77777777" w:rsidR="00694A87" w:rsidRPr="00E02468" w:rsidRDefault="00694A87" w:rsidP="00694A87">
      <w:pPr>
        <w:keepNext/>
        <w:spacing w:before="240" w:line="360" w:lineRule="auto"/>
        <w:jc w:val="center"/>
        <w:rPr>
          <w:rFonts w:ascii="Arial" w:hAnsi="Arial" w:cs="Arial"/>
        </w:rPr>
      </w:pPr>
      <w:r w:rsidRPr="00E02468">
        <w:rPr>
          <w:rFonts w:ascii="Arial" w:hAnsi="Arial" w:cs="Arial"/>
          <w:noProof/>
          <w:sz w:val="24"/>
          <w:szCs w:val="24"/>
          <w14:ligatures w14:val="standardContextual"/>
        </w:rPr>
        <w:drawing>
          <wp:inline distT="0" distB="0" distL="0" distR="0" wp14:anchorId="723FCBC6" wp14:editId="0B9109CC">
            <wp:extent cx="3449763" cy="3752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914_18241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6694" cy="3760390"/>
                    </a:xfrm>
                    <a:prstGeom prst="rect">
                      <a:avLst/>
                    </a:prstGeom>
                  </pic:spPr>
                </pic:pic>
              </a:graphicData>
            </a:graphic>
          </wp:inline>
        </w:drawing>
      </w:r>
    </w:p>
    <w:p w14:paraId="3A1C3F8A" w14:textId="0FB0F531" w:rsidR="00BD63F2" w:rsidRPr="00E02468" w:rsidRDefault="00694A87" w:rsidP="00694A87">
      <w:pPr>
        <w:pStyle w:val="Caption"/>
        <w:jc w:val="center"/>
        <w:rPr>
          <w:rFonts w:ascii="Arial" w:hAnsi="Arial" w:cs="Arial"/>
          <w:sz w:val="36"/>
          <w:szCs w:val="24"/>
          <w:lang w:val="en-GB" w:eastAsia="en-GB"/>
        </w:rPr>
      </w:pPr>
      <w:bookmarkStart w:id="96" w:name="_Toc240932224"/>
      <w:r w:rsidRPr="00E02468">
        <w:rPr>
          <w:rFonts w:ascii="Arial" w:hAnsi="Arial" w:cs="Arial"/>
          <w:sz w:val="24"/>
        </w:rPr>
        <w:t xml:space="preserve">Figure </w:t>
      </w:r>
      <w:r w:rsidRPr="00E02468">
        <w:rPr>
          <w:rFonts w:ascii="Arial" w:hAnsi="Arial" w:cs="Arial"/>
          <w:sz w:val="24"/>
        </w:rPr>
        <w:fldChar w:fldCharType="begin"/>
      </w:r>
      <w:r w:rsidRPr="00E02468">
        <w:rPr>
          <w:rFonts w:ascii="Arial" w:hAnsi="Arial" w:cs="Arial"/>
          <w:sz w:val="24"/>
        </w:rPr>
        <w:instrText xml:space="preserve"> SEQ Figure \* ARABIC </w:instrText>
      </w:r>
      <w:r w:rsidRPr="00E02468">
        <w:rPr>
          <w:rFonts w:ascii="Arial" w:hAnsi="Arial" w:cs="Arial"/>
          <w:sz w:val="24"/>
        </w:rPr>
        <w:fldChar w:fldCharType="separate"/>
      </w:r>
      <w:r w:rsidRPr="00E02468">
        <w:rPr>
          <w:rFonts w:ascii="Arial" w:hAnsi="Arial" w:cs="Arial"/>
          <w:noProof/>
          <w:sz w:val="24"/>
        </w:rPr>
        <w:t>4</w:t>
      </w:r>
      <w:r w:rsidRPr="00E02468">
        <w:rPr>
          <w:rFonts w:ascii="Arial" w:hAnsi="Arial" w:cs="Arial"/>
          <w:sz w:val="24"/>
        </w:rPr>
        <w:fldChar w:fldCharType="end"/>
      </w:r>
      <w:r w:rsidRPr="00E02468">
        <w:rPr>
          <w:rFonts w:ascii="Arial" w:hAnsi="Arial" w:cs="Arial"/>
          <w:sz w:val="24"/>
        </w:rPr>
        <w:t>: Conceptual Findings Model</w:t>
      </w:r>
      <w:bookmarkEnd w:id="96"/>
    </w:p>
    <w:p w14:paraId="07063C11" w14:textId="170AFED6"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Researcher-developed model based on the findings of this study and previous literature, including Becker (1964), Barney (1991), Parasuraman, Zeithaml and Berry (1988), Waqanimaravu and Arasanmi (2020), Chathoth et al. (2022), Chikazhe and Nyakunuwa (2022) a</w:t>
      </w:r>
      <w:r w:rsidR="00C444EB" w:rsidRPr="00E02468">
        <w:rPr>
          <w:rFonts w:ascii="Arial" w:hAnsi="Arial" w:cs="Arial"/>
          <w:sz w:val="24"/>
          <w:szCs w:val="24"/>
          <w:lang w:val="en-GB" w:eastAsia="en-GB"/>
        </w:rPr>
        <w:t>nd Papademetriou et al. (2023).</w:t>
      </w:r>
    </w:p>
    <w:p w14:paraId="150CD969" w14:textId="4165AE67" w:rsidR="00BD63F2" w:rsidRPr="00E02468" w:rsidRDefault="00BD63F2" w:rsidP="00C444EB">
      <w:pPr>
        <w:pStyle w:val="Heading2"/>
        <w:rPr>
          <w:rFonts w:cs="Arial"/>
          <w:lang w:val="en-GB" w:eastAsia="en-GB"/>
        </w:rPr>
      </w:pPr>
      <w:bookmarkStart w:id="97" w:name="_Toc240932172"/>
      <w:r w:rsidRPr="00E02468">
        <w:rPr>
          <w:rFonts w:cs="Arial"/>
          <w:lang w:val="en-GB" w:eastAsia="en-GB"/>
        </w:rPr>
        <w:t>4.10 Customer Service Qu</w:t>
      </w:r>
      <w:r w:rsidR="00600DBD" w:rsidRPr="00E02468">
        <w:rPr>
          <w:rFonts w:cs="Arial"/>
          <w:lang w:val="en-GB" w:eastAsia="en-GB"/>
        </w:rPr>
        <w:t>ality and Customer Satisfaction</w:t>
      </w:r>
      <w:bookmarkEnd w:id="97"/>
    </w:p>
    <w:p w14:paraId="29E627F7" w14:textId="6A86A777" w:rsidR="00C444EB"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From the evidence, it can be noted that service quality is linked with customer satisfaction. Zibarzani et al., (2022) looked at restaurant customer satisfaction based on information on online restaurant reviews, and then 1358 surveys were analysed. They found that service, food, value and atmosphere were important factors in the restaurant satisfaction of the customers.</w:t>
      </w:r>
    </w:p>
    <w:p w14:paraId="48F0045B" w14:textId="4222B910" w:rsidR="00C444EB" w:rsidRPr="00E02468" w:rsidRDefault="00C444EB" w:rsidP="00C444E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Additionally, 2,158 records from 50 restaurants were analysed at the social-data stage, showing the potential of customer-generated data to gain insights into restaurant service experiences (Zibarzani et al., 2022).</w:t>
      </w:r>
    </w:p>
    <w:p w14:paraId="31E5DC56" w14:textId="7D673252" w:rsidR="00BD63F2" w:rsidRPr="00E02468" w:rsidRDefault="00C444EB"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discovery further confirms the notion that employee behavior is more than just internal metrics. Employees' capability is evident to customers in the results they deliver.</w:t>
      </w:r>
    </w:p>
    <w:p w14:paraId="498E659D" w14:textId="640C12DC" w:rsidR="00BD63F2" w:rsidRPr="00E02468" w:rsidRDefault="00BD63F2" w:rsidP="00C444EB">
      <w:pPr>
        <w:pStyle w:val="Heading2"/>
        <w:rPr>
          <w:rFonts w:cs="Arial"/>
          <w:lang w:val="en-GB" w:eastAsia="en-GB"/>
        </w:rPr>
      </w:pPr>
      <w:bookmarkStart w:id="98" w:name="_Toc240932173"/>
      <w:r w:rsidRPr="00E02468">
        <w:rPr>
          <w:rFonts w:cs="Arial"/>
          <w:lang w:val="en-GB" w:eastAsia="en-GB"/>
        </w:rPr>
        <w:t>4.11 Findings Compared with Previous S</w:t>
      </w:r>
      <w:r w:rsidR="003043CE" w:rsidRPr="00E02468">
        <w:rPr>
          <w:rFonts w:cs="Arial"/>
          <w:lang w:val="en-GB" w:eastAsia="en-GB"/>
        </w:rPr>
        <w:t>tudies</w:t>
      </w:r>
      <w:bookmarkEnd w:id="98"/>
    </w:p>
    <w:p w14:paraId="70095F62" w14:textId="13C05BC1" w:rsidR="003043CE" w:rsidRPr="00E02468" w:rsidRDefault="003043CE" w:rsidP="003043CE">
      <w:pPr>
        <w:pStyle w:val="Caption"/>
        <w:keepNext/>
        <w:rPr>
          <w:rFonts w:ascii="Arial" w:hAnsi="Arial" w:cs="Arial"/>
          <w:sz w:val="24"/>
        </w:rPr>
      </w:pPr>
      <w:bookmarkStart w:id="99" w:name="_Toc240932217"/>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9</w:t>
      </w:r>
      <w:r w:rsidRPr="00E02468">
        <w:rPr>
          <w:rFonts w:ascii="Arial" w:hAnsi="Arial" w:cs="Arial"/>
          <w:sz w:val="24"/>
        </w:rPr>
        <w:fldChar w:fldCharType="end"/>
      </w:r>
      <w:r w:rsidRPr="00E02468">
        <w:rPr>
          <w:rFonts w:ascii="Arial" w:hAnsi="Arial" w:cs="Arial"/>
          <w:sz w:val="24"/>
        </w:rPr>
        <w:t>: Comparison with Previous Research</w:t>
      </w:r>
      <w:bookmarkEnd w:id="99"/>
    </w:p>
    <w:tbl>
      <w:tblPr>
        <w:tblStyle w:val="TableGrid"/>
        <w:tblW w:w="0" w:type="auto"/>
        <w:tblLook w:val="04A0" w:firstRow="1" w:lastRow="0" w:firstColumn="1" w:lastColumn="0" w:noHBand="0" w:noVBand="1"/>
      </w:tblPr>
      <w:tblGrid>
        <w:gridCol w:w="3005"/>
        <w:gridCol w:w="3005"/>
        <w:gridCol w:w="3006"/>
      </w:tblGrid>
      <w:tr w:rsidR="003043CE" w:rsidRPr="00E02468" w14:paraId="19EB91DF" w14:textId="77777777" w:rsidTr="003043CE">
        <w:tc>
          <w:tcPr>
            <w:tcW w:w="3005" w:type="dxa"/>
          </w:tcPr>
          <w:p w14:paraId="10CEDD63" w14:textId="77777777" w:rsidR="003043CE" w:rsidRPr="00E02468" w:rsidRDefault="003043CE" w:rsidP="00575B1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Present finding</w:t>
            </w:r>
          </w:p>
        </w:tc>
        <w:tc>
          <w:tcPr>
            <w:tcW w:w="3005" w:type="dxa"/>
          </w:tcPr>
          <w:p w14:paraId="6B0FC972" w14:textId="77777777" w:rsidR="003043CE" w:rsidRPr="00E02468" w:rsidRDefault="003043CE" w:rsidP="00575B1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Previous evidence</w:t>
            </w:r>
          </w:p>
        </w:tc>
        <w:tc>
          <w:tcPr>
            <w:tcW w:w="3006" w:type="dxa"/>
          </w:tcPr>
          <w:p w14:paraId="57B01A3E" w14:textId="77777777" w:rsidR="003043CE" w:rsidRPr="00E02468" w:rsidRDefault="003043CE" w:rsidP="00575B1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Assessment</w:t>
            </w:r>
          </w:p>
        </w:tc>
      </w:tr>
      <w:tr w:rsidR="003043CE" w:rsidRPr="00E02468" w14:paraId="3799E15B" w14:textId="77777777" w:rsidTr="003043CE">
        <w:tc>
          <w:tcPr>
            <w:tcW w:w="3005" w:type="dxa"/>
          </w:tcPr>
          <w:p w14:paraId="7D47C737"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 is a major challenge</w:t>
            </w:r>
          </w:p>
        </w:tc>
        <w:tc>
          <w:tcPr>
            <w:tcW w:w="3005" w:type="dxa"/>
          </w:tcPr>
          <w:p w14:paraId="45B27374"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UKHospitality (2023); ONS (2024)</w:t>
            </w:r>
          </w:p>
        </w:tc>
        <w:tc>
          <w:tcPr>
            <w:tcW w:w="3006" w:type="dxa"/>
          </w:tcPr>
          <w:p w14:paraId="6A040753"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3043CE" w:rsidRPr="00E02468" w14:paraId="1E0833F4" w14:textId="77777777" w:rsidTr="003043CE">
        <w:tc>
          <w:tcPr>
            <w:tcW w:w="3005" w:type="dxa"/>
          </w:tcPr>
          <w:p w14:paraId="2567309C"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improves service quality</w:t>
            </w:r>
          </w:p>
        </w:tc>
        <w:tc>
          <w:tcPr>
            <w:tcW w:w="3005" w:type="dxa"/>
          </w:tcPr>
          <w:p w14:paraId="02C08E44"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Waqanimaravu and Arasanmi (2020)</w:t>
            </w:r>
          </w:p>
        </w:tc>
        <w:tc>
          <w:tcPr>
            <w:tcW w:w="3006" w:type="dxa"/>
          </w:tcPr>
          <w:p w14:paraId="301E8605"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Strongly supported</w:t>
            </w:r>
          </w:p>
        </w:tc>
      </w:tr>
      <w:tr w:rsidR="003043CE" w:rsidRPr="00E02468" w14:paraId="2832530F" w14:textId="77777777" w:rsidTr="003043CE">
        <w:tc>
          <w:tcPr>
            <w:tcW w:w="3005" w:type="dxa"/>
          </w:tcPr>
          <w:p w14:paraId="3BBDE2B8"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and empowerment influence service quality</w:t>
            </w:r>
          </w:p>
        </w:tc>
        <w:tc>
          <w:tcPr>
            <w:tcW w:w="3005" w:type="dxa"/>
          </w:tcPr>
          <w:p w14:paraId="7EAF86D4"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Chikazhe and Nyakunuwa (2022)</w:t>
            </w:r>
          </w:p>
        </w:tc>
        <w:tc>
          <w:tcPr>
            <w:tcW w:w="3006" w:type="dxa"/>
          </w:tcPr>
          <w:p w14:paraId="2ED478FD"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3043CE" w:rsidRPr="00E02468" w14:paraId="0B79DFA6" w14:textId="77777777" w:rsidTr="003043CE">
        <w:tc>
          <w:tcPr>
            <w:tcW w:w="3005" w:type="dxa"/>
          </w:tcPr>
          <w:p w14:paraId="2DA9356D"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Engagement affects service co-creation</w:t>
            </w:r>
          </w:p>
        </w:tc>
        <w:tc>
          <w:tcPr>
            <w:tcW w:w="3005" w:type="dxa"/>
          </w:tcPr>
          <w:p w14:paraId="4F735B4E"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Chathoth et al. (2022)</w:t>
            </w:r>
          </w:p>
        </w:tc>
        <w:tc>
          <w:tcPr>
            <w:tcW w:w="3006" w:type="dxa"/>
          </w:tcPr>
          <w:p w14:paraId="1782AED5"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3043CE" w:rsidRPr="00E02468" w14:paraId="4EC857A0" w14:textId="77777777" w:rsidTr="003043CE">
        <w:tc>
          <w:tcPr>
            <w:tcW w:w="3005" w:type="dxa"/>
          </w:tcPr>
          <w:p w14:paraId="5D85949B"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has serious retention challenges</w:t>
            </w:r>
          </w:p>
        </w:tc>
        <w:tc>
          <w:tcPr>
            <w:tcW w:w="3005" w:type="dxa"/>
          </w:tcPr>
          <w:p w14:paraId="68A2EC14"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CIPD (2024)</w:t>
            </w:r>
          </w:p>
        </w:tc>
        <w:tc>
          <w:tcPr>
            <w:tcW w:w="3006" w:type="dxa"/>
          </w:tcPr>
          <w:p w14:paraId="4D479913"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Strongly supported</w:t>
            </w:r>
          </w:p>
        </w:tc>
      </w:tr>
      <w:tr w:rsidR="003043CE" w:rsidRPr="00E02468" w14:paraId="2AA98CEA" w14:textId="77777777" w:rsidTr="003043CE">
        <w:tc>
          <w:tcPr>
            <w:tcW w:w="3005" w:type="dxa"/>
          </w:tcPr>
          <w:p w14:paraId="76D67A46"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is connected with service quality</w:t>
            </w:r>
          </w:p>
        </w:tc>
        <w:tc>
          <w:tcPr>
            <w:tcW w:w="3005" w:type="dxa"/>
          </w:tcPr>
          <w:p w14:paraId="1D1DD7E0"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Papademetriou et al. (2023)</w:t>
            </w:r>
          </w:p>
        </w:tc>
        <w:tc>
          <w:tcPr>
            <w:tcW w:w="3006" w:type="dxa"/>
          </w:tcPr>
          <w:p w14:paraId="1CEF7D60"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3043CE" w:rsidRPr="00E02468" w14:paraId="5EEAC2F6" w14:textId="77777777" w:rsidTr="003043CE">
        <w:tc>
          <w:tcPr>
            <w:tcW w:w="3005" w:type="dxa"/>
          </w:tcPr>
          <w:p w14:paraId="458FB9F6"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Restaurant service quality affects satisfaction</w:t>
            </w:r>
          </w:p>
        </w:tc>
        <w:tc>
          <w:tcPr>
            <w:tcW w:w="3005" w:type="dxa"/>
          </w:tcPr>
          <w:p w14:paraId="35DDDAC0"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Zibarzani et al. (2022)</w:t>
            </w:r>
          </w:p>
        </w:tc>
        <w:tc>
          <w:tcPr>
            <w:tcW w:w="3006" w:type="dxa"/>
          </w:tcPr>
          <w:p w14:paraId="1B1DBD10" w14:textId="77777777" w:rsidR="003043CE" w:rsidRPr="00E02468" w:rsidRDefault="003043CE" w:rsidP="00575B1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bl>
    <w:p w14:paraId="09808B03" w14:textId="77777777" w:rsidR="00BD63F2" w:rsidRPr="00E02468" w:rsidRDefault="00BD63F2" w:rsidP="00BD63F2">
      <w:pPr>
        <w:spacing w:before="240" w:line="360" w:lineRule="auto"/>
        <w:jc w:val="both"/>
        <w:rPr>
          <w:rFonts w:ascii="Arial" w:hAnsi="Arial" w:cs="Arial"/>
          <w:sz w:val="24"/>
          <w:szCs w:val="24"/>
          <w:lang w:val="en-GB" w:eastAsia="en-GB"/>
        </w:rPr>
      </w:pPr>
    </w:p>
    <w:p w14:paraId="73CEC0B5" w14:textId="5EA8112A"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Researcher synthesis from t</w:t>
      </w:r>
      <w:r w:rsidR="00C444EB" w:rsidRPr="00E02468">
        <w:rPr>
          <w:rFonts w:ascii="Arial" w:hAnsi="Arial" w:cs="Arial"/>
          <w:sz w:val="24"/>
          <w:szCs w:val="24"/>
          <w:lang w:val="en-GB" w:eastAsia="en-GB"/>
        </w:rPr>
        <w:t>he reviewed secondary evidence.</w:t>
      </w:r>
    </w:p>
    <w:p w14:paraId="3D319A3C" w14:textId="70459167" w:rsidR="00BD63F2" w:rsidRPr="00E02468" w:rsidRDefault="00C444EB" w:rsidP="00BD63F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overall result is that there is a great amount of consensus with earlier studies. The connection between training and engagement, as well as HCM and service outcomes, is the strongest. It is important to note, however, that several empirical studies have been carried out in hotels or outside the UK. So they offer contextually appropriate proof of hospitality but are not to be taken as indicative of the hospitality of all restaurants in the UK</w:t>
      </w:r>
      <w:r w:rsidR="003334CE" w:rsidRPr="00E02468">
        <w:rPr>
          <w:rFonts w:ascii="Arial" w:hAnsi="Arial" w:cs="Arial"/>
          <w:sz w:val="24"/>
          <w:szCs w:val="24"/>
          <w:lang w:val="en-GB" w:eastAsia="en-GB"/>
        </w:rPr>
        <w:t>.</w:t>
      </w:r>
    </w:p>
    <w:p w14:paraId="41CA5691" w14:textId="30BBD426" w:rsidR="00BD63F2" w:rsidRPr="00E02468" w:rsidRDefault="00BD63F2" w:rsidP="003334CE">
      <w:pPr>
        <w:pStyle w:val="Heading2"/>
        <w:rPr>
          <w:rFonts w:cs="Arial"/>
          <w:lang w:val="en-GB" w:eastAsia="en-GB"/>
        </w:rPr>
      </w:pPr>
      <w:bookmarkStart w:id="100" w:name="_Toc240932174"/>
      <w:r w:rsidRPr="00E02468">
        <w:rPr>
          <w:rFonts w:cs="Arial"/>
          <w:lang w:val="en-GB" w:eastAsia="en-GB"/>
        </w:rPr>
        <w:t>4.12 Summary Ag</w:t>
      </w:r>
      <w:r w:rsidR="00C444EB" w:rsidRPr="00E02468">
        <w:rPr>
          <w:rFonts w:cs="Arial"/>
          <w:lang w:val="en-GB" w:eastAsia="en-GB"/>
        </w:rPr>
        <w:t>ainst the Research Propositions</w:t>
      </w:r>
      <w:bookmarkEnd w:id="100"/>
    </w:p>
    <w:p w14:paraId="222C86C3" w14:textId="18C12F3A" w:rsidR="00C444EB" w:rsidRPr="00E02468" w:rsidRDefault="00C444EB" w:rsidP="00C444EB">
      <w:pPr>
        <w:pStyle w:val="Caption"/>
        <w:keepNext/>
        <w:rPr>
          <w:rFonts w:ascii="Arial" w:hAnsi="Arial" w:cs="Arial"/>
          <w:sz w:val="24"/>
        </w:rPr>
      </w:pPr>
      <w:bookmarkStart w:id="101" w:name="_Toc240932218"/>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10</w:t>
      </w:r>
      <w:r w:rsidRPr="00E02468">
        <w:rPr>
          <w:rFonts w:ascii="Arial" w:hAnsi="Arial" w:cs="Arial"/>
          <w:sz w:val="24"/>
        </w:rPr>
        <w:fldChar w:fldCharType="end"/>
      </w:r>
      <w:r w:rsidRPr="00E02468">
        <w:rPr>
          <w:rFonts w:ascii="Arial" w:hAnsi="Arial" w:cs="Arial"/>
          <w:sz w:val="24"/>
        </w:rPr>
        <w:t>: Evidence Against H1–H8</w:t>
      </w:r>
      <w:bookmarkEnd w:id="101"/>
    </w:p>
    <w:tbl>
      <w:tblPr>
        <w:tblStyle w:val="TableGrid"/>
        <w:tblW w:w="0" w:type="auto"/>
        <w:tblLook w:val="04A0" w:firstRow="1" w:lastRow="0" w:firstColumn="1" w:lastColumn="0" w:noHBand="0" w:noVBand="1"/>
      </w:tblPr>
      <w:tblGrid>
        <w:gridCol w:w="3005"/>
        <w:gridCol w:w="3005"/>
        <w:gridCol w:w="3006"/>
      </w:tblGrid>
      <w:tr w:rsidR="00C444EB" w:rsidRPr="00E02468" w14:paraId="3D1BA919" w14:textId="77777777" w:rsidTr="00C444EB">
        <w:tc>
          <w:tcPr>
            <w:tcW w:w="3005" w:type="dxa"/>
          </w:tcPr>
          <w:p w14:paraId="38A90918" w14:textId="77777777" w:rsidR="00C444EB" w:rsidRPr="00E02468" w:rsidRDefault="00C444EB" w:rsidP="0049441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Proposition</w:t>
            </w:r>
          </w:p>
        </w:tc>
        <w:tc>
          <w:tcPr>
            <w:tcW w:w="3005" w:type="dxa"/>
          </w:tcPr>
          <w:p w14:paraId="47CEA726" w14:textId="77777777" w:rsidR="00C444EB" w:rsidRPr="00E02468" w:rsidRDefault="00C444EB" w:rsidP="0049441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Finding</w:t>
            </w:r>
          </w:p>
        </w:tc>
        <w:tc>
          <w:tcPr>
            <w:tcW w:w="3006" w:type="dxa"/>
          </w:tcPr>
          <w:p w14:paraId="5DEF36F1" w14:textId="77777777" w:rsidR="00C444EB" w:rsidRPr="00E02468" w:rsidRDefault="00C444EB" w:rsidP="0049441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Assessment</w:t>
            </w:r>
          </w:p>
        </w:tc>
      </w:tr>
      <w:tr w:rsidR="00C444EB" w:rsidRPr="00E02468" w14:paraId="2AB1C363" w14:textId="77777777" w:rsidTr="00C444EB">
        <w:tc>
          <w:tcPr>
            <w:tcW w:w="3005" w:type="dxa"/>
          </w:tcPr>
          <w:p w14:paraId="6932ECFC"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H1 Recruitment → performance/service quality</w:t>
            </w:r>
          </w:p>
        </w:tc>
        <w:tc>
          <w:tcPr>
            <w:tcW w:w="3005" w:type="dxa"/>
          </w:tcPr>
          <w:p w14:paraId="61BA75A2"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 shortages demonstrate importance of effective selection</w:t>
            </w:r>
          </w:p>
        </w:tc>
        <w:tc>
          <w:tcPr>
            <w:tcW w:w="3006" w:type="dxa"/>
          </w:tcPr>
          <w:p w14:paraId="493FABE1"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C444EB" w:rsidRPr="00E02468" w14:paraId="35A4389C" w14:textId="77777777" w:rsidTr="00C444EB">
        <w:tc>
          <w:tcPr>
            <w:tcW w:w="3005" w:type="dxa"/>
          </w:tcPr>
          <w:p w14:paraId="00A16EFB"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H2 Training → performance/service quality</w:t>
            </w:r>
          </w:p>
        </w:tc>
        <w:tc>
          <w:tcPr>
            <w:tcW w:w="3005" w:type="dxa"/>
          </w:tcPr>
          <w:p w14:paraId="4C2B47A2"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120-survey study reported significant training/service-quality relationship</w:t>
            </w:r>
          </w:p>
        </w:tc>
        <w:tc>
          <w:tcPr>
            <w:tcW w:w="3006" w:type="dxa"/>
          </w:tcPr>
          <w:p w14:paraId="3367F163"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Strongly supported</w:t>
            </w:r>
          </w:p>
        </w:tc>
      </w:tr>
      <w:tr w:rsidR="00C444EB" w:rsidRPr="00E02468" w14:paraId="5D749828" w14:textId="77777777" w:rsidTr="00C444EB">
        <w:tc>
          <w:tcPr>
            <w:tcW w:w="3005" w:type="dxa"/>
          </w:tcPr>
          <w:p w14:paraId="781C83BF"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H3 Engagement → performance/service quality</w:t>
            </w:r>
          </w:p>
        </w:tc>
        <w:tc>
          <w:tcPr>
            <w:tcW w:w="3005" w:type="dxa"/>
          </w:tcPr>
          <w:p w14:paraId="78F736BC"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Empowerment and organisational systems influence engagement</w:t>
            </w:r>
          </w:p>
        </w:tc>
        <w:tc>
          <w:tcPr>
            <w:tcW w:w="3006" w:type="dxa"/>
          </w:tcPr>
          <w:p w14:paraId="3EFBD058"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C444EB" w:rsidRPr="00E02468" w14:paraId="4DF5A793" w14:textId="77777777" w:rsidTr="00C444EB">
        <w:tc>
          <w:tcPr>
            <w:tcW w:w="3005" w:type="dxa"/>
          </w:tcPr>
          <w:p w14:paraId="5CFE2EB7"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H4 Performance management → service quality</w:t>
            </w:r>
          </w:p>
        </w:tc>
        <w:tc>
          <w:tcPr>
            <w:tcW w:w="3005" w:type="dxa"/>
          </w:tcPr>
          <w:p w14:paraId="1E5309CF"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Standards, feedback and monitoring support consistency</w:t>
            </w:r>
          </w:p>
        </w:tc>
        <w:tc>
          <w:tcPr>
            <w:tcW w:w="3006" w:type="dxa"/>
          </w:tcPr>
          <w:p w14:paraId="72AC102E"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C444EB" w:rsidRPr="00E02468" w14:paraId="0B6DB843" w14:textId="77777777" w:rsidTr="00C444EB">
        <w:tc>
          <w:tcPr>
            <w:tcW w:w="3005" w:type="dxa"/>
          </w:tcPr>
          <w:p w14:paraId="642A9DC6"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H5 Reward → motivation/service</w:t>
            </w:r>
          </w:p>
        </w:tc>
        <w:tc>
          <w:tcPr>
            <w:tcW w:w="3005" w:type="dxa"/>
          </w:tcPr>
          <w:p w14:paraId="51F399EF"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Rewards can strengthen motivation when integrated with HCM</w:t>
            </w:r>
          </w:p>
        </w:tc>
        <w:tc>
          <w:tcPr>
            <w:tcW w:w="3006" w:type="dxa"/>
          </w:tcPr>
          <w:p w14:paraId="096539F9"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 with qualification</w:t>
            </w:r>
          </w:p>
        </w:tc>
      </w:tr>
      <w:tr w:rsidR="00C444EB" w:rsidRPr="00E02468" w14:paraId="5C08E07F" w14:textId="77777777" w:rsidTr="00C444EB">
        <w:tc>
          <w:tcPr>
            <w:tcW w:w="3005" w:type="dxa"/>
          </w:tcPr>
          <w:p w14:paraId="0B429BAA"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H6 Retention → service consistency</w:t>
            </w:r>
          </w:p>
        </w:tc>
        <w:tc>
          <w:tcPr>
            <w:tcW w:w="3005" w:type="dxa"/>
          </w:tcPr>
          <w:p w14:paraId="155A7A83"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turnover reached 52%</w:t>
            </w:r>
          </w:p>
        </w:tc>
        <w:tc>
          <w:tcPr>
            <w:tcW w:w="3006" w:type="dxa"/>
          </w:tcPr>
          <w:p w14:paraId="4B1ABE71"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Strongly supported</w:t>
            </w:r>
          </w:p>
        </w:tc>
      </w:tr>
      <w:tr w:rsidR="00C444EB" w:rsidRPr="00E02468" w14:paraId="12E8A68E" w14:textId="77777777" w:rsidTr="00C444EB">
        <w:tc>
          <w:tcPr>
            <w:tcW w:w="3005" w:type="dxa"/>
          </w:tcPr>
          <w:p w14:paraId="5B99541B"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H7 Integrated HCM → performance/service quality</w:t>
            </w:r>
          </w:p>
        </w:tc>
        <w:tc>
          <w:tcPr>
            <w:tcW w:w="3005" w:type="dxa"/>
          </w:tcPr>
          <w:p w14:paraId="243C8633"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Evidence supports interconnected HCM mechanisms</w:t>
            </w:r>
          </w:p>
        </w:tc>
        <w:tc>
          <w:tcPr>
            <w:tcW w:w="3006" w:type="dxa"/>
          </w:tcPr>
          <w:p w14:paraId="40F505B4"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r w:rsidR="00C444EB" w:rsidRPr="00E02468" w14:paraId="24B04B4F" w14:textId="77777777" w:rsidTr="00C444EB">
        <w:tc>
          <w:tcPr>
            <w:tcW w:w="3005" w:type="dxa"/>
          </w:tcPr>
          <w:p w14:paraId="024A591A"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H8 Employee performance → customer satisfaction</w:t>
            </w:r>
          </w:p>
        </w:tc>
        <w:tc>
          <w:tcPr>
            <w:tcW w:w="3005" w:type="dxa"/>
          </w:tcPr>
          <w:p w14:paraId="7948E0CE"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Hospitality and restaurant evidence links performance/service with customer outcomes</w:t>
            </w:r>
          </w:p>
        </w:tc>
        <w:tc>
          <w:tcPr>
            <w:tcW w:w="3006" w:type="dxa"/>
          </w:tcPr>
          <w:p w14:paraId="7BE53F0A" w14:textId="77777777" w:rsidR="00C444EB" w:rsidRPr="00E02468" w:rsidRDefault="00C444EB" w:rsidP="0049441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Supported</w:t>
            </w:r>
          </w:p>
        </w:tc>
      </w:tr>
    </w:tbl>
    <w:p w14:paraId="550A55FA" w14:textId="0F0AA619" w:rsidR="00BD63F2" w:rsidRPr="00E02468" w:rsidRDefault="00BD63F2" w:rsidP="00BD63F2">
      <w:pPr>
        <w:spacing w:before="240" w:line="360" w:lineRule="auto"/>
        <w:jc w:val="both"/>
        <w:rPr>
          <w:rFonts w:ascii="Arial" w:hAnsi="Arial" w:cs="Arial"/>
          <w:sz w:val="24"/>
          <w:szCs w:val="24"/>
          <w:lang w:val="en-GB" w:eastAsia="en-GB"/>
        </w:rPr>
      </w:pPr>
      <w:r w:rsidRPr="00E02468">
        <w:rPr>
          <w:rFonts w:ascii="Arial" w:hAnsi="Arial" w:cs="Arial"/>
          <w:b/>
          <w:sz w:val="24"/>
          <w:szCs w:val="24"/>
          <w:lang w:val="en-GB" w:eastAsia="en-GB"/>
        </w:rPr>
        <w:t>Source:</w:t>
      </w:r>
      <w:r w:rsidRPr="00E02468">
        <w:rPr>
          <w:rFonts w:ascii="Arial" w:hAnsi="Arial" w:cs="Arial"/>
          <w:sz w:val="24"/>
          <w:szCs w:val="24"/>
          <w:lang w:val="en-GB" w:eastAsia="en-GB"/>
        </w:rPr>
        <w:t xml:space="preserve"> Researcher s</w:t>
      </w:r>
      <w:r w:rsidR="00C444EB" w:rsidRPr="00E02468">
        <w:rPr>
          <w:rFonts w:ascii="Arial" w:hAnsi="Arial" w:cs="Arial"/>
          <w:sz w:val="24"/>
          <w:szCs w:val="24"/>
          <w:lang w:val="en-GB" w:eastAsia="en-GB"/>
        </w:rPr>
        <w:t>ynthesis of secondary evidence.</w:t>
      </w:r>
    </w:p>
    <w:p w14:paraId="3D14B968" w14:textId="02E0031F" w:rsidR="003334CE" w:rsidRPr="00E02468" w:rsidRDefault="003334CE" w:rsidP="003334C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dissertation did not perform primary hypothesis testing and these propositions are not statistically accepted or rejected. “Supported” indicates that there is adequate convergence from the secondary evidence that supports the proposition.</w:t>
      </w:r>
    </w:p>
    <w:p w14:paraId="72EA7AAB" w14:textId="07A39865" w:rsidR="003334CE" w:rsidRPr="00E02468" w:rsidRDefault="003334CE" w:rsidP="003334CE">
      <w:pPr>
        <w:pStyle w:val="Heading2"/>
        <w:rPr>
          <w:rFonts w:cs="Arial"/>
          <w:lang w:val="en-GB" w:eastAsia="en-GB"/>
        </w:rPr>
      </w:pPr>
      <w:bookmarkStart w:id="102" w:name="_Toc240932175"/>
      <w:r w:rsidRPr="00E02468">
        <w:rPr>
          <w:rFonts w:cs="Arial"/>
          <w:lang w:val="en-GB" w:eastAsia="en-GB"/>
        </w:rPr>
        <w:t>4.13 Chapter Summary</w:t>
      </w:r>
      <w:bookmarkEnd w:id="102"/>
    </w:p>
    <w:p w14:paraId="0DBA2699" w14:textId="02E45169" w:rsidR="003334CE" w:rsidRPr="00E02468" w:rsidRDefault="003334CE" w:rsidP="003334C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of this chapter showed that there is a significant relationship between HCM practices and employee performance and customer service quality. UKHospitality reported 132,000 hospitality jobs were vacant in the UK, with ONS identifying 20% of accommodation and food service businesses were experiencing worker shortages and 31% were finding it difficult to recruit workers, confirming the critical nature of recruitment and retention challenges in the hospitality industry in the UK (UKHospitality, 2023; ONS, 2024).</w:t>
      </w:r>
    </w:p>
    <w:p w14:paraId="5166F53F" w14:textId="7C53DA9E" w:rsidR="003334CE" w:rsidRPr="00E02468" w:rsidRDefault="003334CE" w:rsidP="003334C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Training support/benefits gave strong evidence, Waqanimaravu and Arasanmi (2020) effect size of 0.64, indicating that there was a significant relationship between training support/benefits and service quality based on 120 usable questionnaires. Other mechanisms that impact on employee motivation and service behaviour were also cited including employee engagement, performance management and reward, and CIPD evidence reveals the outstandingly difficult retention issues in the hospitality sector (CIPD, 2024).</w:t>
      </w:r>
    </w:p>
    <w:p w14:paraId="7C9B2635" w14:textId="2D8FA0C6" w:rsidR="003334CE" w:rsidRPr="00E02468" w:rsidRDefault="003334CE" w:rsidP="003334C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overall results confirm the suggested pathway:</w:t>
      </w:r>
    </w:p>
    <w:p w14:paraId="48D1B814" w14:textId="07626B81" w:rsidR="003334CE" w:rsidRPr="00E02468" w:rsidRDefault="003334CE" w:rsidP="003334CE">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Practices à Employee Performance à Customer Service Quality à Customer Satisfaction à Restaurant Performance.</w:t>
      </w:r>
    </w:p>
    <w:p w14:paraId="7DE072F7" w14:textId="26333AA4" w:rsidR="00B72F89" w:rsidRPr="00E02468" w:rsidRDefault="003334CE" w:rsidP="00B3753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next chapter will therefore discuss why these relationships occur, how the findings relate to Human Capital Theory, Resource-Based View, AMO theory and SERVQUAL, and how the findings relate to the research gap identified</w:t>
      </w:r>
      <w:r w:rsidR="00BD63F2" w:rsidRPr="00E02468">
        <w:rPr>
          <w:rFonts w:ascii="Arial" w:hAnsi="Arial" w:cs="Arial"/>
          <w:sz w:val="24"/>
          <w:szCs w:val="24"/>
          <w:lang w:val="en-GB" w:eastAsia="en-GB"/>
        </w:rPr>
        <w:t>.</w:t>
      </w:r>
    </w:p>
    <w:p w14:paraId="6D4C9A3D" w14:textId="77777777" w:rsidR="00B72F89" w:rsidRPr="00E02468" w:rsidRDefault="00B72F89" w:rsidP="00810D36">
      <w:pPr>
        <w:pStyle w:val="Heading1"/>
        <w:jc w:val="center"/>
        <w:rPr>
          <w:rFonts w:cs="Arial"/>
          <w:lang w:val="en-GB" w:eastAsia="en-GB"/>
        </w:rPr>
      </w:pPr>
      <w:bookmarkStart w:id="103" w:name="_Toc240932176"/>
      <w:r w:rsidRPr="00E02468">
        <w:rPr>
          <w:rFonts w:cs="Arial"/>
          <w:lang w:val="en-GB" w:eastAsia="en-GB"/>
        </w:rPr>
        <w:t>Chapter 5: Discussion</w:t>
      </w:r>
      <w:bookmarkEnd w:id="103"/>
    </w:p>
    <w:p w14:paraId="6BED1D8F" w14:textId="6FAE048E" w:rsidR="00A96A92" w:rsidRPr="00E02468" w:rsidRDefault="00B72F89" w:rsidP="00B26E50">
      <w:pPr>
        <w:pStyle w:val="Heading2"/>
        <w:rPr>
          <w:rFonts w:cs="Arial"/>
          <w:lang w:val="en-GB" w:eastAsia="en-GB"/>
        </w:rPr>
      </w:pPr>
      <w:bookmarkStart w:id="104" w:name="_Toc240932177"/>
      <w:r w:rsidRPr="00E02468">
        <w:rPr>
          <w:rFonts w:cs="Arial"/>
          <w:lang w:val="en-GB" w:eastAsia="en-GB"/>
        </w:rPr>
        <w:t>5.1 Introduction</w:t>
      </w:r>
      <w:bookmarkEnd w:id="104"/>
    </w:p>
    <w:p w14:paraId="3AC88F63" w14:textId="77777777" w:rsidR="00B26E50" w:rsidRPr="00E02468" w:rsidRDefault="00B26E50" w:rsidP="00B26E5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chapter interprets the findings presented in chapter 4 in the context of the research aim, research objectives, research questions, previous studies and the theoretical framework. The study sought to investigate how Human Capital Management (HCM) practices affect a customer's perception of the quality of services in the UK restaurant sector by applying a qualitative research approach using secondary data analysis. Six closely connected HCM practices – recruitment and selection, training and development, employee engagement, performance management, reward and recognition, and employee retention – were the focus of the research.</w:t>
      </w:r>
    </w:p>
    <w:p w14:paraId="1C96DDE2" w14:textId="10BD0C3A" w:rsidR="00A96A92" w:rsidRPr="00E02468" w:rsidRDefault="00B26E50"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results of the findings suggest that the quality of customer service cannot be judged based on one specific HR practice. This interpretation is in line with Human Capital Theory (HCT) (Becker, 1964), Resource Based View (RBV) (Barney, 1991) and Ability–Motivation–Opportunity (AMO) (Appelbaum et al., 2000) perspective, and SERVQUAL is a framework that explains the customer facing dimensions of service quality (SQ) (SERVQUAL) (Zeithaml, Parasuraman and Berry, 1988). </w:t>
      </w:r>
    </w:p>
    <w:p w14:paraId="200CD971" w14:textId="267F5820" w:rsidR="00A96A92" w:rsidRPr="00E02468" w:rsidRDefault="00A96A92" w:rsidP="00B26E50">
      <w:pPr>
        <w:pStyle w:val="Heading2"/>
        <w:jc w:val="both"/>
        <w:rPr>
          <w:rFonts w:cs="Arial"/>
          <w:lang w:val="en-GB" w:eastAsia="en-GB"/>
        </w:rPr>
      </w:pPr>
      <w:bookmarkStart w:id="105" w:name="_Toc240932178"/>
      <w:r w:rsidRPr="00E02468">
        <w:rPr>
          <w:rFonts w:cs="Arial"/>
          <w:lang w:val="en-GB" w:eastAsia="en-GB"/>
        </w:rPr>
        <w:t>5.2 Discussion of Research Question 1: What role does Human Capital Management play in the UK restaurant industry?</w:t>
      </w:r>
      <w:bookmarkEnd w:id="105"/>
    </w:p>
    <w:p w14:paraId="663FDB5A" w14:textId="678FABA6" w:rsidR="00B26E50" w:rsidRPr="00E02468" w:rsidRDefault="00B26E50" w:rsidP="00B26E5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indicate that HCM is more than an administrative role in the UK restaurant industry it is also a strategic role. Employees play a critical role in the restaurants' direct interaction with the customers, answering requests, handling complaints and providing the service experience. Thus, the quality of human resources has a potential impact on the uniformity and reliability of customer services. This is to argue that human capital is a productive organisational resource because employees share their knowledge, skills and capabilities that can create economic and service value (Becker, 1964).</w:t>
      </w:r>
    </w:p>
    <w:p w14:paraId="30D22D37" w14:textId="402EC10A" w:rsidR="00B26E50" w:rsidRPr="00E02468" w:rsidRDefault="00B26E50" w:rsidP="00B26E5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HCM benefits are especially noticeable in the challenging UK Hospitality labor market. In 2023, over a third of all hospitality employees were in their job for less than one year and the employee turnover rate for the hospitality sector was at around 52% from January 2022 to December 2023 (CIPD, 2024). This could be a challenge for restaurants in terms of having well-trained and knowledgeable employees (CIPD, 2024). The ONS (2024) also noted that recruitment was an issue and there were also shortages of labour in accommodation and food-service activities. The conditions illustrate the importance of HCM to focus on both recruitment and employee development, engagement and retention.</w:t>
      </w:r>
    </w:p>
    <w:p w14:paraId="24D48D1A" w14:textId="1D4BA832" w:rsidR="00B26E50" w:rsidRPr="00E02468" w:rsidRDefault="00B26E50" w:rsidP="00B26E50">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data can also be analysed using RBV. According to Barney (1991) organisational resources can be a source of competitive advantage if they have valuable and hard-to-replicate features. In the restaurant environment, staff who gain some understanding of the service, how to deal with customers and experience will be useful organisational resources. </w:t>
      </w:r>
    </w:p>
    <w:p w14:paraId="4B13C8CC" w14:textId="126CE79E" w:rsidR="00A96A92" w:rsidRPr="00E02468" w:rsidRDefault="00B26E50"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Thus, in the restaurant industry, HCM seems to have three related roles to play: capability development, promoting employee desired behaviour, and workforce continuity. This is a crucial connect between HR practices and outcomes for the customer.</w:t>
      </w:r>
    </w:p>
    <w:p w14:paraId="2EBEBD55" w14:textId="1A733924" w:rsidR="00A96A92" w:rsidRPr="00E02468" w:rsidRDefault="00A96A92" w:rsidP="001172BC">
      <w:pPr>
        <w:pStyle w:val="Heading2"/>
        <w:jc w:val="both"/>
        <w:rPr>
          <w:rFonts w:cs="Arial"/>
          <w:lang w:val="en-GB" w:eastAsia="en-GB"/>
        </w:rPr>
      </w:pPr>
      <w:bookmarkStart w:id="106" w:name="_Toc240932179"/>
      <w:r w:rsidRPr="00E02468">
        <w:rPr>
          <w:rFonts w:cs="Arial"/>
          <w:lang w:val="en-GB" w:eastAsia="en-GB"/>
        </w:rPr>
        <w:t>5.3 Discussion of Research Question 2: Which Human Capital Management practices most strongly infl</w:t>
      </w:r>
      <w:r w:rsidR="002A2CA8" w:rsidRPr="00E02468">
        <w:rPr>
          <w:rFonts w:cs="Arial"/>
          <w:lang w:val="en-GB" w:eastAsia="en-GB"/>
        </w:rPr>
        <w:t>uence customer service quality?</w:t>
      </w:r>
      <w:bookmarkEnd w:id="106"/>
    </w:p>
    <w:p w14:paraId="27B5CF93" w14:textId="7D0BD395"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concluded that six HCM practices were found to be relevant to customer service quality, all of which were interrelated. This study is a type of qualitative secondary data, which is not suitable for statistical ranking of these practices. Rather, evidence suggests that training, engagement and retention in particular were consistently supported by other HCM elements, such as recruitment, performance management and rewards.</w:t>
      </w:r>
    </w:p>
    <w:p w14:paraId="7B05817D" w14:textId="0199005B" w:rsidR="002A2CA8" w:rsidRPr="00E02468" w:rsidRDefault="002A2CA8" w:rsidP="001172BC">
      <w:pPr>
        <w:pStyle w:val="Heading3"/>
        <w:rPr>
          <w:rFonts w:cs="Arial"/>
          <w:lang w:val="en-GB" w:eastAsia="en-GB"/>
        </w:rPr>
      </w:pPr>
      <w:bookmarkStart w:id="107" w:name="_Toc240932180"/>
      <w:r w:rsidRPr="00E02468">
        <w:rPr>
          <w:rFonts w:cs="Arial"/>
          <w:lang w:val="en-GB" w:eastAsia="en-GB"/>
        </w:rPr>
        <w:t>5.3.1 Recruitment and Selection</w:t>
      </w:r>
      <w:bookmarkEnd w:id="107"/>
    </w:p>
    <w:p w14:paraId="0E64BA2B" w14:textId="4F9B58D9"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Recruitment is significant as service quality is reliant, in part, on the characteristics of the person being served and the interpersonal and service characteristics of the employee. Hiring staff that have communication skills, customer orientation and a desire to work in a service environment can build the necessary capability for effective service delivery. </w:t>
      </w:r>
    </w:p>
    <w:p w14:paraId="3160BFA9" w14:textId="007126A3"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But, the recruitment difficulties can limit it. Recruitment challenges have been noted within the accommodation and food-service industries by the ONS (2024) and by </w:t>
      </w:r>
      <w:r w:rsidR="00211FF3" w:rsidRPr="00E02468">
        <w:rPr>
          <w:rFonts w:ascii="Arial" w:hAnsi="Arial" w:cs="Arial"/>
          <w:sz w:val="24"/>
          <w:szCs w:val="24"/>
          <w:lang w:val="en-GB" w:eastAsia="en-GB"/>
        </w:rPr>
        <w:t>Hospitality</w:t>
      </w:r>
      <w:r w:rsidRPr="00E02468">
        <w:rPr>
          <w:rFonts w:ascii="Arial" w:hAnsi="Arial" w:cs="Arial"/>
          <w:sz w:val="24"/>
          <w:szCs w:val="24"/>
          <w:lang w:val="en-GB" w:eastAsia="en-GB"/>
        </w:rPr>
        <w:t>. This aligns with the broader argument in HRM that recruitment is strategic not just filling positions (Armstrong and Taylor 2023). The finding thus leads to the suggestion that effective recruitment can play a role in service quality but that external factors in the labour market can also affect the effective</w:t>
      </w:r>
      <w:r w:rsidR="001172BC" w:rsidRPr="00E02468">
        <w:rPr>
          <w:rFonts w:ascii="Arial" w:hAnsi="Arial" w:cs="Arial"/>
          <w:sz w:val="24"/>
          <w:szCs w:val="24"/>
          <w:lang w:val="en-GB" w:eastAsia="en-GB"/>
        </w:rPr>
        <w:t>ness of the recruiting process.</w:t>
      </w:r>
    </w:p>
    <w:p w14:paraId="55BABE0C" w14:textId="2015E595" w:rsidR="002A2CA8" w:rsidRPr="00E02468" w:rsidRDefault="002A2CA8" w:rsidP="001172BC">
      <w:pPr>
        <w:pStyle w:val="Heading3"/>
        <w:rPr>
          <w:rFonts w:cs="Arial"/>
          <w:lang w:val="en-GB" w:eastAsia="en-GB"/>
        </w:rPr>
      </w:pPr>
      <w:bookmarkStart w:id="108" w:name="_Toc240932181"/>
      <w:r w:rsidRPr="00E02468">
        <w:rPr>
          <w:rFonts w:cs="Arial"/>
          <w:lang w:val="en-GB" w:eastAsia="en-GB"/>
        </w:rPr>
        <w:t>5.3.2 Training and Development</w:t>
      </w:r>
      <w:bookmarkEnd w:id="108"/>
    </w:p>
    <w:p w14:paraId="0AD35F02" w14:textId="307ED698"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reviewed literature showed particularly good evidence of training. For instance, Waqanimaravu and Arasanmi (2020) discovered that perceived training benefits and service quality in the hospitality sector have a significant relationship. In turn, Chikazhe and Nyakunuwa (2022) found that training and employee empowerment had a positive effect on perc</w:t>
      </w:r>
      <w:r w:rsidR="001172BC" w:rsidRPr="00E02468">
        <w:rPr>
          <w:rFonts w:ascii="Arial" w:hAnsi="Arial" w:cs="Arial"/>
          <w:sz w:val="24"/>
          <w:szCs w:val="24"/>
          <w:lang w:val="en-GB" w:eastAsia="en-GB"/>
        </w:rPr>
        <w:t>eived service quality.</w:t>
      </w:r>
    </w:p>
    <w:p w14:paraId="48BE4C65" w14:textId="10D71710"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of this study indicate that training is useful in enhancing customer service skills by increasing the knowledge, communication skills, confidence and capacity to meet customer needs. HCT view’s investment in training as the growth of the productive knowledge and abilities of employees (Becker, 1964). The main focus of training from an AMO standpoint is to boost Ability, so that employees are better able to do their</w:t>
      </w:r>
      <w:r w:rsidR="001172BC" w:rsidRPr="00E02468">
        <w:rPr>
          <w:rFonts w:ascii="Arial" w:hAnsi="Arial" w:cs="Arial"/>
          <w:sz w:val="24"/>
          <w:szCs w:val="24"/>
          <w:lang w:val="en-GB" w:eastAsia="en-GB"/>
        </w:rPr>
        <w:t xml:space="preserve"> jobs (Appelbaum et al., 2000).</w:t>
      </w:r>
    </w:p>
    <w:p w14:paraId="690044AF" w14:textId="40AABA9E"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But just because evidence is there does not imply that service quality will be high when training is self-directed. Staff need to be encouraged and given opportunities to practice their skills. Thus, training would seem to be most effective when integrated into a broader HCM syste</w:t>
      </w:r>
      <w:r w:rsidR="001172BC" w:rsidRPr="00E02468">
        <w:rPr>
          <w:rFonts w:ascii="Arial" w:hAnsi="Arial" w:cs="Arial"/>
          <w:sz w:val="24"/>
          <w:szCs w:val="24"/>
          <w:lang w:val="en-GB" w:eastAsia="en-GB"/>
        </w:rPr>
        <w:t>m.</w:t>
      </w:r>
    </w:p>
    <w:p w14:paraId="26056E1C" w14:textId="602D9E1B" w:rsidR="002A2CA8" w:rsidRPr="00E02468" w:rsidRDefault="002A2CA8" w:rsidP="001172BC">
      <w:pPr>
        <w:pStyle w:val="Heading3"/>
        <w:rPr>
          <w:rFonts w:cs="Arial"/>
          <w:lang w:val="en-GB" w:eastAsia="en-GB"/>
        </w:rPr>
      </w:pPr>
      <w:bookmarkStart w:id="109" w:name="_Toc240932182"/>
      <w:r w:rsidRPr="00E02468">
        <w:rPr>
          <w:rFonts w:cs="Arial"/>
          <w:lang w:val="en-GB" w:eastAsia="en-GB"/>
        </w:rPr>
        <w:t>5.3.3 Employee Engagement</w:t>
      </w:r>
      <w:bookmarkEnd w:id="109"/>
    </w:p>
    <w:p w14:paraId="65664B6F" w14:textId="6B90B232" w:rsidR="002A2CA8" w:rsidRPr="00E02468" w:rsidRDefault="002A2CA8" w:rsidP="002A2CA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Service-related outcomes were also related to employee engagement. Based on qualitative evidence collected from the hospitality industry, Chathoth et al. (2022) found relationships between employee engagement, empowerment, service systems and value co-creation. Happy workers are more likely to be involved with their work and to be active participant</w:t>
      </w:r>
      <w:r w:rsidR="001172BC" w:rsidRPr="00E02468">
        <w:rPr>
          <w:rFonts w:ascii="Arial" w:hAnsi="Arial" w:cs="Arial"/>
          <w:sz w:val="24"/>
          <w:szCs w:val="24"/>
          <w:lang w:val="en-GB" w:eastAsia="en-GB"/>
        </w:rPr>
        <w:t>s in customer facing scenarios.</w:t>
      </w:r>
    </w:p>
    <w:p w14:paraId="747B5407" w14:textId="189B743C" w:rsidR="00A96A92" w:rsidRPr="00E02468" w:rsidRDefault="002A2CA8"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AMO framework can help in this case. Engagement and empowerment offer employees Opportunities to use their abilities and contribute to service decisions (Appelbaum et al., 2000). As a result, training of employees must be complemented by creating an organisational environment where they have the opportunity to make judgments and to be involved in the improvement of services.</w:t>
      </w:r>
    </w:p>
    <w:p w14:paraId="31B40ED8" w14:textId="418D510D" w:rsidR="00A96A92" w:rsidRPr="00E02468" w:rsidRDefault="00A96A92" w:rsidP="002D624F">
      <w:pPr>
        <w:pStyle w:val="Heading3"/>
        <w:rPr>
          <w:rFonts w:cs="Arial"/>
          <w:lang w:val="en-GB" w:eastAsia="en-GB"/>
        </w:rPr>
      </w:pPr>
      <w:bookmarkStart w:id="110" w:name="_Toc240932183"/>
      <w:r w:rsidRPr="00E02468">
        <w:rPr>
          <w:rFonts w:cs="Arial"/>
          <w:lang w:val="en-GB" w:eastAsia="en-GB"/>
        </w:rPr>
        <w:t>5.3.4 Performance Management</w:t>
      </w:r>
      <w:bookmarkEnd w:id="110"/>
    </w:p>
    <w:p w14:paraId="1CC1948F" w14:textId="404533F9"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 can help achieve service quality by setting clear objectives, tracking service levels and giving feedback. Good feedback helps workers recognise areas to improve and the gaps in their performance. Other research has also focused on the role of clear goals and feedback in setting the tone for performance (Locke &amp; Latham, 2002).</w:t>
      </w:r>
    </w:p>
    <w:p w14:paraId="73EEFE25" w14:textId="77ADFD69"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hence show that with the linkage of performance indicators to customer service expectations, performance management can contribute to service consistency. However, if employees view performance management as a form of control, the focus on monitoring could be detrimental. Performance management should, therefore, go hand-in-hand with accountability with coaching and support (Armstrong and Taylor, 2023).</w:t>
      </w:r>
    </w:p>
    <w:p w14:paraId="279927C4" w14:textId="69E04E22" w:rsidR="002D624F" w:rsidRPr="00E02468" w:rsidRDefault="002D624F" w:rsidP="002D624F">
      <w:pPr>
        <w:pStyle w:val="Heading3"/>
        <w:rPr>
          <w:rFonts w:cs="Arial"/>
          <w:lang w:val="en-GB" w:eastAsia="en-GB"/>
        </w:rPr>
      </w:pPr>
      <w:bookmarkStart w:id="111" w:name="_Toc240932184"/>
      <w:r w:rsidRPr="00E02468">
        <w:rPr>
          <w:rFonts w:cs="Arial"/>
          <w:lang w:val="en-GB" w:eastAsia="en-GB"/>
        </w:rPr>
        <w:t>5.3.5 Reward and Recognition</w:t>
      </w:r>
      <w:bookmarkEnd w:id="111"/>
    </w:p>
    <w:p w14:paraId="7BB59BE7" w14:textId="43824CC9"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Motivation to sustain desirable service behaviours can be affected by reward and recognition. Recognition can be a way of telling workers that a customer-focused approach is appreciated by management, and suitable financial and non-financial rewards can help keep their morale high.</w:t>
      </w:r>
    </w:p>
    <w:p w14:paraId="672AEC2E" w14:textId="08C94637"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In the context of AMO theory, reward mainly influences the Motivation component (Appelbaum et al., 2000). The results also show that rewards are not likely to overcome poor recruitment, training or management. Rewarding good service is not the only way a restaurant can have high service quality. </w:t>
      </w:r>
    </w:p>
    <w:p w14:paraId="2976368D" w14:textId="41810B5B" w:rsidR="002D624F" w:rsidRPr="00E02468" w:rsidRDefault="002D624F" w:rsidP="002D624F">
      <w:pPr>
        <w:pStyle w:val="Heading3"/>
        <w:rPr>
          <w:rFonts w:cs="Arial"/>
          <w:lang w:val="en-GB" w:eastAsia="en-GB"/>
        </w:rPr>
      </w:pPr>
      <w:bookmarkStart w:id="112" w:name="_Toc240932185"/>
      <w:r w:rsidRPr="00E02468">
        <w:rPr>
          <w:rFonts w:cs="Arial"/>
          <w:lang w:val="en-GB" w:eastAsia="en-GB"/>
        </w:rPr>
        <w:t>5.3.6 Employee Retention</w:t>
      </w:r>
      <w:bookmarkEnd w:id="112"/>
    </w:p>
    <w:p w14:paraId="1DFEDC01" w14:textId="7E6F78E9"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ability to retain staff is especially important in the UK restaurant industry given the fact that high turnover may lead to a loss of organisational knowledge and repeat hiring and training needs. As illustrated by evidence from the CIPD (2024), there is a significant amount of employee churn in the hospitality sector.</w:t>
      </w:r>
    </w:p>
    <w:p w14:paraId="2BEB0BEE" w14:textId="43D26F0F" w:rsidR="00A96A92" w:rsidRPr="00E02468" w:rsidRDefault="002D624F"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Attracting and keeping qualified staff can help ensure consistency of service as qualified employees are familiar with procedures, customer expectations and the service routine. Prior research in the hospitality industry also highlights the significance of factors related to retention in food services and hospitality jobs (DiPietro, Thozhur and Milman, 2008). </w:t>
      </w:r>
    </w:p>
    <w:p w14:paraId="6642FAEB" w14:textId="78CDDBE6" w:rsidR="00A96A92" w:rsidRPr="00E02468" w:rsidRDefault="00A96A92" w:rsidP="002D624F">
      <w:pPr>
        <w:pStyle w:val="Heading2"/>
        <w:jc w:val="both"/>
        <w:rPr>
          <w:rFonts w:cs="Arial"/>
          <w:lang w:val="en-GB" w:eastAsia="en-GB"/>
        </w:rPr>
      </w:pPr>
      <w:bookmarkStart w:id="113" w:name="_Toc240932186"/>
      <w:r w:rsidRPr="00E02468">
        <w:rPr>
          <w:rFonts w:cs="Arial"/>
          <w:lang w:val="en-GB" w:eastAsia="en-GB"/>
        </w:rPr>
        <w:t>5.4 Discussion of Research Question 3: How do Human Capital Management practices improve employee performance and customer satisfaction?</w:t>
      </w:r>
      <w:bookmarkEnd w:id="113"/>
    </w:p>
    <w:p w14:paraId="4FBB9DC6" w14:textId="6B49168A"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show that the link between HCM and customer satisfaction is more indirect. The first and primary factors that have an impact on the employee's ability, motivation, opportunity and continuity of practice can impact employee performance and ultimately the customer experience in HCM practices.</w:t>
      </w:r>
    </w:p>
    <w:p w14:paraId="0B9A35D5" w14:textId="4D471B6E"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AMO model is one that offers a helpful way to explain the construction. The following relationships mark the development of Ability: Recruitment and training; The following relationships mark the strengthening of Motivation: Rewards and performance management; and The following relationships mark the creation of Opportunity to contribute: Engagement and empowerment (Appelbaum et al., 2000). </w:t>
      </w:r>
    </w:p>
    <w:p w14:paraId="1D308206" w14:textId="4E05B8EF"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relationship is similar to the empirical findings in hospitality. Strong links between HRM practices and SERVQUAL, employee performance and customer satisfaction were demonstrated by Papademetriou, Anastasiadou and Papalexandris (2023) in their study of the hotel industry. Thus, their results offer support for the integrated relationship between HRM and customer outcomes. However, due to the fact that the study focused on hotels in Cyprus, the results are not directly applicable to the UK restaurant sector, but are considered relevant in terms of providing support to the hospitality sector.</w:t>
      </w:r>
    </w:p>
    <w:p w14:paraId="2C586BA7" w14:textId="23C152AD"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The results can also be analysed by SERVQUAL. Competency of employees and / or training can help the reliability; as capable people might provide services more consistently. Engagement and empowerment can help achieve responsiveness, as they could increase an employee's capacity to respond to customers' requests and problems. Assurance can be developed through knowledge and professional competence, or through engagement and customer orientation, the latter possibly supporting empathy (Parasuraman, Zeithaml and Berry, 1988). </w:t>
      </w:r>
    </w:p>
    <w:p w14:paraId="0426348F" w14:textId="7BDF44F5" w:rsidR="002D624F" w:rsidRPr="00E02468" w:rsidRDefault="002D624F" w:rsidP="002D624F">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Restrictions are also backed by restaurant-specific research. Zibarzani et al., (2022) explored restaurant customers' experiences and identified that customer satisfaction was significantly related to service, food, value and atmosphere. This strengthens the notion that employee-related service delivery is part of a greater customer experience and no longer is just one of the factors.</w:t>
      </w:r>
    </w:p>
    <w:p w14:paraId="48F741D7" w14:textId="61C3BCCA" w:rsidR="002D624F" w:rsidRPr="00E02468" w:rsidRDefault="002D624F" w:rsidP="002D624F">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So the results support the following relationship:</w:t>
      </w:r>
    </w:p>
    <w:p w14:paraId="7ED94FB9" w14:textId="7D399062" w:rsidR="002D624F" w:rsidRPr="00E02468" w:rsidRDefault="002D624F" w:rsidP="002D624F">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EPR ability, motivation and opportunity → EPR performance → CSQ → CS.</w:t>
      </w:r>
    </w:p>
    <w:p w14:paraId="16507FBA" w14:textId="3AED19E7" w:rsidR="009E4BA1" w:rsidRPr="00E02468" w:rsidRDefault="002D624F"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is an integrated interpretation, rather than attributing it entirely to any single HR practice as being a direct cause of customer satisfaction.</w:t>
      </w:r>
    </w:p>
    <w:p w14:paraId="1780BFC1" w14:textId="371F47B2" w:rsidR="00A96A92" w:rsidRPr="00E02468" w:rsidRDefault="00A96A92" w:rsidP="009E4BA1">
      <w:pPr>
        <w:pStyle w:val="Heading2"/>
        <w:jc w:val="both"/>
        <w:rPr>
          <w:rFonts w:cs="Arial"/>
          <w:lang w:val="en-GB" w:eastAsia="en-GB"/>
        </w:rPr>
      </w:pPr>
      <w:bookmarkStart w:id="114" w:name="_Toc240932187"/>
      <w:r w:rsidRPr="00E02468">
        <w:rPr>
          <w:rFonts w:cs="Arial"/>
          <w:lang w:val="en-GB" w:eastAsia="en-GB"/>
        </w:rPr>
        <w:t>5.5 Discussion of Research Question 4: What recommendations can improve customer service quality through effective Human Capital Management?</w:t>
      </w:r>
      <w:bookmarkEnd w:id="114"/>
    </w:p>
    <w:p w14:paraId="0CF28193" w14:textId="317E9686" w:rsidR="009E4BA1" w:rsidRPr="00E02468" w:rsidRDefault="009E4BA1" w:rsidP="009E4B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show that it is not a single HR initiative that is required but an integrated HCM approach should be followed by the restaurant. First of all, the following elements must be taken into account when recruiting and selecting people for the job of a customer service representative: technical requirements, customer orientation, interpersonal and communication skills. This can enhance the first fit of the staff members with the services required.</w:t>
      </w:r>
    </w:p>
    <w:p w14:paraId="131D4C9E" w14:textId="11465B16" w:rsidR="009E4BA1" w:rsidRPr="00E02468" w:rsidRDefault="009E4BA1" w:rsidP="009E4B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Secondly, restaurants need to offer ongoing training, not just induction. Customers communication, handling customer complaints, customer service recovery, product knowledge, and digital ordering systems are areas of training that should be covered. Research in hospitality suggests that service quality can be achieved as a result of training (Waqanimaravu and Arasanmi, 2020; Chikazhe and Nyakunuwa, 2022).</w:t>
      </w:r>
    </w:p>
    <w:p w14:paraId="3609A04E" w14:textId="51FEC775" w:rsidR="009E4BA1" w:rsidRPr="00E02468" w:rsidRDefault="009E4BA1" w:rsidP="009E4B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communication and employee voice and appropriate empowerment should be augmented to enhance employee engagement. Staff with opportunities to participate in service decisions might be more likely to be able to respond to the needs of individual customers (Chathoth et al., 2022).</w:t>
      </w:r>
    </w:p>
    <w:p w14:paraId="7EACE316" w14:textId="2D580E32" w:rsidR="009E4BA1" w:rsidRPr="00E02468" w:rsidRDefault="009E4BA1" w:rsidP="009E4B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Fourth, needs to be a mix of clear service standards and frequent feedback and coaching in performance management. Finally, reward and recognition should be based on customer behaviours and not just financial reward. Last, but not least, career development, supportive management, recognition and opportunities for progression could be included in the retention strategies, especially in the context of this high turnover environment highlighted by CIPD (2024).</w:t>
      </w:r>
    </w:p>
    <w:p w14:paraId="2D58631D" w14:textId="74EBEAB7" w:rsidR="009C74D0" w:rsidRPr="00E02468" w:rsidRDefault="009E4BA1"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recommendations are based on the AMO principle, that is, restaurants should build ability in employees, increase their motivation, and create opportunity to apply ability (Appelbaum et al., 2000).</w:t>
      </w:r>
    </w:p>
    <w:p w14:paraId="139B12D9" w14:textId="77777777" w:rsidR="00A96A92" w:rsidRPr="00E02468" w:rsidRDefault="00A96A92" w:rsidP="00030B94">
      <w:pPr>
        <w:pStyle w:val="Heading2"/>
        <w:rPr>
          <w:rFonts w:cs="Arial"/>
          <w:lang w:val="en-GB" w:eastAsia="en-GB"/>
        </w:rPr>
      </w:pPr>
      <w:bookmarkStart w:id="115" w:name="_Toc240932188"/>
      <w:r w:rsidRPr="00E02468">
        <w:rPr>
          <w:rFonts w:cs="Arial"/>
          <w:lang w:val="en-GB" w:eastAsia="en-GB"/>
        </w:rPr>
        <w:t>5.6 Discussion Through the Theoretical Framework</w:t>
      </w:r>
      <w:bookmarkEnd w:id="115"/>
    </w:p>
    <w:p w14:paraId="1170A163" w14:textId="77777777" w:rsidR="00030B94" w:rsidRPr="00E02468" w:rsidRDefault="00030B94" w:rsidP="00030B94">
      <w:pPr>
        <w:pStyle w:val="Heading3"/>
        <w:rPr>
          <w:rFonts w:cs="Arial"/>
          <w:lang w:val="en-GB" w:eastAsia="en-GB"/>
        </w:rPr>
      </w:pPr>
      <w:bookmarkStart w:id="116" w:name="_Toc240932189"/>
      <w:r w:rsidRPr="00E02468">
        <w:rPr>
          <w:rFonts w:cs="Arial"/>
          <w:lang w:val="en-GB" w:eastAsia="en-GB"/>
        </w:rPr>
        <w:t>5.6.1 Human Capital Theory</w:t>
      </w:r>
      <w:bookmarkEnd w:id="116"/>
    </w:p>
    <w:p w14:paraId="28EC0698" w14:textId="77777777" w:rsidR="00030B94" w:rsidRPr="00E02468" w:rsidRDefault="00030B94" w:rsidP="00030B9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corroborate Becker's (1964) contention that knowledge and skills of employees are productive human capital. Training, development and experience can increase employees' capacity to perform service work. The results, however, further this argument as it suggests that investment needs to be coupled with adequate organisational practices if capability is to result in customer facing outcomes.</w:t>
      </w:r>
    </w:p>
    <w:p w14:paraId="17C2DC61" w14:textId="28B7D5B8" w:rsidR="00030B94" w:rsidRPr="00E02468" w:rsidRDefault="00030B94" w:rsidP="00030B94">
      <w:pPr>
        <w:pStyle w:val="Heading3"/>
        <w:rPr>
          <w:rFonts w:cs="Arial"/>
          <w:lang w:val="en-GB" w:eastAsia="en-GB"/>
        </w:rPr>
      </w:pPr>
      <w:bookmarkStart w:id="117" w:name="_Toc240932190"/>
      <w:r w:rsidRPr="00E02468">
        <w:rPr>
          <w:rFonts w:cs="Arial"/>
          <w:lang w:val="en-GB" w:eastAsia="en-GB"/>
        </w:rPr>
        <w:t>5.6.2 Resource-Based View</w:t>
      </w:r>
      <w:bookmarkEnd w:id="117"/>
    </w:p>
    <w:p w14:paraId="2B7ECDB2" w14:textId="7DAF3F14" w:rsidR="00030B94" w:rsidRPr="00E02468" w:rsidRDefault="00030B94" w:rsidP="00030B9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RBV can be used to understand how to make experienced and competent workers good resources for the organization (Barney, 1991). Human resources, however, don't necessarily generate ongoing advantages. The ability of employees to be developed and retained must be developed and integrated with the organisational processes of the restaurants. The interpretation is similar to later stages of the relationship between RBV and HR (Gerhart and Feng, 2021).</w:t>
      </w:r>
    </w:p>
    <w:p w14:paraId="096AF607" w14:textId="4CFEAEDA" w:rsidR="00030B94" w:rsidRPr="00E02468" w:rsidRDefault="00030B94" w:rsidP="00030B94">
      <w:pPr>
        <w:pStyle w:val="Heading3"/>
        <w:rPr>
          <w:rFonts w:cs="Arial"/>
          <w:lang w:val="en-GB" w:eastAsia="en-GB"/>
        </w:rPr>
      </w:pPr>
      <w:bookmarkStart w:id="118" w:name="_Toc240932191"/>
      <w:r w:rsidRPr="00E02468">
        <w:rPr>
          <w:rFonts w:cs="Arial"/>
          <w:lang w:val="en-GB" w:eastAsia="en-GB"/>
        </w:rPr>
        <w:t>5.6.3 AMO Theory</w:t>
      </w:r>
      <w:bookmarkEnd w:id="118"/>
    </w:p>
    <w:p w14:paraId="5FCF3B5E" w14:textId="2C551FD1" w:rsidR="00030B94" w:rsidRPr="00E02468" w:rsidRDefault="00030B94" w:rsidP="00030B94">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findings are best explained by the integrated explanation of AMO. Ability is developed through recruitment and training, Motivation through reward and performance management and Opportunity through engagement and empowerment (Appelbaum et al., 2000). Understanding of employee performance can thus be considered as a consequence of complementary HCM practices, not as a single intervention.</w:t>
      </w:r>
    </w:p>
    <w:p w14:paraId="31F0539E" w14:textId="5A90F6BC" w:rsidR="00030B94" w:rsidRPr="00E02468" w:rsidRDefault="00030B94" w:rsidP="00030B94">
      <w:pPr>
        <w:pStyle w:val="Heading3"/>
        <w:rPr>
          <w:rFonts w:cs="Arial"/>
          <w:lang w:val="en-GB" w:eastAsia="en-GB"/>
        </w:rPr>
      </w:pPr>
      <w:bookmarkStart w:id="119" w:name="_Toc240932192"/>
      <w:r w:rsidRPr="00E02468">
        <w:rPr>
          <w:rFonts w:cs="Arial"/>
          <w:lang w:val="en-GB" w:eastAsia="en-GB"/>
        </w:rPr>
        <w:t>5.6.4 SERVQUAL</w:t>
      </w:r>
      <w:bookmarkEnd w:id="119"/>
    </w:p>
    <w:p w14:paraId="1A5F1DFB" w14:textId="18A67BEF" w:rsidR="00030B94" w:rsidRPr="00E02468" w:rsidRDefault="00030B94"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These employee capabilities manifest themselves to customers in terms of reliability, responsiveness, assurance, empathy and tangibles (Parasuraman, Zeithaml and Berry, 1988). In view of the above, it will be advantageous to integrate SERVQUAL with the HCM theories as the HCM explains the HCM mechanisms while SERVQUAL measures the customer side of the service quality.</w:t>
      </w:r>
    </w:p>
    <w:p w14:paraId="31303828" w14:textId="3B41A01E" w:rsidR="00A96A92" w:rsidRPr="00E02468" w:rsidRDefault="00A96A92" w:rsidP="00CA7951">
      <w:pPr>
        <w:pStyle w:val="Heading2"/>
        <w:rPr>
          <w:rFonts w:cs="Arial"/>
          <w:lang w:val="en-GB" w:eastAsia="en-GB"/>
        </w:rPr>
      </w:pPr>
      <w:bookmarkStart w:id="120" w:name="_Toc240932193"/>
      <w:r w:rsidRPr="00E02468">
        <w:rPr>
          <w:rFonts w:cs="Arial"/>
          <w:lang w:val="en-GB" w:eastAsia="en-GB"/>
        </w:rPr>
        <w:t>5.7 Contribution to the Research Gap</w:t>
      </w:r>
      <w:bookmarkEnd w:id="120"/>
    </w:p>
    <w:p w14:paraId="1E2B6C11" w14:textId="481AD781" w:rsidR="00CA7951" w:rsidRPr="00E02468" w:rsidRDefault="00CA7951" w:rsidP="00CA795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helps fill the gaps in the literature identified in several ways. Firstly, it collates evidence related to HCM and customer service in the context of the UK restaurant industry rather than in a hospitality industry setting as a whole. Secondly, it looks at recruitment, training, engagement, performance management and rewards and retention as an interconnected process, rather than each practice in isolation.</w:t>
      </w:r>
    </w:p>
    <w:p w14:paraId="13BA190F" w14:textId="7941F8FD" w:rsidR="00A96A92" w:rsidRPr="00E02468" w:rsidRDefault="00CA7951"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the research combines the HCT, RBV and AMO together with SERVQUAL. This offers a multi-level explanation from employee investment, to organisational practices, to employee performance, to customer perception. Fourth, the study also accounts for current pressures in the UK labour market, such as the challenge of recruitment, as well as hospitality sector labour turnover (which is high), which may be relevant to the setting up of a rest</w:t>
      </w:r>
      <w:r w:rsidR="00303D44" w:rsidRPr="00E02468">
        <w:rPr>
          <w:rFonts w:ascii="Arial" w:hAnsi="Arial" w:cs="Arial"/>
          <w:sz w:val="24"/>
          <w:szCs w:val="24"/>
          <w:lang w:val="en-GB" w:eastAsia="en-GB"/>
        </w:rPr>
        <w:t>aurant (CIPD, 2024; ONS, 2024)</w:t>
      </w:r>
      <w:r w:rsidRPr="00E02468">
        <w:rPr>
          <w:rFonts w:ascii="Arial" w:hAnsi="Arial" w:cs="Arial"/>
          <w:sz w:val="24"/>
          <w:szCs w:val="24"/>
          <w:lang w:val="en-GB" w:eastAsia="en-GB"/>
        </w:rPr>
        <w:t>.</w:t>
      </w:r>
    </w:p>
    <w:p w14:paraId="656005FA" w14:textId="77777777" w:rsidR="00A96A92" w:rsidRPr="00E02468" w:rsidRDefault="00A96A92" w:rsidP="00915551">
      <w:pPr>
        <w:pStyle w:val="Heading2"/>
        <w:rPr>
          <w:rFonts w:cs="Arial"/>
          <w:lang w:val="en-GB" w:eastAsia="en-GB"/>
        </w:rPr>
      </w:pPr>
      <w:bookmarkStart w:id="121" w:name="_Toc240932194"/>
      <w:r w:rsidRPr="00E02468">
        <w:rPr>
          <w:rFonts w:cs="Arial"/>
          <w:lang w:val="en-GB" w:eastAsia="en-GB"/>
        </w:rPr>
        <w:t>5.8 Discussion Against the Research Objectives</w:t>
      </w:r>
      <w:bookmarkEnd w:id="121"/>
    </w:p>
    <w:p w14:paraId="254161A3" w14:textId="66539AA4" w:rsidR="00036EAC" w:rsidRPr="00E02468" w:rsidRDefault="00036EAC" w:rsidP="00036EAC">
      <w:pPr>
        <w:pStyle w:val="Caption"/>
        <w:keepNext/>
        <w:rPr>
          <w:rFonts w:ascii="Arial" w:hAnsi="Arial" w:cs="Arial"/>
          <w:sz w:val="24"/>
        </w:rPr>
      </w:pPr>
      <w:bookmarkStart w:id="122" w:name="_Toc240932219"/>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00072E5D" w:rsidRPr="00E02468">
        <w:rPr>
          <w:rFonts w:ascii="Arial" w:hAnsi="Arial" w:cs="Arial"/>
          <w:noProof/>
          <w:sz w:val="24"/>
        </w:rPr>
        <w:t>11</w:t>
      </w:r>
      <w:r w:rsidRPr="00E02468">
        <w:rPr>
          <w:rFonts w:ascii="Arial" w:hAnsi="Arial" w:cs="Arial"/>
          <w:sz w:val="24"/>
        </w:rPr>
        <w:fldChar w:fldCharType="end"/>
      </w:r>
      <w:r w:rsidRPr="00E02468">
        <w:rPr>
          <w:rFonts w:ascii="Arial" w:hAnsi="Arial" w:cs="Arial"/>
          <w:sz w:val="24"/>
        </w:rPr>
        <w:t>.Discussion Against the Research Objectives</w:t>
      </w:r>
      <w:bookmarkEnd w:id="122"/>
    </w:p>
    <w:tbl>
      <w:tblPr>
        <w:tblStyle w:val="TableGrid"/>
        <w:tblW w:w="0" w:type="auto"/>
        <w:tblLook w:val="04A0" w:firstRow="1" w:lastRow="0" w:firstColumn="1" w:lastColumn="0" w:noHBand="0" w:noVBand="1"/>
      </w:tblPr>
      <w:tblGrid>
        <w:gridCol w:w="4508"/>
        <w:gridCol w:w="4508"/>
      </w:tblGrid>
      <w:tr w:rsidR="00036EAC" w:rsidRPr="00E02468" w14:paraId="6574256C" w14:textId="77777777" w:rsidTr="00036EAC">
        <w:tc>
          <w:tcPr>
            <w:tcW w:w="4508" w:type="dxa"/>
          </w:tcPr>
          <w:p w14:paraId="44AECF32" w14:textId="77777777" w:rsidR="00036EAC" w:rsidRPr="00E02468" w:rsidRDefault="00036EAC" w:rsidP="0000027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Research Objective</w:t>
            </w:r>
          </w:p>
        </w:tc>
        <w:tc>
          <w:tcPr>
            <w:tcW w:w="4508" w:type="dxa"/>
          </w:tcPr>
          <w:p w14:paraId="014F9783" w14:textId="77777777" w:rsidR="00036EAC" w:rsidRPr="00E02468" w:rsidRDefault="00036EAC" w:rsidP="00000276">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Discussion outcome</w:t>
            </w:r>
          </w:p>
        </w:tc>
      </w:tr>
      <w:tr w:rsidR="00036EAC" w:rsidRPr="00E02468" w14:paraId="2E65C35B" w14:textId="77777777" w:rsidTr="00036EAC">
        <w:tc>
          <w:tcPr>
            <w:tcW w:w="4508" w:type="dxa"/>
          </w:tcPr>
          <w:p w14:paraId="33CCA037"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Objective 1: Examine the concept and strategic importance of HCM</w:t>
            </w:r>
          </w:p>
        </w:tc>
        <w:tc>
          <w:tcPr>
            <w:tcW w:w="4508" w:type="dxa"/>
          </w:tcPr>
          <w:p w14:paraId="4C2B2636"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is strategically important because restaurant service depends substantially on employee capability, behaviour and continuity.</w:t>
            </w:r>
          </w:p>
        </w:tc>
      </w:tr>
      <w:tr w:rsidR="00036EAC" w:rsidRPr="00E02468" w14:paraId="30ACAB6E" w14:textId="77777777" w:rsidTr="00036EAC">
        <w:tc>
          <w:tcPr>
            <w:tcW w:w="4508" w:type="dxa"/>
          </w:tcPr>
          <w:p w14:paraId="11043674"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Objective 2: Identify key HCM practices</w:t>
            </w:r>
          </w:p>
        </w:tc>
        <w:tc>
          <w:tcPr>
            <w:tcW w:w="4508" w:type="dxa"/>
          </w:tcPr>
          <w:p w14:paraId="69A9C30D"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Recruitment, training, engagement, performance management, reward and retention were identified as interconnected practices.</w:t>
            </w:r>
          </w:p>
        </w:tc>
      </w:tr>
      <w:tr w:rsidR="00036EAC" w:rsidRPr="00E02468" w14:paraId="1351D2DB" w14:textId="77777777" w:rsidTr="00036EAC">
        <w:tc>
          <w:tcPr>
            <w:tcW w:w="4508" w:type="dxa"/>
          </w:tcPr>
          <w:p w14:paraId="6B396F67"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Objective 3: Evaluate their effects on service quality</w:t>
            </w:r>
          </w:p>
        </w:tc>
        <w:tc>
          <w:tcPr>
            <w:tcW w:w="4508" w:type="dxa"/>
          </w:tcPr>
          <w:p w14:paraId="1573B775"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evidence indicates that the practices influence service quality through employee ability, motivation, opportunity, performance and continuity.</w:t>
            </w:r>
          </w:p>
        </w:tc>
      </w:tr>
      <w:tr w:rsidR="00036EAC" w:rsidRPr="00E02468" w14:paraId="6D7F71EE" w14:textId="77777777" w:rsidTr="00036EAC">
        <w:tc>
          <w:tcPr>
            <w:tcW w:w="4508" w:type="dxa"/>
          </w:tcPr>
          <w:p w14:paraId="4512DCBF"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Objective 4: Recommend strategies</w:t>
            </w:r>
          </w:p>
        </w:tc>
        <w:tc>
          <w:tcPr>
            <w:tcW w:w="4508" w:type="dxa"/>
          </w:tcPr>
          <w:p w14:paraId="7FAB6645" w14:textId="77777777" w:rsidR="00036EAC" w:rsidRPr="00E02468" w:rsidRDefault="00036EAC" w:rsidP="00000276">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Integrated recruitment, continuous training, engagement, performance management, reward and retention strategies are recommended</w:t>
            </w:r>
          </w:p>
        </w:tc>
      </w:tr>
    </w:tbl>
    <w:p w14:paraId="72C88BD8" w14:textId="0CB63228" w:rsidR="00A96A92" w:rsidRPr="00E02468" w:rsidRDefault="00A96A92"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t>
      </w:r>
    </w:p>
    <w:p w14:paraId="12A9DA61" w14:textId="77777777" w:rsidR="00A96A92" w:rsidRPr="00E02468" w:rsidRDefault="00A96A92" w:rsidP="00915551">
      <w:pPr>
        <w:pStyle w:val="Heading2"/>
        <w:rPr>
          <w:rFonts w:cs="Arial"/>
          <w:lang w:val="en-GB" w:eastAsia="en-GB"/>
        </w:rPr>
      </w:pPr>
      <w:bookmarkStart w:id="123" w:name="_Toc240932195"/>
      <w:r w:rsidRPr="00E02468">
        <w:rPr>
          <w:rFonts w:cs="Arial"/>
          <w:lang w:val="en-GB" w:eastAsia="en-GB"/>
        </w:rPr>
        <w:t>5.9 Overall Answer to the Research Questions</w:t>
      </w:r>
      <w:bookmarkEnd w:id="123"/>
    </w:p>
    <w:p w14:paraId="1709DF50" w14:textId="19D9E56F" w:rsidR="00072E5D" w:rsidRPr="00E02468" w:rsidRDefault="00072E5D" w:rsidP="00072E5D">
      <w:pPr>
        <w:pStyle w:val="Caption"/>
        <w:keepNext/>
        <w:rPr>
          <w:rFonts w:ascii="Arial" w:hAnsi="Arial" w:cs="Arial"/>
          <w:sz w:val="24"/>
        </w:rPr>
      </w:pPr>
      <w:bookmarkStart w:id="124" w:name="_Toc240932220"/>
      <w:r w:rsidRPr="00E02468">
        <w:rPr>
          <w:rFonts w:ascii="Arial" w:hAnsi="Arial" w:cs="Arial"/>
          <w:sz w:val="24"/>
        </w:rPr>
        <w:t xml:space="preserve">Table </w:t>
      </w:r>
      <w:r w:rsidRPr="00E02468">
        <w:rPr>
          <w:rFonts w:ascii="Arial" w:hAnsi="Arial" w:cs="Arial"/>
          <w:sz w:val="24"/>
        </w:rPr>
        <w:fldChar w:fldCharType="begin"/>
      </w:r>
      <w:r w:rsidRPr="00E02468">
        <w:rPr>
          <w:rFonts w:ascii="Arial" w:hAnsi="Arial" w:cs="Arial"/>
          <w:sz w:val="24"/>
        </w:rPr>
        <w:instrText xml:space="preserve"> SEQ Table \* ARABIC </w:instrText>
      </w:r>
      <w:r w:rsidRPr="00E02468">
        <w:rPr>
          <w:rFonts w:ascii="Arial" w:hAnsi="Arial" w:cs="Arial"/>
          <w:sz w:val="24"/>
        </w:rPr>
        <w:fldChar w:fldCharType="separate"/>
      </w:r>
      <w:r w:rsidRPr="00E02468">
        <w:rPr>
          <w:rFonts w:ascii="Arial" w:hAnsi="Arial" w:cs="Arial"/>
          <w:noProof/>
          <w:sz w:val="24"/>
        </w:rPr>
        <w:t>12</w:t>
      </w:r>
      <w:r w:rsidRPr="00E02468">
        <w:rPr>
          <w:rFonts w:ascii="Arial" w:hAnsi="Arial" w:cs="Arial"/>
          <w:sz w:val="24"/>
        </w:rPr>
        <w:fldChar w:fldCharType="end"/>
      </w:r>
      <w:r w:rsidRPr="00E02468">
        <w:rPr>
          <w:rFonts w:ascii="Arial" w:hAnsi="Arial" w:cs="Arial"/>
          <w:sz w:val="24"/>
        </w:rPr>
        <w:t>.Answer to the Research Questions</w:t>
      </w:r>
      <w:bookmarkEnd w:id="124"/>
    </w:p>
    <w:tbl>
      <w:tblPr>
        <w:tblStyle w:val="TableGrid"/>
        <w:tblW w:w="0" w:type="auto"/>
        <w:tblLook w:val="04A0" w:firstRow="1" w:lastRow="0" w:firstColumn="1" w:lastColumn="0" w:noHBand="0" w:noVBand="1"/>
      </w:tblPr>
      <w:tblGrid>
        <w:gridCol w:w="4508"/>
        <w:gridCol w:w="4508"/>
      </w:tblGrid>
      <w:tr w:rsidR="00072E5D" w:rsidRPr="00E02468" w14:paraId="0DEF8C00" w14:textId="77777777" w:rsidTr="00072E5D">
        <w:tc>
          <w:tcPr>
            <w:tcW w:w="4508" w:type="dxa"/>
          </w:tcPr>
          <w:p w14:paraId="0A34FECC" w14:textId="77777777" w:rsidR="00072E5D" w:rsidRPr="00E02468" w:rsidRDefault="00072E5D" w:rsidP="00262377">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Research Question</w:t>
            </w:r>
          </w:p>
        </w:tc>
        <w:tc>
          <w:tcPr>
            <w:tcW w:w="4508" w:type="dxa"/>
          </w:tcPr>
          <w:p w14:paraId="2E1F9DA5" w14:textId="77777777" w:rsidR="00072E5D" w:rsidRPr="00E02468" w:rsidRDefault="00072E5D" w:rsidP="00262377">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Overall interpretation</w:t>
            </w:r>
          </w:p>
        </w:tc>
      </w:tr>
      <w:tr w:rsidR="00072E5D" w:rsidRPr="00E02468" w14:paraId="04695E17" w14:textId="77777777" w:rsidTr="00072E5D">
        <w:tc>
          <w:tcPr>
            <w:tcW w:w="4508" w:type="dxa"/>
          </w:tcPr>
          <w:p w14:paraId="39DA934C"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RQ1. What role does HCM play in the UK restaurant industry?</w:t>
            </w:r>
          </w:p>
        </w:tc>
        <w:tc>
          <w:tcPr>
            <w:tcW w:w="4508" w:type="dxa"/>
          </w:tcPr>
          <w:p w14:paraId="1151A666"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provides the capabilities, motivation, engagement and workforce continuity required for effective customer-facing service.</w:t>
            </w:r>
          </w:p>
        </w:tc>
      </w:tr>
      <w:tr w:rsidR="00072E5D" w:rsidRPr="00E02468" w14:paraId="595BB52D" w14:textId="77777777" w:rsidTr="00072E5D">
        <w:tc>
          <w:tcPr>
            <w:tcW w:w="4508" w:type="dxa"/>
          </w:tcPr>
          <w:p w14:paraId="594B5353"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RQ2. Which HCM practices most strongly influence customer service quality?</w:t>
            </w:r>
          </w:p>
        </w:tc>
        <w:tc>
          <w:tcPr>
            <w:tcW w:w="4508" w:type="dxa"/>
          </w:tcPr>
          <w:p w14:paraId="39C86F1E"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All six practices demonstrate relevance, with particularly consistent evidence around training, engagement and retention; however, the qualitative design does not permit statistical ranking.</w:t>
            </w:r>
          </w:p>
        </w:tc>
      </w:tr>
      <w:tr w:rsidR="00072E5D" w:rsidRPr="00E02468" w14:paraId="3B79B7D7" w14:textId="77777777" w:rsidTr="00072E5D">
        <w:tc>
          <w:tcPr>
            <w:tcW w:w="4508" w:type="dxa"/>
          </w:tcPr>
          <w:p w14:paraId="2E42730A"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RQ3. How do HCM practices improve employee performance and customer satisfaction?</w:t>
            </w:r>
          </w:p>
        </w:tc>
        <w:tc>
          <w:tcPr>
            <w:tcW w:w="4508" w:type="dxa"/>
          </w:tcPr>
          <w:p w14:paraId="46440B7E"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They operate through employee ability, motivation and opportunity, which influence employee performance and subsequently customer service experiences and satisfaction.</w:t>
            </w:r>
          </w:p>
        </w:tc>
      </w:tr>
      <w:tr w:rsidR="00072E5D" w:rsidRPr="00E02468" w14:paraId="4AB7F12A" w14:textId="77777777" w:rsidTr="00072E5D">
        <w:tc>
          <w:tcPr>
            <w:tcW w:w="4508" w:type="dxa"/>
          </w:tcPr>
          <w:p w14:paraId="478E8F7E"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RQ4. What recommendations can improve customer service quality?</w:t>
            </w:r>
          </w:p>
        </w:tc>
        <w:tc>
          <w:tcPr>
            <w:tcW w:w="4508" w:type="dxa"/>
          </w:tcPr>
          <w:p w14:paraId="4323AD30" w14:textId="77777777" w:rsidR="00072E5D" w:rsidRPr="00E02468" w:rsidRDefault="00072E5D" w:rsidP="00262377">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Restaurants should adopt an integrated HCM strategy combining effective recruitment, continuous training, engagement, performance management, meaningful rewards and retention</w:t>
            </w:r>
          </w:p>
        </w:tc>
      </w:tr>
    </w:tbl>
    <w:p w14:paraId="4F5DD4B9" w14:textId="331D683F" w:rsidR="00A96A92" w:rsidRPr="00E02468" w:rsidRDefault="00A96A92"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w:t>
      </w:r>
    </w:p>
    <w:p w14:paraId="43AA780E" w14:textId="21BFDC97" w:rsidR="00A96A92" w:rsidRPr="00E02468" w:rsidRDefault="00A96A92" w:rsidP="00915551">
      <w:pPr>
        <w:pStyle w:val="Heading2"/>
        <w:rPr>
          <w:rFonts w:cs="Arial"/>
          <w:lang w:val="en-GB" w:eastAsia="en-GB"/>
        </w:rPr>
      </w:pPr>
      <w:bookmarkStart w:id="125" w:name="_Toc240932196"/>
      <w:r w:rsidRPr="00E02468">
        <w:rPr>
          <w:rFonts w:cs="Arial"/>
          <w:lang w:val="en-GB" w:eastAsia="en-GB"/>
        </w:rPr>
        <w:t>5.10 Chapter Summary</w:t>
      </w:r>
      <w:bookmarkEnd w:id="125"/>
    </w:p>
    <w:p w14:paraId="202ACC65" w14:textId="7464F72F" w:rsidR="00B72F89" w:rsidRPr="00E02468" w:rsidRDefault="00915551" w:rsidP="00A96A92">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This chapter explained the results in terms of the four research questions as well as previous research and the theoretical framework. Overall, the evidence has indicated that HCM is strategically linked to customer service quality as it is the employee who is at the heart of the restaurant service delivery. Recruitment, performance management and reward are also important components of the system, but training, engagement and retention were particularly well supported. The capability of employee ability, motivation and opportunity (AMO) framework is used to explain how these practices develop employee ability, while HCT and RBV are used to explain the value of employee knowledge and capabilities in the process of the firm's strategy (Becker, 1964; Barney, 1991; Appelbaum et al., 2000). As for the capabilities of the employees, SERVQUAL elaborates how they can be manifested in the customers' perception of reliability, responsiveness, assurance, and empathy (Parasuraman, Zeithaml and Berry, 1988). The discussion therefore helps to support an HCM perspective instead of assigning the customer satisfaction to one HP. </w:t>
      </w:r>
    </w:p>
    <w:p w14:paraId="53B41B7A" w14:textId="6434649D" w:rsidR="00407F8E" w:rsidRPr="00E02468" w:rsidRDefault="00407F8E" w:rsidP="00A96A92">
      <w:pPr>
        <w:spacing w:before="240" w:line="360" w:lineRule="auto"/>
        <w:jc w:val="both"/>
        <w:rPr>
          <w:rFonts w:ascii="Arial" w:hAnsi="Arial" w:cs="Arial"/>
          <w:sz w:val="24"/>
          <w:szCs w:val="24"/>
          <w:lang w:val="en-GB" w:eastAsia="en-GB"/>
        </w:rPr>
      </w:pPr>
    </w:p>
    <w:p w14:paraId="4904BF5D" w14:textId="0A0CE3F2" w:rsidR="00407F8E" w:rsidRPr="00E02468" w:rsidRDefault="00407F8E" w:rsidP="00A96A92">
      <w:pPr>
        <w:spacing w:before="240" w:line="360" w:lineRule="auto"/>
        <w:jc w:val="both"/>
        <w:rPr>
          <w:rFonts w:ascii="Arial" w:hAnsi="Arial" w:cs="Arial"/>
          <w:sz w:val="24"/>
          <w:szCs w:val="24"/>
          <w:lang w:val="en-GB" w:eastAsia="en-GB"/>
        </w:rPr>
      </w:pPr>
    </w:p>
    <w:p w14:paraId="2B91707D" w14:textId="0702F8D2" w:rsidR="00407F8E" w:rsidRPr="00E02468" w:rsidRDefault="00407F8E" w:rsidP="00A96A92">
      <w:pPr>
        <w:spacing w:before="240" w:line="360" w:lineRule="auto"/>
        <w:jc w:val="both"/>
        <w:rPr>
          <w:rFonts w:ascii="Arial" w:hAnsi="Arial" w:cs="Arial"/>
          <w:sz w:val="24"/>
          <w:szCs w:val="24"/>
          <w:lang w:val="en-GB" w:eastAsia="en-GB"/>
        </w:rPr>
      </w:pPr>
    </w:p>
    <w:p w14:paraId="18103A07" w14:textId="3237F95B" w:rsidR="00407F8E" w:rsidRPr="00E02468" w:rsidRDefault="00407F8E" w:rsidP="00A96A92">
      <w:pPr>
        <w:spacing w:before="240" w:line="360" w:lineRule="auto"/>
        <w:jc w:val="both"/>
        <w:rPr>
          <w:rFonts w:ascii="Arial" w:hAnsi="Arial" w:cs="Arial"/>
          <w:sz w:val="24"/>
          <w:szCs w:val="24"/>
          <w:lang w:val="en-GB" w:eastAsia="en-GB"/>
        </w:rPr>
      </w:pPr>
    </w:p>
    <w:p w14:paraId="2865F2B9" w14:textId="675EB2B8" w:rsidR="00094664" w:rsidRPr="00E02468" w:rsidRDefault="00094664" w:rsidP="00A96A92">
      <w:pPr>
        <w:spacing w:before="240" w:line="360" w:lineRule="auto"/>
        <w:jc w:val="both"/>
        <w:rPr>
          <w:rFonts w:ascii="Arial" w:hAnsi="Arial" w:cs="Arial"/>
          <w:sz w:val="24"/>
          <w:szCs w:val="24"/>
          <w:lang w:val="en-GB" w:eastAsia="en-GB"/>
        </w:rPr>
      </w:pPr>
    </w:p>
    <w:p w14:paraId="36FB3315" w14:textId="1EADE2BE" w:rsidR="00094664" w:rsidRPr="00E02468" w:rsidRDefault="00094664" w:rsidP="00A96A92">
      <w:pPr>
        <w:spacing w:before="240" w:line="360" w:lineRule="auto"/>
        <w:jc w:val="both"/>
        <w:rPr>
          <w:rFonts w:ascii="Arial" w:hAnsi="Arial" w:cs="Arial"/>
          <w:sz w:val="24"/>
          <w:szCs w:val="24"/>
          <w:lang w:val="en-GB" w:eastAsia="en-GB"/>
        </w:rPr>
      </w:pPr>
    </w:p>
    <w:p w14:paraId="0FE05D6E" w14:textId="1A336D71" w:rsidR="00094664" w:rsidRPr="00E02468" w:rsidRDefault="00094664" w:rsidP="00A96A92">
      <w:pPr>
        <w:spacing w:before="240" w:line="360" w:lineRule="auto"/>
        <w:jc w:val="both"/>
        <w:rPr>
          <w:rFonts w:ascii="Arial" w:hAnsi="Arial" w:cs="Arial"/>
          <w:sz w:val="24"/>
          <w:szCs w:val="24"/>
          <w:lang w:val="en-GB" w:eastAsia="en-GB"/>
        </w:rPr>
      </w:pPr>
    </w:p>
    <w:p w14:paraId="4D261B1C" w14:textId="446402D5" w:rsidR="00094664" w:rsidRPr="00E02468" w:rsidRDefault="00094664" w:rsidP="00A96A92">
      <w:pPr>
        <w:spacing w:before="240" w:line="360" w:lineRule="auto"/>
        <w:jc w:val="both"/>
        <w:rPr>
          <w:rFonts w:ascii="Arial" w:hAnsi="Arial" w:cs="Arial"/>
          <w:sz w:val="24"/>
          <w:szCs w:val="24"/>
          <w:lang w:val="en-GB" w:eastAsia="en-GB"/>
        </w:rPr>
      </w:pPr>
    </w:p>
    <w:p w14:paraId="24EFF64A" w14:textId="77777777" w:rsidR="00B72F89" w:rsidRPr="00E02468" w:rsidRDefault="00B72F89" w:rsidP="00811393">
      <w:pPr>
        <w:pStyle w:val="Heading1"/>
        <w:jc w:val="center"/>
        <w:rPr>
          <w:rFonts w:cs="Arial"/>
          <w:lang w:val="en-GB" w:eastAsia="en-GB"/>
        </w:rPr>
      </w:pPr>
      <w:bookmarkStart w:id="126" w:name="_Toc240932197"/>
      <w:r w:rsidRPr="00E02468">
        <w:rPr>
          <w:rFonts w:cs="Arial"/>
          <w:lang w:val="en-GB" w:eastAsia="en-GB"/>
        </w:rPr>
        <w:t>Chapter 6: Conclusion</w:t>
      </w:r>
      <w:bookmarkEnd w:id="126"/>
    </w:p>
    <w:p w14:paraId="32392FA0" w14:textId="33EA0822" w:rsidR="00B72F89" w:rsidRPr="00E02468" w:rsidRDefault="00B72F89" w:rsidP="00811393">
      <w:pPr>
        <w:pStyle w:val="Heading2"/>
        <w:rPr>
          <w:rFonts w:cs="Arial"/>
          <w:lang w:val="en-GB" w:eastAsia="en-GB"/>
        </w:rPr>
      </w:pPr>
      <w:bookmarkStart w:id="127" w:name="_Toc240932198"/>
      <w:r w:rsidRPr="00E02468">
        <w:rPr>
          <w:rFonts w:cs="Arial"/>
          <w:lang w:val="en-GB" w:eastAsia="en-GB"/>
        </w:rPr>
        <w:t>6.1 Introduction</w:t>
      </w:r>
      <w:bookmarkEnd w:id="127"/>
    </w:p>
    <w:p w14:paraId="2216961A" w14:textId="7CE42225" w:rsidR="00B72F89" w:rsidRPr="00E02468" w:rsidRDefault="00811393"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aim of this dissertation is to investigate how Human Capital Management (HCM) practices affect the customer service quality service in the United Kingdom (UK) restaurant sector using qualitative methods of secondary data analysis. Research was designed with the realisation that the knowledge, skills, motivation and behaviour of front line staff are a critical factor in restaurant businesses and have a direct impact on customer experiences. The study focused on six critical HCM practices: recruitment and selection, training and development, employee engagement, performance management, reward and recognition and employee retention. The results were analyzed by applying Human Capital Theory (Becker, 1964), Resource-Based View (Barney, 1991), AMO Theory (Appelbaum et al., 2000) and SERVQUAL (Parasuraman, Zeithaml and Berry, 1988). This chapter summarizes the key findings, addresses the research questions, assesses the theoretical and practical implications, discusses the study's weaknesses, and offers suggestions for restaurant managers and future research</w:t>
      </w:r>
      <w:r w:rsidR="00B72F89" w:rsidRPr="00E02468">
        <w:rPr>
          <w:rFonts w:ascii="Arial" w:hAnsi="Arial" w:cs="Arial"/>
          <w:sz w:val="24"/>
          <w:szCs w:val="24"/>
          <w:lang w:val="en-GB" w:eastAsia="en-GB"/>
        </w:rPr>
        <w:t>.</w:t>
      </w:r>
    </w:p>
    <w:p w14:paraId="41D0E6F1" w14:textId="73815D29" w:rsidR="00B72F89" w:rsidRPr="00E02468" w:rsidRDefault="00B72F89" w:rsidP="00811393">
      <w:pPr>
        <w:pStyle w:val="Heading2"/>
        <w:rPr>
          <w:rFonts w:cs="Arial"/>
          <w:lang w:val="en-GB" w:eastAsia="en-GB"/>
        </w:rPr>
      </w:pPr>
      <w:bookmarkStart w:id="128" w:name="_Toc240932199"/>
      <w:r w:rsidRPr="00E02468">
        <w:rPr>
          <w:rFonts w:cs="Arial"/>
          <w:lang w:val="en-GB" w:eastAsia="en-GB"/>
        </w:rPr>
        <w:t>6.2 Overall Conclusion of the Study</w:t>
      </w:r>
      <w:bookmarkEnd w:id="128"/>
    </w:p>
    <w:p w14:paraId="7BAEB603" w14:textId="30055E66" w:rsidR="00811393" w:rsidRPr="00E02468" w:rsidRDefault="00811393" w:rsidP="0081139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general findings are that good and integrated HCM practices can play a major role in employee performance and quality of customer service within the restaurant sector in the UK. The evidence points to a view of HCM that is not fragmented into administrative activities per se. Rather, recruitment, training, engagement, performance management, rewards and retention are interdependent practices that together affect employees' skill, motivation and opportunity to do their job.</w:t>
      </w:r>
    </w:p>
    <w:p w14:paraId="0A6A5193" w14:textId="4A3B622E" w:rsidR="00811393" w:rsidRPr="00E02468" w:rsidRDefault="00811393" w:rsidP="00811393">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Employee performance was also identified as an important linkage between HCM practices and customer service quality in the study. Recruitment sets the right foundation, training builds skills, engagement and rewards boost motivation, performance management helps to ensure consistent behaviour, and retention keeps the organisational knowledge and experience within the organisation. Thus, it can be concluded that the conceptual pathway elaborated in the dissertation is supported:</w:t>
      </w:r>
    </w:p>
    <w:p w14:paraId="3789819A" w14:textId="763D8E10" w:rsidR="00811393" w:rsidRPr="00E02468" w:rsidRDefault="00811393" w:rsidP="00811393">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Customer Satisfaction is one of the measures that falls under Employee Performance of HCM Practices in Customer Service Quality for Restaurant Performance.</w:t>
      </w:r>
    </w:p>
    <w:p w14:paraId="5CEE4952" w14:textId="14F50909" w:rsidR="00B72F89" w:rsidRPr="00E02468" w:rsidRDefault="00811393"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But the results are not the only indicators of restaurant performance. Other factors such as food quality, price, location, atmosphere, technology, competition and wider economic factors also can influence customer satisfaction and organisational outcomes</w:t>
      </w:r>
      <w:r w:rsidR="00B72F89" w:rsidRPr="00E02468">
        <w:rPr>
          <w:rFonts w:ascii="Arial" w:hAnsi="Arial" w:cs="Arial"/>
          <w:sz w:val="24"/>
          <w:szCs w:val="24"/>
          <w:lang w:val="en-GB" w:eastAsia="en-GB"/>
        </w:rPr>
        <w:t>.</w:t>
      </w:r>
    </w:p>
    <w:p w14:paraId="3C7FC7A6" w14:textId="77777777" w:rsidR="00B72F89" w:rsidRPr="00E02468" w:rsidRDefault="00B72F89" w:rsidP="00CD5745">
      <w:pPr>
        <w:pStyle w:val="Heading2"/>
        <w:rPr>
          <w:rFonts w:cs="Arial"/>
          <w:lang w:val="en-GB" w:eastAsia="en-GB"/>
        </w:rPr>
      </w:pPr>
      <w:bookmarkStart w:id="129" w:name="_Toc240932200"/>
      <w:r w:rsidRPr="00E02468">
        <w:rPr>
          <w:rFonts w:cs="Arial"/>
          <w:lang w:val="en-GB" w:eastAsia="en-GB"/>
        </w:rPr>
        <w:t>6.3 Conclusions Against the Research Questions</w:t>
      </w:r>
      <w:bookmarkEnd w:id="129"/>
    </w:p>
    <w:p w14:paraId="608D0F04" w14:textId="0895869C"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RQ1: How do recruitment and selection practices influence employee performance and customer service quality in the UK restaurant industry?</w:t>
      </w:r>
    </w:p>
    <w:p w14:paraId="5BEA5CC7" w14:textId="1D54CBC9" w:rsidR="00CD5745" w:rsidRPr="00E02468" w:rsidRDefault="00CD5745" w:rsidP="00CD5745">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concludes that the recruitment and selection process offering suitable employees is an important basis for employee performance and service quality. Hiring the right people who possess the right technical, interpersonal and customer-service skills enhances the chances that employees will live up to customer expectations. Recruitment is thus mainly linked to AMO Theory (Appelbaum et al., 2000) dimension of Ability.</w:t>
      </w:r>
    </w:p>
    <w:p w14:paraId="40810FEA" w14:textId="2767CA84" w:rsidR="00B72F89" w:rsidRPr="00E02468" w:rsidRDefault="00CD5745"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But recruitment isn't enough to ensure higher quality service. Appropriate training, motivation, management support and opportunities for new employees to apply their capabilities. As a result, H1 is upheld but recruitment is to be part of an integrated HCM system.</w:t>
      </w:r>
    </w:p>
    <w:p w14:paraId="35D049FB" w14:textId="21FE7B0A"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RQ2: How do training and development practices influence employee performance and customer service quality?</w:t>
      </w:r>
    </w:p>
    <w:p w14:paraId="5BC6D71C" w14:textId="11C07AF8" w:rsidR="00CD5745" w:rsidRPr="00E02468" w:rsidRDefault="00CD5745" w:rsidP="00CD5745">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HCM practices of particular importance identified were training and development. Training increases employee knowledge, communication, confidence, and technical skills and complaint-handling skills. These enhancements can help to ensure more consistent and responsive service.</w:t>
      </w:r>
    </w:p>
    <w:p w14:paraId="7D1D07A0" w14:textId="08A6CF16" w:rsidR="00B72F89" w:rsidRPr="00E02468" w:rsidRDefault="00CD5745"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finding also validates the Human Capital Theory since training is an investment in productive knowledge and skills of the employees (Becker, 1964). It also helps with the Ability aspect of AMO Theory (Appelbaum et al., 2000). However, the turnover rate of staff members can impact the return on investment of the training. With the importance of retention and complementary HCM practices, H2 is therefore supported</w:t>
      </w:r>
      <w:r w:rsidR="00B72F89" w:rsidRPr="00E02468">
        <w:rPr>
          <w:rFonts w:ascii="Arial" w:hAnsi="Arial" w:cs="Arial"/>
          <w:sz w:val="24"/>
          <w:szCs w:val="24"/>
          <w:lang w:val="en-GB" w:eastAsia="en-GB"/>
        </w:rPr>
        <w:t>.</w:t>
      </w:r>
    </w:p>
    <w:p w14:paraId="5540F45E" w14:textId="662C9D91"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RQ3: How does employee engagement influence employee performance and customer service quality?</w:t>
      </w:r>
    </w:p>
    <w:p w14:paraId="2AD527D9" w14:textId="0CFEB7AE" w:rsidR="00CD5745" w:rsidRPr="00E02468" w:rsidRDefault="00211FF3" w:rsidP="00CD5745">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findings indicate that there is a correlation between employee engagement and employee commitment, discretionary effort and customer oriented behaviour</w:t>
      </w:r>
      <w:r w:rsidR="00CD5745" w:rsidRPr="00E02468">
        <w:rPr>
          <w:rFonts w:ascii="Arial" w:hAnsi="Arial" w:cs="Arial"/>
          <w:sz w:val="24"/>
          <w:szCs w:val="24"/>
          <w:lang w:val="en-GB" w:eastAsia="en-GB"/>
        </w:rPr>
        <w:t>. Happy workers are more likely to be willing to respond to customers and uphold service levels.</w:t>
      </w:r>
    </w:p>
    <w:p w14:paraId="01D02311" w14:textId="28D16339" w:rsidR="00B72F89" w:rsidRPr="00E02468" w:rsidRDefault="00CD5745" w:rsidP="00CD5745">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Engagement particularly relates to the Motivation and Opportunity components of AMO Theory (Appelbaum et al., 2000). </w:t>
      </w:r>
      <w:r w:rsidR="008254F4" w:rsidRPr="00E02468">
        <w:rPr>
          <w:rFonts w:ascii="Arial" w:hAnsi="Arial" w:cs="Arial"/>
          <w:sz w:val="24"/>
          <w:szCs w:val="24"/>
          <w:lang w:val="en-GB" w:eastAsia="en-GB"/>
        </w:rPr>
        <w:t>However, broader issues like leadership, workload, working conditions and organisational culture have an impact on engagement. There is support for H3 but engagement is more than just formal HR programmes</w:t>
      </w:r>
      <w:r w:rsidRPr="00E02468">
        <w:rPr>
          <w:rFonts w:ascii="Arial" w:hAnsi="Arial" w:cs="Arial"/>
          <w:sz w:val="24"/>
          <w:szCs w:val="24"/>
          <w:lang w:val="en-GB" w:eastAsia="en-GB"/>
        </w:rPr>
        <w:t>.</w:t>
      </w:r>
    </w:p>
    <w:p w14:paraId="65BF73AC" w14:textId="05A1E78B"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RQ4: How do performance management, rewards and retention practices influence employee performance and customer service quality?</w:t>
      </w:r>
    </w:p>
    <w:p w14:paraId="15E37732" w14:textId="416BAF79" w:rsidR="00CD5745" w:rsidRPr="00E02468" w:rsidRDefault="00CD5745" w:rsidP="00CD5745">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Performance management helps maintain consistency of service by setting expectations, giving feedback and developing a need. When reward and recognition systems are seen as fair, employee motivation can be enhanced. Employee retention ensures that organisational knowledge and experienced service capability is maintained.</w:t>
      </w:r>
    </w:p>
    <w:p w14:paraId="6EC50CFA" w14:textId="584985D1" w:rsidR="00B72F89" w:rsidRPr="00E02468" w:rsidRDefault="00CD5745"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But too much of this monitoring can also be stressful and too much of this can be a financial incentive for engagement may not be enough. It's important to remember that retention is a result of good HCM, not just a practice. Overall, H4, H5 and H6 are supported with some qualifications about implementation and context</w:t>
      </w:r>
      <w:r w:rsidR="00B72F89" w:rsidRPr="00E02468">
        <w:rPr>
          <w:rFonts w:ascii="Arial" w:hAnsi="Arial" w:cs="Arial"/>
          <w:sz w:val="24"/>
          <w:szCs w:val="24"/>
          <w:lang w:val="en-GB" w:eastAsia="en-GB"/>
        </w:rPr>
        <w:t>.</w:t>
      </w:r>
    </w:p>
    <w:p w14:paraId="5C60CFCF" w14:textId="29E36906" w:rsidR="00B72F89" w:rsidRPr="00E02468" w:rsidRDefault="00B72F89" w:rsidP="00C77AE8">
      <w:pPr>
        <w:pStyle w:val="Heading2"/>
        <w:rPr>
          <w:rFonts w:cs="Arial"/>
          <w:lang w:val="en-GB" w:eastAsia="en-GB"/>
        </w:rPr>
      </w:pPr>
      <w:bookmarkStart w:id="130" w:name="_Toc240932201"/>
      <w:r w:rsidRPr="00E02468">
        <w:rPr>
          <w:rFonts w:cs="Arial"/>
          <w:lang w:val="en-GB" w:eastAsia="en-GB"/>
        </w:rPr>
        <w:t>6.4 Conclusions Regarding the Overall HCM Relationship</w:t>
      </w:r>
      <w:bookmarkEnd w:id="130"/>
    </w:p>
    <w:p w14:paraId="3D0E276E" w14:textId="1E9B8C81" w:rsidR="00C77AE8" w:rsidRPr="00E02468" w:rsidRDefault="00C77AE8" w:rsidP="00C77AE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support H7 which suggested that effective integration of HCM practices is positively related to employee performance and customer service quality.</w:t>
      </w:r>
    </w:p>
    <w:p w14:paraId="4967C085" w14:textId="4DEC02C9" w:rsidR="00C77AE8" w:rsidRPr="00E02468" w:rsidRDefault="00C77AE8" w:rsidP="00C77AE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It seems that, in the case of the individual practices, they reinforce each other. For instance, recruitment could supply staff with appropriate skills, but they will need training to obtain those skills. Employees can be motivated to use the knowledge by engagement and rewards; they can be directed and given feedback by performance management. Retention then helps the organisation to sustain the fruits of these investments.</w:t>
      </w:r>
    </w:p>
    <w:p w14:paraId="7078976F" w14:textId="55DE2943" w:rsidR="00B72F89" w:rsidRPr="00E02468" w:rsidRDefault="00C77AE8"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integrated view is especially pertinent for restaurants as service delivery relies heavily on front-line staff. benefit more from coordinated HCM systems than from individual HR interventions.</w:t>
      </w:r>
      <w:r w:rsidR="000202C4" w:rsidRPr="00E02468">
        <w:rPr>
          <w:rFonts w:ascii="Arial" w:hAnsi="Arial" w:cs="Arial"/>
          <w:sz w:val="24"/>
          <w:szCs w:val="24"/>
          <w:lang w:val="en-GB" w:eastAsia="en-GB"/>
        </w:rPr>
        <w:t xml:space="preserve"> </w:t>
      </w:r>
      <w:r w:rsidRPr="00E02468">
        <w:rPr>
          <w:rFonts w:ascii="Arial" w:hAnsi="Arial" w:cs="Arial"/>
          <w:sz w:val="24"/>
          <w:szCs w:val="24"/>
          <w:lang w:val="en-GB" w:eastAsia="en-GB"/>
        </w:rPr>
        <w:t>The results also support H8 that shows the employee performance as a significant conceptual mechanism linking HCM practices and customer service quality and customer satisfaction</w:t>
      </w:r>
      <w:r w:rsidR="00B72F89" w:rsidRPr="00E02468">
        <w:rPr>
          <w:rFonts w:ascii="Arial" w:hAnsi="Arial" w:cs="Arial"/>
          <w:sz w:val="24"/>
          <w:szCs w:val="24"/>
          <w:lang w:val="en-GB" w:eastAsia="en-GB"/>
        </w:rPr>
        <w:t>.</w:t>
      </w:r>
    </w:p>
    <w:p w14:paraId="581DACC1" w14:textId="3F83D878" w:rsidR="00B72F89" w:rsidRPr="00E02468" w:rsidRDefault="00B72F89" w:rsidP="00C77AE8">
      <w:pPr>
        <w:pStyle w:val="Heading2"/>
        <w:rPr>
          <w:rFonts w:cs="Arial"/>
          <w:lang w:val="en-GB" w:eastAsia="en-GB"/>
        </w:rPr>
      </w:pPr>
      <w:bookmarkStart w:id="131" w:name="_Toc240932202"/>
      <w:r w:rsidRPr="00E02468">
        <w:rPr>
          <w:rFonts w:cs="Arial"/>
          <w:lang w:val="en-GB" w:eastAsia="en-GB"/>
        </w:rPr>
        <w:t>6.5 Contribution to the Research Gap</w:t>
      </w:r>
      <w:bookmarkEnd w:id="131"/>
    </w:p>
    <w:p w14:paraId="621B2BF5" w14:textId="7D92A852" w:rsidR="00C77AE8" w:rsidRPr="00E02468" w:rsidRDefault="00C77AE8" w:rsidP="00C77AE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makes contributions to solving the identified research gap in Chapter 1 in the following ways:</w:t>
      </w:r>
    </w:p>
    <w:p w14:paraId="07484D9A" w14:textId="753547EB" w:rsidR="00C77AE8" w:rsidRPr="00E02468" w:rsidRDefault="00C77AE8" w:rsidP="00C77AE8">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It is the first to target specifically the restaurant sector in the UK, not making the assumption that hotels and tourism and restaurants are one and the same. This gives a more contested awareness of service challenges relating to employees.</w:t>
      </w:r>
    </w:p>
    <w:p w14:paraId="25981367" w14:textId="7849BD93" w:rsidR="00B72F89" w:rsidRPr="00E02468" w:rsidRDefault="00C77AE8"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 the study brings together four theoretical perspectives. Human Capital Theory is the theory about the value of investing in employee ability, RBV is the theory about how employees can become strategic resources of the organisation, AMO Theory is the theory that helps understanding the mechanism that organisational HCM practices have on employee performance and SERVQUAL is the theory that helps understanding service quality from the point of view of customers that are in front of the organisation's face.</w:t>
      </w:r>
    </w:p>
    <w:p w14:paraId="1AB0330B" w14:textId="3F66BBBB"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the study examines six HCM practices collectively. This is important because the findings indicate that recruitment, training, engagement, performance management, rewards and retention are interdependent rather than independent mechanisms.</w:t>
      </w:r>
    </w:p>
    <w:p w14:paraId="2B86C5B8" w14:textId="79016D8C"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Finally, the study contributes through the qualitative synthesis of secondary evidence. It brings together academic and authoritative industry evidence to identify common patterns, di</w:t>
      </w:r>
      <w:r w:rsidR="002F0489" w:rsidRPr="00E02468">
        <w:rPr>
          <w:rFonts w:ascii="Arial" w:hAnsi="Arial" w:cs="Arial"/>
          <w:sz w:val="24"/>
          <w:szCs w:val="24"/>
          <w:lang w:val="en-GB" w:eastAsia="en-GB"/>
        </w:rPr>
        <w:t>fferences and contextual issues</w:t>
      </w:r>
    </w:p>
    <w:p w14:paraId="1F4B3DD2" w14:textId="6B760A07"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study therefore addresses rather than completely eliminates the research gap. Further restaurant-specific primary research remains necessary to strengthen the empirical evidence.</w:t>
      </w:r>
    </w:p>
    <w:p w14:paraId="2957B904" w14:textId="4394EF53" w:rsidR="00B72F89" w:rsidRPr="00E02468" w:rsidRDefault="00B72F89" w:rsidP="002F0489">
      <w:pPr>
        <w:pStyle w:val="Heading2"/>
        <w:rPr>
          <w:rFonts w:cs="Arial"/>
          <w:lang w:val="en-GB" w:eastAsia="en-GB"/>
        </w:rPr>
      </w:pPr>
      <w:bookmarkStart w:id="132" w:name="_Toc240932203"/>
      <w:r w:rsidRPr="00E02468">
        <w:rPr>
          <w:rFonts w:cs="Arial"/>
          <w:lang w:val="en-GB" w:eastAsia="en-GB"/>
        </w:rPr>
        <w:t>6.6 Theoretical Contribution</w:t>
      </w:r>
      <w:bookmarkEnd w:id="132"/>
    </w:p>
    <w:p w14:paraId="2B34FCF1" w14:textId="3C5ED362"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dissertation makes se</w:t>
      </w:r>
      <w:r w:rsidR="002F0489" w:rsidRPr="00E02468">
        <w:rPr>
          <w:rFonts w:ascii="Arial" w:hAnsi="Arial" w:cs="Arial"/>
          <w:sz w:val="24"/>
          <w:szCs w:val="24"/>
          <w:lang w:val="en-GB" w:eastAsia="en-GB"/>
        </w:rPr>
        <w:t>veral theoretical contributions</w:t>
      </w:r>
    </w:p>
    <w:p w14:paraId="4CBD0174" w14:textId="3DC9A504"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Human Capital Theory</w:t>
      </w:r>
    </w:p>
    <w:p w14:paraId="78E4FFF1" w14:textId="5EAF23BD"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findings support Becker's (1964) proposition that investment in employee knowledge and skills can increase productive capacity. Training and development were particularly consistent with this perspective.</w:t>
      </w:r>
    </w:p>
    <w:p w14:paraId="0261893F" w14:textId="77A77387"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Resource-Based View</w:t>
      </w:r>
    </w:p>
    <w:p w14:paraId="510C9F6B" w14:textId="7C3060CE"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findings also support Barney's (1991) argument that valuable organisational resources can contribute to competitive advantage. Experienced, skilled and committed employees can represent valuable resources because their knowledge and service capabilities may be difficult for competitors to replicate.</w:t>
      </w:r>
    </w:p>
    <w:p w14:paraId="55557394" w14:textId="7B6F75DF"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AMO Theory</w:t>
      </w:r>
    </w:p>
    <w:p w14:paraId="0F0DC927" w14:textId="28F2D310" w:rsidR="00B72F89" w:rsidRPr="00E02468" w:rsidRDefault="00B72F89"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AMO Theory provides the clearest explanation of how HCM practices translate into employee performance. Recruitment and training develop Ability, rewards and engagement influence Motivation, while supportive management and employee involvement provide Opportunity (Appelbaum et al., 2000).</w:t>
      </w:r>
    </w:p>
    <w:p w14:paraId="29D2838F" w14:textId="60A87D22"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SERVQUAL</w:t>
      </w:r>
    </w:p>
    <w:p w14:paraId="1E86DA7C" w14:textId="77777777" w:rsidR="00A551AC" w:rsidRPr="00E02468" w:rsidRDefault="00B72F89" w:rsidP="00A551A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 xml:space="preserve">SERVQUAL provides the customer-facing component of the framework. </w:t>
      </w:r>
      <w:r w:rsidR="00A551AC" w:rsidRPr="00E02468">
        <w:rPr>
          <w:rFonts w:ascii="Arial" w:hAnsi="Arial" w:cs="Arial"/>
          <w:sz w:val="24"/>
          <w:szCs w:val="24"/>
          <w:lang w:val="en-GB" w:eastAsia="en-GB"/>
        </w:rPr>
        <w:t>Reliability, responsiveness, assurance and empathy are other factors which may affect the performance of the employees, and reliability, responsiveness, assurance and empathy along with tangibles also affect the overall evaluations by customers (Parasuraman, Zeithaml and Berry, 1988).</w:t>
      </w:r>
    </w:p>
    <w:p w14:paraId="0E2FA65C" w14:textId="059ACD2A" w:rsidR="00B72F89" w:rsidRPr="00E02468" w:rsidRDefault="00A551AC" w:rsidP="00A551AC">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Overall, the study illustrates the potential of integrating these theories and not just using one particular theory</w:t>
      </w:r>
      <w:r w:rsidR="00B72F89" w:rsidRPr="00E02468">
        <w:rPr>
          <w:rFonts w:ascii="Arial" w:hAnsi="Arial" w:cs="Arial"/>
          <w:sz w:val="24"/>
          <w:szCs w:val="24"/>
          <w:lang w:val="en-GB" w:eastAsia="en-GB"/>
        </w:rPr>
        <w:t>.</w:t>
      </w:r>
    </w:p>
    <w:p w14:paraId="0EB499A4" w14:textId="326EEB4D" w:rsidR="00B72F89" w:rsidRPr="00E02468" w:rsidRDefault="00B72F89" w:rsidP="002F0489">
      <w:pPr>
        <w:pStyle w:val="Heading2"/>
        <w:rPr>
          <w:rFonts w:cs="Arial"/>
          <w:lang w:val="en-GB" w:eastAsia="en-GB"/>
        </w:rPr>
      </w:pPr>
      <w:bookmarkStart w:id="133" w:name="_Toc240932204"/>
      <w:r w:rsidRPr="00E02468">
        <w:rPr>
          <w:rFonts w:cs="Arial"/>
          <w:lang w:val="en-GB" w:eastAsia="en-GB"/>
        </w:rPr>
        <w:t>6.7 Practical Recommendations</w:t>
      </w:r>
      <w:bookmarkEnd w:id="133"/>
    </w:p>
    <w:p w14:paraId="0A127DAC" w14:textId="51649929" w:rsidR="00B72F89" w:rsidRPr="00E02468" w:rsidRDefault="000B2848" w:rsidP="00B72F89">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following recommendations are given for restaurant managers in the UK based on the findings</w:t>
      </w:r>
      <w:r w:rsidR="00B72F89" w:rsidRPr="00E02468">
        <w:rPr>
          <w:rFonts w:ascii="Arial" w:hAnsi="Arial" w:cs="Arial"/>
          <w:sz w:val="24"/>
          <w:szCs w:val="24"/>
          <w:lang w:val="en-GB" w:eastAsia="en-GB"/>
        </w:rPr>
        <w:t>.</w:t>
      </w:r>
    </w:p>
    <w:p w14:paraId="00C93F37" w14:textId="2DE0A7EE" w:rsidR="00B72F89" w:rsidRPr="00E02468" w:rsidRDefault="00B72F89" w:rsidP="00B72F89">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1. Recruit for service orientation</w:t>
      </w:r>
    </w:p>
    <w:p w14:paraId="3A93A21B"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Communication skills, interpersonal skills, adaptability and customer-service orientation, in conjunction with technical skills, should be part of the recruitment criteria.</w:t>
      </w:r>
    </w:p>
    <w:p w14:paraId="4CBEB023" w14:textId="7E601BF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2. Dedicate to ongoing training.</w:t>
      </w:r>
    </w:p>
    <w:p w14:paraId="4A780FBF"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Structured induction and continuous training on the requirements of dealing with customers, communicating with customers, responding to customer complaints and service requirements should be made available to restaurants.</w:t>
      </w:r>
    </w:p>
    <w:p w14:paraId="7B00F4D7" w14:textId="7777777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3. Strengthen employee engagement</w:t>
      </w:r>
    </w:p>
    <w:p w14:paraId="6EBDCFDE"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Managers should listen to, communicate with and involve employees in operational decisions. Staff must have the sense that their efforts are appreciated and valued.</w:t>
      </w:r>
    </w:p>
    <w:p w14:paraId="02DC69EB" w14:textId="52951182"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4. Adopt developmental performance management.</w:t>
      </w:r>
    </w:p>
    <w:p w14:paraId="5CD80FFF" w14:textId="1E2EF5E3"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Effective performance management should involve giving positive feedback, coaching and development, not over managing. There should be a clear standard of service for customers, but some room for staff discretion.</w:t>
      </w:r>
    </w:p>
    <w:p w14:paraId="0A9BBBA4" w14:textId="77777777" w:rsidR="00BA61A1" w:rsidRPr="00E02468" w:rsidRDefault="00BA61A1" w:rsidP="00BA61A1">
      <w:pPr>
        <w:spacing w:before="240" w:line="360" w:lineRule="auto"/>
        <w:jc w:val="both"/>
        <w:rPr>
          <w:rFonts w:ascii="Arial" w:hAnsi="Arial" w:cs="Arial"/>
          <w:sz w:val="24"/>
          <w:szCs w:val="24"/>
          <w:lang w:val="en-GB" w:eastAsia="en-GB"/>
        </w:rPr>
      </w:pPr>
    </w:p>
    <w:p w14:paraId="67EA893F" w14:textId="7777777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5. Mix the financial and non-financial incentives.</w:t>
      </w:r>
    </w:p>
    <w:p w14:paraId="2BA01E0A"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Fair compensation must be balanced with recognition, promotion, growth and appreciation for employees' efforts.</w:t>
      </w:r>
    </w:p>
    <w:p w14:paraId="38AD2B8B" w14:textId="7777777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6. Develop retention strategies</w:t>
      </w:r>
    </w:p>
    <w:p w14:paraId="666C3907"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Restaurants need to pinpoint the primary reasons for employee churn and tackle problems of lack of promotion opportunities, management support needed, and inadequate working environment. Maintaining skilled staff can ensure the preservation of organisational knowledge and service uniformity.</w:t>
      </w:r>
    </w:p>
    <w:p w14:paraId="60D4B0F6" w14:textId="7777777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7. Monitor customer-service quality</w:t>
      </w:r>
    </w:p>
    <w:p w14:paraId="5A95AB07" w14:textId="77777777" w:rsidR="00BA61A1"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Service should be routinely evaluated using service dimensions as outlined in SERVQUAL, especially reliability, responsiveness, the assurance and empathy.</w:t>
      </w:r>
    </w:p>
    <w:p w14:paraId="3ACF0755" w14:textId="77777777" w:rsidR="00BA61A1" w:rsidRPr="00E02468" w:rsidRDefault="00BA61A1" w:rsidP="00BA61A1">
      <w:pPr>
        <w:spacing w:before="240" w:line="360" w:lineRule="auto"/>
        <w:jc w:val="both"/>
        <w:rPr>
          <w:rFonts w:ascii="Arial" w:hAnsi="Arial" w:cs="Arial"/>
          <w:b/>
          <w:sz w:val="24"/>
          <w:szCs w:val="24"/>
          <w:lang w:val="en-GB" w:eastAsia="en-GB"/>
        </w:rPr>
      </w:pPr>
      <w:r w:rsidRPr="00E02468">
        <w:rPr>
          <w:rFonts w:ascii="Arial" w:hAnsi="Arial" w:cs="Arial"/>
          <w:b/>
          <w:sz w:val="24"/>
          <w:szCs w:val="24"/>
          <w:lang w:val="en-GB" w:eastAsia="en-GB"/>
        </w:rPr>
        <w:t>8. Manage HCM as an integrated system</w:t>
      </w:r>
    </w:p>
    <w:p w14:paraId="6044952B" w14:textId="4734610B" w:rsidR="00B72F89" w:rsidRPr="00E02468" w:rsidRDefault="00BA61A1" w:rsidP="00BA61A1">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most critical piece of advice is that restaurants shouldn't address each HCM practice in isolation. The Recruitment, Training, Engagement, Performance Management, Rewards and Retention systems should be in line with the customer service goals of the organisation</w:t>
      </w:r>
      <w:r w:rsidR="00B72F89" w:rsidRPr="00E02468">
        <w:rPr>
          <w:rFonts w:ascii="Arial" w:hAnsi="Arial" w:cs="Arial"/>
          <w:sz w:val="24"/>
          <w:szCs w:val="24"/>
          <w:lang w:val="en-GB" w:eastAsia="en-GB"/>
        </w:rPr>
        <w:t>.</w:t>
      </w:r>
    </w:p>
    <w:p w14:paraId="34C8B240" w14:textId="7C37F9EF" w:rsidR="00B72F89" w:rsidRPr="00E02468" w:rsidRDefault="00B72F89" w:rsidP="002F0489">
      <w:pPr>
        <w:pStyle w:val="Heading2"/>
        <w:rPr>
          <w:rFonts w:cs="Arial"/>
          <w:lang w:val="en-GB" w:eastAsia="en-GB"/>
        </w:rPr>
      </w:pPr>
      <w:bookmarkStart w:id="134" w:name="_Toc240932205"/>
      <w:r w:rsidRPr="00E02468">
        <w:rPr>
          <w:rFonts w:cs="Arial"/>
          <w:lang w:val="en-GB" w:eastAsia="en-GB"/>
        </w:rPr>
        <w:t>6.8 Limitations of the Study</w:t>
      </w:r>
      <w:bookmarkEnd w:id="134"/>
    </w:p>
    <w:p w14:paraId="28CF799A"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Some restrictions are noted. The first one was that the research was based on secondary data. As a result, it was not possible to directly observe, hear and feel the experiences, perceptions and expectations of restaurant employees and customers in the United Kingdom.</w:t>
      </w:r>
    </w:p>
    <w:p w14:paraId="3A78D91F"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 some studies were of poor quality and lacked focus. Since various researchers have their own definitions of HCM, employee performance or service quality, comparisons are difficult.</w:t>
      </w:r>
    </w:p>
    <w:p w14:paraId="492E3B60"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there is extensive research into hospitality that takes place outside of the country or across the hospitality industry. Data from hotels or other markets outside the UK may not be entirely applicable to restaurants in the UK.</w:t>
      </w:r>
    </w:p>
    <w:p w14:paraId="19ED475F"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Qualitative thematic analysis is lastly researcher interpretation. Interpretation was not fully detached from the researcher although transparent coding and source selection and source comparison were employed to enhance rigour.</w:t>
      </w:r>
    </w:p>
    <w:p w14:paraId="3ED7CD32"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should not be interpreted as statistical generalizable findings because of these limitations and should be recognized as a qualitative synthesis of the existing evidence.</w:t>
      </w:r>
    </w:p>
    <w:p w14:paraId="77E7CE27" w14:textId="77777777" w:rsidR="00983B6B" w:rsidRPr="00E02468" w:rsidRDefault="00983B6B" w:rsidP="00983B6B">
      <w:pPr>
        <w:pStyle w:val="Heading2"/>
        <w:rPr>
          <w:rFonts w:cs="Arial"/>
          <w:lang w:val="en-GB" w:eastAsia="en-GB"/>
        </w:rPr>
      </w:pPr>
      <w:bookmarkStart w:id="135" w:name="_Toc240932206"/>
      <w:r w:rsidRPr="00E02468">
        <w:rPr>
          <w:rFonts w:cs="Arial"/>
          <w:lang w:val="en-GB" w:eastAsia="en-GB"/>
        </w:rPr>
        <w:t>6.9 Recommendations for Future Research</w:t>
      </w:r>
      <w:bookmarkEnd w:id="135"/>
    </w:p>
    <w:p w14:paraId="12DCA9F4"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These limitations can be overcome in future research by using primary empirical research with UK restaurant organisations.</w:t>
      </w:r>
    </w:p>
    <w:p w14:paraId="3670ABD1"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first is that quantitative research could validate the relationships hypothesized in the conceptual framework with greater numbers of restaurant staff members and customers. The role of employee performance on the link between HCM practices and service quality could be explored using statistical methodology like regression or structural equation modelling.</w:t>
      </w:r>
    </w:p>
    <w:p w14:paraId="1B7C30EB"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Secondly, qualitative interviews with restaurant employees and managers may help to gain a deeper understanding of the reasons for the success or failure of specific practices in the HCM.</w:t>
      </w:r>
    </w:p>
    <w:p w14:paraId="066D5F7F"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Third, future studies might be conducted to compare independent restaurants to large restaurant chains to see if size of the organisation impacts the effectiveness of HCM.</w:t>
      </w:r>
    </w:p>
    <w:p w14:paraId="2CF5407D"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Fourth, longitudinal studies can be conducted to determine if long-term changes in employee performance and customer service are created as a result of HCM investments.</w:t>
      </w:r>
    </w:p>
    <w:p w14:paraId="57B7BB79"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Last, but not least, future research should take into account the developments in today's world, like digital ordering, AI, online restaurants ratings and the changed expectations of employees, as these are reshaping restaurant service delivery.</w:t>
      </w:r>
    </w:p>
    <w:p w14:paraId="3E9FF669" w14:textId="77777777" w:rsidR="00983B6B" w:rsidRPr="00E02468" w:rsidRDefault="00983B6B" w:rsidP="00983B6B">
      <w:pPr>
        <w:pStyle w:val="Heading2"/>
        <w:rPr>
          <w:rFonts w:cs="Arial"/>
          <w:lang w:val="en-GB" w:eastAsia="en-GB"/>
        </w:rPr>
      </w:pPr>
      <w:bookmarkStart w:id="136" w:name="_Toc240932207"/>
      <w:r w:rsidRPr="00E02468">
        <w:rPr>
          <w:rFonts w:cs="Arial"/>
          <w:lang w:val="en-GB" w:eastAsia="en-GB"/>
        </w:rPr>
        <w:t>6.10 Final Conclusion</w:t>
      </w:r>
      <w:bookmarkEnd w:id="136"/>
    </w:p>
    <w:p w14:paraId="19BCF1BD"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This dissertation finds that humans in the UK restaurant sector are a critical factor in the delivery of service quality. Good Human Capital Management can enhance the capability, motivation, commitment, and stability of employees, and this can lead to better service performance of the employees who are in front of the customers. The evidence also emphasises the value of training, engagement and the right person, at the right time, at the right place and right price, and that rewards and performance management can be most effective when based on principles of fairness and development.</w:t>
      </w:r>
    </w:p>
    <w:p w14:paraId="0092A01A"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main contribution of the study is the integrated explanation of the correlation between human capital and customer outcomes:</w:t>
      </w:r>
    </w:p>
    <w:p w14:paraId="1414C104" w14:textId="77777777" w:rsidR="00983B6B"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Good HCM &gt; Higher employee performance &gt; Higher quality of customer service &gt; Higher satisfaction level from customers &gt; Higher restaurant performance.</w:t>
      </w:r>
    </w:p>
    <w:p w14:paraId="7F5897FE" w14:textId="1D99F14E" w:rsidR="00B72F89" w:rsidRPr="00E02468" w:rsidRDefault="00983B6B" w:rsidP="00983B6B">
      <w:pPr>
        <w:spacing w:before="240" w:line="360" w:lineRule="auto"/>
        <w:jc w:val="both"/>
        <w:rPr>
          <w:rFonts w:ascii="Arial" w:hAnsi="Arial" w:cs="Arial"/>
          <w:sz w:val="24"/>
          <w:szCs w:val="24"/>
          <w:lang w:val="en-GB" w:eastAsia="en-GB"/>
        </w:rPr>
      </w:pPr>
      <w:r w:rsidRPr="00E02468">
        <w:rPr>
          <w:rFonts w:ascii="Arial" w:hAnsi="Arial" w:cs="Arial"/>
          <w:sz w:val="24"/>
          <w:szCs w:val="24"/>
          <w:lang w:val="en-GB" w:eastAsia="en-GB"/>
        </w:rPr>
        <w:t>The results largely confirm the Human Capital Theory, RBV and AMO Theory and SERVQUAL is a good tool for gaining insight into the manifestation of the employees' performance in customer service. Therefore, UK restaurants aiming to gain a sustainable competitive advantage should not only consider employees as costs of labour, but as strategic human capital whose development, motivation and retention are crucial in providing customers with consistently high quality experiences</w:t>
      </w:r>
      <w:r w:rsidR="00B72F89" w:rsidRPr="00E02468">
        <w:rPr>
          <w:rFonts w:ascii="Arial" w:hAnsi="Arial" w:cs="Arial"/>
          <w:sz w:val="24"/>
          <w:szCs w:val="24"/>
          <w:lang w:val="en-GB" w:eastAsia="en-GB"/>
        </w:rPr>
        <w:t>.</w:t>
      </w:r>
    </w:p>
    <w:p w14:paraId="04CBE6FC" w14:textId="77777777" w:rsidR="00B72F89" w:rsidRPr="00E02468" w:rsidRDefault="00B72F89" w:rsidP="00B72F89">
      <w:pPr>
        <w:spacing w:line="360" w:lineRule="auto"/>
        <w:jc w:val="both"/>
        <w:rPr>
          <w:rFonts w:ascii="Arial" w:hAnsi="Arial" w:cs="Arial"/>
          <w:sz w:val="24"/>
          <w:szCs w:val="24"/>
          <w:lang w:val="en-GB" w:eastAsia="en-GB"/>
        </w:rPr>
      </w:pPr>
    </w:p>
    <w:p w14:paraId="23F777D9" w14:textId="3117FE17" w:rsidR="00B72F89" w:rsidRPr="00E02468" w:rsidRDefault="00B72F89" w:rsidP="00B3753B">
      <w:pPr>
        <w:spacing w:before="240" w:line="360" w:lineRule="auto"/>
        <w:jc w:val="both"/>
        <w:rPr>
          <w:rFonts w:ascii="Arial" w:hAnsi="Arial" w:cs="Arial"/>
          <w:sz w:val="24"/>
          <w:szCs w:val="24"/>
          <w:lang w:val="en-GB" w:eastAsia="en-GB"/>
        </w:rPr>
      </w:pPr>
    </w:p>
    <w:p w14:paraId="007B7B45" w14:textId="77777777" w:rsidR="00A51EBE" w:rsidRPr="00E02468" w:rsidRDefault="00A51EBE" w:rsidP="00B3753B">
      <w:pPr>
        <w:spacing w:before="240" w:line="360" w:lineRule="auto"/>
        <w:jc w:val="both"/>
        <w:rPr>
          <w:rFonts w:ascii="Arial" w:hAnsi="Arial" w:cs="Arial"/>
          <w:sz w:val="24"/>
          <w:szCs w:val="24"/>
          <w:lang w:val="en-GB" w:eastAsia="en-GB"/>
        </w:rPr>
      </w:pPr>
    </w:p>
    <w:p w14:paraId="028DA526" w14:textId="6C2CD6C6" w:rsidR="00A65CB5" w:rsidRPr="00E02468" w:rsidRDefault="00A65CB5" w:rsidP="00B3753B">
      <w:pPr>
        <w:spacing w:before="240" w:line="360" w:lineRule="auto"/>
        <w:jc w:val="both"/>
        <w:rPr>
          <w:rFonts w:ascii="Arial" w:hAnsi="Arial" w:cs="Arial"/>
          <w:sz w:val="24"/>
          <w:szCs w:val="24"/>
          <w:lang w:val="en-GB" w:eastAsia="en-GB"/>
        </w:rPr>
      </w:pPr>
    </w:p>
    <w:p w14:paraId="396E4C4D" w14:textId="3AC0B380" w:rsidR="00A65CB5" w:rsidRPr="00E02468" w:rsidRDefault="00A65CB5" w:rsidP="00B3753B">
      <w:pPr>
        <w:spacing w:before="240" w:line="360" w:lineRule="auto"/>
        <w:jc w:val="both"/>
        <w:rPr>
          <w:rFonts w:ascii="Arial" w:hAnsi="Arial" w:cs="Arial"/>
          <w:sz w:val="24"/>
          <w:szCs w:val="24"/>
          <w:lang w:val="en-GB" w:eastAsia="en-GB"/>
        </w:rPr>
      </w:pPr>
    </w:p>
    <w:p w14:paraId="0DB30F31" w14:textId="77777777" w:rsidR="00A65CB5" w:rsidRPr="00E02468" w:rsidRDefault="00A65CB5" w:rsidP="00B3753B">
      <w:pPr>
        <w:spacing w:before="240" w:line="360" w:lineRule="auto"/>
        <w:jc w:val="both"/>
        <w:rPr>
          <w:rFonts w:ascii="Arial" w:hAnsi="Arial" w:cs="Arial"/>
          <w:sz w:val="24"/>
          <w:szCs w:val="24"/>
          <w:lang w:val="en-GB" w:eastAsia="en-GB"/>
        </w:rPr>
      </w:pPr>
    </w:p>
    <w:p w14:paraId="12658F10" w14:textId="3B053CE2" w:rsidR="007D1D57" w:rsidRPr="00E02468" w:rsidRDefault="007D1D57" w:rsidP="007D1D57">
      <w:pPr>
        <w:rPr>
          <w:rFonts w:ascii="Arial" w:hAnsi="Arial" w:cs="Arial"/>
          <w:lang w:val="en-GB" w:eastAsia="en-GB"/>
        </w:rPr>
      </w:pPr>
    </w:p>
    <w:p w14:paraId="52FD8CEE" w14:textId="5A02CEEC" w:rsidR="00BA390A" w:rsidRPr="00E02468" w:rsidRDefault="00BA390A" w:rsidP="007D1D57">
      <w:pPr>
        <w:rPr>
          <w:rFonts w:ascii="Arial" w:hAnsi="Arial" w:cs="Arial"/>
          <w:lang w:val="en-GB" w:eastAsia="en-GB"/>
        </w:rPr>
      </w:pPr>
    </w:p>
    <w:p w14:paraId="38C91FC8" w14:textId="030BD156" w:rsidR="000202C4" w:rsidRPr="00E02468" w:rsidRDefault="000202C4" w:rsidP="007D1D57">
      <w:pPr>
        <w:rPr>
          <w:rFonts w:ascii="Arial" w:hAnsi="Arial" w:cs="Arial"/>
          <w:lang w:val="en-GB" w:eastAsia="en-GB"/>
        </w:rPr>
      </w:pPr>
    </w:p>
    <w:p w14:paraId="776A855D" w14:textId="44BF7726" w:rsidR="000202C4" w:rsidRPr="00E02468" w:rsidRDefault="000202C4" w:rsidP="007D1D57">
      <w:pPr>
        <w:rPr>
          <w:rFonts w:ascii="Arial" w:hAnsi="Arial" w:cs="Arial"/>
          <w:lang w:val="en-GB" w:eastAsia="en-GB"/>
        </w:rPr>
      </w:pPr>
    </w:p>
    <w:p w14:paraId="004AC526" w14:textId="3B4D6571" w:rsidR="000202C4" w:rsidRPr="00E02468" w:rsidRDefault="000202C4" w:rsidP="007D1D57">
      <w:pPr>
        <w:rPr>
          <w:rFonts w:ascii="Arial" w:hAnsi="Arial" w:cs="Arial"/>
          <w:lang w:val="en-GB" w:eastAsia="en-GB"/>
        </w:rPr>
      </w:pPr>
    </w:p>
    <w:p w14:paraId="23396A4F" w14:textId="6B99D6AF" w:rsidR="000202C4" w:rsidRPr="00E02468" w:rsidRDefault="000202C4" w:rsidP="007D1D57">
      <w:pPr>
        <w:rPr>
          <w:rFonts w:ascii="Arial" w:hAnsi="Arial" w:cs="Arial"/>
          <w:lang w:val="en-GB" w:eastAsia="en-GB"/>
        </w:rPr>
      </w:pPr>
    </w:p>
    <w:p w14:paraId="07CDEAD1" w14:textId="613B00FD" w:rsidR="000202C4" w:rsidRPr="00E02468" w:rsidRDefault="000202C4" w:rsidP="007D1D57">
      <w:pPr>
        <w:rPr>
          <w:rFonts w:ascii="Arial" w:hAnsi="Arial" w:cs="Arial"/>
          <w:lang w:val="en-GB" w:eastAsia="en-GB"/>
        </w:rPr>
      </w:pPr>
    </w:p>
    <w:p w14:paraId="2FA1E46B" w14:textId="77777777" w:rsidR="000202C4" w:rsidRPr="00E02468" w:rsidRDefault="000202C4" w:rsidP="007D1D57">
      <w:pPr>
        <w:rPr>
          <w:rFonts w:ascii="Arial" w:hAnsi="Arial" w:cs="Arial"/>
          <w:lang w:val="en-GB" w:eastAsia="en-GB"/>
        </w:rPr>
      </w:pPr>
    </w:p>
    <w:p w14:paraId="227BCB07" w14:textId="566913FB" w:rsidR="00BA390A" w:rsidRPr="00E02468" w:rsidRDefault="00BA390A" w:rsidP="007D1D57">
      <w:pPr>
        <w:rPr>
          <w:rFonts w:ascii="Arial" w:hAnsi="Arial" w:cs="Arial"/>
          <w:lang w:val="en-GB" w:eastAsia="en-GB"/>
        </w:rPr>
      </w:pPr>
    </w:p>
    <w:p w14:paraId="44A6ACE2" w14:textId="48341DBC" w:rsidR="008F14EB" w:rsidRPr="00E02468" w:rsidRDefault="008F14EB" w:rsidP="008F14EB">
      <w:pPr>
        <w:pStyle w:val="Heading1"/>
        <w:rPr>
          <w:rFonts w:eastAsia="Times New Roman" w:cs="Arial"/>
          <w:lang w:val="en-GB" w:eastAsia="en-GB"/>
        </w:rPr>
      </w:pPr>
      <w:bookmarkStart w:id="137" w:name="_Toc240932208"/>
      <w:r w:rsidRPr="00E02468">
        <w:rPr>
          <w:rFonts w:eastAsia="Times New Roman" w:cs="Arial"/>
          <w:lang w:val="en-GB" w:eastAsia="en-GB"/>
        </w:rPr>
        <w:t>References</w:t>
      </w:r>
      <w:bookmarkEnd w:id="137"/>
      <w:r w:rsidRPr="00E02468">
        <w:rPr>
          <w:rFonts w:eastAsia="Times New Roman" w:cs="Arial"/>
          <w:lang w:val="en-GB" w:eastAsia="en-GB"/>
        </w:rPr>
        <w:t xml:space="preserve"> </w:t>
      </w:r>
    </w:p>
    <w:p w14:paraId="01CD7FBA" w14:textId="5CD60CE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Abu Hussein, A.M., Mohammad, A.M., Alheet, A., Abu Joma, M.H. and Abu Lehyeh, S. (2023) ‘Relationships between human resource management practices, employee satisfaction, service quality, and employee service behavior in the hotel industry’, </w:t>
      </w:r>
      <w:r w:rsidRPr="00E02468">
        <w:rPr>
          <w:rFonts w:ascii="Arial" w:eastAsia="Times New Roman" w:hAnsi="Arial" w:cs="Arial"/>
          <w:i/>
          <w:iCs/>
          <w:sz w:val="24"/>
          <w:szCs w:val="24"/>
          <w:lang w:val="en-GB" w:eastAsia="en-GB"/>
        </w:rPr>
        <w:t>Problems and Perspectives in Management</w:t>
      </w:r>
      <w:r w:rsidRPr="00E02468">
        <w:rPr>
          <w:rFonts w:ascii="Arial" w:eastAsia="Times New Roman" w:hAnsi="Arial" w:cs="Arial"/>
          <w:sz w:val="24"/>
          <w:szCs w:val="24"/>
          <w:lang w:val="en-GB" w:eastAsia="en-GB"/>
        </w:rPr>
        <w:t>, 21(1), pp. 242–252.</w:t>
      </w:r>
      <w:r w:rsidRPr="00E02468">
        <w:rPr>
          <w:rFonts w:ascii="Arial" w:eastAsia="Times New Roman" w:hAnsi="Arial" w:cs="Arial"/>
          <w:sz w:val="24"/>
          <w:szCs w:val="24"/>
          <w:lang w:val="en-GB" w:eastAsia="en-GB"/>
        </w:rPr>
        <w:br/>
        <w:t>(</w:t>
      </w:r>
      <w:hyperlink r:id="rId15" w:history="1">
        <w:r w:rsidRPr="00E02468">
          <w:rPr>
            <w:rFonts w:ascii="Arial" w:eastAsia="Times New Roman" w:hAnsi="Arial" w:cs="Arial"/>
            <w:color w:val="0000FF"/>
            <w:sz w:val="24"/>
            <w:szCs w:val="24"/>
            <w:u w:val="single"/>
            <w:lang w:val="en-GB" w:eastAsia="en-GB"/>
          </w:rPr>
          <w:t>https://doi.org/10.21511/ppm.21(1).2023.21</w:t>
        </w:r>
      </w:hyperlink>
      <w:r w:rsidRPr="00E02468">
        <w:rPr>
          <w:rFonts w:ascii="Arial" w:eastAsia="Times New Roman" w:hAnsi="Arial" w:cs="Arial"/>
          <w:sz w:val="24"/>
          <w:szCs w:val="24"/>
          <w:lang w:val="en-GB" w:eastAsia="en-GB"/>
        </w:rPr>
        <w:t>)</w:t>
      </w:r>
    </w:p>
    <w:p w14:paraId="43A9C628" w14:textId="37FE885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Afsar, B., Umrani, W.A. and Khan, A. (2020) ‘Does transformational leadership foster innovative work behavior? The roles of intrinsic motivation, psychological safety and creative process engagement’, </w:t>
      </w:r>
      <w:r w:rsidRPr="00E02468">
        <w:rPr>
          <w:rFonts w:ascii="Arial" w:eastAsia="Times New Roman" w:hAnsi="Arial" w:cs="Arial"/>
          <w:i/>
          <w:iCs/>
          <w:sz w:val="24"/>
          <w:szCs w:val="24"/>
          <w:lang w:val="en-GB" w:eastAsia="en-GB"/>
        </w:rPr>
        <w:t>European Journal of Innovation Management</w:t>
      </w:r>
      <w:r w:rsidRPr="00E02468">
        <w:rPr>
          <w:rFonts w:ascii="Arial" w:eastAsia="Times New Roman" w:hAnsi="Arial" w:cs="Arial"/>
          <w:sz w:val="24"/>
          <w:szCs w:val="24"/>
          <w:lang w:val="en-GB" w:eastAsia="en-GB"/>
        </w:rPr>
        <w:t>, 23(1), pp. 124–145.</w:t>
      </w:r>
      <w:r w:rsidRPr="00E02468">
        <w:rPr>
          <w:rFonts w:ascii="Arial" w:eastAsia="Times New Roman" w:hAnsi="Arial" w:cs="Arial"/>
          <w:sz w:val="24"/>
          <w:szCs w:val="24"/>
          <w:lang w:val="en-GB" w:eastAsia="en-GB"/>
        </w:rPr>
        <w:br/>
        <w:t>(</w:t>
      </w:r>
      <w:hyperlink r:id="rId16" w:history="1">
        <w:r w:rsidRPr="00E02468">
          <w:rPr>
            <w:rFonts w:ascii="Arial" w:eastAsia="Times New Roman" w:hAnsi="Arial" w:cs="Arial"/>
            <w:color w:val="0000FF"/>
            <w:sz w:val="24"/>
            <w:szCs w:val="24"/>
            <w:u w:val="single"/>
            <w:lang w:val="en-GB" w:eastAsia="en-GB"/>
          </w:rPr>
          <w:t>https://doi.org/10.1108/EJIM-11-2018-0257</w:t>
        </w:r>
      </w:hyperlink>
      <w:r w:rsidRPr="00E02468">
        <w:rPr>
          <w:rFonts w:ascii="Arial" w:eastAsia="Times New Roman" w:hAnsi="Arial" w:cs="Arial"/>
          <w:sz w:val="24"/>
          <w:szCs w:val="24"/>
          <w:lang w:val="en-GB" w:eastAsia="en-GB"/>
        </w:rPr>
        <w:t>)</w:t>
      </w:r>
    </w:p>
    <w:p w14:paraId="6323C03A" w14:textId="50B1863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Albrecht, S.L., Breidahl, E. and Marty, A. (2018) ‘Organizational resources, organizational engagement climate, and employee engagement’, </w:t>
      </w:r>
      <w:r w:rsidRPr="00E02468">
        <w:rPr>
          <w:rFonts w:ascii="Arial" w:eastAsia="Times New Roman" w:hAnsi="Arial" w:cs="Arial"/>
          <w:i/>
          <w:iCs/>
          <w:sz w:val="24"/>
          <w:szCs w:val="24"/>
          <w:lang w:val="en-GB" w:eastAsia="en-GB"/>
        </w:rPr>
        <w:t>Career Development International</w:t>
      </w:r>
      <w:r w:rsidRPr="00E02468">
        <w:rPr>
          <w:rFonts w:ascii="Arial" w:eastAsia="Times New Roman" w:hAnsi="Arial" w:cs="Arial"/>
          <w:sz w:val="24"/>
          <w:szCs w:val="24"/>
          <w:lang w:val="en-GB" w:eastAsia="en-GB"/>
        </w:rPr>
        <w:t>, 23(1), pp. 67–85.</w:t>
      </w:r>
      <w:r w:rsidRPr="00E02468">
        <w:rPr>
          <w:rFonts w:ascii="Arial" w:eastAsia="Times New Roman" w:hAnsi="Arial" w:cs="Arial"/>
          <w:sz w:val="24"/>
          <w:szCs w:val="24"/>
          <w:lang w:val="en-GB" w:eastAsia="en-GB"/>
        </w:rPr>
        <w:br/>
        <w:t>(</w:t>
      </w:r>
      <w:hyperlink r:id="rId17" w:history="1">
        <w:r w:rsidRPr="00E02468">
          <w:rPr>
            <w:rFonts w:ascii="Arial" w:eastAsia="Times New Roman" w:hAnsi="Arial" w:cs="Arial"/>
            <w:color w:val="0000FF"/>
            <w:sz w:val="24"/>
            <w:szCs w:val="24"/>
            <w:u w:val="single"/>
            <w:lang w:val="en-GB" w:eastAsia="en-GB"/>
          </w:rPr>
          <w:t>https://doi.org/10.1108/CDI-04-2017-0064</w:t>
        </w:r>
      </w:hyperlink>
      <w:r w:rsidRPr="00E02468">
        <w:rPr>
          <w:rFonts w:ascii="Arial" w:eastAsia="Times New Roman" w:hAnsi="Arial" w:cs="Arial"/>
          <w:sz w:val="24"/>
          <w:szCs w:val="24"/>
          <w:lang w:val="en-GB" w:eastAsia="en-GB"/>
        </w:rPr>
        <w:t>)</w:t>
      </w:r>
    </w:p>
    <w:p w14:paraId="6D925DCA" w14:textId="169E3D6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Albrecht, S.L., Green, C.R. and Marty, A. (2021) ‘Meaningful work, job resources, and employee engagement’, </w:t>
      </w:r>
      <w:r w:rsidRPr="00E02468">
        <w:rPr>
          <w:rFonts w:ascii="Arial" w:eastAsia="Times New Roman" w:hAnsi="Arial" w:cs="Arial"/>
          <w:i/>
          <w:iCs/>
          <w:sz w:val="24"/>
          <w:szCs w:val="24"/>
          <w:lang w:val="en-GB" w:eastAsia="en-GB"/>
        </w:rPr>
        <w:t>Journal of Business Research</w:t>
      </w:r>
      <w:r w:rsidRPr="00E02468">
        <w:rPr>
          <w:rFonts w:ascii="Arial" w:eastAsia="Times New Roman" w:hAnsi="Arial" w:cs="Arial"/>
          <w:sz w:val="24"/>
          <w:szCs w:val="24"/>
          <w:lang w:val="en-GB" w:eastAsia="en-GB"/>
        </w:rPr>
        <w:t>, 131, pp. 512–522.</w:t>
      </w:r>
      <w:r w:rsidRPr="00E02468">
        <w:rPr>
          <w:rFonts w:ascii="Arial" w:eastAsia="Times New Roman" w:hAnsi="Arial" w:cs="Arial"/>
          <w:sz w:val="24"/>
          <w:szCs w:val="24"/>
          <w:lang w:val="en-GB" w:eastAsia="en-GB"/>
        </w:rPr>
        <w:br/>
        <w:t>(</w:t>
      </w:r>
      <w:hyperlink r:id="rId18" w:history="1">
        <w:r w:rsidRPr="00E02468">
          <w:rPr>
            <w:rFonts w:ascii="Arial" w:eastAsia="Times New Roman" w:hAnsi="Arial" w:cs="Arial"/>
            <w:color w:val="0000FF"/>
            <w:sz w:val="24"/>
            <w:szCs w:val="24"/>
            <w:u w:val="single"/>
            <w:lang w:val="en-GB" w:eastAsia="en-GB"/>
          </w:rPr>
          <w:t>https://doi.org/10.1016/j.jbusres.2020.12.048</w:t>
        </w:r>
      </w:hyperlink>
      <w:r w:rsidRPr="00E02468">
        <w:rPr>
          <w:rFonts w:ascii="Arial" w:eastAsia="Times New Roman" w:hAnsi="Arial" w:cs="Arial"/>
          <w:sz w:val="24"/>
          <w:szCs w:val="24"/>
          <w:lang w:val="en-GB" w:eastAsia="en-GB"/>
        </w:rPr>
        <w:t>)</w:t>
      </w:r>
    </w:p>
    <w:p w14:paraId="2324FDBA" w14:textId="4C9CBC6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Appelbaum, E., Bailey, T., Berg, P. and Kalleberg, A.L. (2000) </w:t>
      </w:r>
      <w:r w:rsidRPr="00E02468">
        <w:rPr>
          <w:rFonts w:ascii="Arial" w:eastAsia="Times New Roman" w:hAnsi="Arial" w:cs="Arial"/>
          <w:i/>
          <w:iCs/>
          <w:sz w:val="24"/>
          <w:szCs w:val="24"/>
          <w:lang w:val="en-GB" w:eastAsia="en-GB"/>
        </w:rPr>
        <w:t>Manufacturing Advantage: Why High-Performance Work Systems Pay Off</w:t>
      </w:r>
      <w:r w:rsidRPr="00E02468">
        <w:rPr>
          <w:rFonts w:ascii="Arial" w:eastAsia="Times New Roman" w:hAnsi="Arial" w:cs="Arial"/>
          <w:sz w:val="24"/>
          <w:szCs w:val="24"/>
          <w:lang w:val="en-GB" w:eastAsia="en-GB"/>
        </w:rPr>
        <w:t>. Ithaca, NY: Cornell University Press.</w:t>
      </w:r>
      <w:r w:rsidRPr="00E02468">
        <w:rPr>
          <w:rFonts w:ascii="Arial" w:eastAsia="Times New Roman" w:hAnsi="Arial" w:cs="Arial"/>
          <w:sz w:val="24"/>
          <w:szCs w:val="24"/>
          <w:lang w:val="en-GB" w:eastAsia="en-GB"/>
        </w:rPr>
        <w:br/>
        <w:t>(</w:t>
      </w:r>
      <w:hyperlink r:id="rId19" w:history="1">
        <w:r w:rsidRPr="00E02468">
          <w:rPr>
            <w:rFonts w:ascii="Arial" w:eastAsia="Times New Roman" w:hAnsi="Arial" w:cs="Arial"/>
            <w:color w:val="0000FF"/>
            <w:sz w:val="24"/>
            <w:szCs w:val="24"/>
            <w:u w:val="single"/>
            <w:lang w:val="en-GB" w:eastAsia="en-GB"/>
          </w:rPr>
          <w:t>https://www.cornellpress.cornell.edu/book/9780801486086/manufacturing-advantage/</w:t>
        </w:r>
      </w:hyperlink>
      <w:r w:rsidRPr="00E02468">
        <w:rPr>
          <w:rFonts w:ascii="Arial" w:eastAsia="Times New Roman" w:hAnsi="Arial" w:cs="Arial"/>
          <w:sz w:val="24"/>
          <w:szCs w:val="24"/>
          <w:lang w:val="en-GB" w:eastAsia="en-GB"/>
        </w:rPr>
        <w:t>)</w:t>
      </w:r>
    </w:p>
    <w:p w14:paraId="5D269F69" w14:textId="20E8C8F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Armstrong, M. and Taylor, S. (2023) </w:t>
      </w:r>
      <w:r w:rsidRPr="00E02468">
        <w:rPr>
          <w:rFonts w:ascii="Arial" w:eastAsia="Times New Roman" w:hAnsi="Arial" w:cs="Arial"/>
          <w:i/>
          <w:iCs/>
          <w:sz w:val="24"/>
          <w:szCs w:val="24"/>
          <w:lang w:val="en-GB" w:eastAsia="en-GB"/>
        </w:rPr>
        <w:t>Armstrong’s Handbook of Human Resource Management Practice</w:t>
      </w:r>
      <w:r w:rsidRPr="00E02468">
        <w:rPr>
          <w:rFonts w:ascii="Arial" w:eastAsia="Times New Roman" w:hAnsi="Arial" w:cs="Arial"/>
          <w:sz w:val="24"/>
          <w:szCs w:val="24"/>
          <w:lang w:val="en-GB" w:eastAsia="en-GB"/>
        </w:rPr>
        <w:t>. 16th edn. London: Kogan Page.</w:t>
      </w:r>
      <w:r w:rsidRPr="00E02468">
        <w:rPr>
          <w:rFonts w:ascii="Arial" w:eastAsia="Times New Roman" w:hAnsi="Arial" w:cs="Arial"/>
          <w:sz w:val="24"/>
          <w:szCs w:val="24"/>
          <w:lang w:val="en-GB" w:eastAsia="en-GB"/>
        </w:rPr>
        <w:br/>
        <w:t>(</w:t>
      </w:r>
      <w:hyperlink r:id="rId20" w:history="1">
        <w:r w:rsidRPr="00E02468">
          <w:rPr>
            <w:rFonts w:ascii="Arial" w:eastAsia="Times New Roman" w:hAnsi="Arial" w:cs="Arial"/>
            <w:color w:val="0000FF"/>
            <w:sz w:val="24"/>
            <w:szCs w:val="24"/>
            <w:u w:val="single"/>
            <w:lang w:val="en-GB" w:eastAsia="en-GB"/>
          </w:rPr>
          <w:t>https://www.koganpage.com/product/armstrong-s-handbook-of-human-resource-management-practice-9781398606630</w:t>
        </w:r>
      </w:hyperlink>
      <w:r w:rsidRPr="00E02468">
        <w:rPr>
          <w:rFonts w:ascii="Arial" w:eastAsia="Times New Roman" w:hAnsi="Arial" w:cs="Arial"/>
          <w:sz w:val="24"/>
          <w:szCs w:val="24"/>
          <w:lang w:val="en-GB" w:eastAsia="en-GB"/>
        </w:rPr>
        <w:t>)</w:t>
      </w:r>
    </w:p>
    <w:p w14:paraId="2DBE6CFE" w14:textId="3893849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Ashraf, S., Ilyas, R., Imtiaz, M. and Ahmad, S. (2020) ‘Impact of service quality, corporate social responsibility and customer experience on customer satisfaction’, </w:t>
      </w:r>
      <w:r w:rsidRPr="00E02468">
        <w:rPr>
          <w:rFonts w:ascii="Arial" w:eastAsia="Times New Roman" w:hAnsi="Arial" w:cs="Arial"/>
          <w:i/>
          <w:iCs/>
          <w:sz w:val="24"/>
          <w:szCs w:val="24"/>
          <w:lang w:val="en-GB" w:eastAsia="en-GB"/>
        </w:rPr>
        <w:t>Journal of Management and Research</w:t>
      </w:r>
      <w:r w:rsidRPr="00E02468">
        <w:rPr>
          <w:rFonts w:ascii="Arial" w:eastAsia="Times New Roman" w:hAnsi="Arial" w:cs="Arial"/>
          <w:sz w:val="24"/>
          <w:szCs w:val="24"/>
          <w:lang w:val="en-GB" w:eastAsia="en-GB"/>
        </w:rPr>
        <w:t>, 7(1), pp. 1–20.</w:t>
      </w:r>
      <w:r w:rsidRPr="00E02468">
        <w:rPr>
          <w:rFonts w:ascii="Arial" w:eastAsia="Times New Roman" w:hAnsi="Arial" w:cs="Arial"/>
          <w:sz w:val="24"/>
          <w:szCs w:val="24"/>
          <w:lang w:val="en-GB" w:eastAsia="en-GB"/>
        </w:rPr>
        <w:br/>
        <w:t>(</w:t>
      </w:r>
      <w:hyperlink r:id="rId21" w:history="1">
        <w:r w:rsidRPr="00E02468">
          <w:rPr>
            <w:rFonts w:ascii="Arial" w:eastAsia="Times New Roman" w:hAnsi="Arial" w:cs="Arial"/>
            <w:color w:val="0000FF"/>
            <w:sz w:val="24"/>
            <w:szCs w:val="24"/>
            <w:u w:val="single"/>
            <w:lang w:val="en-GB" w:eastAsia="en-GB"/>
          </w:rPr>
          <w:t>https://doi.org/10.29145/jmr/71/070101</w:t>
        </w:r>
      </w:hyperlink>
      <w:r w:rsidRPr="00E02468">
        <w:rPr>
          <w:rFonts w:ascii="Arial" w:eastAsia="Times New Roman" w:hAnsi="Arial" w:cs="Arial"/>
          <w:sz w:val="24"/>
          <w:szCs w:val="24"/>
          <w:lang w:val="en-GB" w:eastAsia="en-GB"/>
        </w:rPr>
        <w:t>)</w:t>
      </w:r>
    </w:p>
    <w:p w14:paraId="7D680AAF" w14:textId="2D37F6AD"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Aydın, G. and Özer, G. (2005) ‘The analysis of antecedents of customer loyalty in the Turkish mobile telecommunication market’, </w:t>
      </w:r>
      <w:r w:rsidRPr="00E02468">
        <w:rPr>
          <w:rFonts w:ascii="Arial" w:eastAsia="Times New Roman" w:hAnsi="Arial" w:cs="Arial"/>
          <w:i/>
          <w:iCs/>
          <w:sz w:val="24"/>
          <w:szCs w:val="24"/>
          <w:lang w:val="en-GB" w:eastAsia="en-GB"/>
        </w:rPr>
        <w:t>European Journal of Marketing</w:t>
      </w:r>
      <w:r w:rsidRPr="00E02468">
        <w:rPr>
          <w:rFonts w:ascii="Arial" w:eastAsia="Times New Roman" w:hAnsi="Arial" w:cs="Arial"/>
          <w:sz w:val="24"/>
          <w:szCs w:val="24"/>
          <w:lang w:val="en-GB" w:eastAsia="en-GB"/>
        </w:rPr>
        <w:t>, 39(7/8), pp. 910–925.</w:t>
      </w:r>
      <w:r w:rsidRPr="00E02468">
        <w:rPr>
          <w:rFonts w:ascii="Arial" w:eastAsia="Times New Roman" w:hAnsi="Arial" w:cs="Arial"/>
          <w:sz w:val="24"/>
          <w:szCs w:val="24"/>
          <w:lang w:val="en-GB" w:eastAsia="en-GB"/>
        </w:rPr>
        <w:br/>
        <w:t>(</w:t>
      </w:r>
      <w:hyperlink r:id="rId22" w:history="1">
        <w:r w:rsidRPr="00E02468">
          <w:rPr>
            <w:rFonts w:ascii="Arial" w:eastAsia="Times New Roman" w:hAnsi="Arial" w:cs="Arial"/>
            <w:color w:val="0000FF"/>
            <w:sz w:val="24"/>
            <w:szCs w:val="24"/>
            <w:u w:val="single"/>
            <w:lang w:val="en-GB" w:eastAsia="en-GB"/>
          </w:rPr>
          <w:t>https://doi.org/10.1108/03090560510601833</w:t>
        </w:r>
      </w:hyperlink>
      <w:r w:rsidRPr="00E02468">
        <w:rPr>
          <w:rFonts w:ascii="Arial" w:eastAsia="Times New Roman" w:hAnsi="Arial" w:cs="Arial"/>
          <w:sz w:val="24"/>
          <w:szCs w:val="24"/>
          <w:lang w:val="en-GB" w:eastAsia="en-GB"/>
        </w:rPr>
        <w:t>)</w:t>
      </w:r>
    </w:p>
    <w:p w14:paraId="1B6EE78B" w14:textId="5A8CB1A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Becker, B.E. and Huselid, M.A. (2006) ‘Strategic human resources management: where do we go from here?’,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32(6), pp. 898–925.</w:t>
      </w:r>
      <w:r w:rsidRPr="00E02468">
        <w:rPr>
          <w:rFonts w:ascii="Arial" w:eastAsia="Times New Roman" w:hAnsi="Arial" w:cs="Arial"/>
          <w:sz w:val="24"/>
          <w:szCs w:val="24"/>
          <w:lang w:val="en-GB" w:eastAsia="en-GB"/>
        </w:rPr>
        <w:br/>
        <w:t>(</w:t>
      </w:r>
      <w:hyperlink r:id="rId23" w:history="1">
        <w:r w:rsidRPr="00E02468">
          <w:rPr>
            <w:rFonts w:ascii="Arial" w:eastAsia="Times New Roman" w:hAnsi="Arial" w:cs="Arial"/>
            <w:color w:val="0000FF"/>
            <w:sz w:val="24"/>
            <w:szCs w:val="24"/>
            <w:u w:val="single"/>
            <w:lang w:val="en-GB" w:eastAsia="en-GB"/>
          </w:rPr>
          <w:t>https://doi.org/10.1177/0149206306293668</w:t>
        </w:r>
      </w:hyperlink>
      <w:r w:rsidRPr="00E02468">
        <w:rPr>
          <w:rFonts w:ascii="Arial" w:eastAsia="Times New Roman" w:hAnsi="Arial" w:cs="Arial"/>
          <w:sz w:val="24"/>
          <w:szCs w:val="24"/>
          <w:lang w:val="en-GB" w:eastAsia="en-GB"/>
        </w:rPr>
        <w:t>)</w:t>
      </w:r>
    </w:p>
    <w:p w14:paraId="08B57EAA" w14:textId="2F8F795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Becker, G.S. (1964) </w:t>
      </w:r>
      <w:r w:rsidRPr="00E02468">
        <w:rPr>
          <w:rFonts w:ascii="Arial" w:eastAsia="Times New Roman" w:hAnsi="Arial" w:cs="Arial"/>
          <w:i/>
          <w:iCs/>
          <w:sz w:val="24"/>
          <w:szCs w:val="24"/>
          <w:lang w:val="en-GB" w:eastAsia="en-GB"/>
        </w:rPr>
        <w:t>Human Capital: A Theoretical and Empirical Analysis, with Special Reference to Education</w:t>
      </w:r>
      <w:r w:rsidRPr="00E02468">
        <w:rPr>
          <w:rFonts w:ascii="Arial" w:eastAsia="Times New Roman" w:hAnsi="Arial" w:cs="Arial"/>
          <w:sz w:val="24"/>
          <w:szCs w:val="24"/>
          <w:lang w:val="en-GB" w:eastAsia="en-GB"/>
        </w:rPr>
        <w:t>. Chicago: University of Chicago Press.</w:t>
      </w:r>
      <w:r w:rsidRPr="00E02468">
        <w:rPr>
          <w:rFonts w:ascii="Arial" w:eastAsia="Times New Roman" w:hAnsi="Arial" w:cs="Arial"/>
          <w:sz w:val="24"/>
          <w:szCs w:val="24"/>
          <w:lang w:val="en-GB" w:eastAsia="en-GB"/>
        </w:rPr>
        <w:br/>
        <w:t>(</w:t>
      </w:r>
      <w:hyperlink r:id="rId24" w:history="1">
        <w:r w:rsidRPr="00E02468">
          <w:rPr>
            <w:rFonts w:ascii="Arial" w:eastAsia="Times New Roman" w:hAnsi="Arial" w:cs="Arial"/>
            <w:color w:val="0000FF"/>
            <w:sz w:val="24"/>
            <w:szCs w:val="24"/>
            <w:u w:val="single"/>
            <w:lang w:val="en-GB" w:eastAsia="en-GB"/>
          </w:rPr>
          <w:t>https://www.nber.org/books-and-chapters/human-capital-theoretical-and-empirical-analysis-special-reference-education-first-edition</w:t>
        </w:r>
      </w:hyperlink>
      <w:r w:rsidRPr="00E02468">
        <w:rPr>
          <w:rFonts w:ascii="Arial" w:eastAsia="Times New Roman" w:hAnsi="Arial" w:cs="Arial"/>
          <w:sz w:val="24"/>
          <w:szCs w:val="24"/>
          <w:lang w:val="en-GB" w:eastAsia="en-GB"/>
        </w:rPr>
        <w:t>)</w:t>
      </w:r>
    </w:p>
    <w:p w14:paraId="35C8F7F4" w14:textId="75ED2C8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Bell, B.S., Lee, S.W. and Yeung, S.M. (2021) ‘The impact of employee training on service quality in hospitality’,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94, 102850.</w:t>
      </w:r>
      <w:r w:rsidRPr="00E02468">
        <w:rPr>
          <w:rFonts w:ascii="Arial" w:eastAsia="Times New Roman" w:hAnsi="Arial" w:cs="Arial"/>
          <w:sz w:val="24"/>
          <w:szCs w:val="24"/>
          <w:lang w:val="en-GB" w:eastAsia="en-GB"/>
        </w:rPr>
        <w:br/>
        <w:t>(</w:t>
      </w:r>
      <w:hyperlink r:id="rId25" w:history="1">
        <w:r w:rsidRPr="00E02468">
          <w:rPr>
            <w:rFonts w:ascii="Arial" w:eastAsia="Times New Roman" w:hAnsi="Arial" w:cs="Arial"/>
            <w:color w:val="0000FF"/>
            <w:sz w:val="24"/>
            <w:szCs w:val="24"/>
            <w:u w:val="single"/>
            <w:lang w:val="en-GB" w:eastAsia="en-GB"/>
          </w:rPr>
          <w:t>https://doi.org/10.1016/j.ijhm.2020.102850</w:t>
        </w:r>
      </w:hyperlink>
      <w:r w:rsidRPr="00E02468">
        <w:rPr>
          <w:rFonts w:ascii="Arial" w:eastAsia="Times New Roman" w:hAnsi="Arial" w:cs="Arial"/>
          <w:sz w:val="24"/>
          <w:szCs w:val="24"/>
          <w:lang w:val="en-GB" w:eastAsia="en-GB"/>
        </w:rPr>
        <w:t>)</w:t>
      </w:r>
    </w:p>
    <w:p w14:paraId="79DD2E51" w14:textId="6D9B8C1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Barney, J. (1991) ‘Firm resources and sustained competitive advantage’,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17(1), pp. 99–120.</w:t>
      </w:r>
      <w:r w:rsidRPr="00E02468">
        <w:rPr>
          <w:rFonts w:ascii="Arial" w:eastAsia="Times New Roman" w:hAnsi="Arial" w:cs="Arial"/>
          <w:sz w:val="24"/>
          <w:szCs w:val="24"/>
          <w:lang w:val="en-GB" w:eastAsia="en-GB"/>
        </w:rPr>
        <w:br/>
        <w:t>(</w:t>
      </w:r>
      <w:hyperlink r:id="rId26" w:history="1">
        <w:r w:rsidRPr="00E02468">
          <w:rPr>
            <w:rFonts w:ascii="Arial" w:eastAsia="Times New Roman" w:hAnsi="Arial" w:cs="Arial"/>
            <w:color w:val="0000FF"/>
            <w:sz w:val="24"/>
            <w:szCs w:val="24"/>
            <w:u w:val="single"/>
            <w:lang w:val="en-GB" w:eastAsia="en-GB"/>
          </w:rPr>
          <w:t>https://doi.org/10.1177/014920639101700108</w:t>
        </w:r>
      </w:hyperlink>
      <w:r w:rsidRPr="00E02468">
        <w:rPr>
          <w:rFonts w:ascii="Arial" w:eastAsia="Times New Roman" w:hAnsi="Arial" w:cs="Arial"/>
          <w:sz w:val="24"/>
          <w:szCs w:val="24"/>
          <w:lang w:val="en-GB" w:eastAsia="en-GB"/>
        </w:rPr>
        <w:t>)</w:t>
      </w:r>
    </w:p>
    <w:p w14:paraId="3546E219" w14:textId="6EED4AED"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Barney, J.B., Ketchen, D.J. and Wright, M. (2011) ‘The future of resource-based theory: revitalization or decline?’,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37(5), pp. 1299–1315.</w:t>
      </w:r>
      <w:r w:rsidRPr="00E02468">
        <w:rPr>
          <w:rFonts w:ascii="Arial" w:eastAsia="Times New Roman" w:hAnsi="Arial" w:cs="Arial"/>
          <w:sz w:val="24"/>
          <w:szCs w:val="24"/>
          <w:lang w:val="en-GB" w:eastAsia="en-GB"/>
        </w:rPr>
        <w:br/>
        <w:t>(</w:t>
      </w:r>
      <w:hyperlink r:id="rId27" w:history="1">
        <w:r w:rsidRPr="00E02468">
          <w:rPr>
            <w:rFonts w:ascii="Arial" w:eastAsia="Times New Roman" w:hAnsi="Arial" w:cs="Arial"/>
            <w:color w:val="0000FF"/>
            <w:sz w:val="24"/>
            <w:szCs w:val="24"/>
            <w:u w:val="single"/>
            <w:lang w:val="en-GB" w:eastAsia="en-GB"/>
          </w:rPr>
          <w:t>https://doi.org/10.1177/0149206310391805</w:t>
        </w:r>
      </w:hyperlink>
      <w:r w:rsidRPr="00E02468">
        <w:rPr>
          <w:rFonts w:ascii="Arial" w:eastAsia="Times New Roman" w:hAnsi="Arial" w:cs="Arial"/>
          <w:sz w:val="24"/>
          <w:szCs w:val="24"/>
          <w:lang w:val="en-GB" w:eastAsia="en-GB"/>
        </w:rPr>
        <w:t>)</w:t>
      </w:r>
    </w:p>
    <w:p w14:paraId="7B5C988B" w14:textId="44429A1A"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Bassi, L. and McMurrer, D. (2007) ‘Maximizing your return on people’, </w:t>
      </w:r>
      <w:r w:rsidRPr="00E02468">
        <w:rPr>
          <w:rFonts w:ascii="Arial" w:eastAsia="Times New Roman" w:hAnsi="Arial" w:cs="Arial"/>
          <w:i/>
          <w:iCs/>
          <w:sz w:val="24"/>
          <w:szCs w:val="24"/>
          <w:lang w:val="en-GB" w:eastAsia="en-GB"/>
        </w:rPr>
        <w:t>Harvard Business Review</w:t>
      </w:r>
      <w:r w:rsidRPr="00E02468">
        <w:rPr>
          <w:rFonts w:ascii="Arial" w:eastAsia="Times New Roman" w:hAnsi="Arial" w:cs="Arial"/>
          <w:sz w:val="24"/>
          <w:szCs w:val="24"/>
          <w:lang w:val="en-GB" w:eastAsia="en-GB"/>
        </w:rPr>
        <w:t>, 85(3), pp. 115–123.</w:t>
      </w:r>
      <w:r w:rsidRPr="00E02468">
        <w:rPr>
          <w:rFonts w:ascii="Arial" w:eastAsia="Times New Roman" w:hAnsi="Arial" w:cs="Arial"/>
          <w:sz w:val="24"/>
          <w:szCs w:val="24"/>
          <w:lang w:val="en-GB" w:eastAsia="en-GB"/>
        </w:rPr>
        <w:br/>
        <w:t>(</w:t>
      </w:r>
      <w:hyperlink r:id="rId28" w:history="1">
        <w:r w:rsidRPr="00E02468">
          <w:rPr>
            <w:rFonts w:ascii="Arial" w:eastAsia="Times New Roman" w:hAnsi="Arial" w:cs="Arial"/>
            <w:color w:val="0000FF"/>
            <w:sz w:val="24"/>
            <w:szCs w:val="24"/>
            <w:u w:val="single"/>
            <w:lang w:val="en-GB" w:eastAsia="en-GB"/>
          </w:rPr>
          <w:t>https://hbr.org/2007/03/maximizing-your-return-on-people</w:t>
        </w:r>
      </w:hyperlink>
      <w:r w:rsidRPr="00E02468">
        <w:rPr>
          <w:rFonts w:ascii="Arial" w:eastAsia="Times New Roman" w:hAnsi="Arial" w:cs="Arial"/>
          <w:sz w:val="24"/>
          <w:szCs w:val="24"/>
          <w:lang w:val="en-GB" w:eastAsia="en-GB"/>
        </w:rPr>
        <w:t>)</w:t>
      </w:r>
    </w:p>
    <w:p w14:paraId="2A5506EE" w14:textId="7E3D4C0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Batt, R. (2002) ‘Managing customer services: human resource practices, quit rates, and sales growth’,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45(3), pp. 587–597.</w:t>
      </w:r>
      <w:r w:rsidRPr="00E02468">
        <w:rPr>
          <w:rFonts w:ascii="Arial" w:eastAsia="Times New Roman" w:hAnsi="Arial" w:cs="Arial"/>
          <w:sz w:val="24"/>
          <w:szCs w:val="24"/>
          <w:lang w:val="en-GB" w:eastAsia="en-GB"/>
        </w:rPr>
        <w:br/>
        <w:t>(</w:t>
      </w:r>
      <w:hyperlink r:id="rId29" w:history="1">
        <w:r w:rsidRPr="00E02468">
          <w:rPr>
            <w:rFonts w:ascii="Arial" w:eastAsia="Times New Roman" w:hAnsi="Arial" w:cs="Arial"/>
            <w:color w:val="0000FF"/>
            <w:sz w:val="24"/>
            <w:szCs w:val="24"/>
            <w:u w:val="single"/>
            <w:lang w:val="en-GB" w:eastAsia="en-GB"/>
          </w:rPr>
          <w:t>https://doi.org/10.2307/3069383</w:t>
        </w:r>
      </w:hyperlink>
      <w:r w:rsidRPr="00E02468">
        <w:rPr>
          <w:rFonts w:ascii="Arial" w:eastAsia="Times New Roman" w:hAnsi="Arial" w:cs="Arial"/>
          <w:sz w:val="24"/>
          <w:szCs w:val="24"/>
          <w:lang w:val="en-GB" w:eastAsia="en-GB"/>
        </w:rPr>
        <w:t>)</w:t>
      </w:r>
    </w:p>
    <w:p w14:paraId="1AF7AACF" w14:textId="5032F61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Batt, R. and Colvin, A.J.S. (2011) ‘An employment systems approach to turnover: human resources practices, quits, dismissals, and performance’,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54(4), pp. 695–717.</w:t>
      </w:r>
      <w:r w:rsidRPr="00E02468">
        <w:rPr>
          <w:rFonts w:ascii="Arial" w:eastAsia="Times New Roman" w:hAnsi="Arial" w:cs="Arial"/>
          <w:sz w:val="24"/>
          <w:szCs w:val="24"/>
          <w:lang w:val="en-GB" w:eastAsia="en-GB"/>
        </w:rPr>
        <w:br/>
        <w:t>(</w:t>
      </w:r>
      <w:hyperlink r:id="rId30" w:history="1">
        <w:r w:rsidRPr="00E02468">
          <w:rPr>
            <w:rFonts w:ascii="Arial" w:eastAsia="Times New Roman" w:hAnsi="Arial" w:cs="Arial"/>
            <w:color w:val="0000FF"/>
            <w:sz w:val="24"/>
            <w:szCs w:val="24"/>
            <w:u w:val="single"/>
            <w:lang w:val="en-GB" w:eastAsia="en-GB"/>
          </w:rPr>
          <w:t>https://doi.org/10.5465/amj.2011.64869411</w:t>
        </w:r>
      </w:hyperlink>
      <w:r w:rsidRPr="00E02468">
        <w:rPr>
          <w:rFonts w:ascii="Arial" w:eastAsia="Times New Roman" w:hAnsi="Arial" w:cs="Arial"/>
          <w:sz w:val="24"/>
          <w:szCs w:val="24"/>
          <w:lang w:val="en-GB" w:eastAsia="en-GB"/>
        </w:rPr>
        <w:t>)</w:t>
      </w:r>
    </w:p>
    <w:p w14:paraId="2A609294" w14:textId="28B3254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Baum, T. (2015) ‘Human resources in tourism: still waiting for change?’, </w:t>
      </w:r>
      <w:r w:rsidRPr="00E02468">
        <w:rPr>
          <w:rFonts w:ascii="Arial" w:eastAsia="Times New Roman" w:hAnsi="Arial" w:cs="Arial"/>
          <w:i/>
          <w:iCs/>
          <w:sz w:val="24"/>
          <w:szCs w:val="24"/>
          <w:lang w:val="en-GB" w:eastAsia="en-GB"/>
        </w:rPr>
        <w:t>Austrian Journal of South-East Asian Studies</w:t>
      </w:r>
      <w:r w:rsidRPr="00E02468">
        <w:rPr>
          <w:rFonts w:ascii="Arial" w:eastAsia="Times New Roman" w:hAnsi="Arial" w:cs="Arial"/>
          <w:sz w:val="24"/>
          <w:szCs w:val="24"/>
          <w:lang w:val="en-GB" w:eastAsia="en-GB"/>
        </w:rPr>
        <w:t>, 8(2), pp. 205–212.</w:t>
      </w:r>
      <w:r w:rsidRPr="00E02468">
        <w:rPr>
          <w:rFonts w:ascii="Arial" w:eastAsia="Times New Roman" w:hAnsi="Arial" w:cs="Arial"/>
          <w:sz w:val="24"/>
          <w:szCs w:val="24"/>
          <w:lang w:val="en-GB" w:eastAsia="en-GB"/>
        </w:rPr>
        <w:br/>
        <w:t>(</w:t>
      </w:r>
      <w:hyperlink r:id="rId31" w:history="1">
        <w:r w:rsidRPr="00E02468">
          <w:rPr>
            <w:rFonts w:ascii="Arial" w:eastAsia="Times New Roman" w:hAnsi="Arial" w:cs="Arial"/>
            <w:color w:val="0000FF"/>
            <w:sz w:val="24"/>
            <w:szCs w:val="24"/>
            <w:u w:val="single"/>
            <w:lang w:val="en-GB" w:eastAsia="en-GB"/>
          </w:rPr>
          <w:t>https://doi.org/10.14764/10.ASEAS-2015.2-5</w:t>
        </w:r>
      </w:hyperlink>
      <w:r w:rsidRPr="00E02468">
        <w:rPr>
          <w:rFonts w:ascii="Arial" w:eastAsia="Times New Roman" w:hAnsi="Arial" w:cs="Arial"/>
          <w:sz w:val="24"/>
          <w:szCs w:val="24"/>
          <w:lang w:val="en-GB" w:eastAsia="en-GB"/>
        </w:rPr>
        <w:t>)</w:t>
      </w:r>
    </w:p>
    <w:p w14:paraId="55E40743" w14:textId="5D4F0FE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Baum, T., Kralj, A., Robinson, R.N.S. and Solnet, D.J. (2016) ‘Tourism workforce research: a review, taxonomy and agenda’, </w:t>
      </w:r>
      <w:r w:rsidRPr="00E02468">
        <w:rPr>
          <w:rFonts w:ascii="Arial" w:eastAsia="Times New Roman" w:hAnsi="Arial" w:cs="Arial"/>
          <w:i/>
          <w:iCs/>
          <w:sz w:val="24"/>
          <w:szCs w:val="24"/>
          <w:lang w:val="en-GB" w:eastAsia="en-GB"/>
        </w:rPr>
        <w:t>Annals of Tourism Research</w:t>
      </w:r>
      <w:r w:rsidRPr="00E02468">
        <w:rPr>
          <w:rFonts w:ascii="Arial" w:eastAsia="Times New Roman" w:hAnsi="Arial" w:cs="Arial"/>
          <w:sz w:val="24"/>
          <w:szCs w:val="24"/>
          <w:lang w:val="en-GB" w:eastAsia="en-GB"/>
        </w:rPr>
        <w:t>, 60, pp. 1–22.</w:t>
      </w:r>
      <w:r w:rsidRPr="00E02468">
        <w:rPr>
          <w:rFonts w:ascii="Arial" w:eastAsia="Times New Roman" w:hAnsi="Arial" w:cs="Arial"/>
          <w:sz w:val="24"/>
          <w:szCs w:val="24"/>
          <w:lang w:val="en-GB" w:eastAsia="en-GB"/>
        </w:rPr>
        <w:br/>
        <w:t>(</w:t>
      </w:r>
      <w:hyperlink r:id="rId32" w:history="1">
        <w:r w:rsidRPr="00E02468">
          <w:rPr>
            <w:rFonts w:ascii="Arial" w:eastAsia="Times New Roman" w:hAnsi="Arial" w:cs="Arial"/>
            <w:color w:val="0000FF"/>
            <w:sz w:val="24"/>
            <w:szCs w:val="24"/>
            <w:u w:val="single"/>
            <w:lang w:val="en-GB" w:eastAsia="en-GB"/>
          </w:rPr>
          <w:t>https://doi.org/10.1016/j.annals.2016.04.003</w:t>
        </w:r>
      </w:hyperlink>
      <w:r w:rsidRPr="00E02468">
        <w:rPr>
          <w:rFonts w:ascii="Arial" w:eastAsia="Times New Roman" w:hAnsi="Arial" w:cs="Arial"/>
          <w:sz w:val="24"/>
          <w:szCs w:val="24"/>
          <w:lang w:val="en-GB" w:eastAsia="en-GB"/>
        </w:rPr>
        <w:t>)</w:t>
      </w:r>
    </w:p>
    <w:p w14:paraId="27F78AD4" w14:textId="352D8FC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Bell, S.J. and Eisingerich, A.B. (2007) ‘The paradox of customer education’, </w:t>
      </w:r>
      <w:r w:rsidRPr="00E02468">
        <w:rPr>
          <w:rFonts w:ascii="Arial" w:eastAsia="Times New Roman" w:hAnsi="Arial" w:cs="Arial"/>
          <w:i/>
          <w:iCs/>
          <w:sz w:val="24"/>
          <w:szCs w:val="24"/>
          <w:lang w:val="en-GB" w:eastAsia="en-GB"/>
        </w:rPr>
        <w:t>Journal of Service Research</w:t>
      </w:r>
      <w:r w:rsidRPr="00E02468">
        <w:rPr>
          <w:rFonts w:ascii="Arial" w:eastAsia="Times New Roman" w:hAnsi="Arial" w:cs="Arial"/>
          <w:sz w:val="24"/>
          <w:szCs w:val="24"/>
          <w:lang w:val="en-GB" w:eastAsia="en-GB"/>
        </w:rPr>
        <w:t>, 10(2), pp. 114–125.</w:t>
      </w:r>
      <w:r w:rsidRPr="00E02468">
        <w:rPr>
          <w:rFonts w:ascii="Arial" w:eastAsia="Times New Roman" w:hAnsi="Arial" w:cs="Arial"/>
          <w:sz w:val="24"/>
          <w:szCs w:val="24"/>
          <w:lang w:val="en-GB" w:eastAsia="en-GB"/>
        </w:rPr>
        <w:br/>
        <w:t>(</w:t>
      </w:r>
      <w:hyperlink r:id="rId33" w:history="1">
        <w:r w:rsidRPr="00E02468">
          <w:rPr>
            <w:rFonts w:ascii="Arial" w:eastAsia="Times New Roman" w:hAnsi="Arial" w:cs="Arial"/>
            <w:color w:val="0000FF"/>
            <w:sz w:val="24"/>
            <w:szCs w:val="24"/>
            <w:u w:val="single"/>
            <w:lang w:val="en-GB" w:eastAsia="en-GB"/>
          </w:rPr>
          <w:t>https://doi.org/10.1177/1094670507306683</w:t>
        </w:r>
      </w:hyperlink>
      <w:r w:rsidRPr="00E02468">
        <w:rPr>
          <w:rFonts w:ascii="Arial" w:eastAsia="Times New Roman" w:hAnsi="Arial" w:cs="Arial"/>
          <w:sz w:val="24"/>
          <w:szCs w:val="24"/>
          <w:lang w:val="en-GB" w:eastAsia="en-GB"/>
        </w:rPr>
        <w:t>)</w:t>
      </w:r>
    </w:p>
    <w:p w14:paraId="5E95B9A9" w14:textId="69B689AA"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Boella, M.J. and Goss-Turner, S. (2019) </w:t>
      </w:r>
      <w:r w:rsidRPr="00E02468">
        <w:rPr>
          <w:rFonts w:ascii="Arial" w:eastAsia="Times New Roman" w:hAnsi="Arial" w:cs="Arial"/>
          <w:i/>
          <w:iCs/>
          <w:sz w:val="24"/>
          <w:szCs w:val="24"/>
          <w:lang w:val="en-GB" w:eastAsia="en-GB"/>
        </w:rPr>
        <w:t>Human Resource Management in the Hospitality Industry: A Guide to Best Practice</w:t>
      </w:r>
      <w:r w:rsidRPr="00E02468">
        <w:rPr>
          <w:rFonts w:ascii="Arial" w:eastAsia="Times New Roman" w:hAnsi="Arial" w:cs="Arial"/>
          <w:sz w:val="24"/>
          <w:szCs w:val="24"/>
          <w:lang w:val="en-GB" w:eastAsia="en-GB"/>
        </w:rPr>
        <w:t>. 10th edn. London: Routledge.</w:t>
      </w:r>
      <w:r w:rsidRPr="00E02468">
        <w:rPr>
          <w:rFonts w:ascii="Arial" w:eastAsia="Times New Roman" w:hAnsi="Arial" w:cs="Arial"/>
          <w:sz w:val="24"/>
          <w:szCs w:val="24"/>
          <w:lang w:val="en-GB" w:eastAsia="en-GB"/>
        </w:rPr>
        <w:br/>
        <w:t>(</w:t>
      </w:r>
      <w:hyperlink r:id="rId34" w:history="1">
        <w:r w:rsidRPr="00E02468">
          <w:rPr>
            <w:rFonts w:ascii="Arial" w:eastAsia="Times New Roman" w:hAnsi="Arial" w:cs="Arial"/>
            <w:color w:val="0000FF"/>
            <w:sz w:val="24"/>
            <w:szCs w:val="24"/>
            <w:u w:val="single"/>
            <w:lang w:val="en-GB" w:eastAsia="en-GB"/>
          </w:rPr>
          <w:t>https://www.routledge.com/Human-Resource-Management-in-the-Hospitality-Industry-A-Guide-to-Best-Practice/Boella-Goss-Turner/p/book/9781138493238</w:t>
        </w:r>
      </w:hyperlink>
      <w:r w:rsidRPr="00E02468">
        <w:rPr>
          <w:rFonts w:ascii="Arial" w:eastAsia="Times New Roman" w:hAnsi="Arial" w:cs="Arial"/>
          <w:sz w:val="24"/>
          <w:szCs w:val="24"/>
          <w:lang w:val="en-GB" w:eastAsia="en-GB"/>
        </w:rPr>
        <w:t>)</w:t>
      </w:r>
    </w:p>
    <w:p w14:paraId="31006FA6" w14:textId="325D444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Braun, V. and Clarke, V. (2006) ‘Using thematic analysis in psychology’, </w:t>
      </w:r>
      <w:r w:rsidRPr="00E02468">
        <w:rPr>
          <w:rFonts w:ascii="Arial" w:eastAsia="Times New Roman" w:hAnsi="Arial" w:cs="Arial"/>
          <w:i/>
          <w:iCs/>
          <w:sz w:val="24"/>
          <w:szCs w:val="24"/>
          <w:lang w:val="en-GB" w:eastAsia="en-GB"/>
        </w:rPr>
        <w:t>Qualitative Research in Psychology</w:t>
      </w:r>
      <w:r w:rsidRPr="00E02468">
        <w:rPr>
          <w:rFonts w:ascii="Arial" w:eastAsia="Times New Roman" w:hAnsi="Arial" w:cs="Arial"/>
          <w:sz w:val="24"/>
          <w:szCs w:val="24"/>
          <w:lang w:val="en-GB" w:eastAsia="en-GB"/>
        </w:rPr>
        <w:t>, 3(2), pp. 77–101.</w:t>
      </w:r>
      <w:r w:rsidRPr="00E02468">
        <w:rPr>
          <w:rFonts w:ascii="Arial" w:eastAsia="Times New Roman" w:hAnsi="Arial" w:cs="Arial"/>
          <w:sz w:val="24"/>
          <w:szCs w:val="24"/>
          <w:lang w:val="en-GB" w:eastAsia="en-GB"/>
        </w:rPr>
        <w:br/>
        <w:t>(</w:t>
      </w:r>
      <w:hyperlink r:id="rId35" w:history="1">
        <w:r w:rsidRPr="00E02468">
          <w:rPr>
            <w:rFonts w:ascii="Arial" w:eastAsia="Times New Roman" w:hAnsi="Arial" w:cs="Arial"/>
            <w:color w:val="0000FF"/>
            <w:sz w:val="24"/>
            <w:szCs w:val="24"/>
            <w:u w:val="single"/>
            <w:lang w:val="en-GB" w:eastAsia="en-GB"/>
          </w:rPr>
          <w:t>https://doi.org/10.1191/1478088706qp063oa</w:t>
        </w:r>
      </w:hyperlink>
      <w:r w:rsidRPr="00E02468">
        <w:rPr>
          <w:rFonts w:ascii="Arial" w:eastAsia="Times New Roman" w:hAnsi="Arial" w:cs="Arial"/>
          <w:sz w:val="24"/>
          <w:szCs w:val="24"/>
          <w:lang w:val="en-GB" w:eastAsia="en-GB"/>
        </w:rPr>
        <w:t>)</w:t>
      </w:r>
    </w:p>
    <w:p w14:paraId="78C7F251" w14:textId="4D3BD15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Braun, V. and Clarke, V. (2021) ‘One size fits all? What counts as quality practice in (reflexive) thematic analysis?’, </w:t>
      </w:r>
      <w:r w:rsidRPr="00E02468">
        <w:rPr>
          <w:rFonts w:ascii="Arial" w:eastAsia="Times New Roman" w:hAnsi="Arial" w:cs="Arial"/>
          <w:i/>
          <w:iCs/>
          <w:sz w:val="24"/>
          <w:szCs w:val="24"/>
          <w:lang w:val="en-GB" w:eastAsia="en-GB"/>
        </w:rPr>
        <w:t>Qualitative Research in Psychology</w:t>
      </w:r>
      <w:r w:rsidRPr="00E02468">
        <w:rPr>
          <w:rFonts w:ascii="Arial" w:eastAsia="Times New Roman" w:hAnsi="Arial" w:cs="Arial"/>
          <w:sz w:val="24"/>
          <w:szCs w:val="24"/>
          <w:lang w:val="en-GB" w:eastAsia="en-GB"/>
        </w:rPr>
        <w:t>, 18(3), pp. 328–352.</w:t>
      </w:r>
      <w:r w:rsidRPr="00E02468">
        <w:rPr>
          <w:rFonts w:ascii="Arial" w:eastAsia="Times New Roman" w:hAnsi="Arial" w:cs="Arial"/>
          <w:sz w:val="24"/>
          <w:szCs w:val="24"/>
          <w:lang w:val="en-GB" w:eastAsia="en-GB"/>
        </w:rPr>
        <w:br/>
        <w:t>(</w:t>
      </w:r>
      <w:hyperlink r:id="rId36" w:history="1">
        <w:r w:rsidRPr="00E02468">
          <w:rPr>
            <w:rFonts w:ascii="Arial" w:eastAsia="Times New Roman" w:hAnsi="Arial" w:cs="Arial"/>
            <w:color w:val="0000FF"/>
            <w:sz w:val="24"/>
            <w:szCs w:val="24"/>
            <w:u w:val="single"/>
            <w:lang w:val="en-GB" w:eastAsia="en-GB"/>
          </w:rPr>
          <w:t>https://doi.org/10.1080/14780887.2020.1769238</w:t>
        </w:r>
      </w:hyperlink>
      <w:r w:rsidRPr="00E02468">
        <w:rPr>
          <w:rFonts w:ascii="Arial" w:eastAsia="Times New Roman" w:hAnsi="Arial" w:cs="Arial"/>
          <w:sz w:val="24"/>
          <w:szCs w:val="24"/>
          <w:lang w:val="en-GB" w:eastAsia="en-GB"/>
        </w:rPr>
        <w:t>)</w:t>
      </w:r>
    </w:p>
    <w:p w14:paraId="29A8046A" w14:textId="53BA80C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Byrne, D. (2022) ‘A worked example of Braun and Clarke’s approach to reflexive thematic analysis’, </w:t>
      </w:r>
      <w:r w:rsidRPr="00E02468">
        <w:rPr>
          <w:rFonts w:ascii="Arial" w:eastAsia="Times New Roman" w:hAnsi="Arial" w:cs="Arial"/>
          <w:i/>
          <w:iCs/>
          <w:sz w:val="24"/>
          <w:szCs w:val="24"/>
          <w:lang w:val="en-GB" w:eastAsia="en-GB"/>
        </w:rPr>
        <w:t>Quality &amp; Quantity</w:t>
      </w:r>
      <w:r w:rsidRPr="00E02468">
        <w:rPr>
          <w:rFonts w:ascii="Arial" w:eastAsia="Times New Roman" w:hAnsi="Arial" w:cs="Arial"/>
          <w:sz w:val="24"/>
          <w:szCs w:val="24"/>
          <w:lang w:val="en-GB" w:eastAsia="en-GB"/>
        </w:rPr>
        <w:t>, 56, pp. 1391–1412.</w:t>
      </w:r>
      <w:r w:rsidRPr="00E02468">
        <w:rPr>
          <w:rFonts w:ascii="Arial" w:eastAsia="Times New Roman" w:hAnsi="Arial" w:cs="Arial"/>
          <w:sz w:val="24"/>
          <w:szCs w:val="24"/>
          <w:lang w:val="en-GB" w:eastAsia="en-GB"/>
        </w:rPr>
        <w:br/>
        <w:t>(</w:t>
      </w:r>
      <w:hyperlink r:id="rId37" w:history="1">
        <w:r w:rsidRPr="00E02468">
          <w:rPr>
            <w:rFonts w:ascii="Arial" w:eastAsia="Times New Roman" w:hAnsi="Arial" w:cs="Arial"/>
            <w:color w:val="0000FF"/>
            <w:sz w:val="24"/>
            <w:szCs w:val="24"/>
            <w:u w:val="single"/>
            <w:lang w:val="en-GB" w:eastAsia="en-GB"/>
          </w:rPr>
          <w:t>https://doi.org/10.1007/s11135-021-01182-y</w:t>
        </w:r>
      </w:hyperlink>
      <w:r w:rsidRPr="00E02468">
        <w:rPr>
          <w:rFonts w:ascii="Arial" w:eastAsia="Times New Roman" w:hAnsi="Arial" w:cs="Arial"/>
          <w:sz w:val="24"/>
          <w:szCs w:val="24"/>
          <w:lang w:val="en-GB" w:eastAsia="en-GB"/>
        </w:rPr>
        <w:t>)</w:t>
      </w:r>
    </w:p>
    <w:p w14:paraId="2DBE1B12" w14:textId="5E3034D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Campbell, J.P. and Wiernik, B.M. (2015) ‘The modeling and assessment of work performance’, </w:t>
      </w:r>
      <w:r w:rsidRPr="00E02468">
        <w:rPr>
          <w:rFonts w:ascii="Arial" w:eastAsia="Times New Roman" w:hAnsi="Arial" w:cs="Arial"/>
          <w:i/>
          <w:iCs/>
          <w:sz w:val="24"/>
          <w:szCs w:val="24"/>
          <w:lang w:val="en-GB" w:eastAsia="en-GB"/>
        </w:rPr>
        <w:t>Annual Review of Organizational Psychology and Organizational Behavior</w:t>
      </w:r>
      <w:r w:rsidRPr="00E02468">
        <w:rPr>
          <w:rFonts w:ascii="Arial" w:eastAsia="Times New Roman" w:hAnsi="Arial" w:cs="Arial"/>
          <w:sz w:val="24"/>
          <w:szCs w:val="24"/>
          <w:lang w:val="en-GB" w:eastAsia="en-GB"/>
        </w:rPr>
        <w:t>, 2, pp. 47–74.</w:t>
      </w:r>
      <w:r w:rsidRPr="00E02468">
        <w:rPr>
          <w:rFonts w:ascii="Arial" w:eastAsia="Times New Roman" w:hAnsi="Arial" w:cs="Arial"/>
          <w:sz w:val="24"/>
          <w:szCs w:val="24"/>
          <w:lang w:val="en-GB" w:eastAsia="en-GB"/>
        </w:rPr>
        <w:br/>
        <w:t>(</w:t>
      </w:r>
      <w:hyperlink r:id="rId38" w:history="1">
        <w:r w:rsidRPr="00E02468">
          <w:rPr>
            <w:rFonts w:ascii="Arial" w:eastAsia="Times New Roman" w:hAnsi="Arial" w:cs="Arial"/>
            <w:color w:val="0000FF"/>
            <w:sz w:val="24"/>
            <w:szCs w:val="24"/>
            <w:u w:val="single"/>
            <w:lang w:val="en-GB" w:eastAsia="en-GB"/>
          </w:rPr>
          <w:t>https://doi.org/10.1146/annurev-orgpsych-032414-111427</w:t>
        </w:r>
      </w:hyperlink>
      <w:r w:rsidRPr="00E02468">
        <w:rPr>
          <w:rFonts w:ascii="Arial" w:eastAsia="Times New Roman" w:hAnsi="Arial" w:cs="Arial"/>
          <w:sz w:val="24"/>
          <w:szCs w:val="24"/>
          <w:lang w:val="en-GB" w:eastAsia="en-GB"/>
        </w:rPr>
        <w:t>)</w:t>
      </w:r>
    </w:p>
    <w:p w14:paraId="71213CBB" w14:textId="10733413"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Chathoth, P.K., Altinay, L., Harrington, R.J., Okumus, F. and Chan, E.S.W. (2022) ‘Co-creating value through employee engagement and service innovation’,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102, 103145.</w:t>
      </w:r>
      <w:r w:rsidRPr="00E02468">
        <w:rPr>
          <w:rFonts w:ascii="Arial" w:eastAsia="Times New Roman" w:hAnsi="Arial" w:cs="Arial"/>
          <w:sz w:val="24"/>
          <w:szCs w:val="24"/>
          <w:lang w:val="en-GB" w:eastAsia="en-GB"/>
        </w:rPr>
        <w:br/>
        <w:t>(</w:t>
      </w:r>
      <w:hyperlink r:id="rId39" w:history="1">
        <w:r w:rsidRPr="00E02468">
          <w:rPr>
            <w:rFonts w:ascii="Arial" w:eastAsia="Times New Roman" w:hAnsi="Arial" w:cs="Arial"/>
            <w:color w:val="0000FF"/>
            <w:sz w:val="24"/>
            <w:szCs w:val="24"/>
            <w:u w:val="single"/>
            <w:lang w:val="en-GB" w:eastAsia="en-GB"/>
          </w:rPr>
          <w:t>https://doi.org/10.1080/19388160.2021.1972068</w:t>
        </w:r>
      </w:hyperlink>
      <w:r w:rsidRPr="00E02468">
        <w:rPr>
          <w:rFonts w:ascii="Arial" w:eastAsia="Times New Roman" w:hAnsi="Arial" w:cs="Arial"/>
          <w:sz w:val="24"/>
          <w:szCs w:val="24"/>
          <w:lang w:val="en-GB" w:eastAsia="en-GB"/>
        </w:rPr>
        <w:t>)</w:t>
      </w:r>
    </w:p>
    <w:p w14:paraId="2323BECE" w14:textId="58E278E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Chikazhe, L. and Nyakunuwa, E. (2022) ‘The impact of employee empowerment and training on service quality’, </w:t>
      </w:r>
      <w:r w:rsidRPr="00E02468">
        <w:rPr>
          <w:rFonts w:ascii="Arial" w:eastAsia="Times New Roman" w:hAnsi="Arial" w:cs="Arial"/>
          <w:i/>
          <w:iCs/>
          <w:sz w:val="24"/>
          <w:szCs w:val="24"/>
          <w:lang w:val="en-GB" w:eastAsia="en-GB"/>
        </w:rPr>
        <w:t>Journal of Human Resources in Hospitality &amp; Tourism</w:t>
      </w:r>
      <w:r w:rsidRPr="00E02468">
        <w:rPr>
          <w:rFonts w:ascii="Arial" w:eastAsia="Times New Roman" w:hAnsi="Arial" w:cs="Arial"/>
          <w:sz w:val="24"/>
          <w:szCs w:val="24"/>
          <w:lang w:val="en-GB" w:eastAsia="en-GB"/>
        </w:rPr>
        <w:t>, 21(1), pp. 1–24.</w:t>
      </w:r>
      <w:r w:rsidRPr="00E02468">
        <w:rPr>
          <w:rFonts w:ascii="Arial" w:eastAsia="Times New Roman" w:hAnsi="Arial" w:cs="Arial"/>
          <w:sz w:val="24"/>
          <w:szCs w:val="24"/>
          <w:lang w:val="en-GB" w:eastAsia="en-GB"/>
        </w:rPr>
        <w:br/>
        <w:t>(</w:t>
      </w:r>
      <w:hyperlink r:id="rId40" w:history="1">
        <w:r w:rsidRPr="00E02468">
          <w:rPr>
            <w:rFonts w:ascii="Arial" w:eastAsia="Times New Roman" w:hAnsi="Arial" w:cs="Arial"/>
            <w:color w:val="0000FF"/>
            <w:sz w:val="24"/>
            <w:szCs w:val="24"/>
            <w:u w:val="single"/>
            <w:lang w:val="en-GB" w:eastAsia="en-GB"/>
          </w:rPr>
          <w:t>https://doi.org/10.1080/15332969.2021.1992560</w:t>
        </w:r>
      </w:hyperlink>
      <w:r w:rsidRPr="00E02468">
        <w:rPr>
          <w:rFonts w:ascii="Arial" w:eastAsia="Times New Roman" w:hAnsi="Arial" w:cs="Arial"/>
          <w:sz w:val="24"/>
          <w:szCs w:val="24"/>
          <w:lang w:val="en-GB" w:eastAsia="en-GB"/>
        </w:rPr>
        <w:t>)</w:t>
      </w:r>
    </w:p>
    <w:p w14:paraId="2D5BBBD4" w14:textId="3C1B13F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CIPD (2024) </w:t>
      </w:r>
      <w:r w:rsidRPr="00E02468">
        <w:rPr>
          <w:rFonts w:ascii="Arial" w:eastAsia="Times New Roman" w:hAnsi="Arial" w:cs="Arial"/>
          <w:i/>
          <w:iCs/>
          <w:sz w:val="24"/>
          <w:szCs w:val="24"/>
          <w:lang w:val="en-GB" w:eastAsia="en-GB"/>
        </w:rPr>
        <w:t>Benchmarking employee turnover: what are the latest trends and insights?</w:t>
      </w:r>
      <w:r w:rsidRPr="00E02468">
        <w:rPr>
          <w:rFonts w:ascii="Arial" w:eastAsia="Times New Roman" w:hAnsi="Arial" w:cs="Arial"/>
          <w:sz w:val="24"/>
          <w:szCs w:val="24"/>
          <w:lang w:val="en-GB" w:eastAsia="en-GB"/>
        </w:rPr>
        <w:t xml:space="preserve"> London: Chartered Institute of Personnel and Development.</w:t>
      </w:r>
      <w:r w:rsidRPr="00E02468">
        <w:rPr>
          <w:rFonts w:ascii="Arial" w:eastAsia="Times New Roman" w:hAnsi="Arial" w:cs="Arial"/>
          <w:sz w:val="24"/>
          <w:szCs w:val="24"/>
          <w:lang w:val="en-GB" w:eastAsia="en-GB"/>
        </w:rPr>
        <w:br/>
        <w:t>(</w:t>
      </w:r>
      <w:hyperlink r:id="rId41" w:history="1">
        <w:r w:rsidRPr="00E02468">
          <w:rPr>
            <w:rFonts w:ascii="Arial" w:eastAsia="Times New Roman" w:hAnsi="Arial" w:cs="Arial"/>
            <w:color w:val="0000FF"/>
            <w:sz w:val="24"/>
            <w:szCs w:val="24"/>
            <w:u w:val="single"/>
            <w:lang w:val="en-GB" w:eastAsia="en-GB"/>
          </w:rPr>
          <w:t>https://www.cipd.org/uk/views-and-insights/thought-leadership/cipd-voice/benchmarking-employee-turnover/</w:t>
        </w:r>
      </w:hyperlink>
      <w:r w:rsidRPr="00E02468">
        <w:rPr>
          <w:rFonts w:ascii="Arial" w:eastAsia="Times New Roman" w:hAnsi="Arial" w:cs="Arial"/>
          <w:sz w:val="24"/>
          <w:szCs w:val="24"/>
          <w:lang w:val="en-GB" w:eastAsia="en-GB"/>
        </w:rPr>
        <w:t>)</w:t>
      </w:r>
    </w:p>
    <w:p w14:paraId="3341896F" w14:textId="7CDCE7FD"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CIPD (2024) </w:t>
      </w:r>
      <w:r w:rsidRPr="00E02468">
        <w:rPr>
          <w:rFonts w:ascii="Arial" w:eastAsia="Times New Roman" w:hAnsi="Arial" w:cs="Arial"/>
          <w:i/>
          <w:iCs/>
          <w:sz w:val="24"/>
          <w:szCs w:val="24"/>
          <w:lang w:val="en-GB" w:eastAsia="en-GB"/>
        </w:rPr>
        <w:t>New focus on upskilling needed as staff turnover and vacancies are set to decline</w:t>
      </w:r>
      <w:r w:rsidRPr="00E02468">
        <w:rPr>
          <w:rFonts w:ascii="Arial" w:eastAsia="Times New Roman" w:hAnsi="Arial" w:cs="Arial"/>
          <w:sz w:val="24"/>
          <w:szCs w:val="24"/>
          <w:lang w:val="en-GB" w:eastAsia="en-GB"/>
        </w:rPr>
        <w:t>. London: Chartered Institute of Personnel and Development.</w:t>
      </w:r>
      <w:r w:rsidRPr="00E02468">
        <w:rPr>
          <w:rFonts w:ascii="Arial" w:eastAsia="Times New Roman" w:hAnsi="Arial" w:cs="Arial"/>
          <w:sz w:val="24"/>
          <w:szCs w:val="24"/>
          <w:lang w:val="en-GB" w:eastAsia="en-GB"/>
        </w:rPr>
        <w:br/>
        <w:t>(</w:t>
      </w:r>
      <w:hyperlink r:id="rId42" w:history="1">
        <w:r w:rsidRPr="00E02468">
          <w:rPr>
            <w:rFonts w:ascii="Arial" w:eastAsia="Times New Roman" w:hAnsi="Arial" w:cs="Arial"/>
            <w:color w:val="0000FF"/>
            <w:sz w:val="24"/>
            <w:szCs w:val="24"/>
            <w:u w:val="single"/>
            <w:lang w:val="en-GB" w:eastAsia="en-GB"/>
          </w:rPr>
          <w:t>https://www.cipd.org/uk/about/press-releases/new-focus-on-upskilling-needed-as-staff-turnover-and-vacancies-set-to-decline/</w:t>
        </w:r>
      </w:hyperlink>
      <w:r w:rsidRPr="00E02468">
        <w:rPr>
          <w:rFonts w:ascii="Arial" w:eastAsia="Times New Roman" w:hAnsi="Arial" w:cs="Arial"/>
          <w:sz w:val="24"/>
          <w:szCs w:val="24"/>
          <w:lang w:val="en-GB" w:eastAsia="en-GB"/>
        </w:rPr>
        <w:t>)</w:t>
      </w:r>
    </w:p>
    <w:p w14:paraId="744243DC" w14:textId="1B74910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CIPD (2026) </w:t>
      </w:r>
      <w:r w:rsidRPr="00E02468">
        <w:rPr>
          <w:rFonts w:ascii="Arial" w:eastAsia="Times New Roman" w:hAnsi="Arial" w:cs="Arial"/>
          <w:i/>
          <w:iCs/>
          <w:sz w:val="24"/>
          <w:szCs w:val="24"/>
          <w:lang w:val="en-GB" w:eastAsia="en-GB"/>
        </w:rPr>
        <w:t>Employee turnover</w:t>
      </w:r>
      <w:r w:rsidRPr="00E02468">
        <w:rPr>
          <w:rFonts w:ascii="Arial" w:eastAsia="Times New Roman" w:hAnsi="Arial" w:cs="Arial"/>
          <w:sz w:val="24"/>
          <w:szCs w:val="24"/>
          <w:lang w:val="en-GB" w:eastAsia="en-GB"/>
        </w:rPr>
        <w:t>. London: Chartered Institute of Personnel and Development.</w:t>
      </w:r>
      <w:r w:rsidRPr="00E02468">
        <w:rPr>
          <w:rFonts w:ascii="Arial" w:eastAsia="Times New Roman" w:hAnsi="Arial" w:cs="Arial"/>
          <w:sz w:val="24"/>
          <w:szCs w:val="24"/>
          <w:lang w:val="en-GB" w:eastAsia="en-GB"/>
        </w:rPr>
        <w:br/>
        <w:t>(</w:t>
      </w:r>
      <w:hyperlink r:id="rId43" w:history="1">
        <w:r w:rsidRPr="00E02468">
          <w:rPr>
            <w:rFonts w:ascii="Arial" w:eastAsia="Times New Roman" w:hAnsi="Arial" w:cs="Arial"/>
            <w:color w:val="0000FF"/>
            <w:sz w:val="24"/>
            <w:szCs w:val="24"/>
            <w:u w:val="single"/>
            <w:lang w:val="en-GB" w:eastAsia="en-GB"/>
          </w:rPr>
          <w:t>https://www.cipd.org/en/knowledge/datahub/employee-turnover/</w:t>
        </w:r>
      </w:hyperlink>
      <w:r w:rsidRPr="00E02468">
        <w:rPr>
          <w:rFonts w:ascii="Arial" w:eastAsia="Times New Roman" w:hAnsi="Arial" w:cs="Arial"/>
          <w:sz w:val="24"/>
          <w:szCs w:val="24"/>
          <w:lang w:val="en-GB" w:eastAsia="en-GB"/>
        </w:rPr>
        <w:t>)</w:t>
      </w:r>
    </w:p>
    <w:p w14:paraId="2D323547" w14:textId="73B6C11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Collins, C.J. (2021) ‘Expanding the resource-based view model of strategic human resource management’,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32(2), pp. 331–358.</w:t>
      </w:r>
      <w:r w:rsidRPr="00E02468">
        <w:rPr>
          <w:rFonts w:ascii="Arial" w:eastAsia="Times New Roman" w:hAnsi="Arial" w:cs="Arial"/>
          <w:sz w:val="24"/>
          <w:szCs w:val="24"/>
          <w:lang w:val="en-GB" w:eastAsia="en-GB"/>
        </w:rPr>
        <w:br/>
        <w:t>(</w:t>
      </w:r>
      <w:hyperlink r:id="rId44" w:history="1">
        <w:r w:rsidRPr="00E02468">
          <w:rPr>
            <w:rFonts w:ascii="Arial" w:eastAsia="Times New Roman" w:hAnsi="Arial" w:cs="Arial"/>
            <w:color w:val="0000FF"/>
            <w:sz w:val="24"/>
            <w:szCs w:val="24"/>
            <w:u w:val="single"/>
            <w:lang w:val="en-GB" w:eastAsia="en-GB"/>
          </w:rPr>
          <w:t>https://doi.org/10.1080/09585192.2019.1711442</w:t>
        </w:r>
      </w:hyperlink>
      <w:r w:rsidRPr="00E02468">
        <w:rPr>
          <w:rFonts w:ascii="Arial" w:eastAsia="Times New Roman" w:hAnsi="Arial" w:cs="Arial"/>
          <w:sz w:val="24"/>
          <w:szCs w:val="24"/>
          <w:lang w:val="en-GB" w:eastAsia="en-GB"/>
        </w:rPr>
        <w:t>)</w:t>
      </w:r>
    </w:p>
    <w:p w14:paraId="7A329D10" w14:textId="398E89D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Colquitt, J.A., Lepine, J.A. and Wesson, M.J. (2023) </w:t>
      </w:r>
      <w:r w:rsidRPr="00E02468">
        <w:rPr>
          <w:rFonts w:ascii="Arial" w:eastAsia="Times New Roman" w:hAnsi="Arial" w:cs="Arial"/>
          <w:i/>
          <w:iCs/>
          <w:sz w:val="24"/>
          <w:szCs w:val="24"/>
          <w:lang w:val="en-GB" w:eastAsia="en-GB"/>
        </w:rPr>
        <w:t>Organizational Behavior: Improving Performance and Commitment in the Workplace</w:t>
      </w:r>
      <w:r w:rsidRPr="00E02468">
        <w:rPr>
          <w:rFonts w:ascii="Arial" w:eastAsia="Times New Roman" w:hAnsi="Arial" w:cs="Arial"/>
          <w:sz w:val="24"/>
          <w:szCs w:val="24"/>
          <w:lang w:val="en-GB" w:eastAsia="en-GB"/>
        </w:rPr>
        <w:t>. 8th edn. New York: McGraw-Hill.</w:t>
      </w:r>
      <w:r w:rsidRPr="00E02468">
        <w:rPr>
          <w:rFonts w:ascii="Arial" w:eastAsia="Times New Roman" w:hAnsi="Arial" w:cs="Arial"/>
          <w:sz w:val="24"/>
          <w:szCs w:val="24"/>
          <w:lang w:val="en-GB" w:eastAsia="en-GB"/>
        </w:rPr>
        <w:br/>
        <w:t>(</w:t>
      </w:r>
      <w:hyperlink r:id="rId45" w:history="1">
        <w:r w:rsidRPr="00E02468">
          <w:rPr>
            <w:rFonts w:ascii="Arial" w:eastAsia="Times New Roman" w:hAnsi="Arial" w:cs="Arial"/>
            <w:color w:val="0000FF"/>
            <w:sz w:val="24"/>
            <w:szCs w:val="24"/>
            <w:u w:val="single"/>
            <w:lang w:val="en-GB" w:eastAsia="en-GB"/>
          </w:rPr>
          <w:t>https://www.mheducation.com/highered/product/organizational-behavior-colquitt.html</w:t>
        </w:r>
      </w:hyperlink>
      <w:r w:rsidRPr="00E02468">
        <w:rPr>
          <w:rFonts w:ascii="Arial" w:eastAsia="Times New Roman" w:hAnsi="Arial" w:cs="Arial"/>
          <w:sz w:val="24"/>
          <w:szCs w:val="24"/>
          <w:lang w:val="en-GB" w:eastAsia="en-GB"/>
        </w:rPr>
        <w:t>)</w:t>
      </w:r>
    </w:p>
    <w:p w14:paraId="02C05877" w14:textId="7A251D6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Cropanzano, R., Anthony, E.L., Daniels, S.R. and Hall, A.V. (2017) ‘Social exchange theory: a critical review with theoretical remedies’, </w:t>
      </w:r>
      <w:r w:rsidRPr="00E02468">
        <w:rPr>
          <w:rFonts w:ascii="Arial" w:eastAsia="Times New Roman" w:hAnsi="Arial" w:cs="Arial"/>
          <w:i/>
          <w:iCs/>
          <w:sz w:val="24"/>
          <w:szCs w:val="24"/>
          <w:lang w:val="en-GB" w:eastAsia="en-GB"/>
        </w:rPr>
        <w:t>Academy of Management Annals</w:t>
      </w:r>
      <w:r w:rsidRPr="00E02468">
        <w:rPr>
          <w:rFonts w:ascii="Arial" w:eastAsia="Times New Roman" w:hAnsi="Arial" w:cs="Arial"/>
          <w:sz w:val="24"/>
          <w:szCs w:val="24"/>
          <w:lang w:val="en-GB" w:eastAsia="en-GB"/>
        </w:rPr>
        <w:t>, 11(1), pp. 479–516.</w:t>
      </w:r>
      <w:r w:rsidRPr="00E02468">
        <w:rPr>
          <w:rFonts w:ascii="Arial" w:eastAsia="Times New Roman" w:hAnsi="Arial" w:cs="Arial"/>
          <w:sz w:val="24"/>
          <w:szCs w:val="24"/>
          <w:lang w:val="en-GB" w:eastAsia="en-GB"/>
        </w:rPr>
        <w:br/>
        <w:t>(</w:t>
      </w:r>
      <w:hyperlink r:id="rId46" w:history="1">
        <w:r w:rsidRPr="00E02468">
          <w:rPr>
            <w:rFonts w:ascii="Arial" w:eastAsia="Times New Roman" w:hAnsi="Arial" w:cs="Arial"/>
            <w:color w:val="0000FF"/>
            <w:sz w:val="24"/>
            <w:szCs w:val="24"/>
            <w:u w:val="single"/>
            <w:lang w:val="en-GB" w:eastAsia="en-GB"/>
          </w:rPr>
          <w:t>https://doi.org/10.5465/annals.2015.0099</w:t>
        </w:r>
      </w:hyperlink>
      <w:r w:rsidRPr="00E02468">
        <w:rPr>
          <w:rFonts w:ascii="Arial" w:eastAsia="Times New Roman" w:hAnsi="Arial" w:cs="Arial"/>
          <w:sz w:val="24"/>
          <w:szCs w:val="24"/>
          <w:lang w:val="en-GB" w:eastAsia="en-GB"/>
        </w:rPr>
        <w:t>)</w:t>
      </w:r>
    </w:p>
    <w:p w14:paraId="280E8534" w14:textId="35A5241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Davras, Ö. and Davras, G.M. (2024) ‘Human resource management practices and service-oriented behaviour in hospitality’,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119.</w:t>
      </w:r>
      <w:r w:rsidRPr="00E02468">
        <w:rPr>
          <w:rFonts w:ascii="Arial" w:eastAsia="Times New Roman" w:hAnsi="Arial" w:cs="Arial"/>
          <w:sz w:val="24"/>
          <w:szCs w:val="24"/>
          <w:lang w:val="en-GB" w:eastAsia="en-GB"/>
        </w:rPr>
        <w:br/>
        <w:t>(</w:t>
      </w:r>
      <w:hyperlink r:id="rId47" w:history="1">
        <w:r w:rsidRPr="00E02468">
          <w:rPr>
            <w:rFonts w:ascii="Arial" w:eastAsia="Times New Roman" w:hAnsi="Arial" w:cs="Arial"/>
            <w:color w:val="0000FF"/>
            <w:sz w:val="24"/>
            <w:szCs w:val="24"/>
            <w:u w:val="single"/>
            <w:lang w:val="en-GB" w:eastAsia="en-GB"/>
          </w:rPr>
          <w:t>https://doi.org/10.1016/j.ijhm.2024.103700</w:t>
        </w:r>
      </w:hyperlink>
      <w:r w:rsidRPr="00E02468">
        <w:rPr>
          <w:rFonts w:ascii="Arial" w:eastAsia="Times New Roman" w:hAnsi="Arial" w:cs="Arial"/>
          <w:sz w:val="24"/>
          <w:szCs w:val="24"/>
          <w:lang w:val="en-GB" w:eastAsia="en-GB"/>
        </w:rPr>
        <w:t>)</w:t>
      </w:r>
    </w:p>
    <w:p w14:paraId="5018E9AB" w14:textId="30FCB79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Deery, M. and Iverson, R. (1996) ‘Enhancing productivity: intervention strategies for employee turnover’,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15(4), pp. 371–384.</w:t>
      </w:r>
      <w:r w:rsidRPr="00E02468">
        <w:rPr>
          <w:rFonts w:ascii="Arial" w:eastAsia="Times New Roman" w:hAnsi="Arial" w:cs="Arial"/>
          <w:sz w:val="24"/>
          <w:szCs w:val="24"/>
          <w:lang w:val="en-GB" w:eastAsia="en-GB"/>
        </w:rPr>
        <w:br/>
        <w:t>(</w:t>
      </w:r>
      <w:hyperlink r:id="rId48" w:history="1">
        <w:r w:rsidRPr="00E02468">
          <w:rPr>
            <w:rFonts w:ascii="Arial" w:eastAsia="Times New Roman" w:hAnsi="Arial" w:cs="Arial"/>
            <w:color w:val="0000FF"/>
            <w:sz w:val="24"/>
            <w:szCs w:val="24"/>
            <w:u w:val="single"/>
            <w:lang w:val="en-GB" w:eastAsia="en-GB"/>
          </w:rPr>
          <w:t>https://doi.org/10.1016/S0278-4319(96)00032-0</w:t>
        </w:r>
      </w:hyperlink>
      <w:r w:rsidRPr="00E02468">
        <w:rPr>
          <w:rFonts w:ascii="Arial" w:eastAsia="Times New Roman" w:hAnsi="Arial" w:cs="Arial"/>
          <w:sz w:val="24"/>
          <w:szCs w:val="24"/>
          <w:lang w:val="en-GB" w:eastAsia="en-GB"/>
        </w:rPr>
        <w:t>)</w:t>
      </w:r>
    </w:p>
    <w:p w14:paraId="66C9246E" w14:textId="36EF2BD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Delery, J.E. and Shaw, J.D. (2001) ‘The strategic management of people in work organizations’, </w:t>
      </w:r>
      <w:r w:rsidRPr="00E02468">
        <w:rPr>
          <w:rFonts w:ascii="Arial" w:eastAsia="Times New Roman" w:hAnsi="Arial" w:cs="Arial"/>
          <w:i/>
          <w:iCs/>
          <w:sz w:val="24"/>
          <w:szCs w:val="24"/>
          <w:lang w:val="en-GB" w:eastAsia="en-GB"/>
        </w:rPr>
        <w:t>Research in Personnel and Human Resources Management</w:t>
      </w:r>
      <w:r w:rsidRPr="00E02468">
        <w:rPr>
          <w:rFonts w:ascii="Arial" w:eastAsia="Times New Roman" w:hAnsi="Arial" w:cs="Arial"/>
          <w:sz w:val="24"/>
          <w:szCs w:val="24"/>
          <w:lang w:val="en-GB" w:eastAsia="en-GB"/>
        </w:rPr>
        <w:t>, 20, pp. 165–197.</w:t>
      </w:r>
      <w:r w:rsidRPr="00E02468">
        <w:rPr>
          <w:rFonts w:ascii="Arial" w:eastAsia="Times New Roman" w:hAnsi="Arial" w:cs="Arial"/>
          <w:sz w:val="24"/>
          <w:szCs w:val="24"/>
          <w:lang w:val="en-GB" w:eastAsia="en-GB"/>
        </w:rPr>
        <w:br/>
        <w:t>(</w:t>
      </w:r>
      <w:hyperlink r:id="rId49" w:history="1">
        <w:r w:rsidRPr="00E02468">
          <w:rPr>
            <w:rFonts w:ascii="Arial" w:eastAsia="Times New Roman" w:hAnsi="Arial" w:cs="Arial"/>
            <w:color w:val="0000FF"/>
            <w:sz w:val="24"/>
            <w:szCs w:val="24"/>
            <w:u w:val="single"/>
            <w:lang w:val="en-GB" w:eastAsia="en-GB"/>
          </w:rPr>
          <w:t>https://doi.org/10.1016/S0742-7301(01)20004-6</w:t>
        </w:r>
      </w:hyperlink>
      <w:r w:rsidRPr="00E02468">
        <w:rPr>
          <w:rFonts w:ascii="Arial" w:eastAsia="Times New Roman" w:hAnsi="Arial" w:cs="Arial"/>
          <w:sz w:val="24"/>
          <w:szCs w:val="24"/>
          <w:lang w:val="en-GB" w:eastAsia="en-GB"/>
        </w:rPr>
        <w:t>)</w:t>
      </w:r>
    </w:p>
    <w:p w14:paraId="4D876B99" w14:textId="153AB24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DiPietro, R.B., Thozhur, S.M. and Milman, A. (2008) ‘Hourly employee retention factors in the United Kingdom quick service restaurant industry’, </w:t>
      </w:r>
      <w:r w:rsidRPr="00E02468">
        <w:rPr>
          <w:rFonts w:ascii="Arial" w:eastAsia="Times New Roman" w:hAnsi="Arial" w:cs="Arial"/>
          <w:i/>
          <w:iCs/>
          <w:sz w:val="24"/>
          <w:szCs w:val="24"/>
          <w:lang w:val="en-GB" w:eastAsia="en-GB"/>
        </w:rPr>
        <w:t>Journal of Foodservice Business Research</w:t>
      </w:r>
      <w:r w:rsidRPr="00E02468">
        <w:rPr>
          <w:rFonts w:ascii="Arial" w:eastAsia="Times New Roman" w:hAnsi="Arial" w:cs="Arial"/>
          <w:sz w:val="24"/>
          <w:szCs w:val="24"/>
          <w:lang w:val="en-GB" w:eastAsia="en-GB"/>
        </w:rPr>
        <w:t>, 10(4), pp. 39–61.</w:t>
      </w:r>
      <w:r w:rsidRPr="00E02468">
        <w:rPr>
          <w:rFonts w:ascii="Arial" w:eastAsia="Times New Roman" w:hAnsi="Arial" w:cs="Arial"/>
          <w:sz w:val="24"/>
          <w:szCs w:val="24"/>
          <w:lang w:val="en-GB" w:eastAsia="en-GB"/>
        </w:rPr>
        <w:br/>
        <w:t>(</w:t>
      </w:r>
      <w:hyperlink r:id="rId50" w:history="1">
        <w:r w:rsidRPr="00E02468">
          <w:rPr>
            <w:rFonts w:ascii="Arial" w:eastAsia="Times New Roman" w:hAnsi="Arial" w:cs="Arial"/>
            <w:color w:val="0000FF"/>
            <w:sz w:val="24"/>
            <w:szCs w:val="24"/>
            <w:u w:val="single"/>
            <w:lang w:val="en-GB" w:eastAsia="en-GB"/>
          </w:rPr>
          <w:t>https://doi.org/10.1300/J369v10n04_04</w:t>
        </w:r>
      </w:hyperlink>
      <w:r w:rsidRPr="00E02468">
        <w:rPr>
          <w:rFonts w:ascii="Arial" w:eastAsia="Times New Roman" w:hAnsi="Arial" w:cs="Arial"/>
          <w:sz w:val="24"/>
          <w:szCs w:val="24"/>
          <w:lang w:val="en-GB" w:eastAsia="en-GB"/>
        </w:rPr>
        <w:t>)</w:t>
      </w:r>
    </w:p>
    <w:p w14:paraId="5F37AC0A" w14:textId="5ACD1EC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Eisenberger, R., Huntington, R., Hutchison, S. and Sowa, D. (1986) ‘Perceived organizational support’, </w:t>
      </w:r>
      <w:r w:rsidRPr="00E02468">
        <w:rPr>
          <w:rFonts w:ascii="Arial" w:eastAsia="Times New Roman" w:hAnsi="Arial" w:cs="Arial"/>
          <w:i/>
          <w:iCs/>
          <w:sz w:val="24"/>
          <w:szCs w:val="24"/>
          <w:lang w:val="en-GB" w:eastAsia="en-GB"/>
        </w:rPr>
        <w:t>Journal of Applied Psychology</w:t>
      </w:r>
      <w:r w:rsidRPr="00E02468">
        <w:rPr>
          <w:rFonts w:ascii="Arial" w:eastAsia="Times New Roman" w:hAnsi="Arial" w:cs="Arial"/>
          <w:sz w:val="24"/>
          <w:szCs w:val="24"/>
          <w:lang w:val="en-GB" w:eastAsia="en-GB"/>
        </w:rPr>
        <w:t>, 71(3), pp. 500–507.</w:t>
      </w:r>
      <w:r w:rsidRPr="00E02468">
        <w:rPr>
          <w:rFonts w:ascii="Arial" w:eastAsia="Times New Roman" w:hAnsi="Arial" w:cs="Arial"/>
          <w:sz w:val="24"/>
          <w:szCs w:val="24"/>
          <w:lang w:val="en-GB" w:eastAsia="en-GB"/>
        </w:rPr>
        <w:br/>
        <w:t>(</w:t>
      </w:r>
      <w:hyperlink r:id="rId51" w:history="1">
        <w:r w:rsidRPr="00E02468">
          <w:rPr>
            <w:rFonts w:ascii="Arial" w:eastAsia="Times New Roman" w:hAnsi="Arial" w:cs="Arial"/>
            <w:color w:val="0000FF"/>
            <w:sz w:val="24"/>
            <w:szCs w:val="24"/>
            <w:u w:val="single"/>
            <w:lang w:val="en-GB" w:eastAsia="en-GB"/>
          </w:rPr>
          <w:t>https://doi.org/10.1037/0021-9010.71.3.500</w:t>
        </w:r>
      </w:hyperlink>
      <w:r w:rsidRPr="00E02468">
        <w:rPr>
          <w:rFonts w:ascii="Arial" w:eastAsia="Times New Roman" w:hAnsi="Arial" w:cs="Arial"/>
          <w:sz w:val="24"/>
          <w:szCs w:val="24"/>
          <w:lang w:val="en-GB" w:eastAsia="en-GB"/>
        </w:rPr>
        <w:t>)</w:t>
      </w:r>
    </w:p>
    <w:p w14:paraId="75CFE534" w14:textId="03F69E0D"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El Akremi, A., Gond, J.P., Swaen, V., De Roeck, K. and Igalens, J. (2018) ‘How do employees perceive corporate responsibility?’, </w:t>
      </w:r>
      <w:r w:rsidRPr="00E02468">
        <w:rPr>
          <w:rFonts w:ascii="Arial" w:eastAsia="Times New Roman" w:hAnsi="Arial" w:cs="Arial"/>
          <w:i/>
          <w:iCs/>
          <w:sz w:val="24"/>
          <w:szCs w:val="24"/>
          <w:lang w:val="en-GB" w:eastAsia="en-GB"/>
        </w:rPr>
        <w:t>Journal of Business Ethics</w:t>
      </w:r>
      <w:r w:rsidRPr="00E02468">
        <w:rPr>
          <w:rFonts w:ascii="Arial" w:eastAsia="Times New Roman" w:hAnsi="Arial" w:cs="Arial"/>
          <w:sz w:val="24"/>
          <w:szCs w:val="24"/>
          <w:lang w:val="en-GB" w:eastAsia="en-GB"/>
        </w:rPr>
        <w:t>, 157, pp. 119–136.</w:t>
      </w:r>
      <w:r w:rsidRPr="00E02468">
        <w:rPr>
          <w:rFonts w:ascii="Arial" w:eastAsia="Times New Roman" w:hAnsi="Arial" w:cs="Arial"/>
          <w:sz w:val="24"/>
          <w:szCs w:val="24"/>
          <w:lang w:val="en-GB" w:eastAsia="en-GB"/>
        </w:rPr>
        <w:br/>
        <w:t>(</w:t>
      </w:r>
      <w:hyperlink r:id="rId52" w:history="1">
        <w:r w:rsidRPr="00E02468">
          <w:rPr>
            <w:rFonts w:ascii="Arial" w:eastAsia="Times New Roman" w:hAnsi="Arial" w:cs="Arial"/>
            <w:color w:val="0000FF"/>
            <w:sz w:val="24"/>
            <w:szCs w:val="24"/>
            <w:u w:val="single"/>
            <w:lang w:val="en-GB" w:eastAsia="en-GB"/>
          </w:rPr>
          <w:t>https://doi.org/10.1007/s10551-017-3666-0</w:t>
        </w:r>
      </w:hyperlink>
      <w:r w:rsidRPr="00E02468">
        <w:rPr>
          <w:rFonts w:ascii="Arial" w:eastAsia="Times New Roman" w:hAnsi="Arial" w:cs="Arial"/>
          <w:sz w:val="24"/>
          <w:szCs w:val="24"/>
          <w:lang w:val="en-GB" w:eastAsia="en-GB"/>
        </w:rPr>
        <w:t>)</w:t>
      </w:r>
    </w:p>
    <w:p w14:paraId="4398F978" w14:textId="058D85F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Fang, Y., Qureshi, I., Sun, H., McCole, P., Ramsey, E. and Lim, K.H. (2014) ‘Trust, satisfaction, and online repurchase intention’, </w:t>
      </w:r>
      <w:r w:rsidRPr="00E02468">
        <w:rPr>
          <w:rFonts w:ascii="Arial" w:eastAsia="Times New Roman" w:hAnsi="Arial" w:cs="Arial"/>
          <w:i/>
          <w:iCs/>
          <w:sz w:val="24"/>
          <w:szCs w:val="24"/>
          <w:lang w:val="en-GB" w:eastAsia="en-GB"/>
        </w:rPr>
        <w:t>MIS Quarterly</w:t>
      </w:r>
      <w:r w:rsidRPr="00E02468">
        <w:rPr>
          <w:rFonts w:ascii="Arial" w:eastAsia="Times New Roman" w:hAnsi="Arial" w:cs="Arial"/>
          <w:sz w:val="24"/>
          <w:szCs w:val="24"/>
          <w:lang w:val="en-GB" w:eastAsia="en-GB"/>
        </w:rPr>
        <w:t>, 38(2), pp. 407–426.</w:t>
      </w:r>
      <w:r w:rsidRPr="00E02468">
        <w:rPr>
          <w:rFonts w:ascii="Arial" w:eastAsia="Times New Roman" w:hAnsi="Arial" w:cs="Arial"/>
          <w:sz w:val="24"/>
          <w:szCs w:val="24"/>
          <w:lang w:val="en-GB" w:eastAsia="en-GB"/>
        </w:rPr>
        <w:br/>
        <w:t>(</w:t>
      </w:r>
      <w:hyperlink r:id="rId53" w:history="1">
        <w:r w:rsidRPr="00E02468">
          <w:rPr>
            <w:rFonts w:ascii="Arial" w:eastAsia="Times New Roman" w:hAnsi="Arial" w:cs="Arial"/>
            <w:color w:val="0000FF"/>
            <w:sz w:val="24"/>
            <w:szCs w:val="24"/>
            <w:u w:val="single"/>
            <w:lang w:val="en-GB" w:eastAsia="en-GB"/>
          </w:rPr>
          <w:t>https://doi.org/10.25300/MISQ/2014/38.2.04</w:t>
        </w:r>
      </w:hyperlink>
      <w:r w:rsidRPr="00E02468">
        <w:rPr>
          <w:rFonts w:ascii="Arial" w:eastAsia="Times New Roman" w:hAnsi="Arial" w:cs="Arial"/>
          <w:sz w:val="24"/>
          <w:szCs w:val="24"/>
          <w:lang w:val="en-GB" w:eastAsia="en-GB"/>
        </w:rPr>
        <w:t>)</w:t>
      </w:r>
    </w:p>
    <w:p w14:paraId="5EA75AEA" w14:textId="07D626B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Gerhart, B. and Feng, J. (2021) ‘The resource-based view of the firm, human resources, and human capital: progress and prospects’,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47(7), pp. 1796–1819.</w:t>
      </w:r>
      <w:r w:rsidRPr="00E02468">
        <w:rPr>
          <w:rFonts w:ascii="Arial" w:eastAsia="Times New Roman" w:hAnsi="Arial" w:cs="Arial"/>
          <w:sz w:val="24"/>
          <w:szCs w:val="24"/>
          <w:lang w:val="en-GB" w:eastAsia="en-GB"/>
        </w:rPr>
        <w:br/>
        <w:t>(</w:t>
      </w:r>
      <w:hyperlink r:id="rId54" w:history="1">
        <w:r w:rsidRPr="00E02468">
          <w:rPr>
            <w:rFonts w:ascii="Arial" w:eastAsia="Times New Roman" w:hAnsi="Arial" w:cs="Arial"/>
            <w:color w:val="0000FF"/>
            <w:sz w:val="24"/>
            <w:szCs w:val="24"/>
            <w:u w:val="single"/>
            <w:lang w:val="en-GB" w:eastAsia="en-GB"/>
          </w:rPr>
          <w:t>https://doi.org/10.1177/0149206320978799</w:t>
        </w:r>
      </w:hyperlink>
      <w:r w:rsidRPr="00E02468">
        <w:rPr>
          <w:rFonts w:ascii="Arial" w:eastAsia="Times New Roman" w:hAnsi="Arial" w:cs="Arial"/>
          <w:sz w:val="24"/>
          <w:szCs w:val="24"/>
          <w:lang w:val="en-GB" w:eastAsia="en-GB"/>
        </w:rPr>
        <w:t>)</w:t>
      </w:r>
    </w:p>
    <w:p w14:paraId="5557B98B" w14:textId="14A061D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Georgiadis, A. and Kornelakis, A. (2021) ‘Human resources and service quality: the mediating role of employees’ human capital and turnover’, </w:t>
      </w:r>
      <w:r w:rsidRPr="00E02468">
        <w:rPr>
          <w:rFonts w:ascii="Arial" w:eastAsia="Times New Roman" w:hAnsi="Arial" w:cs="Arial"/>
          <w:i/>
          <w:iCs/>
          <w:sz w:val="24"/>
          <w:szCs w:val="24"/>
          <w:lang w:val="en-GB" w:eastAsia="en-GB"/>
        </w:rPr>
        <w:t>Academy of Management Proceedings</w:t>
      </w:r>
      <w:r w:rsidRPr="00E02468">
        <w:rPr>
          <w:rFonts w:ascii="Arial" w:eastAsia="Times New Roman" w:hAnsi="Arial" w:cs="Arial"/>
          <w:sz w:val="24"/>
          <w:szCs w:val="24"/>
          <w:lang w:val="en-GB" w:eastAsia="en-GB"/>
        </w:rPr>
        <w:t>.</w:t>
      </w:r>
      <w:r w:rsidRPr="00E02468">
        <w:rPr>
          <w:rFonts w:ascii="Arial" w:eastAsia="Times New Roman" w:hAnsi="Arial" w:cs="Arial"/>
          <w:sz w:val="24"/>
          <w:szCs w:val="24"/>
          <w:lang w:val="en-GB" w:eastAsia="en-GB"/>
        </w:rPr>
        <w:br/>
        <w:t>(</w:t>
      </w:r>
      <w:hyperlink r:id="rId55" w:history="1">
        <w:r w:rsidRPr="00E02468">
          <w:rPr>
            <w:rFonts w:ascii="Arial" w:eastAsia="Times New Roman" w:hAnsi="Arial" w:cs="Arial"/>
            <w:color w:val="0000FF"/>
            <w:sz w:val="24"/>
            <w:szCs w:val="24"/>
            <w:u w:val="single"/>
            <w:lang w:val="en-GB" w:eastAsia="en-GB"/>
          </w:rPr>
          <w:t>https://doi.org/10.5465/AMBPP.2021.11774abstract</w:t>
        </w:r>
      </w:hyperlink>
      <w:r w:rsidRPr="00E02468">
        <w:rPr>
          <w:rFonts w:ascii="Arial" w:eastAsia="Times New Roman" w:hAnsi="Arial" w:cs="Arial"/>
          <w:sz w:val="24"/>
          <w:szCs w:val="24"/>
          <w:lang w:val="en-GB" w:eastAsia="en-GB"/>
        </w:rPr>
        <w:t>)</w:t>
      </w:r>
    </w:p>
    <w:p w14:paraId="2175F0F9" w14:textId="4D7E675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Grönroos, C. (1984) ‘A service quality model and its marketing implications’, </w:t>
      </w:r>
      <w:r w:rsidRPr="00E02468">
        <w:rPr>
          <w:rFonts w:ascii="Arial" w:eastAsia="Times New Roman" w:hAnsi="Arial" w:cs="Arial"/>
          <w:i/>
          <w:iCs/>
          <w:sz w:val="24"/>
          <w:szCs w:val="24"/>
          <w:lang w:val="en-GB" w:eastAsia="en-GB"/>
        </w:rPr>
        <w:t>European Journal of Marketing</w:t>
      </w:r>
      <w:r w:rsidRPr="00E02468">
        <w:rPr>
          <w:rFonts w:ascii="Arial" w:eastAsia="Times New Roman" w:hAnsi="Arial" w:cs="Arial"/>
          <w:sz w:val="24"/>
          <w:szCs w:val="24"/>
          <w:lang w:val="en-GB" w:eastAsia="en-GB"/>
        </w:rPr>
        <w:t>, 18(4), pp. 36–44.</w:t>
      </w:r>
      <w:r w:rsidRPr="00E02468">
        <w:rPr>
          <w:rFonts w:ascii="Arial" w:eastAsia="Times New Roman" w:hAnsi="Arial" w:cs="Arial"/>
          <w:sz w:val="24"/>
          <w:szCs w:val="24"/>
          <w:lang w:val="en-GB" w:eastAsia="en-GB"/>
        </w:rPr>
        <w:br/>
        <w:t>(</w:t>
      </w:r>
      <w:hyperlink r:id="rId56" w:history="1">
        <w:r w:rsidRPr="00E02468">
          <w:rPr>
            <w:rFonts w:ascii="Arial" w:eastAsia="Times New Roman" w:hAnsi="Arial" w:cs="Arial"/>
            <w:color w:val="0000FF"/>
            <w:sz w:val="24"/>
            <w:szCs w:val="24"/>
            <w:u w:val="single"/>
            <w:lang w:val="en-GB" w:eastAsia="en-GB"/>
          </w:rPr>
          <w:t>https://doi.org/10.1108/EUM0000000004784</w:t>
        </w:r>
      </w:hyperlink>
      <w:r w:rsidRPr="00E02468">
        <w:rPr>
          <w:rFonts w:ascii="Arial" w:eastAsia="Times New Roman" w:hAnsi="Arial" w:cs="Arial"/>
          <w:sz w:val="24"/>
          <w:szCs w:val="24"/>
          <w:lang w:val="en-GB" w:eastAsia="en-GB"/>
        </w:rPr>
        <w:t>)</w:t>
      </w:r>
    </w:p>
    <w:p w14:paraId="44AA5460" w14:textId="5C3835F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Guest, D.E. (1997) ‘Human resource management and performance: a review and research agenda’,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8(3), pp. 263–276.</w:t>
      </w:r>
      <w:r w:rsidRPr="00E02468">
        <w:rPr>
          <w:rFonts w:ascii="Arial" w:eastAsia="Times New Roman" w:hAnsi="Arial" w:cs="Arial"/>
          <w:sz w:val="24"/>
          <w:szCs w:val="24"/>
          <w:lang w:val="en-GB" w:eastAsia="en-GB"/>
        </w:rPr>
        <w:br/>
        <w:t>(</w:t>
      </w:r>
      <w:hyperlink r:id="rId57" w:history="1">
        <w:r w:rsidRPr="00E02468">
          <w:rPr>
            <w:rFonts w:ascii="Arial" w:eastAsia="Times New Roman" w:hAnsi="Arial" w:cs="Arial"/>
            <w:color w:val="0000FF"/>
            <w:sz w:val="24"/>
            <w:szCs w:val="24"/>
            <w:u w:val="single"/>
            <w:lang w:val="en-GB" w:eastAsia="en-GB"/>
          </w:rPr>
          <w:t>https://doi.org/10.1080/095851997341630</w:t>
        </w:r>
      </w:hyperlink>
      <w:r w:rsidRPr="00E02468">
        <w:rPr>
          <w:rFonts w:ascii="Arial" w:eastAsia="Times New Roman" w:hAnsi="Arial" w:cs="Arial"/>
          <w:sz w:val="24"/>
          <w:szCs w:val="24"/>
          <w:lang w:val="en-GB" w:eastAsia="en-GB"/>
        </w:rPr>
        <w:t>)</w:t>
      </w:r>
    </w:p>
    <w:p w14:paraId="5573D17F" w14:textId="6BFC836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Guest, D.E. (2017) ‘Human resource management and employee well-being: towards a new analytic framework’, </w:t>
      </w:r>
      <w:r w:rsidRPr="00E02468">
        <w:rPr>
          <w:rFonts w:ascii="Arial" w:eastAsia="Times New Roman" w:hAnsi="Arial" w:cs="Arial"/>
          <w:i/>
          <w:iCs/>
          <w:sz w:val="24"/>
          <w:szCs w:val="24"/>
          <w:lang w:val="en-GB" w:eastAsia="en-GB"/>
        </w:rPr>
        <w:t>Human Resource Management Journal</w:t>
      </w:r>
      <w:r w:rsidRPr="00E02468">
        <w:rPr>
          <w:rFonts w:ascii="Arial" w:eastAsia="Times New Roman" w:hAnsi="Arial" w:cs="Arial"/>
          <w:sz w:val="24"/>
          <w:szCs w:val="24"/>
          <w:lang w:val="en-GB" w:eastAsia="en-GB"/>
        </w:rPr>
        <w:t>, 27(1), pp. 22–38.</w:t>
      </w:r>
      <w:r w:rsidRPr="00E02468">
        <w:rPr>
          <w:rFonts w:ascii="Arial" w:eastAsia="Times New Roman" w:hAnsi="Arial" w:cs="Arial"/>
          <w:sz w:val="24"/>
          <w:szCs w:val="24"/>
          <w:lang w:val="en-GB" w:eastAsia="en-GB"/>
        </w:rPr>
        <w:br/>
        <w:t>(</w:t>
      </w:r>
      <w:hyperlink r:id="rId58" w:history="1">
        <w:r w:rsidRPr="00E02468">
          <w:rPr>
            <w:rFonts w:ascii="Arial" w:eastAsia="Times New Roman" w:hAnsi="Arial" w:cs="Arial"/>
            <w:color w:val="0000FF"/>
            <w:sz w:val="24"/>
            <w:szCs w:val="24"/>
            <w:u w:val="single"/>
            <w:lang w:val="en-GB" w:eastAsia="en-GB"/>
          </w:rPr>
          <w:t>https://doi.org/10.1111/1748-8583.12139</w:t>
        </w:r>
      </w:hyperlink>
      <w:r w:rsidRPr="00E02468">
        <w:rPr>
          <w:rFonts w:ascii="Arial" w:eastAsia="Times New Roman" w:hAnsi="Arial" w:cs="Arial"/>
          <w:sz w:val="24"/>
          <w:szCs w:val="24"/>
          <w:lang w:val="en-GB" w:eastAsia="en-GB"/>
        </w:rPr>
        <w:t>)</w:t>
      </w:r>
    </w:p>
    <w:p w14:paraId="5738E12F" w14:textId="222EE97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Heskett, J.L., Sasser, W.E. and Schlesinger, L.A. (1997) </w:t>
      </w:r>
      <w:r w:rsidRPr="00E02468">
        <w:rPr>
          <w:rFonts w:ascii="Arial" w:eastAsia="Times New Roman" w:hAnsi="Arial" w:cs="Arial"/>
          <w:i/>
          <w:iCs/>
          <w:sz w:val="24"/>
          <w:szCs w:val="24"/>
          <w:lang w:val="en-GB" w:eastAsia="en-GB"/>
        </w:rPr>
        <w:t>The Service Profit Chain</w:t>
      </w:r>
      <w:r w:rsidRPr="00E02468">
        <w:rPr>
          <w:rFonts w:ascii="Arial" w:eastAsia="Times New Roman" w:hAnsi="Arial" w:cs="Arial"/>
          <w:sz w:val="24"/>
          <w:szCs w:val="24"/>
          <w:lang w:val="en-GB" w:eastAsia="en-GB"/>
        </w:rPr>
        <w:t>. New York: Free Press.</w:t>
      </w:r>
      <w:r w:rsidRPr="00E02468">
        <w:rPr>
          <w:rFonts w:ascii="Arial" w:eastAsia="Times New Roman" w:hAnsi="Arial" w:cs="Arial"/>
          <w:sz w:val="24"/>
          <w:szCs w:val="24"/>
          <w:lang w:val="en-GB" w:eastAsia="en-GB"/>
        </w:rPr>
        <w:br/>
        <w:t>(</w:t>
      </w:r>
      <w:hyperlink r:id="rId59" w:history="1">
        <w:r w:rsidRPr="00E02468">
          <w:rPr>
            <w:rFonts w:ascii="Arial" w:eastAsia="Times New Roman" w:hAnsi="Arial" w:cs="Arial"/>
            <w:color w:val="0000FF"/>
            <w:sz w:val="24"/>
            <w:szCs w:val="24"/>
            <w:u w:val="single"/>
            <w:lang w:val="en-GB" w:eastAsia="en-GB"/>
          </w:rPr>
          <w:t>https://www.simonandschuster.com/books/The-Service-Profit-Chain/James-L-Heskett/9780684832569</w:t>
        </w:r>
      </w:hyperlink>
      <w:r w:rsidRPr="00E02468">
        <w:rPr>
          <w:rFonts w:ascii="Arial" w:eastAsia="Times New Roman" w:hAnsi="Arial" w:cs="Arial"/>
          <w:sz w:val="24"/>
          <w:szCs w:val="24"/>
          <w:lang w:val="en-GB" w:eastAsia="en-GB"/>
        </w:rPr>
        <w:t>)</w:t>
      </w:r>
    </w:p>
    <w:p w14:paraId="3C239F11" w14:textId="6FBB680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Huselid, M.A. (1995) ‘The impact of human resource management practices on turnover, productivity, and corporate financial performance’,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38(3), pp. 635–672.</w:t>
      </w:r>
      <w:r w:rsidRPr="00E02468">
        <w:rPr>
          <w:rFonts w:ascii="Arial" w:eastAsia="Times New Roman" w:hAnsi="Arial" w:cs="Arial"/>
          <w:sz w:val="24"/>
          <w:szCs w:val="24"/>
          <w:lang w:val="en-GB" w:eastAsia="en-GB"/>
        </w:rPr>
        <w:br/>
        <w:t>(</w:t>
      </w:r>
      <w:hyperlink r:id="rId60" w:history="1">
        <w:r w:rsidRPr="00E02468">
          <w:rPr>
            <w:rFonts w:ascii="Arial" w:eastAsia="Times New Roman" w:hAnsi="Arial" w:cs="Arial"/>
            <w:color w:val="0000FF"/>
            <w:sz w:val="24"/>
            <w:szCs w:val="24"/>
            <w:u w:val="single"/>
            <w:lang w:val="en-GB" w:eastAsia="en-GB"/>
          </w:rPr>
          <w:t>https://doi.org/10.2307/256741</w:t>
        </w:r>
      </w:hyperlink>
      <w:r w:rsidRPr="00E02468">
        <w:rPr>
          <w:rFonts w:ascii="Arial" w:eastAsia="Times New Roman" w:hAnsi="Arial" w:cs="Arial"/>
          <w:sz w:val="24"/>
          <w:szCs w:val="24"/>
          <w:lang w:val="en-GB" w:eastAsia="en-GB"/>
        </w:rPr>
        <w:t>)</w:t>
      </w:r>
    </w:p>
    <w:p w14:paraId="3D9A2498" w14:textId="7DBC9F6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Jiang, K., Lepak, D.P., Hu, J. and Baer, J.C. (2012) ‘How does human resource management influence organizational outcomes?’,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55(6), pp. 1264–1294.</w:t>
      </w:r>
      <w:r w:rsidRPr="00E02468">
        <w:rPr>
          <w:rFonts w:ascii="Arial" w:eastAsia="Times New Roman" w:hAnsi="Arial" w:cs="Arial"/>
          <w:sz w:val="24"/>
          <w:szCs w:val="24"/>
          <w:lang w:val="en-GB" w:eastAsia="en-GB"/>
        </w:rPr>
        <w:br/>
        <w:t>(</w:t>
      </w:r>
      <w:hyperlink r:id="rId61" w:history="1">
        <w:r w:rsidRPr="00E02468">
          <w:rPr>
            <w:rFonts w:ascii="Arial" w:eastAsia="Times New Roman" w:hAnsi="Arial" w:cs="Arial"/>
            <w:color w:val="0000FF"/>
            <w:sz w:val="24"/>
            <w:szCs w:val="24"/>
            <w:u w:val="single"/>
            <w:lang w:val="en-GB" w:eastAsia="en-GB"/>
          </w:rPr>
          <w:t>https://doi.org/10.5465/amj.2011.0088</w:t>
        </w:r>
      </w:hyperlink>
      <w:r w:rsidRPr="00E02468">
        <w:rPr>
          <w:rFonts w:ascii="Arial" w:eastAsia="Times New Roman" w:hAnsi="Arial" w:cs="Arial"/>
          <w:sz w:val="24"/>
          <w:szCs w:val="24"/>
          <w:lang w:val="en-GB" w:eastAsia="en-GB"/>
        </w:rPr>
        <w:t>)</w:t>
      </w:r>
    </w:p>
    <w:p w14:paraId="5D7AB7C1" w14:textId="78BF7EE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Karatepe, O.M. (2013) ‘High-performance work practices and hotel employee performance’, </w:t>
      </w:r>
      <w:r w:rsidRPr="00E02468">
        <w:rPr>
          <w:rFonts w:ascii="Arial" w:eastAsia="Times New Roman" w:hAnsi="Arial" w:cs="Arial"/>
          <w:i/>
          <w:iCs/>
          <w:sz w:val="24"/>
          <w:szCs w:val="24"/>
          <w:lang w:val="en-GB" w:eastAsia="en-GB"/>
        </w:rPr>
        <w:t>International Journal of Contemporary Hospitality Management</w:t>
      </w:r>
      <w:r w:rsidRPr="00E02468">
        <w:rPr>
          <w:rFonts w:ascii="Arial" w:eastAsia="Times New Roman" w:hAnsi="Arial" w:cs="Arial"/>
          <w:sz w:val="24"/>
          <w:szCs w:val="24"/>
          <w:lang w:val="en-GB" w:eastAsia="en-GB"/>
        </w:rPr>
        <w:t>, 25(2), pp. 222–238.</w:t>
      </w:r>
      <w:r w:rsidRPr="00E02468">
        <w:rPr>
          <w:rFonts w:ascii="Arial" w:eastAsia="Times New Roman" w:hAnsi="Arial" w:cs="Arial"/>
          <w:sz w:val="24"/>
          <w:szCs w:val="24"/>
          <w:lang w:val="en-GB" w:eastAsia="en-GB"/>
        </w:rPr>
        <w:br/>
        <w:t>(</w:t>
      </w:r>
      <w:hyperlink r:id="rId62" w:history="1">
        <w:r w:rsidRPr="00E02468">
          <w:rPr>
            <w:rFonts w:ascii="Arial" w:eastAsia="Times New Roman" w:hAnsi="Arial" w:cs="Arial"/>
            <w:color w:val="0000FF"/>
            <w:sz w:val="24"/>
            <w:szCs w:val="24"/>
            <w:u w:val="single"/>
            <w:lang w:val="en-GB" w:eastAsia="en-GB"/>
          </w:rPr>
          <w:t>https://doi.org/10.1108/09596111311301642</w:t>
        </w:r>
      </w:hyperlink>
      <w:r w:rsidRPr="00E02468">
        <w:rPr>
          <w:rFonts w:ascii="Arial" w:eastAsia="Times New Roman" w:hAnsi="Arial" w:cs="Arial"/>
          <w:sz w:val="24"/>
          <w:szCs w:val="24"/>
          <w:lang w:val="en-GB" w:eastAsia="en-GB"/>
        </w:rPr>
        <w:t>)</w:t>
      </w:r>
    </w:p>
    <w:p w14:paraId="47E84D77" w14:textId="24552DA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Karatepe, O.M. and Olugbade, O.A. (2016) ‘The effects of work social support and career adaptability on career satisfaction’,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55, pp. 47–55.</w:t>
      </w:r>
      <w:r w:rsidRPr="00E02468">
        <w:rPr>
          <w:rFonts w:ascii="Arial" w:eastAsia="Times New Roman" w:hAnsi="Arial" w:cs="Arial"/>
          <w:sz w:val="24"/>
          <w:szCs w:val="24"/>
          <w:lang w:val="en-GB" w:eastAsia="en-GB"/>
        </w:rPr>
        <w:br/>
        <w:t>(</w:t>
      </w:r>
      <w:hyperlink r:id="rId63" w:history="1">
        <w:r w:rsidRPr="00E02468">
          <w:rPr>
            <w:rFonts w:ascii="Arial" w:eastAsia="Times New Roman" w:hAnsi="Arial" w:cs="Arial"/>
            <w:color w:val="0000FF"/>
            <w:sz w:val="24"/>
            <w:szCs w:val="24"/>
            <w:u w:val="single"/>
            <w:lang w:val="en-GB" w:eastAsia="en-GB"/>
          </w:rPr>
          <w:t>https://doi.org/10.1016/j.ijhm.2016.02.003</w:t>
        </w:r>
      </w:hyperlink>
      <w:r w:rsidRPr="00E02468">
        <w:rPr>
          <w:rFonts w:ascii="Arial" w:eastAsia="Times New Roman" w:hAnsi="Arial" w:cs="Arial"/>
          <w:sz w:val="24"/>
          <w:szCs w:val="24"/>
          <w:lang w:val="en-GB" w:eastAsia="en-GB"/>
        </w:rPr>
        <w:t>)</w:t>
      </w:r>
    </w:p>
    <w:p w14:paraId="35F0ACB7" w14:textId="5A585CF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Kramar, R. (2014) ‘Beyond strategic human resource management: is sustainable human resource management the next approach?’,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25(8), pp. 1069–1089.</w:t>
      </w:r>
      <w:r w:rsidRPr="00E02468">
        <w:rPr>
          <w:rFonts w:ascii="Arial" w:eastAsia="Times New Roman" w:hAnsi="Arial" w:cs="Arial"/>
          <w:sz w:val="24"/>
          <w:szCs w:val="24"/>
          <w:lang w:val="en-GB" w:eastAsia="en-GB"/>
        </w:rPr>
        <w:br/>
        <w:t>(</w:t>
      </w:r>
      <w:hyperlink r:id="rId64" w:history="1">
        <w:r w:rsidRPr="00E02468">
          <w:rPr>
            <w:rFonts w:ascii="Arial" w:eastAsia="Times New Roman" w:hAnsi="Arial" w:cs="Arial"/>
            <w:color w:val="0000FF"/>
            <w:sz w:val="24"/>
            <w:szCs w:val="24"/>
            <w:u w:val="single"/>
            <w:lang w:val="en-GB" w:eastAsia="en-GB"/>
          </w:rPr>
          <w:t>https://doi.org/10.1080/09585192.2013.816863</w:t>
        </w:r>
      </w:hyperlink>
      <w:r w:rsidRPr="00E02468">
        <w:rPr>
          <w:rFonts w:ascii="Arial" w:eastAsia="Times New Roman" w:hAnsi="Arial" w:cs="Arial"/>
          <w:sz w:val="24"/>
          <w:szCs w:val="24"/>
          <w:lang w:val="en-GB" w:eastAsia="en-GB"/>
        </w:rPr>
        <w:t>)</w:t>
      </w:r>
    </w:p>
    <w:p w14:paraId="6D1EC431" w14:textId="3362DBF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Klimkiewicz, K. (2023) ‘Human capital management’, in </w:t>
      </w:r>
      <w:r w:rsidRPr="00E02468">
        <w:rPr>
          <w:rFonts w:ascii="Arial" w:eastAsia="Times New Roman" w:hAnsi="Arial" w:cs="Arial"/>
          <w:i/>
          <w:iCs/>
          <w:sz w:val="24"/>
          <w:szCs w:val="24"/>
          <w:lang w:val="en-GB" w:eastAsia="en-GB"/>
        </w:rPr>
        <w:t>Encyclopedia of Sustainable Management</w:t>
      </w:r>
      <w:r w:rsidRPr="00E02468">
        <w:rPr>
          <w:rFonts w:ascii="Arial" w:eastAsia="Times New Roman" w:hAnsi="Arial" w:cs="Arial"/>
          <w:sz w:val="24"/>
          <w:szCs w:val="24"/>
          <w:lang w:val="en-GB" w:eastAsia="en-GB"/>
        </w:rPr>
        <w:t>. Cham: Springer.</w:t>
      </w:r>
      <w:r w:rsidRPr="00E02468">
        <w:rPr>
          <w:rFonts w:ascii="Arial" w:eastAsia="Times New Roman" w:hAnsi="Arial" w:cs="Arial"/>
          <w:sz w:val="24"/>
          <w:szCs w:val="24"/>
          <w:lang w:val="en-GB" w:eastAsia="en-GB"/>
        </w:rPr>
        <w:br/>
        <w:t>(</w:t>
      </w:r>
      <w:hyperlink r:id="rId65" w:history="1">
        <w:r w:rsidRPr="00E02468">
          <w:rPr>
            <w:rFonts w:ascii="Arial" w:eastAsia="Times New Roman" w:hAnsi="Arial" w:cs="Arial"/>
            <w:color w:val="0000FF"/>
            <w:sz w:val="24"/>
            <w:szCs w:val="24"/>
            <w:u w:val="single"/>
            <w:lang w:val="en-GB" w:eastAsia="en-GB"/>
          </w:rPr>
          <w:t>https://doi.org/10.1007/978-3-031-25984-5_207</w:t>
        </w:r>
      </w:hyperlink>
      <w:r w:rsidRPr="00E02468">
        <w:rPr>
          <w:rFonts w:ascii="Arial" w:eastAsia="Times New Roman" w:hAnsi="Arial" w:cs="Arial"/>
          <w:sz w:val="24"/>
          <w:szCs w:val="24"/>
          <w:lang w:val="en-GB" w:eastAsia="en-GB"/>
        </w:rPr>
        <w:t>)</w:t>
      </w:r>
    </w:p>
    <w:p w14:paraId="5059723A" w14:textId="2FAD3403"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Kooij, D.T.A.M., Jansen, P.G.W., Dikkers, J.S.E. and De Lange, A.H. (2010) ‘The influence of age on the associations between HR practices and both affective commitment and job satisfaction’, </w:t>
      </w:r>
      <w:r w:rsidRPr="00E02468">
        <w:rPr>
          <w:rFonts w:ascii="Arial" w:eastAsia="Times New Roman" w:hAnsi="Arial" w:cs="Arial"/>
          <w:i/>
          <w:iCs/>
          <w:sz w:val="24"/>
          <w:szCs w:val="24"/>
          <w:lang w:val="en-GB" w:eastAsia="en-GB"/>
        </w:rPr>
        <w:t>Journal of Organizational Behavior</w:t>
      </w:r>
      <w:r w:rsidRPr="00E02468">
        <w:rPr>
          <w:rFonts w:ascii="Arial" w:eastAsia="Times New Roman" w:hAnsi="Arial" w:cs="Arial"/>
          <w:sz w:val="24"/>
          <w:szCs w:val="24"/>
          <w:lang w:val="en-GB" w:eastAsia="en-GB"/>
        </w:rPr>
        <w:t>, 31(8), pp. 1111–1136.</w:t>
      </w:r>
      <w:r w:rsidRPr="00E02468">
        <w:rPr>
          <w:rFonts w:ascii="Arial" w:eastAsia="Times New Roman" w:hAnsi="Arial" w:cs="Arial"/>
          <w:sz w:val="24"/>
          <w:szCs w:val="24"/>
          <w:lang w:val="en-GB" w:eastAsia="en-GB"/>
        </w:rPr>
        <w:br/>
        <w:t>(</w:t>
      </w:r>
      <w:hyperlink r:id="rId66" w:history="1">
        <w:r w:rsidRPr="00E02468">
          <w:rPr>
            <w:rFonts w:ascii="Arial" w:eastAsia="Times New Roman" w:hAnsi="Arial" w:cs="Arial"/>
            <w:color w:val="0000FF"/>
            <w:sz w:val="24"/>
            <w:szCs w:val="24"/>
            <w:u w:val="single"/>
            <w:lang w:val="en-GB" w:eastAsia="en-GB"/>
          </w:rPr>
          <w:t>https://doi.org/10.1002/job.666</w:t>
        </w:r>
      </w:hyperlink>
      <w:r w:rsidRPr="00E02468">
        <w:rPr>
          <w:rFonts w:ascii="Arial" w:eastAsia="Times New Roman" w:hAnsi="Arial" w:cs="Arial"/>
          <w:sz w:val="24"/>
          <w:szCs w:val="24"/>
          <w:lang w:val="en-GB" w:eastAsia="en-GB"/>
        </w:rPr>
        <w:t>)</w:t>
      </w:r>
    </w:p>
    <w:p w14:paraId="1280009A" w14:textId="2D55CD0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Kotler, P., Keller, K.L. and Chernev, A. (2022) </w:t>
      </w:r>
      <w:r w:rsidRPr="00E02468">
        <w:rPr>
          <w:rFonts w:ascii="Arial" w:eastAsia="Times New Roman" w:hAnsi="Arial" w:cs="Arial"/>
          <w:i/>
          <w:iCs/>
          <w:sz w:val="24"/>
          <w:szCs w:val="24"/>
          <w:lang w:val="en-GB" w:eastAsia="en-GB"/>
        </w:rPr>
        <w:t>Marketing Management</w:t>
      </w:r>
      <w:r w:rsidRPr="00E02468">
        <w:rPr>
          <w:rFonts w:ascii="Arial" w:eastAsia="Times New Roman" w:hAnsi="Arial" w:cs="Arial"/>
          <w:sz w:val="24"/>
          <w:szCs w:val="24"/>
          <w:lang w:val="en-GB" w:eastAsia="en-GB"/>
        </w:rPr>
        <w:t>. 16th edn. Harlow: Pearson.</w:t>
      </w:r>
      <w:r w:rsidRPr="00E02468">
        <w:rPr>
          <w:rFonts w:ascii="Arial" w:eastAsia="Times New Roman" w:hAnsi="Arial" w:cs="Arial"/>
          <w:sz w:val="24"/>
          <w:szCs w:val="24"/>
          <w:lang w:val="en-GB" w:eastAsia="en-GB"/>
        </w:rPr>
        <w:br/>
        <w:t>(</w:t>
      </w:r>
      <w:hyperlink r:id="rId67" w:history="1">
        <w:r w:rsidRPr="00E02468">
          <w:rPr>
            <w:rFonts w:ascii="Arial" w:eastAsia="Times New Roman" w:hAnsi="Arial" w:cs="Arial"/>
            <w:color w:val="0000FF"/>
            <w:sz w:val="24"/>
            <w:szCs w:val="24"/>
            <w:u w:val="single"/>
            <w:lang w:val="en-GB" w:eastAsia="en-GB"/>
          </w:rPr>
          <w:t>https://www.pearson.com/en-gb/subject-catalog/p/marketing-management/P200000005903</w:t>
        </w:r>
      </w:hyperlink>
      <w:r w:rsidRPr="00E02468">
        <w:rPr>
          <w:rFonts w:ascii="Arial" w:eastAsia="Times New Roman" w:hAnsi="Arial" w:cs="Arial"/>
          <w:sz w:val="24"/>
          <w:szCs w:val="24"/>
          <w:lang w:val="en-GB" w:eastAsia="en-GB"/>
        </w:rPr>
        <w:t>)</w:t>
      </w:r>
    </w:p>
    <w:p w14:paraId="53A3CC24" w14:textId="72CC969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Lado, A.A. and Wilson, M.C. (1994) ‘Human resource systems and sustained competitive advantage’, </w:t>
      </w:r>
      <w:r w:rsidRPr="00E02468">
        <w:rPr>
          <w:rFonts w:ascii="Arial" w:eastAsia="Times New Roman" w:hAnsi="Arial" w:cs="Arial"/>
          <w:i/>
          <w:iCs/>
          <w:sz w:val="24"/>
          <w:szCs w:val="24"/>
          <w:lang w:val="en-GB" w:eastAsia="en-GB"/>
        </w:rPr>
        <w:t>Academy of Management Review</w:t>
      </w:r>
      <w:r w:rsidRPr="00E02468">
        <w:rPr>
          <w:rFonts w:ascii="Arial" w:eastAsia="Times New Roman" w:hAnsi="Arial" w:cs="Arial"/>
          <w:sz w:val="24"/>
          <w:szCs w:val="24"/>
          <w:lang w:val="en-GB" w:eastAsia="en-GB"/>
        </w:rPr>
        <w:t>, 19(4), pp. 699–727.</w:t>
      </w:r>
      <w:r w:rsidRPr="00E02468">
        <w:rPr>
          <w:rFonts w:ascii="Arial" w:eastAsia="Times New Roman" w:hAnsi="Arial" w:cs="Arial"/>
          <w:sz w:val="24"/>
          <w:szCs w:val="24"/>
          <w:lang w:val="en-GB" w:eastAsia="en-GB"/>
        </w:rPr>
        <w:br/>
        <w:t>(</w:t>
      </w:r>
      <w:hyperlink r:id="rId68" w:history="1">
        <w:r w:rsidRPr="00E02468">
          <w:rPr>
            <w:rFonts w:ascii="Arial" w:eastAsia="Times New Roman" w:hAnsi="Arial" w:cs="Arial"/>
            <w:color w:val="0000FF"/>
            <w:sz w:val="24"/>
            <w:szCs w:val="24"/>
            <w:u w:val="single"/>
            <w:lang w:val="en-GB" w:eastAsia="en-GB"/>
          </w:rPr>
          <w:t>https://doi.org/10.2307/258742</w:t>
        </w:r>
      </w:hyperlink>
      <w:r w:rsidRPr="00E02468">
        <w:rPr>
          <w:rFonts w:ascii="Arial" w:eastAsia="Times New Roman" w:hAnsi="Arial" w:cs="Arial"/>
          <w:sz w:val="24"/>
          <w:szCs w:val="24"/>
          <w:lang w:val="en-GB" w:eastAsia="en-GB"/>
        </w:rPr>
        <w:t>)</w:t>
      </w:r>
    </w:p>
    <w:p w14:paraId="4DDB63C2" w14:textId="500F812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Lee, J. and Hallak, R. (2018) ‘Investigating the moderating role of education on a structural model of restaurant performance’,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71, pp. 98–107.</w:t>
      </w:r>
      <w:r w:rsidRPr="00E02468">
        <w:rPr>
          <w:rFonts w:ascii="Arial" w:eastAsia="Times New Roman" w:hAnsi="Arial" w:cs="Arial"/>
          <w:sz w:val="24"/>
          <w:szCs w:val="24"/>
          <w:lang w:val="en-GB" w:eastAsia="en-GB"/>
        </w:rPr>
        <w:br/>
        <w:t>(</w:t>
      </w:r>
      <w:hyperlink r:id="rId69" w:history="1">
        <w:r w:rsidRPr="00E02468">
          <w:rPr>
            <w:rFonts w:ascii="Arial" w:eastAsia="Times New Roman" w:hAnsi="Arial" w:cs="Arial"/>
            <w:color w:val="0000FF"/>
            <w:sz w:val="24"/>
            <w:szCs w:val="24"/>
            <w:u w:val="single"/>
            <w:lang w:val="en-GB" w:eastAsia="en-GB"/>
          </w:rPr>
          <w:t>https://doi.org/10.1016/j.ijhm.2017.12.004</w:t>
        </w:r>
      </w:hyperlink>
      <w:r w:rsidRPr="00E02468">
        <w:rPr>
          <w:rFonts w:ascii="Arial" w:eastAsia="Times New Roman" w:hAnsi="Arial" w:cs="Arial"/>
          <w:sz w:val="24"/>
          <w:szCs w:val="24"/>
          <w:lang w:val="en-GB" w:eastAsia="en-GB"/>
        </w:rPr>
        <w:t>)</w:t>
      </w:r>
    </w:p>
    <w:p w14:paraId="748EEBC8" w14:textId="528963C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Lepak, D.P. and Snell, S.A. (1999) ‘The human resource architecture’, </w:t>
      </w:r>
      <w:r w:rsidRPr="00E02468">
        <w:rPr>
          <w:rFonts w:ascii="Arial" w:eastAsia="Times New Roman" w:hAnsi="Arial" w:cs="Arial"/>
          <w:i/>
          <w:iCs/>
          <w:sz w:val="24"/>
          <w:szCs w:val="24"/>
          <w:lang w:val="en-GB" w:eastAsia="en-GB"/>
        </w:rPr>
        <w:t>Academy of Management Review</w:t>
      </w:r>
      <w:r w:rsidRPr="00E02468">
        <w:rPr>
          <w:rFonts w:ascii="Arial" w:eastAsia="Times New Roman" w:hAnsi="Arial" w:cs="Arial"/>
          <w:sz w:val="24"/>
          <w:szCs w:val="24"/>
          <w:lang w:val="en-GB" w:eastAsia="en-GB"/>
        </w:rPr>
        <w:t>, 24(1), pp. 31–48.</w:t>
      </w:r>
      <w:r w:rsidRPr="00E02468">
        <w:rPr>
          <w:rFonts w:ascii="Arial" w:eastAsia="Times New Roman" w:hAnsi="Arial" w:cs="Arial"/>
          <w:sz w:val="24"/>
          <w:szCs w:val="24"/>
          <w:lang w:val="en-GB" w:eastAsia="en-GB"/>
        </w:rPr>
        <w:br/>
        <w:t>(</w:t>
      </w:r>
      <w:hyperlink r:id="rId70" w:history="1">
        <w:r w:rsidRPr="00E02468">
          <w:rPr>
            <w:rFonts w:ascii="Arial" w:eastAsia="Times New Roman" w:hAnsi="Arial" w:cs="Arial"/>
            <w:color w:val="0000FF"/>
            <w:sz w:val="24"/>
            <w:szCs w:val="24"/>
            <w:u w:val="single"/>
            <w:lang w:val="en-GB" w:eastAsia="en-GB"/>
          </w:rPr>
          <w:t>https://doi.org/10.2307/259035</w:t>
        </w:r>
      </w:hyperlink>
      <w:r w:rsidRPr="00E02468">
        <w:rPr>
          <w:rFonts w:ascii="Arial" w:eastAsia="Times New Roman" w:hAnsi="Arial" w:cs="Arial"/>
          <w:sz w:val="24"/>
          <w:szCs w:val="24"/>
          <w:lang w:val="en-GB" w:eastAsia="en-GB"/>
        </w:rPr>
        <w:t>)</w:t>
      </w:r>
    </w:p>
    <w:p w14:paraId="29F83D7C" w14:textId="1F46467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Locke, E.A. and Latham, G.P. (2002) ‘Building a practically useful theory of goal setting and task motivation’, </w:t>
      </w:r>
      <w:r w:rsidRPr="00E02468">
        <w:rPr>
          <w:rFonts w:ascii="Arial" w:eastAsia="Times New Roman" w:hAnsi="Arial" w:cs="Arial"/>
          <w:i/>
          <w:iCs/>
          <w:sz w:val="24"/>
          <w:szCs w:val="24"/>
          <w:lang w:val="en-GB" w:eastAsia="en-GB"/>
        </w:rPr>
        <w:t>American Psychologist</w:t>
      </w:r>
      <w:r w:rsidRPr="00E02468">
        <w:rPr>
          <w:rFonts w:ascii="Arial" w:eastAsia="Times New Roman" w:hAnsi="Arial" w:cs="Arial"/>
          <w:sz w:val="24"/>
          <w:szCs w:val="24"/>
          <w:lang w:val="en-GB" w:eastAsia="en-GB"/>
        </w:rPr>
        <w:t>, 57(9), pp. 705–717.</w:t>
      </w:r>
      <w:r w:rsidRPr="00E02468">
        <w:rPr>
          <w:rFonts w:ascii="Arial" w:eastAsia="Times New Roman" w:hAnsi="Arial" w:cs="Arial"/>
          <w:sz w:val="24"/>
          <w:szCs w:val="24"/>
          <w:lang w:val="en-GB" w:eastAsia="en-GB"/>
        </w:rPr>
        <w:br/>
        <w:t>(</w:t>
      </w:r>
      <w:hyperlink r:id="rId71" w:history="1">
        <w:r w:rsidRPr="00E02468">
          <w:rPr>
            <w:rFonts w:ascii="Arial" w:eastAsia="Times New Roman" w:hAnsi="Arial" w:cs="Arial"/>
            <w:color w:val="0000FF"/>
            <w:sz w:val="24"/>
            <w:szCs w:val="24"/>
            <w:u w:val="single"/>
            <w:lang w:val="en-GB" w:eastAsia="en-GB"/>
          </w:rPr>
          <w:t>https://doi.org/10.1037/0003-066X.57.9.705</w:t>
        </w:r>
      </w:hyperlink>
      <w:r w:rsidRPr="00E02468">
        <w:rPr>
          <w:rFonts w:ascii="Arial" w:eastAsia="Times New Roman" w:hAnsi="Arial" w:cs="Arial"/>
          <w:sz w:val="24"/>
          <w:szCs w:val="24"/>
          <w:lang w:val="en-GB" w:eastAsia="en-GB"/>
        </w:rPr>
        <w:t>)</w:t>
      </w:r>
    </w:p>
    <w:p w14:paraId="335B9231" w14:textId="3565B03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Macky, K. and Boxall, P. (2007) ‘The relationship between high-performance work practices and employee attitudes’, </w:t>
      </w:r>
      <w:r w:rsidRPr="00E02468">
        <w:rPr>
          <w:rFonts w:ascii="Arial" w:eastAsia="Times New Roman" w:hAnsi="Arial" w:cs="Arial"/>
          <w:i/>
          <w:iCs/>
          <w:sz w:val="24"/>
          <w:szCs w:val="24"/>
          <w:lang w:val="en-GB" w:eastAsia="en-GB"/>
        </w:rPr>
        <w:t>Human Resource Management Journal</w:t>
      </w:r>
      <w:r w:rsidRPr="00E02468">
        <w:rPr>
          <w:rFonts w:ascii="Arial" w:eastAsia="Times New Roman" w:hAnsi="Arial" w:cs="Arial"/>
          <w:sz w:val="24"/>
          <w:szCs w:val="24"/>
          <w:lang w:val="en-GB" w:eastAsia="en-GB"/>
        </w:rPr>
        <w:t>, 17(4), pp. 315–332.</w:t>
      </w:r>
      <w:r w:rsidRPr="00E02468">
        <w:rPr>
          <w:rFonts w:ascii="Arial" w:eastAsia="Times New Roman" w:hAnsi="Arial" w:cs="Arial"/>
          <w:sz w:val="24"/>
          <w:szCs w:val="24"/>
          <w:lang w:val="en-GB" w:eastAsia="en-GB"/>
        </w:rPr>
        <w:br/>
        <w:t>(</w:t>
      </w:r>
      <w:hyperlink r:id="rId72" w:history="1">
        <w:r w:rsidRPr="00E02468">
          <w:rPr>
            <w:rFonts w:ascii="Arial" w:eastAsia="Times New Roman" w:hAnsi="Arial" w:cs="Arial"/>
            <w:color w:val="0000FF"/>
            <w:sz w:val="24"/>
            <w:szCs w:val="24"/>
            <w:u w:val="single"/>
            <w:lang w:val="en-GB" w:eastAsia="en-GB"/>
          </w:rPr>
          <w:t>https://doi.org/10.1111/j.1748-8583.2007.00051.x</w:t>
        </w:r>
      </w:hyperlink>
      <w:r w:rsidRPr="00E02468">
        <w:rPr>
          <w:rFonts w:ascii="Arial" w:eastAsia="Times New Roman" w:hAnsi="Arial" w:cs="Arial"/>
          <w:sz w:val="24"/>
          <w:szCs w:val="24"/>
          <w:lang w:val="en-GB" w:eastAsia="en-GB"/>
        </w:rPr>
        <w:t>)</w:t>
      </w:r>
    </w:p>
    <w:p w14:paraId="5B043AF7" w14:textId="7F792E5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Marchington, M., Wilkinson, A., Donnelly, R. and Kynighou, A. (2021) </w:t>
      </w:r>
      <w:r w:rsidRPr="00E02468">
        <w:rPr>
          <w:rFonts w:ascii="Arial" w:eastAsia="Times New Roman" w:hAnsi="Arial" w:cs="Arial"/>
          <w:i/>
          <w:iCs/>
          <w:sz w:val="24"/>
          <w:szCs w:val="24"/>
          <w:lang w:val="en-GB" w:eastAsia="en-GB"/>
        </w:rPr>
        <w:t>Human Resource Management at Work</w:t>
      </w:r>
      <w:r w:rsidRPr="00E02468">
        <w:rPr>
          <w:rFonts w:ascii="Arial" w:eastAsia="Times New Roman" w:hAnsi="Arial" w:cs="Arial"/>
          <w:sz w:val="24"/>
          <w:szCs w:val="24"/>
          <w:lang w:val="en-GB" w:eastAsia="en-GB"/>
        </w:rPr>
        <w:t>. 7th edn. London: Kogan Page.</w:t>
      </w:r>
      <w:r w:rsidRPr="00E02468">
        <w:rPr>
          <w:rFonts w:ascii="Arial" w:eastAsia="Times New Roman" w:hAnsi="Arial" w:cs="Arial"/>
          <w:sz w:val="24"/>
          <w:szCs w:val="24"/>
          <w:lang w:val="en-GB" w:eastAsia="en-GB"/>
        </w:rPr>
        <w:br/>
        <w:t>(</w:t>
      </w:r>
      <w:hyperlink r:id="rId73" w:history="1">
        <w:r w:rsidRPr="00E02468">
          <w:rPr>
            <w:rFonts w:ascii="Arial" w:eastAsia="Times New Roman" w:hAnsi="Arial" w:cs="Arial"/>
            <w:color w:val="0000FF"/>
            <w:sz w:val="24"/>
            <w:szCs w:val="24"/>
            <w:u w:val="single"/>
            <w:lang w:val="en-GB" w:eastAsia="en-GB"/>
          </w:rPr>
          <w:t>https://www.koganpage.com/product/human-resource-management-at-work-9781398601939</w:t>
        </w:r>
      </w:hyperlink>
      <w:r w:rsidRPr="00E02468">
        <w:rPr>
          <w:rFonts w:ascii="Arial" w:eastAsia="Times New Roman" w:hAnsi="Arial" w:cs="Arial"/>
          <w:sz w:val="24"/>
          <w:szCs w:val="24"/>
          <w:lang w:val="en-GB" w:eastAsia="en-GB"/>
        </w:rPr>
        <w:t>)</w:t>
      </w:r>
    </w:p>
    <w:p w14:paraId="4C56F56A" w14:textId="071FE16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Maslow, A.H. (1943) ‘A theory of human motivation’, </w:t>
      </w:r>
      <w:r w:rsidRPr="00E02468">
        <w:rPr>
          <w:rFonts w:ascii="Arial" w:eastAsia="Times New Roman" w:hAnsi="Arial" w:cs="Arial"/>
          <w:i/>
          <w:iCs/>
          <w:sz w:val="24"/>
          <w:szCs w:val="24"/>
          <w:lang w:val="en-GB" w:eastAsia="en-GB"/>
        </w:rPr>
        <w:t>Psychological Review</w:t>
      </w:r>
      <w:r w:rsidRPr="00E02468">
        <w:rPr>
          <w:rFonts w:ascii="Arial" w:eastAsia="Times New Roman" w:hAnsi="Arial" w:cs="Arial"/>
          <w:sz w:val="24"/>
          <w:szCs w:val="24"/>
          <w:lang w:val="en-GB" w:eastAsia="en-GB"/>
        </w:rPr>
        <w:t>, 50(4), pp. 370–396.</w:t>
      </w:r>
      <w:r w:rsidRPr="00E02468">
        <w:rPr>
          <w:rFonts w:ascii="Arial" w:eastAsia="Times New Roman" w:hAnsi="Arial" w:cs="Arial"/>
          <w:sz w:val="24"/>
          <w:szCs w:val="24"/>
          <w:lang w:val="en-GB" w:eastAsia="en-GB"/>
        </w:rPr>
        <w:br/>
        <w:t>(</w:t>
      </w:r>
      <w:hyperlink r:id="rId74" w:history="1">
        <w:r w:rsidRPr="00E02468">
          <w:rPr>
            <w:rFonts w:ascii="Arial" w:eastAsia="Times New Roman" w:hAnsi="Arial" w:cs="Arial"/>
            <w:color w:val="0000FF"/>
            <w:sz w:val="24"/>
            <w:szCs w:val="24"/>
            <w:u w:val="single"/>
            <w:lang w:val="en-GB" w:eastAsia="en-GB"/>
          </w:rPr>
          <w:t>https://doi.org/10.1037/h0054346</w:t>
        </w:r>
      </w:hyperlink>
      <w:r w:rsidRPr="00E02468">
        <w:rPr>
          <w:rFonts w:ascii="Arial" w:eastAsia="Times New Roman" w:hAnsi="Arial" w:cs="Arial"/>
          <w:sz w:val="24"/>
          <w:szCs w:val="24"/>
          <w:lang w:val="en-GB" w:eastAsia="en-GB"/>
        </w:rPr>
        <w:t>)</w:t>
      </w:r>
    </w:p>
    <w:p w14:paraId="3F11BBA0" w14:textId="4E254CE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Meyer, J.P. and Allen, N.J. (1991) ‘A three-component conceptualization of organizational commitment’, </w:t>
      </w:r>
      <w:r w:rsidRPr="00E02468">
        <w:rPr>
          <w:rFonts w:ascii="Arial" w:eastAsia="Times New Roman" w:hAnsi="Arial" w:cs="Arial"/>
          <w:i/>
          <w:iCs/>
          <w:sz w:val="24"/>
          <w:szCs w:val="24"/>
          <w:lang w:val="en-GB" w:eastAsia="en-GB"/>
        </w:rPr>
        <w:t>Human Resource Management Review</w:t>
      </w:r>
      <w:r w:rsidRPr="00E02468">
        <w:rPr>
          <w:rFonts w:ascii="Arial" w:eastAsia="Times New Roman" w:hAnsi="Arial" w:cs="Arial"/>
          <w:sz w:val="24"/>
          <w:szCs w:val="24"/>
          <w:lang w:val="en-GB" w:eastAsia="en-GB"/>
        </w:rPr>
        <w:t>, 1(1), pp. 61–89.</w:t>
      </w:r>
      <w:r w:rsidRPr="00E02468">
        <w:rPr>
          <w:rFonts w:ascii="Arial" w:eastAsia="Times New Roman" w:hAnsi="Arial" w:cs="Arial"/>
          <w:sz w:val="24"/>
          <w:szCs w:val="24"/>
          <w:lang w:val="en-GB" w:eastAsia="en-GB"/>
        </w:rPr>
        <w:br/>
        <w:t>(</w:t>
      </w:r>
      <w:hyperlink r:id="rId75" w:history="1">
        <w:r w:rsidRPr="00E02468">
          <w:rPr>
            <w:rFonts w:ascii="Arial" w:eastAsia="Times New Roman" w:hAnsi="Arial" w:cs="Arial"/>
            <w:color w:val="0000FF"/>
            <w:sz w:val="24"/>
            <w:szCs w:val="24"/>
            <w:u w:val="single"/>
            <w:lang w:val="en-GB" w:eastAsia="en-GB"/>
          </w:rPr>
          <w:t>https://doi.org/10.1016/1053-4822(91)90011-Z</w:t>
        </w:r>
      </w:hyperlink>
      <w:r w:rsidRPr="00E02468">
        <w:rPr>
          <w:rFonts w:ascii="Arial" w:eastAsia="Times New Roman" w:hAnsi="Arial" w:cs="Arial"/>
          <w:sz w:val="24"/>
          <w:szCs w:val="24"/>
          <w:lang w:val="en-GB" w:eastAsia="en-GB"/>
        </w:rPr>
        <w:t>)</w:t>
      </w:r>
    </w:p>
    <w:p w14:paraId="2657B3FB" w14:textId="0B7A3643"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Minbaeva, D. (2018) ‘Building credible human capital analytics for organizational competitive advantage’, </w:t>
      </w:r>
      <w:r w:rsidRPr="00E02468">
        <w:rPr>
          <w:rFonts w:ascii="Arial" w:eastAsia="Times New Roman" w:hAnsi="Arial" w:cs="Arial"/>
          <w:i/>
          <w:iCs/>
          <w:sz w:val="24"/>
          <w:szCs w:val="24"/>
          <w:lang w:val="en-GB" w:eastAsia="en-GB"/>
        </w:rPr>
        <w:t>Human Resource Management</w:t>
      </w:r>
      <w:r w:rsidRPr="00E02468">
        <w:rPr>
          <w:rFonts w:ascii="Arial" w:eastAsia="Times New Roman" w:hAnsi="Arial" w:cs="Arial"/>
          <w:sz w:val="24"/>
          <w:szCs w:val="24"/>
          <w:lang w:val="en-GB" w:eastAsia="en-GB"/>
        </w:rPr>
        <w:t>, 57(3), pp. 701–713.</w:t>
      </w:r>
      <w:r w:rsidRPr="00E02468">
        <w:rPr>
          <w:rFonts w:ascii="Arial" w:eastAsia="Times New Roman" w:hAnsi="Arial" w:cs="Arial"/>
          <w:sz w:val="24"/>
          <w:szCs w:val="24"/>
          <w:lang w:val="en-GB" w:eastAsia="en-GB"/>
        </w:rPr>
        <w:br/>
        <w:t>(</w:t>
      </w:r>
      <w:hyperlink r:id="rId76" w:history="1">
        <w:r w:rsidRPr="00E02468">
          <w:rPr>
            <w:rFonts w:ascii="Arial" w:eastAsia="Times New Roman" w:hAnsi="Arial" w:cs="Arial"/>
            <w:color w:val="0000FF"/>
            <w:sz w:val="24"/>
            <w:szCs w:val="24"/>
            <w:u w:val="single"/>
            <w:lang w:val="en-GB" w:eastAsia="en-GB"/>
          </w:rPr>
          <w:t>https://doi.org/10.1002/hrm.21848</w:t>
        </w:r>
      </w:hyperlink>
      <w:r w:rsidRPr="00E02468">
        <w:rPr>
          <w:rFonts w:ascii="Arial" w:eastAsia="Times New Roman" w:hAnsi="Arial" w:cs="Arial"/>
          <w:sz w:val="24"/>
          <w:szCs w:val="24"/>
          <w:lang w:val="en-GB" w:eastAsia="en-GB"/>
        </w:rPr>
        <w:t>)</w:t>
      </w:r>
    </w:p>
    <w:p w14:paraId="0DA06945" w14:textId="3DD0AB6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Mowday, R.T., Steers, R.M. and Porter, L.W. (1979) ‘The measurement of organizational commitment’, </w:t>
      </w:r>
      <w:r w:rsidRPr="00E02468">
        <w:rPr>
          <w:rFonts w:ascii="Arial" w:eastAsia="Times New Roman" w:hAnsi="Arial" w:cs="Arial"/>
          <w:i/>
          <w:iCs/>
          <w:sz w:val="24"/>
          <w:szCs w:val="24"/>
          <w:lang w:val="en-GB" w:eastAsia="en-GB"/>
        </w:rPr>
        <w:t>Journal of Vocational Behavior</w:t>
      </w:r>
      <w:r w:rsidRPr="00E02468">
        <w:rPr>
          <w:rFonts w:ascii="Arial" w:eastAsia="Times New Roman" w:hAnsi="Arial" w:cs="Arial"/>
          <w:sz w:val="24"/>
          <w:szCs w:val="24"/>
          <w:lang w:val="en-GB" w:eastAsia="en-GB"/>
        </w:rPr>
        <w:t>, 14(2), pp. 224–247.</w:t>
      </w:r>
      <w:r w:rsidRPr="00E02468">
        <w:rPr>
          <w:rFonts w:ascii="Arial" w:eastAsia="Times New Roman" w:hAnsi="Arial" w:cs="Arial"/>
          <w:sz w:val="24"/>
          <w:szCs w:val="24"/>
          <w:lang w:val="en-GB" w:eastAsia="en-GB"/>
        </w:rPr>
        <w:br/>
        <w:t>(</w:t>
      </w:r>
      <w:hyperlink r:id="rId77" w:history="1">
        <w:r w:rsidRPr="00E02468">
          <w:rPr>
            <w:rFonts w:ascii="Arial" w:eastAsia="Times New Roman" w:hAnsi="Arial" w:cs="Arial"/>
            <w:color w:val="0000FF"/>
            <w:sz w:val="24"/>
            <w:szCs w:val="24"/>
            <w:u w:val="single"/>
            <w:lang w:val="en-GB" w:eastAsia="en-GB"/>
          </w:rPr>
          <w:t>https://doi.org/10.1016/0001-8791(79)90072-1</w:t>
        </w:r>
      </w:hyperlink>
      <w:r w:rsidRPr="00E02468">
        <w:rPr>
          <w:rFonts w:ascii="Arial" w:eastAsia="Times New Roman" w:hAnsi="Arial" w:cs="Arial"/>
          <w:sz w:val="24"/>
          <w:szCs w:val="24"/>
          <w:lang w:val="en-GB" w:eastAsia="en-GB"/>
        </w:rPr>
        <w:t>)</w:t>
      </w:r>
    </w:p>
    <w:p w14:paraId="5DF341AC" w14:textId="40B35FA3"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ONS (2024) </w:t>
      </w:r>
      <w:r w:rsidRPr="00E02468">
        <w:rPr>
          <w:rFonts w:ascii="Arial" w:eastAsia="Times New Roman" w:hAnsi="Arial" w:cs="Arial"/>
          <w:i/>
          <w:iCs/>
          <w:sz w:val="24"/>
          <w:szCs w:val="24"/>
          <w:lang w:val="en-GB" w:eastAsia="en-GB"/>
        </w:rPr>
        <w:t>Business insights and impact on the UK economy: 24 October 2024</w:t>
      </w:r>
      <w:r w:rsidRPr="00E02468">
        <w:rPr>
          <w:rFonts w:ascii="Arial" w:eastAsia="Times New Roman" w:hAnsi="Arial" w:cs="Arial"/>
          <w:sz w:val="24"/>
          <w:szCs w:val="24"/>
          <w:lang w:val="en-GB" w:eastAsia="en-GB"/>
        </w:rPr>
        <w:t>. Newport: Office for National Statistics.</w:t>
      </w:r>
      <w:r w:rsidRPr="00E02468">
        <w:rPr>
          <w:rFonts w:ascii="Arial" w:eastAsia="Times New Roman" w:hAnsi="Arial" w:cs="Arial"/>
          <w:sz w:val="24"/>
          <w:szCs w:val="24"/>
          <w:lang w:val="en-GB" w:eastAsia="en-GB"/>
        </w:rPr>
        <w:br/>
        <w:t>(</w:t>
      </w:r>
      <w:hyperlink r:id="rId78" w:history="1">
        <w:r w:rsidRPr="00E02468">
          <w:rPr>
            <w:rFonts w:ascii="Arial" w:eastAsia="Times New Roman" w:hAnsi="Arial" w:cs="Arial"/>
            <w:color w:val="0000FF"/>
            <w:sz w:val="24"/>
            <w:szCs w:val="24"/>
            <w:u w:val="single"/>
            <w:lang w:val="en-GB" w:eastAsia="en-GB"/>
          </w:rPr>
          <w:t>https://www.ons.gov.uk/businessindustryandtrade/business/businessservices/bulletins/businessinsightsandimpactontheukeconomy/24october2024</w:t>
        </w:r>
      </w:hyperlink>
      <w:r w:rsidRPr="00E02468">
        <w:rPr>
          <w:rFonts w:ascii="Arial" w:eastAsia="Times New Roman" w:hAnsi="Arial" w:cs="Arial"/>
          <w:sz w:val="24"/>
          <w:szCs w:val="24"/>
          <w:lang w:val="en-GB" w:eastAsia="en-GB"/>
        </w:rPr>
        <w:t>)</w:t>
      </w:r>
    </w:p>
    <w:p w14:paraId="582B59DF" w14:textId="365A180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ONS (2024) </w:t>
      </w:r>
      <w:r w:rsidRPr="00E02468">
        <w:rPr>
          <w:rFonts w:ascii="Arial" w:eastAsia="Times New Roman" w:hAnsi="Arial" w:cs="Arial"/>
          <w:i/>
          <w:iCs/>
          <w:sz w:val="24"/>
          <w:szCs w:val="24"/>
          <w:lang w:val="en-GB" w:eastAsia="en-GB"/>
        </w:rPr>
        <w:t>Vacancies and jobs in the UK</w:t>
      </w:r>
      <w:r w:rsidRPr="00E02468">
        <w:rPr>
          <w:rFonts w:ascii="Arial" w:eastAsia="Times New Roman" w:hAnsi="Arial" w:cs="Arial"/>
          <w:sz w:val="24"/>
          <w:szCs w:val="24"/>
          <w:lang w:val="en-GB" w:eastAsia="en-GB"/>
        </w:rPr>
        <w:t>. Newport: Office for National Statistics.</w:t>
      </w:r>
      <w:r w:rsidRPr="00E02468">
        <w:rPr>
          <w:rFonts w:ascii="Arial" w:eastAsia="Times New Roman" w:hAnsi="Arial" w:cs="Arial"/>
          <w:sz w:val="24"/>
          <w:szCs w:val="24"/>
          <w:lang w:val="en-GB" w:eastAsia="en-GB"/>
        </w:rPr>
        <w:br/>
        <w:t>(</w:t>
      </w:r>
      <w:hyperlink r:id="rId79" w:history="1">
        <w:r w:rsidRPr="00E02468">
          <w:rPr>
            <w:rFonts w:ascii="Arial" w:eastAsia="Times New Roman" w:hAnsi="Arial" w:cs="Arial"/>
            <w:color w:val="0000FF"/>
            <w:sz w:val="24"/>
            <w:szCs w:val="24"/>
            <w:u w:val="single"/>
            <w:lang w:val="en-GB" w:eastAsia="en-GB"/>
          </w:rPr>
          <w:t>https://www.ons.gov.uk/employmentandlabourmarket/peopleinwork/employmentandemployeetypes/bulletins/jobsandvacanciesintheuk</w:t>
        </w:r>
      </w:hyperlink>
      <w:r w:rsidRPr="00E02468">
        <w:rPr>
          <w:rFonts w:ascii="Arial" w:eastAsia="Times New Roman" w:hAnsi="Arial" w:cs="Arial"/>
          <w:sz w:val="24"/>
          <w:szCs w:val="24"/>
          <w:lang w:val="en-GB" w:eastAsia="en-GB"/>
        </w:rPr>
        <w:t>)</w:t>
      </w:r>
    </w:p>
    <w:p w14:paraId="1223998E" w14:textId="0B2D812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Paauwe, J. (2024) ‘AMO theory and strategic human resource management’, in </w:t>
      </w:r>
      <w:r w:rsidRPr="00E02468">
        <w:rPr>
          <w:rFonts w:ascii="Arial" w:eastAsia="Times New Roman" w:hAnsi="Arial" w:cs="Arial"/>
          <w:i/>
          <w:iCs/>
          <w:sz w:val="24"/>
          <w:szCs w:val="24"/>
          <w:lang w:val="en-GB" w:eastAsia="en-GB"/>
        </w:rPr>
        <w:t>Elgar Encyclopedia of Human Resource Management</w:t>
      </w:r>
      <w:r w:rsidRPr="00E02468">
        <w:rPr>
          <w:rFonts w:ascii="Arial" w:eastAsia="Times New Roman" w:hAnsi="Arial" w:cs="Arial"/>
          <w:sz w:val="24"/>
          <w:szCs w:val="24"/>
          <w:lang w:val="en-GB" w:eastAsia="en-GB"/>
        </w:rPr>
        <w:t>. Cheltenham: Edward Elgar.</w:t>
      </w:r>
      <w:r w:rsidRPr="00E02468">
        <w:rPr>
          <w:rFonts w:ascii="Arial" w:eastAsia="Times New Roman" w:hAnsi="Arial" w:cs="Arial"/>
          <w:sz w:val="24"/>
          <w:szCs w:val="24"/>
          <w:lang w:val="en-GB" w:eastAsia="en-GB"/>
        </w:rPr>
        <w:br/>
        <w:t>(</w:t>
      </w:r>
      <w:hyperlink r:id="rId80" w:history="1">
        <w:r w:rsidRPr="00E02468">
          <w:rPr>
            <w:rFonts w:ascii="Arial" w:eastAsia="Times New Roman" w:hAnsi="Arial" w:cs="Arial"/>
            <w:color w:val="0000FF"/>
            <w:sz w:val="24"/>
            <w:szCs w:val="24"/>
            <w:u w:val="single"/>
            <w:lang w:val="en-GB" w:eastAsia="en-GB"/>
          </w:rPr>
          <w:t>https://doi.org/10.4337/9781800377943.00012</w:t>
        </w:r>
      </w:hyperlink>
      <w:r w:rsidRPr="00E02468">
        <w:rPr>
          <w:rFonts w:ascii="Arial" w:eastAsia="Times New Roman" w:hAnsi="Arial" w:cs="Arial"/>
          <w:sz w:val="24"/>
          <w:szCs w:val="24"/>
          <w:lang w:val="en-GB" w:eastAsia="en-GB"/>
        </w:rPr>
        <w:t>)</w:t>
      </w:r>
    </w:p>
    <w:p w14:paraId="7AC69262" w14:textId="7161EB6A"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Parasuraman, A., Zeithaml, V.A. and Berry, L.L. (1985) ‘A conceptual model of service quality and its implications for future research’, </w:t>
      </w:r>
      <w:r w:rsidRPr="00E02468">
        <w:rPr>
          <w:rFonts w:ascii="Arial" w:eastAsia="Times New Roman" w:hAnsi="Arial" w:cs="Arial"/>
          <w:i/>
          <w:iCs/>
          <w:sz w:val="24"/>
          <w:szCs w:val="24"/>
          <w:lang w:val="en-GB" w:eastAsia="en-GB"/>
        </w:rPr>
        <w:t>Journal of Marketing</w:t>
      </w:r>
      <w:r w:rsidRPr="00E02468">
        <w:rPr>
          <w:rFonts w:ascii="Arial" w:eastAsia="Times New Roman" w:hAnsi="Arial" w:cs="Arial"/>
          <w:sz w:val="24"/>
          <w:szCs w:val="24"/>
          <w:lang w:val="en-GB" w:eastAsia="en-GB"/>
        </w:rPr>
        <w:t>, 49(4), pp. 41–50.</w:t>
      </w:r>
      <w:r w:rsidRPr="00E02468">
        <w:rPr>
          <w:rFonts w:ascii="Arial" w:eastAsia="Times New Roman" w:hAnsi="Arial" w:cs="Arial"/>
          <w:sz w:val="24"/>
          <w:szCs w:val="24"/>
          <w:lang w:val="en-GB" w:eastAsia="en-GB"/>
        </w:rPr>
        <w:br/>
        <w:t>(</w:t>
      </w:r>
      <w:hyperlink r:id="rId81" w:history="1">
        <w:r w:rsidRPr="00E02468">
          <w:rPr>
            <w:rFonts w:ascii="Arial" w:eastAsia="Times New Roman" w:hAnsi="Arial" w:cs="Arial"/>
            <w:color w:val="0000FF"/>
            <w:sz w:val="24"/>
            <w:szCs w:val="24"/>
            <w:u w:val="single"/>
            <w:lang w:val="en-GB" w:eastAsia="en-GB"/>
          </w:rPr>
          <w:t>https://doi.org/10.1177/002224298504900403</w:t>
        </w:r>
      </w:hyperlink>
      <w:r w:rsidRPr="00E02468">
        <w:rPr>
          <w:rFonts w:ascii="Arial" w:eastAsia="Times New Roman" w:hAnsi="Arial" w:cs="Arial"/>
          <w:sz w:val="24"/>
          <w:szCs w:val="24"/>
          <w:lang w:val="en-GB" w:eastAsia="en-GB"/>
        </w:rPr>
        <w:t>)</w:t>
      </w:r>
    </w:p>
    <w:p w14:paraId="2EEAA37A" w14:textId="00E6A75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Parasuraman, A., Zeithaml, V.A. and Berry, L.L. (1988) ‘SERVQUAL: a multiple-item scale for measuring consumer perceptions of service quality’, </w:t>
      </w:r>
      <w:r w:rsidRPr="00E02468">
        <w:rPr>
          <w:rFonts w:ascii="Arial" w:eastAsia="Times New Roman" w:hAnsi="Arial" w:cs="Arial"/>
          <w:i/>
          <w:iCs/>
          <w:sz w:val="24"/>
          <w:szCs w:val="24"/>
          <w:lang w:val="en-GB" w:eastAsia="en-GB"/>
        </w:rPr>
        <w:t>Journal of Retailing</w:t>
      </w:r>
      <w:r w:rsidRPr="00E02468">
        <w:rPr>
          <w:rFonts w:ascii="Arial" w:eastAsia="Times New Roman" w:hAnsi="Arial" w:cs="Arial"/>
          <w:sz w:val="24"/>
          <w:szCs w:val="24"/>
          <w:lang w:val="en-GB" w:eastAsia="en-GB"/>
        </w:rPr>
        <w:t>, 64(1), pp. 12–40.</w:t>
      </w:r>
      <w:r w:rsidRPr="00E02468">
        <w:rPr>
          <w:rFonts w:ascii="Arial" w:eastAsia="Times New Roman" w:hAnsi="Arial" w:cs="Arial"/>
          <w:sz w:val="24"/>
          <w:szCs w:val="24"/>
          <w:lang w:val="en-GB" w:eastAsia="en-GB"/>
        </w:rPr>
        <w:br/>
        <w:t>(</w:t>
      </w:r>
      <w:hyperlink r:id="rId82" w:history="1">
        <w:r w:rsidRPr="00E02468">
          <w:rPr>
            <w:rFonts w:ascii="Arial" w:eastAsia="Times New Roman" w:hAnsi="Arial" w:cs="Arial"/>
            <w:color w:val="0000FF"/>
            <w:sz w:val="24"/>
            <w:szCs w:val="24"/>
            <w:u w:val="single"/>
            <w:lang w:val="en-GB" w:eastAsia="en-GB"/>
          </w:rPr>
          <w:t>https://www.researchgate.net/publication/225083802_SERVQUAL_A_multiple-Item_Scale_for_measuring_consumer_perceptions_of_service_quality</w:t>
        </w:r>
      </w:hyperlink>
      <w:r w:rsidRPr="00E02468">
        <w:rPr>
          <w:rFonts w:ascii="Arial" w:eastAsia="Times New Roman" w:hAnsi="Arial" w:cs="Arial"/>
          <w:sz w:val="24"/>
          <w:szCs w:val="24"/>
          <w:lang w:val="en-GB" w:eastAsia="en-GB"/>
        </w:rPr>
        <w:t>)</w:t>
      </w:r>
    </w:p>
    <w:p w14:paraId="7A8E4C1E" w14:textId="0E7AF22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Papademetriou, C., Anastasiadou, S. and Papalexandris, A. (2023) ‘The effect of sustainable human resource management practices on customer satisfaction, service quality, and institutional performance in hotel businesses’, </w:t>
      </w:r>
      <w:r w:rsidRPr="00E02468">
        <w:rPr>
          <w:rFonts w:ascii="Arial" w:eastAsia="Times New Roman" w:hAnsi="Arial" w:cs="Arial"/>
          <w:i/>
          <w:iCs/>
          <w:sz w:val="24"/>
          <w:szCs w:val="24"/>
          <w:lang w:val="en-GB" w:eastAsia="en-GB"/>
        </w:rPr>
        <w:t>Sustainability</w:t>
      </w:r>
      <w:r w:rsidRPr="00E02468">
        <w:rPr>
          <w:rFonts w:ascii="Arial" w:eastAsia="Times New Roman" w:hAnsi="Arial" w:cs="Arial"/>
          <w:sz w:val="24"/>
          <w:szCs w:val="24"/>
          <w:lang w:val="en-GB" w:eastAsia="en-GB"/>
        </w:rPr>
        <w:t>, 15(10), 8251.</w:t>
      </w:r>
      <w:r w:rsidRPr="00E02468">
        <w:rPr>
          <w:rFonts w:ascii="Arial" w:eastAsia="Times New Roman" w:hAnsi="Arial" w:cs="Arial"/>
          <w:sz w:val="24"/>
          <w:szCs w:val="24"/>
          <w:lang w:val="en-GB" w:eastAsia="en-GB"/>
        </w:rPr>
        <w:br/>
        <w:t>(</w:t>
      </w:r>
      <w:hyperlink r:id="rId83" w:history="1">
        <w:r w:rsidRPr="00E02468">
          <w:rPr>
            <w:rFonts w:ascii="Arial" w:eastAsia="Times New Roman" w:hAnsi="Arial" w:cs="Arial"/>
            <w:color w:val="0000FF"/>
            <w:sz w:val="24"/>
            <w:szCs w:val="24"/>
            <w:u w:val="single"/>
            <w:lang w:val="en-GB" w:eastAsia="en-GB"/>
          </w:rPr>
          <w:t>https://doi.org/10.3390/su15108251</w:t>
        </w:r>
      </w:hyperlink>
      <w:r w:rsidRPr="00E02468">
        <w:rPr>
          <w:rFonts w:ascii="Arial" w:eastAsia="Times New Roman" w:hAnsi="Arial" w:cs="Arial"/>
          <w:sz w:val="24"/>
          <w:szCs w:val="24"/>
          <w:lang w:val="en-GB" w:eastAsia="en-GB"/>
        </w:rPr>
        <w:t>)</w:t>
      </w:r>
    </w:p>
    <w:p w14:paraId="400B2212" w14:textId="7E89DE2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Ployhart, R.E. (2021) ‘Resources for what? Understanding performance consequences of human capital’,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47(7), pp. 1759–1779.</w:t>
      </w:r>
      <w:r w:rsidRPr="00E02468">
        <w:rPr>
          <w:rFonts w:ascii="Arial" w:eastAsia="Times New Roman" w:hAnsi="Arial" w:cs="Arial"/>
          <w:sz w:val="24"/>
          <w:szCs w:val="24"/>
          <w:lang w:val="en-GB" w:eastAsia="en-GB"/>
        </w:rPr>
        <w:br/>
        <w:t>(</w:t>
      </w:r>
      <w:hyperlink r:id="rId84" w:history="1">
        <w:r w:rsidRPr="00E02468">
          <w:rPr>
            <w:rFonts w:ascii="Arial" w:eastAsia="Times New Roman" w:hAnsi="Arial" w:cs="Arial"/>
            <w:color w:val="0000FF"/>
            <w:sz w:val="24"/>
            <w:szCs w:val="24"/>
            <w:u w:val="single"/>
            <w:lang w:val="en-GB" w:eastAsia="en-GB"/>
          </w:rPr>
          <w:t>https://doi.org/10.1177/01492063211003137</w:t>
        </w:r>
      </w:hyperlink>
      <w:r w:rsidRPr="00E02468">
        <w:rPr>
          <w:rFonts w:ascii="Arial" w:eastAsia="Times New Roman" w:hAnsi="Arial" w:cs="Arial"/>
          <w:sz w:val="24"/>
          <w:szCs w:val="24"/>
          <w:lang w:val="en-GB" w:eastAsia="en-GB"/>
        </w:rPr>
        <w:t>)</w:t>
      </w:r>
    </w:p>
    <w:p w14:paraId="0626DA18" w14:textId="01D9EBC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Podsakoff, P.M., MacKenzie, S.B., Lee, J.Y. and Podsakoff, N.P. (2003) ‘Common method biases in behavioral research’, </w:t>
      </w:r>
      <w:r w:rsidRPr="00E02468">
        <w:rPr>
          <w:rFonts w:ascii="Arial" w:eastAsia="Times New Roman" w:hAnsi="Arial" w:cs="Arial"/>
          <w:i/>
          <w:iCs/>
          <w:sz w:val="24"/>
          <w:szCs w:val="24"/>
          <w:lang w:val="en-GB" w:eastAsia="en-GB"/>
        </w:rPr>
        <w:t>Journal of Applied Psychology</w:t>
      </w:r>
      <w:r w:rsidRPr="00E02468">
        <w:rPr>
          <w:rFonts w:ascii="Arial" w:eastAsia="Times New Roman" w:hAnsi="Arial" w:cs="Arial"/>
          <w:sz w:val="24"/>
          <w:szCs w:val="24"/>
          <w:lang w:val="en-GB" w:eastAsia="en-GB"/>
        </w:rPr>
        <w:t>, 88(5), pp. 879–903.</w:t>
      </w:r>
      <w:r w:rsidRPr="00E02468">
        <w:rPr>
          <w:rFonts w:ascii="Arial" w:eastAsia="Times New Roman" w:hAnsi="Arial" w:cs="Arial"/>
          <w:sz w:val="24"/>
          <w:szCs w:val="24"/>
          <w:lang w:val="en-GB" w:eastAsia="en-GB"/>
        </w:rPr>
        <w:br/>
        <w:t>(</w:t>
      </w:r>
      <w:hyperlink r:id="rId85" w:history="1">
        <w:r w:rsidRPr="00E02468">
          <w:rPr>
            <w:rFonts w:ascii="Arial" w:eastAsia="Times New Roman" w:hAnsi="Arial" w:cs="Arial"/>
            <w:color w:val="0000FF"/>
            <w:sz w:val="24"/>
            <w:szCs w:val="24"/>
            <w:u w:val="single"/>
            <w:lang w:val="en-GB" w:eastAsia="en-GB"/>
          </w:rPr>
          <w:t>https://doi.org/10.1037/0021-9010.88.5.879</w:t>
        </w:r>
      </w:hyperlink>
      <w:r w:rsidRPr="00E02468">
        <w:rPr>
          <w:rFonts w:ascii="Arial" w:eastAsia="Times New Roman" w:hAnsi="Arial" w:cs="Arial"/>
          <w:sz w:val="24"/>
          <w:szCs w:val="24"/>
          <w:lang w:val="en-GB" w:eastAsia="en-GB"/>
        </w:rPr>
        <w:t>)</w:t>
      </w:r>
    </w:p>
    <w:p w14:paraId="1B897E1F" w14:textId="19A1E96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Rabiul, M.K., Patwary, A.K., Kumar, S., Shamsudin, F.M. and Rabiul, M. (2022) ‘High-performance work systems and service-oriented behaviour in hospitality’,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w:t>
      </w:r>
      <w:r w:rsidRPr="00E02468">
        <w:rPr>
          <w:rFonts w:ascii="Arial" w:eastAsia="Times New Roman" w:hAnsi="Arial" w:cs="Arial"/>
          <w:sz w:val="24"/>
          <w:szCs w:val="24"/>
          <w:lang w:val="en-GB" w:eastAsia="en-GB"/>
        </w:rPr>
        <w:br/>
        <w:t>(</w:t>
      </w:r>
      <w:hyperlink r:id="rId86" w:history="1">
        <w:r w:rsidRPr="00E02468">
          <w:rPr>
            <w:rFonts w:ascii="Arial" w:eastAsia="Times New Roman" w:hAnsi="Arial" w:cs="Arial"/>
            <w:color w:val="0000FF"/>
            <w:sz w:val="24"/>
            <w:szCs w:val="24"/>
            <w:u w:val="single"/>
            <w:lang w:val="en-GB" w:eastAsia="en-GB"/>
          </w:rPr>
          <w:t>https://doi.org/10.1016/j.ijhm.2022.103264</w:t>
        </w:r>
      </w:hyperlink>
      <w:r w:rsidRPr="00E02468">
        <w:rPr>
          <w:rFonts w:ascii="Arial" w:eastAsia="Times New Roman" w:hAnsi="Arial" w:cs="Arial"/>
          <w:sz w:val="24"/>
          <w:szCs w:val="24"/>
          <w:lang w:val="en-GB" w:eastAsia="en-GB"/>
        </w:rPr>
        <w:t>)</w:t>
      </w:r>
    </w:p>
    <w:p w14:paraId="04B835F8" w14:textId="68AE600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Rabiul, M.K. (2025) ‘Commitment to quality service in hospitality: role of human resources practices, turnover intention, organizational engagement, and adaptability’, </w:t>
      </w:r>
      <w:r w:rsidRPr="00E02468">
        <w:rPr>
          <w:rFonts w:ascii="Arial" w:eastAsia="Times New Roman" w:hAnsi="Arial" w:cs="Arial"/>
          <w:i/>
          <w:iCs/>
          <w:sz w:val="24"/>
          <w:szCs w:val="24"/>
          <w:lang w:val="en-GB" w:eastAsia="en-GB"/>
        </w:rPr>
        <w:t>European Journal of Management and Business Economics</w:t>
      </w:r>
      <w:r w:rsidRPr="00E02468">
        <w:rPr>
          <w:rFonts w:ascii="Arial" w:eastAsia="Times New Roman" w:hAnsi="Arial" w:cs="Arial"/>
          <w:sz w:val="24"/>
          <w:szCs w:val="24"/>
          <w:lang w:val="en-GB" w:eastAsia="en-GB"/>
        </w:rPr>
        <w:t>.</w:t>
      </w:r>
      <w:r w:rsidRPr="00E02468">
        <w:rPr>
          <w:rFonts w:ascii="Arial" w:eastAsia="Times New Roman" w:hAnsi="Arial" w:cs="Arial"/>
          <w:sz w:val="24"/>
          <w:szCs w:val="24"/>
          <w:lang w:val="en-GB" w:eastAsia="en-GB"/>
        </w:rPr>
        <w:br/>
        <w:t>(</w:t>
      </w:r>
      <w:hyperlink r:id="rId87" w:history="1">
        <w:r w:rsidRPr="00E02468">
          <w:rPr>
            <w:rFonts w:ascii="Arial" w:eastAsia="Times New Roman" w:hAnsi="Arial" w:cs="Arial"/>
            <w:color w:val="0000FF"/>
            <w:sz w:val="24"/>
            <w:szCs w:val="24"/>
            <w:u w:val="single"/>
            <w:lang w:val="en-GB" w:eastAsia="en-GB"/>
          </w:rPr>
          <w:t>https://doi.org/10.1108/EJMBE-09-2023-0288</w:t>
        </w:r>
      </w:hyperlink>
      <w:r w:rsidRPr="00E02468">
        <w:rPr>
          <w:rFonts w:ascii="Arial" w:eastAsia="Times New Roman" w:hAnsi="Arial" w:cs="Arial"/>
          <w:sz w:val="24"/>
          <w:szCs w:val="24"/>
          <w:lang w:val="en-GB" w:eastAsia="en-GB"/>
        </w:rPr>
        <w:t>)</w:t>
      </w:r>
    </w:p>
    <w:p w14:paraId="29FB223E" w14:textId="59625FF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Reichheld, F.F. and Sasser, W.E. (1990) ‘Zero defections: quality comes to services’, </w:t>
      </w:r>
      <w:r w:rsidRPr="00E02468">
        <w:rPr>
          <w:rFonts w:ascii="Arial" w:eastAsia="Times New Roman" w:hAnsi="Arial" w:cs="Arial"/>
          <w:i/>
          <w:iCs/>
          <w:sz w:val="24"/>
          <w:szCs w:val="24"/>
          <w:lang w:val="en-GB" w:eastAsia="en-GB"/>
        </w:rPr>
        <w:t>Harvard Business Review</w:t>
      </w:r>
      <w:r w:rsidRPr="00E02468">
        <w:rPr>
          <w:rFonts w:ascii="Arial" w:eastAsia="Times New Roman" w:hAnsi="Arial" w:cs="Arial"/>
          <w:sz w:val="24"/>
          <w:szCs w:val="24"/>
          <w:lang w:val="en-GB" w:eastAsia="en-GB"/>
        </w:rPr>
        <w:t>, 68(5), pp. 105–111.</w:t>
      </w:r>
      <w:r w:rsidRPr="00E02468">
        <w:rPr>
          <w:rFonts w:ascii="Arial" w:eastAsia="Times New Roman" w:hAnsi="Arial" w:cs="Arial"/>
          <w:sz w:val="24"/>
          <w:szCs w:val="24"/>
          <w:lang w:val="en-GB" w:eastAsia="en-GB"/>
        </w:rPr>
        <w:br/>
        <w:t>(</w:t>
      </w:r>
      <w:hyperlink r:id="rId88" w:history="1">
        <w:r w:rsidRPr="00E02468">
          <w:rPr>
            <w:rFonts w:ascii="Arial" w:eastAsia="Times New Roman" w:hAnsi="Arial" w:cs="Arial"/>
            <w:color w:val="0000FF"/>
            <w:sz w:val="24"/>
            <w:szCs w:val="24"/>
            <w:u w:val="single"/>
            <w:lang w:val="en-GB" w:eastAsia="en-GB"/>
          </w:rPr>
          <w:t>https://hbr.org/1990/09/zero-defections-quality-comes-to-services</w:t>
        </w:r>
      </w:hyperlink>
      <w:r w:rsidRPr="00E02468">
        <w:rPr>
          <w:rFonts w:ascii="Arial" w:eastAsia="Times New Roman" w:hAnsi="Arial" w:cs="Arial"/>
          <w:sz w:val="24"/>
          <w:szCs w:val="24"/>
          <w:lang w:val="en-GB" w:eastAsia="en-GB"/>
        </w:rPr>
        <w:t>)</w:t>
      </w:r>
    </w:p>
    <w:p w14:paraId="225D7260" w14:textId="78149FC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Robbins, S.P. and Judge, T.A. (2022) </w:t>
      </w:r>
      <w:r w:rsidRPr="00E02468">
        <w:rPr>
          <w:rFonts w:ascii="Arial" w:eastAsia="Times New Roman" w:hAnsi="Arial" w:cs="Arial"/>
          <w:i/>
          <w:iCs/>
          <w:sz w:val="24"/>
          <w:szCs w:val="24"/>
          <w:lang w:val="en-GB" w:eastAsia="en-GB"/>
        </w:rPr>
        <w:t>Organizational Behavior</w:t>
      </w:r>
      <w:r w:rsidRPr="00E02468">
        <w:rPr>
          <w:rFonts w:ascii="Arial" w:eastAsia="Times New Roman" w:hAnsi="Arial" w:cs="Arial"/>
          <w:sz w:val="24"/>
          <w:szCs w:val="24"/>
          <w:lang w:val="en-GB" w:eastAsia="en-GB"/>
        </w:rPr>
        <w:t>. 19th edn. Harlow: Pearson.</w:t>
      </w:r>
      <w:r w:rsidRPr="00E02468">
        <w:rPr>
          <w:rFonts w:ascii="Arial" w:eastAsia="Times New Roman" w:hAnsi="Arial" w:cs="Arial"/>
          <w:sz w:val="24"/>
          <w:szCs w:val="24"/>
          <w:lang w:val="en-GB" w:eastAsia="en-GB"/>
        </w:rPr>
        <w:br/>
        <w:t>(</w:t>
      </w:r>
      <w:hyperlink r:id="rId89" w:history="1">
        <w:r w:rsidRPr="00E02468">
          <w:rPr>
            <w:rFonts w:ascii="Arial" w:eastAsia="Times New Roman" w:hAnsi="Arial" w:cs="Arial"/>
            <w:color w:val="0000FF"/>
            <w:sz w:val="24"/>
            <w:szCs w:val="24"/>
            <w:u w:val="single"/>
            <w:lang w:val="en-GB" w:eastAsia="en-GB"/>
          </w:rPr>
          <w:t>https://www.pearson.com/en-us/subject-catalog/p/organizational-behavior/P200000006196</w:t>
        </w:r>
      </w:hyperlink>
      <w:r w:rsidRPr="00E02468">
        <w:rPr>
          <w:rFonts w:ascii="Arial" w:eastAsia="Times New Roman" w:hAnsi="Arial" w:cs="Arial"/>
          <w:sz w:val="24"/>
          <w:szCs w:val="24"/>
          <w:lang w:val="en-GB" w:eastAsia="en-GB"/>
        </w:rPr>
        <w:t>)</w:t>
      </w:r>
    </w:p>
    <w:p w14:paraId="75F99C25" w14:textId="6B19C91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Saunders, M., Lewis, P. and Thornhill, A. (2023) </w:t>
      </w:r>
      <w:r w:rsidRPr="00E02468">
        <w:rPr>
          <w:rFonts w:ascii="Arial" w:eastAsia="Times New Roman" w:hAnsi="Arial" w:cs="Arial"/>
          <w:i/>
          <w:iCs/>
          <w:sz w:val="24"/>
          <w:szCs w:val="24"/>
          <w:lang w:val="en-GB" w:eastAsia="en-GB"/>
        </w:rPr>
        <w:t>Research Methods for Business Students</w:t>
      </w:r>
      <w:r w:rsidRPr="00E02468">
        <w:rPr>
          <w:rFonts w:ascii="Arial" w:eastAsia="Times New Roman" w:hAnsi="Arial" w:cs="Arial"/>
          <w:sz w:val="24"/>
          <w:szCs w:val="24"/>
          <w:lang w:val="en-GB" w:eastAsia="en-GB"/>
        </w:rPr>
        <w:t>. 9th edn. Harlow: Pearson.</w:t>
      </w:r>
      <w:r w:rsidRPr="00E02468">
        <w:rPr>
          <w:rFonts w:ascii="Arial" w:eastAsia="Times New Roman" w:hAnsi="Arial" w:cs="Arial"/>
          <w:sz w:val="24"/>
          <w:szCs w:val="24"/>
          <w:lang w:val="en-GB" w:eastAsia="en-GB"/>
        </w:rPr>
        <w:br/>
        <w:t>(</w:t>
      </w:r>
      <w:hyperlink r:id="rId90" w:history="1">
        <w:r w:rsidRPr="00E02468">
          <w:rPr>
            <w:rFonts w:ascii="Arial" w:eastAsia="Times New Roman" w:hAnsi="Arial" w:cs="Arial"/>
            <w:color w:val="0000FF"/>
            <w:sz w:val="24"/>
            <w:szCs w:val="24"/>
            <w:u w:val="single"/>
            <w:lang w:val="en-GB" w:eastAsia="en-GB"/>
          </w:rPr>
          <w:t>https://www.pearson.com/en-gb/subject-catalog/p/research-methods-for-business-students/P200000010080/9781292402727</w:t>
        </w:r>
      </w:hyperlink>
      <w:r w:rsidRPr="00E02468">
        <w:rPr>
          <w:rFonts w:ascii="Arial" w:eastAsia="Times New Roman" w:hAnsi="Arial" w:cs="Arial"/>
          <w:sz w:val="24"/>
          <w:szCs w:val="24"/>
          <w:lang w:val="en-GB" w:eastAsia="en-GB"/>
        </w:rPr>
        <w:t>)</w:t>
      </w:r>
    </w:p>
    <w:p w14:paraId="03E83E64" w14:textId="7CF93F8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Schaufeli, W.B., Bakker, A.B. and Salanova, M. (2006) ‘The measurement of work engagement with a short questionnaire’, </w:t>
      </w:r>
      <w:r w:rsidRPr="00E02468">
        <w:rPr>
          <w:rFonts w:ascii="Arial" w:eastAsia="Times New Roman" w:hAnsi="Arial" w:cs="Arial"/>
          <w:i/>
          <w:iCs/>
          <w:sz w:val="24"/>
          <w:szCs w:val="24"/>
          <w:lang w:val="en-GB" w:eastAsia="en-GB"/>
        </w:rPr>
        <w:t>Educational and Psychological Measurement</w:t>
      </w:r>
      <w:r w:rsidRPr="00E02468">
        <w:rPr>
          <w:rFonts w:ascii="Arial" w:eastAsia="Times New Roman" w:hAnsi="Arial" w:cs="Arial"/>
          <w:sz w:val="24"/>
          <w:szCs w:val="24"/>
          <w:lang w:val="en-GB" w:eastAsia="en-GB"/>
        </w:rPr>
        <w:t>, 66(4), pp. 701–716.</w:t>
      </w:r>
      <w:r w:rsidRPr="00E02468">
        <w:rPr>
          <w:rFonts w:ascii="Arial" w:eastAsia="Times New Roman" w:hAnsi="Arial" w:cs="Arial"/>
          <w:sz w:val="24"/>
          <w:szCs w:val="24"/>
          <w:lang w:val="en-GB" w:eastAsia="en-GB"/>
        </w:rPr>
        <w:br/>
        <w:t>(</w:t>
      </w:r>
      <w:hyperlink r:id="rId91" w:history="1">
        <w:r w:rsidRPr="00E02468">
          <w:rPr>
            <w:rFonts w:ascii="Arial" w:eastAsia="Times New Roman" w:hAnsi="Arial" w:cs="Arial"/>
            <w:color w:val="0000FF"/>
            <w:sz w:val="24"/>
            <w:szCs w:val="24"/>
            <w:u w:val="single"/>
            <w:lang w:val="en-GB" w:eastAsia="en-GB"/>
          </w:rPr>
          <w:t>https://doi.org/10.1177/0013164405282471</w:t>
        </w:r>
      </w:hyperlink>
      <w:r w:rsidRPr="00E02468">
        <w:rPr>
          <w:rFonts w:ascii="Arial" w:eastAsia="Times New Roman" w:hAnsi="Arial" w:cs="Arial"/>
          <w:sz w:val="24"/>
          <w:szCs w:val="24"/>
          <w:lang w:val="en-GB" w:eastAsia="en-GB"/>
        </w:rPr>
        <w:t>)</w:t>
      </w:r>
    </w:p>
    <w:p w14:paraId="7FAE3B0C" w14:textId="7BC202E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Schneider, B., White, S.S. and Paul, M.C. (1998) ‘Linking service climate and customer perceptions of service quality’, </w:t>
      </w:r>
      <w:r w:rsidRPr="00E02468">
        <w:rPr>
          <w:rFonts w:ascii="Arial" w:eastAsia="Times New Roman" w:hAnsi="Arial" w:cs="Arial"/>
          <w:i/>
          <w:iCs/>
          <w:sz w:val="24"/>
          <w:szCs w:val="24"/>
          <w:lang w:val="en-GB" w:eastAsia="en-GB"/>
        </w:rPr>
        <w:t>Journal of Applied Psychology</w:t>
      </w:r>
      <w:r w:rsidRPr="00E02468">
        <w:rPr>
          <w:rFonts w:ascii="Arial" w:eastAsia="Times New Roman" w:hAnsi="Arial" w:cs="Arial"/>
          <w:sz w:val="24"/>
          <w:szCs w:val="24"/>
          <w:lang w:val="en-GB" w:eastAsia="en-GB"/>
        </w:rPr>
        <w:t>, 83(2), pp. 150–163.</w:t>
      </w:r>
      <w:r w:rsidRPr="00E02468">
        <w:rPr>
          <w:rFonts w:ascii="Arial" w:eastAsia="Times New Roman" w:hAnsi="Arial" w:cs="Arial"/>
          <w:sz w:val="24"/>
          <w:szCs w:val="24"/>
          <w:lang w:val="en-GB" w:eastAsia="en-GB"/>
        </w:rPr>
        <w:br/>
        <w:t>(</w:t>
      </w:r>
      <w:hyperlink r:id="rId92" w:history="1">
        <w:r w:rsidRPr="00E02468">
          <w:rPr>
            <w:rFonts w:ascii="Arial" w:eastAsia="Times New Roman" w:hAnsi="Arial" w:cs="Arial"/>
            <w:color w:val="0000FF"/>
            <w:sz w:val="24"/>
            <w:szCs w:val="24"/>
            <w:u w:val="single"/>
            <w:lang w:val="en-GB" w:eastAsia="en-GB"/>
          </w:rPr>
          <w:t>https://doi.org/10.1037/0021-9010.83.2.150</w:t>
        </w:r>
      </w:hyperlink>
      <w:r w:rsidRPr="00E02468">
        <w:rPr>
          <w:rFonts w:ascii="Arial" w:eastAsia="Times New Roman" w:hAnsi="Arial" w:cs="Arial"/>
          <w:sz w:val="24"/>
          <w:szCs w:val="24"/>
          <w:lang w:val="en-GB" w:eastAsia="en-GB"/>
        </w:rPr>
        <w:t>)</w:t>
      </w:r>
    </w:p>
    <w:p w14:paraId="5A1C2874" w14:textId="0D9EDD5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Shenyang, H. and Park, I.J. (2024) ‘How can promote hotel employees’ performances? Relative importance of high-performance HR practices and the moderating role of empowering leadership’,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119, 103706.</w:t>
      </w:r>
      <w:r w:rsidRPr="00E02468">
        <w:rPr>
          <w:rFonts w:ascii="Arial" w:eastAsia="Times New Roman" w:hAnsi="Arial" w:cs="Arial"/>
          <w:sz w:val="24"/>
          <w:szCs w:val="24"/>
          <w:lang w:val="en-GB" w:eastAsia="en-GB"/>
        </w:rPr>
        <w:br/>
        <w:t>(</w:t>
      </w:r>
      <w:hyperlink r:id="rId93" w:history="1">
        <w:r w:rsidRPr="00E02468">
          <w:rPr>
            <w:rFonts w:ascii="Arial" w:eastAsia="Times New Roman" w:hAnsi="Arial" w:cs="Arial"/>
            <w:color w:val="0000FF"/>
            <w:sz w:val="24"/>
            <w:szCs w:val="24"/>
            <w:u w:val="single"/>
            <w:lang w:val="en-GB" w:eastAsia="en-GB"/>
          </w:rPr>
          <w:t>https://doi.org/10.1016/j.ijhm.2024.103706</w:t>
        </w:r>
      </w:hyperlink>
      <w:r w:rsidRPr="00E02468">
        <w:rPr>
          <w:rFonts w:ascii="Arial" w:eastAsia="Times New Roman" w:hAnsi="Arial" w:cs="Arial"/>
          <w:sz w:val="24"/>
          <w:szCs w:val="24"/>
          <w:lang w:val="en-GB" w:eastAsia="en-GB"/>
        </w:rPr>
        <w:t>)</w:t>
      </w:r>
    </w:p>
    <w:p w14:paraId="0548D5F7" w14:textId="1B8284DD"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Spector, P.E. (1997) </w:t>
      </w:r>
      <w:r w:rsidRPr="00E02468">
        <w:rPr>
          <w:rFonts w:ascii="Arial" w:eastAsia="Times New Roman" w:hAnsi="Arial" w:cs="Arial"/>
          <w:i/>
          <w:iCs/>
          <w:sz w:val="24"/>
          <w:szCs w:val="24"/>
          <w:lang w:val="en-GB" w:eastAsia="en-GB"/>
        </w:rPr>
        <w:t>Job Satisfaction: Application, Assessment, Causes, and Consequences</w:t>
      </w:r>
      <w:r w:rsidRPr="00E02468">
        <w:rPr>
          <w:rFonts w:ascii="Arial" w:eastAsia="Times New Roman" w:hAnsi="Arial" w:cs="Arial"/>
          <w:sz w:val="24"/>
          <w:szCs w:val="24"/>
          <w:lang w:val="en-GB" w:eastAsia="en-GB"/>
        </w:rPr>
        <w:t>. Thousand Oaks, CA: Sage.</w:t>
      </w:r>
      <w:r w:rsidRPr="00E02468">
        <w:rPr>
          <w:rFonts w:ascii="Arial" w:eastAsia="Times New Roman" w:hAnsi="Arial" w:cs="Arial"/>
          <w:sz w:val="24"/>
          <w:szCs w:val="24"/>
          <w:lang w:val="en-GB" w:eastAsia="en-GB"/>
        </w:rPr>
        <w:br/>
        <w:t>(</w:t>
      </w:r>
      <w:hyperlink r:id="rId94" w:history="1">
        <w:r w:rsidRPr="00E02468">
          <w:rPr>
            <w:rFonts w:ascii="Arial" w:eastAsia="Times New Roman" w:hAnsi="Arial" w:cs="Arial"/>
            <w:color w:val="0000FF"/>
            <w:sz w:val="24"/>
            <w:szCs w:val="24"/>
            <w:u w:val="single"/>
            <w:lang w:val="en-GB" w:eastAsia="en-GB"/>
          </w:rPr>
          <w:t>https://doi.org/10.4135/9781452231549</w:t>
        </w:r>
      </w:hyperlink>
      <w:r w:rsidRPr="00E02468">
        <w:rPr>
          <w:rFonts w:ascii="Arial" w:eastAsia="Times New Roman" w:hAnsi="Arial" w:cs="Arial"/>
          <w:sz w:val="24"/>
          <w:szCs w:val="24"/>
          <w:lang w:val="en-GB" w:eastAsia="en-GB"/>
        </w:rPr>
        <w:t>)</w:t>
      </w:r>
    </w:p>
    <w:p w14:paraId="564526D1" w14:textId="56ED5B7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Sun, L.Y., Aryee, S. and Law, K.S. (2007) ‘High-performance human resource practices, citizenship behavior, and organizational performance’,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50(3), pp. 558–577.</w:t>
      </w:r>
      <w:r w:rsidRPr="00E02468">
        <w:rPr>
          <w:rFonts w:ascii="Arial" w:eastAsia="Times New Roman" w:hAnsi="Arial" w:cs="Arial"/>
          <w:sz w:val="24"/>
          <w:szCs w:val="24"/>
          <w:lang w:val="en-GB" w:eastAsia="en-GB"/>
        </w:rPr>
        <w:br/>
        <w:t>(</w:t>
      </w:r>
      <w:hyperlink r:id="rId95" w:history="1">
        <w:r w:rsidRPr="00E02468">
          <w:rPr>
            <w:rFonts w:ascii="Arial" w:eastAsia="Times New Roman" w:hAnsi="Arial" w:cs="Arial"/>
            <w:color w:val="0000FF"/>
            <w:sz w:val="24"/>
            <w:szCs w:val="24"/>
            <w:u w:val="single"/>
            <w:lang w:val="en-GB" w:eastAsia="en-GB"/>
          </w:rPr>
          <w:t>https://doi.org/10.5465/amj.2007.25525821</w:t>
        </w:r>
      </w:hyperlink>
      <w:r w:rsidRPr="00E02468">
        <w:rPr>
          <w:rFonts w:ascii="Arial" w:eastAsia="Times New Roman" w:hAnsi="Arial" w:cs="Arial"/>
          <w:sz w:val="24"/>
          <w:szCs w:val="24"/>
          <w:lang w:val="en-GB" w:eastAsia="en-GB"/>
        </w:rPr>
        <w:t>)</w:t>
      </w:r>
    </w:p>
    <w:p w14:paraId="35EF01B5" w14:textId="51E842D5"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Tett, R.P. and Meyer, J.P. (1993) ‘Job satisfaction, organizational commitment, turnover intention, and turnover’, </w:t>
      </w:r>
      <w:r w:rsidRPr="00E02468">
        <w:rPr>
          <w:rFonts w:ascii="Arial" w:eastAsia="Times New Roman" w:hAnsi="Arial" w:cs="Arial"/>
          <w:i/>
          <w:iCs/>
          <w:sz w:val="24"/>
          <w:szCs w:val="24"/>
          <w:lang w:val="en-GB" w:eastAsia="en-GB"/>
        </w:rPr>
        <w:t>Personnel Psychology</w:t>
      </w:r>
      <w:r w:rsidRPr="00E02468">
        <w:rPr>
          <w:rFonts w:ascii="Arial" w:eastAsia="Times New Roman" w:hAnsi="Arial" w:cs="Arial"/>
          <w:sz w:val="24"/>
          <w:szCs w:val="24"/>
          <w:lang w:val="en-GB" w:eastAsia="en-GB"/>
        </w:rPr>
        <w:t>, 46(2), pp. 259–293.</w:t>
      </w:r>
      <w:r w:rsidRPr="00E02468">
        <w:rPr>
          <w:rFonts w:ascii="Arial" w:eastAsia="Times New Roman" w:hAnsi="Arial" w:cs="Arial"/>
          <w:sz w:val="24"/>
          <w:szCs w:val="24"/>
          <w:lang w:val="en-GB" w:eastAsia="en-GB"/>
        </w:rPr>
        <w:br/>
        <w:t>(</w:t>
      </w:r>
      <w:hyperlink r:id="rId96" w:history="1">
        <w:r w:rsidRPr="00E02468">
          <w:rPr>
            <w:rFonts w:ascii="Arial" w:eastAsia="Times New Roman" w:hAnsi="Arial" w:cs="Arial"/>
            <w:color w:val="0000FF"/>
            <w:sz w:val="24"/>
            <w:szCs w:val="24"/>
            <w:u w:val="single"/>
            <w:lang w:val="en-GB" w:eastAsia="en-GB"/>
          </w:rPr>
          <w:t>https://doi.org/10.1111/j.1744-6570.1993.tb00874.x</w:t>
        </w:r>
      </w:hyperlink>
      <w:r w:rsidRPr="00E02468">
        <w:rPr>
          <w:rFonts w:ascii="Arial" w:eastAsia="Times New Roman" w:hAnsi="Arial" w:cs="Arial"/>
          <w:sz w:val="24"/>
          <w:szCs w:val="24"/>
          <w:lang w:val="en-GB" w:eastAsia="en-GB"/>
        </w:rPr>
        <w:t>)</w:t>
      </w:r>
    </w:p>
    <w:p w14:paraId="2D21582B" w14:textId="0DE4FE3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UKHospitality (2022) </w:t>
      </w:r>
      <w:r w:rsidRPr="00E02468">
        <w:rPr>
          <w:rFonts w:ascii="Arial" w:eastAsia="Times New Roman" w:hAnsi="Arial" w:cs="Arial"/>
          <w:i/>
          <w:iCs/>
          <w:sz w:val="24"/>
          <w:szCs w:val="24"/>
          <w:lang w:val="en-GB" w:eastAsia="en-GB"/>
        </w:rPr>
        <w:t>Hospitality Workforce Strategy</w:t>
      </w:r>
      <w:r w:rsidRPr="00E02468">
        <w:rPr>
          <w:rFonts w:ascii="Arial" w:eastAsia="Times New Roman" w:hAnsi="Arial" w:cs="Arial"/>
          <w:sz w:val="24"/>
          <w:szCs w:val="24"/>
          <w:lang w:val="en-GB" w:eastAsia="en-GB"/>
        </w:rPr>
        <w:t>. London: UKHospitality.</w:t>
      </w:r>
      <w:r w:rsidRPr="00E02468">
        <w:rPr>
          <w:rFonts w:ascii="Arial" w:eastAsia="Times New Roman" w:hAnsi="Arial" w:cs="Arial"/>
          <w:sz w:val="24"/>
          <w:szCs w:val="24"/>
          <w:lang w:val="en-GB" w:eastAsia="en-GB"/>
        </w:rPr>
        <w:br/>
        <w:t>(</w:t>
      </w:r>
      <w:hyperlink r:id="rId97" w:history="1">
        <w:r w:rsidRPr="00E02468">
          <w:rPr>
            <w:rFonts w:ascii="Arial" w:eastAsia="Times New Roman" w:hAnsi="Arial" w:cs="Arial"/>
            <w:color w:val="0000FF"/>
            <w:sz w:val="24"/>
            <w:szCs w:val="24"/>
            <w:u w:val="single"/>
            <w:lang w:val="en-GB" w:eastAsia="en-GB"/>
          </w:rPr>
          <w:t>https://www.ukhospitality.org.uk/work/hospitality-workforce-strategy/</w:t>
        </w:r>
      </w:hyperlink>
      <w:r w:rsidRPr="00E02468">
        <w:rPr>
          <w:rFonts w:ascii="Arial" w:eastAsia="Times New Roman" w:hAnsi="Arial" w:cs="Arial"/>
          <w:sz w:val="24"/>
          <w:szCs w:val="24"/>
          <w:lang w:val="en-GB" w:eastAsia="en-GB"/>
        </w:rPr>
        <w:t>)</w:t>
      </w:r>
    </w:p>
    <w:p w14:paraId="7340342C" w14:textId="6583BCF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UKHospitality (2024) </w:t>
      </w:r>
      <w:r w:rsidRPr="00E02468">
        <w:rPr>
          <w:rFonts w:ascii="Arial" w:eastAsia="Times New Roman" w:hAnsi="Arial" w:cs="Arial"/>
          <w:i/>
          <w:iCs/>
          <w:sz w:val="24"/>
          <w:szCs w:val="24"/>
          <w:lang w:val="en-GB" w:eastAsia="en-GB"/>
        </w:rPr>
        <w:t>Labour market stagnation shows need to incentivise investment</w:t>
      </w:r>
      <w:r w:rsidRPr="00E02468">
        <w:rPr>
          <w:rFonts w:ascii="Arial" w:eastAsia="Times New Roman" w:hAnsi="Arial" w:cs="Arial"/>
          <w:sz w:val="24"/>
          <w:szCs w:val="24"/>
          <w:lang w:val="en-GB" w:eastAsia="en-GB"/>
        </w:rPr>
        <w:t>. London: UKHospitality.</w:t>
      </w:r>
      <w:r w:rsidRPr="00E02468">
        <w:rPr>
          <w:rFonts w:ascii="Arial" w:eastAsia="Times New Roman" w:hAnsi="Arial" w:cs="Arial"/>
          <w:sz w:val="24"/>
          <w:szCs w:val="24"/>
          <w:lang w:val="en-GB" w:eastAsia="en-GB"/>
        </w:rPr>
        <w:br/>
        <w:t>(</w:t>
      </w:r>
      <w:hyperlink r:id="rId98" w:history="1">
        <w:r w:rsidRPr="00E02468">
          <w:rPr>
            <w:rFonts w:ascii="Arial" w:eastAsia="Times New Roman" w:hAnsi="Arial" w:cs="Arial"/>
            <w:color w:val="0000FF"/>
            <w:sz w:val="24"/>
            <w:szCs w:val="24"/>
            <w:u w:val="single"/>
            <w:lang w:val="en-GB" w:eastAsia="en-GB"/>
          </w:rPr>
          <w:t>https://www.ukhospitality.org.uk/labour-market-stagnation-shows-need-to-incentivise-investment/</w:t>
        </w:r>
      </w:hyperlink>
      <w:r w:rsidRPr="00E02468">
        <w:rPr>
          <w:rFonts w:ascii="Arial" w:eastAsia="Times New Roman" w:hAnsi="Arial" w:cs="Arial"/>
          <w:sz w:val="24"/>
          <w:szCs w:val="24"/>
          <w:lang w:val="en-GB" w:eastAsia="en-GB"/>
        </w:rPr>
        <w:t>)</w:t>
      </w:r>
    </w:p>
    <w:p w14:paraId="011E71ED" w14:textId="19545BF5"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UKHospitality (2024) </w:t>
      </w:r>
      <w:r w:rsidRPr="00E02468">
        <w:rPr>
          <w:rFonts w:ascii="Arial" w:eastAsia="Times New Roman" w:hAnsi="Arial" w:cs="Arial"/>
          <w:i/>
          <w:iCs/>
          <w:sz w:val="24"/>
          <w:szCs w:val="24"/>
          <w:lang w:val="en-GB" w:eastAsia="en-GB"/>
        </w:rPr>
        <w:t>Hospitality Workforce Strategy: one year on</w:t>
      </w:r>
      <w:r w:rsidRPr="00E02468">
        <w:rPr>
          <w:rFonts w:ascii="Arial" w:eastAsia="Times New Roman" w:hAnsi="Arial" w:cs="Arial"/>
          <w:sz w:val="24"/>
          <w:szCs w:val="24"/>
          <w:lang w:val="en-GB" w:eastAsia="en-GB"/>
        </w:rPr>
        <w:t>. London: UKHospitality.</w:t>
      </w:r>
      <w:r w:rsidRPr="00E02468">
        <w:rPr>
          <w:rFonts w:ascii="Arial" w:eastAsia="Times New Roman" w:hAnsi="Arial" w:cs="Arial"/>
          <w:sz w:val="24"/>
          <w:szCs w:val="24"/>
          <w:lang w:val="en-GB" w:eastAsia="en-GB"/>
        </w:rPr>
        <w:br/>
        <w:t>(</w:t>
      </w:r>
      <w:hyperlink r:id="rId99" w:history="1">
        <w:r w:rsidRPr="00E02468">
          <w:rPr>
            <w:rFonts w:ascii="Arial" w:eastAsia="Times New Roman" w:hAnsi="Arial" w:cs="Arial"/>
            <w:color w:val="0000FF"/>
            <w:sz w:val="24"/>
            <w:szCs w:val="24"/>
            <w:u w:val="single"/>
            <w:lang w:val="en-GB" w:eastAsia="en-GB"/>
          </w:rPr>
          <w:t>https://www.ukhospitality.org.uk/insight/hospitality-workforce-strategy-one-year-on/</w:t>
        </w:r>
      </w:hyperlink>
      <w:r w:rsidRPr="00E02468">
        <w:rPr>
          <w:rFonts w:ascii="Arial" w:eastAsia="Times New Roman" w:hAnsi="Arial" w:cs="Arial"/>
          <w:sz w:val="24"/>
          <w:szCs w:val="24"/>
          <w:lang w:val="en-GB" w:eastAsia="en-GB"/>
        </w:rPr>
        <w:t>)</w:t>
      </w:r>
    </w:p>
    <w:p w14:paraId="080540FB" w14:textId="6BEE7193"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Waqanimaravu, M. and Arasanmi, C.N. (2020) ‘Employee training and service quality in the hospitality industry’, </w:t>
      </w:r>
      <w:r w:rsidRPr="00E02468">
        <w:rPr>
          <w:rFonts w:ascii="Arial" w:eastAsia="Times New Roman" w:hAnsi="Arial" w:cs="Arial"/>
          <w:i/>
          <w:iCs/>
          <w:sz w:val="24"/>
          <w:szCs w:val="24"/>
          <w:lang w:val="en-GB" w:eastAsia="en-GB"/>
        </w:rPr>
        <w:t>Journal of Foodservice Business Research</w:t>
      </w:r>
      <w:r w:rsidRPr="00E02468">
        <w:rPr>
          <w:rFonts w:ascii="Arial" w:eastAsia="Times New Roman" w:hAnsi="Arial" w:cs="Arial"/>
          <w:sz w:val="24"/>
          <w:szCs w:val="24"/>
          <w:lang w:val="en-GB" w:eastAsia="en-GB"/>
        </w:rPr>
        <w:t>, 23(3), pp. 216–227.</w:t>
      </w:r>
      <w:r w:rsidRPr="00E02468">
        <w:rPr>
          <w:rFonts w:ascii="Arial" w:eastAsia="Times New Roman" w:hAnsi="Arial" w:cs="Arial"/>
          <w:sz w:val="24"/>
          <w:szCs w:val="24"/>
          <w:lang w:val="en-GB" w:eastAsia="en-GB"/>
        </w:rPr>
        <w:br/>
        <w:t>(</w:t>
      </w:r>
      <w:hyperlink r:id="rId100" w:history="1">
        <w:r w:rsidRPr="00E02468">
          <w:rPr>
            <w:rFonts w:ascii="Arial" w:eastAsia="Times New Roman" w:hAnsi="Arial" w:cs="Arial"/>
            <w:color w:val="0000FF"/>
            <w:sz w:val="24"/>
            <w:szCs w:val="24"/>
            <w:u w:val="single"/>
            <w:lang w:val="en-GB" w:eastAsia="en-GB"/>
          </w:rPr>
          <w:t>https://doi.org/10.1080/15378020.2020.1724850</w:t>
        </w:r>
      </w:hyperlink>
      <w:r w:rsidRPr="00E02468">
        <w:rPr>
          <w:rFonts w:ascii="Arial" w:eastAsia="Times New Roman" w:hAnsi="Arial" w:cs="Arial"/>
          <w:sz w:val="24"/>
          <w:szCs w:val="24"/>
          <w:lang w:val="en-GB" w:eastAsia="en-GB"/>
        </w:rPr>
        <w:t>)</w:t>
      </w:r>
    </w:p>
    <w:p w14:paraId="4C9A9348" w14:textId="76B9089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Wang, C.H., Chen, H.T. and Lee, H.Y. (2021) ‘Human capital and employee performance in hospitality’, </w:t>
      </w:r>
      <w:r w:rsidRPr="00E02468">
        <w:rPr>
          <w:rFonts w:ascii="Arial" w:eastAsia="Times New Roman" w:hAnsi="Arial" w:cs="Arial"/>
          <w:i/>
          <w:iCs/>
          <w:sz w:val="24"/>
          <w:szCs w:val="24"/>
          <w:lang w:val="en-GB" w:eastAsia="en-GB"/>
        </w:rPr>
        <w:t>International Journal of Contemporary Hospitality Management</w:t>
      </w:r>
      <w:r w:rsidRPr="00E02468">
        <w:rPr>
          <w:rFonts w:ascii="Arial" w:eastAsia="Times New Roman" w:hAnsi="Arial" w:cs="Arial"/>
          <w:sz w:val="24"/>
          <w:szCs w:val="24"/>
          <w:lang w:val="en-GB" w:eastAsia="en-GB"/>
        </w:rPr>
        <w:t>, 33(2), pp. 490–512.</w:t>
      </w:r>
      <w:r w:rsidRPr="00E02468">
        <w:rPr>
          <w:rFonts w:ascii="Arial" w:eastAsia="Times New Roman" w:hAnsi="Arial" w:cs="Arial"/>
          <w:sz w:val="24"/>
          <w:szCs w:val="24"/>
          <w:lang w:val="en-GB" w:eastAsia="en-GB"/>
        </w:rPr>
        <w:br/>
        <w:t>(</w:t>
      </w:r>
      <w:hyperlink r:id="rId101" w:history="1">
        <w:r w:rsidRPr="00E02468">
          <w:rPr>
            <w:rFonts w:ascii="Arial" w:eastAsia="Times New Roman" w:hAnsi="Arial" w:cs="Arial"/>
            <w:color w:val="0000FF"/>
            <w:sz w:val="24"/>
            <w:szCs w:val="24"/>
            <w:u w:val="single"/>
            <w:lang w:val="en-GB" w:eastAsia="en-GB"/>
          </w:rPr>
          <w:t>https://doi.org/10.1108/IJCHM-07-2020-0650</w:t>
        </w:r>
      </w:hyperlink>
      <w:r w:rsidRPr="00E02468">
        <w:rPr>
          <w:rFonts w:ascii="Arial" w:eastAsia="Times New Roman" w:hAnsi="Arial" w:cs="Arial"/>
          <w:sz w:val="24"/>
          <w:szCs w:val="24"/>
          <w:lang w:val="en-GB" w:eastAsia="en-GB"/>
        </w:rPr>
        <w:t>)</w:t>
      </w:r>
    </w:p>
    <w:p w14:paraId="61111C0A" w14:textId="150B4C4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Wright, P.M., Dunford, B.B. and Snell, S.A. (2001) ‘Human resources and the resource-based view of the firm’,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27(6), pp. 701–721.</w:t>
      </w:r>
      <w:r w:rsidRPr="00E02468">
        <w:rPr>
          <w:rFonts w:ascii="Arial" w:eastAsia="Times New Roman" w:hAnsi="Arial" w:cs="Arial"/>
          <w:sz w:val="24"/>
          <w:szCs w:val="24"/>
          <w:lang w:val="en-GB" w:eastAsia="en-GB"/>
        </w:rPr>
        <w:br/>
        <w:t>(</w:t>
      </w:r>
      <w:hyperlink r:id="rId102" w:history="1">
        <w:r w:rsidRPr="00E02468">
          <w:rPr>
            <w:rFonts w:ascii="Arial" w:eastAsia="Times New Roman" w:hAnsi="Arial" w:cs="Arial"/>
            <w:color w:val="0000FF"/>
            <w:sz w:val="24"/>
            <w:szCs w:val="24"/>
            <w:u w:val="single"/>
            <w:lang w:val="en-GB" w:eastAsia="en-GB"/>
          </w:rPr>
          <w:t>https://doi.org/10.1177/014920630102700607</w:t>
        </w:r>
      </w:hyperlink>
      <w:r w:rsidRPr="00E02468">
        <w:rPr>
          <w:rFonts w:ascii="Arial" w:eastAsia="Times New Roman" w:hAnsi="Arial" w:cs="Arial"/>
          <w:sz w:val="24"/>
          <w:szCs w:val="24"/>
          <w:lang w:val="en-GB" w:eastAsia="en-GB"/>
        </w:rPr>
        <w:t>)</w:t>
      </w:r>
    </w:p>
    <w:p w14:paraId="686D9CEC" w14:textId="2B9B573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Wright, P.M. and McMahan, G.C. (1992) ‘Theoretical perspectives for strategic human resource management’,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18(2), pp. 295–320.</w:t>
      </w:r>
      <w:r w:rsidRPr="00E02468">
        <w:rPr>
          <w:rFonts w:ascii="Arial" w:eastAsia="Times New Roman" w:hAnsi="Arial" w:cs="Arial"/>
          <w:sz w:val="24"/>
          <w:szCs w:val="24"/>
          <w:lang w:val="en-GB" w:eastAsia="en-GB"/>
        </w:rPr>
        <w:br/>
        <w:t>(</w:t>
      </w:r>
      <w:hyperlink r:id="rId103" w:history="1">
        <w:r w:rsidRPr="00E02468">
          <w:rPr>
            <w:rFonts w:ascii="Arial" w:eastAsia="Times New Roman" w:hAnsi="Arial" w:cs="Arial"/>
            <w:color w:val="0000FF"/>
            <w:sz w:val="24"/>
            <w:szCs w:val="24"/>
            <w:u w:val="single"/>
            <w:lang w:val="en-GB" w:eastAsia="en-GB"/>
          </w:rPr>
          <w:t>https://doi.org/10.1177/014920639201800205</w:t>
        </w:r>
      </w:hyperlink>
      <w:r w:rsidRPr="00E02468">
        <w:rPr>
          <w:rFonts w:ascii="Arial" w:eastAsia="Times New Roman" w:hAnsi="Arial" w:cs="Arial"/>
          <w:sz w:val="24"/>
          <w:szCs w:val="24"/>
          <w:lang w:val="en-GB" w:eastAsia="en-GB"/>
        </w:rPr>
        <w:t>)</w:t>
      </w:r>
    </w:p>
    <w:p w14:paraId="5029FC26" w14:textId="30572C3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Yoon, M.H., Beatty, S.E. and Suh, J. (2001) ‘The effect of work climate on critical employee and customer outcomes’, </w:t>
      </w:r>
      <w:r w:rsidRPr="00E02468">
        <w:rPr>
          <w:rFonts w:ascii="Arial" w:eastAsia="Times New Roman" w:hAnsi="Arial" w:cs="Arial"/>
          <w:i/>
          <w:iCs/>
          <w:sz w:val="24"/>
          <w:szCs w:val="24"/>
          <w:lang w:val="en-GB" w:eastAsia="en-GB"/>
        </w:rPr>
        <w:t>International Journal of Service Industry Management</w:t>
      </w:r>
      <w:r w:rsidRPr="00E02468">
        <w:rPr>
          <w:rFonts w:ascii="Arial" w:eastAsia="Times New Roman" w:hAnsi="Arial" w:cs="Arial"/>
          <w:sz w:val="24"/>
          <w:szCs w:val="24"/>
          <w:lang w:val="en-GB" w:eastAsia="en-GB"/>
        </w:rPr>
        <w:t>, 12(5), pp. 500–521.</w:t>
      </w:r>
      <w:r w:rsidRPr="00E02468">
        <w:rPr>
          <w:rFonts w:ascii="Arial" w:eastAsia="Times New Roman" w:hAnsi="Arial" w:cs="Arial"/>
          <w:sz w:val="24"/>
          <w:szCs w:val="24"/>
          <w:lang w:val="en-GB" w:eastAsia="en-GB"/>
        </w:rPr>
        <w:br/>
        <w:t>(</w:t>
      </w:r>
      <w:hyperlink r:id="rId104" w:history="1">
        <w:r w:rsidRPr="00E02468">
          <w:rPr>
            <w:rFonts w:ascii="Arial" w:eastAsia="Times New Roman" w:hAnsi="Arial" w:cs="Arial"/>
            <w:color w:val="0000FF"/>
            <w:sz w:val="24"/>
            <w:szCs w:val="24"/>
            <w:u w:val="single"/>
            <w:lang w:val="en-GB" w:eastAsia="en-GB"/>
          </w:rPr>
          <w:t>https://doi.org/10.1108/EUM0000000006091</w:t>
        </w:r>
      </w:hyperlink>
      <w:r w:rsidRPr="00E02468">
        <w:rPr>
          <w:rFonts w:ascii="Arial" w:eastAsia="Times New Roman" w:hAnsi="Arial" w:cs="Arial"/>
          <w:sz w:val="24"/>
          <w:szCs w:val="24"/>
          <w:lang w:val="en-GB" w:eastAsia="en-GB"/>
        </w:rPr>
        <w:t>)</w:t>
      </w:r>
    </w:p>
    <w:p w14:paraId="75BB25A7" w14:textId="337B85CB"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Zibarzani, M., Abumalloh, R.A., Nilashi, M., Minaei-Bidgoli, B., Samad, S., Ghabban, F. and Mohd, S. (2022) ‘Customer satisfaction with restaurants during the COVID-19 pandemic’, </w:t>
      </w:r>
      <w:r w:rsidRPr="00E02468">
        <w:rPr>
          <w:rFonts w:ascii="Arial" w:eastAsia="Times New Roman" w:hAnsi="Arial" w:cs="Arial"/>
          <w:i/>
          <w:iCs/>
          <w:sz w:val="24"/>
          <w:szCs w:val="24"/>
          <w:lang w:val="en-GB" w:eastAsia="en-GB"/>
        </w:rPr>
        <w:t>Technology in Society</w:t>
      </w:r>
      <w:r w:rsidRPr="00E02468">
        <w:rPr>
          <w:rFonts w:ascii="Arial" w:eastAsia="Times New Roman" w:hAnsi="Arial" w:cs="Arial"/>
          <w:sz w:val="24"/>
          <w:szCs w:val="24"/>
          <w:lang w:val="en-GB" w:eastAsia="en-GB"/>
        </w:rPr>
        <w:t>, 70, 101977.</w:t>
      </w:r>
      <w:r w:rsidRPr="00E02468">
        <w:rPr>
          <w:rFonts w:ascii="Arial" w:eastAsia="Times New Roman" w:hAnsi="Arial" w:cs="Arial"/>
          <w:sz w:val="24"/>
          <w:szCs w:val="24"/>
          <w:lang w:val="en-GB" w:eastAsia="en-GB"/>
        </w:rPr>
        <w:br/>
        <w:t>(</w:t>
      </w:r>
      <w:hyperlink r:id="rId105" w:history="1">
        <w:r w:rsidRPr="00E02468">
          <w:rPr>
            <w:rFonts w:ascii="Arial" w:eastAsia="Times New Roman" w:hAnsi="Arial" w:cs="Arial"/>
            <w:color w:val="0000FF"/>
            <w:sz w:val="24"/>
            <w:szCs w:val="24"/>
            <w:u w:val="single"/>
            <w:lang w:val="en-GB" w:eastAsia="en-GB"/>
          </w:rPr>
          <w:t>https://doi.org/10.1016/j.techsoc.2022.101977</w:t>
        </w:r>
      </w:hyperlink>
      <w:r w:rsidRPr="00E02468">
        <w:rPr>
          <w:rFonts w:ascii="Arial" w:eastAsia="Times New Roman" w:hAnsi="Arial" w:cs="Arial"/>
          <w:sz w:val="24"/>
          <w:szCs w:val="24"/>
          <w:lang w:val="en-GB" w:eastAsia="en-GB"/>
        </w:rPr>
        <w:t>)</w:t>
      </w:r>
    </w:p>
    <w:p w14:paraId="27A06E6E" w14:textId="1E012BB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Ahmed, E.M. and Shafiq, A. (2014) ‘The impact of human resource management practices on organizational performance’, </w:t>
      </w:r>
      <w:r w:rsidRPr="00E02468">
        <w:rPr>
          <w:rFonts w:ascii="Arial" w:eastAsia="Times New Roman" w:hAnsi="Arial" w:cs="Arial"/>
          <w:i/>
          <w:iCs/>
          <w:sz w:val="24"/>
          <w:szCs w:val="24"/>
          <w:lang w:val="en-GB" w:eastAsia="en-GB"/>
        </w:rPr>
        <w:t>International Journal of Academic Research in Business and Social Sciences</w:t>
      </w:r>
      <w:r w:rsidRPr="00E02468">
        <w:rPr>
          <w:rFonts w:ascii="Arial" w:eastAsia="Times New Roman" w:hAnsi="Arial" w:cs="Arial"/>
          <w:sz w:val="24"/>
          <w:szCs w:val="24"/>
          <w:lang w:val="en-GB" w:eastAsia="en-GB"/>
        </w:rPr>
        <w:t>, 4(5), pp. 236–245.</w:t>
      </w:r>
      <w:r w:rsidRPr="00E02468">
        <w:rPr>
          <w:rFonts w:ascii="Arial" w:eastAsia="Times New Roman" w:hAnsi="Arial" w:cs="Arial"/>
          <w:sz w:val="24"/>
          <w:szCs w:val="24"/>
          <w:lang w:val="en-GB" w:eastAsia="en-GB"/>
        </w:rPr>
        <w:br/>
        <w:t>(</w:t>
      </w:r>
      <w:hyperlink r:id="rId106" w:history="1">
        <w:r w:rsidRPr="00E02468">
          <w:rPr>
            <w:rFonts w:ascii="Arial" w:eastAsia="Times New Roman" w:hAnsi="Arial" w:cs="Arial"/>
            <w:color w:val="0000FF"/>
            <w:sz w:val="24"/>
            <w:szCs w:val="24"/>
            <w:u w:val="single"/>
            <w:lang w:val="en-GB" w:eastAsia="en-GB"/>
          </w:rPr>
          <w:t>https://doi.org/10.6007/IJARBSS/v4-i5/844</w:t>
        </w:r>
      </w:hyperlink>
      <w:r w:rsidRPr="00E02468">
        <w:rPr>
          <w:rFonts w:ascii="Arial" w:eastAsia="Times New Roman" w:hAnsi="Arial" w:cs="Arial"/>
          <w:sz w:val="24"/>
          <w:szCs w:val="24"/>
          <w:lang w:val="en-GB" w:eastAsia="en-GB"/>
        </w:rPr>
        <w:t>)</w:t>
      </w:r>
    </w:p>
    <w:p w14:paraId="50B9480E" w14:textId="3B4DF0D4"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Alfes, K., Shantz, A., Truss, C. and Soane, E.C. (2013) ‘The link between perceived human resource management practices, engagement and employee behaviour’,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24(2), pp. 330–351.</w:t>
      </w:r>
      <w:r w:rsidRPr="00E02468">
        <w:rPr>
          <w:rFonts w:ascii="Arial" w:eastAsia="Times New Roman" w:hAnsi="Arial" w:cs="Arial"/>
          <w:sz w:val="24"/>
          <w:szCs w:val="24"/>
          <w:lang w:val="en-GB" w:eastAsia="en-GB"/>
        </w:rPr>
        <w:br/>
        <w:t>(</w:t>
      </w:r>
      <w:hyperlink r:id="rId107" w:history="1">
        <w:r w:rsidRPr="00E02468">
          <w:rPr>
            <w:rFonts w:ascii="Arial" w:eastAsia="Times New Roman" w:hAnsi="Arial" w:cs="Arial"/>
            <w:color w:val="0000FF"/>
            <w:sz w:val="24"/>
            <w:szCs w:val="24"/>
            <w:u w:val="single"/>
            <w:lang w:val="en-GB" w:eastAsia="en-GB"/>
          </w:rPr>
          <w:t>https://doi.org/10.1080/09585192.2012.679950</w:t>
        </w:r>
      </w:hyperlink>
      <w:r w:rsidRPr="00E02468">
        <w:rPr>
          <w:rFonts w:ascii="Arial" w:eastAsia="Times New Roman" w:hAnsi="Arial" w:cs="Arial"/>
          <w:sz w:val="24"/>
          <w:szCs w:val="24"/>
          <w:lang w:val="en-GB" w:eastAsia="en-GB"/>
        </w:rPr>
        <w:t>)</w:t>
      </w:r>
    </w:p>
    <w:p w14:paraId="6F0E0F9C" w14:textId="1E4BC9E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Allen, D.G., Shore, L.M. and Griffeth, R.W. (2003) ‘The role of perceived organizational support and supportive human resource practices in the turnover process’, </w:t>
      </w:r>
      <w:r w:rsidRPr="00E02468">
        <w:rPr>
          <w:rFonts w:ascii="Arial" w:eastAsia="Times New Roman" w:hAnsi="Arial" w:cs="Arial"/>
          <w:i/>
          <w:iCs/>
          <w:sz w:val="24"/>
          <w:szCs w:val="24"/>
          <w:lang w:val="en-GB" w:eastAsia="en-GB"/>
        </w:rPr>
        <w:t>Journal of Management</w:t>
      </w:r>
      <w:r w:rsidRPr="00E02468">
        <w:rPr>
          <w:rFonts w:ascii="Arial" w:eastAsia="Times New Roman" w:hAnsi="Arial" w:cs="Arial"/>
          <w:sz w:val="24"/>
          <w:szCs w:val="24"/>
          <w:lang w:val="en-GB" w:eastAsia="en-GB"/>
        </w:rPr>
        <w:t>, 29(1), pp. 99–118.</w:t>
      </w:r>
      <w:r w:rsidRPr="00E02468">
        <w:rPr>
          <w:rFonts w:ascii="Arial" w:eastAsia="Times New Roman" w:hAnsi="Arial" w:cs="Arial"/>
          <w:sz w:val="24"/>
          <w:szCs w:val="24"/>
          <w:lang w:val="en-GB" w:eastAsia="en-GB"/>
        </w:rPr>
        <w:br/>
        <w:t>(</w:t>
      </w:r>
      <w:hyperlink r:id="rId108" w:history="1">
        <w:r w:rsidRPr="00E02468">
          <w:rPr>
            <w:rFonts w:ascii="Arial" w:eastAsia="Times New Roman" w:hAnsi="Arial" w:cs="Arial"/>
            <w:color w:val="0000FF"/>
            <w:sz w:val="24"/>
            <w:szCs w:val="24"/>
            <w:u w:val="single"/>
            <w:lang w:val="en-GB" w:eastAsia="en-GB"/>
          </w:rPr>
          <w:t>https://doi.org/10.1177/014920630302900107</w:t>
        </w:r>
      </w:hyperlink>
      <w:r w:rsidRPr="00E02468">
        <w:rPr>
          <w:rFonts w:ascii="Arial" w:eastAsia="Times New Roman" w:hAnsi="Arial" w:cs="Arial"/>
          <w:sz w:val="24"/>
          <w:szCs w:val="24"/>
          <w:lang w:val="en-GB" w:eastAsia="en-GB"/>
        </w:rPr>
        <w:t>)</w:t>
      </w:r>
    </w:p>
    <w:p w14:paraId="0979BB4D" w14:textId="412D391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Boxall, P. and Purcell, J. (2016) </w:t>
      </w:r>
      <w:r w:rsidRPr="00E02468">
        <w:rPr>
          <w:rFonts w:ascii="Arial" w:eastAsia="Times New Roman" w:hAnsi="Arial" w:cs="Arial"/>
          <w:i/>
          <w:iCs/>
          <w:sz w:val="24"/>
          <w:szCs w:val="24"/>
          <w:lang w:val="en-GB" w:eastAsia="en-GB"/>
        </w:rPr>
        <w:t>Strategy and Human Resource Management</w:t>
      </w:r>
      <w:r w:rsidRPr="00E02468">
        <w:rPr>
          <w:rFonts w:ascii="Arial" w:eastAsia="Times New Roman" w:hAnsi="Arial" w:cs="Arial"/>
          <w:sz w:val="24"/>
          <w:szCs w:val="24"/>
          <w:lang w:val="en-GB" w:eastAsia="en-GB"/>
        </w:rPr>
        <w:t>. 4th edn. London: Palgrave Macmillan.</w:t>
      </w:r>
      <w:r w:rsidRPr="00E02468">
        <w:rPr>
          <w:rFonts w:ascii="Arial" w:eastAsia="Times New Roman" w:hAnsi="Arial" w:cs="Arial"/>
          <w:sz w:val="24"/>
          <w:szCs w:val="24"/>
          <w:lang w:val="en-GB" w:eastAsia="en-GB"/>
        </w:rPr>
        <w:br/>
        <w:t>(</w:t>
      </w:r>
      <w:hyperlink r:id="rId109" w:history="1">
        <w:r w:rsidRPr="00E02468">
          <w:rPr>
            <w:rFonts w:ascii="Arial" w:eastAsia="Times New Roman" w:hAnsi="Arial" w:cs="Arial"/>
            <w:color w:val="0000FF"/>
            <w:sz w:val="24"/>
            <w:szCs w:val="24"/>
            <w:u w:val="single"/>
            <w:lang w:val="en-GB" w:eastAsia="en-GB"/>
          </w:rPr>
          <w:t>https://doi.org/10.1007/978-1-137-50781-3</w:t>
        </w:r>
      </w:hyperlink>
      <w:r w:rsidRPr="00E02468">
        <w:rPr>
          <w:rFonts w:ascii="Arial" w:eastAsia="Times New Roman" w:hAnsi="Arial" w:cs="Arial"/>
          <w:sz w:val="24"/>
          <w:szCs w:val="24"/>
          <w:lang w:val="en-GB" w:eastAsia="en-GB"/>
        </w:rPr>
        <w:t>)</w:t>
      </w:r>
    </w:p>
    <w:p w14:paraId="1E13348B" w14:textId="0AB6D0BA"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Boxall, P. and Macky, K. (2009) ‘Research and theory on high-performance work systems’,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20(8), pp. 1703–1716.</w:t>
      </w:r>
      <w:r w:rsidRPr="00E02468">
        <w:rPr>
          <w:rFonts w:ascii="Arial" w:eastAsia="Times New Roman" w:hAnsi="Arial" w:cs="Arial"/>
          <w:sz w:val="24"/>
          <w:szCs w:val="24"/>
          <w:lang w:val="en-GB" w:eastAsia="en-GB"/>
        </w:rPr>
        <w:br/>
        <w:t>(</w:t>
      </w:r>
      <w:hyperlink r:id="rId110" w:history="1">
        <w:r w:rsidRPr="00E02468">
          <w:rPr>
            <w:rFonts w:ascii="Arial" w:eastAsia="Times New Roman" w:hAnsi="Arial" w:cs="Arial"/>
            <w:color w:val="0000FF"/>
            <w:sz w:val="24"/>
            <w:szCs w:val="24"/>
            <w:u w:val="single"/>
            <w:lang w:val="en-GB" w:eastAsia="en-GB"/>
          </w:rPr>
          <w:t>https://doi.org/10.1080/09585190903009885</w:t>
        </w:r>
      </w:hyperlink>
      <w:r w:rsidRPr="00E02468">
        <w:rPr>
          <w:rFonts w:ascii="Arial" w:eastAsia="Times New Roman" w:hAnsi="Arial" w:cs="Arial"/>
          <w:sz w:val="24"/>
          <w:szCs w:val="24"/>
          <w:lang w:val="en-GB" w:eastAsia="en-GB"/>
        </w:rPr>
        <w:t>)</w:t>
      </w:r>
    </w:p>
    <w:p w14:paraId="61D37B7B" w14:textId="510176DE"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Bowen, D.E. and Schneider, B. (2014) ‘A service climate synthesis and future research agenda’, </w:t>
      </w:r>
      <w:r w:rsidRPr="00E02468">
        <w:rPr>
          <w:rFonts w:ascii="Arial" w:eastAsia="Times New Roman" w:hAnsi="Arial" w:cs="Arial"/>
          <w:i/>
          <w:iCs/>
          <w:sz w:val="24"/>
          <w:szCs w:val="24"/>
          <w:lang w:val="en-GB" w:eastAsia="en-GB"/>
        </w:rPr>
        <w:t>Journal of Service Research</w:t>
      </w:r>
      <w:r w:rsidRPr="00E02468">
        <w:rPr>
          <w:rFonts w:ascii="Arial" w:eastAsia="Times New Roman" w:hAnsi="Arial" w:cs="Arial"/>
          <w:sz w:val="24"/>
          <w:szCs w:val="24"/>
          <w:lang w:val="en-GB" w:eastAsia="en-GB"/>
        </w:rPr>
        <w:t>, 17(1), pp. 5–22.</w:t>
      </w:r>
      <w:r w:rsidRPr="00E02468">
        <w:rPr>
          <w:rFonts w:ascii="Arial" w:eastAsia="Times New Roman" w:hAnsi="Arial" w:cs="Arial"/>
          <w:sz w:val="24"/>
          <w:szCs w:val="24"/>
          <w:lang w:val="en-GB" w:eastAsia="en-GB"/>
        </w:rPr>
        <w:br/>
        <w:t>(</w:t>
      </w:r>
      <w:hyperlink r:id="rId111" w:history="1">
        <w:r w:rsidRPr="00E02468">
          <w:rPr>
            <w:rFonts w:ascii="Arial" w:eastAsia="Times New Roman" w:hAnsi="Arial" w:cs="Arial"/>
            <w:color w:val="0000FF"/>
            <w:sz w:val="24"/>
            <w:szCs w:val="24"/>
            <w:u w:val="single"/>
            <w:lang w:val="en-GB" w:eastAsia="en-GB"/>
          </w:rPr>
          <w:t>https://doi.org/10.1177/1094670513491637</w:t>
        </w:r>
      </w:hyperlink>
      <w:r w:rsidRPr="00E02468">
        <w:rPr>
          <w:rFonts w:ascii="Arial" w:eastAsia="Times New Roman" w:hAnsi="Arial" w:cs="Arial"/>
          <w:sz w:val="24"/>
          <w:szCs w:val="24"/>
          <w:lang w:val="en-GB" w:eastAsia="en-GB"/>
        </w:rPr>
        <w:t>)</w:t>
      </w:r>
    </w:p>
    <w:p w14:paraId="0935065D" w14:textId="338EC03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Brown, T.J., Mowen, J.C., Donavan, D.T. and Licata, J.W. (2002) ‘The customer orientation of service workers’, </w:t>
      </w:r>
      <w:r w:rsidRPr="00E02468">
        <w:rPr>
          <w:rFonts w:ascii="Arial" w:eastAsia="Times New Roman" w:hAnsi="Arial" w:cs="Arial"/>
          <w:i/>
          <w:iCs/>
          <w:sz w:val="24"/>
          <w:szCs w:val="24"/>
          <w:lang w:val="en-GB" w:eastAsia="en-GB"/>
        </w:rPr>
        <w:t>Journal of Marketing Research</w:t>
      </w:r>
      <w:r w:rsidRPr="00E02468">
        <w:rPr>
          <w:rFonts w:ascii="Arial" w:eastAsia="Times New Roman" w:hAnsi="Arial" w:cs="Arial"/>
          <w:sz w:val="24"/>
          <w:szCs w:val="24"/>
          <w:lang w:val="en-GB" w:eastAsia="en-GB"/>
        </w:rPr>
        <w:t>, 39(1), pp. 110–119.</w:t>
      </w:r>
      <w:r w:rsidRPr="00E02468">
        <w:rPr>
          <w:rFonts w:ascii="Arial" w:eastAsia="Times New Roman" w:hAnsi="Arial" w:cs="Arial"/>
          <w:sz w:val="24"/>
          <w:szCs w:val="24"/>
          <w:lang w:val="en-GB" w:eastAsia="en-GB"/>
        </w:rPr>
        <w:br/>
        <w:t>(</w:t>
      </w:r>
      <w:hyperlink r:id="rId112" w:history="1">
        <w:r w:rsidRPr="00E02468">
          <w:rPr>
            <w:rFonts w:ascii="Arial" w:eastAsia="Times New Roman" w:hAnsi="Arial" w:cs="Arial"/>
            <w:color w:val="0000FF"/>
            <w:sz w:val="24"/>
            <w:szCs w:val="24"/>
            <w:u w:val="single"/>
            <w:lang w:val="en-GB" w:eastAsia="en-GB"/>
          </w:rPr>
          <w:t>https://doi.org/10.1509/jmkr.39.1.110.18928</w:t>
        </w:r>
      </w:hyperlink>
      <w:r w:rsidRPr="00E02468">
        <w:rPr>
          <w:rFonts w:ascii="Arial" w:eastAsia="Times New Roman" w:hAnsi="Arial" w:cs="Arial"/>
          <w:sz w:val="24"/>
          <w:szCs w:val="24"/>
          <w:lang w:val="en-GB" w:eastAsia="en-GB"/>
        </w:rPr>
        <w:t>)</w:t>
      </w:r>
    </w:p>
    <w:p w14:paraId="5241C7BF" w14:textId="7D8FA1B5"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Choudhury, A. (2021) ‘Service quality and word-of-mouth in quick service restaurants’, </w:t>
      </w:r>
      <w:r w:rsidRPr="00E02468">
        <w:rPr>
          <w:rFonts w:ascii="Arial" w:eastAsia="Times New Roman" w:hAnsi="Arial" w:cs="Arial"/>
          <w:i/>
          <w:iCs/>
          <w:sz w:val="24"/>
          <w:szCs w:val="24"/>
          <w:lang w:val="en-GB" w:eastAsia="en-GB"/>
        </w:rPr>
        <w:t>Journal of Business Administration</w:t>
      </w:r>
      <w:r w:rsidRPr="00E02468">
        <w:rPr>
          <w:rFonts w:ascii="Arial" w:eastAsia="Times New Roman" w:hAnsi="Arial" w:cs="Arial"/>
          <w:sz w:val="24"/>
          <w:szCs w:val="24"/>
          <w:lang w:val="en-GB" w:eastAsia="en-GB"/>
        </w:rPr>
        <w:t>, 42.</w:t>
      </w:r>
      <w:r w:rsidRPr="00E02468">
        <w:rPr>
          <w:rFonts w:ascii="Arial" w:eastAsia="Times New Roman" w:hAnsi="Arial" w:cs="Arial"/>
          <w:sz w:val="24"/>
          <w:szCs w:val="24"/>
          <w:lang w:val="en-GB" w:eastAsia="en-GB"/>
        </w:rPr>
        <w:br/>
        <w:t>(</w:t>
      </w:r>
      <w:hyperlink r:id="rId113" w:history="1">
        <w:r w:rsidRPr="00E02468">
          <w:rPr>
            <w:rFonts w:ascii="Arial" w:eastAsia="Times New Roman" w:hAnsi="Arial" w:cs="Arial"/>
            <w:color w:val="0000FF"/>
            <w:sz w:val="24"/>
            <w:szCs w:val="24"/>
            <w:u w:val="single"/>
            <w:lang w:val="en-GB" w:eastAsia="en-GB"/>
          </w:rPr>
          <w:t>https://journal.library.du.ac.bd/index.php/JBA/article/view/2743</w:t>
        </w:r>
      </w:hyperlink>
      <w:r w:rsidRPr="00E02468">
        <w:rPr>
          <w:rFonts w:ascii="Arial" w:eastAsia="Times New Roman" w:hAnsi="Arial" w:cs="Arial"/>
          <w:sz w:val="24"/>
          <w:szCs w:val="24"/>
          <w:lang w:val="en-GB" w:eastAsia="en-GB"/>
        </w:rPr>
        <w:t>)</w:t>
      </w:r>
    </w:p>
    <w:p w14:paraId="4098B970" w14:textId="200FFC0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Cooke, F.L., Schuler, R. and Varma, A. (2020) ‘Human resource management research and practice in Asia’, </w:t>
      </w:r>
      <w:r w:rsidRPr="00E02468">
        <w:rPr>
          <w:rFonts w:ascii="Arial" w:eastAsia="Times New Roman" w:hAnsi="Arial" w:cs="Arial"/>
          <w:i/>
          <w:iCs/>
          <w:sz w:val="24"/>
          <w:szCs w:val="24"/>
          <w:lang w:val="en-GB" w:eastAsia="en-GB"/>
        </w:rPr>
        <w:t>International Journal of Human Resource Management</w:t>
      </w:r>
      <w:r w:rsidRPr="00E02468">
        <w:rPr>
          <w:rFonts w:ascii="Arial" w:eastAsia="Times New Roman" w:hAnsi="Arial" w:cs="Arial"/>
          <w:sz w:val="24"/>
          <w:szCs w:val="24"/>
          <w:lang w:val="en-GB" w:eastAsia="en-GB"/>
        </w:rPr>
        <w:t>, 31(1), pp. 1–14.</w:t>
      </w:r>
      <w:r w:rsidRPr="00E02468">
        <w:rPr>
          <w:rFonts w:ascii="Arial" w:eastAsia="Times New Roman" w:hAnsi="Arial" w:cs="Arial"/>
          <w:sz w:val="24"/>
          <w:szCs w:val="24"/>
          <w:lang w:val="en-GB" w:eastAsia="en-GB"/>
        </w:rPr>
        <w:br/>
        <w:t>(</w:t>
      </w:r>
      <w:hyperlink r:id="rId114" w:history="1">
        <w:r w:rsidRPr="00E02468">
          <w:rPr>
            <w:rFonts w:ascii="Arial" w:eastAsia="Times New Roman" w:hAnsi="Arial" w:cs="Arial"/>
            <w:color w:val="0000FF"/>
            <w:sz w:val="24"/>
            <w:szCs w:val="24"/>
            <w:u w:val="single"/>
            <w:lang w:val="en-GB" w:eastAsia="en-GB"/>
          </w:rPr>
          <w:t>https://doi.org/10.1080/09585192.2019.1704821</w:t>
        </w:r>
      </w:hyperlink>
      <w:r w:rsidRPr="00E02468">
        <w:rPr>
          <w:rFonts w:ascii="Arial" w:eastAsia="Times New Roman" w:hAnsi="Arial" w:cs="Arial"/>
          <w:sz w:val="24"/>
          <w:szCs w:val="24"/>
          <w:lang w:val="en-GB" w:eastAsia="en-GB"/>
        </w:rPr>
        <w:t>)</w:t>
      </w:r>
    </w:p>
    <w:p w14:paraId="3E0EC95E" w14:textId="4C25060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Delery, J.E. and Shaw, J.D. (2001) ‘The strategic management of people in work organizations’, </w:t>
      </w:r>
      <w:r w:rsidRPr="00E02468">
        <w:rPr>
          <w:rFonts w:ascii="Arial" w:eastAsia="Times New Roman" w:hAnsi="Arial" w:cs="Arial"/>
          <w:i/>
          <w:iCs/>
          <w:sz w:val="24"/>
          <w:szCs w:val="24"/>
          <w:lang w:val="en-GB" w:eastAsia="en-GB"/>
        </w:rPr>
        <w:t>Research in Personnel and Human Resources Management</w:t>
      </w:r>
      <w:r w:rsidRPr="00E02468">
        <w:rPr>
          <w:rFonts w:ascii="Arial" w:eastAsia="Times New Roman" w:hAnsi="Arial" w:cs="Arial"/>
          <w:sz w:val="24"/>
          <w:szCs w:val="24"/>
          <w:lang w:val="en-GB" w:eastAsia="en-GB"/>
        </w:rPr>
        <w:t>, 20, pp. 165–197.</w:t>
      </w:r>
      <w:r w:rsidRPr="00E02468">
        <w:rPr>
          <w:rFonts w:ascii="Arial" w:eastAsia="Times New Roman" w:hAnsi="Arial" w:cs="Arial"/>
          <w:sz w:val="24"/>
          <w:szCs w:val="24"/>
          <w:lang w:val="en-GB" w:eastAsia="en-GB"/>
        </w:rPr>
        <w:br/>
        <w:t>(</w:t>
      </w:r>
      <w:hyperlink r:id="rId115" w:history="1">
        <w:r w:rsidRPr="00E02468">
          <w:rPr>
            <w:rFonts w:ascii="Arial" w:eastAsia="Times New Roman" w:hAnsi="Arial" w:cs="Arial"/>
            <w:color w:val="0000FF"/>
            <w:sz w:val="24"/>
            <w:szCs w:val="24"/>
            <w:u w:val="single"/>
            <w:lang w:val="en-GB" w:eastAsia="en-GB"/>
          </w:rPr>
          <w:t>https://doi.org/10.1016/S0742-7301(01)20004-6</w:t>
        </w:r>
      </w:hyperlink>
      <w:r w:rsidRPr="00E02468">
        <w:rPr>
          <w:rFonts w:ascii="Arial" w:eastAsia="Times New Roman" w:hAnsi="Arial" w:cs="Arial"/>
          <w:sz w:val="24"/>
          <w:szCs w:val="24"/>
          <w:lang w:val="en-GB" w:eastAsia="en-GB"/>
        </w:rPr>
        <w:t>)</w:t>
      </w:r>
    </w:p>
    <w:p w14:paraId="584FE028" w14:textId="49AFD35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Harter, J.K., Schmidt, F.L. and Hayes, T.L. (2002) ‘Business-unit-level relationship between employee satisfaction, employee engagement, and business outcomes’, </w:t>
      </w:r>
      <w:r w:rsidRPr="00E02468">
        <w:rPr>
          <w:rFonts w:ascii="Arial" w:eastAsia="Times New Roman" w:hAnsi="Arial" w:cs="Arial"/>
          <w:i/>
          <w:iCs/>
          <w:sz w:val="24"/>
          <w:szCs w:val="24"/>
          <w:lang w:val="en-GB" w:eastAsia="en-GB"/>
        </w:rPr>
        <w:t>Journal of Applied Psychology</w:t>
      </w:r>
      <w:r w:rsidRPr="00E02468">
        <w:rPr>
          <w:rFonts w:ascii="Arial" w:eastAsia="Times New Roman" w:hAnsi="Arial" w:cs="Arial"/>
          <w:sz w:val="24"/>
          <w:szCs w:val="24"/>
          <w:lang w:val="en-GB" w:eastAsia="en-GB"/>
        </w:rPr>
        <w:t>, 87(2), pp. 268–279.</w:t>
      </w:r>
      <w:r w:rsidRPr="00E02468">
        <w:rPr>
          <w:rFonts w:ascii="Arial" w:eastAsia="Times New Roman" w:hAnsi="Arial" w:cs="Arial"/>
          <w:sz w:val="24"/>
          <w:szCs w:val="24"/>
          <w:lang w:val="en-GB" w:eastAsia="en-GB"/>
        </w:rPr>
        <w:br/>
        <w:t>(</w:t>
      </w:r>
      <w:hyperlink r:id="rId116" w:history="1">
        <w:r w:rsidRPr="00E02468">
          <w:rPr>
            <w:rFonts w:ascii="Arial" w:eastAsia="Times New Roman" w:hAnsi="Arial" w:cs="Arial"/>
            <w:color w:val="0000FF"/>
            <w:sz w:val="24"/>
            <w:szCs w:val="24"/>
            <w:u w:val="single"/>
            <w:lang w:val="en-GB" w:eastAsia="en-GB"/>
          </w:rPr>
          <w:t>https://doi.org/10.1037/0021-9010.87.2.268</w:t>
        </w:r>
      </w:hyperlink>
      <w:r w:rsidRPr="00E02468">
        <w:rPr>
          <w:rFonts w:ascii="Arial" w:eastAsia="Times New Roman" w:hAnsi="Arial" w:cs="Arial"/>
          <w:sz w:val="24"/>
          <w:szCs w:val="24"/>
          <w:lang w:val="en-GB" w:eastAsia="en-GB"/>
        </w:rPr>
        <w:t>)</w:t>
      </w:r>
    </w:p>
    <w:p w14:paraId="0B57438A" w14:textId="60243649"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Hinkin, T.R. and Tracey, J.B. (2010) ‘What makes it so great? An analysis of human resources practices among Fortune’s best companies to work for’, </w:t>
      </w:r>
      <w:r w:rsidRPr="00E02468">
        <w:rPr>
          <w:rFonts w:ascii="Arial" w:eastAsia="Times New Roman" w:hAnsi="Arial" w:cs="Arial"/>
          <w:i/>
          <w:iCs/>
          <w:sz w:val="24"/>
          <w:szCs w:val="24"/>
          <w:lang w:val="en-GB" w:eastAsia="en-GB"/>
        </w:rPr>
        <w:t>Cornell Hospitality Quarterly</w:t>
      </w:r>
      <w:r w:rsidRPr="00E02468">
        <w:rPr>
          <w:rFonts w:ascii="Arial" w:eastAsia="Times New Roman" w:hAnsi="Arial" w:cs="Arial"/>
          <w:sz w:val="24"/>
          <w:szCs w:val="24"/>
          <w:lang w:val="en-GB" w:eastAsia="en-GB"/>
        </w:rPr>
        <w:t>, 51(4), pp. 441–449.</w:t>
      </w:r>
      <w:r w:rsidRPr="00E02468">
        <w:rPr>
          <w:rFonts w:ascii="Arial" w:eastAsia="Times New Roman" w:hAnsi="Arial" w:cs="Arial"/>
          <w:sz w:val="24"/>
          <w:szCs w:val="24"/>
          <w:lang w:val="en-GB" w:eastAsia="en-GB"/>
        </w:rPr>
        <w:br/>
        <w:t>(</w:t>
      </w:r>
      <w:hyperlink r:id="rId117" w:history="1">
        <w:r w:rsidRPr="00E02468">
          <w:rPr>
            <w:rFonts w:ascii="Arial" w:eastAsia="Times New Roman" w:hAnsi="Arial" w:cs="Arial"/>
            <w:color w:val="0000FF"/>
            <w:sz w:val="24"/>
            <w:szCs w:val="24"/>
            <w:u w:val="single"/>
            <w:lang w:val="en-GB" w:eastAsia="en-GB"/>
          </w:rPr>
          <w:t>https://doi.org/10.1177/1938965510368685</w:t>
        </w:r>
      </w:hyperlink>
      <w:r w:rsidRPr="00E02468">
        <w:rPr>
          <w:rFonts w:ascii="Arial" w:eastAsia="Times New Roman" w:hAnsi="Arial" w:cs="Arial"/>
          <w:sz w:val="24"/>
          <w:szCs w:val="24"/>
          <w:lang w:val="en-GB" w:eastAsia="en-GB"/>
        </w:rPr>
        <w:t>)</w:t>
      </w:r>
    </w:p>
    <w:p w14:paraId="2DC6B2EA" w14:textId="31095EF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Hom, P.W., Lee, T.W., Shaw, J.D. and Hausknecht, J.P. (2017) ‘One hundred years of employee turnover theory and research’, </w:t>
      </w:r>
      <w:r w:rsidRPr="00E02468">
        <w:rPr>
          <w:rFonts w:ascii="Arial" w:eastAsia="Times New Roman" w:hAnsi="Arial" w:cs="Arial"/>
          <w:i/>
          <w:iCs/>
          <w:sz w:val="24"/>
          <w:szCs w:val="24"/>
          <w:lang w:val="en-GB" w:eastAsia="en-GB"/>
        </w:rPr>
        <w:t>Journal of Applied Psychology</w:t>
      </w:r>
      <w:r w:rsidRPr="00E02468">
        <w:rPr>
          <w:rFonts w:ascii="Arial" w:eastAsia="Times New Roman" w:hAnsi="Arial" w:cs="Arial"/>
          <w:sz w:val="24"/>
          <w:szCs w:val="24"/>
          <w:lang w:val="en-GB" w:eastAsia="en-GB"/>
        </w:rPr>
        <w:t>, 102(3), pp. 530–545.</w:t>
      </w:r>
      <w:r w:rsidRPr="00E02468">
        <w:rPr>
          <w:rFonts w:ascii="Arial" w:eastAsia="Times New Roman" w:hAnsi="Arial" w:cs="Arial"/>
          <w:sz w:val="24"/>
          <w:szCs w:val="24"/>
          <w:lang w:val="en-GB" w:eastAsia="en-GB"/>
        </w:rPr>
        <w:br/>
        <w:t>(</w:t>
      </w:r>
      <w:hyperlink r:id="rId118" w:history="1">
        <w:r w:rsidRPr="00E02468">
          <w:rPr>
            <w:rFonts w:ascii="Arial" w:eastAsia="Times New Roman" w:hAnsi="Arial" w:cs="Arial"/>
            <w:color w:val="0000FF"/>
            <w:sz w:val="24"/>
            <w:szCs w:val="24"/>
            <w:u w:val="single"/>
            <w:lang w:val="en-GB" w:eastAsia="en-GB"/>
          </w:rPr>
          <w:t>https://doi.org/10.1037/apl0000103</w:t>
        </w:r>
      </w:hyperlink>
      <w:r w:rsidRPr="00E02468">
        <w:rPr>
          <w:rFonts w:ascii="Arial" w:eastAsia="Times New Roman" w:hAnsi="Arial" w:cs="Arial"/>
          <w:sz w:val="24"/>
          <w:szCs w:val="24"/>
          <w:lang w:val="en-GB" w:eastAsia="en-GB"/>
        </w:rPr>
        <w:t>)</w:t>
      </w:r>
    </w:p>
    <w:p w14:paraId="3ACA942C" w14:textId="746F94C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Jiang, K., Lepak, D.P., Hu, J. and Baer, J.C. (2012) ‘How does human resource management influence organizational outcomes?’,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55(6), pp. 1264–1294.</w:t>
      </w:r>
      <w:r w:rsidRPr="00E02468">
        <w:rPr>
          <w:rFonts w:ascii="Arial" w:eastAsia="Times New Roman" w:hAnsi="Arial" w:cs="Arial"/>
          <w:sz w:val="24"/>
          <w:szCs w:val="24"/>
          <w:lang w:val="en-GB" w:eastAsia="en-GB"/>
        </w:rPr>
        <w:br/>
        <w:t>(</w:t>
      </w:r>
      <w:hyperlink r:id="rId119" w:history="1">
        <w:r w:rsidRPr="00E02468">
          <w:rPr>
            <w:rFonts w:ascii="Arial" w:eastAsia="Times New Roman" w:hAnsi="Arial" w:cs="Arial"/>
            <w:color w:val="0000FF"/>
            <w:sz w:val="24"/>
            <w:szCs w:val="24"/>
            <w:u w:val="single"/>
            <w:lang w:val="en-GB" w:eastAsia="en-GB"/>
          </w:rPr>
          <w:t>https://doi.org/10.5465/amj.2011.0088</w:t>
        </w:r>
      </w:hyperlink>
      <w:r w:rsidRPr="00E02468">
        <w:rPr>
          <w:rFonts w:ascii="Arial" w:eastAsia="Times New Roman" w:hAnsi="Arial" w:cs="Arial"/>
          <w:sz w:val="24"/>
          <w:szCs w:val="24"/>
          <w:lang w:val="en-GB" w:eastAsia="en-GB"/>
        </w:rPr>
        <w:t>)</w:t>
      </w:r>
    </w:p>
    <w:p w14:paraId="08A33BAC" w14:textId="04A1385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Kim, H.J., Shin, K.H. and Umbreit, W.T. (2007) ‘Hotel job burnout: the role of personality characteristics’,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26(2), pp. 421–434.</w:t>
      </w:r>
      <w:r w:rsidRPr="00E02468">
        <w:rPr>
          <w:rFonts w:ascii="Arial" w:eastAsia="Times New Roman" w:hAnsi="Arial" w:cs="Arial"/>
          <w:sz w:val="24"/>
          <w:szCs w:val="24"/>
          <w:lang w:val="en-GB" w:eastAsia="en-GB"/>
        </w:rPr>
        <w:br/>
        <w:t>(</w:t>
      </w:r>
      <w:hyperlink r:id="rId120" w:history="1">
        <w:r w:rsidRPr="00E02468">
          <w:rPr>
            <w:rFonts w:ascii="Arial" w:eastAsia="Times New Roman" w:hAnsi="Arial" w:cs="Arial"/>
            <w:color w:val="0000FF"/>
            <w:sz w:val="24"/>
            <w:szCs w:val="24"/>
            <w:u w:val="single"/>
            <w:lang w:val="en-GB" w:eastAsia="en-GB"/>
          </w:rPr>
          <w:t>https://doi.org/10.1016/j.ijhm.2006.01.006</w:t>
        </w:r>
      </w:hyperlink>
      <w:r w:rsidRPr="00E02468">
        <w:rPr>
          <w:rFonts w:ascii="Arial" w:eastAsia="Times New Roman" w:hAnsi="Arial" w:cs="Arial"/>
          <w:sz w:val="24"/>
          <w:szCs w:val="24"/>
          <w:lang w:val="en-GB" w:eastAsia="en-GB"/>
        </w:rPr>
        <w:t>)</w:t>
      </w:r>
    </w:p>
    <w:p w14:paraId="7934E73C" w14:textId="72A11B02"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Koo, B., Yu, J., Chua, B.L. and Han, H. (2020) ‘Understanding employee engagement in hospitality’,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88, 102507.</w:t>
      </w:r>
      <w:r w:rsidRPr="00E02468">
        <w:rPr>
          <w:rFonts w:ascii="Arial" w:eastAsia="Times New Roman" w:hAnsi="Arial" w:cs="Arial"/>
          <w:sz w:val="24"/>
          <w:szCs w:val="24"/>
          <w:lang w:val="en-GB" w:eastAsia="en-GB"/>
        </w:rPr>
        <w:br/>
        <w:t>(</w:t>
      </w:r>
      <w:hyperlink r:id="rId121" w:history="1">
        <w:r w:rsidRPr="00E02468">
          <w:rPr>
            <w:rFonts w:ascii="Arial" w:eastAsia="Times New Roman" w:hAnsi="Arial" w:cs="Arial"/>
            <w:color w:val="0000FF"/>
            <w:sz w:val="24"/>
            <w:szCs w:val="24"/>
            <w:u w:val="single"/>
            <w:lang w:val="en-GB" w:eastAsia="en-GB"/>
          </w:rPr>
          <w:t>https://doi.org/10.1016/j.ijhm.2020.102507</w:t>
        </w:r>
      </w:hyperlink>
      <w:r w:rsidRPr="00E02468">
        <w:rPr>
          <w:rFonts w:ascii="Arial" w:eastAsia="Times New Roman" w:hAnsi="Arial" w:cs="Arial"/>
          <w:sz w:val="24"/>
          <w:szCs w:val="24"/>
          <w:lang w:val="en-GB" w:eastAsia="en-GB"/>
        </w:rPr>
        <w:t>)</w:t>
      </w:r>
    </w:p>
    <w:p w14:paraId="7D97DA03" w14:textId="7A212CF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Lee, J.J. and Ok, C.M. (2015) ‘Drivers of hotel employee satisfaction and engagement’,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44, pp. 1–12.</w:t>
      </w:r>
      <w:r w:rsidRPr="00E02468">
        <w:rPr>
          <w:rFonts w:ascii="Arial" w:eastAsia="Times New Roman" w:hAnsi="Arial" w:cs="Arial"/>
          <w:sz w:val="24"/>
          <w:szCs w:val="24"/>
          <w:lang w:val="en-GB" w:eastAsia="en-GB"/>
        </w:rPr>
        <w:br/>
        <w:t>(</w:t>
      </w:r>
      <w:hyperlink r:id="rId122" w:history="1">
        <w:r w:rsidRPr="00E02468">
          <w:rPr>
            <w:rFonts w:ascii="Arial" w:eastAsia="Times New Roman" w:hAnsi="Arial" w:cs="Arial"/>
            <w:color w:val="0000FF"/>
            <w:sz w:val="24"/>
            <w:szCs w:val="24"/>
            <w:u w:val="single"/>
            <w:lang w:val="en-GB" w:eastAsia="en-GB"/>
          </w:rPr>
          <w:t>https://doi.org/10.1016/j.ijhm.2014.09.003</w:t>
        </w:r>
      </w:hyperlink>
      <w:r w:rsidRPr="00E02468">
        <w:rPr>
          <w:rFonts w:ascii="Arial" w:eastAsia="Times New Roman" w:hAnsi="Arial" w:cs="Arial"/>
          <w:sz w:val="24"/>
          <w:szCs w:val="24"/>
          <w:lang w:val="en-GB" w:eastAsia="en-GB"/>
        </w:rPr>
        <w:t>)</w:t>
      </w:r>
    </w:p>
    <w:p w14:paraId="4593909D" w14:textId="0D0C38D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Karatepe, O.M. and Aga, M. (2016) ‘The effects of organization mission fulfillment and perceived organizational support on job performance’,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60, pp. 110–119.</w:t>
      </w:r>
      <w:r w:rsidRPr="00E02468">
        <w:rPr>
          <w:rFonts w:ascii="Arial" w:eastAsia="Times New Roman" w:hAnsi="Arial" w:cs="Arial"/>
          <w:sz w:val="24"/>
          <w:szCs w:val="24"/>
          <w:lang w:val="en-GB" w:eastAsia="en-GB"/>
        </w:rPr>
        <w:br/>
        <w:t>(</w:t>
      </w:r>
      <w:hyperlink r:id="rId123" w:history="1">
        <w:r w:rsidRPr="00E02468">
          <w:rPr>
            <w:rFonts w:ascii="Arial" w:eastAsia="Times New Roman" w:hAnsi="Arial" w:cs="Arial"/>
            <w:color w:val="0000FF"/>
            <w:sz w:val="24"/>
            <w:szCs w:val="24"/>
            <w:u w:val="single"/>
            <w:lang w:val="en-GB" w:eastAsia="en-GB"/>
          </w:rPr>
          <w:t>https://doi.org/10.1016/j.ijhm.2016.10.001</w:t>
        </w:r>
      </w:hyperlink>
      <w:r w:rsidRPr="00E02468">
        <w:rPr>
          <w:rFonts w:ascii="Arial" w:eastAsia="Times New Roman" w:hAnsi="Arial" w:cs="Arial"/>
          <w:sz w:val="24"/>
          <w:szCs w:val="24"/>
          <w:lang w:val="en-GB" w:eastAsia="en-GB"/>
        </w:rPr>
        <w:t>)</w:t>
      </w:r>
    </w:p>
    <w:p w14:paraId="491FA3B0" w14:textId="06912977"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Kim, W.G., McGinley, S., Choi, H.M. and Agmapisarn, C. (2020) ‘Hotels’ environmental leadership and employees’ green behaviour’,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87, 102504.</w:t>
      </w:r>
      <w:r w:rsidRPr="00E02468">
        <w:rPr>
          <w:rFonts w:ascii="Arial" w:eastAsia="Times New Roman" w:hAnsi="Arial" w:cs="Arial"/>
          <w:sz w:val="24"/>
          <w:szCs w:val="24"/>
          <w:lang w:val="en-GB" w:eastAsia="en-GB"/>
        </w:rPr>
        <w:br/>
        <w:t>(</w:t>
      </w:r>
      <w:hyperlink r:id="rId124" w:history="1">
        <w:r w:rsidRPr="00E02468">
          <w:rPr>
            <w:rFonts w:ascii="Arial" w:eastAsia="Times New Roman" w:hAnsi="Arial" w:cs="Arial"/>
            <w:color w:val="0000FF"/>
            <w:sz w:val="24"/>
            <w:szCs w:val="24"/>
            <w:u w:val="single"/>
            <w:lang w:val="en-GB" w:eastAsia="en-GB"/>
          </w:rPr>
          <w:t>https://doi.org/10.1016/j.ijhm.2019.102504</w:t>
        </w:r>
      </w:hyperlink>
      <w:r w:rsidRPr="00E02468">
        <w:rPr>
          <w:rFonts w:ascii="Arial" w:eastAsia="Times New Roman" w:hAnsi="Arial" w:cs="Arial"/>
          <w:sz w:val="24"/>
          <w:szCs w:val="24"/>
          <w:lang w:val="en-GB" w:eastAsia="en-GB"/>
        </w:rPr>
        <w:t>)</w:t>
      </w:r>
    </w:p>
    <w:p w14:paraId="5DD769CF" w14:textId="5D0FAB08"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Nueva, M.A., et al. (2022) ‘Service quality and customer satisfaction in restaurant businesses’, </w:t>
      </w:r>
      <w:r w:rsidRPr="00E02468">
        <w:rPr>
          <w:rFonts w:ascii="Arial" w:eastAsia="Times New Roman" w:hAnsi="Arial" w:cs="Arial"/>
          <w:i/>
          <w:iCs/>
          <w:sz w:val="24"/>
          <w:szCs w:val="24"/>
          <w:lang w:val="en-GB" w:eastAsia="en-GB"/>
        </w:rPr>
        <w:t>Academic Journal of Interdisciplinary Studies</w:t>
      </w:r>
      <w:r w:rsidRPr="00E02468">
        <w:rPr>
          <w:rFonts w:ascii="Arial" w:eastAsia="Times New Roman" w:hAnsi="Arial" w:cs="Arial"/>
          <w:sz w:val="24"/>
          <w:szCs w:val="24"/>
          <w:lang w:val="en-GB" w:eastAsia="en-GB"/>
        </w:rPr>
        <w:t>, 11(4).</w:t>
      </w:r>
      <w:r w:rsidRPr="00E02468">
        <w:rPr>
          <w:rFonts w:ascii="Arial" w:eastAsia="Times New Roman" w:hAnsi="Arial" w:cs="Arial"/>
          <w:sz w:val="24"/>
          <w:szCs w:val="24"/>
          <w:lang w:val="en-GB" w:eastAsia="en-GB"/>
        </w:rPr>
        <w:br/>
        <w:t>(</w:t>
      </w:r>
      <w:hyperlink r:id="rId125" w:history="1">
        <w:r w:rsidRPr="00E02468">
          <w:rPr>
            <w:rFonts w:ascii="Arial" w:eastAsia="Times New Roman" w:hAnsi="Arial" w:cs="Arial"/>
            <w:color w:val="0000FF"/>
            <w:sz w:val="24"/>
            <w:szCs w:val="24"/>
            <w:u w:val="single"/>
            <w:lang w:val="en-GB" w:eastAsia="en-GB"/>
          </w:rPr>
          <w:t>https://doi.org/10.36941/ajis-2022-0065</w:t>
        </w:r>
      </w:hyperlink>
      <w:r w:rsidRPr="00E02468">
        <w:rPr>
          <w:rFonts w:ascii="Arial" w:eastAsia="Times New Roman" w:hAnsi="Arial" w:cs="Arial"/>
          <w:sz w:val="24"/>
          <w:szCs w:val="24"/>
          <w:lang w:val="en-GB" w:eastAsia="en-GB"/>
        </w:rPr>
        <w:t>)</w:t>
      </w:r>
    </w:p>
    <w:p w14:paraId="2C02FFFE" w14:textId="5B15EC8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Rubel, M.R.B., Kee, D.M.H. and Rimi, N.N. (2021) ‘High-performance work practices and employee outcomes in hospitality’, </w:t>
      </w:r>
      <w:r w:rsidRPr="00E02468">
        <w:rPr>
          <w:rFonts w:ascii="Arial" w:eastAsia="Times New Roman" w:hAnsi="Arial" w:cs="Arial"/>
          <w:i/>
          <w:iCs/>
          <w:sz w:val="24"/>
          <w:szCs w:val="24"/>
          <w:lang w:val="en-GB" w:eastAsia="en-GB"/>
        </w:rPr>
        <w:t>Journal of Organizational Effectiveness: People and Performance</w:t>
      </w:r>
      <w:r w:rsidRPr="00E02468">
        <w:rPr>
          <w:rFonts w:ascii="Arial" w:eastAsia="Times New Roman" w:hAnsi="Arial" w:cs="Arial"/>
          <w:sz w:val="24"/>
          <w:szCs w:val="24"/>
          <w:lang w:val="en-GB" w:eastAsia="en-GB"/>
        </w:rPr>
        <w:t>.</w:t>
      </w:r>
      <w:r w:rsidRPr="00E02468">
        <w:rPr>
          <w:rFonts w:ascii="Arial" w:eastAsia="Times New Roman" w:hAnsi="Arial" w:cs="Arial"/>
          <w:sz w:val="24"/>
          <w:szCs w:val="24"/>
          <w:lang w:val="en-GB" w:eastAsia="en-GB"/>
        </w:rPr>
        <w:br/>
        <w:t>(</w:t>
      </w:r>
      <w:hyperlink r:id="rId126" w:history="1">
        <w:r w:rsidRPr="00E02468">
          <w:rPr>
            <w:rFonts w:ascii="Arial" w:eastAsia="Times New Roman" w:hAnsi="Arial" w:cs="Arial"/>
            <w:color w:val="0000FF"/>
            <w:sz w:val="24"/>
            <w:szCs w:val="24"/>
            <w:u w:val="single"/>
            <w:lang w:val="en-GB" w:eastAsia="en-GB"/>
          </w:rPr>
          <w:t>https://doi.org/10.1002/joe.22089</w:t>
        </w:r>
      </w:hyperlink>
      <w:r w:rsidRPr="00E02468">
        <w:rPr>
          <w:rFonts w:ascii="Arial" w:eastAsia="Times New Roman" w:hAnsi="Arial" w:cs="Arial"/>
          <w:sz w:val="24"/>
          <w:szCs w:val="24"/>
          <w:lang w:val="en-GB" w:eastAsia="en-GB"/>
        </w:rPr>
        <w:t>)</w:t>
      </w:r>
    </w:p>
    <w:p w14:paraId="0A238C4B" w14:textId="1A2D1CE0"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Shum, C., Gatling, A. and Shoemaker, S. (2024) ‘Hospitality employee service behaviour and customer outcomes’,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w:t>
      </w:r>
      <w:r w:rsidRPr="00E02468">
        <w:rPr>
          <w:rFonts w:ascii="Arial" w:eastAsia="Times New Roman" w:hAnsi="Arial" w:cs="Arial"/>
          <w:sz w:val="24"/>
          <w:szCs w:val="24"/>
          <w:lang w:val="en-GB" w:eastAsia="en-GB"/>
        </w:rPr>
        <w:br/>
        <w:t>(</w:t>
      </w:r>
      <w:hyperlink r:id="rId127" w:history="1">
        <w:r w:rsidRPr="00E02468">
          <w:rPr>
            <w:rFonts w:ascii="Arial" w:eastAsia="Times New Roman" w:hAnsi="Arial" w:cs="Arial"/>
            <w:color w:val="0000FF"/>
            <w:sz w:val="24"/>
            <w:szCs w:val="24"/>
            <w:u w:val="single"/>
            <w:lang w:val="en-GB" w:eastAsia="en-GB"/>
          </w:rPr>
          <w:t>https://doi.org/10.1016/j.ijhm.2024.103736</w:t>
        </w:r>
      </w:hyperlink>
      <w:r w:rsidRPr="00E02468">
        <w:rPr>
          <w:rFonts w:ascii="Arial" w:eastAsia="Times New Roman" w:hAnsi="Arial" w:cs="Arial"/>
          <w:sz w:val="24"/>
          <w:szCs w:val="24"/>
          <w:lang w:val="en-GB" w:eastAsia="en-GB"/>
        </w:rPr>
        <w:t>)</w:t>
      </w:r>
    </w:p>
    <w:p w14:paraId="10C9C4A2" w14:textId="610D3536"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Sumanееva, E., et al. (2018) ‘Human resource management practices and employee performance in hospitality’, </w:t>
      </w:r>
      <w:r w:rsidRPr="00E02468">
        <w:rPr>
          <w:rFonts w:ascii="Arial" w:eastAsia="Times New Roman" w:hAnsi="Arial" w:cs="Arial"/>
          <w:i/>
          <w:iCs/>
          <w:sz w:val="24"/>
          <w:szCs w:val="24"/>
          <w:lang w:val="en-GB" w:eastAsia="en-GB"/>
        </w:rPr>
        <w:t>Journal of Environmental Management and Tourism</w:t>
      </w:r>
      <w:r w:rsidRPr="00E02468">
        <w:rPr>
          <w:rFonts w:ascii="Arial" w:eastAsia="Times New Roman" w:hAnsi="Arial" w:cs="Arial"/>
          <w:sz w:val="24"/>
          <w:szCs w:val="24"/>
          <w:lang w:val="en-GB" w:eastAsia="en-GB"/>
        </w:rPr>
        <w:t>, 9(6), pp. 1240–1248.</w:t>
      </w:r>
      <w:r w:rsidRPr="00E02468">
        <w:rPr>
          <w:rFonts w:ascii="Arial" w:eastAsia="Times New Roman" w:hAnsi="Arial" w:cs="Arial"/>
          <w:sz w:val="24"/>
          <w:szCs w:val="24"/>
          <w:lang w:val="en-GB" w:eastAsia="en-GB"/>
        </w:rPr>
        <w:br/>
        <w:t>(</w:t>
      </w:r>
      <w:hyperlink r:id="rId128" w:history="1">
        <w:r w:rsidRPr="00E02468">
          <w:rPr>
            <w:rFonts w:ascii="Arial" w:eastAsia="Times New Roman" w:hAnsi="Arial" w:cs="Arial"/>
            <w:color w:val="0000FF"/>
            <w:sz w:val="24"/>
            <w:szCs w:val="24"/>
            <w:u w:val="single"/>
            <w:lang w:val="en-GB" w:eastAsia="en-GB"/>
          </w:rPr>
          <w:t>https://doi.org/10.14505//jemt.v9.6(30).07</w:t>
        </w:r>
      </w:hyperlink>
      <w:r w:rsidRPr="00E02468">
        <w:rPr>
          <w:rFonts w:ascii="Arial" w:eastAsia="Times New Roman" w:hAnsi="Arial" w:cs="Arial"/>
          <w:sz w:val="24"/>
          <w:szCs w:val="24"/>
          <w:lang w:val="en-GB" w:eastAsia="en-GB"/>
        </w:rPr>
        <w:t>)</w:t>
      </w:r>
    </w:p>
    <w:p w14:paraId="278934D9" w14:textId="491CBFE5"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Sun, K.S., Aryee, S. and Law, K.S. (2007) ‘High-performance human resource practices, citizenship behavior, and organizational performance’, </w:t>
      </w:r>
      <w:r w:rsidRPr="00E02468">
        <w:rPr>
          <w:rFonts w:ascii="Arial" w:eastAsia="Times New Roman" w:hAnsi="Arial" w:cs="Arial"/>
          <w:i/>
          <w:iCs/>
          <w:sz w:val="24"/>
          <w:szCs w:val="24"/>
          <w:lang w:val="en-GB" w:eastAsia="en-GB"/>
        </w:rPr>
        <w:t>Academy of Management Journal</w:t>
      </w:r>
      <w:r w:rsidRPr="00E02468">
        <w:rPr>
          <w:rFonts w:ascii="Arial" w:eastAsia="Times New Roman" w:hAnsi="Arial" w:cs="Arial"/>
          <w:sz w:val="24"/>
          <w:szCs w:val="24"/>
          <w:lang w:val="en-GB" w:eastAsia="en-GB"/>
        </w:rPr>
        <w:t>, 50(3), pp. 558–577.</w:t>
      </w:r>
      <w:r w:rsidRPr="00E02468">
        <w:rPr>
          <w:rFonts w:ascii="Arial" w:eastAsia="Times New Roman" w:hAnsi="Arial" w:cs="Arial"/>
          <w:sz w:val="24"/>
          <w:szCs w:val="24"/>
          <w:lang w:val="en-GB" w:eastAsia="en-GB"/>
        </w:rPr>
        <w:br/>
        <w:t>(</w:t>
      </w:r>
      <w:hyperlink r:id="rId129" w:history="1">
        <w:r w:rsidRPr="00E02468">
          <w:rPr>
            <w:rFonts w:ascii="Arial" w:eastAsia="Times New Roman" w:hAnsi="Arial" w:cs="Arial"/>
            <w:color w:val="0000FF"/>
            <w:sz w:val="24"/>
            <w:szCs w:val="24"/>
            <w:u w:val="single"/>
            <w:lang w:val="en-GB" w:eastAsia="en-GB"/>
          </w:rPr>
          <w:t>https://doi.org/10.5465/amj.2007.25525821</w:t>
        </w:r>
      </w:hyperlink>
      <w:r w:rsidRPr="00E02468">
        <w:rPr>
          <w:rFonts w:ascii="Arial" w:eastAsia="Times New Roman" w:hAnsi="Arial" w:cs="Arial"/>
          <w:sz w:val="24"/>
          <w:szCs w:val="24"/>
          <w:lang w:val="en-GB" w:eastAsia="en-GB"/>
        </w:rPr>
        <w:t>)</w:t>
      </w:r>
    </w:p>
    <w:p w14:paraId="55BD32EF" w14:textId="76DA0A11"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Wirtz, J. and Lovelock, C. (2022) </w:t>
      </w:r>
      <w:r w:rsidRPr="00E02468">
        <w:rPr>
          <w:rFonts w:ascii="Arial" w:eastAsia="Times New Roman" w:hAnsi="Arial" w:cs="Arial"/>
          <w:i/>
          <w:iCs/>
          <w:sz w:val="24"/>
          <w:szCs w:val="24"/>
          <w:lang w:val="en-GB" w:eastAsia="en-GB"/>
        </w:rPr>
        <w:t>Services Marketing: People, Technology, Strategy</w:t>
      </w:r>
      <w:r w:rsidRPr="00E02468">
        <w:rPr>
          <w:rFonts w:ascii="Arial" w:eastAsia="Times New Roman" w:hAnsi="Arial" w:cs="Arial"/>
          <w:sz w:val="24"/>
          <w:szCs w:val="24"/>
          <w:lang w:val="en-GB" w:eastAsia="en-GB"/>
        </w:rPr>
        <w:t>. 9th edn. Singapore: World Scientific.</w:t>
      </w:r>
      <w:r w:rsidRPr="00E02468">
        <w:rPr>
          <w:rFonts w:ascii="Arial" w:eastAsia="Times New Roman" w:hAnsi="Arial" w:cs="Arial"/>
          <w:sz w:val="24"/>
          <w:szCs w:val="24"/>
          <w:lang w:val="en-GB" w:eastAsia="en-GB"/>
        </w:rPr>
        <w:br/>
        <w:t>(</w:t>
      </w:r>
      <w:hyperlink r:id="rId130" w:history="1">
        <w:r w:rsidRPr="00E02468">
          <w:rPr>
            <w:rFonts w:ascii="Arial" w:eastAsia="Times New Roman" w:hAnsi="Arial" w:cs="Arial"/>
            <w:color w:val="0000FF"/>
            <w:sz w:val="24"/>
            <w:szCs w:val="24"/>
            <w:u w:val="single"/>
            <w:lang w:val="en-GB" w:eastAsia="en-GB"/>
          </w:rPr>
          <w:t>https://www.worldscientific.com/worldscibooks/10.1142/y0024</w:t>
        </w:r>
      </w:hyperlink>
      <w:r w:rsidRPr="00E02468">
        <w:rPr>
          <w:rFonts w:ascii="Arial" w:eastAsia="Times New Roman" w:hAnsi="Arial" w:cs="Arial"/>
          <w:sz w:val="24"/>
          <w:szCs w:val="24"/>
          <w:lang w:val="en-GB" w:eastAsia="en-GB"/>
        </w:rPr>
        <w:t>)</w:t>
      </w:r>
    </w:p>
    <w:p w14:paraId="5657ED50" w14:textId="7CBD4125"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Zeithaml, V.A., Bitner, M.J. and Gremler, D.D. (2018) </w:t>
      </w:r>
      <w:r w:rsidRPr="00E02468">
        <w:rPr>
          <w:rFonts w:ascii="Arial" w:eastAsia="Times New Roman" w:hAnsi="Arial" w:cs="Arial"/>
          <w:i/>
          <w:iCs/>
          <w:sz w:val="24"/>
          <w:szCs w:val="24"/>
          <w:lang w:val="en-GB" w:eastAsia="en-GB"/>
        </w:rPr>
        <w:t>Services Marketing: Integrating Customer Focus Across the Firm</w:t>
      </w:r>
      <w:r w:rsidRPr="00E02468">
        <w:rPr>
          <w:rFonts w:ascii="Arial" w:eastAsia="Times New Roman" w:hAnsi="Arial" w:cs="Arial"/>
          <w:sz w:val="24"/>
          <w:szCs w:val="24"/>
          <w:lang w:val="en-GB" w:eastAsia="en-GB"/>
        </w:rPr>
        <w:t>. 7th edn. New York: McGraw-Hill.</w:t>
      </w:r>
      <w:r w:rsidRPr="00E02468">
        <w:rPr>
          <w:rFonts w:ascii="Arial" w:eastAsia="Times New Roman" w:hAnsi="Arial" w:cs="Arial"/>
          <w:sz w:val="24"/>
          <w:szCs w:val="24"/>
          <w:lang w:val="en-GB" w:eastAsia="en-GB"/>
        </w:rPr>
        <w:br/>
        <w:t>(</w:t>
      </w:r>
      <w:hyperlink r:id="rId131" w:history="1">
        <w:r w:rsidRPr="00E02468">
          <w:rPr>
            <w:rFonts w:ascii="Arial" w:eastAsia="Times New Roman" w:hAnsi="Arial" w:cs="Arial"/>
            <w:color w:val="0000FF"/>
            <w:sz w:val="24"/>
            <w:szCs w:val="24"/>
            <w:u w:val="single"/>
            <w:lang w:val="en-GB" w:eastAsia="en-GB"/>
          </w:rPr>
          <w:t>https://www.mheducation.com/highered/product/services-marketing-integrating-customer-focus-across-firm-zeithaml.html</w:t>
        </w:r>
      </w:hyperlink>
      <w:r w:rsidRPr="00E02468">
        <w:rPr>
          <w:rFonts w:ascii="Arial" w:eastAsia="Times New Roman" w:hAnsi="Arial" w:cs="Arial"/>
          <w:sz w:val="24"/>
          <w:szCs w:val="24"/>
          <w:lang w:val="en-GB" w:eastAsia="en-GB"/>
        </w:rPr>
        <w:t>)</w:t>
      </w:r>
    </w:p>
    <w:p w14:paraId="063804E3" w14:textId="4747B3FC"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Zhao, X., Ghiselli, R., Law, R. and Ma, J. (2016) ‘Motivating hotel employees through effective human resource practices’,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53, pp. 1–10.</w:t>
      </w:r>
      <w:r w:rsidRPr="00E02468">
        <w:rPr>
          <w:rFonts w:ascii="Arial" w:eastAsia="Times New Roman" w:hAnsi="Arial" w:cs="Arial"/>
          <w:sz w:val="24"/>
          <w:szCs w:val="24"/>
          <w:lang w:val="en-GB" w:eastAsia="en-GB"/>
        </w:rPr>
        <w:br/>
        <w:t>(</w:t>
      </w:r>
      <w:hyperlink r:id="rId132" w:history="1">
        <w:r w:rsidRPr="00E02468">
          <w:rPr>
            <w:rFonts w:ascii="Arial" w:eastAsia="Times New Roman" w:hAnsi="Arial" w:cs="Arial"/>
            <w:color w:val="0000FF"/>
            <w:sz w:val="24"/>
            <w:szCs w:val="24"/>
            <w:u w:val="single"/>
            <w:lang w:val="en-GB" w:eastAsia="en-GB"/>
          </w:rPr>
          <w:t>https://doi.org/10.1016/j.ijhm.2015.12.002</w:t>
        </w:r>
      </w:hyperlink>
      <w:r w:rsidRPr="00E02468">
        <w:rPr>
          <w:rFonts w:ascii="Arial" w:eastAsia="Times New Roman" w:hAnsi="Arial" w:cs="Arial"/>
          <w:sz w:val="24"/>
          <w:szCs w:val="24"/>
          <w:lang w:val="en-GB" w:eastAsia="en-GB"/>
        </w:rPr>
        <w:t>)</w:t>
      </w:r>
    </w:p>
    <w:p w14:paraId="2E201E61" w14:textId="5C5572DF" w:rsidR="00206789" w:rsidRPr="00E02468" w:rsidRDefault="00206789" w:rsidP="00206789">
      <w:pPr>
        <w:pStyle w:val="ListParagraph"/>
        <w:numPr>
          <w:ilvl w:val="0"/>
          <w:numId w:val="26"/>
        </w:numPr>
        <w:spacing w:before="240" w:line="360" w:lineRule="auto"/>
        <w:jc w:val="both"/>
        <w:rPr>
          <w:rFonts w:ascii="Arial" w:eastAsia="Times New Roman" w:hAnsi="Arial" w:cs="Arial"/>
          <w:sz w:val="24"/>
          <w:szCs w:val="24"/>
          <w:lang w:val="en-GB" w:eastAsia="en-GB"/>
        </w:rPr>
      </w:pPr>
      <w:r w:rsidRPr="00E02468">
        <w:rPr>
          <w:rFonts w:ascii="Arial" w:eastAsia="Times New Roman" w:hAnsi="Arial" w:cs="Arial"/>
          <w:sz w:val="24"/>
          <w:szCs w:val="24"/>
          <w:lang w:val="en-GB" w:eastAsia="en-GB"/>
        </w:rPr>
        <w:t xml:space="preserve">Zopiatis, A., Constanti, P. and Theocharous, A.L. (2014) ‘Job involvement, commitment, satisfaction and turnover intention in the hospitality industry’,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41, pp. 129–137.</w:t>
      </w:r>
      <w:r w:rsidRPr="00E02468">
        <w:rPr>
          <w:rFonts w:ascii="Arial" w:eastAsia="Times New Roman" w:hAnsi="Arial" w:cs="Arial"/>
          <w:sz w:val="24"/>
          <w:szCs w:val="24"/>
          <w:lang w:val="en-GB" w:eastAsia="en-GB"/>
        </w:rPr>
        <w:br/>
        <w:t>(</w:t>
      </w:r>
      <w:hyperlink r:id="rId133" w:history="1">
        <w:r w:rsidRPr="00E02468">
          <w:rPr>
            <w:rFonts w:ascii="Arial" w:eastAsia="Times New Roman" w:hAnsi="Arial" w:cs="Arial"/>
            <w:color w:val="0000FF"/>
            <w:sz w:val="24"/>
            <w:szCs w:val="24"/>
            <w:u w:val="single"/>
            <w:lang w:val="en-GB" w:eastAsia="en-GB"/>
          </w:rPr>
          <w:t>https://doi.org/10.1016/j.ijhm.2014.05.001</w:t>
        </w:r>
      </w:hyperlink>
      <w:r w:rsidRPr="00E02468">
        <w:rPr>
          <w:rFonts w:ascii="Arial" w:eastAsia="Times New Roman" w:hAnsi="Arial" w:cs="Arial"/>
          <w:sz w:val="24"/>
          <w:szCs w:val="24"/>
          <w:lang w:val="en-GB" w:eastAsia="en-GB"/>
        </w:rPr>
        <w:t>)</w:t>
      </w:r>
    </w:p>
    <w:p w14:paraId="6F0D1F3A" w14:textId="27B23151" w:rsidR="008F14EB" w:rsidRPr="00E02468" w:rsidRDefault="00206789" w:rsidP="00206789">
      <w:pPr>
        <w:pStyle w:val="ListParagraph"/>
        <w:numPr>
          <w:ilvl w:val="0"/>
          <w:numId w:val="26"/>
        </w:numPr>
        <w:spacing w:before="240" w:line="360" w:lineRule="auto"/>
        <w:jc w:val="both"/>
        <w:rPr>
          <w:rFonts w:ascii="Arial" w:hAnsi="Arial" w:cs="Arial"/>
          <w:sz w:val="24"/>
          <w:szCs w:val="24"/>
          <w:lang w:val="en-GB" w:eastAsia="en-GB"/>
        </w:rPr>
      </w:pPr>
      <w:r w:rsidRPr="00E02468">
        <w:rPr>
          <w:rFonts w:ascii="Arial" w:eastAsia="Times New Roman" w:hAnsi="Arial" w:cs="Arial"/>
          <w:sz w:val="24"/>
          <w:szCs w:val="24"/>
          <w:lang w:val="en-GB" w:eastAsia="en-GB"/>
        </w:rPr>
        <w:t xml:space="preserve">Shum, C., Gatling, A. and Shoemaker, S. (2024) ‘Employee thriving and service performance in hospitality’, </w:t>
      </w:r>
      <w:r w:rsidRPr="00E02468">
        <w:rPr>
          <w:rFonts w:ascii="Arial" w:eastAsia="Times New Roman" w:hAnsi="Arial" w:cs="Arial"/>
          <w:i/>
          <w:iCs/>
          <w:sz w:val="24"/>
          <w:szCs w:val="24"/>
          <w:lang w:val="en-GB" w:eastAsia="en-GB"/>
        </w:rPr>
        <w:t>International Journal of Hospitality Management</w:t>
      </w:r>
      <w:r w:rsidRPr="00E02468">
        <w:rPr>
          <w:rFonts w:ascii="Arial" w:eastAsia="Times New Roman" w:hAnsi="Arial" w:cs="Arial"/>
          <w:sz w:val="24"/>
          <w:szCs w:val="24"/>
          <w:lang w:val="en-GB" w:eastAsia="en-GB"/>
        </w:rPr>
        <w:t>, 119, 103736.</w:t>
      </w:r>
      <w:r w:rsidRPr="00E02468">
        <w:rPr>
          <w:rFonts w:ascii="Arial" w:eastAsia="Times New Roman" w:hAnsi="Arial" w:cs="Arial"/>
          <w:sz w:val="24"/>
          <w:szCs w:val="24"/>
          <w:lang w:val="en-GB" w:eastAsia="en-GB"/>
        </w:rPr>
        <w:br/>
        <w:t>(</w:t>
      </w:r>
      <w:hyperlink r:id="rId134" w:history="1">
        <w:r w:rsidRPr="00E02468">
          <w:rPr>
            <w:rFonts w:ascii="Arial" w:eastAsia="Times New Roman" w:hAnsi="Arial" w:cs="Arial"/>
            <w:color w:val="0000FF"/>
            <w:sz w:val="24"/>
            <w:szCs w:val="24"/>
            <w:u w:val="single"/>
            <w:lang w:val="en-GB" w:eastAsia="en-GB"/>
          </w:rPr>
          <w:t>https://doi.org/10.1016/j.ijhm.2024.103736</w:t>
        </w:r>
      </w:hyperlink>
      <w:r w:rsidRPr="00E02468">
        <w:rPr>
          <w:rFonts w:ascii="Arial" w:eastAsia="Times New Roman" w:hAnsi="Arial" w:cs="Arial"/>
          <w:sz w:val="24"/>
          <w:szCs w:val="24"/>
          <w:lang w:val="en-GB" w:eastAsia="en-GB"/>
        </w:rPr>
        <w:t>)</w:t>
      </w:r>
    </w:p>
    <w:sectPr w:rsidR="008F14EB" w:rsidRPr="00E02468" w:rsidSect="00B50C6B">
      <w:headerReference w:type="default" r:id="rId135"/>
      <w:footerReference w:type="default" r:id="rId1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475AE" w14:textId="77777777" w:rsidR="00FB552E" w:rsidRDefault="00FB552E" w:rsidP="00226B65">
      <w:pPr>
        <w:spacing w:after="0" w:line="240" w:lineRule="auto"/>
      </w:pPr>
      <w:r>
        <w:separator/>
      </w:r>
    </w:p>
  </w:endnote>
  <w:endnote w:type="continuationSeparator" w:id="0">
    <w:p w14:paraId="23072945" w14:textId="77777777" w:rsidR="00FB552E" w:rsidRDefault="00FB552E"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161675"/>
      <w:docPartObj>
        <w:docPartGallery w:val="Page Numbers (Bottom of Page)"/>
        <w:docPartUnique/>
      </w:docPartObj>
    </w:sdtPr>
    <w:sdtEndPr>
      <w:rPr>
        <w:noProof/>
      </w:rPr>
    </w:sdtEndPr>
    <w:sdtContent>
      <w:p w14:paraId="3135B97B" w14:textId="65C543B0" w:rsidR="00A51EBE" w:rsidRDefault="00A51EBE">
        <w:pPr>
          <w:pStyle w:val="Footer"/>
          <w:jc w:val="center"/>
        </w:pPr>
        <w:r>
          <w:fldChar w:fldCharType="begin"/>
        </w:r>
        <w:r>
          <w:instrText xml:space="preserve"> PAGE   \* MERGEFORMAT </w:instrText>
        </w:r>
        <w:r>
          <w:fldChar w:fldCharType="separate"/>
        </w:r>
        <w:r w:rsidR="00E02468">
          <w:rPr>
            <w:noProof/>
          </w:rPr>
          <w:t>78</w:t>
        </w:r>
        <w:r>
          <w:rPr>
            <w:noProof/>
          </w:rPr>
          <w:fldChar w:fldCharType="end"/>
        </w:r>
      </w:p>
    </w:sdtContent>
  </w:sdt>
  <w:p w14:paraId="751981B7" w14:textId="77777777" w:rsidR="00A51EBE" w:rsidRPr="00F706E3" w:rsidRDefault="00A51EBE">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15525" w14:textId="77777777" w:rsidR="00FB552E" w:rsidRDefault="00FB552E" w:rsidP="00226B65">
      <w:pPr>
        <w:spacing w:after="0" w:line="240" w:lineRule="auto"/>
      </w:pPr>
      <w:r>
        <w:separator/>
      </w:r>
    </w:p>
  </w:footnote>
  <w:footnote w:type="continuationSeparator" w:id="0">
    <w:p w14:paraId="50CD0BD7" w14:textId="77777777" w:rsidR="00FB552E" w:rsidRDefault="00FB552E"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04CB" w14:textId="77777777" w:rsidR="00A51EBE" w:rsidRDefault="00A51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BB0"/>
    <w:multiLevelType w:val="multilevel"/>
    <w:tmpl w:val="1296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D2947"/>
    <w:multiLevelType w:val="multilevel"/>
    <w:tmpl w:val="864A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503A5"/>
    <w:multiLevelType w:val="hybridMultilevel"/>
    <w:tmpl w:val="DEE0D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40130"/>
    <w:multiLevelType w:val="multilevel"/>
    <w:tmpl w:val="574A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148D0"/>
    <w:multiLevelType w:val="hybridMultilevel"/>
    <w:tmpl w:val="3EA25F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3404F9"/>
    <w:multiLevelType w:val="multilevel"/>
    <w:tmpl w:val="00DE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91127"/>
    <w:multiLevelType w:val="multilevel"/>
    <w:tmpl w:val="7C30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326A0"/>
    <w:multiLevelType w:val="hybridMultilevel"/>
    <w:tmpl w:val="F5EAD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43843"/>
    <w:multiLevelType w:val="multilevel"/>
    <w:tmpl w:val="1D50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E5AED"/>
    <w:multiLevelType w:val="hybridMultilevel"/>
    <w:tmpl w:val="65F4A9BA"/>
    <w:lvl w:ilvl="0" w:tplc="0809000F">
      <w:start w:val="1"/>
      <w:numFmt w:val="decimal"/>
      <w:lvlText w:val="%1."/>
      <w:lvlJc w:val="left"/>
      <w:pPr>
        <w:ind w:left="720" w:hanging="360"/>
      </w:pPr>
    </w:lvl>
    <w:lvl w:ilvl="1" w:tplc="DC068EE6">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C04D3F"/>
    <w:multiLevelType w:val="hybridMultilevel"/>
    <w:tmpl w:val="6C66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10897"/>
    <w:multiLevelType w:val="hybridMultilevel"/>
    <w:tmpl w:val="59C69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5F3CBB"/>
    <w:multiLevelType w:val="hybridMultilevel"/>
    <w:tmpl w:val="16E0EC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47611D"/>
    <w:multiLevelType w:val="multilevel"/>
    <w:tmpl w:val="9C2A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1C3E64"/>
    <w:multiLevelType w:val="multilevel"/>
    <w:tmpl w:val="ACB0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13C43"/>
    <w:multiLevelType w:val="hybridMultilevel"/>
    <w:tmpl w:val="0F4078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1130B"/>
    <w:multiLevelType w:val="hybridMultilevel"/>
    <w:tmpl w:val="835A8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B787D"/>
    <w:multiLevelType w:val="multilevel"/>
    <w:tmpl w:val="27F8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04944"/>
    <w:multiLevelType w:val="multilevel"/>
    <w:tmpl w:val="DFC6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522247"/>
    <w:multiLevelType w:val="multilevel"/>
    <w:tmpl w:val="59CC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155D09"/>
    <w:multiLevelType w:val="multilevel"/>
    <w:tmpl w:val="CBCC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986F74"/>
    <w:multiLevelType w:val="hybridMultilevel"/>
    <w:tmpl w:val="28C21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3F6E55"/>
    <w:multiLevelType w:val="multilevel"/>
    <w:tmpl w:val="1EAA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B4497B"/>
    <w:multiLevelType w:val="multilevel"/>
    <w:tmpl w:val="668A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941EC5"/>
    <w:multiLevelType w:val="hybridMultilevel"/>
    <w:tmpl w:val="27B22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8A1374"/>
    <w:multiLevelType w:val="multilevel"/>
    <w:tmpl w:val="F160A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6431847">
    <w:abstractNumId w:val="9"/>
  </w:num>
  <w:num w:numId="2" w16cid:durableId="841622177">
    <w:abstractNumId w:val="21"/>
  </w:num>
  <w:num w:numId="3" w16cid:durableId="84619856">
    <w:abstractNumId w:val="8"/>
  </w:num>
  <w:num w:numId="4" w16cid:durableId="196047172">
    <w:abstractNumId w:val="3"/>
  </w:num>
  <w:num w:numId="5" w16cid:durableId="1889563025">
    <w:abstractNumId w:val="5"/>
  </w:num>
  <w:num w:numId="6" w16cid:durableId="1238248079">
    <w:abstractNumId w:val="6"/>
  </w:num>
  <w:num w:numId="7" w16cid:durableId="1460488036">
    <w:abstractNumId w:val="14"/>
  </w:num>
  <w:num w:numId="8" w16cid:durableId="2126340691">
    <w:abstractNumId w:val="18"/>
  </w:num>
  <w:num w:numId="9" w16cid:durableId="1995794455">
    <w:abstractNumId w:val="25"/>
  </w:num>
  <w:num w:numId="10" w16cid:durableId="176122205">
    <w:abstractNumId w:val="1"/>
  </w:num>
  <w:num w:numId="11" w16cid:durableId="31465423">
    <w:abstractNumId w:val="17"/>
  </w:num>
  <w:num w:numId="12" w16cid:durableId="618029395">
    <w:abstractNumId w:val="22"/>
  </w:num>
  <w:num w:numId="13" w16cid:durableId="1545169871">
    <w:abstractNumId w:val="0"/>
  </w:num>
  <w:num w:numId="14" w16cid:durableId="1416129536">
    <w:abstractNumId w:val="23"/>
  </w:num>
  <w:num w:numId="15" w16cid:durableId="1412971672">
    <w:abstractNumId w:val="20"/>
  </w:num>
  <w:num w:numId="16" w16cid:durableId="311832262">
    <w:abstractNumId w:val="13"/>
  </w:num>
  <w:num w:numId="17" w16cid:durableId="1022630430">
    <w:abstractNumId w:val="19"/>
  </w:num>
  <w:num w:numId="18" w16cid:durableId="826018539">
    <w:abstractNumId w:val="10"/>
  </w:num>
  <w:num w:numId="19" w16cid:durableId="2087071406">
    <w:abstractNumId w:val="7"/>
  </w:num>
  <w:num w:numId="20" w16cid:durableId="1729835457">
    <w:abstractNumId w:val="16"/>
  </w:num>
  <w:num w:numId="21" w16cid:durableId="366217126">
    <w:abstractNumId w:val="24"/>
  </w:num>
  <w:num w:numId="22" w16cid:durableId="1039629174">
    <w:abstractNumId w:val="4"/>
  </w:num>
  <w:num w:numId="23" w16cid:durableId="1189948687">
    <w:abstractNumId w:val="15"/>
  </w:num>
  <w:num w:numId="24" w16cid:durableId="1249732053">
    <w:abstractNumId w:val="12"/>
  </w:num>
  <w:num w:numId="25" w16cid:durableId="174929004">
    <w:abstractNumId w:val="2"/>
  </w:num>
  <w:num w:numId="26" w16cid:durableId="1816605640">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30"/>
    <w:rsid w:val="000004DB"/>
    <w:rsid w:val="00001E0F"/>
    <w:rsid w:val="00002FED"/>
    <w:rsid w:val="00004B35"/>
    <w:rsid w:val="00004D04"/>
    <w:rsid w:val="00004D6C"/>
    <w:rsid w:val="00006051"/>
    <w:rsid w:val="000117E4"/>
    <w:rsid w:val="00012261"/>
    <w:rsid w:val="00012A39"/>
    <w:rsid w:val="00013335"/>
    <w:rsid w:val="0001370B"/>
    <w:rsid w:val="0001381E"/>
    <w:rsid w:val="000202C4"/>
    <w:rsid w:val="00023F18"/>
    <w:rsid w:val="0002406A"/>
    <w:rsid w:val="00024B65"/>
    <w:rsid w:val="00030B94"/>
    <w:rsid w:val="00034336"/>
    <w:rsid w:val="00034FE7"/>
    <w:rsid w:val="00036B2B"/>
    <w:rsid w:val="00036E37"/>
    <w:rsid w:val="00036EAC"/>
    <w:rsid w:val="000435A2"/>
    <w:rsid w:val="000438AB"/>
    <w:rsid w:val="00044370"/>
    <w:rsid w:val="000447C7"/>
    <w:rsid w:val="00046CE1"/>
    <w:rsid w:val="000479E1"/>
    <w:rsid w:val="00047C8C"/>
    <w:rsid w:val="000507C6"/>
    <w:rsid w:val="0005254C"/>
    <w:rsid w:val="00052669"/>
    <w:rsid w:val="000573C7"/>
    <w:rsid w:val="000638BB"/>
    <w:rsid w:val="00064403"/>
    <w:rsid w:val="00067892"/>
    <w:rsid w:val="00070018"/>
    <w:rsid w:val="00070880"/>
    <w:rsid w:val="000710A9"/>
    <w:rsid w:val="000720BB"/>
    <w:rsid w:val="00072CF9"/>
    <w:rsid w:val="00072E5D"/>
    <w:rsid w:val="00074493"/>
    <w:rsid w:val="000755AF"/>
    <w:rsid w:val="00082254"/>
    <w:rsid w:val="00085D19"/>
    <w:rsid w:val="000863C4"/>
    <w:rsid w:val="00092E55"/>
    <w:rsid w:val="00094664"/>
    <w:rsid w:val="00094C6A"/>
    <w:rsid w:val="00095B12"/>
    <w:rsid w:val="000A0440"/>
    <w:rsid w:val="000A0721"/>
    <w:rsid w:val="000A297B"/>
    <w:rsid w:val="000A7D86"/>
    <w:rsid w:val="000B0ECF"/>
    <w:rsid w:val="000B16E7"/>
    <w:rsid w:val="000B2756"/>
    <w:rsid w:val="000B2848"/>
    <w:rsid w:val="000B310E"/>
    <w:rsid w:val="000B3E28"/>
    <w:rsid w:val="000B4507"/>
    <w:rsid w:val="000B755B"/>
    <w:rsid w:val="000C4DA0"/>
    <w:rsid w:val="000C6B7F"/>
    <w:rsid w:val="000C6C44"/>
    <w:rsid w:val="000C7D8E"/>
    <w:rsid w:val="000C7FAD"/>
    <w:rsid w:val="000D13FC"/>
    <w:rsid w:val="000D5F4B"/>
    <w:rsid w:val="000E1B28"/>
    <w:rsid w:val="000E2B0B"/>
    <w:rsid w:val="000E4678"/>
    <w:rsid w:val="000E5C96"/>
    <w:rsid w:val="000E76ED"/>
    <w:rsid w:val="000F0747"/>
    <w:rsid w:val="000F5EA9"/>
    <w:rsid w:val="000F6EED"/>
    <w:rsid w:val="00100F99"/>
    <w:rsid w:val="00104F45"/>
    <w:rsid w:val="00105DB6"/>
    <w:rsid w:val="00106CC9"/>
    <w:rsid w:val="00112FD7"/>
    <w:rsid w:val="00114D7F"/>
    <w:rsid w:val="001172BC"/>
    <w:rsid w:val="00120896"/>
    <w:rsid w:val="00122C26"/>
    <w:rsid w:val="00124FA6"/>
    <w:rsid w:val="001254F4"/>
    <w:rsid w:val="001269B6"/>
    <w:rsid w:val="001272A0"/>
    <w:rsid w:val="00127746"/>
    <w:rsid w:val="001346AE"/>
    <w:rsid w:val="00134C55"/>
    <w:rsid w:val="001371A1"/>
    <w:rsid w:val="001407D2"/>
    <w:rsid w:val="00141D35"/>
    <w:rsid w:val="0014628F"/>
    <w:rsid w:val="00152F0C"/>
    <w:rsid w:val="00154BCB"/>
    <w:rsid w:val="00157466"/>
    <w:rsid w:val="001640E8"/>
    <w:rsid w:val="0016573E"/>
    <w:rsid w:val="0016692E"/>
    <w:rsid w:val="00167C72"/>
    <w:rsid w:val="001702E4"/>
    <w:rsid w:val="001772C5"/>
    <w:rsid w:val="001801FE"/>
    <w:rsid w:val="00187F30"/>
    <w:rsid w:val="001906A4"/>
    <w:rsid w:val="001929B4"/>
    <w:rsid w:val="001962E4"/>
    <w:rsid w:val="001963E2"/>
    <w:rsid w:val="001A08AB"/>
    <w:rsid w:val="001A2504"/>
    <w:rsid w:val="001A2812"/>
    <w:rsid w:val="001A3DEB"/>
    <w:rsid w:val="001A5135"/>
    <w:rsid w:val="001A70A9"/>
    <w:rsid w:val="001A7189"/>
    <w:rsid w:val="001B2A01"/>
    <w:rsid w:val="001C06B5"/>
    <w:rsid w:val="001C26FD"/>
    <w:rsid w:val="001C6401"/>
    <w:rsid w:val="001D3EBB"/>
    <w:rsid w:val="001D4137"/>
    <w:rsid w:val="001D5EF2"/>
    <w:rsid w:val="001E1B83"/>
    <w:rsid w:val="001E64B7"/>
    <w:rsid w:val="001E7CB3"/>
    <w:rsid w:val="001F09BC"/>
    <w:rsid w:val="001F0FD4"/>
    <w:rsid w:val="001F27A2"/>
    <w:rsid w:val="001F2B4D"/>
    <w:rsid w:val="001F39EA"/>
    <w:rsid w:val="002049FF"/>
    <w:rsid w:val="00206789"/>
    <w:rsid w:val="002068A4"/>
    <w:rsid w:val="00211196"/>
    <w:rsid w:val="00211268"/>
    <w:rsid w:val="002119EB"/>
    <w:rsid w:val="00211FF3"/>
    <w:rsid w:val="002129FD"/>
    <w:rsid w:val="00212ED5"/>
    <w:rsid w:val="00215C43"/>
    <w:rsid w:val="002162A8"/>
    <w:rsid w:val="002201A1"/>
    <w:rsid w:val="00220A5E"/>
    <w:rsid w:val="00221E59"/>
    <w:rsid w:val="002235C7"/>
    <w:rsid w:val="0022580B"/>
    <w:rsid w:val="00226B65"/>
    <w:rsid w:val="00236100"/>
    <w:rsid w:val="00241AE4"/>
    <w:rsid w:val="00244702"/>
    <w:rsid w:val="00244CAF"/>
    <w:rsid w:val="00244CCB"/>
    <w:rsid w:val="00244FAE"/>
    <w:rsid w:val="00250651"/>
    <w:rsid w:val="00250DD2"/>
    <w:rsid w:val="00250DE4"/>
    <w:rsid w:val="00254D00"/>
    <w:rsid w:val="00265497"/>
    <w:rsid w:val="00272113"/>
    <w:rsid w:val="0027486E"/>
    <w:rsid w:val="00284522"/>
    <w:rsid w:val="00287F99"/>
    <w:rsid w:val="00287FB7"/>
    <w:rsid w:val="002920E6"/>
    <w:rsid w:val="002930B6"/>
    <w:rsid w:val="00293DE1"/>
    <w:rsid w:val="00294FF8"/>
    <w:rsid w:val="002A00B1"/>
    <w:rsid w:val="002A1E74"/>
    <w:rsid w:val="002A2CA8"/>
    <w:rsid w:val="002A72BC"/>
    <w:rsid w:val="002B17CD"/>
    <w:rsid w:val="002B3460"/>
    <w:rsid w:val="002B698B"/>
    <w:rsid w:val="002B719C"/>
    <w:rsid w:val="002B7538"/>
    <w:rsid w:val="002C23A0"/>
    <w:rsid w:val="002C3413"/>
    <w:rsid w:val="002C6544"/>
    <w:rsid w:val="002D244E"/>
    <w:rsid w:val="002D3B13"/>
    <w:rsid w:val="002D3C6B"/>
    <w:rsid w:val="002D4A25"/>
    <w:rsid w:val="002D624F"/>
    <w:rsid w:val="002D6462"/>
    <w:rsid w:val="002D7021"/>
    <w:rsid w:val="002E2D64"/>
    <w:rsid w:val="002E4247"/>
    <w:rsid w:val="002E4DF0"/>
    <w:rsid w:val="002E5287"/>
    <w:rsid w:val="002F0489"/>
    <w:rsid w:val="002F1385"/>
    <w:rsid w:val="002F4559"/>
    <w:rsid w:val="002F6A3D"/>
    <w:rsid w:val="00302559"/>
    <w:rsid w:val="00303D44"/>
    <w:rsid w:val="00304029"/>
    <w:rsid w:val="003043CE"/>
    <w:rsid w:val="00306545"/>
    <w:rsid w:val="00312AF4"/>
    <w:rsid w:val="003145AB"/>
    <w:rsid w:val="0031596D"/>
    <w:rsid w:val="00323F9F"/>
    <w:rsid w:val="00325211"/>
    <w:rsid w:val="00326EBB"/>
    <w:rsid w:val="0032756A"/>
    <w:rsid w:val="00330D1E"/>
    <w:rsid w:val="003334CE"/>
    <w:rsid w:val="00335E27"/>
    <w:rsid w:val="0034076E"/>
    <w:rsid w:val="00340969"/>
    <w:rsid w:val="003446A8"/>
    <w:rsid w:val="00345B65"/>
    <w:rsid w:val="00346AB8"/>
    <w:rsid w:val="00351120"/>
    <w:rsid w:val="003554EF"/>
    <w:rsid w:val="00357A33"/>
    <w:rsid w:val="00360634"/>
    <w:rsid w:val="00361722"/>
    <w:rsid w:val="00361E3B"/>
    <w:rsid w:val="0037334C"/>
    <w:rsid w:val="00376C77"/>
    <w:rsid w:val="00376D7D"/>
    <w:rsid w:val="00376D86"/>
    <w:rsid w:val="00380BDC"/>
    <w:rsid w:val="0038100D"/>
    <w:rsid w:val="0038198C"/>
    <w:rsid w:val="00383247"/>
    <w:rsid w:val="0038380B"/>
    <w:rsid w:val="003873F4"/>
    <w:rsid w:val="0039798E"/>
    <w:rsid w:val="003A4732"/>
    <w:rsid w:val="003A4CCE"/>
    <w:rsid w:val="003A5179"/>
    <w:rsid w:val="003A6E3B"/>
    <w:rsid w:val="003B1110"/>
    <w:rsid w:val="003B22ED"/>
    <w:rsid w:val="003B280D"/>
    <w:rsid w:val="003B45AB"/>
    <w:rsid w:val="003B5695"/>
    <w:rsid w:val="003B7552"/>
    <w:rsid w:val="003C26CE"/>
    <w:rsid w:val="003C45F7"/>
    <w:rsid w:val="003C550C"/>
    <w:rsid w:val="003C7318"/>
    <w:rsid w:val="003C7AA1"/>
    <w:rsid w:val="003D071E"/>
    <w:rsid w:val="003D0A2A"/>
    <w:rsid w:val="003D7187"/>
    <w:rsid w:val="003E1280"/>
    <w:rsid w:val="003E3337"/>
    <w:rsid w:val="003E4AFB"/>
    <w:rsid w:val="003E554F"/>
    <w:rsid w:val="003F047C"/>
    <w:rsid w:val="004003AA"/>
    <w:rsid w:val="004028CD"/>
    <w:rsid w:val="0040375C"/>
    <w:rsid w:val="00403881"/>
    <w:rsid w:val="004043E8"/>
    <w:rsid w:val="00407F72"/>
    <w:rsid w:val="00407F8E"/>
    <w:rsid w:val="00410EE2"/>
    <w:rsid w:val="0041343D"/>
    <w:rsid w:val="00415A7C"/>
    <w:rsid w:val="0042275E"/>
    <w:rsid w:val="004229B7"/>
    <w:rsid w:val="00422ACC"/>
    <w:rsid w:val="00425A11"/>
    <w:rsid w:val="00426935"/>
    <w:rsid w:val="004303AE"/>
    <w:rsid w:val="00431428"/>
    <w:rsid w:val="00433D54"/>
    <w:rsid w:val="00434EE2"/>
    <w:rsid w:val="004439A2"/>
    <w:rsid w:val="00446A06"/>
    <w:rsid w:val="00453801"/>
    <w:rsid w:val="00461904"/>
    <w:rsid w:val="00463621"/>
    <w:rsid w:val="00465467"/>
    <w:rsid w:val="004664C0"/>
    <w:rsid w:val="00473A33"/>
    <w:rsid w:val="00474904"/>
    <w:rsid w:val="00474A6B"/>
    <w:rsid w:val="00475CF8"/>
    <w:rsid w:val="004769BA"/>
    <w:rsid w:val="004778E6"/>
    <w:rsid w:val="00482C55"/>
    <w:rsid w:val="00484540"/>
    <w:rsid w:val="0048678A"/>
    <w:rsid w:val="0048704A"/>
    <w:rsid w:val="004914D4"/>
    <w:rsid w:val="00493CD3"/>
    <w:rsid w:val="00494567"/>
    <w:rsid w:val="00496CD9"/>
    <w:rsid w:val="00497383"/>
    <w:rsid w:val="004A2D91"/>
    <w:rsid w:val="004A3190"/>
    <w:rsid w:val="004A3ACD"/>
    <w:rsid w:val="004A4D7C"/>
    <w:rsid w:val="004A5D98"/>
    <w:rsid w:val="004A7C6B"/>
    <w:rsid w:val="004B2D5C"/>
    <w:rsid w:val="004B7BCB"/>
    <w:rsid w:val="004B7CEA"/>
    <w:rsid w:val="004C0434"/>
    <w:rsid w:val="004C1558"/>
    <w:rsid w:val="004C5F1B"/>
    <w:rsid w:val="004C5FFA"/>
    <w:rsid w:val="004C6BDB"/>
    <w:rsid w:val="004C763E"/>
    <w:rsid w:val="004C77ED"/>
    <w:rsid w:val="004D0A7B"/>
    <w:rsid w:val="004D721E"/>
    <w:rsid w:val="004E1EC1"/>
    <w:rsid w:val="004E485B"/>
    <w:rsid w:val="004E5561"/>
    <w:rsid w:val="004F10C9"/>
    <w:rsid w:val="004F1B8C"/>
    <w:rsid w:val="004F4191"/>
    <w:rsid w:val="004F5C5F"/>
    <w:rsid w:val="005007A7"/>
    <w:rsid w:val="005025AB"/>
    <w:rsid w:val="0050370C"/>
    <w:rsid w:val="00504664"/>
    <w:rsid w:val="0050713D"/>
    <w:rsid w:val="00511101"/>
    <w:rsid w:val="00512825"/>
    <w:rsid w:val="005174E7"/>
    <w:rsid w:val="00520D8F"/>
    <w:rsid w:val="0052139C"/>
    <w:rsid w:val="00523927"/>
    <w:rsid w:val="00526E02"/>
    <w:rsid w:val="005275FB"/>
    <w:rsid w:val="00531CEC"/>
    <w:rsid w:val="00532402"/>
    <w:rsid w:val="00532B48"/>
    <w:rsid w:val="00534005"/>
    <w:rsid w:val="005356A2"/>
    <w:rsid w:val="00535FBC"/>
    <w:rsid w:val="005365E3"/>
    <w:rsid w:val="005410CD"/>
    <w:rsid w:val="0054235E"/>
    <w:rsid w:val="00547219"/>
    <w:rsid w:val="00550C19"/>
    <w:rsid w:val="00552B8F"/>
    <w:rsid w:val="00556D9E"/>
    <w:rsid w:val="005572AB"/>
    <w:rsid w:val="0056144B"/>
    <w:rsid w:val="00562A0A"/>
    <w:rsid w:val="00564243"/>
    <w:rsid w:val="0056563A"/>
    <w:rsid w:val="00573E08"/>
    <w:rsid w:val="00574648"/>
    <w:rsid w:val="0057513A"/>
    <w:rsid w:val="00583BA8"/>
    <w:rsid w:val="00583D01"/>
    <w:rsid w:val="005846CF"/>
    <w:rsid w:val="005859A6"/>
    <w:rsid w:val="0059125D"/>
    <w:rsid w:val="005935D1"/>
    <w:rsid w:val="00595D7E"/>
    <w:rsid w:val="005A3143"/>
    <w:rsid w:val="005A3AB3"/>
    <w:rsid w:val="005A3FB6"/>
    <w:rsid w:val="005A4098"/>
    <w:rsid w:val="005A4E1A"/>
    <w:rsid w:val="005A5A78"/>
    <w:rsid w:val="005A6570"/>
    <w:rsid w:val="005B203B"/>
    <w:rsid w:val="005B3810"/>
    <w:rsid w:val="005B3EF7"/>
    <w:rsid w:val="005B5001"/>
    <w:rsid w:val="005B5C16"/>
    <w:rsid w:val="005B7091"/>
    <w:rsid w:val="005C08FE"/>
    <w:rsid w:val="005C1FC9"/>
    <w:rsid w:val="005C4E8D"/>
    <w:rsid w:val="005C5A1B"/>
    <w:rsid w:val="005D29D7"/>
    <w:rsid w:val="005D5DFF"/>
    <w:rsid w:val="005D6D9C"/>
    <w:rsid w:val="005D7E96"/>
    <w:rsid w:val="005E54A6"/>
    <w:rsid w:val="005E651E"/>
    <w:rsid w:val="005E7AC0"/>
    <w:rsid w:val="005F32BF"/>
    <w:rsid w:val="005F55E5"/>
    <w:rsid w:val="005F6400"/>
    <w:rsid w:val="00600DBD"/>
    <w:rsid w:val="00604954"/>
    <w:rsid w:val="006072F1"/>
    <w:rsid w:val="006130A6"/>
    <w:rsid w:val="006150A1"/>
    <w:rsid w:val="00622191"/>
    <w:rsid w:val="006240E7"/>
    <w:rsid w:val="00624EC2"/>
    <w:rsid w:val="00627034"/>
    <w:rsid w:val="0063171D"/>
    <w:rsid w:val="006327B6"/>
    <w:rsid w:val="00632E23"/>
    <w:rsid w:val="00633343"/>
    <w:rsid w:val="00635EFA"/>
    <w:rsid w:val="00641A51"/>
    <w:rsid w:val="00642665"/>
    <w:rsid w:val="00645535"/>
    <w:rsid w:val="0065437D"/>
    <w:rsid w:val="00654B56"/>
    <w:rsid w:val="006562F7"/>
    <w:rsid w:val="00656CC7"/>
    <w:rsid w:val="0066185D"/>
    <w:rsid w:val="0066363C"/>
    <w:rsid w:val="006657D1"/>
    <w:rsid w:val="00666BD6"/>
    <w:rsid w:val="0066772B"/>
    <w:rsid w:val="0067434B"/>
    <w:rsid w:val="006759BF"/>
    <w:rsid w:val="00676A71"/>
    <w:rsid w:val="00682321"/>
    <w:rsid w:val="006828AF"/>
    <w:rsid w:val="006836A2"/>
    <w:rsid w:val="00683B26"/>
    <w:rsid w:val="00685233"/>
    <w:rsid w:val="00685B04"/>
    <w:rsid w:val="00686D19"/>
    <w:rsid w:val="0069026C"/>
    <w:rsid w:val="006905C8"/>
    <w:rsid w:val="0069145A"/>
    <w:rsid w:val="00691DE2"/>
    <w:rsid w:val="00691E03"/>
    <w:rsid w:val="006928BC"/>
    <w:rsid w:val="00694A87"/>
    <w:rsid w:val="00695910"/>
    <w:rsid w:val="00696F5B"/>
    <w:rsid w:val="006A00AF"/>
    <w:rsid w:val="006A5392"/>
    <w:rsid w:val="006A67AF"/>
    <w:rsid w:val="006B0B70"/>
    <w:rsid w:val="006B10AA"/>
    <w:rsid w:val="006B2BF5"/>
    <w:rsid w:val="006B2C43"/>
    <w:rsid w:val="006B2F97"/>
    <w:rsid w:val="006B34E7"/>
    <w:rsid w:val="006B4CFC"/>
    <w:rsid w:val="006B4F02"/>
    <w:rsid w:val="006B68BD"/>
    <w:rsid w:val="006B7F34"/>
    <w:rsid w:val="006C1E78"/>
    <w:rsid w:val="006C7061"/>
    <w:rsid w:val="006C7CF0"/>
    <w:rsid w:val="006D021F"/>
    <w:rsid w:val="006D0F86"/>
    <w:rsid w:val="006D1ABF"/>
    <w:rsid w:val="006D3621"/>
    <w:rsid w:val="006D386B"/>
    <w:rsid w:val="006D4429"/>
    <w:rsid w:val="006D527A"/>
    <w:rsid w:val="006E02B8"/>
    <w:rsid w:val="006E19FF"/>
    <w:rsid w:val="006E29E7"/>
    <w:rsid w:val="006E45FD"/>
    <w:rsid w:val="006E4CEC"/>
    <w:rsid w:val="006E6B3E"/>
    <w:rsid w:val="006F4044"/>
    <w:rsid w:val="006F5AA8"/>
    <w:rsid w:val="00700AFC"/>
    <w:rsid w:val="00702A4B"/>
    <w:rsid w:val="00703813"/>
    <w:rsid w:val="00705DEF"/>
    <w:rsid w:val="00706755"/>
    <w:rsid w:val="00710133"/>
    <w:rsid w:val="00710897"/>
    <w:rsid w:val="00713EF8"/>
    <w:rsid w:val="00714606"/>
    <w:rsid w:val="00717230"/>
    <w:rsid w:val="007238C4"/>
    <w:rsid w:val="007313BE"/>
    <w:rsid w:val="007327F1"/>
    <w:rsid w:val="00733E58"/>
    <w:rsid w:val="007409D7"/>
    <w:rsid w:val="00741047"/>
    <w:rsid w:val="00741A4B"/>
    <w:rsid w:val="00744BFE"/>
    <w:rsid w:val="007479D6"/>
    <w:rsid w:val="007510F2"/>
    <w:rsid w:val="00763D18"/>
    <w:rsid w:val="007643BD"/>
    <w:rsid w:val="007650F8"/>
    <w:rsid w:val="0076720A"/>
    <w:rsid w:val="00767602"/>
    <w:rsid w:val="0077010D"/>
    <w:rsid w:val="00771D07"/>
    <w:rsid w:val="007732CB"/>
    <w:rsid w:val="00773DB6"/>
    <w:rsid w:val="00774EB3"/>
    <w:rsid w:val="00776EF3"/>
    <w:rsid w:val="00780295"/>
    <w:rsid w:val="007823D4"/>
    <w:rsid w:val="00783E97"/>
    <w:rsid w:val="00786A99"/>
    <w:rsid w:val="00787832"/>
    <w:rsid w:val="007912E0"/>
    <w:rsid w:val="00794174"/>
    <w:rsid w:val="007958E5"/>
    <w:rsid w:val="007A2F5B"/>
    <w:rsid w:val="007A4FCD"/>
    <w:rsid w:val="007A7768"/>
    <w:rsid w:val="007B0C7A"/>
    <w:rsid w:val="007B10D8"/>
    <w:rsid w:val="007B17AF"/>
    <w:rsid w:val="007B2D07"/>
    <w:rsid w:val="007B44E5"/>
    <w:rsid w:val="007B5032"/>
    <w:rsid w:val="007C50AF"/>
    <w:rsid w:val="007C5A1A"/>
    <w:rsid w:val="007D0655"/>
    <w:rsid w:val="007D1D57"/>
    <w:rsid w:val="007D20A3"/>
    <w:rsid w:val="007D2241"/>
    <w:rsid w:val="007D6B38"/>
    <w:rsid w:val="007D762A"/>
    <w:rsid w:val="007E1958"/>
    <w:rsid w:val="007E238F"/>
    <w:rsid w:val="007E7D0B"/>
    <w:rsid w:val="007F026C"/>
    <w:rsid w:val="007F0278"/>
    <w:rsid w:val="007F03BE"/>
    <w:rsid w:val="007F44DE"/>
    <w:rsid w:val="007F46AC"/>
    <w:rsid w:val="007F50DE"/>
    <w:rsid w:val="00801A51"/>
    <w:rsid w:val="008028C3"/>
    <w:rsid w:val="00803CCB"/>
    <w:rsid w:val="00804A94"/>
    <w:rsid w:val="008058A4"/>
    <w:rsid w:val="0080740B"/>
    <w:rsid w:val="00810D36"/>
    <w:rsid w:val="00811393"/>
    <w:rsid w:val="0082312C"/>
    <w:rsid w:val="008254F4"/>
    <w:rsid w:val="00825C4E"/>
    <w:rsid w:val="00830A28"/>
    <w:rsid w:val="0083332E"/>
    <w:rsid w:val="00835E9A"/>
    <w:rsid w:val="0084379F"/>
    <w:rsid w:val="0084486E"/>
    <w:rsid w:val="00845FD8"/>
    <w:rsid w:val="00846ED2"/>
    <w:rsid w:val="008505D3"/>
    <w:rsid w:val="00856BBB"/>
    <w:rsid w:val="008575B8"/>
    <w:rsid w:val="0085794C"/>
    <w:rsid w:val="008603EF"/>
    <w:rsid w:val="008630F0"/>
    <w:rsid w:val="00864625"/>
    <w:rsid w:val="0086473A"/>
    <w:rsid w:val="00865338"/>
    <w:rsid w:val="00872298"/>
    <w:rsid w:val="00873C00"/>
    <w:rsid w:val="008740F8"/>
    <w:rsid w:val="00877CAB"/>
    <w:rsid w:val="00883018"/>
    <w:rsid w:val="00887DE5"/>
    <w:rsid w:val="00892027"/>
    <w:rsid w:val="00893394"/>
    <w:rsid w:val="008A020F"/>
    <w:rsid w:val="008A0DD0"/>
    <w:rsid w:val="008A4171"/>
    <w:rsid w:val="008A6569"/>
    <w:rsid w:val="008B36D7"/>
    <w:rsid w:val="008B3DDF"/>
    <w:rsid w:val="008B519F"/>
    <w:rsid w:val="008B52D5"/>
    <w:rsid w:val="008B5DD9"/>
    <w:rsid w:val="008B631A"/>
    <w:rsid w:val="008C0F42"/>
    <w:rsid w:val="008C346C"/>
    <w:rsid w:val="008D295A"/>
    <w:rsid w:val="008E181E"/>
    <w:rsid w:val="008E36CF"/>
    <w:rsid w:val="008E4F3D"/>
    <w:rsid w:val="008E5283"/>
    <w:rsid w:val="008E6D51"/>
    <w:rsid w:val="008F05D2"/>
    <w:rsid w:val="008F06B4"/>
    <w:rsid w:val="008F14EB"/>
    <w:rsid w:val="008F3937"/>
    <w:rsid w:val="008F5A01"/>
    <w:rsid w:val="008F7F7A"/>
    <w:rsid w:val="00901F1B"/>
    <w:rsid w:val="00903846"/>
    <w:rsid w:val="009049B6"/>
    <w:rsid w:val="00906685"/>
    <w:rsid w:val="00907A94"/>
    <w:rsid w:val="009132F1"/>
    <w:rsid w:val="00913951"/>
    <w:rsid w:val="00914EC8"/>
    <w:rsid w:val="00915551"/>
    <w:rsid w:val="00915D41"/>
    <w:rsid w:val="00916936"/>
    <w:rsid w:val="0092313B"/>
    <w:rsid w:val="00925C31"/>
    <w:rsid w:val="00933FB2"/>
    <w:rsid w:val="00934AA0"/>
    <w:rsid w:val="00940CDC"/>
    <w:rsid w:val="00941029"/>
    <w:rsid w:val="00942173"/>
    <w:rsid w:val="00946E58"/>
    <w:rsid w:val="00946ED7"/>
    <w:rsid w:val="009478CB"/>
    <w:rsid w:val="00947912"/>
    <w:rsid w:val="009634FA"/>
    <w:rsid w:val="00963A0E"/>
    <w:rsid w:val="00963F41"/>
    <w:rsid w:val="009658A9"/>
    <w:rsid w:val="00965A5E"/>
    <w:rsid w:val="009764C4"/>
    <w:rsid w:val="00977C2D"/>
    <w:rsid w:val="00983B6B"/>
    <w:rsid w:val="0098403E"/>
    <w:rsid w:val="009852A2"/>
    <w:rsid w:val="009855B6"/>
    <w:rsid w:val="009860C8"/>
    <w:rsid w:val="00992227"/>
    <w:rsid w:val="009A4E85"/>
    <w:rsid w:val="009A710A"/>
    <w:rsid w:val="009B2B4A"/>
    <w:rsid w:val="009B5010"/>
    <w:rsid w:val="009C0B49"/>
    <w:rsid w:val="009C1D77"/>
    <w:rsid w:val="009C31FA"/>
    <w:rsid w:val="009C4671"/>
    <w:rsid w:val="009C5F07"/>
    <w:rsid w:val="009C74D0"/>
    <w:rsid w:val="009C7909"/>
    <w:rsid w:val="009D650C"/>
    <w:rsid w:val="009D6963"/>
    <w:rsid w:val="009E13CB"/>
    <w:rsid w:val="009E4BA1"/>
    <w:rsid w:val="009E77E0"/>
    <w:rsid w:val="009F613F"/>
    <w:rsid w:val="00A00497"/>
    <w:rsid w:val="00A01490"/>
    <w:rsid w:val="00A02DC5"/>
    <w:rsid w:val="00A04741"/>
    <w:rsid w:val="00A10131"/>
    <w:rsid w:val="00A11C56"/>
    <w:rsid w:val="00A122FA"/>
    <w:rsid w:val="00A14AD2"/>
    <w:rsid w:val="00A161D9"/>
    <w:rsid w:val="00A23608"/>
    <w:rsid w:val="00A31DCA"/>
    <w:rsid w:val="00A32809"/>
    <w:rsid w:val="00A353A2"/>
    <w:rsid w:val="00A359D9"/>
    <w:rsid w:val="00A40A61"/>
    <w:rsid w:val="00A41559"/>
    <w:rsid w:val="00A41950"/>
    <w:rsid w:val="00A43194"/>
    <w:rsid w:val="00A44DC1"/>
    <w:rsid w:val="00A46CDF"/>
    <w:rsid w:val="00A51EBE"/>
    <w:rsid w:val="00A551AC"/>
    <w:rsid w:val="00A553F3"/>
    <w:rsid w:val="00A6003A"/>
    <w:rsid w:val="00A61981"/>
    <w:rsid w:val="00A629F8"/>
    <w:rsid w:val="00A65CB5"/>
    <w:rsid w:val="00A6667F"/>
    <w:rsid w:val="00A7047A"/>
    <w:rsid w:val="00A73015"/>
    <w:rsid w:val="00A80E8C"/>
    <w:rsid w:val="00A819B4"/>
    <w:rsid w:val="00A819B9"/>
    <w:rsid w:val="00A85AAC"/>
    <w:rsid w:val="00A96A92"/>
    <w:rsid w:val="00A9718C"/>
    <w:rsid w:val="00AB2619"/>
    <w:rsid w:val="00AB2863"/>
    <w:rsid w:val="00AB36A3"/>
    <w:rsid w:val="00AB3CEB"/>
    <w:rsid w:val="00AB400A"/>
    <w:rsid w:val="00AB5361"/>
    <w:rsid w:val="00AB5E8C"/>
    <w:rsid w:val="00AB5EFB"/>
    <w:rsid w:val="00AB6560"/>
    <w:rsid w:val="00AC24F6"/>
    <w:rsid w:val="00AC5594"/>
    <w:rsid w:val="00AD0545"/>
    <w:rsid w:val="00AD0C7C"/>
    <w:rsid w:val="00AD507F"/>
    <w:rsid w:val="00AD5653"/>
    <w:rsid w:val="00AD65FD"/>
    <w:rsid w:val="00AE2938"/>
    <w:rsid w:val="00AE3DA0"/>
    <w:rsid w:val="00AF0E8C"/>
    <w:rsid w:val="00AF137C"/>
    <w:rsid w:val="00AF152B"/>
    <w:rsid w:val="00AF39EE"/>
    <w:rsid w:val="00AF45A9"/>
    <w:rsid w:val="00AF5DC9"/>
    <w:rsid w:val="00AF73F2"/>
    <w:rsid w:val="00B01263"/>
    <w:rsid w:val="00B02FE6"/>
    <w:rsid w:val="00B063C5"/>
    <w:rsid w:val="00B10013"/>
    <w:rsid w:val="00B10351"/>
    <w:rsid w:val="00B1495C"/>
    <w:rsid w:val="00B16CDD"/>
    <w:rsid w:val="00B2002C"/>
    <w:rsid w:val="00B226A4"/>
    <w:rsid w:val="00B2395A"/>
    <w:rsid w:val="00B261B1"/>
    <w:rsid w:val="00B26E50"/>
    <w:rsid w:val="00B30498"/>
    <w:rsid w:val="00B30F76"/>
    <w:rsid w:val="00B33501"/>
    <w:rsid w:val="00B367EF"/>
    <w:rsid w:val="00B3753B"/>
    <w:rsid w:val="00B37F80"/>
    <w:rsid w:val="00B40B83"/>
    <w:rsid w:val="00B41158"/>
    <w:rsid w:val="00B413F3"/>
    <w:rsid w:val="00B4323B"/>
    <w:rsid w:val="00B46763"/>
    <w:rsid w:val="00B4783C"/>
    <w:rsid w:val="00B50C6B"/>
    <w:rsid w:val="00B6513D"/>
    <w:rsid w:val="00B70BFD"/>
    <w:rsid w:val="00B72173"/>
    <w:rsid w:val="00B72AA4"/>
    <w:rsid w:val="00B72F89"/>
    <w:rsid w:val="00B74188"/>
    <w:rsid w:val="00B753F2"/>
    <w:rsid w:val="00B76C33"/>
    <w:rsid w:val="00B807C7"/>
    <w:rsid w:val="00B82C18"/>
    <w:rsid w:val="00B8415D"/>
    <w:rsid w:val="00B84A59"/>
    <w:rsid w:val="00B92C9F"/>
    <w:rsid w:val="00B94319"/>
    <w:rsid w:val="00BA160D"/>
    <w:rsid w:val="00BA2693"/>
    <w:rsid w:val="00BA390A"/>
    <w:rsid w:val="00BA4F22"/>
    <w:rsid w:val="00BA61A1"/>
    <w:rsid w:val="00BA74B2"/>
    <w:rsid w:val="00BA75C9"/>
    <w:rsid w:val="00BA765C"/>
    <w:rsid w:val="00BB2189"/>
    <w:rsid w:val="00BC0CC7"/>
    <w:rsid w:val="00BC30E7"/>
    <w:rsid w:val="00BC3E68"/>
    <w:rsid w:val="00BC68AC"/>
    <w:rsid w:val="00BD2270"/>
    <w:rsid w:val="00BD63F2"/>
    <w:rsid w:val="00BD744C"/>
    <w:rsid w:val="00BD74DA"/>
    <w:rsid w:val="00BE751F"/>
    <w:rsid w:val="00BF0DEC"/>
    <w:rsid w:val="00BF4F28"/>
    <w:rsid w:val="00C02036"/>
    <w:rsid w:val="00C0563D"/>
    <w:rsid w:val="00C056A3"/>
    <w:rsid w:val="00C13E45"/>
    <w:rsid w:val="00C13F03"/>
    <w:rsid w:val="00C14FFA"/>
    <w:rsid w:val="00C15073"/>
    <w:rsid w:val="00C17CDD"/>
    <w:rsid w:val="00C25348"/>
    <w:rsid w:val="00C26FE0"/>
    <w:rsid w:val="00C31709"/>
    <w:rsid w:val="00C34222"/>
    <w:rsid w:val="00C34763"/>
    <w:rsid w:val="00C34EE9"/>
    <w:rsid w:val="00C36142"/>
    <w:rsid w:val="00C36A87"/>
    <w:rsid w:val="00C370CE"/>
    <w:rsid w:val="00C37F76"/>
    <w:rsid w:val="00C444EB"/>
    <w:rsid w:val="00C5065E"/>
    <w:rsid w:val="00C5068B"/>
    <w:rsid w:val="00C51CFC"/>
    <w:rsid w:val="00C5256C"/>
    <w:rsid w:val="00C53AD1"/>
    <w:rsid w:val="00C53B43"/>
    <w:rsid w:val="00C63EC4"/>
    <w:rsid w:val="00C666C9"/>
    <w:rsid w:val="00C75BAC"/>
    <w:rsid w:val="00C77AE8"/>
    <w:rsid w:val="00C810A4"/>
    <w:rsid w:val="00C81C29"/>
    <w:rsid w:val="00C83CA6"/>
    <w:rsid w:val="00C9473E"/>
    <w:rsid w:val="00C95F86"/>
    <w:rsid w:val="00CA4146"/>
    <w:rsid w:val="00CA5379"/>
    <w:rsid w:val="00CA566B"/>
    <w:rsid w:val="00CA7951"/>
    <w:rsid w:val="00CB058D"/>
    <w:rsid w:val="00CB0BDC"/>
    <w:rsid w:val="00CB2C47"/>
    <w:rsid w:val="00CB41A6"/>
    <w:rsid w:val="00CC1A9A"/>
    <w:rsid w:val="00CC7EF2"/>
    <w:rsid w:val="00CD1582"/>
    <w:rsid w:val="00CD28A4"/>
    <w:rsid w:val="00CD37EB"/>
    <w:rsid w:val="00CD4059"/>
    <w:rsid w:val="00CD4126"/>
    <w:rsid w:val="00CD442F"/>
    <w:rsid w:val="00CD5745"/>
    <w:rsid w:val="00CD59FD"/>
    <w:rsid w:val="00CD7FD3"/>
    <w:rsid w:val="00CF0CE9"/>
    <w:rsid w:val="00CF1B54"/>
    <w:rsid w:val="00CF23AF"/>
    <w:rsid w:val="00CF4B19"/>
    <w:rsid w:val="00CF5763"/>
    <w:rsid w:val="00D00311"/>
    <w:rsid w:val="00D016C5"/>
    <w:rsid w:val="00D11636"/>
    <w:rsid w:val="00D21550"/>
    <w:rsid w:val="00D26AC0"/>
    <w:rsid w:val="00D31548"/>
    <w:rsid w:val="00D3258F"/>
    <w:rsid w:val="00D328E2"/>
    <w:rsid w:val="00D441EA"/>
    <w:rsid w:val="00D44498"/>
    <w:rsid w:val="00D45A22"/>
    <w:rsid w:val="00D47C5A"/>
    <w:rsid w:val="00D500CC"/>
    <w:rsid w:val="00D6099D"/>
    <w:rsid w:val="00D60CC7"/>
    <w:rsid w:val="00D674BB"/>
    <w:rsid w:val="00D67855"/>
    <w:rsid w:val="00D737D1"/>
    <w:rsid w:val="00D77754"/>
    <w:rsid w:val="00D77F19"/>
    <w:rsid w:val="00D814EC"/>
    <w:rsid w:val="00D8394A"/>
    <w:rsid w:val="00D859A2"/>
    <w:rsid w:val="00D875CD"/>
    <w:rsid w:val="00D90E1F"/>
    <w:rsid w:val="00D938DF"/>
    <w:rsid w:val="00D94176"/>
    <w:rsid w:val="00D9426E"/>
    <w:rsid w:val="00D9693D"/>
    <w:rsid w:val="00D96CE1"/>
    <w:rsid w:val="00D9756A"/>
    <w:rsid w:val="00D97703"/>
    <w:rsid w:val="00DA15E7"/>
    <w:rsid w:val="00DA3D95"/>
    <w:rsid w:val="00DB4DC8"/>
    <w:rsid w:val="00DB4F88"/>
    <w:rsid w:val="00DB7281"/>
    <w:rsid w:val="00DC0322"/>
    <w:rsid w:val="00DC2C68"/>
    <w:rsid w:val="00DC42E2"/>
    <w:rsid w:val="00DC4E73"/>
    <w:rsid w:val="00DD3D48"/>
    <w:rsid w:val="00DD48C1"/>
    <w:rsid w:val="00DE2680"/>
    <w:rsid w:val="00DE2DBB"/>
    <w:rsid w:val="00DE3069"/>
    <w:rsid w:val="00DE37E4"/>
    <w:rsid w:val="00DE516A"/>
    <w:rsid w:val="00DE6ADF"/>
    <w:rsid w:val="00DE7AA6"/>
    <w:rsid w:val="00DF1239"/>
    <w:rsid w:val="00DF1267"/>
    <w:rsid w:val="00DF1613"/>
    <w:rsid w:val="00DF29A4"/>
    <w:rsid w:val="00DF6E27"/>
    <w:rsid w:val="00DF7256"/>
    <w:rsid w:val="00E005EF"/>
    <w:rsid w:val="00E01760"/>
    <w:rsid w:val="00E02468"/>
    <w:rsid w:val="00E036D0"/>
    <w:rsid w:val="00E03775"/>
    <w:rsid w:val="00E048A7"/>
    <w:rsid w:val="00E04D4C"/>
    <w:rsid w:val="00E077A6"/>
    <w:rsid w:val="00E0797A"/>
    <w:rsid w:val="00E10BC4"/>
    <w:rsid w:val="00E122C3"/>
    <w:rsid w:val="00E130DE"/>
    <w:rsid w:val="00E1314E"/>
    <w:rsid w:val="00E16AE8"/>
    <w:rsid w:val="00E23192"/>
    <w:rsid w:val="00E2725F"/>
    <w:rsid w:val="00E277A8"/>
    <w:rsid w:val="00E328EB"/>
    <w:rsid w:val="00E33035"/>
    <w:rsid w:val="00E3362E"/>
    <w:rsid w:val="00E343F5"/>
    <w:rsid w:val="00E44784"/>
    <w:rsid w:val="00E4513A"/>
    <w:rsid w:val="00E47179"/>
    <w:rsid w:val="00E523A8"/>
    <w:rsid w:val="00E5598F"/>
    <w:rsid w:val="00E61039"/>
    <w:rsid w:val="00E614A3"/>
    <w:rsid w:val="00E65BB1"/>
    <w:rsid w:val="00E665BE"/>
    <w:rsid w:val="00E76418"/>
    <w:rsid w:val="00E83B62"/>
    <w:rsid w:val="00E8440D"/>
    <w:rsid w:val="00E9085A"/>
    <w:rsid w:val="00E912D1"/>
    <w:rsid w:val="00E91C72"/>
    <w:rsid w:val="00E93AFA"/>
    <w:rsid w:val="00E9427E"/>
    <w:rsid w:val="00E95158"/>
    <w:rsid w:val="00E9640E"/>
    <w:rsid w:val="00E97712"/>
    <w:rsid w:val="00EA0A17"/>
    <w:rsid w:val="00EA12D2"/>
    <w:rsid w:val="00EA62A1"/>
    <w:rsid w:val="00EA7200"/>
    <w:rsid w:val="00EB14D2"/>
    <w:rsid w:val="00EB5241"/>
    <w:rsid w:val="00EB5E45"/>
    <w:rsid w:val="00EC073C"/>
    <w:rsid w:val="00EC0791"/>
    <w:rsid w:val="00EC3740"/>
    <w:rsid w:val="00EC390E"/>
    <w:rsid w:val="00ED0921"/>
    <w:rsid w:val="00ED2724"/>
    <w:rsid w:val="00ED298B"/>
    <w:rsid w:val="00ED2EA7"/>
    <w:rsid w:val="00ED3217"/>
    <w:rsid w:val="00ED52A5"/>
    <w:rsid w:val="00ED6E75"/>
    <w:rsid w:val="00EE1E4B"/>
    <w:rsid w:val="00EE27B8"/>
    <w:rsid w:val="00EE4955"/>
    <w:rsid w:val="00EF1C26"/>
    <w:rsid w:val="00EF605C"/>
    <w:rsid w:val="00F03D62"/>
    <w:rsid w:val="00F0627D"/>
    <w:rsid w:val="00F10817"/>
    <w:rsid w:val="00F108E7"/>
    <w:rsid w:val="00F10F8D"/>
    <w:rsid w:val="00F120D7"/>
    <w:rsid w:val="00F12DAD"/>
    <w:rsid w:val="00F132E8"/>
    <w:rsid w:val="00F179A0"/>
    <w:rsid w:val="00F20224"/>
    <w:rsid w:val="00F20235"/>
    <w:rsid w:val="00F21C9E"/>
    <w:rsid w:val="00F22236"/>
    <w:rsid w:val="00F252C2"/>
    <w:rsid w:val="00F25E76"/>
    <w:rsid w:val="00F27943"/>
    <w:rsid w:val="00F27BCF"/>
    <w:rsid w:val="00F32037"/>
    <w:rsid w:val="00F35170"/>
    <w:rsid w:val="00F356CD"/>
    <w:rsid w:val="00F35AF2"/>
    <w:rsid w:val="00F44C9E"/>
    <w:rsid w:val="00F4746D"/>
    <w:rsid w:val="00F5170D"/>
    <w:rsid w:val="00F521F8"/>
    <w:rsid w:val="00F53661"/>
    <w:rsid w:val="00F5577F"/>
    <w:rsid w:val="00F626E9"/>
    <w:rsid w:val="00F641C4"/>
    <w:rsid w:val="00F6507B"/>
    <w:rsid w:val="00F660EC"/>
    <w:rsid w:val="00F706E3"/>
    <w:rsid w:val="00F72EAF"/>
    <w:rsid w:val="00F74612"/>
    <w:rsid w:val="00F76BAB"/>
    <w:rsid w:val="00F833B7"/>
    <w:rsid w:val="00F84131"/>
    <w:rsid w:val="00F90669"/>
    <w:rsid w:val="00F929E9"/>
    <w:rsid w:val="00FA1545"/>
    <w:rsid w:val="00FA6729"/>
    <w:rsid w:val="00FA67F3"/>
    <w:rsid w:val="00FB552E"/>
    <w:rsid w:val="00FB7E3E"/>
    <w:rsid w:val="00FB7F59"/>
    <w:rsid w:val="00FC12C2"/>
    <w:rsid w:val="00FC239A"/>
    <w:rsid w:val="00FC2848"/>
    <w:rsid w:val="00FC3C81"/>
    <w:rsid w:val="00FC44BA"/>
    <w:rsid w:val="00FC7B96"/>
    <w:rsid w:val="00FD023E"/>
    <w:rsid w:val="00FD07B4"/>
    <w:rsid w:val="00FD2C9A"/>
    <w:rsid w:val="00FE27F9"/>
    <w:rsid w:val="00FE5C3C"/>
    <w:rsid w:val="00FE6FF5"/>
    <w:rsid w:val="00FE746E"/>
    <w:rsid w:val="00FF3269"/>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character" w:styleId="Strong">
    <w:name w:val="Strong"/>
    <w:basedOn w:val="DefaultParagraphFont"/>
    <w:uiPriority w:val="22"/>
    <w:qFormat/>
    <w:rsid w:val="009852A2"/>
    <w:rPr>
      <w:b/>
      <w:bCs/>
    </w:rPr>
  </w:style>
  <w:style w:type="paragraph" w:styleId="TOC4">
    <w:name w:val="toc 4"/>
    <w:basedOn w:val="Normal"/>
    <w:next w:val="Normal"/>
    <w:autoRedefine/>
    <w:uiPriority w:val="39"/>
    <w:unhideWhenUsed/>
    <w:rsid w:val="00E3362E"/>
    <w:pPr>
      <w:spacing w:after="100"/>
      <w:ind w:left="660"/>
    </w:pPr>
    <w:rPr>
      <w:rFonts w:eastAsiaTheme="minorEastAsia"/>
      <w:lang w:val="en-GB" w:eastAsia="en-GB"/>
    </w:rPr>
  </w:style>
  <w:style w:type="paragraph" w:styleId="TOC5">
    <w:name w:val="toc 5"/>
    <w:basedOn w:val="Normal"/>
    <w:next w:val="Normal"/>
    <w:autoRedefine/>
    <w:uiPriority w:val="39"/>
    <w:unhideWhenUsed/>
    <w:rsid w:val="00E3362E"/>
    <w:pPr>
      <w:spacing w:after="100"/>
      <w:ind w:left="880"/>
    </w:pPr>
    <w:rPr>
      <w:rFonts w:eastAsiaTheme="minorEastAsia"/>
      <w:lang w:val="en-GB" w:eastAsia="en-GB"/>
    </w:rPr>
  </w:style>
  <w:style w:type="paragraph" w:styleId="TOC6">
    <w:name w:val="toc 6"/>
    <w:basedOn w:val="Normal"/>
    <w:next w:val="Normal"/>
    <w:autoRedefine/>
    <w:uiPriority w:val="39"/>
    <w:unhideWhenUsed/>
    <w:rsid w:val="00E3362E"/>
    <w:pPr>
      <w:spacing w:after="100"/>
      <w:ind w:left="1100"/>
    </w:pPr>
    <w:rPr>
      <w:rFonts w:eastAsiaTheme="minorEastAsia"/>
      <w:lang w:val="en-GB" w:eastAsia="en-GB"/>
    </w:rPr>
  </w:style>
  <w:style w:type="paragraph" w:styleId="TOC7">
    <w:name w:val="toc 7"/>
    <w:basedOn w:val="Normal"/>
    <w:next w:val="Normal"/>
    <w:autoRedefine/>
    <w:uiPriority w:val="39"/>
    <w:unhideWhenUsed/>
    <w:rsid w:val="00E3362E"/>
    <w:pPr>
      <w:spacing w:after="100"/>
      <w:ind w:left="1320"/>
    </w:pPr>
    <w:rPr>
      <w:rFonts w:eastAsiaTheme="minorEastAsia"/>
      <w:lang w:val="en-GB" w:eastAsia="en-GB"/>
    </w:rPr>
  </w:style>
  <w:style w:type="paragraph" w:styleId="TOC8">
    <w:name w:val="toc 8"/>
    <w:basedOn w:val="Normal"/>
    <w:next w:val="Normal"/>
    <w:autoRedefine/>
    <w:uiPriority w:val="39"/>
    <w:unhideWhenUsed/>
    <w:rsid w:val="00E3362E"/>
    <w:pPr>
      <w:spacing w:after="100"/>
      <w:ind w:left="1540"/>
    </w:pPr>
    <w:rPr>
      <w:rFonts w:eastAsiaTheme="minorEastAsia"/>
      <w:lang w:val="en-GB" w:eastAsia="en-GB"/>
    </w:rPr>
  </w:style>
  <w:style w:type="paragraph" w:styleId="TOC9">
    <w:name w:val="toc 9"/>
    <w:basedOn w:val="Normal"/>
    <w:next w:val="Normal"/>
    <w:autoRedefine/>
    <w:uiPriority w:val="39"/>
    <w:unhideWhenUsed/>
    <w:rsid w:val="00E3362E"/>
    <w:pPr>
      <w:spacing w:after="100"/>
      <w:ind w:left="1760"/>
    </w:pPr>
    <w:rPr>
      <w:rFonts w:eastAsiaTheme="minorEastAsia"/>
      <w:lang w:val="en-GB" w:eastAsia="en-GB"/>
    </w:rPr>
  </w:style>
  <w:style w:type="numbering" w:customStyle="1" w:styleId="NoList1">
    <w:name w:val="No List1"/>
    <w:next w:val="NoList"/>
    <w:uiPriority w:val="99"/>
    <w:semiHidden/>
    <w:unhideWhenUsed/>
    <w:rsid w:val="00206789"/>
  </w:style>
  <w:style w:type="paragraph" w:customStyle="1" w:styleId="msonormal0">
    <w:name w:val="msonormal"/>
    <w:basedOn w:val="Normal"/>
    <w:rsid w:val="0020678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067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67184">
      <w:bodyDiv w:val="1"/>
      <w:marLeft w:val="0"/>
      <w:marRight w:val="0"/>
      <w:marTop w:val="0"/>
      <w:marBottom w:val="0"/>
      <w:divBdr>
        <w:top w:val="none" w:sz="0" w:space="0" w:color="auto"/>
        <w:left w:val="none" w:sz="0" w:space="0" w:color="auto"/>
        <w:bottom w:val="none" w:sz="0" w:space="0" w:color="auto"/>
        <w:right w:val="none" w:sz="0" w:space="0" w:color="auto"/>
      </w:divBdr>
    </w:div>
    <w:div w:id="129833043">
      <w:bodyDiv w:val="1"/>
      <w:marLeft w:val="0"/>
      <w:marRight w:val="0"/>
      <w:marTop w:val="0"/>
      <w:marBottom w:val="0"/>
      <w:divBdr>
        <w:top w:val="none" w:sz="0" w:space="0" w:color="auto"/>
        <w:left w:val="none" w:sz="0" w:space="0" w:color="auto"/>
        <w:bottom w:val="none" w:sz="0" w:space="0" w:color="auto"/>
        <w:right w:val="none" w:sz="0" w:space="0" w:color="auto"/>
      </w:divBdr>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213737368">
      <w:bodyDiv w:val="1"/>
      <w:marLeft w:val="0"/>
      <w:marRight w:val="0"/>
      <w:marTop w:val="0"/>
      <w:marBottom w:val="0"/>
      <w:divBdr>
        <w:top w:val="none" w:sz="0" w:space="0" w:color="auto"/>
        <w:left w:val="none" w:sz="0" w:space="0" w:color="auto"/>
        <w:bottom w:val="none" w:sz="0" w:space="0" w:color="auto"/>
        <w:right w:val="none" w:sz="0" w:space="0" w:color="auto"/>
      </w:divBdr>
      <w:divsChild>
        <w:div w:id="94661934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507114">
          <w:marLeft w:val="0"/>
          <w:marRight w:val="0"/>
          <w:marTop w:val="0"/>
          <w:marBottom w:val="0"/>
          <w:divBdr>
            <w:top w:val="none" w:sz="0" w:space="0" w:color="auto"/>
            <w:left w:val="none" w:sz="0" w:space="0" w:color="auto"/>
            <w:bottom w:val="none" w:sz="0" w:space="0" w:color="auto"/>
            <w:right w:val="none" w:sz="0" w:space="0" w:color="auto"/>
          </w:divBdr>
          <w:divsChild>
            <w:div w:id="571818623">
              <w:marLeft w:val="0"/>
              <w:marRight w:val="0"/>
              <w:marTop w:val="0"/>
              <w:marBottom w:val="0"/>
              <w:divBdr>
                <w:top w:val="none" w:sz="0" w:space="0" w:color="auto"/>
                <w:left w:val="none" w:sz="0" w:space="0" w:color="auto"/>
                <w:bottom w:val="none" w:sz="0" w:space="0" w:color="auto"/>
                <w:right w:val="none" w:sz="0" w:space="0" w:color="auto"/>
              </w:divBdr>
            </w:div>
          </w:divsChild>
        </w:div>
        <w:div w:id="1273973249">
          <w:marLeft w:val="0"/>
          <w:marRight w:val="0"/>
          <w:marTop w:val="0"/>
          <w:marBottom w:val="0"/>
          <w:divBdr>
            <w:top w:val="none" w:sz="0" w:space="0" w:color="auto"/>
            <w:left w:val="none" w:sz="0" w:space="0" w:color="auto"/>
            <w:bottom w:val="none" w:sz="0" w:space="0" w:color="auto"/>
            <w:right w:val="none" w:sz="0" w:space="0" w:color="auto"/>
          </w:divBdr>
          <w:divsChild>
            <w:div w:id="505949045">
              <w:marLeft w:val="0"/>
              <w:marRight w:val="0"/>
              <w:marTop w:val="0"/>
              <w:marBottom w:val="0"/>
              <w:divBdr>
                <w:top w:val="none" w:sz="0" w:space="0" w:color="auto"/>
                <w:left w:val="none" w:sz="0" w:space="0" w:color="auto"/>
                <w:bottom w:val="none" w:sz="0" w:space="0" w:color="auto"/>
                <w:right w:val="none" w:sz="0" w:space="0" w:color="auto"/>
              </w:divBdr>
            </w:div>
          </w:divsChild>
        </w:div>
        <w:div w:id="617955730">
          <w:marLeft w:val="0"/>
          <w:marRight w:val="0"/>
          <w:marTop w:val="0"/>
          <w:marBottom w:val="0"/>
          <w:divBdr>
            <w:top w:val="none" w:sz="0" w:space="0" w:color="auto"/>
            <w:left w:val="none" w:sz="0" w:space="0" w:color="auto"/>
            <w:bottom w:val="none" w:sz="0" w:space="0" w:color="auto"/>
            <w:right w:val="none" w:sz="0" w:space="0" w:color="auto"/>
          </w:divBdr>
          <w:divsChild>
            <w:div w:id="7945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47611">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23107893">
      <w:bodyDiv w:val="1"/>
      <w:marLeft w:val="0"/>
      <w:marRight w:val="0"/>
      <w:marTop w:val="0"/>
      <w:marBottom w:val="0"/>
      <w:divBdr>
        <w:top w:val="none" w:sz="0" w:space="0" w:color="auto"/>
        <w:left w:val="none" w:sz="0" w:space="0" w:color="auto"/>
        <w:bottom w:val="none" w:sz="0" w:space="0" w:color="auto"/>
        <w:right w:val="none" w:sz="0" w:space="0" w:color="auto"/>
      </w:divBdr>
    </w:div>
    <w:div w:id="435101445">
      <w:bodyDiv w:val="1"/>
      <w:marLeft w:val="0"/>
      <w:marRight w:val="0"/>
      <w:marTop w:val="0"/>
      <w:marBottom w:val="0"/>
      <w:divBdr>
        <w:top w:val="none" w:sz="0" w:space="0" w:color="auto"/>
        <w:left w:val="none" w:sz="0" w:space="0" w:color="auto"/>
        <w:bottom w:val="none" w:sz="0" w:space="0" w:color="auto"/>
        <w:right w:val="none" w:sz="0" w:space="0" w:color="auto"/>
      </w:divBdr>
    </w:div>
    <w:div w:id="442502197">
      <w:bodyDiv w:val="1"/>
      <w:marLeft w:val="0"/>
      <w:marRight w:val="0"/>
      <w:marTop w:val="0"/>
      <w:marBottom w:val="0"/>
      <w:divBdr>
        <w:top w:val="none" w:sz="0" w:space="0" w:color="auto"/>
        <w:left w:val="none" w:sz="0" w:space="0" w:color="auto"/>
        <w:bottom w:val="none" w:sz="0" w:space="0" w:color="auto"/>
        <w:right w:val="none" w:sz="0" w:space="0" w:color="auto"/>
      </w:divBdr>
    </w:div>
    <w:div w:id="532310758">
      <w:bodyDiv w:val="1"/>
      <w:marLeft w:val="0"/>
      <w:marRight w:val="0"/>
      <w:marTop w:val="0"/>
      <w:marBottom w:val="0"/>
      <w:divBdr>
        <w:top w:val="none" w:sz="0" w:space="0" w:color="auto"/>
        <w:left w:val="none" w:sz="0" w:space="0" w:color="auto"/>
        <w:bottom w:val="none" w:sz="0" w:space="0" w:color="auto"/>
        <w:right w:val="none" w:sz="0" w:space="0" w:color="auto"/>
      </w:divBdr>
    </w:div>
    <w:div w:id="555624108">
      <w:bodyDiv w:val="1"/>
      <w:marLeft w:val="0"/>
      <w:marRight w:val="0"/>
      <w:marTop w:val="0"/>
      <w:marBottom w:val="0"/>
      <w:divBdr>
        <w:top w:val="none" w:sz="0" w:space="0" w:color="auto"/>
        <w:left w:val="none" w:sz="0" w:space="0" w:color="auto"/>
        <w:bottom w:val="none" w:sz="0" w:space="0" w:color="auto"/>
        <w:right w:val="none" w:sz="0" w:space="0" w:color="auto"/>
      </w:divBdr>
    </w:div>
    <w:div w:id="621963005">
      <w:bodyDiv w:val="1"/>
      <w:marLeft w:val="0"/>
      <w:marRight w:val="0"/>
      <w:marTop w:val="0"/>
      <w:marBottom w:val="0"/>
      <w:divBdr>
        <w:top w:val="none" w:sz="0" w:space="0" w:color="auto"/>
        <w:left w:val="none" w:sz="0" w:space="0" w:color="auto"/>
        <w:bottom w:val="none" w:sz="0" w:space="0" w:color="auto"/>
        <w:right w:val="none" w:sz="0" w:space="0" w:color="auto"/>
      </w:divBdr>
    </w:div>
    <w:div w:id="636374372">
      <w:bodyDiv w:val="1"/>
      <w:marLeft w:val="0"/>
      <w:marRight w:val="0"/>
      <w:marTop w:val="0"/>
      <w:marBottom w:val="0"/>
      <w:divBdr>
        <w:top w:val="none" w:sz="0" w:space="0" w:color="auto"/>
        <w:left w:val="none" w:sz="0" w:space="0" w:color="auto"/>
        <w:bottom w:val="none" w:sz="0" w:space="0" w:color="auto"/>
        <w:right w:val="none" w:sz="0" w:space="0" w:color="auto"/>
      </w:divBdr>
    </w:div>
    <w:div w:id="659314017">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684285268">
      <w:bodyDiv w:val="1"/>
      <w:marLeft w:val="0"/>
      <w:marRight w:val="0"/>
      <w:marTop w:val="0"/>
      <w:marBottom w:val="0"/>
      <w:divBdr>
        <w:top w:val="none" w:sz="0" w:space="0" w:color="auto"/>
        <w:left w:val="none" w:sz="0" w:space="0" w:color="auto"/>
        <w:bottom w:val="none" w:sz="0" w:space="0" w:color="auto"/>
        <w:right w:val="none" w:sz="0" w:space="0" w:color="auto"/>
      </w:divBdr>
    </w:div>
    <w:div w:id="691734889">
      <w:bodyDiv w:val="1"/>
      <w:marLeft w:val="0"/>
      <w:marRight w:val="0"/>
      <w:marTop w:val="0"/>
      <w:marBottom w:val="0"/>
      <w:divBdr>
        <w:top w:val="none" w:sz="0" w:space="0" w:color="auto"/>
        <w:left w:val="none" w:sz="0" w:space="0" w:color="auto"/>
        <w:bottom w:val="none" w:sz="0" w:space="0" w:color="auto"/>
        <w:right w:val="none" w:sz="0" w:space="0" w:color="auto"/>
      </w:divBdr>
    </w:div>
    <w:div w:id="768043543">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42352189">
      <w:bodyDiv w:val="1"/>
      <w:marLeft w:val="0"/>
      <w:marRight w:val="0"/>
      <w:marTop w:val="0"/>
      <w:marBottom w:val="0"/>
      <w:divBdr>
        <w:top w:val="none" w:sz="0" w:space="0" w:color="auto"/>
        <w:left w:val="none" w:sz="0" w:space="0" w:color="auto"/>
        <w:bottom w:val="none" w:sz="0" w:space="0" w:color="auto"/>
        <w:right w:val="none" w:sz="0" w:space="0" w:color="auto"/>
      </w:divBdr>
    </w:div>
    <w:div w:id="850534728">
      <w:bodyDiv w:val="1"/>
      <w:marLeft w:val="0"/>
      <w:marRight w:val="0"/>
      <w:marTop w:val="0"/>
      <w:marBottom w:val="0"/>
      <w:divBdr>
        <w:top w:val="none" w:sz="0" w:space="0" w:color="auto"/>
        <w:left w:val="none" w:sz="0" w:space="0" w:color="auto"/>
        <w:bottom w:val="none" w:sz="0" w:space="0" w:color="auto"/>
        <w:right w:val="none" w:sz="0" w:space="0" w:color="auto"/>
      </w:divBdr>
      <w:divsChild>
        <w:div w:id="1241211190">
          <w:marLeft w:val="0"/>
          <w:marRight w:val="0"/>
          <w:marTop w:val="0"/>
          <w:marBottom w:val="0"/>
          <w:divBdr>
            <w:top w:val="none" w:sz="0" w:space="0" w:color="auto"/>
            <w:left w:val="none" w:sz="0" w:space="0" w:color="auto"/>
            <w:bottom w:val="none" w:sz="0" w:space="0" w:color="auto"/>
            <w:right w:val="none" w:sz="0" w:space="0" w:color="auto"/>
          </w:divBdr>
          <w:divsChild>
            <w:div w:id="1875461624">
              <w:marLeft w:val="0"/>
              <w:marRight w:val="0"/>
              <w:marTop w:val="0"/>
              <w:marBottom w:val="0"/>
              <w:divBdr>
                <w:top w:val="none" w:sz="0" w:space="0" w:color="auto"/>
                <w:left w:val="none" w:sz="0" w:space="0" w:color="auto"/>
                <w:bottom w:val="none" w:sz="0" w:space="0" w:color="auto"/>
                <w:right w:val="none" w:sz="0" w:space="0" w:color="auto"/>
              </w:divBdr>
            </w:div>
          </w:divsChild>
        </w:div>
        <w:div w:id="1636523186">
          <w:marLeft w:val="0"/>
          <w:marRight w:val="0"/>
          <w:marTop w:val="0"/>
          <w:marBottom w:val="0"/>
          <w:divBdr>
            <w:top w:val="none" w:sz="0" w:space="0" w:color="auto"/>
            <w:left w:val="none" w:sz="0" w:space="0" w:color="auto"/>
            <w:bottom w:val="none" w:sz="0" w:space="0" w:color="auto"/>
            <w:right w:val="none" w:sz="0" w:space="0" w:color="auto"/>
          </w:divBdr>
          <w:divsChild>
            <w:div w:id="2030183856">
              <w:marLeft w:val="0"/>
              <w:marRight w:val="0"/>
              <w:marTop w:val="0"/>
              <w:marBottom w:val="0"/>
              <w:divBdr>
                <w:top w:val="none" w:sz="0" w:space="0" w:color="auto"/>
                <w:left w:val="none" w:sz="0" w:space="0" w:color="auto"/>
                <w:bottom w:val="none" w:sz="0" w:space="0" w:color="auto"/>
                <w:right w:val="none" w:sz="0" w:space="0" w:color="auto"/>
              </w:divBdr>
            </w:div>
          </w:divsChild>
        </w:div>
        <w:div w:id="1496728090">
          <w:marLeft w:val="0"/>
          <w:marRight w:val="0"/>
          <w:marTop w:val="0"/>
          <w:marBottom w:val="0"/>
          <w:divBdr>
            <w:top w:val="none" w:sz="0" w:space="0" w:color="auto"/>
            <w:left w:val="none" w:sz="0" w:space="0" w:color="auto"/>
            <w:bottom w:val="none" w:sz="0" w:space="0" w:color="auto"/>
            <w:right w:val="none" w:sz="0" w:space="0" w:color="auto"/>
          </w:divBdr>
          <w:divsChild>
            <w:div w:id="711927593">
              <w:marLeft w:val="0"/>
              <w:marRight w:val="0"/>
              <w:marTop w:val="0"/>
              <w:marBottom w:val="0"/>
              <w:divBdr>
                <w:top w:val="none" w:sz="0" w:space="0" w:color="auto"/>
                <w:left w:val="none" w:sz="0" w:space="0" w:color="auto"/>
                <w:bottom w:val="none" w:sz="0" w:space="0" w:color="auto"/>
                <w:right w:val="none" w:sz="0" w:space="0" w:color="auto"/>
              </w:divBdr>
            </w:div>
          </w:divsChild>
        </w:div>
        <w:div w:id="814299969">
          <w:marLeft w:val="0"/>
          <w:marRight w:val="0"/>
          <w:marTop w:val="0"/>
          <w:marBottom w:val="0"/>
          <w:divBdr>
            <w:top w:val="none" w:sz="0" w:space="0" w:color="auto"/>
            <w:left w:val="none" w:sz="0" w:space="0" w:color="auto"/>
            <w:bottom w:val="none" w:sz="0" w:space="0" w:color="auto"/>
            <w:right w:val="none" w:sz="0" w:space="0" w:color="auto"/>
          </w:divBdr>
          <w:divsChild>
            <w:div w:id="231086870">
              <w:marLeft w:val="0"/>
              <w:marRight w:val="0"/>
              <w:marTop w:val="0"/>
              <w:marBottom w:val="0"/>
              <w:divBdr>
                <w:top w:val="none" w:sz="0" w:space="0" w:color="auto"/>
                <w:left w:val="none" w:sz="0" w:space="0" w:color="auto"/>
                <w:bottom w:val="none" w:sz="0" w:space="0" w:color="auto"/>
                <w:right w:val="none" w:sz="0" w:space="0" w:color="auto"/>
              </w:divBdr>
            </w:div>
          </w:divsChild>
        </w:div>
        <w:div w:id="2007440259">
          <w:marLeft w:val="0"/>
          <w:marRight w:val="0"/>
          <w:marTop w:val="0"/>
          <w:marBottom w:val="0"/>
          <w:divBdr>
            <w:top w:val="none" w:sz="0" w:space="0" w:color="auto"/>
            <w:left w:val="none" w:sz="0" w:space="0" w:color="auto"/>
            <w:bottom w:val="none" w:sz="0" w:space="0" w:color="auto"/>
            <w:right w:val="none" w:sz="0" w:space="0" w:color="auto"/>
          </w:divBdr>
          <w:divsChild>
            <w:div w:id="1829200676">
              <w:marLeft w:val="0"/>
              <w:marRight w:val="0"/>
              <w:marTop w:val="0"/>
              <w:marBottom w:val="0"/>
              <w:divBdr>
                <w:top w:val="none" w:sz="0" w:space="0" w:color="auto"/>
                <w:left w:val="none" w:sz="0" w:space="0" w:color="auto"/>
                <w:bottom w:val="none" w:sz="0" w:space="0" w:color="auto"/>
                <w:right w:val="none" w:sz="0" w:space="0" w:color="auto"/>
              </w:divBdr>
            </w:div>
          </w:divsChild>
        </w:div>
        <w:div w:id="1115751687">
          <w:marLeft w:val="0"/>
          <w:marRight w:val="0"/>
          <w:marTop w:val="0"/>
          <w:marBottom w:val="0"/>
          <w:divBdr>
            <w:top w:val="none" w:sz="0" w:space="0" w:color="auto"/>
            <w:left w:val="none" w:sz="0" w:space="0" w:color="auto"/>
            <w:bottom w:val="none" w:sz="0" w:space="0" w:color="auto"/>
            <w:right w:val="none" w:sz="0" w:space="0" w:color="auto"/>
          </w:divBdr>
          <w:divsChild>
            <w:div w:id="37244415">
              <w:marLeft w:val="0"/>
              <w:marRight w:val="0"/>
              <w:marTop w:val="0"/>
              <w:marBottom w:val="0"/>
              <w:divBdr>
                <w:top w:val="none" w:sz="0" w:space="0" w:color="auto"/>
                <w:left w:val="none" w:sz="0" w:space="0" w:color="auto"/>
                <w:bottom w:val="none" w:sz="0" w:space="0" w:color="auto"/>
                <w:right w:val="none" w:sz="0" w:space="0" w:color="auto"/>
              </w:divBdr>
            </w:div>
          </w:divsChild>
        </w:div>
        <w:div w:id="2028289418">
          <w:marLeft w:val="0"/>
          <w:marRight w:val="0"/>
          <w:marTop w:val="0"/>
          <w:marBottom w:val="0"/>
          <w:divBdr>
            <w:top w:val="none" w:sz="0" w:space="0" w:color="auto"/>
            <w:left w:val="none" w:sz="0" w:space="0" w:color="auto"/>
            <w:bottom w:val="none" w:sz="0" w:space="0" w:color="auto"/>
            <w:right w:val="none" w:sz="0" w:space="0" w:color="auto"/>
          </w:divBdr>
          <w:divsChild>
            <w:div w:id="1503929620">
              <w:marLeft w:val="0"/>
              <w:marRight w:val="0"/>
              <w:marTop w:val="0"/>
              <w:marBottom w:val="0"/>
              <w:divBdr>
                <w:top w:val="none" w:sz="0" w:space="0" w:color="auto"/>
                <w:left w:val="none" w:sz="0" w:space="0" w:color="auto"/>
                <w:bottom w:val="none" w:sz="0" w:space="0" w:color="auto"/>
                <w:right w:val="none" w:sz="0" w:space="0" w:color="auto"/>
              </w:divBdr>
            </w:div>
          </w:divsChild>
        </w:div>
        <w:div w:id="1636716301">
          <w:marLeft w:val="0"/>
          <w:marRight w:val="0"/>
          <w:marTop w:val="0"/>
          <w:marBottom w:val="0"/>
          <w:divBdr>
            <w:top w:val="none" w:sz="0" w:space="0" w:color="auto"/>
            <w:left w:val="none" w:sz="0" w:space="0" w:color="auto"/>
            <w:bottom w:val="none" w:sz="0" w:space="0" w:color="auto"/>
            <w:right w:val="none" w:sz="0" w:space="0" w:color="auto"/>
          </w:divBdr>
          <w:divsChild>
            <w:div w:id="204683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6295">
      <w:bodyDiv w:val="1"/>
      <w:marLeft w:val="0"/>
      <w:marRight w:val="0"/>
      <w:marTop w:val="0"/>
      <w:marBottom w:val="0"/>
      <w:divBdr>
        <w:top w:val="none" w:sz="0" w:space="0" w:color="auto"/>
        <w:left w:val="none" w:sz="0" w:space="0" w:color="auto"/>
        <w:bottom w:val="none" w:sz="0" w:space="0" w:color="auto"/>
        <w:right w:val="none" w:sz="0" w:space="0" w:color="auto"/>
      </w:divBdr>
    </w:div>
    <w:div w:id="859003076">
      <w:bodyDiv w:val="1"/>
      <w:marLeft w:val="0"/>
      <w:marRight w:val="0"/>
      <w:marTop w:val="0"/>
      <w:marBottom w:val="0"/>
      <w:divBdr>
        <w:top w:val="none" w:sz="0" w:space="0" w:color="auto"/>
        <w:left w:val="none" w:sz="0" w:space="0" w:color="auto"/>
        <w:bottom w:val="none" w:sz="0" w:space="0" w:color="auto"/>
        <w:right w:val="none" w:sz="0" w:space="0" w:color="auto"/>
      </w:divBdr>
    </w:div>
    <w:div w:id="881330388">
      <w:bodyDiv w:val="1"/>
      <w:marLeft w:val="0"/>
      <w:marRight w:val="0"/>
      <w:marTop w:val="0"/>
      <w:marBottom w:val="0"/>
      <w:divBdr>
        <w:top w:val="none" w:sz="0" w:space="0" w:color="auto"/>
        <w:left w:val="none" w:sz="0" w:space="0" w:color="auto"/>
        <w:bottom w:val="none" w:sz="0" w:space="0" w:color="auto"/>
        <w:right w:val="none" w:sz="0" w:space="0" w:color="auto"/>
      </w:divBdr>
    </w:div>
    <w:div w:id="922488402">
      <w:bodyDiv w:val="1"/>
      <w:marLeft w:val="0"/>
      <w:marRight w:val="0"/>
      <w:marTop w:val="0"/>
      <w:marBottom w:val="0"/>
      <w:divBdr>
        <w:top w:val="none" w:sz="0" w:space="0" w:color="auto"/>
        <w:left w:val="none" w:sz="0" w:space="0" w:color="auto"/>
        <w:bottom w:val="none" w:sz="0" w:space="0" w:color="auto"/>
        <w:right w:val="none" w:sz="0" w:space="0" w:color="auto"/>
      </w:divBdr>
    </w:div>
    <w:div w:id="927931438">
      <w:bodyDiv w:val="1"/>
      <w:marLeft w:val="0"/>
      <w:marRight w:val="0"/>
      <w:marTop w:val="0"/>
      <w:marBottom w:val="0"/>
      <w:divBdr>
        <w:top w:val="none" w:sz="0" w:space="0" w:color="auto"/>
        <w:left w:val="none" w:sz="0" w:space="0" w:color="auto"/>
        <w:bottom w:val="none" w:sz="0" w:space="0" w:color="auto"/>
        <w:right w:val="none" w:sz="0" w:space="0" w:color="auto"/>
      </w:divBdr>
    </w:div>
    <w:div w:id="938563974">
      <w:bodyDiv w:val="1"/>
      <w:marLeft w:val="0"/>
      <w:marRight w:val="0"/>
      <w:marTop w:val="0"/>
      <w:marBottom w:val="0"/>
      <w:divBdr>
        <w:top w:val="none" w:sz="0" w:space="0" w:color="auto"/>
        <w:left w:val="none" w:sz="0" w:space="0" w:color="auto"/>
        <w:bottom w:val="none" w:sz="0" w:space="0" w:color="auto"/>
        <w:right w:val="none" w:sz="0" w:space="0" w:color="auto"/>
      </w:divBdr>
    </w:div>
    <w:div w:id="971834379">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978077235">
      <w:bodyDiv w:val="1"/>
      <w:marLeft w:val="0"/>
      <w:marRight w:val="0"/>
      <w:marTop w:val="0"/>
      <w:marBottom w:val="0"/>
      <w:divBdr>
        <w:top w:val="none" w:sz="0" w:space="0" w:color="auto"/>
        <w:left w:val="none" w:sz="0" w:space="0" w:color="auto"/>
        <w:bottom w:val="none" w:sz="0" w:space="0" w:color="auto"/>
        <w:right w:val="none" w:sz="0" w:space="0" w:color="auto"/>
      </w:divBdr>
    </w:div>
    <w:div w:id="990014788">
      <w:bodyDiv w:val="1"/>
      <w:marLeft w:val="0"/>
      <w:marRight w:val="0"/>
      <w:marTop w:val="0"/>
      <w:marBottom w:val="0"/>
      <w:divBdr>
        <w:top w:val="none" w:sz="0" w:space="0" w:color="auto"/>
        <w:left w:val="none" w:sz="0" w:space="0" w:color="auto"/>
        <w:bottom w:val="none" w:sz="0" w:space="0" w:color="auto"/>
        <w:right w:val="none" w:sz="0" w:space="0" w:color="auto"/>
      </w:divBdr>
    </w:div>
    <w:div w:id="1007633229">
      <w:bodyDiv w:val="1"/>
      <w:marLeft w:val="0"/>
      <w:marRight w:val="0"/>
      <w:marTop w:val="0"/>
      <w:marBottom w:val="0"/>
      <w:divBdr>
        <w:top w:val="none" w:sz="0" w:space="0" w:color="auto"/>
        <w:left w:val="none" w:sz="0" w:space="0" w:color="auto"/>
        <w:bottom w:val="none" w:sz="0" w:space="0" w:color="auto"/>
        <w:right w:val="none" w:sz="0" w:space="0" w:color="auto"/>
      </w:divBdr>
      <w:divsChild>
        <w:div w:id="1501387209">
          <w:blockQuote w:val="1"/>
          <w:marLeft w:val="720"/>
          <w:marRight w:val="720"/>
          <w:marTop w:val="100"/>
          <w:marBottom w:val="100"/>
          <w:divBdr>
            <w:top w:val="none" w:sz="0" w:space="0" w:color="auto"/>
            <w:left w:val="none" w:sz="0" w:space="0" w:color="auto"/>
            <w:bottom w:val="none" w:sz="0" w:space="0" w:color="auto"/>
            <w:right w:val="none" w:sz="0" w:space="0" w:color="auto"/>
          </w:divBdr>
        </w:div>
        <w:div w:id="4603912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11518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985725">
          <w:blockQuote w:val="1"/>
          <w:marLeft w:val="720"/>
          <w:marRight w:val="720"/>
          <w:marTop w:val="100"/>
          <w:marBottom w:val="100"/>
          <w:divBdr>
            <w:top w:val="none" w:sz="0" w:space="0" w:color="auto"/>
            <w:left w:val="none" w:sz="0" w:space="0" w:color="auto"/>
            <w:bottom w:val="none" w:sz="0" w:space="0" w:color="auto"/>
            <w:right w:val="none" w:sz="0" w:space="0" w:color="auto"/>
          </w:divBdr>
        </w:div>
        <w:div w:id="442844122">
          <w:blockQuote w:val="1"/>
          <w:marLeft w:val="720"/>
          <w:marRight w:val="720"/>
          <w:marTop w:val="100"/>
          <w:marBottom w:val="100"/>
          <w:divBdr>
            <w:top w:val="none" w:sz="0" w:space="0" w:color="auto"/>
            <w:left w:val="none" w:sz="0" w:space="0" w:color="auto"/>
            <w:bottom w:val="none" w:sz="0" w:space="0" w:color="auto"/>
            <w:right w:val="none" w:sz="0" w:space="0" w:color="auto"/>
          </w:divBdr>
        </w:div>
        <w:div w:id="7609555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57372">
          <w:marLeft w:val="0"/>
          <w:marRight w:val="0"/>
          <w:marTop w:val="0"/>
          <w:marBottom w:val="0"/>
          <w:divBdr>
            <w:top w:val="none" w:sz="0" w:space="0" w:color="auto"/>
            <w:left w:val="none" w:sz="0" w:space="0" w:color="auto"/>
            <w:bottom w:val="none" w:sz="0" w:space="0" w:color="auto"/>
            <w:right w:val="none" w:sz="0" w:space="0" w:color="auto"/>
          </w:divBdr>
          <w:divsChild>
            <w:div w:id="1317690051">
              <w:marLeft w:val="0"/>
              <w:marRight w:val="0"/>
              <w:marTop w:val="0"/>
              <w:marBottom w:val="0"/>
              <w:divBdr>
                <w:top w:val="none" w:sz="0" w:space="0" w:color="auto"/>
                <w:left w:val="none" w:sz="0" w:space="0" w:color="auto"/>
                <w:bottom w:val="none" w:sz="0" w:space="0" w:color="auto"/>
                <w:right w:val="none" w:sz="0" w:space="0" w:color="auto"/>
              </w:divBdr>
            </w:div>
          </w:divsChild>
        </w:div>
        <w:div w:id="568612175">
          <w:marLeft w:val="0"/>
          <w:marRight w:val="0"/>
          <w:marTop w:val="0"/>
          <w:marBottom w:val="0"/>
          <w:divBdr>
            <w:top w:val="none" w:sz="0" w:space="0" w:color="auto"/>
            <w:left w:val="none" w:sz="0" w:space="0" w:color="auto"/>
            <w:bottom w:val="none" w:sz="0" w:space="0" w:color="auto"/>
            <w:right w:val="none" w:sz="0" w:space="0" w:color="auto"/>
          </w:divBdr>
          <w:divsChild>
            <w:div w:id="158337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32695">
      <w:bodyDiv w:val="1"/>
      <w:marLeft w:val="0"/>
      <w:marRight w:val="0"/>
      <w:marTop w:val="0"/>
      <w:marBottom w:val="0"/>
      <w:divBdr>
        <w:top w:val="none" w:sz="0" w:space="0" w:color="auto"/>
        <w:left w:val="none" w:sz="0" w:space="0" w:color="auto"/>
        <w:bottom w:val="none" w:sz="0" w:space="0" w:color="auto"/>
        <w:right w:val="none" w:sz="0" w:space="0" w:color="auto"/>
      </w:divBdr>
      <w:divsChild>
        <w:div w:id="1648053009">
          <w:marLeft w:val="0"/>
          <w:marRight w:val="0"/>
          <w:marTop w:val="0"/>
          <w:marBottom w:val="0"/>
          <w:divBdr>
            <w:top w:val="none" w:sz="0" w:space="0" w:color="auto"/>
            <w:left w:val="none" w:sz="0" w:space="0" w:color="auto"/>
            <w:bottom w:val="none" w:sz="0" w:space="0" w:color="auto"/>
            <w:right w:val="none" w:sz="0" w:space="0" w:color="auto"/>
          </w:divBdr>
          <w:divsChild>
            <w:div w:id="6213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27351">
      <w:bodyDiv w:val="1"/>
      <w:marLeft w:val="0"/>
      <w:marRight w:val="0"/>
      <w:marTop w:val="0"/>
      <w:marBottom w:val="0"/>
      <w:divBdr>
        <w:top w:val="none" w:sz="0" w:space="0" w:color="auto"/>
        <w:left w:val="none" w:sz="0" w:space="0" w:color="auto"/>
        <w:bottom w:val="none" w:sz="0" w:space="0" w:color="auto"/>
        <w:right w:val="none" w:sz="0" w:space="0" w:color="auto"/>
      </w:divBdr>
      <w:divsChild>
        <w:div w:id="276329364">
          <w:marLeft w:val="0"/>
          <w:marRight w:val="0"/>
          <w:marTop w:val="0"/>
          <w:marBottom w:val="0"/>
          <w:divBdr>
            <w:top w:val="none" w:sz="0" w:space="0" w:color="auto"/>
            <w:left w:val="none" w:sz="0" w:space="0" w:color="auto"/>
            <w:bottom w:val="none" w:sz="0" w:space="0" w:color="auto"/>
            <w:right w:val="none" w:sz="0" w:space="0" w:color="auto"/>
          </w:divBdr>
          <w:divsChild>
            <w:div w:id="644699756">
              <w:marLeft w:val="0"/>
              <w:marRight w:val="0"/>
              <w:marTop w:val="0"/>
              <w:marBottom w:val="0"/>
              <w:divBdr>
                <w:top w:val="none" w:sz="0" w:space="0" w:color="auto"/>
                <w:left w:val="none" w:sz="0" w:space="0" w:color="auto"/>
                <w:bottom w:val="none" w:sz="0" w:space="0" w:color="auto"/>
                <w:right w:val="none" w:sz="0" w:space="0" w:color="auto"/>
              </w:divBdr>
              <w:divsChild>
                <w:div w:id="1170682484">
                  <w:marLeft w:val="0"/>
                  <w:marRight w:val="0"/>
                  <w:marTop w:val="0"/>
                  <w:marBottom w:val="0"/>
                  <w:divBdr>
                    <w:top w:val="none" w:sz="0" w:space="0" w:color="auto"/>
                    <w:left w:val="none" w:sz="0" w:space="0" w:color="auto"/>
                    <w:bottom w:val="none" w:sz="0" w:space="0" w:color="auto"/>
                    <w:right w:val="none" w:sz="0" w:space="0" w:color="auto"/>
                  </w:divBdr>
                  <w:divsChild>
                    <w:div w:id="118452277">
                      <w:marLeft w:val="0"/>
                      <w:marRight w:val="0"/>
                      <w:marTop w:val="0"/>
                      <w:marBottom w:val="0"/>
                      <w:divBdr>
                        <w:top w:val="none" w:sz="0" w:space="0" w:color="auto"/>
                        <w:left w:val="none" w:sz="0" w:space="0" w:color="auto"/>
                        <w:bottom w:val="none" w:sz="0" w:space="0" w:color="auto"/>
                        <w:right w:val="none" w:sz="0" w:space="0" w:color="auto"/>
                      </w:divBdr>
                      <w:divsChild>
                        <w:div w:id="1908954582">
                          <w:marLeft w:val="0"/>
                          <w:marRight w:val="0"/>
                          <w:marTop w:val="0"/>
                          <w:marBottom w:val="0"/>
                          <w:divBdr>
                            <w:top w:val="none" w:sz="0" w:space="0" w:color="auto"/>
                            <w:left w:val="none" w:sz="0" w:space="0" w:color="auto"/>
                            <w:bottom w:val="none" w:sz="0" w:space="0" w:color="auto"/>
                            <w:right w:val="none" w:sz="0" w:space="0" w:color="auto"/>
                          </w:divBdr>
                          <w:divsChild>
                            <w:div w:id="1902790684">
                              <w:marLeft w:val="0"/>
                              <w:marRight w:val="0"/>
                              <w:marTop w:val="0"/>
                              <w:marBottom w:val="0"/>
                              <w:divBdr>
                                <w:top w:val="none" w:sz="0" w:space="0" w:color="auto"/>
                                <w:left w:val="none" w:sz="0" w:space="0" w:color="auto"/>
                                <w:bottom w:val="none" w:sz="0" w:space="0" w:color="auto"/>
                                <w:right w:val="none" w:sz="0" w:space="0" w:color="auto"/>
                              </w:divBdr>
                              <w:divsChild>
                                <w:div w:id="1436555879">
                                  <w:marLeft w:val="0"/>
                                  <w:marRight w:val="0"/>
                                  <w:marTop w:val="0"/>
                                  <w:marBottom w:val="0"/>
                                  <w:divBdr>
                                    <w:top w:val="none" w:sz="0" w:space="0" w:color="auto"/>
                                    <w:left w:val="none" w:sz="0" w:space="0" w:color="auto"/>
                                    <w:bottom w:val="none" w:sz="0" w:space="0" w:color="auto"/>
                                    <w:right w:val="none" w:sz="0" w:space="0" w:color="auto"/>
                                  </w:divBdr>
                                  <w:divsChild>
                                    <w:div w:id="160894035">
                                      <w:marLeft w:val="0"/>
                                      <w:marRight w:val="0"/>
                                      <w:marTop w:val="0"/>
                                      <w:marBottom w:val="0"/>
                                      <w:divBdr>
                                        <w:top w:val="none" w:sz="0" w:space="0" w:color="auto"/>
                                        <w:left w:val="none" w:sz="0" w:space="0" w:color="auto"/>
                                        <w:bottom w:val="none" w:sz="0" w:space="0" w:color="auto"/>
                                        <w:right w:val="none" w:sz="0" w:space="0" w:color="auto"/>
                                      </w:divBdr>
                                      <w:divsChild>
                                        <w:div w:id="363285983">
                                          <w:marLeft w:val="0"/>
                                          <w:marRight w:val="0"/>
                                          <w:marTop w:val="0"/>
                                          <w:marBottom w:val="0"/>
                                          <w:divBdr>
                                            <w:top w:val="none" w:sz="0" w:space="0" w:color="auto"/>
                                            <w:left w:val="none" w:sz="0" w:space="0" w:color="auto"/>
                                            <w:bottom w:val="none" w:sz="0" w:space="0" w:color="auto"/>
                                            <w:right w:val="none" w:sz="0" w:space="0" w:color="auto"/>
                                          </w:divBdr>
                                          <w:divsChild>
                                            <w:div w:id="991563314">
                                              <w:marLeft w:val="0"/>
                                              <w:marRight w:val="0"/>
                                              <w:marTop w:val="0"/>
                                              <w:marBottom w:val="0"/>
                                              <w:divBdr>
                                                <w:top w:val="none" w:sz="0" w:space="0" w:color="auto"/>
                                                <w:left w:val="none" w:sz="0" w:space="0" w:color="auto"/>
                                                <w:bottom w:val="none" w:sz="0" w:space="0" w:color="auto"/>
                                                <w:right w:val="none" w:sz="0" w:space="0" w:color="auto"/>
                                              </w:divBdr>
                                              <w:divsChild>
                                                <w:div w:id="2001545043">
                                                  <w:marLeft w:val="0"/>
                                                  <w:marRight w:val="0"/>
                                                  <w:marTop w:val="0"/>
                                                  <w:marBottom w:val="0"/>
                                                  <w:divBdr>
                                                    <w:top w:val="none" w:sz="0" w:space="0" w:color="auto"/>
                                                    <w:left w:val="none" w:sz="0" w:space="0" w:color="auto"/>
                                                    <w:bottom w:val="none" w:sz="0" w:space="0" w:color="auto"/>
                                                    <w:right w:val="none" w:sz="0" w:space="0" w:color="auto"/>
                                                  </w:divBdr>
                                                  <w:divsChild>
                                                    <w:div w:id="1964342901">
                                                      <w:marLeft w:val="0"/>
                                                      <w:marRight w:val="0"/>
                                                      <w:marTop w:val="0"/>
                                                      <w:marBottom w:val="0"/>
                                                      <w:divBdr>
                                                        <w:top w:val="none" w:sz="0" w:space="0" w:color="auto"/>
                                                        <w:left w:val="none" w:sz="0" w:space="0" w:color="auto"/>
                                                        <w:bottom w:val="none" w:sz="0" w:space="0" w:color="auto"/>
                                                        <w:right w:val="none" w:sz="0" w:space="0" w:color="auto"/>
                                                      </w:divBdr>
                                                      <w:divsChild>
                                                        <w:div w:id="12480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481926555">
      <w:bodyDiv w:val="1"/>
      <w:marLeft w:val="0"/>
      <w:marRight w:val="0"/>
      <w:marTop w:val="0"/>
      <w:marBottom w:val="0"/>
      <w:divBdr>
        <w:top w:val="none" w:sz="0" w:space="0" w:color="auto"/>
        <w:left w:val="none" w:sz="0" w:space="0" w:color="auto"/>
        <w:bottom w:val="none" w:sz="0" w:space="0" w:color="auto"/>
        <w:right w:val="none" w:sz="0" w:space="0" w:color="auto"/>
      </w:divBdr>
    </w:div>
    <w:div w:id="1530609863">
      <w:bodyDiv w:val="1"/>
      <w:marLeft w:val="0"/>
      <w:marRight w:val="0"/>
      <w:marTop w:val="0"/>
      <w:marBottom w:val="0"/>
      <w:divBdr>
        <w:top w:val="none" w:sz="0" w:space="0" w:color="auto"/>
        <w:left w:val="none" w:sz="0" w:space="0" w:color="auto"/>
        <w:bottom w:val="none" w:sz="0" w:space="0" w:color="auto"/>
        <w:right w:val="none" w:sz="0" w:space="0" w:color="auto"/>
      </w:divBdr>
      <w:divsChild>
        <w:div w:id="367336046">
          <w:marLeft w:val="0"/>
          <w:marRight w:val="0"/>
          <w:marTop w:val="0"/>
          <w:marBottom w:val="0"/>
          <w:divBdr>
            <w:top w:val="none" w:sz="0" w:space="0" w:color="auto"/>
            <w:left w:val="none" w:sz="0" w:space="0" w:color="auto"/>
            <w:bottom w:val="none" w:sz="0" w:space="0" w:color="auto"/>
            <w:right w:val="none" w:sz="0" w:space="0" w:color="auto"/>
          </w:divBdr>
          <w:divsChild>
            <w:div w:id="109860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72641">
      <w:bodyDiv w:val="1"/>
      <w:marLeft w:val="0"/>
      <w:marRight w:val="0"/>
      <w:marTop w:val="0"/>
      <w:marBottom w:val="0"/>
      <w:divBdr>
        <w:top w:val="none" w:sz="0" w:space="0" w:color="auto"/>
        <w:left w:val="none" w:sz="0" w:space="0" w:color="auto"/>
        <w:bottom w:val="none" w:sz="0" w:space="0" w:color="auto"/>
        <w:right w:val="none" w:sz="0" w:space="0" w:color="auto"/>
      </w:divBdr>
    </w:div>
    <w:div w:id="1545556198">
      <w:bodyDiv w:val="1"/>
      <w:marLeft w:val="0"/>
      <w:marRight w:val="0"/>
      <w:marTop w:val="0"/>
      <w:marBottom w:val="0"/>
      <w:divBdr>
        <w:top w:val="none" w:sz="0" w:space="0" w:color="auto"/>
        <w:left w:val="none" w:sz="0" w:space="0" w:color="auto"/>
        <w:bottom w:val="none" w:sz="0" w:space="0" w:color="auto"/>
        <w:right w:val="none" w:sz="0" w:space="0" w:color="auto"/>
      </w:divBdr>
    </w:div>
    <w:div w:id="1587347906">
      <w:bodyDiv w:val="1"/>
      <w:marLeft w:val="0"/>
      <w:marRight w:val="0"/>
      <w:marTop w:val="0"/>
      <w:marBottom w:val="0"/>
      <w:divBdr>
        <w:top w:val="none" w:sz="0" w:space="0" w:color="auto"/>
        <w:left w:val="none" w:sz="0" w:space="0" w:color="auto"/>
        <w:bottom w:val="none" w:sz="0" w:space="0" w:color="auto"/>
        <w:right w:val="none" w:sz="0" w:space="0" w:color="auto"/>
      </w:divBdr>
    </w:div>
    <w:div w:id="1720015228">
      <w:bodyDiv w:val="1"/>
      <w:marLeft w:val="0"/>
      <w:marRight w:val="0"/>
      <w:marTop w:val="0"/>
      <w:marBottom w:val="0"/>
      <w:divBdr>
        <w:top w:val="none" w:sz="0" w:space="0" w:color="auto"/>
        <w:left w:val="none" w:sz="0" w:space="0" w:color="auto"/>
        <w:bottom w:val="none" w:sz="0" w:space="0" w:color="auto"/>
        <w:right w:val="none" w:sz="0" w:space="0" w:color="auto"/>
      </w:divBdr>
    </w:div>
    <w:div w:id="1727144944">
      <w:bodyDiv w:val="1"/>
      <w:marLeft w:val="0"/>
      <w:marRight w:val="0"/>
      <w:marTop w:val="0"/>
      <w:marBottom w:val="0"/>
      <w:divBdr>
        <w:top w:val="none" w:sz="0" w:space="0" w:color="auto"/>
        <w:left w:val="none" w:sz="0" w:space="0" w:color="auto"/>
        <w:bottom w:val="none" w:sz="0" w:space="0" w:color="auto"/>
        <w:right w:val="none" w:sz="0" w:space="0" w:color="auto"/>
      </w:divBdr>
    </w:div>
    <w:div w:id="1824813523">
      <w:bodyDiv w:val="1"/>
      <w:marLeft w:val="0"/>
      <w:marRight w:val="0"/>
      <w:marTop w:val="0"/>
      <w:marBottom w:val="0"/>
      <w:divBdr>
        <w:top w:val="none" w:sz="0" w:space="0" w:color="auto"/>
        <w:left w:val="none" w:sz="0" w:space="0" w:color="auto"/>
        <w:bottom w:val="none" w:sz="0" w:space="0" w:color="auto"/>
        <w:right w:val="none" w:sz="0" w:space="0" w:color="auto"/>
      </w:divBdr>
    </w:div>
    <w:div w:id="1849248185">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1719">
      <w:bodyDiv w:val="1"/>
      <w:marLeft w:val="0"/>
      <w:marRight w:val="0"/>
      <w:marTop w:val="0"/>
      <w:marBottom w:val="0"/>
      <w:divBdr>
        <w:top w:val="none" w:sz="0" w:space="0" w:color="auto"/>
        <w:left w:val="none" w:sz="0" w:space="0" w:color="auto"/>
        <w:bottom w:val="none" w:sz="0" w:space="0" w:color="auto"/>
        <w:right w:val="none" w:sz="0" w:space="0" w:color="auto"/>
      </w:divBdr>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0647745">
      <w:bodyDiv w:val="1"/>
      <w:marLeft w:val="0"/>
      <w:marRight w:val="0"/>
      <w:marTop w:val="0"/>
      <w:marBottom w:val="0"/>
      <w:divBdr>
        <w:top w:val="none" w:sz="0" w:space="0" w:color="auto"/>
        <w:left w:val="none" w:sz="0" w:space="0" w:color="auto"/>
        <w:bottom w:val="none" w:sz="0" w:space="0" w:color="auto"/>
        <w:right w:val="none" w:sz="0" w:space="0" w:color="auto"/>
      </w:divBdr>
      <w:divsChild>
        <w:div w:id="1538160055">
          <w:marLeft w:val="0"/>
          <w:marRight w:val="0"/>
          <w:marTop w:val="0"/>
          <w:marBottom w:val="0"/>
          <w:divBdr>
            <w:top w:val="none" w:sz="0" w:space="0" w:color="auto"/>
            <w:left w:val="none" w:sz="0" w:space="0" w:color="auto"/>
            <w:bottom w:val="none" w:sz="0" w:space="0" w:color="auto"/>
            <w:right w:val="none" w:sz="0" w:space="0" w:color="auto"/>
          </w:divBdr>
          <w:divsChild>
            <w:div w:id="1344357233">
              <w:marLeft w:val="0"/>
              <w:marRight w:val="0"/>
              <w:marTop w:val="0"/>
              <w:marBottom w:val="0"/>
              <w:divBdr>
                <w:top w:val="none" w:sz="0" w:space="0" w:color="auto"/>
                <w:left w:val="none" w:sz="0" w:space="0" w:color="auto"/>
                <w:bottom w:val="none" w:sz="0" w:space="0" w:color="auto"/>
                <w:right w:val="none" w:sz="0" w:space="0" w:color="auto"/>
              </w:divBdr>
            </w:div>
          </w:divsChild>
        </w:div>
        <w:div w:id="128521330">
          <w:marLeft w:val="0"/>
          <w:marRight w:val="0"/>
          <w:marTop w:val="0"/>
          <w:marBottom w:val="0"/>
          <w:divBdr>
            <w:top w:val="none" w:sz="0" w:space="0" w:color="auto"/>
            <w:left w:val="none" w:sz="0" w:space="0" w:color="auto"/>
            <w:bottom w:val="none" w:sz="0" w:space="0" w:color="auto"/>
            <w:right w:val="none" w:sz="0" w:space="0" w:color="auto"/>
          </w:divBdr>
          <w:divsChild>
            <w:div w:id="19612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717488">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06930037">
      <w:bodyDiv w:val="1"/>
      <w:marLeft w:val="0"/>
      <w:marRight w:val="0"/>
      <w:marTop w:val="0"/>
      <w:marBottom w:val="0"/>
      <w:divBdr>
        <w:top w:val="none" w:sz="0" w:space="0" w:color="auto"/>
        <w:left w:val="none" w:sz="0" w:space="0" w:color="auto"/>
        <w:bottom w:val="none" w:sz="0" w:space="0" w:color="auto"/>
        <w:right w:val="none" w:sz="0" w:space="0" w:color="auto"/>
      </w:divBdr>
    </w:div>
    <w:div w:id="2049794254">
      <w:bodyDiv w:val="1"/>
      <w:marLeft w:val="0"/>
      <w:marRight w:val="0"/>
      <w:marTop w:val="0"/>
      <w:marBottom w:val="0"/>
      <w:divBdr>
        <w:top w:val="none" w:sz="0" w:space="0" w:color="auto"/>
        <w:left w:val="none" w:sz="0" w:space="0" w:color="auto"/>
        <w:bottom w:val="none" w:sz="0" w:space="0" w:color="auto"/>
        <w:right w:val="none" w:sz="0" w:space="0" w:color="auto"/>
      </w:divBdr>
    </w:div>
    <w:div w:id="2078286298">
      <w:bodyDiv w:val="1"/>
      <w:marLeft w:val="0"/>
      <w:marRight w:val="0"/>
      <w:marTop w:val="0"/>
      <w:marBottom w:val="0"/>
      <w:divBdr>
        <w:top w:val="none" w:sz="0" w:space="0" w:color="auto"/>
        <w:left w:val="none" w:sz="0" w:space="0" w:color="auto"/>
        <w:bottom w:val="none" w:sz="0" w:space="0" w:color="auto"/>
        <w:right w:val="none" w:sz="0" w:space="0" w:color="auto"/>
      </w:divBdr>
    </w:div>
    <w:div w:id="2078702434">
      <w:bodyDiv w:val="1"/>
      <w:marLeft w:val="0"/>
      <w:marRight w:val="0"/>
      <w:marTop w:val="0"/>
      <w:marBottom w:val="0"/>
      <w:divBdr>
        <w:top w:val="none" w:sz="0" w:space="0" w:color="auto"/>
        <w:left w:val="none" w:sz="0" w:space="0" w:color="auto"/>
        <w:bottom w:val="none" w:sz="0" w:space="0" w:color="auto"/>
        <w:right w:val="none" w:sz="0" w:space="0" w:color="auto"/>
      </w:divBdr>
    </w:div>
    <w:div w:id="2087067821">
      <w:bodyDiv w:val="1"/>
      <w:marLeft w:val="0"/>
      <w:marRight w:val="0"/>
      <w:marTop w:val="0"/>
      <w:marBottom w:val="0"/>
      <w:divBdr>
        <w:top w:val="none" w:sz="0" w:space="0" w:color="auto"/>
        <w:left w:val="none" w:sz="0" w:space="0" w:color="auto"/>
        <w:bottom w:val="none" w:sz="0" w:space="0" w:color="auto"/>
        <w:right w:val="none" w:sz="0" w:space="0" w:color="auto"/>
      </w:divBdr>
    </w:div>
    <w:div w:id="213991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14920639101700108" TargetMode="External" /><Relationship Id="rId117" Type="http://schemas.openxmlformats.org/officeDocument/2006/relationships/hyperlink" Target="https://doi.org/10.1177/1938965510368685" TargetMode="External" /><Relationship Id="rId21" Type="http://schemas.openxmlformats.org/officeDocument/2006/relationships/hyperlink" Target="https://doi.org/10.29145/jmr/71/070101" TargetMode="External" /><Relationship Id="rId42" Type="http://schemas.openxmlformats.org/officeDocument/2006/relationships/hyperlink" Target="https://www.cipd.org/uk/about/press-releases/new-focus-on-upskilling-needed-as-staff-turnover-and-vacancies-set-to-decline/" TargetMode="External" /><Relationship Id="rId47" Type="http://schemas.openxmlformats.org/officeDocument/2006/relationships/hyperlink" Target="https://doi.org/10.1016/j.ijhm.2024.103700" TargetMode="External" /><Relationship Id="rId63" Type="http://schemas.openxmlformats.org/officeDocument/2006/relationships/hyperlink" Target="https://doi.org/10.1016/j.ijhm.2016.02.003" TargetMode="External" /><Relationship Id="rId68" Type="http://schemas.openxmlformats.org/officeDocument/2006/relationships/hyperlink" Target="https://doi.org/10.2307/258742" TargetMode="External" /><Relationship Id="rId84" Type="http://schemas.openxmlformats.org/officeDocument/2006/relationships/hyperlink" Target="https://doi.org/10.1177/01492063211003137" TargetMode="External" /><Relationship Id="rId89" Type="http://schemas.openxmlformats.org/officeDocument/2006/relationships/hyperlink" Target="https://www.pearson.com/en-us/subject-catalog/p/organizational-behavior/P200000006196" TargetMode="External" /><Relationship Id="rId112" Type="http://schemas.openxmlformats.org/officeDocument/2006/relationships/hyperlink" Target="https://doi.org/10.1509/jmkr.39.1.110.18928" TargetMode="External" /><Relationship Id="rId133" Type="http://schemas.openxmlformats.org/officeDocument/2006/relationships/hyperlink" Target="https://doi.org/10.1016/j.ijhm.2014.05.001" TargetMode="External" /><Relationship Id="rId138" Type="http://schemas.openxmlformats.org/officeDocument/2006/relationships/theme" Target="theme/theme1.xml" /><Relationship Id="rId16" Type="http://schemas.openxmlformats.org/officeDocument/2006/relationships/hyperlink" Target="https://doi.org/10.1108/EJIM-11-2018-0257" TargetMode="External" /><Relationship Id="rId107" Type="http://schemas.openxmlformats.org/officeDocument/2006/relationships/hyperlink" Target="https://doi.org/10.1080/09585192.2012.679950" TargetMode="External" /><Relationship Id="rId11" Type="http://schemas.openxmlformats.org/officeDocument/2006/relationships/image" Target="media/image3.png" /><Relationship Id="rId32" Type="http://schemas.openxmlformats.org/officeDocument/2006/relationships/hyperlink" Target="https://doi.org/10.1016/j.annals.2016.04.003" TargetMode="External" /><Relationship Id="rId37" Type="http://schemas.openxmlformats.org/officeDocument/2006/relationships/hyperlink" Target="https://doi.org/10.1007/s11135-021-01182-y" TargetMode="External" /><Relationship Id="rId53" Type="http://schemas.openxmlformats.org/officeDocument/2006/relationships/hyperlink" Target="https://doi.org/10.25300/MISQ/2014/38.2.04" TargetMode="External" /><Relationship Id="rId58" Type="http://schemas.openxmlformats.org/officeDocument/2006/relationships/hyperlink" Target="https://doi.org/10.1111/1748-8583.12139" TargetMode="External" /><Relationship Id="rId74" Type="http://schemas.openxmlformats.org/officeDocument/2006/relationships/hyperlink" Target="https://doi.org/10.1037/h0054346" TargetMode="External" /><Relationship Id="rId79" Type="http://schemas.openxmlformats.org/officeDocument/2006/relationships/hyperlink" Target="https://www.ons.gov.uk/employmentandlabourmarket/peopleinwork/employmentandemployeetypes/bulletins/jobsandvacanciesintheuk" TargetMode="External" /><Relationship Id="rId102" Type="http://schemas.openxmlformats.org/officeDocument/2006/relationships/hyperlink" Target="https://doi.org/10.1177/014920630102700607" TargetMode="External" /><Relationship Id="rId123" Type="http://schemas.openxmlformats.org/officeDocument/2006/relationships/hyperlink" Target="https://doi.org/10.1016/j.ijhm.2016.10.001" TargetMode="External" /><Relationship Id="rId128" Type="http://schemas.openxmlformats.org/officeDocument/2006/relationships/hyperlink" Target="https://doi.org/10.14505/jemt.v9.6(30).07" TargetMode="External" /><Relationship Id="rId5" Type="http://schemas.openxmlformats.org/officeDocument/2006/relationships/webSettings" Target="webSettings.xml" /><Relationship Id="rId90" Type="http://schemas.openxmlformats.org/officeDocument/2006/relationships/hyperlink" Target="https://www.pearson.com/en-gb/subject-catalog/p/research-methods-for-business-students/P200000010080/9781292402727" TargetMode="External" /><Relationship Id="rId95" Type="http://schemas.openxmlformats.org/officeDocument/2006/relationships/hyperlink" Target="https://doi.org/10.5465/amj.2007.25525821" TargetMode="External" /><Relationship Id="rId14" Type="http://schemas.openxmlformats.org/officeDocument/2006/relationships/image" Target="media/image6.png" /><Relationship Id="rId22" Type="http://schemas.openxmlformats.org/officeDocument/2006/relationships/hyperlink" Target="https://doi.org/10.1108/03090560510601833" TargetMode="External" /><Relationship Id="rId27" Type="http://schemas.openxmlformats.org/officeDocument/2006/relationships/hyperlink" Target="https://doi.org/10.1177/0149206310391805" TargetMode="External" /><Relationship Id="rId30" Type="http://schemas.openxmlformats.org/officeDocument/2006/relationships/hyperlink" Target="https://doi.org/10.5465/amj.2011.64869411" TargetMode="External" /><Relationship Id="rId35" Type="http://schemas.openxmlformats.org/officeDocument/2006/relationships/hyperlink" Target="https://doi.org/10.1191/1478088706qp063oa" TargetMode="External" /><Relationship Id="rId43" Type="http://schemas.openxmlformats.org/officeDocument/2006/relationships/hyperlink" Target="https://www.cipd.org/en/knowledge/datahub/employee-turnover/" TargetMode="External" /><Relationship Id="rId48" Type="http://schemas.openxmlformats.org/officeDocument/2006/relationships/hyperlink" Target="https://doi.org/10.1016/S0278-4319(96)00032-0" TargetMode="External" /><Relationship Id="rId56" Type="http://schemas.openxmlformats.org/officeDocument/2006/relationships/hyperlink" Target="https://doi.org/10.1108/EUM0000000004784" TargetMode="External" /><Relationship Id="rId64" Type="http://schemas.openxmlformats.org/officeDocument/2006/relationships/hyperlink" Target="https://doi.org/10.1080/09585192.2013.816863" TargetMode="External" /><Relationship Id="rId69" Type="http://schemas.openxmlformats.org/officeDocument/2006/relationships/hyperlink" Target="https://doi.org/10.1016/j.ijhm.2017.12.004" TargetMode="External" /><Relationship Id="rId77" Type="http://schemas.openxmlformats.org/officeDocument/2006/relationships/hyperlink" Target="https://doi.org/10.1016/0001-8791(79)90072-1" TargetMode="External" /><Relationship Id="rId100" Type="http://schemas.openxmlformats.org/officeDocument/2006/relationships/hyperlink" Target="https://doi.org/10.1080/15378020.2020.1724850" TargetMode="External" /><Relationship Id="rId105" Type="http://schemas.openxmlformats.org/officeDocument/2006/relationships/hyperlink" Target="https://doi.org/10.1016/j.techsoc.2022.101977" TargetMode="External" /><Relationship Id="rId113" Type="http://schemas.openxmlformats.org/officeDocument/2006/relationships/hyperlink" Target="https://journal.library.du.ac.bd/index.php/JBA/article/view/2743" TargetMode="External" /><Relationship Id="rId118" Type="http://schemas.openxmlformats.org/officeDocument/2006/relationships/hyperlink" Target="https://doi.org/10.1037/apl0000103" TargetMode="External" /><Relationship Id="rId126" Type="http://schemas.openxmlformats.org/officeDocument/2006/relationships/hyperlink" Target="https://doi.org/10.1002/joe.22089" TargetMode="External" /><Relationship Id="rId134" Type="http://schemas.openxmlformats.org/officeDocument/2006/relationships/hyperlink" Target="https://doi.org/10.1016/j.ijhm.2024.103736" TargetMode="External" /><Relationship Id="rId8" Type="http://schemas.openxmlformats.org/officeDocument/2006/relationships/image" Target="media/image1.png" /><Relationship Id="rId51" Type="http://schemas.openxmlformats.org/officeDocument/2006/relationships/hyperlink" Target="https://doi.org/10.1037/0021-9010.71.3.500" TargetMode="External" /><Relationship Id="rId72" Type="http://schemas.openxmlformats.org/officeDocument/2006/relationships/hyperlink" Target="https://doi.org/10.1111/j.1748-8583.2007.00051.x" TargetMode="External" /><Relationship Id="rId80" Type="http://schemas.openxmlformats.org/officeDocument/2006/relationships/hyperlink" Target="https://doi.org/10.4337/9781800377943.00012" TargetMode="External" /><Relationship Id="rId85" Type="http://schemas.openxmlformats.org/officeDocument/2006/relationships/hyperlink" Target="https://doi.org/10.1037/0021-9010.88.5.879" TargetMode="External" /><Relationship Id="rId93" Type="http://schemas.openxmlformats.org/officeDocument/2006/relationships/hyperlink" Target="https://doi.org/10.1016/j.ijhm.2024.103706" TargetMode="External" /><Relationship Id="rId98" Type="http://schemas.openxmlformats.org/officeDocument/2006/relationships/hyperlink" Target="https://www.ukhospitality.org.uk/labour-market-stagnation-shows-need-to-incentivise-investment/" TargetMode="External" /><Relationship Id="rId121" Type="http://schemas.openxmlformats.org/officeDocument/2006/relationships/hyperlink" Target="https://doi.org/10.1016/j.ijhm.2020.102507" TargetMode="External" /><Relationship Id="rId3" Type="http://schemas.openxmlformats.org/officeDocument/2006/relationships/styles" Target="styles.xml" /><Relationship Id="rId12" Type="http://schemas.openxmlformats.org/officeDocument/2006/relationships/image" Target="media/image4.png" /><Relationship Id="rId17" Type="http://schemas.openxmlformats.org/officeDocument/2006/relationships/hyperlink" Target="https://doi.org/10.1108/CDI-04-2017-0064" TargetMode="External" /><Relationship Id="rId25" Type="http://schemas.openxmlformats.org/officeDocument/2006/relationships/hyperlink" Target="https://doi.org/10.1016/j.ijhm.2020.102850" TargetMode="External" /><Relationship Id="rId33" Type="http://schemas.openxmlformats.org/officeDocument/2006/relationships/hyperlink" Target="https://doi.org/10.1177/1094670507306683" TargetMode="External" /><Relationship Id="rId38" Type="http://schemas.openxmlformats.org/officeDocument/2006/relationships/hyperlink" Target="https://doi.org/10.1146/annurev-orgpsych-032414-111427" TargetMode="External" /><Relationship Id="rId46" Type="http://schemas.openxmlformats.org/officeDocument/2006/relationships/hyperlink" Target="https://doi.org/10.5465/annals.2015.0099" TargetMode="External" /><Relationship Id="rId59" Type="http://schemas.openxmlformats.org/officeDocument/2006/relationships/hyperlink" Target="https://www.simonandschuster.com/books/The-Service-Profit-Chain/James-L-Heskett/9780684832569" TargetMode="External" /><Relationship Id="rId67" Type="http://schemas.openxmlformats.org/officeDocument/2006/relationships/hyperlink" Target="https://www.pearson.com/en-gb/subject-catalog/p/marketing-management/P200000005903" TargetMode="External" /><Relationship Id="rId103" Type="http://schemas.openxmlformats.org/officeDocument/2006/relationships/hyperlink" Target="https://doi.org/10.1177/014920639201800205" TargetMode="External" /><Relationship Id="rId108" Type="http://schemas.openxmlformats.org/officeDocument/2006/relationships/hyperlink" Target="https://doi.org/10.1177/014920630302900107" TargetMode="External" /><Relationship Id="rId116" Type="http://schemas.openxmlformats.org/officeDocument/2006/relationships/hyperlink" Target="https://doi.org/10.1037/0021-9010.87.2.268" TargetMode="External" /><Relationship Id="rId124" Type="http://schemas.openxmlformats.org/officeDocument/2006/relationships/hyperlink" Target="https://doi.org/10.1016/j.ijhm.2019.102504" TargetMode="External" /><Relationship Id="rId129" Type="http://schemas.openxmlformats.org/officeDocument/2006/relationships/hyperlink" Target="https://doi.org/10.5465/amj.2007.25525821" TargetMode="External" /><Relationship Id="rId137" Type="http://schemas.openxmlformats.org/officeDocument/2006/relationships/fontTable" Target="fontTable.xml" /><Relationship Id="rId20" Type="http://schemas.openxmlformats.org/officeDocument/2006/relationships/hyperlink" Target="https://www.koganpage.com/product/armstrong-s-handbook-of-human-resource-management-practice-9781398606630" TargetMode="External" /><Relationship Id="rId41" Type="http://schemas.openxmlformats.org/officeDocument/2006/relationships/hyperlink" Target="https://www.cipd.org/uk/views-and-insights/thought-leadership/cipd-voice/benchmarking-employee-turnover/" TargetMode="External" /><Relationship Id="rId54" Type="http://schemas.openxmlformats.org/officeDocument/2006/relationships/hyperlink" Target="https://doi.org/10.1177/0149206320978799" TargetMode="External" /><Relationship Id="rId62" Type="http://schemas.openxmlformats.org/officeDocument/2006/relationships/hyperlink" Target="https://doi.org/10.1108/09596111311301642" TargetMode="External" /><Relationship Id="rId70" Type="http://schemas.openxmlformats.org/officeDocument/2006/relationships/hyperlink" Target="https://doi.org/10.2307/259035" TargetMode="External" /><Relationship Id="rId75" Type="http://schemas.openxmlformats.org/officeDocument/2006/relationships/hyperlink" Target="https://doi.org/10.1016/1053-4822(91)90011-Z" TargetMode="External" /><Relationship Id="rId83" Type="http://schemas.openxmlformats.org/officeDocument/2006/relationships/hyperlink" Target="https://doi.org/10.3390/su15108251" TargetMode="External" /><Relationship Id="rId88" Type="http://schemas.openxmlformats.org/officeDocument/2006/relationships/hyperlink" Target="https://hbr.org/1990/09/zero-defections-quality-comes-to-services" TargetMode="External" /><Relationship Id="rId91" Type="http://schemas.openxmlformats.org/officeDocument/2006/relationships/hyperlink" Target="https://doi.org/10.1177/0013164405282471" TargetMode="External" /><Relationship Id="rId96" Type="http://schemas.openxmlformats.org/officeDocument/2006/relationships/hyperlink" Target="https://doi.org/10.1111/j.1744-6570.1993.tb00874.x" TargetMode="External" /><Relationship Id="rId111" Type="http://schemas.openxmlformats.org/officeDocument/2006/relationships/hyperlink" Target="https://doi.org/10.1177/1094670513491637" TargetMode="External" /><Relationship Id="rId132" Type="http://schemas.openxmlformats.org/officeDocument/2006/relationships/hyperlink" Target="https://doi.org/10.1016/j.ijhm.2015.12.002"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yperlink" Target="https://doi.org/10.21511/ppm.21(1).2023.21" TargetMode="External" /><Relationship Id="rId23" Type="http://schemas.openxmlformats.org/officeDocument/2006/relationships/hyperlink" Target="https://doi.org/10.1177/0149206306293668" TargetMode="External" /><Relationship Id="rId28" Type="http://schemas.openxmlformats.org/officeDocument/2006/relationships/hyperlink" Target="https://hbr.org/2007/03/maximizing-your-return-on-people" TargetMode="External" /><Relationship Id="rId36" Type="http://schemas.openxmlformats.org/officeDocument/2006/relationships/hyperlink" Target="https://doi.org/10.1080/14780887.2020.1769238" TargetMode="External" /><Relationship Id="rId49" Type="http://schemas.openxmlformats.org/officeDocument/2006/relationships/hyperlink" Target="https://doi.org/10.1016/S0742-7301(01)20004-6" TargetMode="External" /><Relationship Id="rId57" Type="http://schemas.openxmlformats.org/officeDocument/2006/relationships/hyperlink" Target="https://doi.org/10.1080/095851997341630" TargetMode="External" /><Relationship Id="rId106" Type="http://schemas.openxmlformats.org/officeDocument/2006/relationships/hyperlink" Target="https://doi.org/10.6007/IJARBSS/v4-i5/844" TargetMode="External" /><Relationship Id="rId114" Type="http://schemas.openxmlformats.org/officeDocument/2006/relationships/hyperlink" Target="https://doi.org/10.1080/09585192.2019.1704821" TargetMode="External" /><Relationship Id="rId119" Type="http://schemas.openxmlformats.org/officeDocument/2006/relationships/hyperlink" Target="https://doi.org/10.5465/amj.2011.0088" TargetMode="External" /><Relationship Id="rId127" Type="http://schemas.openxmlformats.org/officeDocument/2006/relationships/hyperlink" Target="https://doi.org/10.1016/j.ijhm.2024.103736" TargetMode="External" /><Relationship Id="rId10" Type="http://schemas.openxmlformats.org/officeDocument/2006/relationships/image" Target="media/image2.png" /><Relationship Id="rId31" Type="http://schemas.openxmlformats.org/officeDocument/2006/relationships/hyperlink" Target="https://doi.org/10.14764/10.ASEAS-2015.2-5" TargetMode="External" /><Relationship Id="rId44" Type="http://schemas.openxmlformats.org/officeDocument/2006/relationships/hyperlink" Target="https://doi.org/10.1080/09585192.2019.1711442" TargetMode="External" /><Relationship Id="rId52" Type="http://schemas.openxmlformats.org/officeDocument/2006/relationships/hyperlink" Target="https://doi.org/10.1007/s10551-017-3666-0" TargetMode="External" /><Relationship Id="rId60" Type="http://schemas.openxmlformats.org/officeDocument/2006/relationships/hyperlink" Target="https://doi.org/10.2307/256741" TargetMode="External" /><Relationship Id="rId65" Type="http://schemas.openxmlformats.org/officeDocument/2006/relationships/hyperlink" Target="https://doi.org/10.1007/978-3-031-25984-5_207" TargetMode="External" /><Relationship Id="rId73" Type="http://schemas.openxmlformats.org/officeDocument/2006/relationships/hyperlink" Target="https://www.koganpage.com/product/human-resource-management-at-work-9781398601939" TargetMode="External" /><Relationship Id="rId78" Type="http://schemas.openxmlformats.org/officeDocument/2006/relationships/hyperlink" Target="https://www.ons.gov.uk/businessindustryandtrade/business/businessservices/bulletins/businessinsightsandimpactontheukeconomy/24october2024" TargetMode="External" /><Relationship Id="rId81" Type="http://schemas.openxmlformats.org/officeDocument/2006/relationships/hyperlink" Target="https://doi.org/10.1177/002224298504900403" TargetMode="External" /><Relationship Id="rId86" Type="http://schemas.openxmlformats.org/officeDocument/2006/relationships/hyperlink" Target="https://doi.org/10.1016/j.ijhm.2022.103264" TargetMode="External" /><Relationship Id="rId94" Type="http://schemas.openxmlformats.org/officeDocument/2006/relationships/hyperlink" Target="https://doi.org/10.4135/9781452231549" TargetMode="External" /><Relationship Id="rId99" Type="http://schemas.openxmlformats.org/officeDocument/2006/relationships/hyperlink" Target="https://www.ukhospitality.org.uk/insight/hospitality-workforce-strategy-one-year-on/" TargetMode="External" /><Relationship Id="rId101" Type="http://schemas.openxmlformats.org/officeDocument/2006/relationships/hyperlink" Target="https://doi.org/10.1108/IJCHM-07-2020-0650" TargetMode="External" /><Relationship Id="rId122" Type="http://schemas.openxmlformats.org/officeDocument/2006/relationships/hyperlink" Target="https://doi.org/10.1016/j.ijhm.2014.09.003" TargetMode="External" /><Relationship Id="rId130" Type="http://schemas.openxmlformats.org/officeDocument/2006/relationships/hyperlink" Target="https://www.worldscientific.com/worldscibooks/10.1142/y0024" TargetMode="External" /><Relationship Id="rId135" Type="http://schemas.openxmlformats.org/officeDocument/2006/relationships/header" Target="header1.xml" /><Relationship Id="rId4" Type="http://schemas.openxmlformats.org/officeDocument/2006/relationships/settings" Target="settings.xml" /><Relationship Id="rId9" Type="http://schemas.microsoft.com/office/2007/relationships/hdphoto" Target="media/hdphoto1.wdp" /><Relationship Id="rId13" Type="http://schemas.openxmlformats.org/officeDocument/2006/relationships/image" Target="media/image5.png" /><Relationship Id="rId18" Type="http://schemas.openxmlformats.org/officeDocument/2006/relationships/hyperlink" Target="https://doi.org/10.1016/j.jbusres.2020.12.048" TargetMode="External" /><Relationship Id="rId39" Type="http://schemas.openxmlformats.org/officeDocument/2006/relationships/hyperlink" Target="https://doi.org/10.1080/19388160.2021.1972068" TargetMode="External" /><Relationship Id="rId109" Type="http://schemas.openxmlformats.org/officeDocument/2006/relationships/hyperlink" Target="https://doi.org/10.1007/978-1-137-50781-3" TargetMode="External" /><Relationship Id="rId34" Type="http://schemas.openxmlformats.org/officeDocument/2006/relationships/hyperlink" Target="https://www.routledge.com/Human-Resource-Management-in-the-Hospitality-Industry-A-Guide-to-Best-Practice/Boella-Goss-Turner/p/book/9781138493238" TargetMode="External" /><Relationship Id="rId50" Type="http://schemas.openxmlformats.org/officeDocument/2006/relationships/hyperlink" Target="https://doi.org/10.1300/J369v10n04_04" TargetMode="External" /><Relationship Id="rId55" Type="http://schemas.openxmlformats.org/officeDocument/2006/relationships/hyperlink" Target="https://doi.org/10.5465/AMBPP.2021.11774abstract" TargetMode="External" /><Relationship Id="rId76" Type="http://schemas.openxmlformats.org/officeDocument/2006/relationships/hyperlink" Target="https://doi.org/10.1002/hrm.21848" TargetMode="External" /><Relationship Id="rId97" Type="http://schemas.openxmlformats.org/officeDocument/2006/relationships/hyperlink" Target="https://www.ukhospitality.org.uk/work/hospitality-workforce-strategy/" TargetMode="External" /><Relationship Id="rId104" Type="http://schemas.openxmlformats.org/officeDocument/2006/relationships/hyperlink" Target="https://doi.org/10.1108/EUM0000000006091" TargetMode="External" /><Relationship Id="rId120" Type="http://schemas.openxmlformats.org/officeDocument/2006/relationships/hyperlink" Target="https://doi.org/10.1016/j.ijhm.2006.01.006" TargetMode="External" /><Relationship Id="rId125" Type="http://schemas.openxmlformats.org/officeDocument/2006/relationships/hyperlink" Target="https://doi.org/10.36941/ajis-2022-0065" TargetMode="External" /><Relationship Id="rId7" Type="http://schemas.openxmlformats.org/officeDocument/2006/relationships/endnotes" Target="endnotes.xml" /><Relationship Id="rId71" Type="http://schemas.openxmlformats.org/officeDocument/2006/relationships/hyperlink" Target="https://doi.org/10.1037/0003-066X.57.9.705" TargetMode="External" /><Relationship Id="rId92" Type="http://schemas.openxmlformats.org/officeDocument/2006/relationships/hyperlink" Target="https://doi.org/10.1037/0021-9010.83.2.150" TargetMode="External" /><Relationship Id="rId2" Type="http://schemas.openxmlformats.org/officeDocument/2006/relationships/numbering" Target="numbering.xml" /><Relationship Id="rId29" Type="http://schemas.openxmlformats.org/officeDocument/2006/relationships/hyperlink" Target="https://doi.org/10.2307/3069383" TargetMode="External" /><Relationship Id="rId24" Type="http://schemas.openxmlformats.org/officeDocument/2006/relationships/hyperlink" Target="https://www.nber.org/books-and-chapters/human-capital-theoretical-and-empirical-analysis-special-reference-education-first-edition" TargetMode="External" /><Relationship Id="rId40" Type="http://schemas.openxmlformats.org/officeDocument/2006/relationships/hyperlink" Target="https://doi.org/10.1080/15332969.2021.1992560" TargetMode="External" /><Relationship Id="rId45" Type="http://schemas.openxmlformats.org/officeDocument/2006/relationships/hyperlink" Target="https://www.mheducation.com/highered/product/organizational-behavior-colquitt.html" TargetMode="External" /><Relationship Id="rId66" Type="http://schemas.openxmlformats.org/officeDocument/2006/relationships/hyperlink" Target="https://doi.org/10.1002/job.666" TargetMode="External" /><Relationship Id="rId87" Type="http://schemas.openxmlformats.org/officeDocument/2006/relationships/hyperlink" Target="https://doi.org/10.1108/EJMBE-09-2023-0288" TargetMode="External" /><Relationship Id="rId110" Type="http://schemas.openxmlformats.org/officeDocument/2006/relationships/hyperlink" Target="https://doi.org/10.1080/09585190903009885" TargetMode="External" /><Relationship Id="rId115" Type="http://schemas.openxmlformats.org/officeDocument/2006/relationships/hyperlink" Target="https://doi.org/10.1016/S0742-7301(01)20004-6" TargetMode="External" /><Relationship Id="rId131" Type="http://schemas.openxmlformats.org/officeDocument/2006/relationships/hyperlink" Target="https://www.mheducation.com/highered/product/services-marketing-integrating-customer-focus-across-firm-zeithaml.html" TargetMode="External" /><Relationship Id="rId136" Type="http://schemas.openxmlformats.org/officeDocument/2006/relationships/footer" Target="footer1.xml" /><Relationship Id="rId61" Type="http://schemas.openxmlformats.org/officeDocument/2006/relationships/hyperlink" Target="https://doi.org/10.5465/amj.2011.0088" TargetMode="External" /><Relationship Id="rId82" Type="http://schemas.openxmlformats.org/officeDocument/2006/relationships/hyperlink" Target="https://www.researchgate.net/publication/225083802_SERVQUAL_A_multiple-Item_Scale_for_measuring_consumer_perceptions_of_service_quality" TargetMode="External" /><Relationship Id="rId19" Type="http://schemas.openxmlformats.org/officeDocument/2006/relationships/hyperlink" Target="https://www.cornellpress.cornell.edu/book/9780801486086/manufacturing-advantag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A4815-9D46-4442-8081-F922C4727A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26121</Words>
  <Characters>148891</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Akter</dc:creator>
  <cp:keywords/>
  <dc:description/>
  <cp:lastModifiedBy>Sultana Akter</cp:lastModifiedBy>
  <cp:revision>2</cp:revision>
  <cp:lastPrinted>2025-09-29T07:23:00Z</cp:lastPrinted>
  <dcterms:created xsi:type="dcterms:W3CDTF">2026-09-22T12:11:00Z</dcterms:created>
  <dcterms:modified xsi:type="dcterms:W3CDTF">2026-09-22T12:11:00Z</dcterms:modified>
</cp:coreProperties>
</file>