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D31D9" w:rsidRPr="008E70CD" w:rsidRDefault="00DA074B" w:rsidP="008E70CD">
      <w:pPr>
        <w:spacing w:before="240" w:after="240"/>
        <w:jc w:val="center"/>
        <w:rPr>
          <w:b/>
          <w:sz w:val="40"/>
          <w:szCs w:val="40"/>
        </w:rPr>
      </w:pPr>
      <w:r w:rsidRPr="008E70CD">
        <w:rPr>
          <w:b/>
          <w:sz w:val="40"/>
          <w:szCs w:val="40"/>
        </w:rPr>
        <w:t>Community Engagement</w:t>
      </w:r>
    </w:p>
    <w:p w14:paraId="00000002" w14:textId="77777777" w:rsidR="005D31D9" w:rsidRDefault="00DA074B">
      <w:pPr>
        <w:spacing w:before="240" w:after="240"/>
      </w:pPr>
      <w:r>
        <w:t xml:space="preserve"> </w:t>
      </w:r>
    </w:p>
    <w:p w14:paraId="00000004" w14:textId="0C222716" w:rsidR="005D31D9" w:rsidRDefault="005D31D9">
      <w:pPr>
        <w:spacing w:before="240" w:after="240"/>
      </w:pPr>
    </w:p>
    <w:p w14:paraId="00000005" w14:textId="77777777" w:rsidR="005D31D9" w:rsidRDefault="00DA074B">
      <w:pPr>
        <w:spacing w:before="240" w:after="240"/>
      </w:pPr>
      <w:r>
        <w:t xml:space="preserve"> </w:t>
      </w:r>
    </w:p>
    <w:p w14:paraId="00000006" w14:textId="77777777" w:rsidR="005D31D9" w:rsidRDefault="00DA074B">
      <w:pPr>
        <w:spacing w:before="240" w:after="240"/>
      </w:pPr>
      <w:r>
        <w:t xml:space="preserve"> </w:t>
      </w:r>
    </w:p>
    <w:p w14:paraId="00000007" w14:textId="77777777" w:rsidR="005D31D9" w:rsidRDefault="00DA074B">
      <w:pPr>
        <w:spacing w:before="240" w:after="240"/>
      </w:pPr>
      <w:r>
        <w:t xml:space="preserve"> </w:t>
      </w:r>
    </w:p>
    <w:p w14:paraId="74117AF7" w14:textId="3A4BC9BA" w:rsidR="0053496D" w:rsidRDefault="00DA074B" w:rsidP="0053496D">
      <w:pPr>
        <w:spacing w:before="240" w:after="240"/>
        <w:rPr>
          <w:sz w:val="28"/>
          <w:szCs w:val="28"/>
        </w:rPr>
      </w:pPr>
      <w:r>
        <w:rPr>
          <w:sz w:val="28"/>
          <w:szCs w:val="28"/>
        </w:rPr>
        <w:t xml:space="preserve">Student </w:t>
      </w:r>
      <w:r w:rsidR="0053496D">
        <w:rPr>
          <w:sz w:val="28"/>
          <w:szCs w:val="28"/>
        </w:rPr>
        <w:t>Name: Florentina Fistoleanu</w:t>
      </w:r>
    </w:p>
    <w:p w14:paraId="0000000A" w14:textId="3A309F54" w:rsidR="005D31D9" w:rsidRDefault="00DA074B" w:rsidP="0053496D">
      <w:pPr>
        <w:spacing w:before="240" w:after="240"/>
        <w:rPr>
          <w:sz w:val="28"/>
          <w:szCs w:val="28"/>
        </w:rPr>
      </w:pPr>
      <w:r>
        <w:rPr>
          <w:sz w:val="28"/>
          <w:szCs w:val="28"/>
        </w:rPr>
        <w:t>Student ID:</w:t>
      </w:r>
      <w:r w:rsidR="0053496D">
        <w:rPr>
          <w:sz w:val="28"/>
          <w:szCs w:val="28"/>
        </w:rPr>
        <w:t xml:space="preserve"> 2115309</w:t>
      </w:r>
    </w:p>
    <w:p w14:paraId="0000000B" w14:textId="3DD6F7CA" w:rsidR="005D31D9" w:rsidRDefault="0053496D">
      <w:pPr>
        <w:spacing w:before="240" w:after="240"/>
        <w:rPr>
          <w:sz w:val="28"/>
          <w:szCs w:val="28"/>
        </w:rPr>
      </w:pPr>
      <w:r>
        <w:rPr>
          <w:sz w:val="28"/>
          <w:szCs w:val="28"/>
        </w:rPr>
        <w:t xml:space="preserve">Module name: Community </w:t>
      </w:r>
      <w:r w:rsidR="00DE427D">
        <w:rPr>
          <w:sz w:val="28"/>
          <w:szCs w:val="28"/>
        </w:rPr>
        <w:t>Engagement</w:t>
      </w:r>
    </w:p>
    <w:p w14:paraId="65D1B40A" w14:textId="354BF623" w:rsidR="0053496D" w:rsidRDefault="0053496D">
      <w:pPr>
        <w:spacing w:before="240" w:after="240"/>
        <w:rPr>
          <w:sz w:val="28"/>
          <w:szCs w:val="28"/>
        </w:rPr>
      </w:pPr>
      <w:r>
        <w:rPr>
          <w:sz w:val="28"/>
          <w:szCs w:val="28"/>
        </w:rPr>
        <w:t>Module ID: LCBB4002</w:t>
      </w:r>
    </w:p>
    <w:p w14:paraId="387EF1F0" w14:textId="072D0D9E" w:rsidR="0053496D" w:rsidRDefault="0053496D">
      <w:pPr>
        <w:spacing w:before="240" w:after="240"/>
      </w:pPr>
      <w:r>
        <w:rPr>
          <w:sz w:val="28"/>
          <w:szCs w:val="28"/>
        </w:rPr>
        <w:t xml:space="preserve">Module Coordinator/Lecturer: </w:t>
      </w:r>
      <w:proofErr w:type="spellStart"/>
      <w:r>
        <w:t>Faizu</w:t>
      </w:r>
      <w:proofErr w:type="spellEnd"/>
      <w:r>
        <w:t xml:space="preserve"> Edu </w:t>
      </w:r>
    </w:p>
    <w:p w14:paraId="66700F4F" w14:textId="45894A64" w:rsidR="0053496D" w:rsidRPr="00DE427D" w:rsidRDefault="00215065">
      <w:pPr>
        <w:spacing w:before="240" w:after="240"/>
        <w:rPr>
          <w:sz w:val="28"/>
          <w:szCs w:val="28"/>
        </w:rPr>
      </w:pPr>
      <w:r w:rsidRPr="00DE427D">
        <w:rPr>
          <w:sz w:val="28"/>
          <w:szCs w:val="28"/>
        </w:rPr>
        <w:t xml:space="preserve">Assignment </w:t>
      </w:r>
      <w:r w:rsidR="00DE427D" w:rsidRPr="00DE427D">
        <w:rPr>
          <w:sz w:val="28"/>
          <w:szCs w:val="28"/>
        </w:rPr>
        <w:t>Title:</w:t>
      </w:r>
      <w:r w:rsidRPr="00DE427D">
        <w:rPr>
          <w:sz w:val="28"/>
          <w:szCs w:val="28"/>
        </w:rPr>
        <w:t xml:space="preserve"> Assessment 1 Community Engagement</w:t>
      </w:r>
    </w:p>
    <w:p w14:paraId="02800A5E" w14:textId="154B5C9F" w:rsidR="0053496D" w:rsidRDefault="0053496D">
      <w:pPr>
        <w:spacing w:before="240" w:after="240"/>
        <w:rPr>
          <w:sz w:val="28"/>
          <w:szCs w:val="28"/>
        </w:rPr>
      </w:pPr>
      <w:r>
        <w:t xml:space="preserve">                                                          </w:t>
      </w:r>
    </w:p>
    <w:p w14:paraId="0000000C" w14:textId="77777777" w:rsidR="005D31D9" w:rsidRDefault="005D31D9"/>
    <w:p w14:paraId="0000000D" w14:textId="77777777" w:rsidR="005D31D9" w:rsidRDefault="005D31D9"/>
    <w:p w14:paraId="0000000E" w14:textId="77777777" w:rsidR="005D31D9" w:rsidRDefault="005D31D9"/>
    <w:p w14:paraId="0000000F" w14:textId="77777777" w:rsidR="005D31D9" w:rsidRDefault="00DA074B">
      <w:r>
        <w:br w:type="page"/>
      </w:r>
    </w:p>
    <w:p w14:paraId="00000010" w14:textId="77777777" w:rsidR="005D31D9" w:rsidRDefault="00DA074B">
      <w:pPr>
        <w:rPr>
          <w:b/>
          <w:sz w:val="28"/>
          <w:szCs w:val="28"/>
        </w:rPr>
      </w:pPr>
      <w:r>
        <w:rPr>
          <w:b/>
          <w:sz w:val="28"/>
          <w:szCs w:val="28"/>
        </w:rPr>
        <w:lastRenderedPageBreak/>
        <w:t>Table of Contents</w:t>
      </w:r>
    </w:p>
    <w:sdt>
      <w:sdtPr>
        <w:id w:val="937795887"/>
        <w:docPartObj>
          <w:docPartGallery w:val="Table of Contents"/>
          <w:docPartUnique/>
        </w:docPartObj>
      </w:sdtPr>
      <w:sdtEndPr/>
      <w:sdtContent>
        <w:p w14:paraId="00000011" w14:textId="437D5C3E" w:rsidR="005D31D9" w:rsidRDefault="00DA074B">
          <w:pPr>
            <w:tabs>
              <w:tab w:val="right" w:pos="9360"/>
            </w:tabs>
            <w:spacing w:before="80" w:line="240" w:lineRule="auto"/>
            <w:rPr>
              <w:noProof/>
              <w:color w:val="000000"/>
            </w:rPr>
          </w:pPr>
          <w:r>
            <w:fldChar w:fldCharType="begin"/>
          </w:r>
          <w:r>
            <w:instrText xml:space="preserve"> TOC \h \u \z </w:instrText>
          </w:r>
          <w:r>
            <w:fldChar w:fldCharType="separate"/>
          </w:r>
          <w:hyperlink w:anchor="_k6txpxxxjn26">
            <w:r>
              <w:rPr>
                <w:noProof/>
                <w:color w:val="000000"/>
              </w:rPr>
              <w:t>Introduction</w:t>
            </w:r>
          </w:hyperlink>
          <w:r>
            <w:rPr>
              <w:noProof/>
              <w:color w:val="000000"/>
            </w:rPr>
            <w:tab/>
          </w:r>
          <w:r>
            <w:rPr>
              <w:noProof/>
            </w:rPr>
            <w:fldChar w:fldCharType="begin"/>
          </w:r>
          <w:r>
            <w:rPr>
              <w:noProof/>
            </w:rPr>
            <w:instrText xml:space="preserve"> PAGEREF _k6txpxxxjn26 \h </w:instrText>
          </w:r>
          <w:r>
            <w:rPr>
              <w:noProof/>
            </w:rPr>
          </w:r>
          <w:r>
            <w:rPr>
              <w:noProof/>
            </w:rPr>
            <w:fldChar w:fldCharType="separate"/>
          </w:r>
          <w:r w:rsidR="00EB355C">
            <w:rPr>
              <w:noProof/>
            </w:rPr>
            <w:t>2</w:t>
          </w:r>
          <w:r>
            <w:rPr>
              <w:noProof/>
            </w:rPr>
            <w:fldChar w:fldCharType="end"/>
          </w:r>
        </w:p>
        <w:p w14:paraId="00000012" w14:textId="66CEF45F" w:rsidR="005D31D9" w:rsidRDefault="00576AAF">
          <w:pPr>
            <w:tabs>
              <w:tab w:val="right" w:pos="9360"/>
            </w:tabs>
            <w:spacing w:before="200" w:line="240" w:lineRule="auto"/>
            <w:rPr>
              <w:noProof/>
              <w:color w:val="000000"/>
            </w:rPr>
          </w:pPr>
          <w:hyperlink w:anchor="_seylgn2hhqw9">
            <w:r w:rsidR="00DA074B">
              <w:rPr>
                <w:noProof/>
                <w:color w:val="000000"/>
              </w:rPr>
              <w:t>Social Benefits of the British Heart Foundation</w:t>
            </w:r>
          </w:hyperlink>
          <w:r w:rsidR="00DA074B">
            <w:rPr>
              <w:noProof/>
              <w:color w:val="000000"/>
            </w:rPr>
            <w:tab/>
          </w:r>
          <w:r w:rsidR="00DA074B">
            <w:rPr>
              <w:noProof/>
            </w:rPr>
            <w:fldChar w:fldCharType="begin"/>
          </w:r>
          <w:r w:rsidR="00DA074B">
            <w:rPr>
              <w:noProof/>
            </w:rPr>
            <w:instrText xml:space="preserve"> PAGEREF _seylgn2hhqw9 \h </w:instrText>
          </w:r>
          <w:r w:rsidR="00DA074B">
            <w:rPr>
              <w:noProof/>
            </w:rPr>
          </w:r>
          <w:r w:rsidR="00DA074B">
            <w:rPr>
              <w:noProof/>
            </w:rPr>
            <w:fldChar w:fldCharType="separate"/>
          </w:r>
          <w:r w:rsidR="00EB355C">
            <w:rPr>
              <w:noProof/>
            </w:rPr>
            <w:t>2</w:t>
          </w:r>
          <w:r w:rsidR="00DA074B">
            <w:rPr>
              <w:noProof/>
            </w:rPr>
            <w:fldChar w:fldCharType="end"/>
          </w:r>
        </w:p>
        <w:p w14:paraId="00000013" w14:textId="0D8B1EAC" w:rsidR="005D31D9" w:rsidRDefault="00576AAF">
          <w:pPr>
            <w:tabs>
              <w:tab w:val="right" w:pos="9360"/>
            </w:tabs>
            <w:spacing w:before="200" w:line="240" w:lineRule="auto"/>
            <w:rPr>
              <w:noProof/>
              <w:color w:val="000000"/>
            </w:rPr>
          </w:pPr>
          <w:hyperlink w:anchor="_a1kbi04ih94p">
            <w:r w:rsidR="00DA074B">
              <w:rPr>
                <w:noProof/>
                <w:color w:val="000000"/>
              </w:rPr>
              <w:t>Cooperation with stakeholders</w:t>
            </w:r>
          </w:hyperlink>
          <w:r w:rsidR="00DA074B">
            <w:rPr>
              <w:noProof/>
              <w:color w:val="000000"/>
            </w:rPr>
            <w:tab/>
          </w:r>
          <w:r w:rsidR="00DA074B">
            <w:rPr>
              <w:noProof/>
            </w:rPr>
            <w:fldChar w:fldCharType="begin"/>
          </w:r>
          <w:r w:rsidR="00DA074B">
            <w:rPr>
              <w:noProof/>
            </w:rPr>
            <w:instrText xml:space="preserve"> PAGEREF _a1kbi04ih94p \h </w:instrText>
          </w:r>
          <w:r w:rsidR="00DA074B">
            <w:rPr>
              <w:noProof/>
            </w:rPr>
          </w:r>
          <w:r w:rsidR="00DA074B">
            <w:rPr>
              <w:noProof/>
            </w:rPr>
            <w:fldChar w:fldCharType="separate"/>
          </w:r>
          <w:r w:rsidR="00EB355C">
            <w:rPr>
              <w:noProof/>
            </w:rPr>
            <w:t>3</w:t>
          </w:r>
          <w:r w:rsidR="00DA074B">
            <w:rPr>
              <w:noProof/>
            </w:rPr>
            <w:fldChar w:fldCharType="end"/>
          </w:r>
        </w:p>
        <w:p w14:paraId="00000014" w14:textId="69E9565C" w:rsidR="005D31D9" w:rsidRDefault="00576AAF">
          <w:pPr>
            <w:tabs>
              <w:tab w:val="right" w:pos="9360"/>
            </w:tabs>
            <w:spacing w:before="200" w:line="240" w:lineRule="auto"/>
            <w:rPr>
              <w:noProof/>
              <w:color w:val="000000"/>
            </w:rPr>
          </w:pPr>
          <w:hyperlink w:anchor="_dm7bwte7b4xl">
            <w:r w:rsidR="00DA074B">
              <w:rPr>
                <w:noProof/>
                <w:color w:val="000000"/>
              </w:rPr>
              <w:t>Impact of Social Media</w:t>
            </w:r>
          </w:hyperlink>
          <w:r w:rsidR="00DA074B">
            <w:rPr>
              <w:noProof/>
              <w:color w:val="000000"/>
            </w:rPr>
            <w:tab/>
          </w:r>
          <w:r w:rsidR="00DA074B">
            <w:rPr>
              <w:noProof/>
            </w:rPr>
            <w:fldChar w:fldCharType="begin"/>
          </w:r>
          <w:r w:rsidR="00DA074B">
            <w:rPr>
              <w:noProof/>
            </w:rPr>
            <w:instrText xml:space="preserve"> PAGEREF _dm7bwte7b4xl \h </w:instrText>
          </w:r>
          <w:r w:rsidR="00DA074B">
            <w:rPr>
              <w:noProof/>
            </w:rPr>
          </w:r>
          <w:r w:rsidR="00DA074B">
            <w:rPr>
              <w:noProof/>
            </w:rPr>
            <w:fldChar w:fldCharType="separate"/>
          </w:r>
          <w:r w:rsidR="00EB355C">
            <w:rPr>
              <w:noProof/>
            </w:rPr>
            <w:t>4</w:t>
          </w:r>
          <w:r w:rsidR="00DA074B">
            <w:rPr>
              <w:noProof/>
            </w:rPr>
            <w:fldChar w:fldCharType="end"/>
          </w:r>
        </w:p>
        <w:p w14:paraId="00000015" w14:textId="046856CD" w:rsidR="005D31D9" w:rsidRDefault="00576AAF">
          <w:pPr>
            <w:tabs>
              <w:tab w:val="right" w:pos="9360"/>
            </w:tabs>
            <w:spacing w:before="200" w:line="240" w:lineRule="auto"/>
            <w:rPr>
              <w:noProof/>
              <w:color w:val="000000"/>
            </w:rPr>
          </w:pPr>
          <w:hyperlink w:anchor="_wu8r3majzwy4">
            <w:r w:rsidR="00DA074B">
              <w:rPr>
                <w:noProof/>
                <w:color w:val="000000"/>
              </w:rPr>
              <w:t>Socio-cultural Challenges and How to Handle Them</w:t>
            </w:r>
          </w:hyperlink>
          <w:r w:rsidR="00DA074B">
            <w:rPr>
              <w:noProof/>
              <w:color w:val="000000"/>
            </w:rPr>
            <w:tab/>
          </w:r>
          <w:r w:rsidR="00DA074B">
            <w:rPr>
              <w:noProof/>
            </w:rPr>
            <w:fldChar w:fldCharType="begin"/>
          </w:r>
          <w:r w:rsidR="00DA074B">
            <w:rPr>
              <w:noProof/>
            </w:rPr>
            <w:instrText xml:space="preserve"> PAGEREF _wu8r3majzwy4 \h </w:instrText>
          </w:r>
          <w:r w:rsidR="00DA074B">
            <w:rPr>
              <w:noProof/>
            </w:rPr>
          </w:r>
          <w:r w:rsidR="00DA074B">
            <w:rPr>
              <w:noProof/>
            </w:rPr>
            <w:fldChar w:fldCharType="separate"/>
          </w:r>
          <w:r w:rsidR="00EB355C">
            <w:rPr>
              <w:noProof/>
            </w:rPr>
            <w:t>5</w:t>
          </w:r>
          <w:r w:rsidR="00DA074B">
            <w:rPr>
              <w:noProof/>
            </w:rPr>
            <w:fldChar w:fldCharType="end"/>
          </w:r>
        </w:p>
        <w:p w14:paraId="00000016" w14:textId="133161BA" w:rsidR="005D31D9" w:rsidRDefault="00576AAF">
          <w:pPr>
            <w:tabs>
              <w:tab w:val="right" w:pos="9360"/>
            </w:tabs>
            <w:spacing w:before="200" w:line="240" w:lineRule="auto"/>
            <w:rPr>
              <w:noProof/>
              <w:color w:val="000000"/>
            </w:rPr>
          </w:pPr>
          <w:hyperlink w:anchor="_y0swnm3548cv">
            <w:r w:rsidR="00DA074B">
              <w:rPr>
                <w:noProof/>
                <w:color w:val="000000"/>
              </w:rPr>
              <w:t>The Implementation of a Forward-looking Strategy</w:t>
            </w:r>
          </w:hyperlink>
          <w:r w:rsidR="00DA074B">
            <w:rPr>
              <w:noProof/>
              <w:color w:val="000000"/>
            </w:rPr>
            <w:tab/>
          </w:r>
          <w:r w:rsidR="00DA074B">
            <w:rPr>
              <w:noProof/>
            </w:rPr>
            <w:fldChar w:fldCharType="begin"/>
          </w:r>
          <w:r w:rsidR="00DA074B">
            <w:rPr>
              <w:noProof/>
            </w:rPr>
            <w:instrText xml:space="preserve"> PAGEREF _y0swnm3548cv \h </w:instrText>
          </w:r>
          <w:r w:rsidR="00DA074B">
            <w:rPr>
              <w:noProof/>
            </w:rPr>
          </w:r>
          <w:r w:rsidR="00DA074B">
            <w:rPr>
              <w:noProof/>
            </w:rPr>
            <w:fldChar w:fldCharType="separate"/>
          </w:r>
          <w:r w:rsidR="00EB355C">
            <w:rPr>
              <w:noProof/>
            </w:rPr>
            <w:t>6</w:t>
          </w:r>
          <w:r w:rsidR="00DA074B">
            <w:rPr>
              <w:noProof/>
            </w:rPr>
            <w:fldChar w:fldCharType="end"/>
          </w:r>
        </w:p>
        <w:p w14:paraId="00000017" w14:textId="67A38421" w:rsidR="005D31D9" w:rsidRDefault="00576AAF">
          <w:pPr>
            <w:tabs>
              <w:tab w:val="right" w:pos="9360"/>
            </w:tabs>
            <w:spacing w:before="200" w:line="240" w:lineRule="auto"/>
            <w:rPr>
              <w:noProof/>
              <w:color w:val="000000"/>
            </w:rPr>
          </w:pPr>
          <w:hyperlink w:anchor="_o8omxysb94z0">
            <w:r w:rsidR="00DA074B">
              <w:rPr>
                <w:noProof/>
                <w:color w:val="000000"/>
              </w:rPr>
              <w:t>Conclusion</w:t>
            </w:r>
          </w:hyperlink>
          <w:r w:rsidR="00DA074B">
            <w:rPr>
              <w:noProof/>
              <w:color w:val="000000"/>
            </w:rPr>
            <w:tab/>
          </w:r>
          <w:r w:rsidR="00DA074B">
            <w:rPr>
              <w:noProof/>
            </w:rPr>
            <w:fldChar w:fldCharType="begin"/>
          </w:r>
          <w:r w:rsidR="00DA074B">
            <w:rPr>
              <w:noProof/>
            </w:rPr>
            <w:instrText xml:space="preserve"> PAGEREF _o8omxysb94z0 \h </w:instrText>
          </w:r>
          <w:r w:rsidR="00DA074B">
            <w:rPr>
              <w:noProof/>
            </w:rPr>
          </w:r>
          <w:r w:rsidR="00DA074B">
            <w:rPr>
              <w:noProof/>
            </w:rPr>
            <w:fldChar w:fldCharType="separate"/>
          </w:r>
          <w:r w:rsidR="00EB355C">
            <w:rPr>
              <w:noProof/>
            </w:rPr>
            <w:t>6</w:t>
          </w:r>
          <w:r w:rsidR="00DA074B">
            <w:rPr>
              <w:noProof/>
            </w:rPr>
            <w:fldChar w:fldCharType="end"/>
          </w:r>
        </w:p>
        <w:p w14:paraId="00000018" w14:textId="29AA2D88" w:rsidR="005D31D9" w:rsidRDefault="00576AAF">
          <w:pPr>
            <w:tabs>
              <w:tab w:val="right" w:pos="9360"/>
            </w:tabs>
            <w:spacing w:before="200" w:after="80" w:line="240" w:lineRule="auto"/>
          </w:pPr>
          <w:hyperlink w:anchor="_4g6t677va6ss">
            <w:r w:rsidR="00DA074B">
              <w:rPr>
                <w:noProof/>
              </w:rPr>
              <w:t>References</w:t>
            </w:r>
          </w:hyperlink>
          <w:r w:rsidR="00DA074B">
            <w:rPr>
              <w:noProof/>
            </w:rPr>
            <w:tab/>
          </w:r>
          <w:r w:rsidR="00DA074B">
            <w:rPr>
              <w:noProof/>
            </w:rPr>
            <w:fldChar w:fldCharType="begin"/>
          </w:r>
          <w:r w:rsidR="00DA074B">
            <w:rPr>
              <w:noProof/>
            </w:rPr>
            <w:instrText xml:space="preserve"> PAGEREF _4g6t677va6ss \h </w:instrText>
          </w:r>
          <w:r w:rsidR="00DA074B">
            <w:rPr>
              <w:noProof/>
            </w:rPr>
          </w:r>
          <w:r w:rsidR="00DA074B">
            <w:rPr>
              <w:noProof/>
            </w:rPr>
            <w:fldChar w:fldCharType="separate"/>
          </w:r>
          <w:r w:rsidR="00EB355C">
            <w:rPr>
              <w:noProof/>
            </w:rPr>
            <w:t>7</w:t>
          </w:r>
          <w:r w:rsidR="00DA074B">
            <w:rPr>
              <w:noProof/>
            </w:rPr>
            <w:fldChar w:fldCharType="end"/>
          </w:r>
          <w:r w:rsidR="00DA074B">
            <w:fldChar w:fldCharType="end"/>
          </w:r>
        </w:p>
      </w:sdtContent>
    </w:sdt>
    <w:p w14:paraId="00000019" w14:textId="77777777" w:rsidR="005D31D9" w:rsidRDefault="005D31D9"/>
    <w:p w14:paraId="0000001A" w14:textId="77777777" w:rsidR="005D31D9" w:rsidRDefault="005D31D9"/>
    <w:p w14:paraId="0000001B" w14:textId="77777777" w:rsidR="005D31D9" w:rsidRDefault="005D31D9"/>
    <w:p w14:paraId="0000001C" w14:textId="77777777" w:rsidR="005D31D9" w:rsidRDefault="005D31D9"/>
    <w:p w14:paraId="0000001D" w14:textId="77777777" w:rsidR="005D31D9" w:rsidRDefault="005D31D9"/>
    <w:p w14:paraId="0000001E" w14:textId="77777777" w:rsidR="005D31D9" w:rsidRDefault="005D31D9"/>
    <w:p w14:paraId="0000001F" w14:textId="77777777" w:rsidR="005D31D9" w:rsidRDefault="005D31D9"/>
    <w:p w14:paraId="00000020" w14:textId="77777777" w:rsidR="005D31D9" w:rsidRDefault="005D31D9"/>
    <w:p w14:paraId="00000021" w14:textId="77777777" w:rsidR="005D31D9" w:rsidRDefault="00DA074B">
      <w:r>
        <w:br w:type="page"/>
      </w:r>
    </w:p>
    <w:p w14:paraId="00000022" w14:textId="77777777" w:rsidR="005D31D9" w:rsidRDefault="00DA074B">
      <w:pPr>
        <w:pStyle w:val="Heading1"/>
      </w:pPr>
      <w:bookmarkStart w:id="0" w:name="_k6txpxxxjn26" w:colFirst="0" w:colLast="0"/>
      <w:bookmarkEnd w:id="0"/>
      <w:r>
        <w:lastRenderedPageBreak/>
        <w:t>Introduction</w:t>
      </w:r>
    </w:p>
    <w:p w14:paraId="00000023" w14:textId="383A4B2F" w:rsidR="005D31D9" w:rsidRDefault="00DA074B">
      <w:r>
        <w:t xml:space="preserve">Many other types of groups make up our society, but the most common are social, religious, professional, and so on. These are just a few examples. Groups that share similar values, attitudes, customs, lifestyles, and languages are known as communities. The participation of community members in the establishment of priorities is critical to the development of a community. This means that the concept of a company's "community" is essential to every department and element within it. Without being visible and actively involved in the community, it is impossible for a business to </w:t>
      </w:r>
      <w:proofErr w:type="gramStart"/>
      <w:r>
        <w:t>thrive</w:t>
      </w:r>
      <w:proofErr w:type="gramEnd"/>
      <w:r>
        <w:t xml:space="preserve"> and it will collapse. In most cases, the term "engagement" refers to either an active or passive relationship with the community, depending on the context. Participation in the community can have a substantial impact on the performance of a successful business operation. The work of </w:t>
      </w:r>
      <w:r w:rsidR="00EB355C">
        <w:t xml:space="preserve">British Heart Foundation </w:t>
      </w:r>
      <w:r>
        <w:t xml:space="preserve">has motivated this essay to </w:t>
      </w:r>
      <w:proofErr w:type="gramStart"/>
      <w:r>
        <w:t>look into</w:t>
      </w:r>
      <w:proofErr w:type="gramEnd"/>
      <w:r>
        <w:t xml:space="preserve"> the topic of community engagement and its impact on the broader community. The investigation will also </w:t>
      </w:r>
      <w:proofErr w:type="gramStart"/>
      <w:r>
        <w:t>look into</w:t>
      </w:r>
      <w:proofErr w:type="gramEnd"/>
      <w:r>
        <w:t xml:space="preserve"> The British Heart Foundation’s social media activities as well as its connections with its employees, clients, and other constituents.</w:t>
      </w:r>
    </w:p>
    <w:p w14:paraId="00000024" w14:textId="77777777" w:rsidR="005D31D9" w:rsidRDefault="00DA074B">
      <w:pPr>
        <w:pStyle w:val="Heading1"/>
      </w:pPr>
      <w:bookmarkStart w:id="1" w:name="_seylgn2hhqw9" w:colFirst="0" w:colLast="0"/>
      <w:bookmarkEnd w:id="1"/>
      <w:r>
        <w:t>Social Benefits of the British Heart Foundation</w:t>
      </w:r>
    </w:p>
    <w:p w14:paraId="00000025" w14:textId="77777777" w:rsidR="005D31D9" w:rsidRDefault="00DA074B">
      <w:r>
        <w:t>Located in the United Kingdom, the British Heart Foundation (BHF) funds cardiovascular research and development since 1961 (The BHF, 2022). Medical research on heart and circulation illnesses and their risk factors is supported, as is public policy and awareness-raising activities carried out by the foundation. Patients and members of the public are actively involved in their efforts to improve health and care for the world they wish to see develop into a better place. They provide financial support for projects aimed at saving and improving lives (Andrew, 2017).</w:t>
      </w:r>
    </w:p>
    <w:p w14:paraId="00000026" w14:textId="77777777" w:rsidR="005D31D9" w:rsidRDefault="00DA074B">
      <w:r>
        <w:t xml:space="preserve">Several community advantages are provided by the non-profit organization "British Heart Foundation" to the general public which benefits the society both directly and indirectly. Workers for the company will be able to reap the benefits of distinguishing traits that will provide them a competitive advantage over competitors (Kinuthia, 2019). The organization's involvement may not only increase productivity and profitability on a regional scale, but it may also be able to deal with larger issues as a result of its strong partnerships with various stakeholders. </w:t>
      </w:r>
    </w:p>
    <w:p w14:paraId="00000027" w14:textId="07CA8C2D" w:rsidR="005D31D9" w:rsidRDefault="00DA074B">
      <w:r>
        <w:t xml:space="preserve">The British Heart Foundation (BHF) hopes to spend approximately £100 million each year on sponsoring scientists throughout the United Kingdom. They are now sponsoring more than 1000 </w:t>
      </w:r>
      <w:r>
        <w:lastRenderedPageBreak/>
        <w:t xml:space="preserve">research initiatives (The BHF, 2022). A better world free from the dreed of heart and circulatory disease is something that is highly positive both locally and internationally. They are influencing Government policy in this regard. Other than researchers, they provide employment opportunities for members of the local community in a variety of fields ranging from internal communications and technology to retail and digital marketing. By providing a training facility, this charity </w:t>
      </w:r>
      <w:proofErr w:type="gramStart"/>
      <w:r>
        <w:t>is able to</w:t>
      </w:r>
      <w:proofErr w:type="gramEnd"/>
      <w:r>
        <w:t xml:space="preserve"> employ young people from the surrounding community. It is usual practice at the BHF to promote equality in the workplace. Because it provides job possibilities, it helps to raise the living standards of the residents (Hamilton, 2020). This </w:t>
      </w:r>
      <w:r w:rsidR="00EB355C">
        <w:t>organization</w:t>
      </w:r>
      <w:r>
        <w:t xml:space="preserve"> aids in the creation of higher levels of organizational performance, leading to a better position in the market. According to the Chartered Institute of Personnel and Development (CIPD), the Live Well program of BHF has received national recognition (The BHF, 2022). This organization's dedication to the environment and to bettering the lives of the local people deserve great praise. </w:t>
      </w:r>
    </w:p>
    <w:p w14:paraId="00000028" w14:textId="77777777" w:rsidR="005D31D9" w:rsidRDefault="00DA074B">
      <w:pPr>
        <w:pStyle w:val="Heading1"/>
      </w:pPr>
      <w:bookmarkStart w:id="2" w:name="_a1kbi04ih94p" w:colFirst="0" w:colLast="0"/>
      <w:bookmarkEnd w:id="2"/>
      <w:r>
        <w:t xml:space="preserve">Cooperation with stakeholders </w:t>
      </w:r>
    </w:p>
    <w:p w14:paraId="00000029" w14:textId="77777777" w:rsidR="005D31D9" w:rsidRDefault="00DA074B">
      <w:r>
        <w:t>Charitable organizations such as British Heart Foundation have many stakeholders who have an impact on the processes and outcomes that take place. It is possible for a stakeholder to be both formal and informal (Andrew, 2017). Maintaining open lines of communication with key stakeholders is an essential part of building strong working relationships. People from all walks of life are involved with the British Heart Foundation, from the organization's employees and funders to its board and partners as well as its volunteers and local community.</w:t>
      </w:r>
    </w:p>
    <w:p w14:paraId="0000002A" w14:textId="77777777" w:rsidR="005D31D9" w:rsidRDefault="00DA074B">
      <w:pPr>
        <w:spacing w:before="240" w:after="240"/>
      </w:pPr>
      <w:r>
        <w:rPr>
          <w:b/>
        </w:rPr>
        <w:t xml:space="preserve">Employee: </w:t>
      </w:r>
      <w:r>
        <w:t xml:space="preserve">Employees are the BHF's most significant component. Employee dissatisfaction has a negative impact on customer service. In addition, it hinders the organization's capacity to acquire funding and achieve its objectives. They will perform better, stay longer when they will feel respected (Lior, 2016). Employee contentment and commitment can be increases by giving them out benefits and incentives. </w:t>
      </w:r>
    </w:p>
    <w:p w14:paraId="0000002B" w14:textId="621F78F8" w:rsidR="005D31D9" w:rsidRDefault="00DA074B">
      <w:pPr>
        <w:spacing w:before="240" w:after="240"/>
      </w:pPr>
      <w:r>
        <w:rPr>
          <w:b/>
        </w:rPr>
        <w:t>Volunteers:</w:t>
      </w:r>
      <w:r>
        <w:t xml:space="preserve"> Those who volunteer without expectation of compensation are known as “</w:t>
      </w:r>
      <w:r w:rsidR="00EB355C">
        <w:t>volunteers” (</w:t>
      </w:r>
      <w:r>
        <w:t xml:space="preserve">Kinuthia, 2019). Volunteers are </w:t>
      </w:r>
      <w:proofErr w:type="gramStart"/>
      <w:r>
        <w:t>a valuable asset</w:t>
      </w:r>
      <w:proofErr w:type="gramEnd"/>
      <w:r>
        <w:t xml:space="preserve"> that the organization has at its disposal. For more than just cost-cutting reasons, volunteers help BHF better connect with their constituents, expand </w:t>
      </w:r>
      <w:r>
        <w:lastRenderedPageBreak/>
        <w:t>their network, and gain the essential expertise. The funds they raise go to those who are suffering from heart disease and are in desperate need of assistance.</w:t>
      </w:r>
    </w:p>
    <w:p w14:paraId="0000002C" w14:textId="77777777" w:rsidR="005D31D9" w:rsidRDefault="00DA074B">
      <w:pPr>
        <w:spacing w:before="240" w:after="240"/>
      </w:pPr>
      <w:r>
        <w:rPr>
          <w:b/>
        </w:rPr>
        <w:t xml:space="preserve">Board: </w:t>
      </w:r>
      <w:r>
        <w:t xml:space="preserve">Board of Trustees members are charged for overseeing the BHF's operations and determining its long-term goals. Medically certified and non-medical members make up the Board's 14 members (Trion, 2021). The BHF's Trustees are legally responsible for </w:t>
      </w:r>
      <w:proofErr w:type="gramStart"/>
      <w:r>
        <w:t>all of</w:t>
      </w:r>
      <w:proofErr w:type="gramEnd"/>
      <w:r>
        <w:t xml:space="preserve"> the organization's acts.</w:t>
      </w:r>
    </w:p>
    <w:p w14:paraId="0000002D" w14:textId="77777777" w:rsidR="005D31D9" w:rsidRDefault="00DA074B">
      <w:r>
        <w:rPr>
          <w:b/>
        </w:rPr>
        <w:t xml:space="preserve">Partners: </w:t>
      </w:r>
      <w:r>
        <w:t>Funding for BHF comes from numerous business sponsors. In most cases, the partners are well-known brands like Tesco, M&amp;S. Nationwide, Bensons for Beds, the huge yellow self-storage box, and DFS are examples of such brands (Andrew, 2017).</w:t>
      </w:r>
    </w:p>
    <w:p w14:paraId="0000002E" w14:textId="77777777" w:rsidR="005D31D9" w:rsidRDefault="00DA074B">
      <w:r>
        <w:rPr>
          <w:b/>
        </w:rPr>
        <w:t xml:space="preserve">Local community: </w:t>
      </w:r>
      <w:r>
        <w:t xml:space="preserve">A group of people from the area come together to raise money for a cause to help BHF. In addition to traditional market stalls, they often hold engaging events to create awareness among the people. These events can be concerts, game shows, races etc. </w:t>
      </w:r>
    </w:p>
    <w:p w14:paraId="0000002F" w14:textId="77777777" w:rsidR="005D31D9" w:rsidRDefault="00DA074B">
      <w:pPr>
        <w:pStyle w:val="Heading1"/>
      </w:pPr>
      <w:bookmarkStart w:id="3" w:name="_dm7bwte7b4xl" w:colFirst="0" w:colLast="0"/>
      <w:bookmarkEnd w:id="3"/>
      <w:r>
        <w:t xml:space="preserve">Impact of </w:t>
      </w:r>
      <w:proofErr w:type="gramStart"/>
      <w:r>
        <w:t>Social Media</w:t>
      </w:r>
      <w:proofErr w:type="gramEnd"/>
    </w:p>
    <w:p w14:paraId="00000030" w14:textId="77777777" w:rsidR="005D31D9" w:rsidRDefault="00DA074B">
      <w:r>
        <w:t>An organization's media relations strategy refers to the use of the media to tell a company's narrative. It is the goal of public relations to make sure that the right message reaches the right people at the right time (</w:t>
      </w:r>
      <w:proofErr w:type="spellStart"/>
      <w:r>
        <w:t>Gbadeyan</w:t>
      </w:r>
      <w:proofErr w:type="spellEnd"/>
      <w:r>
        <w:t xml:space="preserve">, 2021). For a charitable company, media relations are critical to its success. Yet few companies like this engage in social media platform. For connecting to an international network, BHF needs to make the most of its social media accounts. </w:t>
      </w:r>
    </w:p>
    <w:p w14:paraId="00000031" w14:textId="3F2FC1A3" w:rsidR="005D31D9" w:rsidRDefault="00DA074B">
      <w:r>
        <w:rPr>
          <w:b/>
        </w:rPr>
        <w:t>Facebook:</w:t>
      </w:r>
      <w:r>
        <w:t xml:space="preserve"> Facebook is the most widely used social media platform for approaching the desired demographic. As of this writing, they have 601,819 people who like and follow them on </w:t>
      </w:r>
      <w:r w:rsidR="00EB355C">
        <w:t>Facebook</w:t>
      </w:r>
      <w:r>
        <w:t xml:space="preserve"> (The BHF, 2022). The British Heart Foundation's brand specialists utilize Facebook to tell the experiences of those who have benefited from their research. Donors can learn more about how their money is being used by reading about fundraisers and the services they provide on Facebook.</w:t>
      </w:r>
    </w:p>
    <w:p w14:paraId="00000032" w14:textId="77777777" w:rsidR="005D31D9" w:rsidRDefault="00DA074B">
      <w:r>
        <w:rPr>
          <w:b/>
        </w:rPr>
        <w:t>Website:</w:t>
      </w:r>
      <w:r>
        <w:t xml:space="preserve"> In addition to the organization's facilities, services, and relevant data the official British Heart Foundation website presents </w:t>
      </w:r>
      <w:proofErr w:type="gramStart"/>
      <w:r>
        <w:t>all of</w:t>
      </w:r>
      <w:proofErr w:type="gramEnd"/>
      <w:r>
        <w:t xml:space="preserve"> the organization's resources. Anyone thinking about </w:t>
      </w:r>
      <w:proofErr w:type="gramStart"/>
      <w:r>
        <w:t>making a donation</w:t>
      </w:r>
      <w:proofErr w:type="gramEnd"/>
      <w:r>
        <w:t xml:space="preserve"> or getting more involved or even joining the BHF team as an employee can find a variety of information on the organization's website. It's easier for locals to get excited about a company's employees and founders if they know their stories. </w:t>
      </w:r>
    </w:p>
    <w:p w14:paraId="00000033" w14:textId="51200DCD" w:rsidR="005D31D9" w:rsidRDefault="00DA074B">
      <w:r>
        <w:rPr>
          <w:b/>
        </w:rPr>
        <w:lastRenderedPageBreak/>
        <w:t xml:space="preserve">Email: </w:t>
      </w:r>
      <w:r>
        <w:t xml:space="preserve">Emails are sent out to the most loyal consumers to inform their new innovations and knowledge gained from their </w:t>
      </w:r>
      <w:r w:rsidR="00EB355C">
        <w:t>research</w:t>
      </w:r>
      <w:r>
        <w:t xml:space="preserve"> about the diseases they are working on (</w:t>
      </w:r>
      <w:proofErr w:type="spellStart"/>
      <w:r>
        <w:t>Gbadeyan</w:t>
      </w:r>
      <w:proofErr w:type="spellEnd"/>
      <w:r>
        <w:t xml:space="preserve">, 2021). If a company wants to interact with businesses, </w:t>
      </w:r>
      <w:r w:rsidR="00EB355C">
        <w:t>clients, or</w:t>
      </w:r>
      <w:r>
        <w:t xml:space="preserve"> consumers, this is how interaction can be done. Formal communication abilities are needed by workers. Customers who have been with the company for a long time receive emails notifying them of new services and new donations opportunities. </w:t>
      </w:r>
    </w:p>
    <w:p w14:paraId="00000034" w14:textId="68D0AC57" w:rsidR="005D31D9" w:rsidRDefault="00DA074B">
      <w:r>
        <w:rPr>
          <w:b/>
        </w:rPr>
        <w:t xml:space="preserve">Instagram: </w:t>
      </w:r>
      <w:r>
        <w:t xml:space="preserve">More than 70,000 people follow BHF on Instagram (The BHF, 2022). On this </w:t>
      </w:r>
      <w:r w:rsidR="00EB355C">
        <w:t>platform they</w:t>
      </w:r>
      <w:r>
        <w:t xml:space="preserve"> provide information on fundraising, youth assistance, and activities done by them to its followers. In addition to the food and recipes to follow, they also offer news and study results on how to maintain a healthy lifestyle.</w:t>
      </w:r>
    </w:p>
    <w:p w14:paraId="00000035" w14:textId="7C6EAE89" w:rsidR="005D31D9" w:rsidRDefault="00DA074B">
      <w:r>
        <w:rPr>
          <w:b/>
        </w:rPr>
        <w:t>Twitter:</w:t>
      </w:r>
      <w:r>
        <w:t xml:space="preserve"> The BHF has a Twitter following of 320.3K individuals (The BHF, 2022</w:t>
      </w:r>
      <w:r w:rsidR="00EB355C">
        <w:t>).</w:t>
      </w:r>
      <w:r>
        <w:t xml:space="preserve"> They make good use of that platform to spread the word about heart disease, stroke, and vascular dementia, diabetes, as well as the risk factors that contribute to each of these illnesses. Alluding these issues people who are afflicted with or are researching these ailments can be brought together.</w:t>
      </w:r>
    </w:p>
    <w:p w14:paraId="00000036" w14:textId="77777777" w:rsidR="005D31D9" w:rsidRDefault="00DA074B">
      <w:r>
        <w:rPr>
          <w:b/>
        </w:rPr>
        <w:t xml:space="preserve">LinkedIn: </w:t>
      </w:r>
      <w:r>
        <w:t>On LinkedIn, they have over 55k acquaintances who are connected to them. Their LinkedIn page is where they connect with other companies and business companions in the same industry as they are (</w:t>
      </w:r>
      <w:proofErr w:type="spellStart"/>
      <w:r>
        <w:t>Gbadeyan</w:t>
      </w:r>
      <w:proofErr w:type="spellEnd"/>
      <w:r>
        <w:t>, 2021). This fills the gap between groups that aim to improve the health of people in the community.</w:t>
      </w:r>
    </w:p>
    <w:p w14:paraId="00000037" w14:textId="77777777" w:rsidR="005D31D9" w:rsidRDefault="00DA074B">
      <w:pPr>
        <w:pStyle w:val="Heading1"/>
      </w:pPr>
      <w:bookmarkStart w:id="4" w:name="_wu8r3majzwy4" w:colFirst="0" w:colLast="0"/>
      <w:bookmarkEnd w:id="4"/>
      <w:r>
        <w:t>Socio-cultural Challenges and How to Handle Them</w:t>
      </w:r>
    </w:p>
    <w:p w14:paraId="00000038" w14:textId="2C64E42B" w:rsidR="005D31D9" w:rsidRDefault="00DA074B">
      <w:r>
        <w:t xml:space="preserve">There are a variety of challenges that the British Heart Foundation must overcome in order to effectively collaborate with its various stakeholders and the larger community in order to ensure the health of the global population. Problems in the workplace arise when researchers from different countries and cultures work together. Programs for personal and professional development are therefore crucial. Employees who attend the cultural sensitivity training session have a better awareness of other cultures (Hamilton, 2020). Every employee has a set of preconceptions about other cultures. Their preconceptions are </w:t>
      </w:r>
      <w:proofErr w:type="gramStart"/>
      <w:r w:rsidR="00EB355C">
        <w:t>eradicate</w:t>
      </w:r>
      <w:proofErr w:type="gramEnd"/>
      <w:r>
        <w:t xml:space="preserve"> by cultural sensitivity training. Internal harmony can be achieved through this training. Societies will come to appreciate and respect one another's distinctive cultures (Kinuthia, 2019). They'll come to a major decision as a group. Increases productivity of the property. Clients and employees </w:t>
      </w:r>
      <w:proofErr w:type="gramStart"/>
      <w:r>
        <w:t>are able to</w:t>
      </w:r>
      <w:proofErr w:type="gramEnd"/>
      <w:r>
        <w:t xml:space="preserve"> build trust and respect through it (Hamilton, 2020). A discussion about the local economy and culture is a </w:t>
      </w:r>
      <w:r>
        <w:lastRenderedPageBreak/>
        <w:t>great way to educate the coworkers about one’s way of life and habits. Employees need to understand how to use technology to create and educate their clients and funders about the services they are offering. Employees and researchers who work with international donors should become fluent in a variety of languages. Staff can learn languages to communicate with foreign tourists using various learning media. It makes it easier for staff to communicate with and better understand their customers on a linguistic level. When dealing with social issues, cross-cultural training, culture seminars, and cultural sensitivity training are all necessary (Lior, 2016).</w:t>
      </w:r>
    </w:p>
    <w:p w14:paraId="00000039" w14:textId="77777777" w:rsidR="005D31D9" w:rsidRDefault="00DA074B">
      <w:pPr>
        <w:pStyle w:val="Heading1"/>
      </w:pPr>
      <w:bookmarkStart w:id="5" w:name="_y0swnm3548cv" w:colFirst="0" w:colLast="0"/>
      <w:bookmarkEnd w:id="5"/>
      <w:r>
        <w:t>The Implementation of a Forward-looking Strategy</w:t>
      </w:r>
    </w:p>
    <w:p w14:paraId="0000003D" w14:textId="35920A1B" w:rsidR="005D31D9" w:rsidRDefault="00DA074B">
      <w:r>
        <w:t>The British Heart Foundation must always stay abreast of new developments in cardiovascular disease studies because of their own research. Keeping up with the times requires a forward-looking approach to education (Strew, 2019). In order to better understand new personnel from other cultures, existing employees benefit from multicultural training. It encourages a positive work environment. Respect is shown to employees who are sensitive to cultural differences. As a result, they are less likely to be misunderstood. Training in multiculturalism increases cooperation among coworkers as well as creativity among employees. In order to gain funds for research, British Heart Foundation employees may come up with novel approaches. A person who has received multicultural training is more equipped to deal with and please customers from other nations (Trion, 2021). The BHF's executives can gain the confidence and trust of the organization's various stakeholders by being open, honest, and responsive. So, training in multiculturalism and other external issues is necessary.</w:t>
      </w:r>
    </w:p>
    <w:p w14:paraId="0000003E" w14:textId="77777777" w:rsidR="005D31D9" w:rsidRDefault="00DA074B">
      <w:pPr>
        <w:pStyle w:val="Heading1"/>
      </w:pPr>
      <w:bookmarkStart w:id="6" w:name="_o8omxysb94z0" w:colFirst="0" w:colLast="0"/>
      <w:bookmarkEnd w:id="6"/>
      <w:r>
        <w:t>Conclusion</w:t>
      </w:r>
    </w:p>
    <w:p w14:paraId="00000043" w14:textId="031940EA" w:rsidR="005D31D9" w:rsidRDefault="00DA074B">
      <w:pPr>
        <w:spacing w:before="240" w:after="240"/>
      </w:pPr>
      <w:r>
        <w:t>An in-depth awareness of the association between the various stakeholders of the British Heart Foundation is achieved at the end of the report. As a result, conclusions drawn from the paper can be put into practice. It is also necessary to have cross cultural training and training in multiculturalism in order to deal with the difficulties and complexities of a socio-cultural context. In the paper's last recommendation, the report states that enterprises and their networking partners should create and adopt a forward-looking approach toward their trade connections. To that goal, this paper offers concrete suggestions for future decision-making.</w:t>
      </w:r>
      <w:r>
        <w:br w:type="page"/>
      </w:r>
    </w:p>
    <w:p w14:paraId="00000044" w14:textId="77777777" w:rsidR="005D31D9" w:rsidRDefault="00DA074B">
      <w:pPr>
        <w:pStyle w:val="Heading1"/>
        <w:keepNext w:val="0"/>
        <w:keepLines w:val="0"/>
        <w:spacing w:before="0" w:after="80"/>
      </w:pPr>
      <w:bookmarkStart w:id="7" w:name="_4g6t677va6ss" w:colFirst="0" w:colLast="0"/>
      <w:bookmarkEnd w:id="7"/>
      <w:r>
        <w:lastRenderedPageBreak/>
        <w:t>References</w:t>
      </w:r>
    </w:p>
    <w:p w14:paraId="00000045" w14:textId="77777777" w:rsidR="005D31D9" w:rsidRDefault="00DA074B">
      <w:pPr>
        <w:spacing w:after="180"/>
        <w:ind w:left="460"/>
      </w:pPr>
      <w:r>
        <w:t xml:space="preserve">Andrew, O. (2017) </w:t>
      </w:r>
      <w:r>
        <w:rPr>
          <w:i/>
        </w:rPr>
        <w:t>The Relationship between European Community and Corporations</w:t>
      </w:r>
      <w:r>
        <w:t xml:space="preserve">. 5th </w:t>
      </w:r>
      <w:proofErr w:type="spellStart"/>
      <w:r>
        <w:t>edn</w:t>
      </w:r>
      <w:proofErr w:type="spellEnd"/>
      <w:r>
        <w:t>. Cambridge: Cambridge University Press.</w:t>
      </w:r>
    </w:p>
    <w:p w14:paraId="00000046" w14:textId="77777777" w:rsidR="005D31D9" w:rsidRDefault="00DA074B">
      <w:pPr>
        <w:spacing w:after="180"/>
        <w:ind w:left="460"/>
      </w:pPr>
      <w:proofErr w:type="spellStart"/>
      <w:r>
        <w:t>Gbadeyan</w:t>
      </w:r>
      <w:proofErr w:type="spellEnd"/>
      <w:r>
        <w:t xml:space="preserve">, B. (2021) "Impact of Social Media </w:t>
      </w:r>
      <w:proofErr w:type="gramStart"/>
      <w:r>
        <w:t>In</w:t>
      </w:r>
      <w:proofErr w:type="gramEnd"/>
      <w:r>
        <w:t xml:space="preserve"> Non- Profit Organizations", </w:t>
      </w:r>
      <w:r>
        <w:rPr>
          <w:i/>
        </w:rPr>
        <w:t>International Journal of Social Science and Human Research</w:t>
      </w:r>
      <w:r>
        <w:t xml:space="preserve">, 04(08). </w:t>
      </w:r>
      <w:proofErr w:type="spellStart"/>
      <w:r>
        <w:t>doi</w:t>
      </w:r>
      <w:proofErr w:type="spellEnd"/>
      <w:r>
        <w:t>: 10.47191/</w:t>
      </w:r>
      <w:proofErr w:type="spellStart"/>
      <w:r>
        <w:t>ijsshr</w:t>
      </w:r>
      <w:proofErr w:type="spellEnd"/>
      <w:r>
        <w:t>/v4-i8-06.</w:t>
      </w:r>
    </w:p>
    <w:p w14:paraId="00000047" w14:textId="77777777" w:rsidR="005D31D9" w:rsidRDefault="00DA074B">
      <w:pPr>
        <w:spacing w:after="180"/>
        <w:ind w:left="900" w:hanging="440"/>
      </w:pPr>
      <w:r>
        <w:t xml:space="preserve">Hamilton, A. (2020) </w:t>
      </w:r>
      <w:r>
        <w:rPr>
          <w:i/>
        </w:rPr>
        <w:t>Exploring cultural responsiveness</w:t>
      </w:r>
      <w:r>
        <w:t xml:space="preserve">. 3rd </w:t>
      </w:r>
      <w:proofErr w:type="spellStart"/>
      <w:r>
        <w:t>edn</w:t>
      </w:r>
      <w:proofErr w:type="spellEnd"/>
      <w:r>
        <w:t>.</w:t>
      </w:r>
    </w:p>
    <w:p w14:paraId="00000048" w14:textId="77777777" w:rsidR="005D31D9" w:rsidRDefault="00DA074B">
      <w:pPr>
        <w:spacing w:after="180"/>
        <w:ind w:left="460"/>
      </w:pPr>
      <w:r>
        <w:t xml:space="preserve">Kinuthia, W. (2019) "Reported challenges for socio‐cultural curriculum", </w:t>
      </w:r>
      <w:r>
        <w:rPr>
          <w:i/>
        </w:rPr>
        <w:t>Multicultural Education &amp; Technology Journal</w:t>
      </w:r>
      <w:r>
        <w:t xml:space="preserve">, 6(2), pp. 87-99. </w:t>
      </w:r>
      <w:proofErr w:type="spellStart"/>
      <w:r>
        <w:t>doi</w:t>
      </w:r>
      <w:proofErr w:type="spellEnd"/>
      <w:r>
        <w:t>: 10.1108/17504971211236281.</w:t>
      </w:r>
    </w:p>
    <w:p w14:paraId="00000049" w14:textId="77777777" w:rsidR="005D31D9" w:rsidRDefault="00DA074B">
      <w:pPr>
        <w:spacing w:after="180"/>
        <w:ind w:left="900" w:hanging="440"/>
      </w:pPr>
      <w:r>
        <w:t xml:space="preserve">Lior, G. (2016) </w:t>
      </w:r>
      <w:r>
        <w:rPr>
          <w:i/>
        </w:rPr>
        <w:t>Service-learning through community engagement</w:t>
      </w:r>
      <w:r>
        <w:t xml:space="preserve">. 3rd </w:t>
      </w:r>
      <w:proofErr w:type="spellStart"/>
      <w:r>
        <w:t>edn</w:t>
      </w:r>
      <w:proofErr w:type="spellEnd"/>
      <w:r>
        <w:t>.</w:t>
      </w:r>
    </w:p>
    <w:p w14:paraId="0000004A" w14:textId="77777777" w:rsidR="005D31D9" w:rsidRDefault="00DA074B">
      <w:pPr>
        <w:spacing w:after="180"/>
        <w:ind w:left="900" w:hanging="440"/>
      </w:pPr>
      <w:r>
        <w:t xml:space="preserve">Strew, S. (2019) </w:t>
      </w:r>
      <w:r>
        <w:rPr>
          <w:i/>
        </w:rPr>
        <w:t>A Forward Looking Approach to Project Management</w:t>
      </w:r>
      <w:r>
        <w:t xml:space="preserve">. 2nd </w:t>
      </w:r>
      <w:proofErr w:type="spellStart"/>
      <w:r>
        <w:t>edn</w:t>
      </w:r>
      <w:proofErr w:type="spellEnd"/>
      <w:r>
        <w:t>.</w:t>
      </w:r>
    </w:p>
    <w:p w14:paraId="0000004B" w14:textId="77777777" w:rsidR="005D31D9" w:rsidRDefault="00DA074B">
      <w:pPr>
        <w:spacing w:after="180"/>
        <w:ind w:left="460"/>
      </w:pPr>
      <w:r>
        <w:t xml:space="preserve">The BHF (2022) </w:t>
      </w:r>
      <w:r>
        <w:rPr>
          <w:i/>
        </w:rPr>
        <w:t>Welcome to the British Heart Foundation</w:t>
      </w:r>
      <w:r>
        <w:t xml:space="preserve">, </w:t>
      </w:r>
      <w:r>
        <w:rPr>
          <w:i/>
        </w:rPr>
        <w:t>British Heart Foundation</w:t>
      </w:r>
      <w:r>
        <w:t>. Available at: https://www.bhf.org.uk/ (Accessed: 27 March 2022).</w:t>
      </w:r>
    </w:p>
    <w:p w14:paraId="0000004C" w14:textId="77777777" w:rsidR="005D31D9" w:rsidRDefault="00DA074B">
      <w:pPr>
        <w:spacing w:after="180"/>
        <w:ind w:left="460"/>
      </w:pPr>
      <w:r>
        <w:t xml:space="preserve">Trion, P. (2021) "Achieving Health Goals in UK: The Role of Community Engagement and Communication", </w:t>
      </w:r>
      <w:r>
        <w:rPr>
          <w:i/>
        </w:rPr>
        <w:t>Journal of Community Engagement</w:t>
      </w:r>
      <w:r>
        <w:t xml:space="preserve">, 5(2). </w:t>
      </w:r>
      <w:proofErr w:type="spellStart"/>
      <w:r>
        <w:t>doi</w:t>
      </w:r>
      <w:proofErr w:type="spellEnd"/>
      <w:r>
        <w:t>: 10.7454/</w:t>
      </w:r>
      <w:proofErr w:type="gramStart"/>
      <w:r>
        <w:t>ajce.v</w:t>
      </w:r>
      <w:proofErr w:type="gramEnd"/>
      <w:r>
        <w:t>5i2.1170.</w:t>
      </w:r>
    </w:p>
    <w:p w14:paraId="0000004D" w14:textId="77777777" w:rsidR="005D31D9" w:rsidRDefault="00DA074B">
      <w:pPr>
        <w:spacing w:after="180"/>
        <w:ind w:left="460"/>
      </w:pPr>
      <w:proofErr w:type="spellStart"/>
      <w:r>
        <w:t>Verkuyten</w:t>
      </w:r>
      <w:proofErr w:type="spellEnd"/>
      <w:r>
        <w:t xml:space="preserve">, M. (2015) "Social Psychology and Multiculturalism", </w:t>
      </w:r>
      <w:r>
        <w:rPr>
          <w:i/>
        </w:rPr>
        <w:t>Social and Personality Psychology Compass</w:t>
      </w:r>
      <w:r>
        <w:t xml:space="preserve">, 1(1), pp. 280-297. </w:t>
      </w:r>
      <w:proofErr w:type="spellStart"/>
      <w:r>
        <w:t>doi</w:t>
      </w:r>
      <w:proofErr w:type="spellEnd"/>
      <w:r>
        <w:t>: 10.1111/j.1751-9004.2007.</w:t>
      </w:r>
      <w:proofErr w:type="gramStart"/>
      <w:r>
        <w:t>00011.x.</w:t>
      </w:r>
      <w:proofErr w:type="gramEnd"/>
    </w:p>
    <w:p w14:paraId="0000004E" w14:textId="77777777" w:rsidR="005D31D9" w:rsidRDefault="00DA074B">
      <w:pPr>
        <w:spacing w:after="180"/>
        <w:ind w:left="900" w:hanging="440"/>
      </w:pPr>
      <w:proofErr w:type="spellStart"/>
      <w:r>
        <w:t>Wamuwi</w:t>
      </w:r>
      <w:proofErr w:type="spellEnd"/>
      <w:r>
        <w:t xml:space="preserve">, C. (2016) </w:t>
      </w:r>
      <w:r>
        <w:rPr>
          <w:i/>
        </w:rPr>
        <w:t>Stakeholder Analysis in Development Projects</w:t>
      </w:r>
      <w:r>
        <w:t xml:space="preserve">. 2nd </w:t>
      </w:r>
      <w:proofErr w:type="spellStart"/>
      <w:r>
        <w:t>edn</w:t>
      </w:r>
      <w:proofErr w:type="spellEnd"/>
      <w:r>
        <w:t>.</w:t>
      </w:r>
    </w:p>
    <w:p w14:paraId="0000004F" w14:textId="77777777" w:rsidR="005D31D9" w:rsidRDefault="00DA074B">
      <w:pPr>
        <w:spacing w:after="180"/>
        <w:ind w:left="460"/>
      </w:pPr>
      <w:r>
        <w:t xml:space="preserve">Young, D. (2018) </w:t>
      </w:r>
      <w:r>
        <w:rPr>
          <w:i/>
        </w:rPr>
        <w:t>Financing nonprofits and other social enterprises</w:t>
      </w:r>
      <w:r>
        <w:t xml:space="preserve">. 2nd </w:t>
      </w:r>
      <w:proofErr w:type="spellStart"/>
      <w:r>
        <w:t>edn</w:t>
      </w:r>
      <w:proofErr w:type="spellEnd"/>
      <w:r>
        <w:t>. Cheltenham, UK: Edward Elgar Publishing.</w:t>
      </w:r>
    </w:p>
    <w:p w14:paraId="00000050" w14:textId="77777777" w:rsidR="005D31D9" w:rsidRDefault="005D31D9"/>
    <w:sectPr w:rsidR="005D31D9">
      <w:footerReference w:type="default" r:id="rId7"/>
      <w:footerReference w:type="first" r:id="rId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1F8C9" w14:textId="77777777" w:rsidR="00576AAF" w:rsidRDefault="00576AAF">
      <w:pPr>
        <w:spacing w:line="240" w:lineRule="auto"/>
      </w:pPr>
      <w:r>
        <w:separator/>
      </w:r>
    </w:p>
  </w:endnote>
  <w:endnote w:type="continuationSeparator" w:id="0">
    <w:p w14:paraId="5FB369E3" w14:textId="77777777" w:rsidR="00576AAF" w:rsidRDefault="00576A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1" w14:textId="3607B702" w:rsidR="005D31D9" w:rsidRDefault="00DA074B">
    <w:pPr>
      <w:jc w:val="right"/>
    </w:pPr>
    <w:r>
      <w:fldChar w:fldCharType="begin"/>
    </w:r>
    <w:r>
      <w:instrText>PAGE</w:instrText>
    </w:r>
    <w:r>
      <w:fldChar w:fldCharType="separate"/>
    </w:r>
    <w:r w:rsidR="00EB355C">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2" w14:textId="77777777" w:rsidR="005D31D9" w:rsidRDefault="005D31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74B25" w14:textId="77777777" w:rsidR="00576AAF" w:rsidRDefault="00576AAF">
      <w:pPr>
        <w:spacing w:line="240" w:lineRule="auto"/>
      </w:pPr>
      <w:r>
        <w:separator/>
      </w:r>
    </w:p>
  </w:footnote>
  <w:footnote w:type="continuationSeparator" w:id="0">
    <w:p w14:paraId="39C3D386" w14:textId="77777777" w:rsidR="00576AAF" w:rsidRDefault="00576A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F42B0F"/>
    <w:multiLevelType w:val="hybridMultilevel"/>
    <w:tmpl w:val="4FC47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7307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1D9"/>
    <w:rsid w:val="00215065"/>
    <w:rsid w:val="0053496D"/>
    <w:rsid w:val="00576AAF"/>
    <w:rsid w:val="005D31D9"/>
    <w:rsid w:val="00753815"/>
    <w:rsid w:val="0079053E"/>
    <w:rsid w:val="008E70CD"/>
    <w:rsid w:val="00DA074B"/>
    <w:rsid w:val="00DE427D"/>
    <w:rsid w:val="00EB355C"/>
    <w:rsid w:val="00F617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9181"/>
  <w15:docId w15:val="{4E385C00-ACE7-4CF4-A4B1-A37DFBCBD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color w:val="3D85C6"/>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8E70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2224</Words>
  <Characters>12681</Characters>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2022-05-06T18:05:00Z</dcterms:created>
  <dcterms:modified xsi:type="dcterms:W3CDTF">2022-05-06T18:46:00Z</dcterms:modified>
</cp:coreProperties>
</file>