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7F4" w:rsidRDefault="008227F4">
      <w:pPr>
        <w:pStyle w:val="normal0"/>
        <w:jc w:val="center"/>
        <w:rPr>
          <w:rFonts w:ascii="Arial" w:eastAsia="Arial" w:hAnsi="Arial" w:cs="Arial"/>
          <w:b/>
        </w:rPr>
      </w:pPr>
    </w:p>
    <w:p w:rsidR="008227F4" w:rsidRDefault="008227F4">
      <w:pPr>
        <w:pStyle w:val="normal0"/>
        <w:jc w:val="center"/>
        <w:rPr>
          <w:rFonts w:ascii="Arial" w:eastAsia="Arial" w:hAnsi="Arial" w:cs="Arial"/>
          <w:b/>
        </w:rPr>
      </w:pPr>
    </w:p>
    <w:p w:rsidR="008227F4" w:rsidRDefault="008227F4">
      <w:pPr>
        <w:pStyle w:val="normal0"/>
        <w:jc w:val="center"/>
        <w:rPr>
          <w:rFonts w:ascii="Arial" w:eastAsia="Arial" w:hAnsi="Arial" w:cs="Arial"/>
          <w:b/>
        </w:rPr>
      </w:pPr>
    </w:p>
    <w:p w:rsidR="008227F4" w:rsidRDefault="008227F4">
      <w:pPr>
        <w:pStyle w:val="normal0"/>
        <w:jc w:val="center"/>
        <w:rPr>
          <w:rFonts w:ascii="Arial" w:eastAsia="Arial" w:hAnsi="Arial" w:cs="Arial"/>
          <w:b/>
        </w:rPr>
      </w:pPr>
    </w:p>
    <w:p w:rsidR="008227F4" w:rsidRDefault="008227F4">
      <w:pPr>
        <w:pStyle w:val="normal0"/>
        <w:jc w:val="center"/>
        <w:rPr>
          <w:rFonts w:ascii="Arial" w:eastAsia="Arial" w:hAnsi="Arial" w:cs="Arial"/>
          <w:b/>
        </w:rPr>
      </w:pPr>
    </w:p>
    <w:p w:rsidR="008227F4" w:rsidRDefault="008227F4">
      <w:pPr>
        <w:pStyle w:val="normal0"/>
        <w:jc w:val="center"/>
        <w:rPr>
          <w:rFonts w:ascii="Arial" w:eastAsia="Arial" w:hAnsi="Arial" w:cs="Arial"/>
          <w:b/>
        </w:rPr>
      </w:pPr>
    </w:p>
    <w:p w:rsidR="008227F4" w:rsidRDefault="00602F95" w:rsidP="00602F95">
      <w:pPr>
        <w:pStyle w:val="normal0"/>
        <w:rPr>
          <w:rFonts w:ascii="Arial" w:eastAsia="Arial" w:hAnsi="Arial" w:cs="Arial"/>
          <w:b/>
        </w:rPr>
      </w:pPr>
      <w:r>
        <w:rPr>
          <w:rFonts w:ascii="Arial" w:eastAsia="Arial" w:hAnsi="Arial" w:cs="Arial"/>
          <w:b/>
        </w:rPr>
        <w:t xml:space="preserve">                </w:t>
      </w:r>
      <w:r w:rsidR="00557B3A">
        <w:rPr>
          <w:rFonts w:ascii="Arial" w:eastAsia="Arial" w:hAnsi="Arial" w:cs="Arial"/>
          <w:b/>
        </w:rPr>
        <w:t>Module</w:t>
      </w:r>
      <w:r w:rsidR="00D73533">
        <w:rPr>
          <w:rFonts w:ascii="Arial" w:eastAsia="Arial" w:hAnsi="Arial" w:cs="Arial"/>
          <w:b/>
        </w:rPr>
        <w:t xml:space="preserve"> </w:t>
      </w:r>
      <w:r w:rsidR="00557B3A">
        <w:rPr>
          <w:rFonts w:ascii="Arial" w:eastAsia="Arial" w:hAnsi="Arial" w:cs="Arial"/>
          <w:b/>
        </w:rPr>
        <w:t xml:space="preserve">Name </w:t>
      </w:r>
      <w:r>
        <w:rPr>
          <w:rFonts w:ascii="Arial" w:eastAsia="Arial" w:hAnsi="Arial" w:cs="Arial"/>
          <w:b/>
        </w:rPr>
        <w:t>: Sustainable Hospitality &amp;</w:t>
      </w:r>
      <w:r w:rsidR="002E1DB4">
        <w:rPr>
          <w:rFonts w:ascii="Arial" w:eastAsia="Arial" w:hAnsi="Arial" w:cs="Arial"/>
          <w:b/>
        </w:rPr>
        <w:t xml:space="preserve"> Tourism Management</w:t>
      </w:r>
    </w:p>
    <w:p w:rsidR="008227F4" w:rsidRDefault="002E1DB4" w:rsidP="00D73533">
      <w:pPr>
        <w:pStyle w:val="normal0"/>
        <w:jc w:val="center"/>
        <w:rPr>
          <w:rFonts w:ascii="Arial" w:eastAsia="Arial" w:hAnsi="Arial" w:cs="Arial"/>
          <w:b/>
        </w:rPr>
      </w:pPr>
      <w:r>
        <w:rPr>
          <w:rFonts w:ascii="Arial" w:eastAsia="Arial" w:hAnsi="Arial" w:cs="Arial"/>
          <w:b/>
        </w:rPr>
        <w:t>Module Code: BMIH5006</w:t>
      </w:r>
    </w:p>
    <w:p w:rsidR="008227F4" w:rsidRDefault="002E1DB4">
      <w:pPr>
        <w:pStyle w:val="normal0"/>
        <w:jc w:val="center"/>
        <w:rPr>
          <w:rFonts w:ascii="Arial" w:eastAsia="Arial" w:hAnsi="Arial" w:cs="Arial"/>
          <w:b/>
        </w:rPr>
      </w:pPr>
      <w:r>
        <w:rPr>
          <w:rFonts w:ascii="Arial" w:eastAsia="Arial" w:hAnsi="Arial" w:cs="Arial"/>
          <w:b/>
        </w:rPr>
        <w:t>Student Name:</w:t>
      </w:r>
      <w:r w:rsidR="00602F95">
        <w:rPr>
          <w:rFonts w:ascii="Arial" w:eastAsia="Arial" w:hAnsi="Arial" w:cs="Arial"/>
          <w:b/>
        </w:rPr>
        <w:t xml:space="preserve"> Iulian Vasile Girtu</w:t>
      </w:r>
    </w:p>
    <w:p w:rsidR="008227F4" w:rsidRDefault="002E1DB4">
      <w:pPr>
        <w:pStyle w:val="normal0"/>
        <w:jc w:val="center"/>
        <w:rPr>
          <w:rFonts w:ascii="Arial" w:eastAsia="Arial" w:hAnsi="Arial" w:cs="Arial"/>
          <w:b/>
        </w:rPr>
      </w:pPr>
      <w:r>
        <w:rPr>
          <w:rFonts w:ascii="Arial" w:eastAsia="Arial" w:hAnsi="Arial" w:cs="Arial"/>
          <w:b/>
        </w:rPr>
        <w:t>Student Number:</w:t>
      </w:r>
      <w:r w:rsidR="00602F95">
        <w:rPr>
          <w:rFonts w:ascii="Arial" w:eastAsia="Arial" w:hAnsi="Arial" w:cs="Arial"/>
          <w:b/>
        </w:rPr>
        <w:t xml:space="preserve"> 21</w:t>
      </w:r>
      <w:r w:rsidR="009A5F7D">
        <w:rPr>
          <w:rFonts w:ascii="Arial" w:eastAsia="Arial" w:hAnsi="Arial" w:cs="Arial"/>
          <w:b/>
        </w:rPr>
        <w:t>33038</w:t>
      </w:r>
    </w:p>
    <w:p w:rsidR="008227F4" w:rsidRDefault="00602F95">
      <w:pPr>
        <w:pStyle w:val="normal0"/>
        <w:jc w:val="center"/>
        <w:rPr>
          <w:rFonts w:ascii="Arial" w:eastAsia="Arial" w:hAnsi="Arial" w:cs="Arial"/>
          <w:b/>
        </w:rPr>
      </w:pPr>
      <w:r>
        <w:rPr>
          <w:rFonts w:ascii="Arial" w:eastAsia="Arial" w:hAnsi="Arial" w:cs="Arial"/>
          <w:b/>
        </w:rPr>
        <w:t xml:space="preserve">Lecturer’s Name: </w:t>
      </w:r>
      <w:r w:rsidR="002E1DB4">
        <w:rPr>
          <w:rFonts w:ascii="Arial" w:eastAsia="Arial" w:hAnsi="Arial" w:cs="Arial"/>
          <w:b/>
        </w:rPr>
        <w:t>Christopher Wilkin</w:t>
      </w:r>
    </w:p>
    <w:p w:rsidR="008227F4" w:rsidRDefault="008227F4">
      <w:pPr>
        <w:pStyle w:val="normal0"/>
        <w:jc w:val="center"/>
        <w:rPr>
          <w:rFonts w:ascii="Arial" w:eastAsia="Arial" w:hAnsi="Arial" w:cs="Arial"/>
          <w:b/>
        </w:rPr>
      </w:pPr>
    </w:p>
    <w:p w:rsidR="008227F4" w:rsidRDefault="008227F4">
      <w:pPr>
        <w:pStyle w:val="normal0"/>
        <w:jc w:val="center"/>
        <w:rPr>
          <w:rFonts w:ascii="Arial" w:eastAsia="Arial" w:hAnsi="Arial" w:cs="Arial"/>
          <w:b/>
        </w:rPr>
      </w:pPr>
    </w:p>
    <w:p w:rsidR="00602F95" w:rsidRDefault="00602F95">
      <w:pPr>
        <w:pStyle w:val="normal0"/>
        <w:jc w:val="center"/>
        <w:rPr>
          <w:rFonts w:ascii="Arial" w:eastAsia="Arial" w:hAnsi="Arial" w:cs="Arial"/>
        </w:rPr>
      </w:pPr>
    </w:p>
    <w:p w:rsidR="00C01D54" w:rsidRDefault="00C01D54">
      <w:pPr>
        <w:pStyle w:val="normal0"/>
        <w:jc w:val="center"/>
        <w:rPr>
          <w:rFonts w:ascii="Arial" w:eastAsia="Arial" w:hAnsi="Arial" w:cs="Arial"/>
        </w:rPr>
      </w:pPr>
    </w:p>
    <w:p w:rsidR="00C01D54" w:rsidRDefault="00C01D54">
      <w:pPr>
        <w:pStyle w:val="normal0"/>
        <w:jc w:val="center"/>
        <w:rPr>
          <w:rFonts w:ascii="Arial" w:eastAsia="Arial" w:hAnsi="Arial" w:cs="Arial"/>
        </w:rPr>
      </w:pPr>
    </w:p>
    <w:p w:rsidR="008227F4" w:rsidRDefault="002E1DB4">
      <w:pPr>
        <w:pStyle w:val="normal0"/>
        <w:jc w:val="center"/>
        <w:rPr>
          <w:rFonts w:ascii="Arial" w:eastAsia="Arial" w:hAnsi="Arial" w:cs="Arial"/>
        </w:rPr>
      </w:pPr>
      <w:r>
        <w:rPr>
          <w:rFonts w:ascii="Arial" w:eastAsia="Arial" w:hAnsi="Arial" w:cs="Arial"/>
        </w:rPr>
        <w:t>“I ensure the entire assignment developed without using AI tools during research or writing. Also, no AI-generated materials is included in any of my submitted work. All drafts and notes and resources used in creating this assignment remain in my keeping for potential evidence review if necessary.”</w:t>
      </w:r>
    </w:p>
    <w:p w:rsidR="008227F4" w:rsidRDefault="002E1DB4">
      <w:pPr>
        <w:pStyle w:val="normal0"/>
        <w:jc w:val="center"/>
        <w:rPr>
          <w:rFonts w:ascii="Arial" w:eastAsia="Arial" w:hAnsi="Arial" w:cs="Arial"/>
          <w:b/>
        </w:rPr>
      </w:pPr>
      <w:r>
        <w:br w:type="page"/>
      </w:r>
    </w:p>
    <w:p w:rsidR="00D0369A" w:rsidRPr="00D0369A" w:rsidRDefault="00D0369A">
      <w:pPr>
        <w:pStyle w:val="normal0"/>
        <w:rPr>
          <w:rFonts w:ascii="Arial" w:eastAsia="Arial" w:hAnsi="Arial" w:cs="Arial"/>
          <w:b/>
          <w:i/>
          <w:sz w:val="28"/>
          <w:szCs w:val="28"/>
        </w:rPr>
      </w:pPr>
      <w:r>
        <w:rPr>
          <w:rFonts w:ascii="Arial" w:eastAsia="Arial" w:hAnsi="Arial" w:cs="Arial"/>
        </w:rPr>
        <w:lastRenderedPageBreak/>
        <w:t xml:space="preserve">                                                         </w:t>
      </w:r>
      <w:r w:rsidRPr="00D0369A">
        <w:rPr>
          <w:rFonts w:ascii="Arial" w:eastAsia="Arial" w:hAnsi="Arial" w:cs="Arial"/>
          <w:b/>
          <w:i/>
          <w:sz w:val="28"/>
          <w:szCs w:val="28"/>
        </w:rPr>
        <w:t xml:space="preserve"> ESSAY</w:t>
      </w:r>
    </w:p>
    <w:p w:rsidR="00D0369A" w:rsidRDefault="00D0369A">
      <w:pPr>
        <w:pStyle w:val="normal0"/>
        <w:rPr>
          <w:rFonts w:ascii="Arial" w:eastAsia="Arial" w:hAnsi="Arial" w:cs="Arial"/>
        </w:rPr>
      </w:pPr>
    </w:p>
    <w:p w:rsidR="008227F4" w:rsidRDefault="002E1DB4">
      <w:pPr>
        <w:pStyle w:val="normal0"/>
        <w:rPr>
          <w:rFonts w:ascii="Arial" w:eastAsia="Arial" w:hAnsi="Arial" w:cs="Arial"/>
        </w:rPr>
      </w:pPr>
      <w:r>
        <w:rPr>
          <w:rFonts w:ascii="Arial" w:eastAsia="Arial" w:hAnsi="Arial" w:cs="Arial"/>
        </w:rPr>
        <w:t>A growing number of hospitality and hotel providers discover sustainable initiatives which prompt them to implement responsible business practices. Making hotels eco-friendly benefits customers through resource conservation and operational efficiency (Khatter, 2025). Green practices lead to resource management improvement while decreasing environmental pollution and optimizing operation productivity (Msamadya et al., 2022). The hospitality industry must use sustainable practices both to decrease environmental damage and save existing resources. The primary actions within green initiatives consist of sustainable programs that encourage water preservation alongside energy efficiency improvements and waste minimization efforts with sustainable material utilization. Tourism sector expansion demands serious scrutiny of environmental sustainability especially for areas which struggle with resource availability. Holiday Inn attempt sustainable operations but particular locations face problems with their elevated water consumption rates (Scott, 218). Several geographic areas designated by the International Tourism Partnership (ITP) experience worsened water shortages which presents an urgent concern. Hotels operating within water-stressed regions face management challenges with their water consumption which creates business costs along with reputational hazards. Thus, the essay will evaluate the sustainable water initiatives at specific Holiday Inn facilities by proposing methods for property owners to enhance their water management system.</w:t>
      </w:r>
    </w:p>
    <w:p w:rsidR="008227F4" w:rsidRDefault="008227F4">
      <w:pPr>
        <w:pStyle w:val="normal0"/>
        <w:rPr>
          <w:rFonts w:ascii="Arial" w:eastAsia="Arial" w:hAnsi="Arial" w:cs="Arial"/>
        </w:rPr>
      </w:pPr>
    </w:p>
    <w:p w:rsidR="008227F4" w:rsidRDefault="008227F4">
      <w:pPr>
        <w:pStyle w:val="normal0"/>
        <w:rPr>
          <w:rFonts w:ascii="Arial" w:eastAsia="Arial" w:hAnsi="Arial" w:cs="Arial"/>
        </w:rPr>
      </w:pPr>
    </w:p>
    <w:p w:rsidR="008227F4" w:rsidRDefault="002E1DB4">
      <w:pPr>
        <w:pStyle w:val="normal0"/>
        <w:tabs>
          <w:tab w:val="left" w:pos="5103"/>
        </w:tabs>
        <w:rPr>
          <w:rFonts w:ascii="Arial" w:eastAsia="Arial" w:hAnsi="Arial" w:cs="Arial"/>
        </w:rPr>
      </w:pPr>
      <w:bookmarkStart w:id="0" w:name="_gjdgxs" w:colFirst="0" w:colLast="0"/>
      <w:bookmarkEnd w:id="0"/>
      <w:r>
        <w:rPr>
          <w:rFonts w:ascii="Arial" w:eastAsia="Arial" w:hAnsi="Arial" w:cs="Arial"/>
        </w:rPr>
        <w:t xml:space="preserve">The high water utilization of some Holiday Inn locations represents a significant environmental gap because water shortage problems are increasing in their operating areas (Scott¸ 2018). Hotel water-saving measures implemented through low-flow nozzles and linen reuse programs still fall short of addressing the complete water needs of hotel operations. The hotel's water use rises sharply during tourist peak times, thus creating extra demands on nearby water supplies. Effective water management shortcomings increase operational expenditures alongside environmental damage especially in locations already dealing with water stress (Cioccarelli, 2025). The establishment of </w:t>
      </w:r>
      <w:r>
        <w:rPr>
          <w:rFonts w:ascii="Arial" w:eastAsia="Arial" w:hAnsi="Arial" w:cs="Arial"/>
          <w:i/>
        </w:rPr>
        <w:t>Greywater Recycling Systems</w:t>
      </w:r>
      <w:r>
        <w:rPr>
          <w:rFonts w:ascii="Arial" w:eastAsia="Arial" w:hAnsi="Arial" w:cs="Arial"/>
        </w:rPr>
        <w:t xml:space="preserve"> serves as an effective solution for Holiday Inn to mitigate their water consumption gaps and promote major water savings over all locations. The wastewater from showers alongside sink and laundry applications known as greywater contains contaminants (Mahdieh, 2023). It receives acceptable treatment to become fit for non-drinking activities such as landscape watering and flush tank usage. Greywater recycling systems enable Holiday Inn to scale back its freshwater usage thus protecting valuable local resources at affordable operational costs. The system provides environmentally sensible and cost-effective operations for hotels occupying water-deprived areas that require intense preservation efforts.  </w:t>
      </w:r>
    </w:p>
    <w:p w:rsidR="008227F4" w:rsidRDefault="002E1DB4">
      <w:pPr>
        <w:pStyle w:val="normal0"/>
        <w:rPr>
          <w:rFonts w:ascii="Arial" w:eastAsia="Arial" w:hAnsi="Arial" w:cs="Arial"/>
        </w:rPr>
      </w:pPr>
      <w:r>
        <w:rPr>
          <w:rFonts w:ascii="Arial" w:eastAsia="Arial" w:hAnsi="Arial" w:cs="Arial"/>
        </w:rPr>
        <w:t>The hotel's greywater recycling platform collects wastewater from various points including guest room areas and laundering stations and bathrooms before it receives cleaning treatment so that it becomes suitable for hotel operational systems. The treated wastewater provides suitable water for outdoor garden watering while cutting down on potable water requirements needed to maintain hotel landscapes (Zhang et al., 2021). A substantial amount of recycled greywater remains suitable for toilet flushing operations thereby reducing water usage. Such water management brings about lower water requirements and creates less wastewater which overall delivers improved water quality to local systems. By implementing greywater recycling systems Holiday Inn can create environmental advantages and reduce its operational costs (Abhishek Kumar Awasthi, Gandhi and Rayalu, 2023). Installation expenditures and maintenance dedications eventually become offset by water bill savings thereby creating a sustainable cost-effective water management approach. A greywater recycling system establishment allows the hotel to build a reputation as a sustainable leader in its industry. In addition, Holiday Inn needs to create complete staff training about their greywater recycling system to reach success. The method will operate efficiently to help attain sustainable goals for the long-term duration.</w:t>
      </w:r>
    </w:p>
    <w:p w:rsidR="008227F4" w:rsidRDefault="002E1DB4">
      <w:pPr>
        <w:pStyle w:val="normal0"/>
        <w:rPr>
          <w:rFonts w:ascii="Arial" w:eastAsia="Arial" w:hAnsi="Arial" w:cs="Arial"/>
        </w:rPr>
      </w:pPr>
      <w:r>
        <w:rPr>
          <w:rFonts w:ascii="Arial" w:eastAsia="Arial" w:hAnsi="Arial" w:cs="Arial"/>
        </w:rPr>
        <w:t xml:space="preserve">The hospitality industry must prioritize sustainable practices with greywater recycling because the growing water shortage leads towards environmental concerns (Estévez et al., 2022). The adoption of greywater recycling systems by hotels enables multiple benefits. Like, Marriott runs among the top global hotel chains while making impressive progress toward sustainable practices across its UK properties. Under the Water Conservation Program, Marriott integrates greywater recycling in particular hotel locations (Ocial, Overnance and Ppendices, 2022). Sustainability plays a central role at Marriott Hotels as the company moves toward achieving a 20% reduction in water usage by 2025 (Marriott, 2024). The hotel employs a water reuse system to achieve double savings: it consumes less water and meets Marriott's overall environmental commitments (Sayegh et al., 2020). </w:t>
      </w:r>
    </w:p>
    <w:p w:rsidR="008227F4" w:rsidRDefault="002E1DB4">
      <w:pPr>
        <w:pStyle w:val="normal0"/>
        <w:rPr>
          <w:rFonts w:ascii="Arial" w:eastAsia="Arial" w:hAnsi="Arial" w:cs="Arial"/>
        </w:rPr>
      </w:pPr>
      <w:r>
        <w:rPr>
          <w:rFonts w:ascii="Arial" w:eastAsia="Arial" w:hAnsi="Arial" w:cs="Arial"/>
        </w:rPr>
        <w:t xml:space="preserve">In addition, Premier Inn maintains its position as the biggest hotel chain in the UK through ongoing sustainability-based environmental impact reduction initiatives. Many Premier Inn hotels have started adopting water-saving practices including the establishment of greywater recycling systems despite not all locations owning such systems (Premier Inn, 2024). Premier Inn achieves decreased water expenses and lower consumption because of its water reuse practices. Premier Inn maintains water conservation programs across its entire environmental plan through its three key objectives of lowering energy requirements and carbon footprint and minimizing waste generation. Premier Inn uses its greywater recycling system to meet its carbon-neutral goal by 2030 resulting in industry leadership for sustainability within UK hospitality (Premier Inn, 2025). Moreover, Premier Inn extends its dedication to sustainability worldwide beyond its UK hotel outlets. Premier Inn incorporates greywater recycling throughout its facilities to lead proactive solutions for water shortage problems and responsible water utilization throughout its hotel network. </w:t>
      </w:r>
    </w:p>
    <w:p w:rsidR="008227F4" w:rsidRDefault="002E1DB4">
      <w:pPr>
        <w:pStyle w:val="normal0"/>
        <w:rPr>
          <w:rFonts w:ascii="Arial" w:eastAsia="Arial" w:hAnsi="Arial" w:cs="Arial"/>
        </w:rPr>
      </w:pPr>
      <w:r>
        <w:rPr>
          <w:rFonts w:ascii="Arial" w:eastAsia="Arial" w:hAnsi="Arial" w:cs="Arial"/>
        </w:rPr>
        <w:t xml:space="preserve">Furthermore, Six Senses filters show and sink wastewater for reuse in their cooling systems with additional applications in property landscaping irrigation (Six Senses, 2025). The hotel diminishes both total water usage and environmental burden through this system. Six Senses supports environmental objectives that focus on managing water consumption together with energy conservation and waste reduction. The six senses London employs greywater recycling as a method to fulfil both its environmental targets and address customers' rising need for eco-friendly hospitality services (Six Senses, 2024). Similar to this, Savoy positions itself among UK boutique properties to promote its greywater recycling initiatives throughout its operations. The Savoy Hotel takes a bold approach to sustainability by using its compact size to build an impactful system for water conservation through greywater recycling (The Savoy, 2025). Guest bathrooms collect greywater at Savoy Hotel while laundry operations produce this wastewater for treatment into irrigation and cleaning solutions for non-drinking purposes. The hotel implements an extensive environmental program that includes responsible lighting and waste management and a local supply chain which revolves around its fundamental greywater recycling system. Savoy Hotel successfully reduces its environmental impact through greywater recycling systems which the hotel installed to complete its sustainability goal (The Savoy, 2025). Minimizing costs through water conservation achieved through greywater recycling gives Savoy Hotel an edge in attracting eco-conscious customers to the market (The Savoy, 2025a). </w:t>
      </w:r>
    </w:p>
    <w:p w:rsidR="008227F4" w:rsidRDefault="002E1DB4">
      <w:pPr>
        <w:pStyle w:val="normal0"/>
        <w:rPr>
          <w:rFonts w:ascii="Arial" w:eastAsia="Arial" w:hAnsi="Arial" w:cs="Arial"/>
        </w:rPr>
      </w:pPr>
      <w:r>
        <w:rPr>
          <w:rFonts w:ascii="Arial" w:eastAsia="Arial" w:hAnsi="Arial" w:cs="Arial"/>
        </w:rPr>
        <w:t>UK hotels benefit through economic savings to complement their environmentally sustainable water conservation efforts with the adoption of greywater recycling systems. A hotel's primary advantage of gravy water recycling is its ability to decrease total water use which remains essential for regions with limited water supplies (Estelrich, et al., 2021). During times when tourism demand peaks over the summer season the UK primarily experiences limitations in its available water supplies within some areas of the country. Hotels make significant contributions to water availability for community use by recycling their water for purposes that do not need potable standards. Organizations that recycle greywater save money on their water expenses because they comprise substantial operational costs (Zhang et al., 2021). The water recycling system operators within the hospitality industry help achieve their sectoral environmental objectives. Companies that reduce water usage while managing their environmental impact can use these initiatives to join worldwide initiatives focused on resource conservation and climate change response. Hotels that operate in regions prone to climate change-induced droughts and extreme weather need to emphasize this method strongly (Khajvand et al., 2022). Hotels can assume important responsibility in environmental resource preservation through the implementation of sustainable greywater recycling systems which benefit upcoming generations.</w:t>
      </w:r>
    </w:p>
    <w:p w:rsidR="008227F4" w:rsidRDefault="002E1DB4">
      <w:pPr>
        <w:pStyle w:val="normal0"/>
        <w:rPr>
          <w:rFonts w:ascii="Arial" w:eastAsia="Arial" w:hAnsi="Arial" w:cs="Arial"/>
        </w:rPr>
      </w:pPr>
      <w:r>
        <w:rPr>
          <w:rFonts w:ascii="Arial" w:eastAsia="Arial" w:hAnsi="Arial" w:cs="Arial"/>
        </w:rPr>
        <w:t>The main challenge in implementing a smart water management system is the expense. The system promises future financial benefits from improved water efficiency yet the initial sensor installation along with necessary data management requirements can prove costly (Singh and Ahmed, 2020). As a multinational hotel chain operating locations worldwide Hilton Hotels needs to invest significant funds to install proper technology at every site. Hotel costs for smart water management implementation cover hardware procurement and staff training together with sensor deployment across the building and system integration efforts with hotel databases and personnel skill development (Palermo et al., 2022). Operations along with maintenance expenses follow as additional financial matters to consider. System maintenance duty combined with potential software program updates will increase total expenses. The implementation of system management requires Hilton to create in-house experts or find external vendor partners to supervise this solution across their properties. The smart water management system leads to long-term savings from lower utility bills but some Hilton properties face temporary budgetary obstacles at implementation (Mounce, 2020). Locations benefiting from ample resources struggle to verify capital spending on water scarcity solutions because water challenges remain less severe. The smart water management system quickly turns profitable when it lets hotels reduce their consumption of municipal water supplies and lower their water expenses in regions with serious water stress.</w:t>
      </w:r>
    </w:p>
    <w:p w:rsidR="008227F4" w:rsidRDefault="002E1DB4">
      <w:pPr>
        <w:pStyle w:val="normal0"/>
        <w:rPr>
          <w:rFonts w:ascii="Arial" w:eastAsia="Arial" w:hAnsi="Arial" w:cs="Arial"/>
        </w:rPr>
      </w:pPr>
      <w:r>
        <w:rPr>
          <w:rFonts w:ascii="Arial" w:eastAsia="Arial" w:hAnsi="Arial" w:cs="Arial"/>
        </w:rPr>
        <w:t>Executing this initiative consistently in Hilton Hotels throughout their worldwide network represents a significant implementation challenge. Hilton maintains thousands of locations throughout the world that need individualized infrastructure solutions combined with local governmental requirements and sustainability dedication levels. The technological feasibility exists but Hilton needs to adapt the system to individual hotel requirements for broad-scale deployment (Msamadya et al., 2022). Because different properties exist under different sustainability and water usage regulations Hilton must modify the system to comply with local requirements when implementing it across their hotels. Implementing this initiative faces difficulties because of insufficient training for hotel staff members. The system's successful implementation requires Hilton to provide extensive training to hotel managers and staff which enables them to correctly read smart water management data and respond with suitable actions (Scott, 2018). Proper system monitoring combined with maintenance would lead to maximum benefits but hotels running poorly monitored systems may incur both inefficiencies and elevated costs.</w:t>
      </w:r>
    </w:p>
    <w:p w:rsidR="008227F4" w:rsidRDefault="002E1DB4">
      <w:pPr>
        <w:pStyle w:val="normal0"/>
        <w:rPr>
          <w:rFonts w:ascii="Arial" w:eastAsia="Arial" w:hAnsi="Arial" w:cs="Arial"/>
        </w:rPr>
      </w:pPr>
      <w:r>
        <w:rPr>
          <w:rFonts w:ascii="Arial" w:eastAsia="Arial" w:hAnsi="Arial" w:cs="Arial"/>
        </w:rPr>
        <w:t xml:space="preserve">The environmental benefits outcome from the smart water management system implementation would be major despite existing challenges. Water conservation through Hilton's efforts helps safeguard this vulnerable natural resource when global warming combines with expanding populations. The investment into sustainable practices by Hilton will generate a more sustainable brand reputation as an environmentally responsible hotel chain. Travellers across the market are now selecting hotels which focus on sustainability because they care about the planet (Mahdieh, 2023). Hilton can achieve dual reductions of its energy consumption and water usage because water heating is an industry-leading energy consumer in hotels. Lowering energy demand enables Hilton to reduce carbon emissions thus advancing its reputation for sustainability. The proposed system will deliver cost-reduction benefits throughout its extended operation period. The amount of water hotels use for operations represents a major expense, particularly in facilities with large buildings like hotels and resorts. </w:t>
      </w:r>
    </w:p>
    <w:p w:rsidR="008227F4" w:rsidRDefault="002E1DB4">
      <w:pPr>
        <w:pStyle w:val="normal0"/>
        <w:rPr>
          <w:rFonts w:ascii="Arial" w:eastAsia="Arial" w:hAnsi="Arial" w:cs="Arial"/>
        </w:rPr>
      </w:pPr>
      <w:r>
        <w:rPr>
          <w:rFonts w:ascii="Arial" w:eastAsia="Arial" w:hAnsi="Arial" w:cs="Arial"/>
        </w:rPr>
        <w:t>Hilton's implementation of smart water management systems allows the company to adopt current sustainability trends which helps it meet escalating global water usage and sustainability law requirements. Despite future environmental regulations getting more strict hotels which develop sustainable operations today will maintain better alignment with new rules thereby bypassing potential enforcement actions and financial fines. An integrated water management system creates added customer satisfaction value for Hilton guests who prioritize environmentally friendly hospitality services (Abhishek Kumar Awasthi, Gandhi, K. and S. Rayalu, 2023). More travellers today specifically look for vacation stays which demonstrate their environmental dedication. Hilton can boost its brand reputation through sustainable marketing efforts which will draw environmentally oriented guests to expand their customer base while building positive public relations profiles.</w:t>
      </w:r>
    </w:p>
    <w:p w:rsidR="008227F4" w:rsidRDefault="008227F4">
      <w:pPr>
        <w:pStyle w:val="normal0"/>
        <w:rPr>
          <w:rFonts w:ascii="Arial" w:eastAsia="Arial" w:hAnsi="Arial" w:cs="Arial"/>
        </w:rPr>
      </w:pPr>
    </w:p>
    <w:p w:rsidR="008227F4" w:rsidRDefault="008227F4">
      <w:pPr>
        <w:pStyle w:val="normal0"/>
        <w:rPr>
          <w:rFonts w:ascii="Arial" w:eastAsia="Arial" w:hAnsi="Arial" w:cs="Arial"/>
        </w:rPr>
      </w:pPr>
    </w:p>
    <w:p w:rsidR="008227F4" w:rsidRDefault="002E1DB4">
      <w:pPr>
        <w:pStyle w:val="normal0"/>
        <w:rPr>
          <w:rFonts w:ascii="Arial" w:eastAsia="Arial" w:hAnsi="Arial" w:cs="Arial"/>
        </w:rPr>
      </w:pPr>
      <w:r>
        <w:rPr>
          <w:rFonts w:ascii="Arial" w:eastAsia="Arial" w:hAnsi="Arial" w:cs="Arial"/>
        </w:rPr>
        <w:t xml:space="preserve">Conclusively, the smart water management system implementation for Hilton Hotels faces difficult starting challenges but its long-range advantages demonstrate clear benefits to feasibility and impact. The system's environmental impact extends to local water conservation and decreased carbon emissions with enormous environmental benefits. The combination of proper funding with a dedicated focus enables Hilton to deploy this technology which establishes meaningful progress toward sustainability targets and retains environmentally minded customers. A smart water management system demonstrates high long-term adaptability among its key advantages. The integration of this technology into Hilton's expanding hotel network should become a common practice following property expansion and renovation projects. Through real-time data analytics Hilton can optimize its water management approaches which leads to enhanced system performance alongside the facility adaptation to unique location requirements. Moreover, the essay concluded that through innovative smart water management technologies Hilton can achieve water cost savings that would compensate for its initial capital expenses. </w:t>
      </w:r>
    </w:p>
    <w:p w:rsidR="008227F4" w:rsidRDefault="002E1DB4">
      <w:pPr>
        <w:pStyle w:val="normal0"/>
        <w:spacing w:after="160" w:line="259" w:lineRule="auto"/>
        <w:jc w:val="left"/>
        <w:rPr>
          <w:rFonts w:ascii="Arial" w:eastAsia="Arial" w:hAnsi="Arial" w:cs="Arial"/>
          <w:b/>
        </w:rPr>
      </w:pPr>
      <w:r>
        <w:br w:type="page"/>
      </w:r>
    </w:p>
    <w:p w:rsidR="008227F4" w:rsidRDefault="002E1DB4">
      <w:pPr>
        <w:pStyle w:val="normal0"/>
        <w:rPr>
          <w:rFonts w:ascii="Arial" w:eastAsia="Arial" w:hAnsi="Arial" w:cs="Arial"/>
          <w:b/>
        </w:rPr>
      </w:pPr>
      <w:r>
        <w:rPr>
          <w:rFonts w:ascii="Arial" w:eastAsia="Arial" w:hAnsi="Arial" w:cs="Arial"/>
          <w:b/>
        </w:rPr>
        <w:t xml:space="preserve">References </w:t>
      </w:r>
    </w:p>
    <w:p w:rsidR="008227F4" w:rsidRDefault="002E1DB4">
      <w:pPr>
        <w:pStyle w:val="normal0"/>
        <w:ind w:left="720" w:hanging="720"/>
        <w:rPr>
          <w:rFonts w:ascii="Arial" w:eastAsia="Arial" w:hAnsi="Arial" w:cs="Arial"/>
        </w:rPr>
      </w:pPr>
      <w:r>
        <w:rPr>
          <w:rFonts w:ascii="Arial" w:eastAsia="Arial" w:hAnsi="Arial" w:cs="Arial"/>
        </w:rPr>
        <w:t>Abhishek Kumar Awasthi, Gandhi, K. and S. Rayalu (2023). Greywater treatment technologies: a comprehensive review. International Journal of Environmental Science and Technology. doi:https://doi.org/10.1007/s13762-023-04940-7.</w:t>
      </w:r>
    </w:p>
    <w:p w:rsidR="008227F4" w:rsidRDefault="002E1DB4">
      <w:pPr>
        <w:pStyle w:val="normal0"/>
        <w:ind w:left="720" w:hanging="720"/>
        <w:rPr>
          <w:rFonts w:ascii="Arial" w:eastAsia="Arial" w:hAnsi="Arial" w:cs="Arial"/>
        </w:rPr>
      </w:pPr>
      <w:r>
        <w:rPr>
          <w:rFonts w:ascii="Arial" w:eastAsia="Arial" w:hAnsi="Arial" w:cs="Arial"/>
        </w:rPr>
        <w:t xml:space="preserve">Cioccarelli, E. (2023). Aligning luxury with responsibility: an in-depth study of ESG implementation and communication in Boutique Hotel. [Online] repositorio.ucp.pt. Available at: </w:t>
      </w:r>
      <w:hyperlink r:id="rId6">
        <w:r>
          <w:rPr>
            <w:rFonts w:ascii="Arial" w:eastAsia="Arial" w:hAnsi="Arial" w:cs="Arial"/>
            <w:color w:val="000000"/>
            <w:u w:val="single"/>
          </w:rPr>
          <w:t>https://repositorio.ucp.pt/handle/10400.14/44694</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Estelrich, M., Vosse, J., Comas, J., Atanasova, N., Costa, J.C., Gattringer, H. and Buttiglieri, G. (2021). Feasibility of vertical ecosystem for sustainable water treatment and reuse in touristic resorts. Journal of Environmental Management, [online] 294, p.112968. doi:https://doi.org/10.1016/j.jenvman.2021.112968.</w:t>
      </w:r>
    </w:p>
    <w:p w:rsidR="008227F4" w:rsidRDefault="002E1DB4">
      <w:pPr>
        <w:pStyle w:val="normal0"/>
        <w:ind w:left="720" w:hanging="720"/>
        <w:rPr>
          <w:rFonts w:ascii="Arial" w:eastAsia="Arial" w:hAnsi="Arial" w:cs="Arial"/>
        </w:rPr>
      </w:pPr>
      <w:r>
        <w:rPr>
          <w:rFonts w:ascii="Arial" w:eastAsia="Arial" w:hAnsi="Arial" w:cs="Arial"/>
        </w:rPr>
        <w:t>Estévez, S., Feijoo, G. and Moreira, M.T. (2022). Environmental synergies in decentralized wastewater treatment at a hotel resort. Journal of Environmental Management, [online] 317, p.115392. doi:https://doi.org/10.1016/j.jenvman.2022.115392.</w:t>
      </w:r>
    </w:p>
    <w:p w:rsidR="008227F4" w:rsidRDefault="002E1DB4">
      <w:pPr>
        <w:pStyle w:val="normal0"/>
        <w:ind w:left="720" w:hanging="720"/>
        <w:rPr>
          <w:rFonts w:ascii="Arial" w:eastAsia="Arial" w:hAnsi="Arial" w:cs="Arial"/>
          <w:color w:val="000000"/>
          <w:u w:val="single"/>
        </w:rPr>
      </w:pPr>
      <w:r>
        <w:rPr>
          <w:rFonts w:ascii="Arial" w:eastAsia="Arial" w:hAnsi="Arial" w:cs="Arial"/>
        </w:rPr>
        <w:t xml:space="preserve">Khajvand, M., Mostafazadeh, A. K., Drogui, P., &amp; Tyagi, R. D. (2022). Management of greywater: environmental impact, treatment, resource recovery, water recycling, and decentralization. Water Science &amp; Technology, 86(5), 909-937. </w:t>
      </w:r>
      <w:r>
        <w:rPr>
          <w:rFonts w:ascii="Arial" w:eastAsia="Arial" w:hAnsi="Arial" w:cs="Arial"/>
          <w:color w:val="000000"/>
          <w:u w:val="single"/>
        </w:rPr>
        <w:t>doi:</w:t>
      </w:r>
      <w:hyperlink r:id="rId7">
        <w:r>
          <w:rPr>
            <w:rFonts w:ascii="Arial" w:eastAsia="Arial" w:hAnsi="Arial" w:cs="Arial"/>
            <w:color w:val="000000"/>
            <w:u w:val="single"/>
          </w:rPr>
          <w:t>https://www.sciencedirect.com/science/article/abs/pii/S0048969721037591</w:t>
        </w:r>
      </w:hyperlink>
      <w:r>
        <w:rPr>
          <w:rFonts w:ascii="Arial" w:eastAsia="Arial" w:hAnsi="Arial" w:cs="Arial"/>
          <w:color w:val="000000"/>
          <w:u w:val="single"/>
        </w:rPr>
        <w:t>.</w:t>
      </w:r>
    </w:p>
    <w:p w:rsidR="008227F4" w:rsidRDefault="002E1DB4">
      <w:pPr>
        <w:pStyle w:val="normal0"/>
        <w:ind w:left="720" w:hanging="720"/>
        <w:rPr>
          <w:rFonts w:ascii="Arial" w:eastAsia="Arial" w:hAnsi="Arial" w:cs="Arial"/>
        </w:rPr>
      </w:pPr>
      <w:r>
        <w:rPr>
          <w:rFonts w:ascii="Arial" w:eastAsia="Arial" w:hAnsi="Arial" w:cs="Arial"/>
        </w:rPr>
        <w:t>Khatter, A. (2025). Challenges and Solutions for Corporate Social Responsibility in the Hospitality Industry. Challenges, [online] 16(1), p.9. doi:https://doi.org/10.3390/challe16010009.</w:t>
      </w:r>
    </w:p>
    <w:p w:rsidR="008227F4" w:rsidRDefault="002E1DB4">
      <w:pPr>
        <w:pStyle w:val="normal0"/>
        <w:ind w:left="720" w:hanging="720"/>
        <w:rPr>
          <w:rFonts w:ascii="Arial" w:eastAsia="Arial" w:hAnsi="Arial" w:cs="Arial"/>
        </w:rPr>
      </w:pPr>
      <w:r>
        <w:rPr>
          <w:rFonts w:ascii="Arial" w:eastAsia="Arial" w:hAnsi="Arial" w:cs="Arial"/>
        </w:rPr>
        <w:t xml:space="preserve">Mahdieh (2023). Management of greywater: environmental impact, treatment, resource recovery, water recycling, and decentralization. [Online] Iwaponline.com. Available at: </w:t>
      </w:r>
      <w:hyperlink r:id="rId8">
        <w:r>
          <w:rPr>
            <w:rFonts w:ascii="Arial" w:eastAsia="Arial" w:hAnsi="Arial" w:cs="Arial"/>
            <w:color w:val="000000"/>
            <w:u w:val="single"/>
          </w:rPr>
          <w:t>https://iwaponline.com/wst/article/86/5/909/89912/Management-of-greywater-environmental-impact</w:t>
        </w:r>
      </w:hyperlink>
      <w:r>
        <w:rPr>
          <w:rFonts w:ascii="Arial" w:eastAsia="Arial" w:hAnsi="Arial" w:cs="Arial"/>
        </w:rPr>
        <w:t xml:space="preserve">. </w:t>
      </w:r>
    </w:p>
    <w:p w:rsidR="008227F4" w:rsidRDefault="002E1DB4">
      <w:pPr>
        <w:pStyle w:val="normal0"/>
        <w:ind w:left="720" w:hanging="720"/>
        <w:rPr>
          <w:rFonts w:ascii="Arial" w:eastAsia="Arial" w:hAnsi="Arial" w:cs="Arial"/>
        </w:rPr>
      </w:pPr>
      <w:r>
        <w:rPr>
          <w:rFonts w:ascii="Arial" w:eastAsia="Arial" w:hAnsi="Arial" w:cs="Arial"/>
        </w:rPr>
        <w:t xml:space="preserve">Marriott (2024). Sustain responsible operations. [Online] csr-marriott. Available at: </w:t>
      </w:r>
      <w:hyperlink r:id="rId9">
        <w:r>
          <w:rPr>
            <w:rFonts w:ascii="Arial" w:eastAsia="Arial" w:hAnsi="Arial" w:cs="Arial"/>
            <w:color w:val="000000"/>
            <w:u w:val="single"/>
          </w:rPr>
          <w:t>https://serve360.marriott.com/sustain/</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Mounce, S.R. (2020). Data Science Trends and Opportunities for Smart Water Utilities. The Handbook of Environmental Chemistry, pp.1–26. doi:https://doi.org/10.1007/698_2020_482.</w:t>
      </w:r>
    </w:p>
    <w:p w:rsidR="008227F4" w:rsidRDefault="002E1DB4">
      <w:pPr>
        <w:pStyle w:val="normal0"/>
        <w:ind w:left="720" w:hanging="720"/>
        <w:rPr>
          <w:rFonts w:ascii="Arial" w:eastAsia="Arial" w:hAnsi="Arial" w:cs="Arial"/>
        </w:rPr>
      </w:pPr>
      <w:r>
        <w:rPr>
          <w:rFonts w:ascii="Arial" w:eastAsia="Arial" w:hAnsi="Arial" w:cs="Arial"/>
        </w:rPr>
        <w:t>Msamadya, S., Joo, J.C., Lee, J.M., Choi, J.S., Lee, S., Lee, D.J., Go, H.W., Jang, S.Y. and Lee, D.H. (2022). Role of Water Policies in the Adoption of Smart Water Metering and the Future Market. Water, 14(5), p.826. doi:https://doi.org/10.3390/w14050826.</w:t>
      </w:r>
    </w:p>
    <w:p w:rsidR="008227F4" w:rsidRDefault="002E1DB4">
      <w:pPr>
        <w:pStyle w:val="normal0"/>
        <w:ind w:left="720" w:hanging="720"/>
        <w:rPr>
          <w:rFonts w:ascii="Arial" w:eastAsia="Arial" w:hAnsi="Arial" w:cs="Arial"/>
        </w:rPr>
      </w:pPr>
      <w:r>
        <w:rPr>
          <w:rFonts w:ascii="Arial" w:eastAsia="Arial" w:hAnsi="Arial" w:cs="Arial"/>
        </w:rPr>
        <w:t xml:space="preserve">Ocial, Overnance and Ppendices (2022). Environmental, Social, and Governance Progress 2 2022 Serve 360 Report: Environmental, Social, and Governance Progress •I NTRODUCTION •S ERVE 360: DOING GOOD IN EVERY DIRECTION •E NVIRONMENTAL. [Online] Available at: </w:t>
      </w:r>
      <w:hyperlink r:id="rId10">
        <w:r>
          <w:rPr>
            <w:rFonts w:ascii="Arial" w:eastAsia="Arial" w:hAnsi="Arial" w:cs="Arial"/>
            <w:color w:val="000000"/>
            <w:u w:val="single"/>
          </w:rPr>
          <w:t>http://serve360.marriott.com/wp-content/uploads/2022/10/Marriott-2022-Serve-360-ESG-Report-accessible_F.pdf</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Palermo, S.A., Maiolo, M., Brusco, A.C., Turco, M., Pirouz, B., Greco, E., Spezzano, G. and Piro, P. (2022). Smart Technologies for Water Resource Management: An Overview. Sensors, 22(16), p.6225. doi:https://doi.org/10.3390/s22166225.</w:t>
      </w:r>
    </w:p>
    <w:p w:rsidR="008227F4" w:rsidRDefault="002E1DB4">
      <w:pPr>
        <w:pStyle w:val="normal0"/>
        <w:ind w:left="720" w:hanging="720"/>
        <w:rPr>
          <w:rFonts w:ascii="Arial" w:eastAsia="Arial" w:hAnsi="Arial" w:cs="Arial"/>
        </w:rPr>
      </w:pPr>
      <w:r>
        <w:rPr>
          <w:rFonts w:ascii="Arial" w:eastAsia="Arial" w:hAnsi="Arial" w:cs="Arial"/>
        </w:rPr>
        <w:t xml:space="preserve">Premier Inn (2024). Sustainability Survey by Premier Inn Middle East reveals Strong Environmental Awareness. [Online] Premierinn.com. Available at: </w:t>
      </w:r>
      <w:hyperlink r:id="rId11">
        <w:r>
          <w:rPr>
            <w:rFonts w:ascii="Arial" w:eastAsia="Arial" w:hAnsi="Arial" w:cs="Arial"/>
            <w:color w:val="000000"/>
            <w:u w:val="single"/>
          </w:rPr>
          <w:t>https://mena.premierinn.com/en/news/sustainability-survey-by-premier-inn-middle-east-reveals-strong-environmental-awareness/</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 xml:space="preserve">Premier Inn (2025). Net zero carbon emissions. [Online] www.premierinn.com. Available at: </w:t>
      </w:r>
      <w:hyperlink r:id="rId12">
        <w:r>
          <w:rPr>
            <w:rFonts w:ascii="Arial" w:eastAsia="Arial" w:hAnsi="Arial" w:cs="Arial"/>
            <w:color w:val="000000"/>
            <w:u w:val="single"/>
          </w:rPr>
          <w:t>https://www.premierinn.com/gb/en/news/2021/net-zero-carbon-emissions.html</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Sayegh, M.A., Ludwińska, A., Rajski, K. and Dudkiewicz, E. (2020). Environmental and energy saving potential from greywater in hotels. Science of The Total Environment, p.143220. doi:https://doi.org/10.1016/j.scitotenv.2020.143220.</w:t>
      </w:r>
    </w:p>
    <w:p w:rsidR="008227F4" w:rsidRDefault="002E1DB4">
      <w:pPr>
        <w:pStyle w:val="normal0"/>
        <w:ind w:left="720" w:hanging="720"/>
        <w:rPr>
          <w:rFonts w:ascii="Arial" w:eastAsia="Arial" w:hAnsi="Arial" w:cs="Arial"/>
        </w:rPr>
      </w:pPr>
      <w:r>
        <w:rPr>
          <w:rFonts w:ascii="Arial" w:eastAsia="Arial" w:hAnsi="Arial" w:cs="Arial"/>
        </w:rPr>
        <w:t xml:space="preserve">Scott, M. (2018). Hotels In Holiday Paradises Face Up To The Risks Of The Water Running Dry. [Online] Forbes. Available at: </w:t>
      </w:r>
      <w:hyperlink r:id="rId13">
        <w:r>
          <w:rPr>
            <w:rFonts w:ascii="Arial" w:eastAsia="Arial" w:hAnsi="Arial" w:cs="Arial"/>
            <w:color w:val="000000"/>
            <w:u w:val="single"/>
          </w:rPr>
          <w:t>https://www.forbes.com/sites/mikescott/2018/09/01/tourism-industry-faces-up-to-water-risks-in-holiday-paradises/</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Singh, M. and Ahmed, S. (2020). IoT based smart water management systems: A systematic review. Materials Today: Proceedings, 46. doi:https://doi.org/10.1016/j.matpr.2020.08.588.</w:t>
      </w:r>
    </w:p>
    <w:p w:rsidR="008227F4" w:rsidRDefault="002E1DB4">
      <w:pPr>
        <w:pStyle w:val="normal0"/>
        <w:ind w:left="720" w:hanging="720"/>
        <w:rPr>
          <w:rFonts w:ascii="Arial" w:eastAsia="Arial" w:hAnsi="Arial" w:cs="Arial"/>
        </w:rPr>
      </w:pPr>
      <w:r>
        <w:rPr>
          <w:rFonts w:ascii="Arial" w:eastAsia="Arial" w:hAnsi="Arial" w:cs="Arial"/>
        </w:rPr>
        <w:t xml:space="preserve">Six Senses (2024). Sustainable Resorts and Responsible Travel | Six Senses. [Online] www.sixsenses.com. Available at: </w:t>
      </w:r>
      <w:hyperlink r:id="rId14">
        <w:r>
          <w:rPr>
            <w:rFonts w:ascii="Arial" w:eastAsia="Arial" w:hAnsi="Arial" w:cs="Arial"/>
            <w:color w:val="000000"/>
            <w:u w:val="single"/>
          </w:rPr>
          <w:t>https://www.sixsenses.com/en/sustainability/</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 xml:space="preserve">Six Senses (2025). Impacts. [Online] Sixsenses.com. Available at: </w:t>
      </w:r>
      <w:hyperlink r:id="rId15">
        <w:r>
          <w:rPr>
            <w:rFonts w:ascii="Arial" w:eastAsia="Arial" w:hAnsi="Arial" w:cs="Arial"/>
            <w:color w:val="000000"/>
            <w:u w:val="single"/>
          </w:rPr>
          <w:t>https://www.sixsenses.com/en/sustainability/impacts/</w:t>
        </w:r>
      </w:hyperlink>
      <w:r>
        <w:rPr>
          <w:rFonts w:ascii="Arial" w:eastAsia="Arial" w:hAnsi="Arial" w:cs="Arial"/>
        </w:rPr>
        <w:t xml:space="preserve">. </w:t>
      </w:r>
    </w:p>
    <w:p w:rsidR="008227F4" w:rsidRDefault="002E1DB4">
      <w:pPr>
        <w:pStyle w:val="normal0"/>
        <w:ind w:left="720" w:hanging="720"/>
        <w:rPr>
          <w:rFonts w:ascii="Arial" w:eastAsia="Arial" w:hAnsi="Arial" w:cs="Arial"/>
        </w:rPr>
      </w:pPr>
      <w:r>
        <w:rPr>
          <w:rFonts w:ascii="Arial" w:eastAsia="Arial" w:hAnsi="Arial" w:cs="Arial"/>
        </w:rPr>
        <w:t xml:space="preserve">The Savoy (2025). Sustainability Initiatives | The Savoy. [Online] The Savoy London. Available at: </w:t>
      </w:r>
      <w:hyperlink r:id="rId16">
        <w:r>
          <w:rPr>
            <w:rFonts w:ascii="Arial" w:eastAsia="Arial" w:hAnsi="Arial" w:cs="Arial"/>
            <w:color w:val="000000"/>
            <w:u w:val="single"/>
          </w:rPr>
          <w:t>https://www.thesavoylondon.com/about-us-2/sustainability-initiatives/</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 xml:space="preserve">The Savoy (2025a). Sustainability At The Savoy. [Online] Savoy Collection Hotels. Available at: </w:t>
      </w:r>
      <w:hyperlink r:id="rId17">
        <w:r>
          <w:rPr>
            <w:rFonts w:ascii="Arial" w:eastAsia="Arial" w:hAnsi="Arial" w:cs="Arial"/>
            <w:color w:val="000000"/>
            <w:u w:val="single"/>
          </w:rPr>
          <w:t>https://www.thesavoycollection.com/home/about-the-savoy-collection/sustainability-at-the-savoy/</w:t>
        </w:r>
      </w:hyperlink>
      <w:r>
        <w:rPr>
          <w:rFonts w:ascii="Arial" w:eastAsia="Arial" w:hAnsi="Arial" w:cs="Arial"/>
        </w:rPr>
        <w:t>.</w:t>
      </w:r>
    </w:p>
    <w:p w:rsidR="008227F4" w:rsidRDefault="002E1DB4">
      <w:pPr>
        <w:pStyle w:val="normal0"/>
        <w:ind w:left="720" w:hanging="720"/>
        <w:rPr>
          <w:rFonts w:ascii="Arial" w:eastAsia="Arial" w:hAnsi="Arial" w:cs="Arial"/>
        </w:rPr>
      </w:pPr>
      <w:r>
        <w:rPr>
          <w:rFonts w:ascii="Arial" w:eastAsia="Arial" w:hAnsi="Arial" w:cs="Arial"/>
        </w:rPr>
        <w:t>Zhang, L., Njepu, A. and Xia, X. (2021). Minimum cost solution to residential energy-water nexus through rainwater harvesting and greywater recycling. Journal of Cleaner Production, 298, p.126742. doi:https://doi.org/10.1016/j.jclepro.2021.126742.</w:t>
      </w:r>
    </w:p>
    <w:p w:rsidR="008227F4" w:rsidRDefault="008227F4">
      <w:pPr>
        <w:pStyle w:val="normal0"/>
        <w:spacing w:after="160" w:line="259" w:lineRule="auto"/>
        <w:jc w:val="left"/>
        <w:rPr>
          <w:rFonts w:ascii="Arial" w:eastAsia="Arial" w:hAnsi="Arial" w:cs="Arial"/>
        </w:rPr>
      </w:pPr>
    </w:p>
    <w:sectPr w:rsidR="008227F4" w:rsidSect="008227F4">
      <w:headerReference w:type="default" r:id="rId18"/>
      <w:pgSz w:w="12240" w:h="15840"/>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4EDC" w:rsidRDefault="00464EDC" w:rsidP="008227F4">
      <w:pPr>
        <w:spacing w:line="240" w:lineRule="auto"/>
      </w:pPr>
      <w:r>
        <w:separator/>
      </w:r>
    </w:p>
  </w:endnote>
  <w:endnote w:type="continuationSeparator" w:id="1">
    <w:p w:rsidR="00464EDC" w:rsidRDefault="00464EDC" w:rsidP="008227F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4EDC" w:rsidRDefault="00464EDC" w:rsidP="008227F4">
      <w:pPr>
        <w:spacing w:line="240" w:lineRule="auto"/>
      </w:pPr>
      <w:r>
        <w:separator/>
      </w:r>
    </w:p>
  </w:footnote>
  <w:footnote w:type="continuationSeparator" w:id="1">
    <w:p w:rsidR="00464EDC" w:rsidRDefault="00464EDC" w:rsidP="008227F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27F4" w:rsidRDefault="00474345">
    <w:pPr>
      <w:pStyle w:val="normal0"/>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2E1DB4">
      <w:rPr>
        <w:color w:val="000000"/>
      </w:rPr>
      <w:instrText>PAGE</w:instrText>
    </w:r>
    <w:r>
      <w:rPr>
        <w:color w:val="000000"/>
      </w:rPr>
      <w:fldChar w:fldCharType="separate"/>
    </w:r>
    <w:r w:rsidR="00D0369A">
      <w:rPr>
        <w:noProof/>
        <w:color w:val="000000"/>
      </w:rPr>
      <w:t>2</w:t>
    </w:r>
    <w:r>
      <w:rPr>
        <w:color w:val="000000"/>
      </w:rPr>
      <w:fldChar w:fldCharType="end"/>
    </w:r>
  </w:p>
  <w:p w:rsidR="008227F4" w:rsidRDefault="008227F4">
    <w:pPr>
      <w:pStyle w:val="normal0"/>
      <w:pBdr>
        <w:top w:val="nil"/>
        <w:left w:val="nil"/>
        <w:bottom w:val="nil"/>
        <w:right w:val="nil"/>
        <w:between w:val="nil"/>
      </w:pBdr>
      <w:tabs>
        <w:tab w:val="center" w:pos="4680"/>
        <w:tab w:val="right" w:pos="9360"/>
      </w:tabs>
      <w:spacing w:line="240" w:lineRule="auto"/>
      <w:rPr>
        <w:color w:val="00000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0"/>
    <w:footnote w:id="1"/>
  </w:footnotePr>
  <w:endnotePr>
    <w:endnote w:id="0"/>
    <w:endnote w:id="1"/>
  </w:endnotePr>
  <w:compat/>
  <w:rsids>
    <w:rsidRoot w:val="008227F4"/>
    <w:rsid w:val="002E1DB4"/>
    <w:rsid w:val="00464EDC"/>
    <w:rsid w:val="00474345"/>
    <w:rsid w:val="00477447"/>
    <w:rsid w:val="005448B6"/>
    <w:rsid w:val="00557B3A"/>
    <w:rsid w:val="00602F95"/>
    <w:rsid w:val="008227F4"/>
    <w:rsid w:val="009A5F7D"/>
    <w:rsid w:val="00C01D54"/>
    <w:rsid w:val="00CA74DD"/>
    <w:rsid w:val="00D0369A"/>
    <w:rsid w:val="00D12AAE"/>
    <w:rsid w:val="00D178F5"/>
    <w:rsid w:val="00D73533"/>
    <w:rsid w:val="00E065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4DD"/>
  </w:style>
  <w:style w:type="paragraph" w:styleId="Heading1">
    <w:name w:val="heading 1"/>
    <w:basedOn w:val="normal0"/>
    <w:next w:val="normal0"/>
    <w:rsid w:val="008227F4"/>
    <w:pPr>
      <w:keepNext/>
      <w:keepLines/>
      <w:spacing w:before="240"/>
      <w:ind w:left="432" w:hanging="432"/>
      <w:outlineLvl w:val="0"/>
    </w:pPr>
    <w:rPr>
      <w:b/>
    </w:rPr>
  </w:style>
  <w:style w:type="paragraph" w:styleId="Heading2">
    <w:name w:val="heading 2"/>
    <w:basedOn w:val="normal0"/>
    <w:next w:val="normal0"/>
    <w:rsid w:val="008227F4"/>
    <w:pPr>
      <w:keepNext/>
      <w:keepLines/>
      <w:spacing w:before="40"/>
      <w:ind w:left="576" w:hanging="576"/>
      <w:outlineLvl w:val="1"/>
    </w:pPr>
    <w:rPr>
      <w:b/>
    </w:rPr>
  </w:style>
  <w:style w:type="paragraph" w:styleId="Heading3">
    <w:name w:val="heading 3"/>
    <w:basedOn w:val="normal0"/>
    <w:next w:val="normal0"/>
    <w:rsid w:val="008227F4"/>
    <w:pPr>
      <w:keepNext/>
      <w:keepLines/>
      <w:spacing w:before="40"/>
      <w:ind w:left="720" w:hanging="720"/>
      <w:outlineLvl w:val="2"/>
    </w:pPr>
    <w:rPr>
      <w:b/>
    </w:rPr>
  </w:style>
  <w:style w:type="paragraph" w:styleId="Heading4">
    <w:name w:val="heading 4"/>
    <w:basedOn w:val="normal0"/>
    <w:next w:val="normal0"/>
    <w:rsid w:val="008227F4"/>
    <w:pPr>
      <w:keepNext/>
      <w:keepLines/>
      <w:spacing w:before="40"/>
      <w:outlineLvl w:val="3"/>
    </w:pPr>
    <w:rPr>
      <w:rFonts w:ascii="Calibri" w:eastAsia="Calibri" w:hAnsi="Calibri" w:cs="Calibri"/>
      <w:i/>
      <w:color w:val="2E75B5"/>
    </w:rPr>
  </w:style>
  <w:style w:type="paragraph" w:styleId="Heading5">
    <w:name w:val="heading 5"/>
    <w:basedOn w:val="normal0"/>
    <w:next w:val="normal0"/>
    <w:rsid w:val="008227F4"/>
    <w:pPr>
      <w:keepNext/>
      <w:keepLines/>
      <w:spacing w:before="40"/>
      <w:outlineLvl w:val="4"/>
    </w:pPr>
    <w:rPr>
      <w:rFonts w:ascii="Calibri" w:eastAsia="Calibri" w:hAnsi="Calibri" w:cs="Calibri"/>
      <w:color w:val="2E75B5"/>
    </w:rPr>
  </w:style>
  <w:style w:type="paragraph" w:styleId="Heading6">
    <w:name w:val="heading 6"/>
    <w:basedOn w:val="normal0"/>
    <w:next w:val="normal0"/>
    <w:rsid w:val="008227F4"/>
    <w:pPr>
      <w:keepNext/>
      <w:keepLines/>
      <w:spacing w:before="40"/>
      <w:outlineLvl w:val="5"/>
    </w:pPr>
    <w:rPr>
      <w:rFonts w:ascii="Calibri" w:eastAsia="Calibri" w:hAnsi="Calibri" w:cs="Calibri"/>
      <w:color w:val="1E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227F4"/>
  </w:style>
  <w:style w:type="paragraph" w:styleId="Title">
    <w:name w:val="Title"/>
    <w:basedOn w:val="normal0"/>
    <w:next w:val="normal0"/>
    <w:rsid w:val="008227F4"/>
    <w:pPr>
      <w:keepNext/>
      <w:keepLines/>
      <w:spacing w:before="480" w:after="120"/>
    </w:pPr>
    <w:rPr>
      <w:b/>
      <w:sz w:val="72"/>
      <w:szCs w:val="72"/>
    </w:rPr>
  </w:style>
  <w:style w:type="paragraph" w:styleId="Subtitle">
    <w:name w:val="Subtitle"/>
    <w:basedOn w:val="normal0"/>
    <w:next w:val="normal0"/>
    <w:rsid w:val="008227F4"/>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iwaponline.com/wst/article/86/5/909/89912/Management-of-greywater-environmental-impact" TargetMode="External"/><Relationship Id="rId13" Type="http://schemas.openxmlformats.org/officeDocument/2006/relationships/hyperlink" Target="https://www.forbes.com/sites/mikescott/2018/09/01/tourism-industry-faces-up-to-water-risks-in-holiday-paradises/"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sciencedirect.com/science/article/abs/pii/S0048969721037591" TargetMode="External"/><Relationship Id="rId12" Type="http://schemas.openxmlformats.org/officeDocument/2006/relationships/hyperlink" Target="https://www.premierinn.com/gb/en/news/2021/net-zero-carbon-emissions.html" TargetMode="External"/><Relationship Id="rId17" Type="http://schemas.openxmlformats.org/officeDocument/2006/relationships/hyperlink" Target="https://www.thesavoycollection.com/home/about-the-savoy-collection/sustainability-at-the-savoy/" TargetMode="External"/><Relationship Id="rId2" Type="http://schemas.openxmlformats.org/officeDocument/2006/relationships/settings" Target="settings.xml"/><Relationship Id="rId16" Type="http://schemas.openxmlformats.org/officeDocument/2006/relationships/hyperlink" Target="https://www.thesavoylondon.com/about-us-2/sustainability-initiative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epositorio.ucp.pt/handle/10400.14/44694" TargetMode="External"/><Relationship Id="rId11" Type="http://schemas.openxmlformats.org/officeDocument/2006/relationships/hyperlink" Target="https://mena.premierinn.com/en/news/sustainability-survey-by-premier-inn-middle-east-reveals-strong-environmental-awareness/" TargetMode="External"/><Relationship Id="rId5" Type="http://schemas.openxmlformats.org/officeDocument/2006/relationships/endnotes" Target="endnotes.xml"/><Relationship Id="rId15" Type="http://schemas.openxmlformats.org/officeDocument/2006/relationships/hyperlink" Target="https://www.sixsenses.com/en/sustainability/impacts/" TargetMode="External"/><Relationship Id="rId10" Type="http://schemas.openxmlformats.org/officeDocument/2006/relationships/hyperlink" Target="http://serve360.marriott.com/wp-content/uploads/2022/10/Marriott-2022-Serve-360-ESG-Report-accessible_F.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rve360.marriott.com/sustain/" TargetMode="External"/><Relationship Id="rId14" Type="http://schemas.openxmlformats.org/officeDocument/2006/relationships/hyperlink" Target="https://www.sixsenses.com/en/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11</Pages>
  <Words>3316</Words>
  <Characters>18906</Characters>
  <Application>Microsoft Office Word</Application>
  <DocSecurity>0</DocSecurity>
  <Lines>157</Lines>
  <Paragraphs>44</Paragraphs>
  <ScaleCrop>false</ScaleCrop>
  <Company>Grizli777</Company>
  <LinksUpToDate>false</LinksUpToDate>
  <CharactersWithSpaces>22178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7</cp:revision>
  <dcterms:created xsi:type="dcterms:W3CDTF">2025-02-03T09:53:00Z</dcterms:created>
  <dcterms:modified xsi:type="dcterms:W3CDTF">2025-02-06T19:45:00Z</dcterms:modified>
</cp:coreProperties>
</file>