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630B61" w:rsidP="00A271B5" w:rsidRDefault="00A271B5" w14:paraId="3BF42453" w14:textId="05DCB074">
      <w:r w:rsidR="7D72FDEC">
        <w:rPr/>
        <w:t>Robyn L. Jones &amp; Gethin Ll. Thomas (2015) Coaching as ‘scaffolded’ practice: further insights into sport pedagogy, Sports Coaching Review, 4:2, 65-79,</w:t>
      </w:r>
      <w:r w:rsidR="16A88ED1">
        <w:rPr/>
        <w:t xml:space="preserve"> </w:t>
      </w:r>
      <w:r w:rsidR="7D72FDEC">
        <w:rPr/>
        <w:t>DOI:10.1080/21640629.2016.1157321</w:t>
      </w:r>
    </w:p>
    <w:p w:rsidR="00DF2911" w:rsidP="00A271B5" w:rsidRDefault="00A842C9" w14:paraId="42F660A0" w14:textId="2706069B">
      <w:r w:rsidR="757798CB">
        <w:rPr/>
        <w:t xml:space="preserve">Jones and Thomas’s </w:t>
      </w:r>
      <w:r w:rsidR="5D4D52C7">
        <w:rPr/>
        <w:t>Journal</w:t>
      </w:r>
      <w:r w:rsidR="651AEAD9">
        <w:rPr/>
        <w:t>,</w:t>
      </w:r>
      <w:r w:rsidR="757798CB">
        <w:rPr/>
        <w:t xml:space="preserve"> “Coaching as ‘scaffolded’ practice: further insights into sport pedagogy” examines how the educational concept of scaffolding can help coaches manage the complex</w:t>
      </w:r>
      <w:r w:rsidR="35829704">
        <w:rPr/>
        <w:t xml:space="preserve"> and</w:t>
      </w:r>
      <w:r w:rsidR="757798CB">
        <w:rPr/>
        <w:t xml:space="preserve"> uncertain nature of coaching</w:t>
      </w:r>
      <w:r w:rsidR="7C75A85B">
        <w:rPr/>
        <w:t>.</w:t>
      </w:r>
      <w:r w:rsidR="75F4E582">
        <w:rPr/>
        <w:t xml:space="preserve"> </w:t>
      </w:r>
      <w:r w:rsidR="75F4E582">
        <w:rPr/>
        <w:t>They argue that scaffolding provides a structured yet flexible way to support athlete learning without reducing coaching to a rigid, linear model</w:t>
      </w:r>
      <w:r w:rsidR="03FF8225">
        <w:rPr/>
        <w:t>.</w:t>
      </w:r>
      <w:r w:rsidR="0A107FCA">
        <w:rPr/>
        <w:t xml:space="preserve"> </w:t>
      </w:r>
      <w:r w:rsidR="0A107FCA">
        <w:rPr/>
        <w:t xml:space="preserve">Overall, the paper presents a persuasive and </w:t>
      </w:r>
      <w:r w:rsidR="0A107FCA">
        <w:rPr/>
        <w:t>practically relevant</w:t>
      </w:r>
      <w:r w:rsidR="0A107FCA">
        <w:rPr/>
        <w:t xml:space="preserve"> framework, though it </w:t>
      </w:r>
      <w:r w:rsidR="0A107FCA">
        <w:rPr/>
        <w:t>remains</w:t>
      </w:r>
      <w:r w:rsidR="0A107FCA">
        <w:rPr/>
        <w:t xml:space="preserve"> </w:t>
      </w:r>
      <w:r w:rsidR="0A107FCA">
        <w:rPr/>
        <w:t>largely conceptual</w:t>
      </w:r>
      <w:r w:rsidR="0A107FCA">
        <w:rPr/>
        <w:t xml:space="preserve"> rather than empirically tested.</w:t>
      </w:r>
    </w:p>
    <w:p w:rsidR="006172D2" w:rsidP="006172D2" w:rsidRDefault="00646B00" w14:paraId="0ACD2FD0" w14:textId="05762FED">
      <w:r w:rsidR="4540E114">
        <w:rPr/>
        <w:t>Jones and Thomas trace the development of scaffolding from Vygotskian sociocultural theory and the Zone of Proximal Development</w:t>
      </w:r>
      <w:r w:rsidR="25EA826E">
        <w:rPr/>
        <w:t xml:space="preserve"> </w:t>
      </w:r>
      <w:r w:rsidR="25EA826E">
        <w:rPr/>
        <w:t>(Vygotsky, 1978</w:t>
      </w:r>
      <w:r w:rsidR="25EA826E">
        <w:rPr/>
        <w:t>)</w:t>
      </w:r>
      <w:r w:rsidR="4540E114">
        <w:rPr/>
        <w:t>, defining it as contingent support that enables learners to achieve goals beyond their independent capabilities (Wood, Bruner &amp; Ross, 1976).</w:t>
      </w:r>
      <w:r w:rsidR="2E84873D">
        <w:rPr/>
        <w:t xml:space="preserve"> They then </w:t>
      </w:r>
      <w:r w:rsidR="2E84873D">
        <w:rPr/>
        <w:t>identif</w:t>
      </w:r>
      <w:r w:rsidR="57DF0F5C">
        <w:rPr/>
        <w:t>y</w:t>
      </w:r>
      <w:r w:rsidR="57DF0F5C">
        <w:rPr/>
        <w:t xml:space="preserve"> </w:t>
      </w:r>
      <w:r w:rsidR="2A08077D">
        <w:rPr/>
        <w:t xml:space="preserve">scaffolding </w:t>
      </w:r>
      <w:r w:rsidR="69A22AB8">
        <w:rPr/>
        <w:t>at three levels, macro</w:t>
      </w:r>
      <w:r w:rsidR="128135C0">
        <w:rPr/>
        <w:t xml:space="preserve"> (language and culture</w:t>
      </w:r>
      <w:r w:rsidR="7954364C">
        <w:rPr/>
        <w:t xml:space="preserve"> shaping environment</w:t>
      </w:r>
      <w:r w:rsidR="128135C0">
        <w:rPr/>
        <w:t>)</w:t>
      </w:r>
      <w:r w:rsidR="69A22AB8">
        <w:rPr/>
        <w:t xml:space="preserve"> </w:t>
      </w:r>
      <w:r w:rsidR="69A22AB8">
        <w:rPr/>
        <w:t>meso</w:t>
      </w:r>
      <w:r w:rsidR="69A22AB8">
        <w:rPr/>
        <w:t xml:space="preserve"> (design</w:t>
      </w:r>
      <w:r w:rsidR="02A49573">
        <w:rPr/>
        <w:t xml:space="preserve"> and structure</w:t>
      </w:r>
      <w:r w:rsidR="69A22AB8">
        <w:rPr/>
        <w:t>)</w:t>
      </w:r>
      <w:r w:rsidR="566B87AA">
        <w:rPr/>
        <w:t xml:space="preserve"> and micro (moment to moment interactions)</w:t>
      </w:r>
      <w:r w:rsidR="030237D0">
        <w:rPr/>
        <w:t xml:space="preserve"> </w:t>
      </w:r>
      <w:r w:rsidR="030237D0">
        <w:rPr/>
        <w:t>(</w:t>
      </w:r>
      <w:r w:rsidR="030237D0">
        <w:rPr/>
        <w:t>Jones &amp; Thomas, 2015</w:t>
      </w:r>
      <w:r w:rsidR="030237D0">
        <w:rPr/>
        <w:t xml:space="preserve">; </w:t>
      </w:r>
      <w:r w:rsidR="76B07B82">
        <w:rPr/>
        <w:t>Boblet,</w:t>
      </w:r>
      <w:r w:rsidR="00869D32">
        <w:rPr/>
        <w:t xml:space="preserve"> 2012</w:t>
      </w:r>
      <w:r w:rsidR="030237D0">
        <w:rPr/>
        <w:t>).</w:t>
      </w:r>
      <w:r w:rsidR="00869D32">
        <w:rPr/>
        <w:t xml:space="preserve"> The </w:t>
      </w:r>
      <w:r w:rsidR="5D4D52C7">
        <w:rPr/>
        <w:t>journal</w:t>
      </w:r>
      <w:r w:rsidR="00869D32">
        <w:rPr/>
        <w:t xml:space="preserve"> concludes </w:t>
      </w:r>
      <w:r w:rsidR="3E85EDA5">
        <w:rPr/>
        <w:t>that scaffolding creates an opportunity t</w:t>
      </w:r>
      <w:r w:rsidR="07D6FEA7">
        <w:rPr/>
        <w:t>o</w:t>
      </w:r>
      <w:r w:rsidR="3E85EDA5">
        <w:rPr/>
        <w:t xml:space="preserve"> li</w:t>
      </w:r>
      <w:r w:rsidR="490C2449">
        <w:rPr/>
        <w:t>nk</w:t>
      </w:r>
      <w:r w:rsidR="326945F0">
        <w:rPr/>
        <w:t xml:space="preserve"> social structures with tried coaching actions while pre</w:t>
      </w:r>
      <w:r w:rsidR="7509DAF2">
        <w:rPr/>
        <w:t>serving contextual nuance</w:t>
      </w:r>
      <w:r w:rsidR="0572837F">
        <w:rPr/>
        <w:t xml:space="preserve"> (</w:t>
      </w:r>
      <w:r w:rsidR="0572837F">
        <w:rPr/>
        <w:t>Daniels</w:t>
      </w:r>
      <w:r w:rsidR="0572837F">
        <w:rPr/>
        <w:t xml:space="preserve"> </w:t>
      </w:r>
      <w:r w:rsidR="0572837F">
        <w:rPr/>
        <w:t>2001)</w:t>
      </w:r>
      <w:r w:rsidR="0572837F">
        <w:rPr/>
        <w:t>.</w:t>
      </w:r>
    </w:p>
    <w:p w:rsidR="00A61B9F" w:rsidP="006172D2" w:rsidRDefault="00A61B9F" w14:paraId="05A5941C" w14:textId="08B3A4B3">
      <w:r w:rsidR="43E7EAFF">
        <w:rPr/>
        <w:t xml:space="preserve">A key strength of this </w:t>
      </w:r>
      <w:r w:rsidR="482B1EC4">
        <w:rPr/>
        <w:t>journal</w:t>
      </w:r>
      <w:r w:rsidR="43E7EAFF">
        <w:rPr/>
        <w:t xml:space="preserve"> is its clear conceptual structure, moving from theory to applied examples across macro, </w:t>
      </w:r>
      <w:r w:rsidR="43E7EAFF">
        <w:rPr/>
        <w:t>meso</w:t>
      </w:r>
      <w:r w:rsidR="43E7EAFF">
        <w:rPr/>
        <w:t xml:space="preserve"> and micro levels</w:t>
      </w:r>
      <w:r w:rsidR="43E7EAFF">
        <w:rPr/>
        <w:t xml:space="preserve">. </w:t>
      </w:r>
      <w:r w:rsidR="73AB8AFF">
        <w:rPr/>
        <w:t xml:space="preserve">The discussion of “ghost scaffolds” and “intelligent failure” is </w:t>
      </w:r>
      <w:r w:rsidR="7ADD9FB0">
        <w:rPr/>
        <w:t>specifically</w:t>
      </w:r>
      <w:r w:rsidR="73AB8AFF">
        <w:rPr/>
        <w:t xml:space="preserve"> effective in translating abstract theor</w:t>
      </w:r>
      <w:r w:rsidR="42CA1984">
        <w:rPr/>
        <w:t>ies</w:t>
      </w:r>
      <w:r w:rsidR="73AB8AFF">
        <w:rPr/>
        <w:t xml:space="preserve"> into ideas coaches can recognise in practice (Sitkin, 1996</w:t>
      </w:r>
      <w:r w:rsidR="0B296F51">
        <w:rPr/>
        <w:t>)</w:t>
      </w:r>
      <w:r w:rsidR="789AFE7A">
        <w:rPr/>
        <w:t xml:space="preserve">. </w:t>
      </w:r>
      <w:r w:rsidR="50581EA9">
        <w:rPr/>
        <w:t xml:space="preserve">The paper also challenges overly linear decontextualised </w:t>
      </w:r>
      <w:r w:rsidR="677A604F">
        <w:rPr/>
        <w:t>models</w:t>
      </w:r>
      <w:r w:rsidR="50581EA9">
        <w:rPr/>
        <w:t xml:space="preserve"> of coaching by emphasising sociocultural</w:t>
      </w:r>
      <w:r w:rsidR="677A604F">
        <w:rPr/>
        <w:t xml:space="preserve"> history, power</w:t>
      </w:r>
      <w:r w:rsidR="7A8D0D7D">
        <w:rPr/>
        <w:t xml:space="preserve"> </w:t>
      </w:r>
      <w:r w:rsidR="10BA194C">
        <w:rPr/>
        <w:t>relations,</w:t>
      </w:r>
      <w:r w:rsidR="7A8D0D7D">
        <w:rPr/>
        <w:t xml:space="preserve"> and interaction</w:t>
      </w:r>
      <w:r w:rsidR="735E2F4E">
        <w:rPr/>
        <w:t xml:space="preserve"> </w:t>
      </w:r>
      <w:r w:rsidR="735E2F4E">
        <w:rPr/>
        <w:t>(Cushion &amp; Jones, 2006</w:t>
      </w:r>
      <w:r w:rsidR="735E2F4E">
        <w:rPr/>
        <w:t>). However, the jour</w:t>
      </w:r>
      <w:r w:rsidR="482B1EC4">
        <w:rPr/>
        <w:t>nal</w:t>
      </w:r>
      <w:r w:rsidR="29575891">
        <w:rPr/>
        <w:t xml:space="preserve"> relies heavily on </w:t>
      </w:r>
      <w:r w:rsidR="578FCE9D">
        <w:rPr/>
        <w:t>existing theory and studies, offering little</w:t>
      </w:r>
      <w:r w:rsidR="6E3CF140">
        <w:rPr/>
        <w:t xml:space="preserve"> emp</w:t>
      </w:r>
      <w:r w:rsidR="23C1A179">
        <w:rPr/>
        <w:t>irical</w:t>
      </w:r>
      <w:r w:rsidR="578FCE9D">
        <w:rPr/>
        <w:t xml:space="preserve"> evaluation</w:t>
      </w:r>
      <w:r w:rsidR="23C1A179">
        <w:rPr/>
        <w:t xml:space="preserve"> of scaffolding as an </w:t>
      </w:r>
      <w:r w:rsidR="702F1F1B">
        <w:rPr/>
        <w:t>intervention in coaching situations.</w:t>
      </w:r>
      <w:r w:rsidR="59A9B17F">
        <w:rPr/>
        <w:t xml:space="preserve"> The call for reflexivity and context-sensitivity, while important, sometimes </w:t>
      </w:r>
      <w:r w:rsidR="59A9B17F">
        <w:rPr/>
        <w:t>remains</w:t>
      </w:r>
      <w:r w:rsidR="59A9B17F">
        <w:rPr/>
        <w:t xml:space="preserve"> broad and could be supported by more concrete, data-driven guidance</w:t>
      </w:r>
      <w:r w:rsidR="2EB758D3">
        <w:rPr/>
        <w:t>.</w:t>
      </w:r>
    </w:p>
    <w:p w:rsidR="00D51729" w:rsidP="006172D2" w:rsidRDefault="00D51729" w14:paraId="751DE7B3" w14:textId="0B824084">
      <w:r w:rsidR="2EB758D3">
        <w:rPr/>
        <w:t xml:space="preserve">Overall, Jones and Thomas’s journal </w:t>
      </w:r>
      <w:r w:rsidR="2EB758D3">
        <w:rPr/>
        <w:t>offer</w:t>
      </w:r>
      <w:r w:rsidR="6227E180">
        <w:rPr/>
        <w:t>s</w:t>
      </w:r>
      <w:r w:rsidR="6227E180">
        <w:rPr/>
        <w:t xml:space="preserve"> </w:t>
      </w:r>
      <w:r w:rsidR="541DD0A0">
        <w:rPr/>
        <w:t>a valuable</w:t>
      </w:r>
      <w:r w:rsidR="5EA68CD6">
        <w:rPr/>
        <w:t xml:space="preserve"> </w:t>
      </w:r>
      <w:r w:rsidR="44C1AEDB">
        <w:rPr/>
        <w:t>understanding for coaching as a layered, scaffolded practice, linking theory and app</w:t>
      </w:r>
      <w:r w:rsidR="2D0A8AB8">
        <w:rPr/>
        <w:t>lied examples. However future e</w:t>
      </w:r>
      <w:r w:rsidR="79B2D66B">
        <w:rPr/>
        <w:t xml:space="preserve">mpirical research is needed to test and refine its practical </w:t>
      </w:r>
      <w:r w:rsidR="3027D9C9">
        <w:rPr/>
        <w:t>im</w:t>
      </w:r>
      <w:r w:rsidR="1BC2A232">
        <w:rPr/>
        <w:t>plications for diverse coaching contexts.</w:t>
      </w:r>
    </w:p>
    <w:p w:rsidR="00646B00" w:rsidP="00A271B5" w:rsidRDefault="00646B00" w14:paraId="5E0B5F9B" w14:textId="7CB0006C"/>
    <w:p w:rsidR="00DA1534" w:rsidP="00A271B5" w:rsidRDefault="00DA1534" w14:paraId="1D559FDF" w14:textId="77777777"/>
    <w:p w:rsidR="0096547B" w:rsidP="00A271B5" w:rsidRDefault="0096547B" w14:paraId="4A2ADC9B" w14:textId="7F7DF093">
      <w:r w:rsidRPr="0096547B">
        <w:t>Boblett, N. (2012) ‘Scaffolding: Defining the metaphor’, Working Papers in TESOL &amp; Applied Linguistics, 12, pp. 1–6</w:t>
      </w:r>
    </w:p>
    <w:p w:rsidR="006F30B7" w:rsidP="00A271B5" w:rsidRDefault="006F30B7" w14:paraId="5700DC9A" w14:textId="16CC1F53">
      <w:r w:rsidRPr="006F30B7">
        <w:t>Cushion, C.J. &amp; Jones, R.L. (2006) ‘Power, discourse, and symbolic violence in professional youth soccer: The case of Albion F.C.’, Sociology of Sport Journal, 23(2), pp. 142–161.</w:t>
      </w:r>
    </w:p>
    <w:p w:rsidR="00D838EF" w:rsidP="00662FD8" w:rsidRDefault="00860D8D" w14:paraId="7B8824AE" w14:textId="4539DE1D">
      <w:r w:rsidR="0572837F">
        <w:rPr/>
        <w:t xml:space="preserve">Daniels, H. (2001) Vygotsky and pedagogy. London: </w:t>
      </w:r>
      <w:r w:rsidR="0572837F">
        <w:rPr/>
        <w:t>RoutledgeFalmer</w:t>
      </w:r>
      <w:r w:rsidR="0572837F">
        <w:rPr/>
        <w:t>.</w:t>
      </w:r>
      <w:r w:rsidR="2795E8FD">
        <w:rPr/>
        <w:t xml:space="preserve"> (Vygotsky, 1978</w:t>
      </w:r>
      <w:r w:rsidR="50DECAA2">
        <w:rPr/>
        <w:t>)</w:t>
      </w:r>
      <w:r w:rsidR="2795E8FD">
        <w:rPr/>
        <w:t xml:space="preserve"> </w:t>
      </w:r>
    </w:p>
    <w:p w:rsidR="0096547B" w:rsidP="00662FD8" w:rsidRDefault="005160E0" w14:paraId="49905A2B" w14:textId="1F8FD731">
      <w:r w:rsidR="2169A00B">
        <w:rPr/>
        <w:t xml:space="preserve">Jones, R.L. &amp; Thomas, </w:t>
      </w:r>
      <w:r w:rsidR="2169A00B">
        <w:rPr/>
        <w:t>G.Ll</w:t>
      </w:r>
      <w:r w:rsidR="2169A00B">
        <w:rPr/>
        <w:t>. (2015) ‘Coaching as “scaffolded” practice: Further insights into sport pedagogy’, Sports Coaching Review, 4(2), pp. 65–79.</w:t>
      </w:r>
    </w:p>
    <w:p w:rsidR="007E4223" w:rsidP="00662FD8" w:rsidRDefault="007E4223" w14:paraId="60FB5FE0" w14:textId="6BED9EB8">
      <w:r w:rsidRPr="007E4223">
        <w:t>Wood, D., Bruner, J.S. &amp; Ross, G. (1976) ‘The role of tutoring in problem solving’, Journal of Child Psychology and Psychiatry, 17(2), pp. 89–100.</w:t>
      </w:r>
    </w:p>
    <w:p w:rsidR="00662FD8" w:rsidP="00A271B5" w:rsidRDefault="00662FD8" w14:paraId="17E0BF59" w14:textId="77777777"/>
    <w:sectPr w:rsidR="00662FD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/fAe5FGyg7548" int2:id="IsWoe4X9">
      <int2:state int2:type="spell" int2:value="Rejected"/>
    </int2:textHash>
    <int2:textHash int2:hashCode="8FNZiQ2mWRsQ3F" int2:id="pxB4QQDq">
      <int2:state int2:type="spell" int2:value="Rejected"/>
    </int2:textHash>
    <int2:textHash int2:hashCode="ChLpHS0UrZbNau" int2:id="L0fAA0sL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1444"/>
    <w:rsid w:val="00027B27"/>
    <w:rsid w:val="00075208"/>
    <w:rsid w:val="000E18B1"/>
    <w:rsid w:val="000F3CFB"/>
    <w:rsid w:val="001837A3"/>
    <w:rsid w:val="001B6FDD"/>
    <w:rsid w:val="001D556F"/>
    <w:rsid w:val="00234DA7"/>
    <w:rsid w:val="00243449"/>
    <w:rsid w:val="00295380"/>
    <w:rsid w:val="00321ABD"/>
    <w:rsid w:val="003303F0"/>
    <w:rsid w:val="00344F5D"/>
    <w:rsid w:val="003A51CD"/>
    <w:rsid w:val="003E4819"/>
    <w:rsid w:val="00437C55"/>
    <w:rsid w:val="0045635C"/>
    <w:rsid w:val="00487AFF"/>
    <w:rsid w:val="005160E0"/>
    <w:rsid w:val="00516BE0"/>
    <w:rsid w:val="00542EA3"/>
    <w:rsid w:val="0054350A"/>
    <w:rsid w:val="0054564B"/>
    <w:rsid w:val="00552E90"/>
    <w:rsid w:val="005A0C85"/>
    <w:rsid w:val="00615484"/>
    <w:rsid w:val="006172D2"/>
    <w:rsid w:val="00617B30"/>
    <w:rsid w:val="00630B61"/>
    <w:rsid w:val="00646B00"/>
    <w:rsid w:val="00662FD8"/>
    <w:rsid w:val="00664DE9"/>
    <w:rsid w:val="006B2887"/>
    <w:rsid w:val="006B4881"/>
    <w:rsid w:val="006F20D9"/>
    <w:rsid w:val="006F30B7"/>
    <w:rsid w:val="007164F2"/>
    <w:rsid w:val="00721379"/>
    <w:rsid w:val="007E4223"/>
    <w:rsid w:val="00805543"/>
    <w:rsid w:val="00811611"/>
    <w:rsid w:val="00860D8D"/>
    <w:rsid w:val="008628C9"/>
    <w:rsid w:val="00869D32"/>
    <w:rsid w:val="008744CF"/>
    <w:rsid w:val="008A401B"/>
    <w:rsid w:val="008A6B2A"/>
    <w:rsid w:val="008A7F83"/>
    <w:rsid w:val="0096547B"/>
    <w:rsid w:val="0097320A"/>
    <w:rsid w:val="009F0FB7"/>
    <w:rsid w:val="00A271B5"/>
    <w:rsid w:val="00A61B9F"/>
    <w:rsid w:val="00A842C9"/>
    <w:rsid w:val="00AE5AA1"/>
    <w:rsid w:val="00B25231"/>
    <w:rsid w:val="00B91444"/>
    <w:rsid w:val="00B95DF9"/>
    <w:rsid w:val="00BA5E7A"/>
    <w:rsid w:val="00BD602A"/>
    <w:rsid w:val="00BE4C90"/>
    <w:rsid w:val="00CF1DE9"/>
    <w:rsid w:val="00D06148"/>
    <w:rsid w:val="00D51729"/>
    <w:rsid w:val="00D73615"/>
    <w:rsid w:val="00D838EF"/>
    <w:rsid w:val="00DA1534"/>
    <w:rsid w:val="00DF2911"/>
    <w:rsid w:val="00DF3F0C"/>
    <w:rsid w:val="00E0734B"/>
    <w:rsid w:val="00E2435C"/>
    <w:rsid w:val="00E27985"/>
    <w:rsid w:val="00E714C0"/>
    <w:rsid w:val="00E83609"/>
    <w:rsid w:val="00EA3633"/>
    <w:rsid w:val="00EB6EDE"/>
    <w:rsid w:val="00EC25C8"/>
    <w:rsid w:val="00F22CD7"/>
    <w:rsid w:val="02A49573"/>
    <w:rsid w:val="030237D0"/>
    <w:rsid w:val="03FF8225"/>
    <w:rsid w:val="0572837F"/>
    <w:rsid w:val="0759D49A"/>
    <w:rsid w:val="07D6FEA7"/>
    <w:rsid w:val="0A107FCA"/>
    <w:rsid w:val="0B296F51"/>
    <w:rsid w:val="10BA194C"/>
    <w:rsid w:val="128135C0"/>
    <w:rsid w:val="16A88ED1"/>
    <w:rsid w:val="1BC2A232"/>
    <w:rsid w:val="2169A00B"/>
    <w:rsid w:val="23C1A179"/>
    <w:rsid w:val="25EA826E"/>
    <w:rsid w:val="2795E8FD"/>
    <w:rsid w:val="29575891"/>
    <w:rsid w:val="2A08077D"/>
    <w:rsid w:val="2D0A8AB8"/>
    <w:rsid w:val="2E84873D"/>
    <w:rsid w:val="2EB758D3"/>
    <w:rsid w:val="3027D9C9"/>
    <w:rsid w:val="326945F0"/>
    <w:rsid w:val="35829704"/>
    <w:rsid w:val="3E85EDA5"/>
    <w:rsid w:val="42CA1984"/>
    <w:rsid w:val="43E7EAFF"/>
    <w:rsid w:val="44C1AEDB"/>
    <w:rsid w:val="4540E114"/>
    <w:rsid w:val="482B1EC4"/>
    <w:rsid w:val="490C2449"/>
    <w:rsid w:val="4B1C2A62"/>
    <w:rsid w:val="50581EA9"/>
    <w:rsid w:val="50DECAA2"/>
    <w:rsid w:val="541DD0A0"/>
    <w:rsid w:val="566B87AA"/>
    <w:rsid w:val="578FCE9D"/>
    <w:rsid w:val="57DF0F5C"/>
    <w:rsid w:val="59A9B17F"/>
    <w:rsid w:val="5D4D52C7"/>
    <w:rsid w:val="5EA68CD6"/>
    <w:rsid w:val="6227E180"/>
    <w:rsid w:val="651AEAD9"/>
    <w:rsid w:val="677A604F"/>
    <w:rsid w:val="69A22AB8"/>
    <w:rsid w:val="6E3CF140"/>
    <w:rsid w:val="702F1F1B"/>
    <w:rsid w:val="735E2F4E"/>
    <w:rsid w:val="73AB8AFF"/>
    <w:rsid w:val="7509DAF2"/>
    <w:rsid w:val="757798CB"/>
    <w:rsid w:val="75F4E582"/>
    <w:rsid w:val="76B07B82"/>
    <w:rsid w:val="789AFE7A"/>
    <w:rsid w:val="7954364C"/>
    <w:rsid w:val="79B2D66B"/>
    <w:rsid w:val="7A8D0D7D"/>
    <w:rsid w:val="7ADD9FB0"/>
    <w:rsid w:val="7C75A85B"/>
    <w:rsid w:val="7D72FD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4D99DB"/>
  <w15:chartTrackingRefBased/>
  <w15:docId w15:val="{B91AF08C-C8C1-4DCD-A931-6A923EF557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4B1C2A62"/>
    <w:rPr>
      <w:noProof w:val="0"/>
    </w:rPr>
  </w:style>
  <w:style w:type="paragraph" w:styleId="Heading1">
    <w:uiPriority w:val="9"/>
    <w:name w:val="heading 1"/>
    <w:basedOn w:val="Normal"/>
    <w:next w:val="Normal"/>
    <w:link w:val="Heading1Char"/>
    <w:qFormat/>
    <w:rsid w:val="4B1C2A6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semiHidden/>
    <w:unhideWhenUsed/>
    <w:link w:val="Heading2Char"/>
    <w:qFormat/>
    <w:rsid w:val="4B1C2A6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semiHidden/>
    <w:unhideWhenUsed/>
    <w:link w:val="Heading3Char"/>
    <w:qFormat/>
    <w:rsid w:val="4B1C2A6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semiHidden/>
    <w:unhideWhenUsed/>
    <w:link w:val="Heading4Char"/>
    <w:qFormat/>
    <w:rsid w:val="4B1C2A62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5">
    <w:uiPriority w:val="9"/>
    <w:name w:val="heading 5"/>
    <w:basedOn w:val="Normal"/>
    <w:next w:val="Normal"/>
    <w:semiHidden/>
    <w:unhideWhenUsed/>
    <w:link w:val="Heading5Char"/>
    <w:qFormat/>
    <w:rsid w:val="4B1C2A62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semiHidden/>
    <w:unhideWhenUsed/>
    <w:link w:val="Heading6Char"/>
    <w:qFormat/>
    <w:rsid w:val="4B1C2A62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semiHidden/>
    <w:unhideWhenUsed/>
    <w:link w:val="Heading7Char"/>
    <w:qFormat/>
    <w:rsid w:val="4B1C2A62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semiHidden/>
    <w:unhideWhenUsed/>
    <w:link w:val="Heading8Char"/>
    <w:qFormat/>
    <w:rsid w:val="4B1C2A62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Heading9">
    <w:uiPriority w:val="9"/>
    <w:name w:val="heading 9"/>
    <w:basedOn w:val="Normal"/>
    <w:next w:val="Normal"/>
    <w:semiHidden/>
    <w:unhideWhenUsed/>
    <w:link w:val="Heading9Char"/>
    <w:qFormat/>
    <w:rsid w:val="4B1C2A62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91444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91444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91444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91444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91444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91444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91444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91444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91444"/>
    <w:rPr>
      <w:rFonts w:eastAsiaTheme="majorEastAsia" w:cstheme="majorBidi"/>
      <w:color w:val="272727" w:themeColor="text1" w:themeTint="D8"/>
    </w:rPr>
  </w:style>
  <w:style w:type="paragraph" w:styleId="Title">
    <w:uiPriority w:val="10"/>
    <w:name w:val="Title"/>
    <w:basedOn w:val="Normal"/>
    <w:next w:val="Normal"/>
    <w:link w:val="TitleChar"/>
    <w:qFormat/>
    <w:rsid w:val="4B1C2A62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TitleChar" w:customStyle="1">
    <w:name w:val="Title Char"/>
    <w:basedOn w:val="DefaultParagraphFont"/>
    <w:link w:val="Title"/>
    <w:uiPriority w:val="10"/>
    <w:rsid w:val="00B9144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uiPriority w:val="11"/>
    <w:name w:val="Subtitle"/>
    <w:basedOn w:val="Normal"/>
    <w:next w:val="Normal"/>
    <w:link w:val="SubtitleChar"/>
    <w:qFormat/>
    <w:rsid w:val="4B1C2A62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914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uiPriority w:val="29"/>
    <w:name w:val="Quote"/>
    <w:basedOn w:val="Normal"/>
    <w:next w:val="Normal"/>
    <w:link w:val="QuoteChar"/>
    <w:qFormat/>
    <w:rsid w:val="4B1C2A62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QuoteChar" w:customStyle="1">
    <w:name w:val="Quote Char"/>
    <w:basedOn w:val="DefaultParagraphFont"/>
    <w:link w:val="Quote"/>
    <w:uiPriority w:val="29"/>
    <w:rsid w:val="00B91444"/>
    <w:rPr>
      <w:i/>
      <w:iCs/>
      <w:color w:val="404040" w:themeColor="text1" w:themeTint="BF"/>
    </w:rPr>
  </w:style>
  <w:style w:type="paragraph" w:styleId="ListParagraph">
    <w:uiPriority w:val="34"/>
    <w:name w:val="List Paragraph"/>
    <w:basedOn w:val="Normal"/>
    <w:qFormat/>
    <w:rsid w:val="4B1C2A62"/>
    <w:pPr>
      <w:spacing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1444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B1C2A62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sid w:val="00B914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144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microsoft.com/office/2020/10/relationships/intelligence" Target="intelligence2.xml" Id="Rfd0f624befb64aa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98942324bdd9d6ac773e176b320dc5e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011b81beede4a08a181d2ea0550a3e38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4A62668A-7F6F-4F5E-9D5B-034D5A49AB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21A3FED-1AA1-405D-9C5B-EDF6CA1DFD6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B99C627-5AD3-4A49-A63B-2016A3FFC253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Tom Evans (2401159)</dc:creator>
  <keywords/>
  <dc:description/>
  <lastModifiedBy>Tom Evans (2401159)</lastModifiedBy>
  <revision>76</revision>
  <dcterms:created xsi:type="dcterms:W3CDTF">2026-03-03T10:11:00.0000000Z</dcterms:created>
  <dcterms:modified xsi:type="dcterms:W3CDTF">2026-03-03T23:37:58.0110473Z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