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66D921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03DFA">
              <w:rPr>
                <w:rFonts w:ascii="Times New Roman" w:hAnsi="Times New Roman" w:cs="Times New Roman"/>
                <w:b/>
                <w:color w:val="auto"/>
                <w:sz w:val="48"/>
              </w:rPr>
              <w:t>Kevin Turner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7851FEEF" w14:textId="77777777" w:rsidR="00103DFA"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3A6EAAC7" w14:textId="35A79027" w:rsidR="009C337F" w:rsidRDefault="00103DFA"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kevin_turner65@hotmail.co.uk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8E78A0B" w14:textId="77777777" w:rsidR="00103DFA"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6DF91D57" w:rsidR="00F927A1" w:rsidRPr="005D3F07" w:rsidRDefault="00103DFA"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2421173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3101E401" w14:textId="77777777" w:rsidR="00103DFA" w:rsidRDefault="00103DFA" w:rsidP="00FF7EBB">
            <w:pPr>
              <w:jc w:val="both"/>
              <w:rPr>
                <w:i/>
                <w:sz w:val="24"/>
                <w:szCs w:val="24"/>
              </w:rPr>
            </w:pPr>
          </w:p>
          <w:p w14:paraId="3631900B" w14:textId="77777777" w:rsidR="00103DFA" w:rsidRDefault="00103DFA" w:rsidP="00103DFA">
            <w:pPr>
              <w:overflowPunct/>
              <w:autoSpaceDE/>
              <w:autoSpaceDN/>
              <w:adjustRightInd/>
              <w:spacing w:before="100" w:beforeAutospacing="1" w:after="100" w:afterAutospacing="1" w:line="360" w:lineRule="auto"/>
              <w:jc w:val="both"/>
              <w:textAlignment w:val="auto"/>
              <w:rPr>
                <w:rFonts w:eastAsiaTheme="minorHAnsi" w:cs="Times New Roman"/>
                <w:kern w:val="2"/>
                <w:sz w:val="24"/>
                <w:szCs w:val="24"/>
                <w:u w:val="single"/>
                <w:lang w:eastAsia="en-US"/>
                <w14:ligatures w14:val="standardContextual"/>
              </w:rPr>
            </w:pPr>
            <w:r w:rsidRPr="00ED6CC6">
              <w:rPr>
                <w:rFonts w:eastAsiaTheme="minorHAnsi" w:cs="Times New Roman"/>
                <w:kern w:val="2"/>
                <w:sz w:val="24"/>
                <w:szCs w:val="24"/>
                <w:u w:val="single"/>
                <w:lang w:eastAsia="en-US"/>
                <w14:ligatures w14:val="standardContextual"/>
              </w:rPr>
              <w:t>Introduction</w:t>
            </w:r>
          </w:p>
          <w:p w14:paraId="266FD4DB" w14:textId="77777777" w:rsidR="00103DFA" w:rsidRPr="00730AC9" w:rsidRDefault="00103DFA" w:rsidP="00103DFA">
            <w:pPr>
              <w:overflowPunct/>
              <w:autoSpaceDE/>
              <w:autoSpaceDN/>
              <w:adjustRightInd/>
              <w:spacing w:before="100" w:beforeAutospacing="1" w:after="100" w:afterAutospacing="1" w:line="360" w:lineRule="auto"/>
              <w:jc w:val="both"/>
              <w:textAlignment w:val="auto"/>
              <w:rPr>
                <w:rFonts w:eastAsiaTheme="minorHAnsi" w:cs="Times New Roman"/>
                <w:kern w:val="2"/>
                <w:sz w:val="24"/>
                <w:szCs w:val="24"/>
                <w:lang w:eastAsia="en-US"/>
                <w14:ligatures w14:val="standardContextual"/>
              </w:rPr>
            </w:pPr>
            <w:r w:rsidRPr="00730AC9">
              <w:rPr>
                <w:rFonts w:eastAsiaTheme="minorHAnsi" w:cs="Times New Roman"/>
                <w:kern w:val="2"/>
                <w:sz w:val="24"/>
                <w:szCs w:val="24"/>
                <w:lang w:eastAsia="en-US"/>
                <w14:ligatures w14:val="standardContextual"/>
              </w:rPr>
              <w:t>Safeguarding practice in Wales is underpinned by a robust statutory and procedural framework designed to protect children from harm and promote their well</w:t>
            </w:r>
            <w:r w:rsidRPr="00730AC9">
              <w:rPr>
                <w:rFonts w:ascii="Cambria Math" w:eastAsiaTheme="minorHAnsi" w:hAnsi="Cambria Math" w:cs="Cambria Math"/>
                <w:kern w:val="2"/>
                <w:sz w:val="24"/>
                <w:szCs w:val="24"/>
                <w:lang w:eastAsia="en-US"/>
                <w14:ligatures w14:val="standardContextual"/>
              </w:rPr>
              <w:t>‑</w:t>
            </w:r>
            <w:r w:rsidRPr="00730AC9">
              <w:rPr>
                <w:rFonts w:eastAsiaTheme="minorHAnsi" w:cs="Times New Roman"/>
                <w:kern w:val="2"/>
                <w:sz w:val="24"/>
                <w:szCs w:val="24"/>
                <w:lang w:eastAsia="en-US"/>
                <w14:ligatures w14:val="standardContextual"/>
              </w:rPr>
              <w:t>being. My service adopts a person</w:t>
            </w:r>
            <w:r w:rsidRPr="00730AC9">
              <w:rPr>
                <w:rFonts w:ascii="Cambria Math" w:eastAsiaTheme="minorHAnsi" w:hAnsi="Cambria Math" w:cs="Cambria Math"/>
                <w:kern w:val="2"/>
                <w:sz w:val="24"/>
                <w:szCs w:val="24"/>
                <w:lang w:eastAsia="en-US"/>
                <w14:ligatures w14:val="standardContextual"/>
              </w:rPr>
              <w:t>‑</w:t>
            </w:r>
            <w:r w:rsidRPr="00730AC9">
              <w:rPr>
                <w:rFonts w:eastAsiaTheme="minorHAnsi" w:cs="Times New Roman"/>
                <w:kern w:val="2"/>
                <w:sz w:val="24"/>
                <w:szCs w:val="24"/>
                <w:lang w:eastAsia="en-US"/>
                <w14:ligatures w14:val="standardContextual"/>
              </w:rPr>
              <w:t>centred approach that enhances collaboration between adults, children and multi</w:t>
            </w:r>
            <w:r w:rsidRPr="00730AC9">
              <w:rPr>
                <w:rFonts w:ascii="Cambria Math" w:eastAsiaTheme="minorHAnsi" w:hAnsi="Cambria Math" w:cs="Cambria Math"/>
                <w:kern w:val="2"/>
                <w:sz w:val="24"/>
                <w:szCs w:val="24"/>
                <w:lang w:eastAsia="en-US"/>
                <w14:ligatures w14:val="standardContextual"/>
              </w:rPr>
              <w:t>‑</w:t>
            </w:r>
            <w:r w:rsidRPr="00730AC9">
              <w:rPr>
                <w:rFonts w:eastAsiaTheme="minorHAnsi" w:cs="Times New Roman"/>
                <w:kern w:val="2"/>
                <w:sz w:val="24"/>
                <w:szCs w:val="24"/>
                <w:lang w:eastAsia="en-US"/>
                <w14:ligatures w14:val="standardContextual"/>
              </w:rPr>
              <w:t xml:space="preserve">agency partners, ensuring that safeguarding concerns are addressed through coordinated and proportionate intervention. </w:t>
            </w:r>
            <w:r w:rsidRPr="008126A4">
              <w:rPr>
                <w:rFonts w:eastAsiaTheme="minorHAnsi" w:cs="Times New Roman"/>
                <w:kern w:val="2"/>
                <w:sz w:val="24"/>
                <w:szCs w:val="24"/>
                <w:lang w:eastAsia="en-US"/>
                <w14:ligatures w14:val="standardContextual"/>
              </w:rPr>
              <w:t xml:space="preserve">When a safeguarding enquiry is raised in Wales, practitioners follow the Wales Safeguarding Procedures, which </w:t>
            </w:r>
            <w:r>
              <w:rPr>
                <w:rFonts w:eastAsiaTheme="minorHAnsi" w:cs="Times New Roman"/>
                <w:kern w:val="2"/>
                <w:sz w:val="24"/>
                <w:szCs w:val="24"/>
                <w:lang w:eastAsia="en-US"/>
                <w14:ligatures w14:val="standardContextual"/>
              </w:rPr>
              <w:t>implement</w:t>
            </w:r>
            <w:r w:rsidRPr="008126A4">
              <w:rPr>
                <w:rFonts w:eastAsiaTheme="minorHAnsi" w:cs="Times New Roman"/>
                <w:kern w:val="2"/>
                <w:sz w:val="24"/>
                <w:szCs w:val="24"/>
                <w:lang w:eastAsia="en-US"/>
                <w14:ligatures w14:val="standardContextual"/>
              </w:rPr>
              <w:t xml:space="preserve"> the duties set out in Part 7 of the Social Services and Well</w:t>
            </w:r>
            <w:r w:rsidRPr="008126A4">
              <w:rPr>
                <w:rFonts w:ascii="Cambria Math" w:eastAsiaTheme="minorHAnsi" w:hAnsi="Cambria Math" w:cs="Cambria Math"/>
                <w:kern w:val="2"/>
                <w:sz w:val="24"/>
                <w:szCs w:val="24"/>
                <w:lang w:eastAsia="en-US"/>
                <w14:ligatures w14:val="standardContextual"/>
              </w:rPr>
              <w:t>‑</w:t>
            </w:r>
            <w:r w:rsidRPr="008126A4">
              <w:rPr>
                <w:rFonts w:eastAsiaTheme="minorHAnsi" w:cs="Times New Roman"/>
                <w:kern w:val="2"/>
                <w:sz w:val="24"/>
                <w:szCs w:val="24"/>
                <w:lang w:eastAsia="en-US"/>
                <w14:ligatures w14:val="standardContextual"/>
              </w:rPr>
              <w:t xml:space="preserve">being (Wales) Act 2014. Part 7 provides the statutory framework for safeguarding practice in Wales and underpins the development of the Wales Safeguarding Procedures </w:t>
            </w:r>
            <w:r>
              <w:rPr>
                <w:rFonts w:eastAsiaTheme="minorHAnsi" w:cs="Times New Roman"/>
                <w:kern w:val="2"/>
                <w:sz w:val="24"/>
                <w:szCs w:val="24"/>
                <w:lang w:eastAsia="en-US"/>
                <w14:ligatures w14:val="standardContextual"/>
              </w:rPr>
              <w:t xml:space="preserve">2019 </w:t>
            </w:r>
            <w:r w:rsidRPr="008126A4">
              <w:rPr>
                <w:rFonts w:eastAsiaTheme="minorHAnsi" w:cs="Times New Roman"/>
                <w:kern w:val="2"/>
                <w:sz w:val="24"/>
                <w:szCs w:val="24"/>
                <w:lang w:eastAsia="en-US"/>
                <w14:ligatures w14:val="standardContextual"/>
              </w:rPr>
              <w:t>(</w:t>
            </w:r>
            <w:r w:rsidRPr="001006C7">
              <w:rPr>
                <w:rFonts w:eastAsiaTheme="minorHAnsi" w:cs="Times New Roman"/>
                <w:kern w:val="2"/>
                <w:sz w:val="24"/>
                <w:szCs w:val="24"/>
                <w:lang w:eastAsia="en-US"/>
                <w14:ligatures w14:val="standardContextual"/>
              </w:rPr>
              <w:t>Wales Safeguarding Procedures,</w:t>
            </w:r>
            <w:r>
              <w:rPr>
                <w:rFonts w:eastAsiaTheme="minorHAnsi" w:cs="Times New Roman"/>
                <w:kern w:val="2"/>
                <w:sz w:val="24"/>
                <w:szCs w:val="24"/>
                <w:lang w:eastAsia="en-US"/>
                <w14:ligatures w14:val="standardContextual"/>
              </w:rPr>
              <w:t xml:space="preserve"> </w:t>
            </w:r>
            <w:r w:rsidRPr="008126A4">
              <w:rPr>
                <w:rFonts w:eastAsiaTheme="minorHAnsi" w:cs="Times New Roman"/>
                <w:kern w:val="2"/>
                <w:sz w:val="24"/>
                <w:szCs w:val="24"/>
                <w:lang w:eastAsia="en-US"/>
                <w14:ligatures w14:val="standardContextual"/>
              </w:rPr>
              <w:t>2019). Effective safeguarding also relies on practitioners working collaboratively with multi</w:t>
            </w:r>
            <w:r w:rsidRPr="008126A4">
              <w:rPr>
                <w:rFonts w:ascii="Cambria Math" w:eastAsiaTheme="minorHAnsi" w:hAnsi="Cambria Math" w:cs="Cambria Math"/>
                <w:kern w:val="2"/>
                <w:sz w:val="24"/>
                <w:szCs w:val="24"/>
                <w:lang w:eastAsia="en-US"/>
                <w14:ligatures w14:val="standardContextual"/>
              </w:rPr>
              <w:t>‑</w:t>
            </w:r>
            <w:r w:rsidRPr="008126A4">
              <w:rPr>
                <w:rFonts w:eastAsiaTheme="minorHAnsi" w:cs="Times New Roman"/>
                <w:kern w:val="2"/>
                <w:sz w:val="24"/>
                <w:szCs w:val="24"/>
                <w:lang w:eastAsia="en-US"/>
                <w14:ligatures w14:val="standardContextual"/>
              </w:rPr>
              <w:t>agency partners, reflecting the Children Act 1989 principle that safeguarding is a shared responsibility across agencies to promote children’s welfare and protect them from harm.</w:t>
            </w:r>
            <w:r>
              <w:rPr>
                <w:rFonts w:eastAsiaTheme="minorHAnsi" w:cs="Times New Roman"/>
                <w:kern w:val="2"/>
                <w:sz w:val="24"/>
                <w:szCs w:val="24"/>
                <w:lang w:eastAsia="en-US"/>
                <w14:ligatures w14:val="standardContextual"/>
              </w:rPr>
              <w:t xml:space="preserve"> </w:t>
            </w:r>
            <w:r w:rsidRPr="000C5E65">
              <w:rPr>
                <w:rFonts w:eastAsiaTheme="minorHAnsi" w:cs="Times New Roman"/>
                <w:kern w:val="2"/>
                <w:sz w:val="24"/>
                <w:szCs w:val="24"/>
                <w:lang w:eastAsia="en-US"/>
                <w14:ligatures w14:val="standardContextual"/>
              </w:rPr>
              <w:t xml:space="preserve">These procedures </w:t>
            </w:r>
            <w:r w:rsidRPr="000C5E65">
              <w:rPr>
                <w:rFonts w:eastAsiaTheme="minorHAnsi" w:cs="Times New Roman"/>
                <w:kern w:val="2"/>
                <w:sz w:val="24"/>
                <w:szCs w:val="24"/>
                <w:lang w:eastAsia="en-US"/>
                <w14:ligatures w14:val="standardContextual"/>
              </w:rPr>
              <w:lastRenderedPageBreak/>
              <w:t xml:space="preserve">operate alongside the Children Act 1989, which continues to set out the legal duties for Section 47 enquiries. Together, these frameworks establish a national, consistent approach to recognising, reporting and responding to concerns </w:t>
            </w:r>
            <w:r>
              <w:rPr>
                <w:rFonts w:eastAsiaTheme="minorHAnsi" w:cs="Times New Roman"/>
                <w:kern w:val="2"/>
                <w:sz w:val="24"/>
                <w:szCs w:val="24"/>
                <w:lang w:eastAsia="en-US"/>
                <w14:ligatures w14:val="standardContextual"/>
              </w:rPr>
              <w:t>of emotional harm or</w:t>
            </w:r>
            <w:r w:rsidRPr="000C5E65">
              <w:rPr>
                <w:rFonts w:eastAsiaTheme="minorHAnsi" w:cs="Times New Roman"/>
                <w:kern w:val="2"/>
                <w:sz w:val="24"/>
                <w:szCs w:val="24"/>
                <w:lang w:eastAsia="en-US"/>
                <w14:ligatures w14:val="standardContextual"/>
              </w:rPr>
              <w:t xml:space="preserve"> neglect.</w:t>
            </w:r>
            <w:r>
              <w:rPr>
                <w:rFonts w:eastAsiaTheme="minorHAnsi" w:cs="Times New Roman"/>
                <w:kern w:val="2"/>
                <w:sz w:val="24"/>
                <w:szCs w:val="24"/>
                <w:lang w:eastAsia="en-US"/>
                <w14:ligatures w14:val="standardContextual"/>
              </w:rPr>
              <w:t xml:space="preserve"> </w:t>
            </w:r>
            <w:r w:rsidRPr="00730AC9">
              <w:rPr>
                <w:rFonts w:eastAsiaTheme="minorHAnsi" w:cs="Times New Roman"/>
                <w:kern w:val="2"/>
                <w:sz w:val="24"/>
                <w:szCs w:val="24"/>
                <w:lang w:eastAsia="en-US"/>
                <w14:ligatures w14:val="standardContextual"/>
              </w:rPr>
              <w:t>The Wales Safeguarding Procedures translate the legislative duties of Part 7 into clear operational expectations for frontline practitioners. They emphasise early identification of risk, recognition of patterns of harm, timely information</w:t>
            </w:r>
            <w:r w:rsidRPr="00730AC9">
              <w:rPr>
                <w:rFonts w:ascii="Cambria Math" w:eastAsiaTheme="minorHAnsi" w:hAnsi="Cambria Math" w:cs="Cambria Math"/>
                <w:kern w:val="2"/>
                <w:sz w:val="24"/>
                <w:szCs w:val="24"/>
                <w:lang w:eastAsia="en-US"/>
                <w14:ligatures w14:val="standardContextual"/>
              </w:rPr>
              <w:t>‑</w:t>
            </w:r>
            <w:r w:rsidRPr="00730AC9">
              <w:rPr>
                <w:rFonts w:eastAsiaTheme="minorHAnsi" w:cs="Times New Roman"/>
                <w:kern w:val="2"/>
                <w:sz w:val="24"/>
                <w:szCs w:val="24"/>
                <w:lang w:eastAsia="en-US"/>
                <w14:ligatures w14:val="standardContextual"/>
              </w:rPr>
              <w:t>sharing and effective multi</w:t>
            </w:r>
            <w:r w:rsidRPr="00730AC9">
              <w:rPr>
                <w:rFonts w:ascii="Cambria Math" w:eastAsiaTheme="minorHAnsi" w:hAnsi="Cambria Math" w:cs="Cambria Math"/>
                <w:kern w:val="2"/>
                <w:sz w:val="24"/>
                <w:szCs w:val="24"/>
                <w:lang w:eastAsia="en-US"/>
                <w14:ligatures w14:val="standardContextual"/>
              </w:rPr>
              <w:t>‑</w:t>
            </w:r>
            <w:r w:rsidRPr="00730AC9">
              <w:rPr>
                <w:rFonts w:eastAsiaTheme="minorHAnsi" w:cs="Times New Roman"/>
                <w:kern w:val="2"/>
                <w:sz w:val="24"/>
                <w:szCs w:val="24"/>
                <w:lang w:eastAsia="en-US"/>
                <w14:ligatures w14:val="standardContextual"/>
              </w:rPr>
              <w:t xml:space="preserve">agency collaboration (Welsh Government, 2016). Practitioners are required to share relevant information with safeguarding partners when a child may be at risk, even </w:t>
            </w:r>
            <w:r>
              <w:rPr>
                <w:rFonts w:eastAsiaTheme="minorHAnsi" w:cs="Times New Roman"/>
                <w:kern w:val="2"/>
                <w:sz w:val="24"/>
                <w:szCs w:val="24"/>
                <w:lang w:eastAsia="en-US"/>
                <w14:ligatures w14:val="standardContextual"/>
              </w:rPr>
              <w:t>without</w:t>
            </w:r>
            <w:r w:rsidRPr="00730AC9">
              <w:rPr>
                <w:rFonts w:eastAsiaTheme="minorHAnsi" w:cs="Times New Roman"/>
                <w:kern w:val="2"/>
                <w:sz w:val="24"/>
                <w:szCs w:val="24"/>
                <w:lang w:eastAsia="en-US"/>
                <w14:ligatures w14:val="standardContextual"/>
              </w:rPr>
              <w:t xml:space="preserve"> consent, reflecting the statutory duty to cooperate in safeguarding enquiries and protection planning. </w:t>
            </w:r>
            <w:r w:rsidRPr="00FA5D9F">
              <w:rPr>
                <w:rFonts w:eastAsiaTheme="minorHAnsi" w:cs="Times New Roman"/>
                <w:kern w:val="2"/>
                <w:sz w:val="24"/>
                <w:szCs w:val="24"/>
                <w:lang w:eastAsia="en-US"/>
                <w14:ligatures w14:val="standardContextual"/>
              </w:rPr>
              <w:t>The Procedures also outline thresholds for referral, the requirements for strategy discussions, and the processes for undertaking enquiries when concerns are raised about a child’s safety under Section 47 of the Children Act 1989.</w:t>
            </w:r>
            <w:r>
              <w:rPr>
                <w:rFonts w:eastAsiaTheme="minorHAnsi" w:cs="Times New Roman"/>
                <w:kern w:val="2"/>
                <w:sz w:val="24"/>
                <w:szCs w:val="24"/>
                <w:lang w:eastAsia="en-US"/>
                <w14:ligatures w14:val="standardContextual"/>
              </w:rPr>
              <w:t xml:space="preserve"> Safeguarding</w:t>
            </w:r>
            <w:r w:rsidRPr="00E234EF">
              <w:rPr>
                <w:rFonts w:eastAsiaTheme="minorHAnsi" w:cs="Times New Roman"/>
                <w:kern w:val="2"/>
                <w:sz w:val="24"/>
                <w:szCs w:val="24"/>
                <w:lang w:eastAsia="en-US"/>
                <w14:ligatures w14:val="standardContextual"/>
              </w:rPr>
              <w:t xml:space="preserve"> practice in Wales must also be balanced with the legal duties set out in the Human Rights Act 1998, particularly Article 8, which protects an individual’s right to respect for private and family life. Although Article 8 is a qualified right, meaning it can be lawfully restricted to protect children from harm, it nonetheless presents dilemmas for practitioners when intervening in family life. Actions such as sharing information without consent, undertaking Section 47 enquiries or placing children on the Child Protection Register all constitute interferences with Article 8 and therefore must be justified as necessary, proportionate and in the child’s best interests (Human Rights Act 1998). This creates a tension between respecting parental autonomy and fulfilling statutory safeguarding duties under the Social Services and Well</w:t>
            </w:r>
            <w:r w:rsidRPr="00E234EF">
              <w:rPr>
                <w:rFonts w:ascii="Cambria Math" w:eastAsiaTheme="minorHAnsi" w:hAnsi="Cambria Math" w:cs="Cambria Math"/>
                <w:kern w:val="2"/>
                <w:sz w:val="24"/>
                <w:szCs w:val="24"/>
                <w:lang w:eastAsia="en-US"/>
                <w14:ligatures w14:val="standardContextual"/>
              </w:rPr>
              <w:t>‑</w:t>
            </w:r>
            <w:r w:rsidRPr="00E234EF">
              <w:rPr>
                <w:rFonts w:eastAsiaTheme="minorHAnsi" w:cs="Times New Roman"/>
                <w:kern w:val="2"/>
                <w:sz w:val="24"/>
                <w:szCs w:val="24"/>
                <w:lang w:eastAsia="en-US"/>
                <w14:ligatures w14:val="standardContextual"/>
              </w:rPr>
              <w:t xml:space="preserve">being (Wales) Act 2014. In practice, this means </w:t>
            </w:r>
            <w:r>
              <w:rPr>
                <w:rFonts w:eastAsiaTheme="minorHAnsi" w:cs="Times New Roman"/>
                <w:kern w:val="2"/>
                <w:sz w:val="24"/>
                <w:szCs w:val="24"/>
                <w:lang w:eastAsia="en-US"/>
                <w14:ligatures w14:val="standardContextual"/>
              </w:rPr>
              <w:t xml:space="preserve">practitioners must carefully balance parents' rights </w:t>
            </w:r>
            <w:r w:rsidRPr="00E234EF">
              <w:rPr>
                <w:rFonts w:eastAsiaTheme="minorHAnsi" w:cs="Times New Roman"/>
                <w:kern w:val="2"/>
                <w:sz w:val="24"/>
                <w:szCs w:val="24"/>
                <w:lang w:eastAsia="en-US"/>
                <w14:ligatures w14:val="standardContextual"/>
              </w:rPr>
              <w:t>with the need to protect children from</w:t>
            </w:r>
            <w:r>
              <w:rPr>
                <w:rFonts w:eastAsiaTheme="minorHAnsi" w:cs="Times New Roman"/>
                <w:kern w:val="2"/>
                <w:sz w:val="24"/>
                <w:szCs w:val="24"/>
                <w:lang w:eastAsia="en-US"/>
                <w14:ligatures w14:val="standardContextual"/>
              </w:rPr>
              <w:t xml:space="preserve"> all types of</w:t>
            </w:r>
            <w:r w:rsidRPr="00E234EF">
              <w:rPr>
                <w:rFonts w:eastAsiaTheme="minorHAnsi" w:cs="Times New Roman"/>
                <w:kern w:val="2"/>
                <w:sz w:val="24"/>
                <w:szCs w:val="24"/>
                <w:lang w:eastAsia="en-US"/>
                <w14:ligatures w14:val="standardContextual"/>
              </w:rPr>
              <w:t xml:space="preserve"> harm</w:t>
            </w:r>
            <w:r>
              <w:rPr>
                <w:rFonts w:eastAsiaTheme="minorHAnsi" w:cs="Times New Roman"/>
                <w:kern w:val="2"/>
                <w:sz w:val="24"/>
                <w:szCs w:val="24"/>
                <w:lang w:eastAsia="en-US"/>
                <w14:ligatures w14:val="standardContextual"/>
              </w:rPr>
              <w:t>; a child's welfare is paramount,</w:t>
            </w:r>
            <w:r w:rsidRPr="00E234EF">
              <w:rPr>
                <w:rFonts w:eastAsiaTheme="minorHAnsi" w:cs="Times New Roman"/>
                <w:kern w:val="2"/>
                <w:sz w:val="24"/>
                <w:szCs w:val="24"/>
                <w:lang w:eastAsia="en-US"/>
                <w14:ligatures w14:val="standardContextual"/>
              </w:rPr>
              <w:t xml:space="preserve"> ensuring that any intrusion into family life is evidence</w:t>
            </w:r>
            <w:r w:rsidRPr="00E234EF">
              <w:rPr>
                <w:rFonts w:ascii="Cambria Math" w:eastAsiaTheme="minorHAnsi" w:hAnsi="Cambria Math" w:cs="Cambria Math"/>
                <w:kern w:val="2"/>
                <w:sz w:val="24"/>
                <w:szCs w:val="24"/>
                <w:lang w:eastAsia="en-US"/>
                <w14:ligatures w14:val="standardContextual"/>
              </w:rPr>
              <w:t>‑</w:t>
            </w:r>
            <w:r w:rsidRPr="00E234EF">
              <w:rPr>
                <w:rFonts w:eastAsiaTheme="minorHAnsi" w:cs="Times New Roman"/>
                <w:kern w:val="2"/>
                <w:sz w:val="24"/>
                <w:szCs w:val="24"/>
                <w:lang w:eastAsia="en-US"/>
                <w14:ligatures w14:val="standardContextual"/>
              </w:rPr>
              <w:t>based and aligned with the overarching principle of promoting the child</w:t>
            </w:r>
            <w:r w:rsidRPr="00E234EF">
              <w:rPr>
                <w:rFonts w:eastAsiaTheme="minorHAnsi"/>
                <w:kern w:val="2"/>
                <w:sz w:val="24"/>
                <w:szCs w:val="24"/>
                <w:lang w:eastAsia="en-US"/>
                <w14:ligatures w14:val="standardContextual"/>
              </w:rPr>
              <w:t>’</w:t>
            </w:r>
            <w:r w:rsidRPr="00E234EF">
              <w:rPr>
                <w:rFonts w:eastAsiaTheme="minorHAnsi" w:cs="Times New Roman"/>
                <w:kern w:val="2"/>
                <w:sz w:val="24"/>
                <w:szCs w:val="24"/>
                <w:lang w:eastAsia="en-US"/>
                <w14:ligatures w14:val="standardContextual"/>
              </w:rPr>
              <w:t>s welfare.</w:t>
            </w:r>
            <w:r>
              <w:rPr>
                <w:rFonts w:eastAsiaTheme="minorHAnsi" w:cs="Times New Roman"/>
                <w:kern w:val="2"/>
                <w:sz w:val="24"/>
                <w:szCs w:val="24"/>
                <w:lang w:eastAsia="en-US"/>
                <w14:ligatures w14:val="standardContextual"/>
              </w:rPr>
              <w:t xml:space="preserve"> </w:t>
            </w:r>
            <w:r w:rsidRPr="00730AC9">
              <w:rPr>
                <w:rFonts w:eastAsiaTheme="minorHAnsi" w:cs="Times New Roman"/>
                <w:kern w:val="2"/>
                <w:sz w:val="24"/>
                <w:szCs w:val="24"/>
                <w:lang w:eastAsia="en-US"/>
                <w14:ligatures w14:val="standardContextual"/>
              </w:rPr>
              <w:t>which places a duty on local authorities to investigate when there is reasonable cause to suspect significant harm.</w:t>
            </w:r>
          </w:p>
          <w:p w14:paraId="2B45ADC0" w14:textId="77777777" w:rsidR="00103DFA" w:rsidRPr="00730AC9" w:rsidRDefault="00103DFA" w:rsidP="00103DFA">
            <w:pPr>
              <w:overflowPunct/>
              <w:autoSpaceDE/>
              <w:autoSpaceDN/>
              <w:adjustRightInd/>
              <w:spacing w:before="100" w:beforeAutospacing="1" w:after="100" w:afterAutospacing="1" w:line="360" w:lineRule="auto"/>
              <w:jc w:val="both"/>
              <w:textAlignment w:val="auto"/>
              <w:rPr>
                <w:rFonts w:eastAsiaTheme="minorHAnsi" w:cs="Times New Roman"/>
                <w:kern w:val="2"/>
                <w:sz w:val="24"/>
                <w:szCs w:val="24"/>
                <w:lang w:eastAsia="en-US"/>
                <w14:ligatures w14:val="standardContextual"/>
              </w:rPr>
            </w:pPr>
            <w:r w:rsidRPr="00730AC9">
              <w:rPr>
                <w:rFonts w:eastAsiaTheme="minorHAnsi" w:cs="Times New Roman"/>
                <w:kern w:val="2"/>
                <w:sz w:val="24"/>
                <w:szCs w:val="24"/>
                <w:lang w:eastAsia="en-US"/>
                <w14:ligatures w14:val="standardContextual"/>
              </w:rPr>
              <w:t>In Wales, safeguarding practice is further strengthened by the Welsh Government’s “due regard” obligation under the Rights of Children and Young Persons (Wales) Measure 2011, which requires all policy and guidance to reflect key principles of the United Nations Convention on the Rights of the Child (UNCRC), including Articles 3, 12 and 19 (Welsh Government, 2011). This rights</w:t>
            </w:r>
            <w:r w:rsidRPr="00730AC9">
              <w:rPr>
                <w:rFonts w:ascii="Cambria Math" w:eastAsiaTheme="minorHAnsi" w:hAnsi="Cambria Math" w:cs="Cambria Math"/>
                <w:kern w:val="2"/>
                <w:sz w:val="24"/>
                <w:szCs w:val="24"/>
                <w:lang w:eastAsia="en-US"/>
                <w14:ligatures w14:val="standardContextual"/>
              </w:rPr>
              <w:t>‑</w:t>
            </w:r>
            <w:r w:rsidRPr="00730AC9">
              <w:rPr>
                <w:rFonts w:eastAsiaTheme="minorHAnsi" w:cs="Times New Roman"/>
                <w:kern w:val="2"/>
                <w:sz w:val="24"/>
                <w:szCs w:val="24"/>
                <w:lang w:eastAsia="en-US"/>
                <w14:ligatures w14:val="standardContextual"/>
              </w:rPr>
              <w:t>based approach ensures that the child</w:t>
            </w:r>
            <w:r w:rsidRPr="00730AC9">
              <w:rPr>
                <w:rFonts w:eastAsiaTheme="minorHAnsi"/>
                <w:kern w:val="2"/>
                <w:sz w:val="24"/>
                <w:szCs w:val="24"/>
                <w:lang w:eastAsia="en-US"/>
                <w14:ligatures w14:val="standardContextual"/>
              </w:rPr>
              <w:t>’</w:t>
            </w:r>
            <w:r w:rsidRPr="00730AC9">
              <w:rPr>
                <w:rFonts w:eastAsiaTheme="minorHAnsi" w:cs="Times New Roman"/>
                <w:kern w:val="2"/>
                <w:sz w:val="24"/>
                <w:szCs w:val="24"/>
                <w:lang w:eastAsia="en-US"/>
                <w14:ligatures w14:val="standardContextual"/>
              </w:rPr>
              <w:t xml:space="preserve">s best interests, voice </w:t>
            </w:r>
            <w:r w:rsidRPr="00730AC9">
              <w:rPr>
                <w:rFonts w:eastAsiaTheme="minorHAnsi" w:cs="Times New Roman"/>
                <w:kern w:val="2"/>
                <w:sz w:val="24"/>
                <w:szCs w:val="24"/>
                <w:lang w:eastAsia="en-US"/>
                <w14:ligatures w14:val="standardContextual"/>
              </w:rPr>
              <w:lastRenderedPageBreak/>
              <w:t>and protection from harm remain central to all safeguarding processes. Collectively, these legislative and procedural frameworks support a consistent, child</w:t>
            </w:r>
            <w:r w:rsidRPr="00730AC9">
              <w:rPr>
                <w:rFonts w:ascii="Cambria Math" w:eastAsiaTheme="minorHAnsi" w:hAnsi="Cambria Math" w:cs="Cambria Math"/>
                <w:kern w:val="2"/>
                <w:sz w:val="24"/>
                <w:szCs w:val="24"/>
                <w:lang w:eastAsia="en-US"/>
                <w14:ligatures w14:val="standardContextual"/>
              </w:rPr>
              <w:t>‑</w:t>
            </w:r>
            <w:r w:rsidRPr="00730AC9">
              <w:rPr>
                <w:rFonts w:eastAsiaTheme="minorHAnsi" w:cs="Times New Roman"/>
                <w:kern w:val="2"/>
                <w:sz w:val="24"/>
                <w:szCs w:val="24"/>
                <w:lang w:eastAsia="en-US"/>
                <w14:ligatures w14:val="standardContextual"/>
              </w:rPr>
              <w:t>centred and multi</w:t>
            </w:r>
            <w:r w:rsidRPr="00730AC9">
              <w:rPr>
                <w:rFonts w:ascii="Cambria Math" w:eastAsiaTheme="minorHAnsi" w:hAnsi="Cambria Math" w:cs="Cambria Math"/>
                <w:kern w:val="2"/>
                <w:sz w:val="24"/>
                <w:szCs w:val="24"/>
                <w:lang w:eastAsia="en-US"/>
                <w14:ligatures w14:val="standardContextual"/>
              </w:rPr>
              <w:t>‑</w:t>
            </w:r>
            <w:r w:rsidRPr="00730AC9">
              <w:rPr>
                <w:rFonts w:eastAsiaTheme="minorHAnsi" w:cs="Times New Roman"/>
                <w:kern w:val="2"/>
                <w:sz w:val="24"/>
                <w:szCs w:val="24"/>
                <w:lang w:eastAsia="en-US"/>
                <w14:ligatures w14:val="standardContextual"/>
              </w:rPr>
              <w:t>agency approach to safeguarding across Wales.</w:t>
            </w:r>
          </w:p>
          <w:p w14:paraId="2B277093" w14:textId="77777777" w:rsidR="00103DFA" w:rsidRPr="00730AC9" w:rsidRDefault="00103DFA" w:rsidP="00103DFA">
            <w:pPr>
              <w:overflowPunct/>
              <w:autoSpaceDE/>
              <w:autoSpaceDN/>
              <w:adjustRightInd/>
              <w:spacing w:before="100" w:beforeAutospacing="1" w:after="100" w:afterAutospacing="1" w:line="360" w:lineRule="auto"/>
              <w:jc w:val="both"/>
              <w:textAlignment w:val="auto"/>
              <w:rPr>
                <w:rFonts w:eastAsiaTheme="minorHAnsi" w:cs="Times New Roman"/>
                <w:kern w:val="2"/>
                <w:sz w:val="24"/>
                <w:szCs w:val="24"/>
                <w:lang w:eastAsia="en-US"/>
                <w14:ligatures w14:val="standardContextual"/>
              </w:rPr>
            </w:pPr>
            <w:r w:rsidRPr="00730AC9">
              <w:rPr>
                <w:rFonts w:eastAsiaTheme="minorHAnsi" w:cs="Times New Roman"/>
                <w:kern w:val="2"/>
                <w:sz w:val="24"/>
                <w:szCs w:val="24"/>
                <w:lang w:eastAsia="en-US"/>
                <w14:ligatures w14:val="standardContextual"/>
              </w:rPr>
              <w:t>The Welsh Language Active Offer is a core principle within Welsh health and social care, designed to ensure that individuals can access services in Welsh without needing to request them. Its central aim is to promote and facilitate the use of the Welsh language, ensuring that it is treated no less favourably than English, in line with the Welsh Language (Wales) Measure 2011 (Welsh Government, 2011). The Active Offer, as outlined in the More Than Just Words strategic framework (Welsh Government, 2016), requires practitioners to proactively provide Welsh</w:t>
            </w:r>
            <w:r w:rsidRPr="00730AC9">
              <w:rPr>
                <w:rFonts w:ascii="Cambria Math" w:eastAsiaTheme="minorHAnsi" w:hAnsi="Cambria Math" w:cs="Cambria Math"/>
                <w:kern w:val="2"/>
                <w:sz w:val="24"/>
                <w:szCs w:val="24"/>
                <w:lang w:eastAsia="en-US"/>
                <w14:ligatures w14:val="standardContextual"/>
              </w:rPr>
              <w:t>‑</w:t>
            </w:r>
            <w:r w:rsidRPr="00730AC9">
              <w:rPr>
                <w:rFonts w:eastAsiaTheme="minorHAnsi" w:cs="Times New Roman"/>
                <w:kern w:val="2"/>
                <w:sz w:val="24"/>
                <w:szCs w:val="24"/>
                <w:lang w:eastAsia="en-US"/>
                <w14:ligatures w14:val="standardContextual"/>
              </w:rPr>
              <w:t>medium services from the outset, recognising that language choice is integral to dignity, identity and effective communication.</w:t>
            </w:r>
          </w:p>
          <w:p w14:paraId="2316785E" w14:textId="77777777" w:rsidR="00103DFA" w:rsidRDefault="00103DFA" w:rsidP="00103DFA">
            <w:pPr>
              <w:overflowPunct/>
              <w:autoSpaceDE/>
              <w:autoSpaceDN/>
              <w:adjustRightInd/>
              <w:spacing w:before="100" w:beforeAutospacing="1" w:after="100" w:afterAutospacing="1" w:line="360" w:lineRule="auto"/>
              <w:jc w:val="both"/>
              <w:textAlignment w:val="auto"/>
              <w:rPr>
                <w:rFonts w:eastAsiaTheme="minorHAnsi" w:cs="Times New Roman"/>
                <w:kern w:val="2"/>
                <w:sz w:val="24"/>
                <w:szCs w:val="24"/>
                <w:lang w:eastAsia="en-US"/>
                <w14:ligatures w14:val="standardContextual"/>
              </w:rPr>
            </w:pPr>
            <w:r w:rsidRPr="00730AC9">
              <w:rPr>
                <w:rFonts w:eastAsiaTheme="minorHAnsi" w:cs="Times New Roman"/>
                <w:kern w:val="2"/>
                <w:sz w:val="24"/>
                <w:szCs w:val="24"/>
                <w:lang w:eastAsia="en-US"/>
                <w14:ligatures w14:val="standardContextual"/>
              </w:rPr>
              <w:t>This approach supports meaningful engagement by enabling individuals and families to express themselves in the language that feels most natural to them, which is particularly important in safeguarding and social care contexts where clarity, trust and emotional expression are essential. By embedding the Active Offer into everyday practice, services can facilitate fuller participation from all family members and ensure that their perspectives are heard and understood within assessment and intervention processes.</w:t>
            </w:r>
          </w:p>
          <w:p w14:paraId="30147422" w14:textId="77777777" w:rsidR="00103DFA" w:rsidRDefault="00103DFA" w:rsidP="00103DFA">
            <w:pPr>
              <w:overflowPunct/>
              <w:autoSpaceDE/>
              <w:autoSpaceDN/>
              <w:adjustRightInd/>
              <w:spacing w:before="100" w:beforeAutospacing="1" w:after="100" w:afterAutospacing="1" w:line="360" w:lineRule="auto"/>
              <w:jc w:val="both"/>
              <w:textAlignment w:val="auto"/>
              <w:rPr>
                <w:rFonts w:eastAsiaTheme="minorHAnsi" w:cs="Times New Roman"/>
                <w:kern w:val="2"/>
                <w:sz w:val="24"/>
                <w:szCs w:val="24"/>
                <w:lang w:eastAsia="en-US"/>
                <w14:ligatures w14:val="standardContextual"/>
              </w:rPr>
            </w:pPr>
            <w:r w:rsidRPr="006D54C4">
              <w:rPr>
                <w:rFonts w:eastAsiaTheme="minorHAnsi" w:cs="Times New Roman"/>
                <w:kern w:val="2"/>
                <w:sz w:val="24"/>
                <w:szCs w:val="24"/>
                <w:lang w:eastAsia="en-US"/>
                <w14:ligatures w14:val="standardContextual"/>
              </w:rPr>
              <w:t>Th</w:t>
            </w:r>
            <w:r>
              <w:rPr>
                <w:rFonts w:eastAsiaTheme="minorHAnsi" w:cs="Times New Roman"/>
                <w:kern w:val="2"/>
                <w:sz w:val="24"/>
                <w:szCs w:val="24"/>
                <w:lang w:eastAsia="en-US"/>
                <w14:ligatures w14:val="standardContextual"/>
              </w:rPr>
              <w:t xml:space="preserve">e </w:t>
            </w:r>
            <w:r w:rsidRPr="006D54C4">
              <w:rPr>
                <w:rFonts w:eastAsiaTheme="minorHAnsi" w:cs="Times New Roman"/>
                <w:kern w:val="2"/>
                <w:sz w:val="24"/>
                <w:szCs w:val="24"/>
                <w:lang w:eastAsia="en-US"/>
                <w14:ligatures w14:val="standardContextual"/>
              </w:rPr>
              <w:t>case study will critically analyse my professional decision</w:t>
            </w:r>
            <w:r w:rsidRPr="006D54C4">
              <w:rPr>
                <w:rFonts w:ascii="Cambria Math" w:eastAsiaTheme="minorHAnsi" w:hAnsi="Cambria Math" w:cs="Cambria Math"/>
                <w:kern w:val="2"/>
                <w:sz w:val="24"/>
                <w:szCs w:val="24"/>
                <w:lang w:eastAsia="en-US"/>
                <w14:ligatures w14:val="standardContextual"/>
              </w:rPr>
              <w:t>‑</w:t>
            </w:r>
            <w:r w:rsidRPr="006D54C4">
              <w:rPr>
                <w:rFonts w:eastAsiaTheme="minorHAnsi" w:cs="Times New Roman"/>
                <w:kern w:val="2"/>
                <w:sz w:val="24"/>
                <w:szCs w:val="24"/>
                <w:lang w:eastAsia="en-US"/>
                <w14:ligatures w14:val="standardContextual"/>
              </w:rPr>
              <w:t>making, collaborative assessment processes and use of theory in a complex safeguarding context, demonstrating how these were informed by Welsh legislation, policy and rights</w:t>
            </w:r>
            <w:r w:rsidRPr="006D54C4">
              <w:rPr>
                <w:rFonts w:ascii="Cambria Math" w:eastAsiaTheme="minorHAnsi" w:hAnsi="Cambria Math" w:cs="Cambria Math"/>
                <w:kern w:val="2"/>
                <w:sz w:val="24"/>
                <w:szCs w:val="24"/>
                <w:lang w:eastAsia="en-US"/>
                <w14:ligatures w14:val="standardContextual"/>
              </w:rPr>
              <w:t>‑</w:t>
            </w:r>
            <w:r w:rsidRPr="006D54C4">
              <w:rPr>
                <w:rFonts w:eastAsiaTheme="minorHAnsi" w:cs="Times New Roman"/>
                <w:kern w:val="2"/>
                <w:sz w:val="24"/>
                <w:szCs w:val="24"/>
                <w:lang w:eastAsia="en-US"/>
                <w14:ligatures w14:val="standardContextual"/>
              </w:rPr>
              <w:t>based practice.</w:t>
            </w:r>
          </w:p>
          <w:p w14:paraId="1BB808DB" w14:textId="77777777" w:rsidR="00103DFA" w:rsidRDefault="00103DFA" w:rsidP="00103DFA">
            <w:pPr>
              <w:overflowPunct/>
              <w:autoSpaceDE/>
              <w:autoSpaceDN/>
              <w:adjustRightInd/>
              <w:spacing w:before="100" w:beforeAutospacing="1" w:after="100" w:afterAutospacing="1" w:line="360" w:lineRule="auto"/>
              <w:jc w:val="both"/>
              <w:textAlignment w:val="auto"/>
              <w:rPr>
                <w:rFonts w:eastAsiaTheme="minorHAnsi" w:cs="Times New Roman"/>
                <w:kern w:val="2"/>
                <w:sz w:val="24"/>
                <w:szCs w:val="24"/>
                <w:lang w:eastAsia="en-US"/>
                <w14:ligatures w14:val="standardContextual"/>
              </w:rPr>
            </w:pPr>
          </w:p>
          <w:p w14:paraId="7E387E7D" w14:textId="77777777" w:rsidR="00103DFA" w:rsidRPr="00CE4FCE" w:rsidRDefault="00103DFA" w:rsidP="00103DFA">
            <w:pPr>
              <w:spacing w:line="360" w:lineRule="auto"/>
              <w:jc w:val="both"/>
              <w:rPr>
                <w:b/>
                <w:bCs/>
                <w:sz w:val="24"/>
                <w:szCs w:val="24"/>
                <w:u w:val="single"/>
              </w:rPr>
            </w:pPr>
            <w:r w:rsidRPr="00CE4FCE">
              <w:rPr>
                <w:b/>
                <w:bCs/>
                <w:sz w:val="24"/>
                <w:szCs w:val="24"/>
                <w:u w:val="single"/>
              </w:rPr>
              <w:t>Case Study.</w:t>
            </w:r>
          </w:p>
          <w:p w14:paraId="585985CF" w14:textId="77777777" w:rsidR="00103DFA" w:rsidRDefault="00103DFA" w:rsidP="00103DFA">
            <w:pPr>
              <w:spacing w:line="360" w:lineRule="auto"/>
              <w:jc w:val="both"/>
              <w:rPr>
                <w:color w:val="auto"/>
                <w:sz w:val="24"/>
                <w:szCs w:val="24"/>
              </w:rPr>
            </w:pPr>
          </w:p>
          <w:p w14:paraId="7D6F2E89" w14:textId="77777777" w:rsidR="00103DFA" w:rsidRDefault="00103DFA" w:rsidP="00103DFA">
            <w:pPr>
              <w:spacing w:line="360" w:lineRule="auto"/>
              <w:jc w:val="both"/>
              <w:rPr>
                <w:color w:val="auto"/>
                <w:sz w:val="24"/>
                <w:szCs w:val="24"/>
              </w:rPr>
            </w:pPr>
            <w:r>
              <w:rPr>
                <w:color w:val="auto"/>
                <w:sz w:val="24"/>
                <w:szCs w:val="24"/>
              </w:rPr>
              <w:t>Concerns were raised when s</w:t>
            </w:r>
            <w:r w:rsidRPr="004226B9">
              <w:rPr>
                <w:color w:val="auto"/>
                <w:sz w:val="24"/>
                <w:szCs w:val="24"/>
              </w:rPr>
              <w:t>on</w:t>
            </w:r>
            <w:r>
              <w:rPr>
                <w:color w:val="auto"/>
                <w:sz w:val="24"/>
                <w:szCs w:val="24"/>
              </w:rPr>
              <w:t xml:space="preserve"> </w:t>
            </w:r>
            <w:r w:rsidRPr="004226B9">
              <w:rPr>
                <w:color w:val="auto"/>
                <w:sz w:val="24"/>
                <w:szCs w:val="24"/>
              </w:rPr>
              <w:t xml:space="preserve">(1) disclosed to his schoolteacher that he feared returning home because his father had been sending threatening WhatsApp voice messages containing defamatory language and references to suicidal ideation. Son (1) reported that their father </w:t>
            </w:r>
            <w:r>
              <w:rPr>
                <w:color w:val="auto"/>
                <w:sz w:val="24"/>
                <w:szCs w:val="24"/>
              </w:rPr>
              <w:t xml:space="preserve">became angry after an incident in which the family dogs were let out into the street and </w:t>
            </w:r>
            <w:r w:rsidRPr="004226B9">
              <w:rPr>
                <w:color w:val="auto"/>
                <w:sz w:val="24"/>
                <w:szCs w:val="24"/>
              </w:rPr>
              <w:t>accused both children of being lazy around the home.</w:t>
            </w:r>
            <w:r>
              <w:rPr>
                <w:color w:val="auto"/>
                <w:sz w:val="24"/>
                <w:szCs w:val="24"/>
              </w:rPr>
              <w:t xml:space="preserve"> </w:t>
            </w:r>
            <w:r w:rsidRPr="004226B9">
              <w:rPr>
                <w:color w:val="auto"/>
                <w:sz w:val="24"/>
                <w:szCs w:val="24"/>
              </w:rPr>
              <w:t xml:space="preserve">The school therefore submitted a referral to Children’s Services following the disclosure, citing potential emotional harm. This </w:t>
            </w:r>
            <w:r w:rsidRPr="004226B9">
              <w:rPr>
                <w:color w:val="auto"/>
                <w:sz w:val="24"/>
                <w:szCs w:val="24"/>
              </w:rPr>
              <w:lastRenderedPageBreak/>
              <w:t>action aligns with Section 130 of the Social Services and Well</w:t>
            </w:r>
            <w:r w:rsidRPr="004226B9">
              <w:rPr>
                <w:rFonts w:ascii="Cambria Math" w:hAnsi="Cambria Math" w:cs="Cambria Math"/>
                <w:color w:val="auto"/>
                <w:sz w:val="24"/>
                <w:szCs w:val="24"/>
              </w:rPr>
              <w:t>‑</w:t>
            </w:r>
            <w:r w:rsidRPr="004226B9">
              <w:rPr>
                <w:color w:val="auto"/>
                <w:sz w:val="24"/>
                <w:szCs w:val="24"/>
              </w:rPr>
              <w:t>being (Wales) Act 2014, which places a duty on relevant partners to inform the local authority when they have reasonable cause to suspect that a child is at risk of, or experiencing, abuse, neglect or other forms of harm (Social Services and Well</w:t>
            </w:r>
            <w:r w:rsidRPr="004226B9">
              <w:rPr>
                <w:rFonts w:ascii="Cambria Math" w:hAnsi="Cambria Math" w:cs="Cambria Math"/>
                <w:color w:val="auto"/>
                <w:sz w:val="24"/>
                <w:szCs w:val="24"/>
              </w:rPr>
              <w:t>‑</w:t>
            </w:r>
            <w:r w:rsidRPr="004226B9">
              <w:rPr>
                <w:color w:val="auto"/>
                <w:sz w:val="24"/>
                <w:szCs w:val="24"/>
              </w:rPr>
              <w:t>being (Wales) Act 2014).</w:t>
            </w:r>
            <w:r>
              <w:rPr>
                <w:color w:val="auto"/>
                <w:sz w:val="24"/>
                <w:szCs w:val="24"/>
              </w:rPr>
              <w:t xml:space="preserve"> </w:t>
            </w:r>
            <w:r w:rsidRPr="00764DCE">
              <w:rPr>
                <w:color w:val="auto"/>
                <w:sz w:val="24"/>
                <w:szCs w:val="24"/>
              </w:rPr>
              <w:t xml:space="preserve">Following completion of the safeguarding strategy meeting and the Initial Child Protection Conference, subsequent review meetings were held in accordance with statutory safeguarding processes in Wales. It was agreed that the children be placed on the Child Protection Register under the category of emotional harm, following the Section 47 enquiry. </w:t>
            </w:r>
          </w:p>
          <w:p w14:paraId="2D5943E5" w14:textId="77777777" w:rsidR="00103DFA" w:rsidRDefault="00103DFA" w:rsidP="00103DFA">
            <w:pPr>
              <w:spacing w:line="360" w:lineRule="auto"/>
              <w:jc w:val="both"/>
              <w:rPr>
                <w:color w:val="auto"/>
                <w:sz w:val="24"/>
                <w:szCs w:val="24"/>
              </w:rPr>
            </w:pPr>
          </w:p>
          <w:p w14:paraId="548E6110" w14:textId="77777777" w:rsidR="00103DFA" w:rsidRPr="000F4634" w:rsidRDefault="00103DFA" w:rsidP="00103DFA">
            <w:pPr>
              <w:spacing w:line="360" w:lineRule="auto"/>
              <w:jc w:val="both"/>
              <w:rPr>
                <w:color w:val="auto"/>
                <w:sz w:val="24"/>
                <w:szCs w:val="24"/>
              </w:rPr>
            </w:pPr>
            <w:r w:rsidRPr="00247952">
              <w:rPr>
                <w:color w:val="auto"/>
                <w:sz w:val="24"/>
                <w:szCs w:val="24"/>
              </w:rPr>
              <w:t>My service is non</w:t>
            </w:r>
            <w:r w:rsidRPr="00247952">
              <w:rPr>
                <w:rFonts w:ascii="Cambria Math" w:hAnsi="Cambria Math" w:cs="Cambria Math"/>
                <w:color w:val="auto"/>
                <w:sz w:val="24"/>
                <w:szCs w:val="24"/>
              </w:rPr>
              <w:t>‑</w:t>
            </w:r>
            <w:r w:rsidRPr="00247952">
              <w:rPr>
                <w:color w:val="auto"/>
                <w:sz w:val="24"/>
                <w:szCs w:val="24"/>
              </w:rPr>
              <w:t>statutory and is embedded within Part 9 of the Social Services and Well</w:t>
            </w:r>
            <w:r w:rsidRPr="00247952">
              <w:rPr>
                <w:rFonts w:ascii="Cambria Math" w:hAnsi="Cambria Math" w:cs="Cambria Math"/>
                <w:color w:val="auto"/>
                <w:sz w:val="24"/>
                <w:szCs w:val="24"/>
              </w:rPr>
              <w:t>‑</w:t>
            </w:r>
            <w:r w:rsidRPr="00247952">
              <w:rPr>
                <w:color w:val="auto"/>
                <w:sz w:val="24"/>
                <w:szCs w:val="24"/>
              </w:rPr>
              <w:t xml:space="preserve">being (Wales) Act 2014. My involvement with the family began after the safeguarding enquiry </w:t>
            </w:r>
            <w:r>
              <w:rPr>
                <w:color w:val="auto"/>
                <w:sz w:val="24"/>
                <w:szCs w:val="24"/>
              </w:rPr>
              <w:t>was completed</w:t>
            </w:r>
            <w:r w:rsidRPr="00247952">
              <w:rPr>
                <w:color w:val="auto"/>
                <w:sz w:val="24"/>
                <w:szCs w:val="24"/>
              </w:rPr>
              <w:t xml:space="preserve">. During my initial visit, I offered the Welsh Language Active Offer, as outlined in the More Than Just Words strategic framework (Welsh Government, 2016), and explained the importance of gathering the viewpoints of all family members and considering their wishes and feelings. The family chose English as their preferred language. However, had they chosen Welsh, I would have ensured that all written materials were available </w:t>
            </w:r>
            <w:r>
              <w:rPr>
                <w:color w:val="auto"/>
                <w:sz w:val="24"/>
                <w:szCs w:val="24"/>
              </w:rPr>
              <w:t>in both languages</w:t>
            </w:r>
            <w:r w:rsidRPr="00247952">
              <w:rPr>
                <w:color w:val="auto"/>
                <w:sz w:val="24"/>
                <w:szCs w:val="24"/>
              </w:rPr>
              <w:t xml:space="preserve">. </w:t>
            </w:r>
            <w:r w:rsidRPr="00A32697">
              <w:rPr>
                <w:color w:val="auto"/>
                <w:sz w:val="24"/>
                <w:szCs w:val="24"/>
              </w:rPr>
              <w:t>I was aware that the children’s father did not speak Welsh as his first language, whereas the children attended a Welsh</w:t>
            </w:r>
            <w:r w:rsidRPr="00A32697">
              <w:rPr>
                <w:rFonts w:ascii="Cambria Math" w:hAnsi="Cambria Math" w:cs="Cambria Math"/>
                <w:color w:val="auto"/>
                <w:sz w:val="24"/>
                <w:szCs w:val="24"/>
              </w:rPr>
              <w:t>‑</w:t>
            </w:r>
            <w:r>
              <w:rPr>
                <w:color w:val="auto"/>
                <w:sz w:val="24"/>
                <w:szCs w:val="24"/>
              </w:rPr>
              <w:t>speaking</w:t>
            </w:r>
            <w:r w:rsidRPr="00A32697">
              <w:rPr>
                <w:color w:val="auto"/>
                <w:sz w:val="24"/>
                <w:szCs w:val="24"/>
              </w:rPr>
              <w:t xml:space="preserve"> school. </w:t>
            </w:r>
            <w:r>
              <w:rPr>
                <w:color w:val="auto"/>
                <w:sz w:val="24"/>
                <w:szCs w:val="24"/>
              </w:rPr>
              <w:t>T</w:t>
            </w:r>
            <w:r w:rsidRPr="000F4634">
              <w:rPr>
                <w:color w:val="auto"/>
                <w:sz w:val="24"/>
                <w:szCs w:val="24"/>
              </w:rPr>
              <w:t>herefore</w:t>
            </w:r>
            <w:r>
              <w:rPr>
                <w:color w:val="auto"/>
                <w:sz w:val="24"/>
                <w:szCs w:val="24"/>
              </w:rPr>
              <w:t>, I</w:t>
            </w:r>
            <w:r w:rsidRPr="000F4634">
              <w:rPr>
                <w:color w:val="auto"/>
                <w:sz w:val="24"/>
                <w:szCs w:val="24"/>
              </w:rPr>
              <w:t xml:space="preserve"> offered the children access to an interpreter, which they declined. On reflection, their decision may indicate that they felt confident communicating in English and did not perceive a language barrier. From a safeguarding perspective, it was essential to ensure that the boys’ voices were heard clearly and without influence, in line with the principle that children must be enabled to participate meaningfully in decisions that affect them (Wales Safeguarding Procedures, 2019). Their choice to decline </w:t>
            </w:r>
            <w:r>
              <w:rPr>
                <w:color w:val="auto"/>
                <w:sz w:val="24"/>
                <w:szCs w:val="24"/>
              </w:rPr>
              <w:t xml:space="preserve">an interpreter </w:t>
            </w:r>
            <w:r w:rsidRPr="000F4634">
              <w:rPr>
                <w:color w:val="auto"/>
                <w:sz w:val="24"/>
                <w:szCs w:val="24"/>
              </w:rPr>
              <w:t>may also reflect a desire to maintain control and comfort during a sensitive conversation. This reinforced the importance of remaining alert to potential communication inequalities while respecting the children’s autonomy and ensuring their wishes and feelings remained central to safe practice.</w:t>
            </w:r>
          </w:p>
          <w:p w14:paraId="752E777B" w14:textId="77777777" w:rsidR="00103DFA" w:rsidRDefault="00103DFA" w:rsidP="00103DFA">
            <w:pPr>
              <w:spacing w:line="360" w:lineRule="auto"/>
              <w:jc w:val="both"/>
              <w:rPr>
                <w:color w:val="auto"/>
                <w:sz w:val="24"/>
                <w:szCs w:val="24"/>
              </w:rPr>
            </w:pPr>
            <w:r w:rsidRPr="000F4634">
              <w:rPr>
                <w:color w:val="auto"/>
                <w:sz w:val="24"/>
                <w:szCs w:val="24"/>
              </w:rPr>
              <w:t xml:space="preserve">However, I observed a distinct dynamic within the family’s communication. The children were required to switch to English at home to communicate with their father, which Son (1) described as difficult and a source </w:t>
            </w:r>
            <w:r>
              <w:rPr>
                <w:color w:val="auto"/>
                <w:sz w:val="24"/>
                <w:szCs w:val="24"/>
              </w:rPr>
              <w:t xml:space="preserve">of </w:t>
            </w:r>
            <w:r w:rsidRPr="000F4634">
              <w:rPr>
                <w:color w:val="auto"/>
                <w:sz w:val="24"/>
                <w:szCs w:val="24"/>
              </w:rPr>
              <w:t>tension. For example, during English</w:t>
            </w:r>
            <w:r w:rsidRPr="000F4634">
              <w:rPr>
                <w:rFonts w:ascii="Cambria Math" w:hAnsi="Cambria Math" w:cs="Cambria Math"/>
                <w:color w:val="auto"/>
                <w:sz w:val="24"/>
                <w:szCs w:val="24"/>
              </w:rPr>
              <w:t>‑</w:t>
            </w:r>
            <w:r w:rsidRPr="000F4634">
              <w:rPr>
                <w:color w:val="auto"/>
                <w:sz w:val="24"/>
                <w:szCs w:val="24"/>
              </w:rPr>
              <w:t xml:space="preserve">language conversations, the children appeared less expressive and more reserved, offering shorter </w:t>
            </w:r>
            <w:r w:rsidRPr="000F4634">
              <w:rPr>
                <w:color w:val="auto"/>
                <w:sz w:val="24"/>
                <w:szCs w:val="24"/>
              </w:rPr>
              <w:lastRenderedPageBreak/>
              <w:t>responses and avoiding eye contact. This contrasted with their more animated and spontaneous communication style observed when speaking Welsh with peers at school, a pattern consistent with Thomas’s (2012) findings.</w:t>
            </w:r>
            <w:r w:rsidRPr="00EB4DDC">
              <w:rPr>
                <w:color w:val="auto"/>
                <w:sz w:val="24"/>
                <w:szCs w:val="24"/>
              </w:rPr>
              <w:t xml:space="preserve"> Within my intervention with the children and their father, I continued to safeguard the children and undertake ongoing risk assessment in line with the Wales Safeguarding Procedures</w:t>
            </w:r>
            <w:r>
              <w:rPr>
                <w:color w:val="auto"/>
                <w:sz w:val="24"/>
                <w:szCs w:val="24"/>
              </w:rPr>
              <w:t xml:space="preserve"> (2019)</w:t>
            </w:r>
            <w:r w:rsidRPr="00EB4DDC">
              <w:rPr>
                <w:color w:val="auto"/>
                <w:sz w:val="24"/>
                <w:szCs w:val="24"/>
              </w:rPr>
              <w:t>, recognising the persistent risks associated with the father’s illicit drug use and mental health complexities</w:t>
            </w:r>
            <w:r>
              <w:rPr>
                <w:color w:val="auto"/>
                <w:sz w:val="24"/>
                <w:szCs w:val="24"/>
              </w:rPr>
              <w:t>, Wales Safeguarding Procedures (</w:t>
            </w:r>
            <w:r w:rsidRPr="00EB4DDC">
              <w:rPr>
                <w:color w:val="auto"/>
                <w:sz w:val="24"/>
                <w:szCs w:val="24"/>
              </w:rPr>
              <w:t xml:space="preserve">2019). </w:t>
            </w:r>
            <w:r w:rsidRPr="00E34898">
              <w:rPr>
                <w:color w:val="auto"/>
                <w:sz w:val="24"/>
                <w:szCs w:val="24"/>
              </w:rPr>
              <w:t>My work with the father was informed by a therapeutic, holistic and strengths</w:t>
            </w:r>
            <w:r w:rsidRPr="00E34898">
              <w:rPr>
                <w:rFonts w:ascii="Cambria Math" w:hAnsi="Cambria Math" w:cs="Cambria Math"/>
                <w:color w:val="auto"/>
                <w:sz w:val="24"/>
                <w:szCs w:val="24"/>
              </w:rPr>
              <w:t>‑</w:t>
            </w:r>
            <w:r w:rsidRPr="00E34898">
              <w:rPr>
                <w:color w:val="auto"/>
                <w:sz w:val="24"/>
                <w:szCs w:val="24"/>
              </w:rPr>
              <w:t>based approach, drawing on Solution Focused Brief Therapy (SFBT), a future</w:t>
            </w:r>
            <w:r w:rsidRPr="00E34898">
              <w:rPr>
                <w:rFonts w:ascii="Cambria Math" w:hAnsi="Cambria Math" w:cs="Cambria Math"/>
                <w:color w:val="auto"/>
                <w:sz w:val="24"/>
                <w:szCs w:val="24"/>
              </w:rPr>
              <w:t>‑</w:t>
            </w:r>
            <w:r w:rsidRPr="00E34898">
              <w:rPr>
                <w:color w:val="auto"/>
                <w:sz w:val="24"/>
                <w:szCs w:val="24"/>
              </w:rPr>
              <w:t>oriented model widely used in mental health and safeguarding contexts (De Shazer and Dolan, 2007). A strengths</w:t>
            </w:r>
            <w:r w:rsidRPr="00E34898">
              <w:rPr>
                <w:rFonts w:ascii="Cambria Math" w:hAnsi="Cambria Math" w:cs="Cambria Math"/>
                <w:color w:val="auto"/>
                <w:sz w:val="24"/>
                <w:szCs w:val="24"/>
              </w:rPr>
              <w:t>‑</w:t>
            </w:r>
            <w:r w:rsidRPr="00E34898">
              <w:rPr>
                <w:color w:val="auto"/>
                <w:sz w:val="24"/>
                <w:szCs w:val="24"/>
              </w:rPr>
              <w:t>based approach emphasises recognising and building upon the individual’s existing capacities, resilience and protective factors, aligning with social work principles that promote empowerment, collaboration and voice and control in practice (</w:t>
            </w:r>
            <w:proofErr w:type="spellStart"/>
            <w:r w:rsidRPr="00E34898">
              <w:rPr>
                <w:color w:val="auto"/>
                <w:sz w:val="24"/>
                <w:szCs w:val="24"/>
              </w:rPr>
              <w:t>Saleebey</w:t>
            </w:r>
            <w:proofErr w:type="spellEnd"/>
            <w:r w:rsidRPr="00E34898">
              <w:rPr>
                <w:color w:val="auto"/>
                <w:sz w:val="24"/>
                <w:szCs w:val="24"/>
              </w:rPr>
              <w:t>, 2013).</w:t>
            </w:r>
            <w:r>
              <w:rPr>
                <w:color w:val="auto"/>
                <w:sz w:val="24"/>
                <w:szCs w:val="24"/>
              </w:rPr>
              <w:t xml:space="preserve"> </w:t>
            </w:r>
            <w:r w:rsidRPr="00EB4DDC">
              <w:rPr>
                <w:color w:val="auto"/>
                <w:sz w:val="24"/>
                <w:szCs w:val="24"/>
              </w:rPr>
              <w:t>George et al. (1999) describe SFBT as focusing on the client’s “best hopes and preferred future, rather than the problem itself”, which supports individuals to identify their own solutions. This approach enabled the father to recognise the impact of his behaviour on his children and facilitated meaningful change to enhance their safety.</w:t>
            </w:r>
          </w:p>
          <w:p w14:paraId="12AA8D44" w14:textId="77777777" w:rsidR="00103DFA" w:rsidRDefault="00103DFA" w:rsidP="00103DFA">
            <w:pPr>
              <w:spacing w:line="360" w:lineRule="auto"/>
              <w:jc w:val="both"/>
              <w:rPr>
                <w:color w:val="auto"/>
                <w:sz w:val="24"/>
                <w:szCs w:val="24"/>
              </w:rPr>
            </w:pPr>
          </w:p>
          <w:p w14:paraId="33FA2C9D" w14:textId="77777777" w:rsidR="00103DFA" w:rsidRPr="002616AD" w:rsidRDefault="00103DFA" w:rsidP="00103DFA">
            <w:pPr>
              <w:spacing w:line="360" w:lineRule="auto"/>
              <w:jc w:val="both"/>
              <w:rPr>
                <w:color w:val="auto"/>
                <w:sz w:val="24"/>
                <w:szCs w:val="24"/>
              </w:rPr>
            </w:pPr>
            <w:r w:rsidRPr="002616AD">
              <w:rPr>
                <w:color w:val="auto"/>
                <w:sz w:val="24"/>
                <w:szCs w:val="24"/>
              </w:rPr>
              <w:t>In my professional decision</w:t>
            </w:r>
            <w:r w:rsidRPr="002616AD">
              <w:rPr>
                <w:rFonts w:ascii="Cambria Math" w:hAnsi="Cambria Math" w:cs="Cambria Math"/>
                <w:color w:val="auto"/>
                <w:sz w:val="24"/>
                <w:szCs w:val="24"/>
              </w:rPr>
              <w:t>‑</w:t>
            </w:r>
            <w:r w:rsidRPr="002616AD">
              <w:rPr>
                <w:color w:val="auto"/>
                <w:sz w:val="24"/>
                <w:szCs w:val="24"/>
              </w:rPr>
              <w:t xml:space="preserve">making, I supported the father to access the XXX mental health unit after identifying that his untreated </w:t>
            </w:r>
            <w:r>
              <w:rPr>
                <w:color w:val="auto"/>
                <w:sz w:val="24"/>
                <w:szCs w:val="24"/>
              </w:rPr>
              <w:t>mental health</w:t>
            </w:r>
            <w:r w:rsidRPr="002616AD">
              <w:rPr>
                <w:color w:val="auto"/>
                <w:sz w:val="24"/>
                <w:szCs w:val="24"/>
              </w:rPr>
              <w:t xml:space="preserve"> needs and social anxiety were affecting his emotional availability and capacity to meet the children’s needs, raising safeguarding concerns. This analysis informed my decision to prioritise timely engagement with mental</w:t>
            </w:r>
            <w:r w:rsidRPr="002616AD">
              <w:rPr>
                <w:rFonts w:ascii="Cambria Math" w:hAnsi="Cambria Math" w:cs="Cambria Math"/>
                <w:color w:val="auto"/>
                <w:sz w:val="24"/>
                <w:szCs w:val="24"/>
              </w:rPr>
              <w:t>‑</w:t>
            </w:r>
            <w:r w:rsidRPr="002616AD">
              <w:rPr>
                <w:color w:val="auto"/>
                <w:sz w:val="24"/>
                <w:szCs w:val="24"/>
              </w:rPr>
              <w:t>health services as a protective intervention. Following the unit’s recommendation that he attend local support groups, I helped him identify a group he felt comfortable with and, recognising anxiety and low confidence as barriers to engagement, attended the first session alongside him to reduce the risk of disengagement. This approach aligned with trauma</w:t>
            </w:r>
            <w:r w:rsidRPr="002616AD">
              <w:rPr>
                <w:rFonts w:ascii="Cambria Math" w:hAnsi="Cambria Math" w:cs="Cambria Math"/>
                <w:color w:val="auto"/>
                <w:sz w:val="24"/>
                <w:szCs w:val="24"/>
              </w:rPr>
              <w:t>‑</w:t>
            </w:r>
            <w:r w:rsidRPr="002616AD">
              <w:rPr>
                <w:color w:val="auto"/>
                <w:sz w:val="24"/>
                <w:szCs w:val="24"/>
              </w:rPr>
              <w:t>informed and relationship</w:t>
            </w:r>
            <w:r w:rsidRPr="002616AD">
              <w:rPr>
                <w:rFonts w:ascii="Cambria Math" w:hAnsi="Cambria Math" w:cs="Cambria Math"/>
                <w:color w:val="auto"/>
                <w:sz w:val="24"/>
                <w:szCs w:val="24"/>
              </w:rPr>
              <w:t>‑</w:t>
            </w:r>
            <w:r w:rsidRPr="002616AD">
              <w:rPr>
                <w:color w:val="auto"/>
                <w:sz w:val="24"/>
                <w:szCs w:val="24"/>
              </w:rPr>
              <w:t xml:space="preserve">based practice, </w:t>
            </w:r>
            <w:r>
              <w:rPr>
                <w:color w:val="auto"/>
                <w:sz w:val="24"/>
                <w:szCs w:val="24"/>
              </w:rPr>
              <w:t xml:space="preserve">which promotes </w:t>
            </w:r>
            <w:r w:rsidRPr="002616AD">
              <w:rPr>
                <w:color w:val="auto"/>
                <w:sz w:val="24"/>
                <w:szCs w:val="24"/>
              </w:rPr>
              <w:t>safe and sustained participation (Hughes et al., 2016).</w:t>
            </w:r>
          </w:p>
          <w:p w14:paraId="1F8E64BE" w14:textId="77777777" w:rsidR="00103DFA" w:rsidRDefault="00103DFA" w:rsidP="00103DFA">
            <w:pPr>
              <w:spacing w:line="360" w:lineRule="auto"/>
              <w:jc w:val="both"/>
              <w:rPr>
                <w:color w:val="auto"/>
                <w:sz w:val="24"/>
                <w:szCs w:val="24"/>
              </w:rPr>
            </w:pPr>
          </w:p>
          <w:p w14:paraId="34BBA178" w14:textId="77777777" w:rsidR="00103DFA" w:rsidRPr="002616AD" w:rsidRDefault="00103DFA" w:rsidP="00103DFA">
            <w:pPr>
              <w:spacing w:line="360" w:lineRule="auto"/>
              <w:jc w:val="both"/>
              <w:rPr>
                <w:color w:val="auto"/>
                <w:sz w:val="24"/>
                <w:szCs w:val="24"/>
              </w:rPr>
            </w:pPr>
            <w:r w:rsidRPr="002616AD">
              <w:rPr>
                <w:color w:val="auto"/>
                <w:sz w:val="24"/>
                <w:szCs w:val="24"/>
              </w:rPr>
              <w:t xml:space="preserve">I also facilitated the father’s registration with his local GP and supported attendance at initial appointments, reflecting my professional judgement that coordinated healthcare involvement was essential to mitigating risk and strengthening protective factors around the children. </w:t>
            </w:r>
            <w:r w:rsidRPr="002616AD">
              <w:rPr>
                <w:color w:val="auto"/>
                <w:sz w:val="24"/>
                <w:szCs w:val="24"/>
              </w:rPr>
              <w:lastRenderedPageBreak/>
              <w:t>Throughout this process, I demonstrated effective communication, partnership working and the maintenance of professional boundaries, in line with the Social Care Wales Code of Professional Practice (SCW, 2017). I collaborated with the medical practice to coordinate further appointments and, with the father’s consent, attended when additional support was required (SCW, 2017, 2.1). These decisions were grounded in ongoing analysis, consideration of risk and resilience, and my statutory safeguarding responsibilities.</w:t>
            </w:r>
          </w:p>
          <w:p w14:paraId="1D2E4745" w14:textId="77777777" w:rsidR="00103DFA" w:rsidRDefault="00103DFA" w:rsidP="00103DFA">
            <w:pPr>
              <w:spacing w:line="360" w:lineRule="auto"/>
              <w:jc w:val="both"/>
              <w:rPr>
                <w:color w:val="auto"/>
                <w:sz w:val="24"/>
                <w:szCs w:val="24"/>
              </w:rPr>
            </w:pPr>
            <w:r w:rsidRPr="002616AD">
              <w:rPr>
                <w:color w:val="auto"/>
                <w:sz w:val="24"/>
                <w:szCs w:val="24"/>
              </w:rPr>
              <w:t xml:space="preserve">In relation to the father’s continued cannabis use, </w:t>
            </w:r>
            <w:r>
              <w:rPr>
                <w:color w:val="auto"/>
                <w:sz w:val="24"/>
                <w:szCs w:val="24"/>
              </w:rPr>
              <w:t>through informed, evidence</w:t>
            </w:r>
            <w:r>
              <w:rPr>
                <w:rFonts w:ascii="Cambria Math" w:hAnsi="Cambria Math" w:cs="Cambria Math"/>
                <w:color w:val="auto"/>
                <w:sz w:val="24"/>
                <w:szCs w:val="24"/>
              </w:rPr>
              <w:t>‑</w:t>
            </w:r>
            <w:r>
              <w:rPr>
                <w:color w:val="auto"/>
                <w:sz w:val="24"/>
                <w:szCs w:val="24"/>
              </w:rPr>
              <w:t>based decision</w:t>
            </w:r>
            <w:r>
              <w:rPr>
                <w:rFonts w:ascii="Cambria Math" w:hAnsi="Cambria Math" w:cs="Cambria Math"/>
                <w:color w:val="auto"/>
                <w:sz w:val="24"/>
                <w:szCs w:val="24"/>
              </w:rPr>
              <w:t>‑</w:t>
            </w:r>
            <w:r>
              <w:rPr>
                <w:color w:val="auto"/>
                <w:sz w:val="24"/>
                <w:szCs w:val="24"/>
              </w:rPr>
              <w:t>making, I evaluated the level of risk and established the necessary safeguarding actions.</w:t>
            </w:r>
            <w:r w:rsidRPr="002616AD">
              <w:rPr>
                <w:color w:val="auto"/>
                <w:sz w:val="24"/>
                <w:szCs w:val="24"/>
              </w:rPr>
              <w:t xml:space="preserve"> Although he reported ceasing all illicit substances except cannabis, I considered the associated safeguarding risks, including passive inhalation, impaired parental capacity and the potential emotional impact on the children (Public Health Wales, 2020). This analysis informed my decision to explore harm</w:t>
            </w:r>
            <w:r w:rsidRPr="002616AD">
              <w:rPr>
                <w:rFonts w:ascii="Cambria Math" w:hAnsi="Cambria Math" w:cs="Cambria Math"/>
                <w:color w:val="auto"/>
                <w:sz w:val="24"/>
                <w:szCs w:val="24"/>
              </w:rPr>
              <w:t>‑</w:t>
            </w:r>
            <w:r w:rsidRPr="002616AD">
              <w:rPr>
                <w:color w:val="auto"/>
                <w:sz w:val="24"/>
                <w:szCs w:val="24"/>
              </w:rPr>
              <w:t>reduction strategies with him as an immediate safeguarding response. During our discussion, the father demonstrated insight and motivation to change, which I recognised as a protective factor when weighing risk. By the follow</w:t>
            </w:r>
            <w:r w:rsidRPr="002616AD">
              <w:rPr>
                <w:rFonts w:ascii="Cambria Math" w:hAnsi="Cambria Math" w:cs="Cambria Math"/>
                <w:color w:val="auto"/>
                <w:sz w:val="24"/>
                <w:szCs w:val="24"/>
              </w:rPr>
              <w:t>‑</w:t>
            </w:r>
            <w:r w:rsidRPr="002616AD">
              <w:rPr>
                <w:color w:val="auto"/>
                <w:sz w:val="24"/>
                <w:szCs w:val="24"/>
              </w:rPr>
              <w:t xml:space="preserve">up visit 72 hours later, he had implemented </w:t>
            </w:r>
            <w:r>
              <w:rPr>
                <w:color w:val="auto"/>
                <w:sz w:val="24"/>
                <w:szCs w:val="24"/>
              </w:rPr>
              <w:t xml:space="preserve">the </w:t>
            </w:r>
            <w:r w:rsidRPr="002616AD">
              <w:rPr>
                <w:color w:val="auto"/>
                <w:sz w:val="24"/>
                <w:szCs w:val="24"/>
              </w:rPr>
              <w:t>agreed safety measures, including purchasing a lockbox and shelving to securely store cannabis in his bedroom and reorganising the backyard shed to create a designated smoking area away from the children. Drawing on my professional judgement about risk and capacity for change, I engaged him in co</w:t>
            </w:r>
            <w:r w:rsidRPr="002616AD">
              <w:rPr>
                <w:rFonts w:ascii="Cambria Math" w:hAnsi="Cambria Math" w:cs="Cambria Math"/>
                <w:color w:val="auto"/>
                <w:sz w:val="24"/>
                <w:szCs w:val="24"/>
              </w:rPr>
              <w:t>‑</w:t>
            </w:r>
            <w:r w:rsidRPr="002616AD">
              <w:rPr>
                <w:color w:val="auto"/>
                <w:sz w:val="24"/>
                <w:szCs w:val="24"/>
              </w:rPr>
              <w:t>producing a safety plan and a twelve</w:t>
            </w:r>
            <w:r w:rsidRPr="002616AD">
              <w:rPr>
                <w:rFonts w:ascii="Cambria Math" w:hAnsi="Cambria Math" w:cs="Cambria Math"/>
                <w:color w:val="auto"/>
                <w:sz w:val="24"/>
                <w:szCs w:val="24"/>
              </w:rPr>
              <w:t>‑</w:t>
            </w:r>
            <w:r w:rsidRPr="002616AD">
              <w:rPr>
                <w:color w:val="auto"/>
                <w:sz w:val="24"/>
                <w:szCs w:val="24"/>
              </w:rPr>
              <w:t>month cannabis</w:t>
            </w:r>
            <w:r w:rsidRPr="002616AD">
              <w:rPr>
                <w:rFonts w:ascii="Cambria Math" w:hAnsi="Cambria Math" w:cs="Cambria Math"/>
                <w:color w:val="auto"/>
                <w:sz w:val="24"/>
                <w:szCs w:val="24"/>
              </w:rPr>
              <w:t>‑</w:t>
            </w:r>
            <w:r w:rsidRPr="002616AD">
              <w:rPr>
                <w:color w:val="auto"/>
                <w:sz w:val="24"/>
                <w:szCs w:val="24"/>
              </w:rPr>
              <w:t>reduction strategy, aligning with strengths</w:t>
            </w:r>
            <w:r w:rsidRPr="002616AD">
              <w:rPr>
                <w:rFonts w:ascii="Cambria Math" w:hAnsi="Cambria Math" w:cs="Cambria Math"/>
                <w:color w:val="auto"/>
                <w:sz w:val="24"/>
                <w:szCs w:val="24"/>
              </w:rPr>
              <w:t>‑</w:t>
            </w:r>
            <w:r w:rsidRPr="002616AD">
              <w:rPr>
                <w:color w:val="auto"/>
                <w:sz w:val="24"/>
                <w:szCs w:val="24"/>
              </w:rPr>
              <w:t>based, collaborative and proportionate safeguarding practice (Welsh Government, 2014).</w:t>
            </w:r>
          </w:p>
          <w:p w14:paraId="1370F145" w14:textId="77777777" w:rsidR="00103DFA" w:rsidRDefault="00103DFA" w:rsidP="00103DFA">
            <w:pPr>
              <w:spacing w:line="360" w:lineRule="auto"/>
              <w:jc w:val="both"/>
              <w:rPr>
                <w:color w:val="auto"/>
                <w:sz w:val="24"/>
                <w:szCs w:val="24"/>
              </w:rPr>
            </w:pPr>
          </w:p>
          <w:p w14:paraId="6EE49751" w14:textId="77777777" w:rsidR="00103DFA" w:rsidRPr="00D05554" w:rsidRDefault="00103DFA" w:rsidP="00103DFA">
            <w:pPr>
              <w:spacing w:line="360" w:lineRule="auto"/>
              <w:jc w:val="both"/>
              <w:rPr>
                <w:color w:val="auto"/>
                <w:sz w:val="24"/>
                <w:szCs w:val="24"/>
              </w:rPr>
            </w:pPr>
            <w:r w:rsidRPr="00D05554">
              <w:rPr>
                <w:color w:val="auto"/>
                <w:sz w:val="24"/>
                <w:szCs w:val="24"/>
              </w:rPr>
              <w:t xml:space="preserve">Emotional harm emerged as a significant safeguarding concern during both my initial and ongoing </w:t>
            </w:r>
            <w:r>
              <w:rPr>
                <w:color w:val="auto"/>
                <w:sz w:val="24"/>
                <w:szCs w:val="24"/>
              </w:rPr>
              <w:t>concerns</w:t>
            </w:r>
            <w:r w:rsidRPr="00D05554">
              <w:rPr>
                <w:color w:val="auto"/>
                <w:sz w:val="24"/>
                <w:szCs w:val="24"/>
              </w:rPr>
              <w:t>. The children described experiencing verbal blame, criticism and exposure to their father’s suicidal ideation. Under the Wales Safeguarding Procedures</w:t>
            </w:r>
            <w:r>
              <w:rPr>
                <w:color w:val="auto"/>
                <w:sz w:val="24"/>
                <w:szCs w:val="24"/>
              </w:rPr>
              <w:t xml:space="preserve"> (2019)</w:t>
            </w:r>
            <w:r w:rsidRPr="00D05554">
              <w:rPr>
                <w:color w:val="auto"/>
                <w:sz w:val="24"/>
                <w:szCs w:val="24"/>
              </w:rPr>
              <w:t>, emotional abuse includes persistent criticism, humiliation or blaming that undermines a child’s emotional development (Wales Safeguarding Procedures 2019). These behaviours therefore met the threshold for further assessment under Part 7 of the Social Services and Well</w:t>
            </w:r>
            <w:r w:rsidRPr="00D05554">
              <w:rPr>
                <w:rFonts w:ascii="Cambria Math" w:hAnsi="Cambria Math" w:cs="Cambria Math"/>
                <w:color w:val="auto"/>
                <w:sz w:val="24"/>
                <w:szCs w:val="24"/>
              </w:rPr>
              <w:t>‑</w:t>
            </w:r>
            <w:r w:rsidRPr="00D05554">
              <w:rPr>
                <w:color w:val="auto"/>
                <w:sz w:val="24"/>
                <w:szCs w:val="24"/>
              </w:rPr>
              <w:t>being (Wales) Act 2014, which places a duty on practitioners to protect children from emotional harm.</w:t>
            </w:r>
          </w:p>
          <w:p w14:paraId="528DE18E" w14:textId="77777777" w:rsidR="00103DFA" w:rsidRDefault="00103DFA" w:rsidP="00103DFA">
            <w:pPr>
              <w:spacing w:line="360" w:lineRule="auto"/>
              <w:jc w:val="both"/>
              <w:rPr>
                <w:color w:val="auto"/>
                <w:sz w:val="24"/>
                <w:szCs w:val="24"/>
              </w:rPr>
            </w:pPr>
          </w:p>
          <w:p w14:paraId="2812EA6A" w14:textId="77777777" w:rsidR="00103DFA" w:rsidRPr="00D05554" w:rsidRDefault="00103DFA" w:rsidP="00103DFA">
            <w:pPr>
              <w:spacing w:line="360" w:lineRule="auto"/>
              <w:jc w:val="both"/>
              <w:rPr>
                <w:color w:val="auto"/>
                <w:sz w:val="24"/>
                <w:szCs w:val="24"/>
              </w:rPr>
            </w:pPr>
            <w:r w:rsidRPr="00D05554">
              <w:rPr>
                <w:color w:val="auto"/>
                <w:sz w:val="24"/>
                <w:szCs w:val="24"/>
              </w:rPr>
              <w:lastRenderedPageBreak/>
              <w:t>With the informed consent of son (1)</w:t>
            </w:r>
            <w:r>
              <w:rPr>
                <w:color w:val="auto"/>
                <w:sz w:val="24"/>
                <w:szCs w:val="24"/>
              </w:rPr>
              <w:t xml:space="preserve">, </w:t>
            </w:r>
            <w:r w:rsidRPr="00D05554">
              <w:rPr>
                <w:color w:val="auto"/>
                <w:sz w:val="24"/>
                <w:szCs w:val="24"/>
              </w:rPr>
              <w:t>I facilitated a restorative discussion to share their perspectives with their father. Both children described feeling undermined, demoralised and blamed, which had affected their confidence and sense of self</w:t>
            </w:r>
            <w:r w:rsidRPr="00D05554">
              <w:rPr>
                <w:rFonts w:ascii="Cambria Math" w:hAnsi="Cambria Math" w:cs="Cambria Math"/>
                <w:color w:val="auto"/>
                <w:sz w:val="24"/>
                <w:szCs w:val="24"/>
              </w:rPr>
              <w:t>‑</w:t>
            </w:r>
            <w:r w:rsidRPr="00D05554">
              <w:rPr>
                <w:color w:val="auto"/>
                <w:sz w:val="24"/>
                <w:szCs w:val="24"/>
              </w:rPr>
              <w:t>worth. Ensuring their voices were central to the assessment aligned with Article 12 of the United Nations Convention on the Rights of the Child (UNCRC), which requires that children’s views are heard and given due weight in decisions affecting them (Welsh Government, 2011). Cowie (2019) similarly emphasises that listening to children is essential when addressing trauma or implementing changes that impact their lives.</w:t>
            </w:r>
          </w:p>
          <w:p w14:paraId="78B7B893" w14:textId="77777777" w:rsidR="00103DFA" w:rsidRDefault="00103DFA" w:rsidP="00103DFA">
            <w:pPr>
              <w:spacing w:line="360" w:lineRule="auto"/>
              <w:jc w:val="both"/>
              <w:rPr>
                <w:color w:val="auto"/>
                <w:sz w:val="24"/>
                <w:szCs w:val="24"/>
              </w:rPr>
            </w:pPr>
          </w:p>
          <w:p w14:paraId="3B30D7F6" w14:textId="77777777" w:rsidR="00103DFA" w:rsidRPr="00D05554" w:rsidRDefault="00103DFA" w:rsidP="00103DFA">
            <w:pPr>
              <w:spacing w:line="360" w:lineRule="auto"/>
              <w:jc w:val="both"/>
              <w:rPr>
                <w:color w:val="auto"/>
                <w:sz w:val="24"/>
                <w:szCs w:val="24"/>
              </w:rPr>
            </w:pPr>
            <w:r w:rsidRPr="00D05554">
              <w:rPr>
                <w:color w:val="auto"/>
                <w:sz w:val="24"/>
                <w:szCs w:val="24"/>
              </w:rPr>
              <w:t xml:space="preserve">To support the father’s understanding, I explained that exposure to emotionally harmful language is recognised as an Adverse Childhood Experience (ACE), one of the ten categories identified by </w:t>
            </w:r>
            <w:proofErr w:type="spellStart"/>
            <w:r w:rsidRPr="00D05554">
              <w:rPr>
                <w:color w:val="auto"/>
                <w:sz w:val="24"/>
                <w:szCs w:val="24"/>
              </w:rPr>
              <w:t>Felitti</w:t>
            </w:r>
            <w:proofErr w:type="spellEnd"/>
            <w:r w:rsidRPr="00D05554">
              <w:rPr>
                <w:color w:val="auto"/>
                <w:sz w:val="24"/>
                <w:szCs w:val="24"/>
              </w:rPr>
              <w:t xml:space="preserve"> et al. (1998). ACEs such as parental mental ill</w:t>
            </w:r>
            <w:r w:rsidRPr="00D05554">
              <w:rPr>
                <w:rFonts w:ascii="Cambria Math" w:hAnsi="Cambria Math" w:cs="Cambria Math"/>
                <w:color w:val="auto"/>
                <w:sz w:val="24"/>
                <w:szCs w:val="24"/>
              </w:rPr>
              <w:t>‑</w:t>
            </w:r>
            <w:r w:rsidRPr="00D05554">
              <w:rPr>
                <w:color w:val="auto"/>
                <w:sz w:val="24"/>
                <w:szCs w:val="24"/>
              </w:rPr>
              <w:t>health, poverty and substance misuse are associated with long</w:t>
            </w:r>
            <w:r w:rsidRPr="00D05554">
              <w:rPr>
                <w:rFonts w:ascii="Cambria Math" w:hAnsi="Cambria Math" w:cs="Cambria Math"/>
                <w:color w:val="auto"/>
                <w:sz w:val="24"/>
                <w:szCs w:val="24"/>
              </w:rPr>
              <w:t>‑</w:t>
            </w:r>
            <w:r w:rsidRPr="00D05554">
              <w:rPr>
                <w:color w:val="auto"/>
                <w:sz w:val="24"/>
                <w:szCs w:val="24"/>
              </w:rPr>
              <w:t>term impacts on emotional development and resilience. Liddle et al. (2016) highlight that children affected by ACEs may experience stigma or fear of judgement, which can inhibit disclosure — an important consideration when assessing risk and planning intervention. This analysis informed my professional judgement that the children required ongoing monitoring and that the father needed support to develop safer communication strategies.</w:t>
            </w:r>
          </w:p>
          <w:p w14:paraId="5BD9DC3F" w14:textId="77777777" w:rsidR="00103DFA" w:rsidRDefault="00103DFA" w:rsidP="00103DFA">
            <w:pPr>
              <w:spacing w:line="360" w:lineRule="auto"/>
              <w:jc w:val="both"/>
              <w:rPr>
                <w:color w:val="auto"/>
                <w:sz w:val="24"/>
                <w:szCs w:val="24"/>
              </w:rPr>
            </w:pPr>
          </w:p>
          <w:p w14:paraId="4FE33B98" w14:textId="77777777" w:rsidR="00103DFA" w:rsidRDefault="00103DFA" w:rsidP="00103DFA">
            <w:pPr>
              <w:spacing w:line="360" w:lineRule="auto"/>
              <w:jc w:val="both"/>
              <w:rPr>
                <w:color w:val="auto"/>
                <w:sz w:val="24"/>
                <w:szCs w:val="24"/>
              </w:rPr>
            </w:pPr>
            <w:r w:rsidRPr="00D05554">
              <w:rPr>
                <w:color w:val="auto"/>
                <w:sz w:val="24"/>
                <w:szCs w:val="24"/>
              </w:rPr>
              <w:t>The father engaged positively with this reflective work. In subsequent sessions, son (</w:t>
            </w:r>
            <w:r>
              <w:rPr>
                <w:color w:val="auto"/>
                <w:sz w:val="24"/>
                <w:szCs w:val="24"/>
              </w:rPr>
              <w:t>1</w:t>
            </w:r>
            <w:r w:rsidRPr="00D05554">
              <w:rPr>
                <w:color w:val="auto"/>
                <w:sz w:val="24"/>
                <w:szCs w:val="24"/>
              </w:rPr>
              <w:t>) reported that his father had begun using the “I</w:t>
            </w:r>
            <w:r w:rsidRPr="00D05554">
              <w:rPr>
                <w:rFonts w:ascii="Cambria Math" w:hAnsi="Cambria Math" w:cs="Cambria Math"/>
                <w:color w:val="auto"/>
                <w:sz w:val="24"/>
                <w:szCs w:val="24"/>
              </w:rPr>
              <w:t>‑</w:t>
            </w:r>
            <w:r w:rsidRPr="00D05554">
              <w:rPr>
                <w:color w:val="auto"/>
                <w:sz w:val="24"/>
                <w:szCs w:val="24"/>
              </w:rPr>
              <w:t xml:space="preserve">messages” communication model, </w:t>
            </w:r>
            <w:r>
              <w:rPr>
                <w:color w:val="auto"/>
                <w:sz w:val="24"/>
                <w:szCs w:val="24"/>
              </w:rPr>
              <w:t xml:space="preserve">a </w:t>
            </w:r>
            <w:r w:rsidRPr="00017E71">
              <w:rPr>
                <w:color w:val="auto"/>
                <w:sz w:val="24"/>
                <w:szCs w:val="24"/>
              </w:rPr>
              <w:t xml:space="preserve">technique that helps express feelings and needs without </w:t>
            </w:r>
            <w:r>
              <w:rPr>
                <w:color w:val="auto"/>
                <w:sz w:val="24"/>
                <w:szCs w:val="24"/>
              </w:rPr>
              <w:t>using blaming language, reducing blame and promoting</w:t>
            </w:r>
            <w:r w:rsidRPr="00D05554">
              <w:rPr>
                <w:color w:val="auto"/>
                <w:sz w:val="24"/>
                <w:szCs w:val="24"/>
              </w:rPr>
              <w:t xml:space="preserve"> child</w:t>
            </w:r>
            <w:r w:rsidRPr="00D05554">
              <w:rPr>
                <w:rFonts w:ascii="Cambria Math" w:hAnsi="Cambria Math" w:cs="Cambria Math"/>
                <w:color w:val="auto"/>
                <w:sz w:val="24"/>
                <w:szCs w:val="24"/>
              </w:rPr>
              <w:t>‑</w:t>
            </w:r>
            <w:r w:rsidRPr="00D05554">
              <w:rPr>
                <w:color w:val="auto"/>
                <w:sz w:val="24"/>
                <w:szCs w:val="24"/>
              </w:rPr>
              <w:t>centred dialogue by validating feelings and encouraging reflection (The Centre for Parenting Education, n.d.). This shift supported safer, more respectful communication within the home and aligned with the principles of proportionate, strengths</w:t>
            </w:r>
            <w:r w:rsidRPr="00D05554">
              <w:rPr>
                <w:rFonts w:ascii="Cambria Math" w:hAnsi="Cambria Math" w:cs="Cambria Math"/>
                <w:color w:val="auto"/>
                <w:sz w:val="24"/>
                <w:szCs w:val="24"/>
              </w:rPr>
              <w:t>‑</w:t>
            </w:r>
            <w:r w:rsidRPr="00D05554">
              <w:rPr>
                <w:color w:val="auto"/>
                <w:sz w:val="24"/>
                <w:szCs w:val="24"/>
              </w:rPr>
              <w:t>based intervention promoted in Welsh safeguarding policy (Welsh Government, 2014).</w:t>
            </w:r>
          </w:p>
          <w:p w14:paraId="5B7226D6" w14:textId="77777777" w:rsidR="00103DFA" w:rsidRDefault="00103DFA" w:rsidP="00103DFA">
            <w:pPr>
              <w:spacing w:line="360" w:lineRule="auto"/>
              <w:jc w:val="both"/>
              <w:rPr>
                <w:color w:val="auto"/>
                <w:sz w:val="24"/>
                <w:szCs w:val="24"/>
              </w:rPr>
            </w:pPr>
          </w:p>
          <w:p w14:paraId="4548B9CE" w14:textId="77777777" w:rsidR="00103DFA" w:rsidRPr="00D05554" w:rsidRDefault="00103DFA" w:rsidP="00103DFA">
            <w:pPr>
              <w:spacing w:line="360" w:lineRule="auto"/>
              <w:jc w:val="both"/>
              <w:rPr>
                <w:color w:val="auto"/>
                <w:sz w:val="24"/>
                <w:szCs w:val="24"/>
              </w:rPr>
            </w:pPr>
            <w:r w:rsidRPr="00AC1AF6">
              <w:rPr>
                <w:color w:val="auto"/>
                <w:sz w:val="24"/>
                <w:szCs w:val="24"/>
              </w:rPr>
              <w:t xml:space="preserve">During </w:t>
            </w:r>
            <w:r>
              <w:rPr>
                <w:color w:val="auto"/>
                <w:sz w:val="24"/>
                <w:szCs w:val="24"/>
              </w:rPr>
              <w:t>my intervention</w:t>
            </w:r>
            <w:r w:rsidRPr="00AC1AF6">
              <w:rPr>
                <w:color w:val="auto"/>
                <w:sz w:val="24"/>
                <w:szCs w:val="24"/>
              </w:rPr>
              <w:t>, the father disclosed his own history of emotional harm, including early mental</w:t>
            </w:r>
            <w:r w:rsidRPr="00AC1AF6">
              <w:rPr>
                <w:rFonts w:ascii="Cambria Math" w:hAnsi="Cambria Math" w:cs="Cambria Math"/>
                <w:color w:val="auto"/>
                <w:sz w:val="24"/>
                <w:szCs w:val="24"/>
              </w:rPr>
              <w:t>‑</w:t>
            </w:r>
            <w:r w:rsidRPr="00AC1AF6">
              <w:rPr>
                <w:color w:val="auto"/>
                <w:sz w:val="24"/>
                <w:szCs w:val="24"/>
              </w:rPr>
              <w:t>health difficulties, limited literacy and leaving school at age 12. He described being labelled and ridiculed by teachers, which had contributed to long</w:t>
            </w:r>
            <w:r w:rsidRPr="00AC1AF6">
              <w:rPr>
                <w:rFonts w:ascii="Cambria Math" w:hAnsi="Cambria Math" w:cs="Cambria Math"/>
                <w:color w:val="auto"/>
                <w:sz w:val="24"/>
                <w:szCs w:val="24"/>
              </w:rPr>
              <w:t>‑</w:t>
            </w:r>
            <w:r w:rsidRPr="00AC1AF6">
              <w:rPr>
                <w:color w:val="auto"/>
                <w:sz w:val="24"/>
                <w:szCs w:val="24"/>
              </w:rPr>
              <w:t>term low self</w:t>
            </w:r>
            <w:r w:rsidRPr="00AC1AF6">
              <w:rPr>
                <w:rFonts w:ascii="Cambria Math" w:hAnsi="Cambria Math" w:cs="Cambria Math"/>
                <w:color w:val="auto"/>
                <w:sz w:val="24"/>
                <w:szCs w:val="24"/>
              </w:rPr>
              <w:t>‑</w:t>
            </w:r>
            <w:r w:rsidRPr="00AC1AF6">
              <w:rPr>
                <w:color w:val="auto"/>
                <w:sz w:val="24"/>
                <w:szCs w:val="24"/>
              </w:rPr>
              <w:t xml:space="preserve">esteem. </w:t>
            </w:r>
            <w:r w:rsidRPr="00AC1AF6">
              <w:rPr>
                <w:color w:val="auto"/>
                <w:sz w:val="24"/>
                <w:szCs w:val="24"/>
              </w:rPr>
              <w:lastRenderedPageBreak/>
              <w:t>Research by the Ministry of Social Development (2011) notes that persistent negative labelling by professionals can diminish a child’s confidence and sense of identity. Recognising the impact of this intergenerational trauma informed how I engaged with him, ensuring my trauma</w:t>
            </w:r>
            <w:r w:rsidRPr="00AC1AF6">
              <w:rPr>
                <w:rFonts w:ascii="Cambria Math" w:hAnsi="Cambria Math" w:cs="Cambria Math"/>
                <w:color w:val="auto"/>
                <w:sz w:val="24"/>
                <w:szCs w:val="24"/>
              </w:rPr>
              <w:t>‑</w:t>
            </w:r>
            <w:r w:rsidRPr="00AC1AF6">
              <w:rPr>
                <w:color w:val="auto"/>
                <w:sz w:val="24"/>
                <w:szCs w:val="24"/>
              </w:rPr>
              <w:t>informed approach prioritised emotional safety, trust and empowerment throughout our sessions (Welsh Government, 2016).</w:t>
            </w:r>
          </w:p>
          <w:p w14:paraId="120CFA6A" w14:textId="77777777" w:rsidR="00103DFA" w:rsidRDefault="00103DFA" w:rsidP="00103DFA">
            <w:pPr>
              <w:spacing w:line="360" w:lineRule="auto"/>
              <w:jc w:val="both"/>
              <w:rPr>
                <w:color w:val="auto"/>
                <w:sz w:val="24"/>
                <w:szCs w:val="24"/>
              </w:rPr>
            </w:pPr>
          </w:p>
          <w:p w14:paraId="16EF8189" w14:textId="77777777" w:rsidR="00103DFA" w:rsidRPr="002616AD" w:rsidRDefault="00103DFA" w:rsidP="00103DFA">
            <w:pPr>
              <w:spacing w:line="360" w:lineRule="auto"/>
              <w:jc w:val="both"/>
              <w:rPr>
                <w:color w:val="auto"/>
                <w:sz w:val="24"/>
                <w:szCs w:val="24"/>
              </w:rPr>
            </w:pPr>
            <w:r w:rsidRPr="002616AD">
              <w:rPr>
                <w:color w:val="auto"/>
                <w:sz w:val="24"/>
                <w:szCs w:val="24"/>
              </w:rPr>
              <w:t>To support the father’s communication and reflective capacity, I applied De Bono’s Six Thinking Hats framework (De Bono, 2017) as a structured tool to help him explore his thoughts and feelings from different perspectives. The white hat enabled us to focus on factual information about family dynamics, while the red hat supported emotional expression during tense interactions between the children. The black and blue hats facilitated the identification of challenges, the exploration of solutions and the development of clear action steps, drawing on critical thinking and active listening. This approach informed my decision</w:t>
            </w:r>
            <w:r w:rsidRPr="002616AD">
              <w:rPr>
                <w:rFonts w:ascii="Cambria Math" w:hAnsi="Cambria Math" w:cs="Cambria Math"/>
                <w:color w:val="auto"/>
                <w:sz w:val="24"/>
                <w:szCs w:val="24"/>
              </w:rPr>
              <w:t>‑</w:t>
            </w:r>
            <w:r w:rsidRPr="002616AD">
              <w:rPr>
                <w:color w:val="auto"/>
                <w:sz w:val="24"/>
                <w:szCs w:val="24"/>
              </w:rPr>
              <w:t>making in identifying appropriate service methods, including parenting support, communication strategies and advocacy for the children.</w:t>
            </w:r>
          </w:p>
          <w:p w14:paraId="7D49341D" w14:textId="77777777" w:rsidR="00103DFA" w:rsidRDefault="00103DFA" w:rsidP="00103DFA">
            <w:pPr>
              <w:spacing w:line="360" w:lineRule="auto"/>
              <w:jc w:val="both"/>
              <w:rPr>
                <w:color w:val="auto"/>
                <w:sz w:val="24"/>
                <w:szCs w:val="24"/>
              </w:rPr>
            </w:pPr>
          </w:p>
          <w:p w14:paraId="7C614A72" w14:textId="77777777" w:rsidR="00103DFA" w:rsidRPr="002616AD" w:rsidRDefault="00103DFA" w:rsidP="00103DFA">
            <w:pPr>
              <w:spacing w:line="360" w:lineRule="auto"/>
              <w:jc w:val="both"/>
              <w:rPr>
                <w:color w:val="auto"/>
                <w:sz w:val="24"/>
                <w:szCs w:val="24"/>
              </w:rPr>
            </w:pPr>
            <w:r w:rsidRPr="002616AD">
              <w:rPr>
                <w:color w:val="auto"/>
                <w:sz w:val="24"/>
                <w:szCs w:val="24"/>
              </w:rPr>
              <w:t>I also utilised the Three</w:t>
            </w:r>
            <w:r w:rsidRPr="002616AD">
              <w:rPr>
                <w:rFonts w:ascii="Cambria Math" w:hAnsi="Cambria Math" w:cs="Cambria Math"/>
                <w:color w:val="auto"/>
                <w:sz w:val="24"/>
                <w:szCs w:val="24"/>
              </w:rPr>
              <w:t>‑</w:t>
            </w:r>
            <w:r w:rsidRPr="002616AD">
              <w:rPr>
                <w:color w:val="auto"/>
                <w:sz w:val="24"/>
                <w:szCs w:val="24"/>
              </w:rPr>
              <w:t>Stage Theory (Collingwood, 2005), designed to help social work practitioners relate theory to practice during practice</w:t>
            </w:r>
            <w:r w:rsidRPr="002616AD">
              <w:rPr>
                <w:rFonts w:ascii="Cambria Math" w:hAnsi="Cambria Math" w:cs="Cambria Math"/>
                <w:color w:val="auto"/>
                <w:sz w:val="24"/>
                <w:szCs w:val="24"/>
              </w:rPr>
              <w:t>‑</w:t>
            </w:r>
            <w:r w:rsidRPr="002616AD">
              <w:rPr>
                <w:color w:val="auto"/>
                <w:sz w:val="24"/>
                <w:szCs w:val="24"/>
              </w:rPr>
              <w:t>based learning. By applying the stages</w:t>
            </w:r>
            <w:r>
              <w:rPr>
                <w:color w:val="auto"/>
                <w:sz w:val="24"/>
                <w:szCs w:val="24"/>
              </w:rPr>
              <w:t xml:space="preserve">, </w:t>
            </w:r>
            <w:r w:rsidRPr="002616AD">
              <w:rPr>
                <w:color w:val="auto"/>
                <w:sz w:val="24"/>
                <w:szCs w:val="24"/>
              </w:rPr>
              <w:t>gathering information, analysing its meaning and planning intervention</w:t>
            </w:r>
            <w:r>
              <w:rPr>
                <w:color w:val="auto"/>
                <w:sz w:val="24"/>
                <w:szCs w:val="24"/>
              </w:rPr>
              <w:t xml:space="preserve">, </w:t>
            </w:r>
            <w:r w:rsidRPr="002616AD">
              <w:rPr>
                <w:color w:val="auto"/>
                <w:sz w:val="24"/>
                <w:szCs w:val="24"/>
              </w:rPr>
              <w:t>I constructed a comprehensive family profile grounded in a clear theoretical rationale. Maclean (2017) highlights that social work is structured around the core questions of What? Why? and How?, which provide a framework for reflective and purposeful practice. Integrating these theories strengthened my professional reasoning and ensured that my intervention remained evidence</w:t>
            </w:r>
            <w:r w:rsidRPr="002616AD">
              <w:rPr>
                <w:rFonts w:ascii="Cambria Math" w:hAnsi="Cambria Math" w:cs="Cambria Math"/>
                <w:color w:val="auto"/>
                <w:sz w:val="24"/>
                <w:szCs w:val="24"/>
              </w:rPr>
              <w:t>‑</w:t>
            </w:r>
            <w:r w:rsidRPr="002616AD">
              <w:rPr>
                <w:color w:val="auto"/>
                <w:sz w:val="24"/>
                <w:szCs w:val="24"/>
              </w:rPr>
              <w:t>informed and aligned with social work values.</w:t>
            </w:r>
          </w:p>
          <w:p w14:paraId="3B71F8D1" w14:textId="77777777" w:rsidR="00103DFA" w:rsidRDefault="00103DFA" w:rsidP="00103DFA">
            <w:pPr>
              <w:spacing w:line="360" w:lineRule="auto"/>
              <w:jc w:val="both"/>
              <w:rPr>
                <w:color w:val="auto"/>
                <w:sz w:val="24"/>
                <w:szCs w:val="24"/>
              </w:rPr>
            </w:pPr>
          </w:p>
          <w:p w14:paraId="1E633814" w14:textId="77777777" w:rsidR="00103DFA" w:rsidRPr="002616AD" w:rsidRDefault="00103DFA" w:rsidP="00103DFA">
            <w:pPr>
              <w:spacing w:line="360" w:lineRule="auto"/>
              <w:jc w:val="both"/>
              <w:rPr>
                <w:color w:val="auto"/>
                <w:sz w:val="24"/>
                <w:szCs w:val="24"/>
              </w:rPr>
            </w:pPr>
            <w:r w:rsidRPr="002616AD">
              <w:rPr>
                <w:color w:val="auto"/>
                <w:sz w:val="24"/>
                <w:szCs w:val="24"/>
              </w:rPr>
              <w:t>Bronfenbrenner’s ecological systems theory further informed my decision</w:t>
            </w:r>
            <w:r w:rsidRPr="002616AD">
              <w:rPr>
                <w:rFonts w:ascii="Cambria Math" w:hAnsi="Cambria Math" w:cs="Cambria Math"/>
                <w:color w:val="auto"/>
                <w:sz w:val="24"/>
                <w:szCs w:val="24"/>
              </w:rPr>
              <w:t>‑</w:t>
            </w:r>
            <w:r w:rsidRPr="002616AD">
              <w:rPr>
                <w:color w:val="auto"/>
                <w:sz w:val="24"/>
                <w:szCs w:val="24"/>
              </w:rPr>
              <w:t>making, highlighting how the children’s experiences were shaped not only by their father’s behaviour but also by wider structural factors, including rural deprivation, limited access to services and community</w:t>
            </w:r>
            <w:r w:rsidRPr="002616AD">
              <w:rPr>
                <w:rFonts w:ascii="Cambria Math" w:hAnsi="Cambria Math" w:cs="Cambria Math"/>
                <w:color w:val="auto"/>
                <w:sz w:val="24"/>
                <w:szCs w:val="24"/>
              </w:rPr>
              <w:t>‑</w:t>
            </w:r>
            <w:r w:rsidRPr="002616AD">
              <w:rPr>
                <w:color w:val="auto"/>
                <w:sz w:val="24"/>
                <w:szCs w:val="24"/>
              </w:rPr>
              <w:t>level drug availability (Bronfenbrenner, 1979). This framework supported a holistic analysis consistent with the Wales Safeguarding Procedures</w:t>
            </w:r>
            <w:r>
              <w:rPr>
                <w:color w:val="auto"/>
                <w:sz w:val="24"/>
                <w:szCs w:val="24"/>
              </w:rPr>
              <w:t xml:space="preserve"> (2019)</w:t>
            </w:r>
            <w:r w:rsidRPr="002616AD">
              <w:rPr>
                <w:color w:val="auto"/>
                <w:sz w:val="24"/>
                <w:szCs w:val="24"/>
              </w:rPr>
              <w:t xml:space="preserve"> which require practitioners to consider the child’s broader lived environment when evaluating risk and need </w:t>
            </w:r>
            <w:r w:rsidRPr="002616AD">
              <w:rPr>
                <w:color w:val="auto"/>
                <w:sz w:val="24"/>
                <w:szCs w:val="24"/>
              </w:rPr>
              <w:lastRenderedPageBreak/>
              <w:t>(Wales Safeguarding Procedures Project Board, 2019). Attachment theory also informed my analysis. The father’s unpredictable emotional responses and threatening communication had the potential to undermine the children’s sense of safety and stability, raising concerns about insecure or disorganised attachment patterns (Howe, 2011). These concerns aligned with the category of emotional harm under which the children were placed on the Child Protection Register.</w:t>
            </w:r>
          </w:p>
          <w:p w14:paraId="5F6B1C0C" w14:textId="77777777" w:rsidR="00103DFA" w:rsidRDefault="00103DFA" w:rsidP="00103DFA">
            <w:pPr>
              <w:spacing w:line="360" w:lineRule="auto"/>
              <w:jc w:val="both"/>
              <w:rPr>
                <w:color w:val="auto"/>
                <w:sz w:val="24"/>
                <w:szCs w:val="24"/>
              </w:rPr>
            </w:pPr>
          </w:p>
          <w:p w14:paraId="2B1FEED3" w14:textId="77777777" w:rsidR="00103DFA" w:rsidRPr="002616AD" w:rsidRDefault="00103DFA" w:rsidP="00103DFA">
            <w:pPr>
              <w:spacing w:line="360" w:lineRule="auto"/>
              <w:jc w:val="both"/>
              <w:rPr>
                <w:color w:val="auto"/>
                <w:sz w:val="24"/>
                <w:szCs w:val="24"/>
              </w:rPr>
            </w:pPr>
            <w:r w:rsidRPr="002616AD">
              <w:rPr>
                <w:color w:val="auto"/>
                <w:sz w:val="24"/>
                <w:szCs w:val="24"/>
              </w:rPr>
              <w:t>A trauma</w:t>
            </w:r>
            <w:r w:rsidRPr="002616AD">
              <w:rPr>
                <w:rFonts w:ascii="Cambria Math" w:hAnsi="Cambria Math" w:cs="Cambria Math"/>
                <w:color w:val="auto"/>
                <w:sz w:val="24"/>
                <w:szCs w:val="24"/>
              </w:rPr>
              <w:t>‑</w:t>
            </w:r>
            <w:r w:rsidRPr="002616AD">
              <w:rPr>
                <w:color w:val="auto"/>
                <w:sz w:val="24"/>
                <w:szCs w:val="24"/>
              </w:rPr>
              <w:t>informed approach was essential in understanding the children’s presentation. Their subdued communication in English, avoidance of eye contact and heightened sensitivity to conflict suggested possible emotional distress. Trauma</w:t>
            </w:r>
            <w:r w:rsidRPr="002616AD">
              <w:rPr>
                <w:rFonts w:ascii="Cambria Math" w:hAnsi="Cambria Math" w:cs="Cambria Math"/>
                <w:color w:val="auto"/>
                <w:sz w:val="24"/>
                <w:szCs w:val="24"/>
              </w:rPr>
              <w:t>‑</w:t>
            </w:r>
            <w:r w:rsidRPr="002616AD">
              <w:rPr>
                <w:color w:val="auto"/>
                <w:sz w:val="24"/>
                <w:szCs w:val="24"/>
              </w:rPr>
              <w:t>informed practice, as promoted in Welsh safeguarding guidance (Welsh Government, 2016), emphasises safety, trust and empowerment, and these principles guided my engagement with the children</w:t>
            </w:r>
            <w:r>
              <w:rPr>
                <w:color w:val="auto"/>
                <w:sz w:val="24"/>
                <w:szCs w:val="24"/>
              </w:rPr>
              <w:t>, ensuring</w:t>
            </w:r>
            <w:r w:rsidRPr="002616AD">
              <w:rPr>
                <w:color w:val="auto"/>
                <w:sz w:val="24"/>
                <w:szCs w:val="24"/>
              </w:rPr>
              <w:t xml:space="preserve"> that interventions were sensitive, proportionate and supportive of their emotional needs.</w:t>
            </w:r>
          </w:p>
          <w:p w14:paraId="0319CECD" w14:textId="77777777" w:rsidR="00103DFA" w:rsidRDefault="00103DFA" w:rsidP="00103DFA">
            <w:pPr>
              <w:spacing w:line="360" w:lineRule="auto"/>
              <w:jc w:val="both"/>
              <w:rPr>
                <w:color w:val="auto"/>
                <w:sz w:val="24"/>
                <w:szCs w:val="24"/>
              </w:rPr>
            </w:pPr>
          </w:p>
          <w:p w14:paraId="101F4027" w14:textId="77777777" w:rsidR="00103DFA" w:rsidRPr="002616AD" w:rsidRDefault="00103DFA" w:rsidP="00103DFA">
            <w:pPr>
              <w:spacing w:line="360" w:lineRule="auto"/>
              <w:jc w:val="both"/>
              <w:rPr>
                <w:color w:val="auto"/>
                <w:sz w:val="24"/>
                <w:szCs w:val="24"/>
              </w:rPr>
            </w:pPr>
            <w:r w:rsidRPr="002616AD">
              <w:rPr>
                <w:color w:val="auto"/>
                <w:sz w:val="24"/>
                <w:szCs w:val="24"/>
              </w:rPr>
              <w:t>I also applied systems theory to understand the interdependence among family members and how difficulties in one area of the system affected the family’s overall functioning. The father’s mental</w:t>
            </w:r>
            <w:r w:rsidRPr="002616AD">
              <w:rPr>
                <w:rFonts w:ascii="Cambria Math" w:hAnsi="Cambria Math" w:cs="Cambria Math"/>
                <w:color w:val="auto"/>
                <w:sz w:val="24"/>
                <w:szCs w:val="24"/>
              </w:rPr>
              <w:t>‑</w:t>
            </w:r>
            <w:r w:rsidRPr="002616AD">
              <w:rPr>
                <w:color w:val="auto"/>
                <w:sz w:val="24"/>
                <w:szCs w:val="24"/>
              </w:rPr>
              <w:t>health challenges, financial strain and substance misuse interacted to create a behavioural cycle that intensified stress within the household and affected the children’s emotional well</w:t>
            </w:r>
            <w:r w:rsidRPr="002616AD">
              <w:rPr>
                <w:rFonts w:ascii="Cambria Math" w:hAnsi="Cambria Math" w:cs="Cambria Math"/>
                <w:color w:val="auto"/>
                <w:sz w:val="24"/>
                <w:szCs w:val="24"/>
              </w:rPr>
              <w:t>‑</w:t>
            </w:r>
            <w:r w:rsidRPr="002616AD">
              <w:rPr>
                <w:color w:val="auto"/>
                <w:sz w:val="24"/>
                <w:szCs w:val="24"/>
              </w:rPr>
              <w:t>being (Payne, 2014). Recognising these systemic interactions enabled me to analyse how individual issues were reinforced by relational patterns, rather than viewing concerns in isolation. This informed my professional decision</w:t>
            </w:r>
            <w:r w:rsidRPr="002616AD">
              <w:rPr>
                <w:rFonts w:ascii="Cambria Math" w:hAnsi="Cambria Math" w:cs="Cambria Math"/>
                <w:color w:val="auto"/>
                <w:sz w:val="24"/>
                <w:szCs w:val="24"/>
              </w:rPr>
              <w:t>‑</w:t>
            </w:r>
            <w:r w:rsidRPr="002616AD">
              <w:rPr>
                <w:color w:val="auto"/>
                <w:sz w:val="24"/>
                <w:szCs w:val="24"/>
              </w:rPr>
              <w:t>making by highlighting the need for coordinated multi</w:t>
            </w:r>
            <w:r w:rsidRPr="002616AD">
              <w:rPr>
                <w:rFonts w:ascii="Cambria Math" w:hAnsi="Cambria Math" w:cs="Cambria Math"/>
                <w:color w:val="auto"/>
                <w:sz w:val="24"/>
                <w:szCs w:val="24"/>
              </w:rPr>
              <w:t>‑</w:t>
            </w:r>
            <w:r w:rsidRPr="002616AD">
              <w:rPr>
                <w:color w:val="auto"/>
                <w:sz w:val="24"/>
                <w:szCs w:val="24"/>
              </w:rPr>
              <w:t>agency involvement to address interconnected risks. As a result, I engaged partner agencies in collaborative planning to ensure that interventions targeted both the father’s needs and the wider family dynamics, supporting a holistic and proportionate safeguarding response.</w:t>
            </w:r>
          </w:p>
          <w:p w14:paraId="19ECDC0F" w14:textId="77777777" w:rsidR="00103DFA" w:rsidRDefault="00103DFA" w:rsidP="00103DFA">
            <w:pPr>
              <w:spacing w:line="360" w:lineRule="auto"/>
              <w:jc w:val="both"/>
              <w:rPr>
                <w:color w:val="auto"/>
                <w:sz w:val="24"/>
                <w:szCs w:val="24"/>
              </w:rPr>
            </w:pPr>
          </w:p>
          <w:p w14:paraId="2EC2E54C" w14:textId="77777777" w:rsidR="00103DFA" w:rsidRPr="002616AD" w:rsidRDefault="00103DFA" w:rsidP="00103DFA">
            <w:pPr>
              <w:spacing w:line="360" w:lineRule="auto"/>
              <w:jc w:val="both"/>
              <w:rPr>
                <w:color w:val="auto"/>
                <w:sz w:val="24"/>
                <w:szCs w:val="24"/>
              </w:rPr>
            </w:pPr>
            <w:r w:rsidRPr="002616AD">
              <w:rPr>
                <w:color w:val="auto"/>
                <w:sz w:val="24"/>
                <w:szCs w:val="24"/>
              </w:rPr>
              <w:t>This case required careful professional judgement due to the interplay of multiple risk factors, including the father’s mental</w:t>
            </w:r>
            <w:r w:rsidRPr="002616AD">
              <w:rPr>
                <w:rFonts w:ascii="Cambria Math" w:hAnsi="Cambria Math" w:cs="Cambria Math"/>
                <w:color w:val="auto"/>
                <w:sz w:val="24"/>
                <w:szCs w:val="24"/>
              </w:rPr>
              <w:t>‑</w:t>
            </w:r>
            <w:r w:rsidRPr="002616AD">
              <w:rPr>
                <w:color w:val="auto"/>
                <w:sz w:val="24"/>
                <w:szCs w:val="24"/>
              </w:rPr>
              <w:t>health difficulties, substance misuse, rural isolation, financial hardship and the children’s Welsh</w:t>
            </w:r>
            <w:r w:rsidRPr="002616AD">
              <w:rPr>
                <w:rFonts w:ascii="Cambria Math" w:hAnsi="Cambria Math" w:cs="Cambria Math"/>
                <w:color w:val="auto"/>
                <w:sz w:val="24"/>
                <w:szCs w:val="24"/>
              </w:rPr>
              <w:t>‑</w:t>
            </w:r>
            <w:r w:rsidRPr="002616AD">
              <w:rPr>
                <w:color w:val="auto"/>
                <w:sz w:val="24"/>
                <w:szCs w:val="24"/>
              </w:rPr>
              <w:t>to</w:t>
            </w:r>
            <w:r w:rsidRPr="002616AD">
              <w:rPr>
                <w:rFonts w:ascii="Cambria Math" w:hAnsi="Cambria Math" w:cs="Cambria Math"/>
                <w:color w:val="auto"/>
                <w:sz w:val="24"/>
                <w:szCs w:val="24"/>
              </w:rPr>
              <w:t>‑</w:t>
            </w:r>
            <w:r w:rsidRPr="002616AD">
              <w:rPr>
                <w:color w:val="auto"/>
                <w:sz w:val="24"/>
                <w:szCs w:val="24"/>
              </w:rPr>
              <w:t xml:space="preserve">English communication needs. Assessing risk in such circumstances required balancing the father’s expressed desire to improve with the children’s accounts of fear and emotional distress, consistent with principles of proportionality and </w:t>
            </w:r>
            <w:r w:rsidRPr="002616AD">
              <w:rPr>
                <w:color w:val="auto"/>
                <w:sz w:val="24"/>
                <w:szCs w:val="24"/>
              </w:rPr>
              <w:lastRenderedPageBreak/>
              <w:t>child</w:t>
            </w:r>
            <w:r w:rsidRPr="002616AD">
              <w:rPr>
                <w:rFonts w:ascii="Cambria Math" w:hAnsi="Cambria Math" w:cs="Cambria Math"/>
                <w:color w:val="auto"/>
                <w:sz w:val="24"/>
                <w:szCs w:val="24"/>
              </w:rPr>
              <w:t>‑</w:t>
            </w:r>
            <w:r w:rsidRPr="002616AD">
              <w:rPr>
                <w:color w:val="auto"/>
                <w:sz w:val="24"/>
                <w:szCs w:val="24"/>
              </w:rPr>
              <w:t>centred practice (Welsh Government, 2014). Professional judgement was also essential when interpreting the children’s communication patterns. Their reduced expressiveness in English could have been misinterpreted as disengagement; however, applying a culturally and linguistically informed lens enabled me to recognise this as a communication barrier rather than a behavioural concern (Thomas, 2012).</w:t>
            </w:r>
          </w:p>
          <w:p w14:paraId="05E350C8" w14:textId="77777777" w:rsidR="00103DFA" w:rsidRDefault="00103DFA" w:rsidP="00103DFA">
            <w:pPr>
              <w:spacing w:line="360" w:lineRule="auto"/>
              <w:jc w:val="both"/>
              <w:rPr>
                <w:color w:val="auto"/>
                <w:sz w:val="24"/>
                <w:szCs w:val="24"/>
              </w:rPr>
            </w:pPr>
          </w:p>
          <w:p w14:paraId="7C9EB6A9" w14:textId="77777777" w:rsidR="00103DFA" w:rsidRDefault="00103DFA" w:rsidP="00103DFA">
            <w:pPr>
              <w:spacing w:line="360" w:lineRule="auto"/>
              <w:jc w:val="both"/>
              <w:rPr>
                <w:color w:val="auto"/>
                <w:sz w:val="24"/>
                <w:szCs w:val="24"/>
              </w:rPr>
            </w:pPr>
            <w:r w:rsidRPr="002616AD">
              <w:rPr>
                <w:color w:val="auto"/>
                <w:sz w:val="24"/>
                <w:szCs w:val="24"/>
              </w:rPr>
              <w:t>Multi</w:t>
            </w:r>
            <w:r w:rsidRPr="002616AD">
              <w:rPr>
                <w:rFonts w:ascii="Cambria Math" w:hAnsi="Cambria Math" w:cs="Cambria Math"/>
                <w:color w:val="auto"/>
                <w:sz w:val="24"/>
                <w:szCs w:val="24"/>
              </w:rPr>
              <w:t>‑</w:t>
            </w:r>
            <w:r w:rsidRPr="002616AD">
              <w:rPr>
                <w:color w:val="auto"/>
                <w:sz w:val="24"/>
                <w:szCs w:val="24"/>
              </w:rPr>
              <w:t>agency collaboration added further complexity. Ensuring timely information</w:t>
            </w:r>
            <w:r w:rsidRPr="002616AD">
              <w:rPr>
                <w:rFonts w:ascii="Cambria Math" w:hAnsi="Cambria Math" w:cs="Cambria Math"/>
                <w:color w:val="auto"/>
                <w:sz w:val="24"/>
                <w:szCs w:val="24"/>
              </w:rPr>
              <w:t>‑</w:t>
            </w:r>
            <w:r w:rsidRPr="002616AD">
              <w:rPr>
                <w:color w:val="auto"/>
                <w:sz w:val="24"/>
                <w:szCs w:val="24"/>
              </w:rPr>
              <w:t>sharing with Children’s Services, education and health partners required adherence to both the Wales Safeguarding Procedures</w:t>
            </w:r>
            <w:r>
              <w:rPr>
                <w:color w:val="auto"/>
                <w:sz w:val="24"/>
                <w:szCs w:val="24"/>
              </w:rPr>
              <w:t xml:space="preserve"> (2019)</w:t>
            </w:r>
            <w:r w:rsidRPr="002616AD">
              <w:rPr>
                <w:color w:val="auto"/>
                <w:sz w:val="24"/>
                <w:szCs w:val="24"/>
              </w:rPr>
              <w:t xml:space="preserve"> and UK GDPR (Wales Safeguarding Procedures 2019; Information Commissioner’s Office, 2021). Decisions about what information to share, when and with whom required careful consideration of proportionality, necessity and the children’s best interests. Ultimately, my professional judgement was guided by statutory duties, theoretical frameworks, reflective practice and the overarching requirement to prioritise the children’s safety and well</w:t>
            </w:r>
            <w:r w:rsidRPr="002616AD">
              <w:rPr>
                <w:rFonts w:ascii="Cambria Math" w:hAnsi="Cambria Math" w:cs="Cambria Math"/>
                <w:color w:val="auto"/>
                <w:sz w:val="24"/>
                <w:szCs w:val="24"/>
              </w:rPr>
              <w:t>‑</w:t>
            </w:r>
            <w:r w:rsidRPr="002616AD">
              <w:rPr>
                <w:color w:val="auto"/>
                <w:sz w:val="24"/>
                <w:szCs w:val="24"/>
              </w:rPr>
              <w:t>being.</w:t>
            </w:r>
          </w:p>
          <w:p w14:paraId="6FD25F76" w14:textId="77777777" w:rsidR="00103DFA" w:rsidRDefault="00103DFA" w:rsidP="00103DFA">
            <w:pPr>
              <w:spacing w:line="360" w:lineRule="auto"/>
              <w:jc w:val="both"/>
              <w:rPr>
                <w:sz w:val="24"/>
                <w:szCs w:val="24"/>
              </w:rPr>
            </w:pPr>
          </w:p>
          <w:p w14:paraId="74A52B9F" w14:textId="77777777" w:rsidR="00103DFA" w:rsidRPr="00C00910" w:rsidRDefault="00103DFA" w:rsidP="00103DFA">
            <w:pPr>
              <w:spacing w:line="360" w:lineRule="auto"/>
              <w:jc w:val="both"/>
              <w:rPr>
                <w:color w:val="auto"/>
                <w:sz w:val="24"/>
                <w:szCs w:val="24"/>
              </w:rPr>
            </w:pPr>
            <w:r w:rsidRPr="00C00910">
              <w:rPr>
                <w:color w:val="auto"/>
                <w:sz w:val="24"/>
                <w:szCs w:val="24"/>
              </w:rPr>
              <w:t xml:space="preserve">By the end of the intervention, the family had made sustained progress in achieving their goals, and the initial safeguarding concerns that led to the children being placed on the Child Protection Register had significantly reduced. The father and children had engaged consistently with </w:t>
            </w:r>
            <w:r>
              <w:rPr>
                <w:color w:val="auto"/>
                <w:sz w:val="24"/>
                <w:szCs w:val="24"/>
              </w:rPr>
              <w:t>multi</w:t>
            </w:r>
            <w:r>
              <w:rPr>
                <w:rFonts w:ascii="Cambria Math" w:hAnsi="Cambria Math" w:cs="Cambria Math"/>
                <w:color w:val="auto"/>
                <w:sz w:val="24"/>
                <w:szCs w:val="24"/>
              </w:rPr>
              <w:t>‑</w:t>
            </w:r>
            <w:r>
              <w:rPr>
                <w:color w:val="auto"/>
                <w:sz w:val="24"/>
                <w:szCs w:val="24"/>
              </w:rPr>
              <w:t xml:space="preserve">agency partners, and with me </w:t>
            </w:r>
            <w:r w:rsidRPr="00C00910">
              <w:rPr>
                <w:color w:val="auto"/>
                <w:sz w:val="24"/>
                <w:szCs w:val="24"/>
              </w:rPr>
              <w:t>demonstrating a proactive commitment to maintaining positive change. In reviewing the father’s progress, I drew on Prochaska and DiClemente’s Cycle of Change (Prochaska and DiClemente, 1983).</w:t>
            </w:r>
            <w:r>
              <w:rPr>
                <w:color w:val="auto"/>
                <w:sz w:val="24"/>
                <w:szCs w:val="24"/>
              </w:rPr>
              <w:t xml:space="preserve"> </w:t>
            </w:r>
            <w:r w:rsidRPr="00C00910">
              <w:rPr>
                <w:color w:val="auto"/>
                <w:sz w:val="24"/>
                <w:szCs w:val="24"/>
              </w:rPr>
              <w:t>noting that he had moved from the preparation stage into the action stage, particularly in relation to his emotional regulation and communication, while recognising that achieving maintenance would require continued effort, especially regarding his cannabis use (Prochaska and DiClemente, 1983).</w:t>
            </w:r>
            <w:r>
              <w:rPr>
                <w:color w:val="auto"/>
                <w:sz w:val="24"/>
                <w:szCs w:val="24"/>
              </w:rPr>
              <w:t xml:space="preserve"> </w:t>
            </w:r>
            <w:r w:rsidRPr="00C00910">
              <w:rPr>
                <w:color w:val="auto"/>
                <w:sz w:val="24"/>
                <w:szCs w:val="24"/>
              </w:rPr>
              <w:t>Son (1) reported that their father was calmer, more receptive to discussion</w:t>
            </w:r>
            <w:r>
              <w:rPr>
                <w:color w:val="auto"/>
                <w:sz w:val="24"/>
                <w:szCs w:val="24"/>
              </w:rPr>
              <w:t>, and consistently used</w:t>
            </w:r>
            <w:r w:rsidRPr="00C00910">
              <w:rPr>
                <w:color w:val="auto"/>
                <w:sz w:val="24"/>
                <w:szCs w:val="24"/>
              </w:rPr>
              <w:t xml:space="preserve"> the “I</w:t>
            </w:r>
            <w:r w:rsidRPr="00C00910">
              <w:rPr>
                <w:rFonts w:ascii="Cambria Math" w:hAnsi="Cambria Math" w:cs="Cambria Math"/>
                <w:color w:val="auto"/>
                <w:sz w:val="24"/>
                <w:szCs w:val="24"/>
              </w:rPr>
              <w:t>‑</w:t>
            </w:r>
            <w:r w:rsidRPr="00C00910">
              <w:rPr>
                <w:color w:val="auto"/>
                <w:sz w:val="24"/>
                <w:szCs w:val="24"/>
              </w:rPr>
              <w:t>messages” communication model, which had improved family interactions and reduced conflict (The Centre for Parenting Education, n.d.). This evidence of behavioural change, combined with reduced indicators of emotional harm, informed my professional judgement that the threshold for continued registration was no longer met.</w:t>
            </w:r>
          </w:p>
          <w:p w14:paraId="7F877968" w14:textId="77777777" w:rsidR="00103DFA" w:rsidRDefault="00103DFA" w:rsidP="00103DFA">
            <w:pPr>
              <w:spacing w:line="360" w:lineRule="auto"/>
              <w:jc w:val="both"/>
              <w:rPr>
                <w:color w:val="auto"/>
                <w:sz w:val="24"/>
                <w:szCs w:val="24"/>
              </w:rPr>
            </w:pPr>
          </w:p>
          <w:p w14:paraId="0B49745C" w14:textId="77777777" w:rsidR="00103DFA" w:rsidRPr="00C00910" w:rsidRDefault="00103DFA" w:rsidP="00103DFA">
            <w:pPr>
              <w:spacing w:line="360" w:lineRule="auto"/>
              <w:jc w:val="both"/>
              <w:rPr>
                <w:color w:val="auto"/>
                <w:sz w:val="24"/>
                <w:szCs w:val="24"/>
              </w:rPr>
            </w:pPr>
            <w:r w:rsidRPr="00C00910">
              <w:rPr>
                <w:color w:val="auto"/>
                <w:sz w:val="24"/>
                <w:szCs w:val="24"/>
              </w:rPr>
              <w:lastRenderedPageBreak/>
              <w:t>I prepared written reports outlining the work completed and presented my professional recommendation at the Review Child Protection Conference, where multi</w:t>
            </w:r>
            <w:r w:rsidRPr="00C00910">
              <w:rPr>
                <w:rFonts w:ascii="Cambria Math" w:hAnsi="Cambria Math" w:cs="Cambria Math"/>
                <w:color w:val="auto"/>
                <w:sz w:val="24"/>
                <w:szCs w:val="24"/>
              </w:rPr>
              <w:t>‑</w:t>
            </w:r>
            <w:r w:rsidRPr="00C00910">
              <w:rPr>
                <w:color w:val="auto"/>
                <w:sz w:val="24"/>
                <w:szCs w:val="24"/>
              </w:rPr>
              <w:t xml:space="preserve">agency partners agreed that the children no longer met the </w:t>
            </w:r>
            <w:r>
              <w:rPr>
                <w:color w:val="auto"/>
                <w:sz w:val="24"/>
                <w:szCs w:val="24"/>
              </w:rPr>
              <w:t>registration criteria</w:t>
            </w:r>
            <w:r w:rsidRPr="00C00910">
              <w:rPr>
                <w:color w:val="auto"/>
                <w:sz w:val="24"/>
                <w:szCs w:val="24"/>
              </w:rPr>
              <w:t>. It was therefore decided that the children should be deregistered from the Child Protection Register and supported instead through a Care and Support Plan. This decision aligned with Part 4, Section 54 of the Social Services and Well</w:t>
            </w:r>
            <w:r w:rsidRPr="00C00910">
              <w:rPr>
                <w:rFonts w:ascii="Cambria Math" w:hAnsi="Cambria Math" w:cs="Cambria Math"/>
                <w:color w:val="auto"/>
                <w:sz w:val="24"/>
                <w:szCs w:val="24"/>
              </w:rPr>
              <w:t>‑</w:t>
            </w:r>
            <w:r w:rsidRPr="00C00910">
              <w:rPr>
                <w:color w:val="auto"/>
                <w:sz w:val="24"/>
                <w:szCs w:val="24"/>
              </w:rPr>
              <w:t>being (Wales) Act 2014, which sets out the legal requirements for creating, reviewing and updating Care and Support Plans to ensure that families receive proportionate, ongoing support to maintain positive outcomes (Welsh Government, 2014).</w:t>
            </w:r>
          </w:p>
          <w:p w14:paraId="1C019E5A" w14:textId="77777777" w:rsidR="00103DFA" w:rsidRDefault="00103DFA" w:rsidP="00103DFA">
            <w:pPr>
              <w:spacing w:line="360" w:lineRule="auto"/>
              <w:jc w:val="both"/>
              <w:rPr>
                <w:color w:val="auto"/>
                <w:sz w:val="24"/>
                <w:szCs w:val="24"/>
              </w:rPr>
            </w:pPr>
          </w:p>
          <w:p w14:paraId="0524ADA1" w14:textId="77777777" w:rsidR="00103DFA" w:rsidRDefault="00103DFA" w:rsidP="00103DFA">
            <w:pPr>
              <w:spacing w:line="360" w:lineRule="auto"/>
              <w:jc w:val="both"/>
              <w:rPr>
                <w:color w:val="auto"/>
                <w:sz w:val="24"/>
                <w:szCs w:val="24"/>
              </w:rPr>
            </w:pPr>
            <w:r w:rsidRPr="00C00910">
              <w:rPr>
                <w:color w:val="auto"/>
                <w:sz w:val="24"/>
                <w:szCs w:val="24"/>
              </w:rPr>
              <w:t>Given the father’s progress and the children’s improved emotional well</w:t>
            </w:r>
            <w:r w:rsidRPr="00C00910">
              <w:rPr>
                <w:rFonts w:ascii="Cambria Math" w:hAnsi="Cambria Math" w:cs="Cambria Math"/>
                <w:color w:val="auto"/>
                <w:sz w:val="24"/>
                <w:szCs w:val="24"/>
              </w:rPr>
              <w:t>‑</w:t>
            </w:r>
            <w:r w:rsidRPr="00C00910">
              <w:rPr>
                <w:color w:val="auto"/>
                <w:sz w:val="24"/>
                <w:szCs w:val="24"/>
              </w:rPr>
              <w:t>being, I recommended continued support to help the family sustain these changes and prevent re</w:t>
            </w:r>
            <w:r w:rsidRPr="00C00910">
              <w:rPr>
                <w:rFonts w:ascii="Cambria Math" w:hAnsi="Cambria Math" w:cs="Cambria Math"/>
                <w:color w:val="auto"/>
                <w:sz w:val="24"/>
                <w:szCs w:val="24"/>
              </w:rPr>
              <w:t>‑</w:t>
            </w:r>
            <w:r w:rsidRPr="00C00910">
              <w:rPr>
                <w:color w:val="auto"/>
                <w:sz w:val="24"/>
                <w:szCs w:val="24"/>
              </w:rPr>
              <w:t>escalation. This reflected a proportionate safeguarding response consistent with Welsh policy and the principles of early intervention and prevention embedded within the Social Services and Well</w:t>
            </w:r>
            <w:r w:rsidRPr="00C00910">
              <w:rPr>
                <w:rFonts w:ascii="Cambria Math" w:hAnsi="Cambria Math" w:cs="Cambria Math"/>
                <w:color w:val="auto"/>
                <w:sz w:val="24"/>
                <w:szCs w:val="24"/>
              </w:rPr>
              <w:t>‑</w:t>
            </w:r>
            <w:r w:rsidRPr="00C00910">
              <w:rPr>
                <w:color w:val="auto"/>
                <w:sz w:val="24"/>
                <w:szCs w:val="24"/>
              </w:rPr>
              <w:t>being (Wales) Act 2014.</w:t>
            </w:r>
          </w:p>
          <w:p w14:paraId="6B259F2D" w14:textId="77777777" w:rsidR="00103DFA" w:rsidRDefault="00103DFA" w:rsidP="00103DFA">
            <w:pPr>
              <w:spacing w:line="360" w:lineRule="auto"/>
              <w:jc w:val="both"/>
              <w:rPr>
                <w:color w:val="auto"/>
                <w:sz w:val="24"/>
                <w:szCs w:val="24"/>
              </w:rPr>
            </w:pPr>
          </w:p>
          <w:p w14:paraId="1D586933" w14:textId="77777777" w:rsidR="00103DFA" w:rsidRDefault="00103DFA" w:rsidP="00103DFA">
            <w:pPr>
              <w:spacing w:line="360" w:lineRule="auto"/>
              <w:jc w:val="both"/>
              <w:rPr>
                <w:color w:val="auto"/>
                <w:sz w:val="24"/>
                <w:szCs w:val="24"/>
              </w:rPr>
            </w:pPr>
            <w:r w:rsidRPr="005901E0">
              <w:rPr>
                <w:color w:val="auto"/>
                <w:sz w:val="24"/>
                <w:szCs w:val="24"/>
              </w:rPr>
              <w:t>Reflecting critically on this case highlighted the complexity of safeguarding practice in Wales and the need to integrate analysis, theory and legislation into decision</w:t>
            </w:r>
            <w:r w:rsidRPr="005901E0">
              <w:rPr>
                <w:rFonts w:ascii="Cambria Math" w:hAnsi="Cambria Math" w:cs="Cambria Math"/>
                <w:color w:val="auto"/>
                <w:sz w:val="24"/>
                <w:szCs w:val="24"/>
              </w:rPr>
              <w:t>‑</w:t>
            </w:r>
            <w:r w:rsidRPr="005901E0">
              <w:rPr>
                <w:color w:val="auto"/>
                <w:sz w:val="24"/>
                <w:szCs w:val="24"/>
              </w:rPr>
              <w:t xml:space="preserve">making. A key learning point was recognising how my own assumptions and emotional responses shaped my interpretation of risk. </w:t>
            </w:r>
            <w:r w:rsidRPr="00DC4C5C">
              <w:rPr>
                <w:color w:val="auto"/>
                <w:sz w:val="24"/>
                <w:szCs w:val="24"/>
              </w:rPr>
              <w:t>The father’s threatening messages and references to suicidal ideation initially created a heightened sense of urgency; however, it was essential that my analysis remained proportionate and grounded in the Wales Safeguarding Procedures, which emphasise evidence</w:t>
            </w:r>
            <w:r w:rsidRPr="00DC4C5C">
              <w:rPr>
                <w:rFonts w:ascii="Cambria Math" w:hAnsi="Cambria Math" w:cs="Cambria Math"/>
                <w:color w:val="auto"/>
                <w:sz w:val="24"/>
                <w:szCs w:val="24"/>
              </w:rPr>
              <w:t>‑</w:t>
            </w:r>
            <w:r w:rsidRPr="00DC4C5C">
              <w:rPr>
                <w:color w:val="auto"/>
                <w:sz w:val="24"/>
                <w:szCs w:val="24"/>
              </w:rPr>
              <w:t>based practice, multi</w:t>
            </w:r>
            <w:r w:rsidRPr="00DC4C5C">
              <w:rPr>
                <w:rFonts w:ascii="Cambria Math" w:hAnsi="Cambria Math" w:cs="Cambria Math"/>
                <w:color w:val="auto"/>
                <w:sz w:val="24"/>
                <w:szCs w:val="24"/>
              </w:rPr>
              <w:t>‑</w:t>
            </w:r>
            <w:r w:rsidRPr="00DC4C5C">
              <w:rPr>
                <w:color w:val="auto"/>
                <w:sz w:val="24"/>
                <w:szCs w:val="24"/>
              </w:rPr>
              <w:t xml:space="preserve">agency collaboration and clear thresholds for intervention. In line with the Children Act 1989, I also considered whether the concerns met the threshold of significant harm under Section 47, reinforcing the importance of balancing intuition with structured frameworks. Consistent with </w:t>
            </w:r>
            <w:r>
              <w:rPr>
                <w:color w:val="auto"/>
                <w:sz w:val="24"/>
                <w:szCs w:val="24"/>
              </w:rPr>
              <w:t>XXXX</w:t>
            </w:r>
            <w:r w:rsidRPr="00DC4C5C">
              <w:rPr>
                <w:color w:val="auto"/>
                <w:sz w:val="24"/>
                <w:szCs w:val="24"/>
              </w:rPr>
              <w:t xml:space="preserve"> authority policy, I ensured that my decision</w:t>
            </w:r>
            <w:r w:rsidRPr="00DC4C5C">
              <w:rPr>
                <w:rFonts w:ascii="Cambria Math" w:hAnsi="Cambria Math" w:cs="Cambria Math"/>
                <w:color w:val="auto"/>
                <w:sz w:val="24"/>
                <w:szCs w:val="24"/>
              </w:rPr>
              <w:t>‑</w:t>
            </w:r>
            <w:r w:rsidRPr="00DC4C5C">
              <w:rPr>
                <w:color w:val="auto"/>
                <w:sz w:val="24"/>
                <w:szCs w:val="24"/>
              </w:rPr>
              <w:t>making aligned with organisational expectations for risk management, timely information</w:t>
            </w:r>
            <w:r w:rsidRPr="00DC4C5C">
              <w:rPr>
                <w:rFonts w:ascii="Cambria Math" w:hAnsi="Cambria Math" w:cs="Cambria Math"/>
                <w:color w:val="auto"/>
                <w:sz w:val="24"/>
                <w:szCs w:val="24"/>
              </w:rPr>
              <w:t>‑</w:t>
            </w:r>
            <w:r w:rsidRPr="00DC4C5C">
              <w:rPr>
                <w:color w:val="auto"/>
                <w:sz w:val="24"/>
                <w:szCs w:val="24"/>
              </w:rPr>
              <w:t>sharing and appropriate escalation pathways.</w:t>
            </w:r>
          </w:p>
          <w:p w14:paraId="63C89A13" w14:textId="77777777" w:rsidR="00103DFA" w:rsidRDefault="00103DFA" w:rsidP="00103DFA">
            <w:pPr>
              <w:spacing w:line="360" w:lineRule="auto"/>
              <w:jc w:val="both"/>
              <w:rPr>
                <w:color w:val="auto"/>
                <w:sz w:val="24"/>
                <w:szCs w:val="24"/>
              </w:rPr>
            </w:pPr>
          </w:p>
          <w:p w14:paraId="21CBAEDC" w14:textId="77777777" w:rsidR="00103DFA" w:rsidRPr="005901E0" w:rsidRDefault="00103DFA" w:rsidP="00103DFA">
            <w:pPr>
              <w:spacing w:line="360" w:lineRule="auto"/>
              <w:jc w:val="both"/>
              <w:rPr>
                <w:color w:val="auto"/>
                <w:sz w:val="24"/>
                <w:szCs w:val="24"/>
              </w:rPr>
            </w:pPr>
            <w:r>
              <w:rPr>
                <w:color w:val="auto"/>
                <w:sz w:val="24"/>
                <w:szCs w:val="24"/>
              </w:rPr>
              <w:t xml:space="preserve"> </w:t>
            </w:r>
            <w:r w:rsidRPr="005901E0">
              <w:rPr>
                <w:color w:val="auto"/>
                <w:sz w:val="24"/>
                <w:szCs w:val="24"/>
              </w:rPr>
              <w:t>Working with parental mental</w:t>
            </w:r>
            <w:r w:rsidRPr="005901E0">
              <w:rPr>
                <w:rFonts w:ascii="Cambria Math" w:hAnsi="Cambria Math" w:cs="Cambria Math"/>
                <w:color w:val="auto"/>
                <w:sz w:val="24"/>
                <w:szCs w:val="24"/>
              </w:rPr>
              <w:t>‑</w:t>
            </w:r>
            <w:r w:rsidRPr="005901E0">
              <w:rPr>
                <w:color w:val="auto"/>
                <w:sz w:val="24"/>
                <w:szCs w:val="24"/>
              </w:rPr>
              <w:t>health needs presented further complexity. The Social Services and Well</w:t>
            </w:r>
            <w:r w:rsidRPr="005901E0">
              <w:rPr>
                <w:rFonts w:ascii="Cambria Math" w:hAnsi="Cambria Math" w:cs="Cambria Math"/>
                <w:color w:val="auto"/>
                <w:sz w:val="24"/>
                <w:szCs w:val="24"/>
              </w:rPr>
              <w:t>‑</w:t>
            </w:r>
            <w:r w:rsidRPr="005901E0">
              <w:rPr>
                <w:color w:val="auto"/>
                <w:sz w:val="24"/>
                <w:szCs w:val="24"/>
              </w:rPr>
              <w:t>being (Wales) Act 2014 requires practitioners to promote well</w:t>
            </w:r>
            <w:r w:rsidRPr="005901E0">
              <w:rPr>
                <w:rFonts w:ascii="Cambria Math" w:hAnsi="Cambria Math" w:cs="Cambria Math"/>
                <w:color w:val="auto"/>
                <w:sz w:val="24"/>
                <w:szCs w:val="24"/>
              </w:rPr>
              <w:t>‑</w:t>
            </w:r>
            <w:r w:rsidRPr="005901E0">
              <w:rPr>
                <w:color w:val="auto"/>
                <w:sz w:val="24"/>
                <w:szCs w:val="24"/>
              </w:rPr>
              <w:t xml:space="preserve">being while protecting children from harm, with Part 7 defining a “child at risk.” This dual responsibility created </w:t>
            </w:r>
            <w:r w:rsidRPr="005901E0">
              <w:rPr>
                <w:color w:val="auto"/>
                <w:sz w:val="24"/>
                <w:szCs w:val="24"/>
              </w:rPr>
              <w:lastRenderedPageBreak/>
              <w:t>tension when supporting the father, who was both a source of risk and an individual with unmet needs. Drawing on Bronfenbrenner’s ecological model and the ACEs framework helped me understand how adversity shapes parental capacity, but I also recognised the need to avoid over</w:t>
            </w:r>
            <w:r w:rsidRPr="005901E0">
              <w:rPr>
                <w:rFonts w:ascii="Cambria Math" w:hAnsi="Cambria Math" w:cs="Cambria Math"/>
                <w:color w:val="auto"/>
                <w:sz w:val="24"/>
                <w:szCs w:val="24"/>
              </w:rPr>
              <w:t>‑</w:t>
            </w:r>
            <w:r w:rsidRPr="005901E0">
              <w:rPr>
                <w:color w:val="auto"/>
                <w:sz w:val="24"/>
                <w:szCs w:val="24"/>
              </w:rPr>
              <w:t>empathising with the parent at the expense of the children’s experiences. Maintaining focus on the children’s welfare, consistent with the paramountcy principle of the Children Act 1989, required ongoing self</w:t>
            </w:r>
            <w:r w:rsidRPr="005901E0">
              <w:rPr>
                <w:rFonts w:ascii="Cambria Math" w:hAnsi="Cambria Math" w:cs="Cambria Math"/>
                <w:color w:val="auto"/>
                <w:sz w:val="24"/>
                <w:szCs w:val="24"/>
              </w:rPr>
              <w:t>‑</w:t>
            </w:r>
            <w:r w:rsidRPr="005901E0">
              <w:rPr>
                <w:color w:val="auto"/>
                <w:sz w:val="24"/>
                <w:szCs w:val="24"/>
              </w:rPr>
              <w:t>awareness and reflective supervision.</w:t>
            </w:r>
          </w:p>
          <w:p w14:paraId="1DFFED3D" w14:textId="77777777" w:rsidR="00103DFA" w:rsidRDefault="00103DFA" w:rsidP="00103DFA">
            <w:pPr>
              <w:spacing w:line="360" w:lineRule="auto"/>
              <w:jc w:val="both"/>
              <w:rPr>
                <w:color w:val="auto"/>
                <w:sz w:val="24"/>
                <w:szCs w:val="24"/>
              </w:rPr>
            </w:pPr>
          </w:p>
          <w:p w14:paraId="7E3D034A" w14:textId="77777777" w:rsidR="00103DFA" w:rsidRPr="005901E0" w:rsidRDefault="00103DFA" w:rsidP="00103DFA">
            <w:pPr>
              <w:spacing w:line="360" w:lineRule="auto"/>
              <w:jc w:val="both"/>
              <w:rPr>
                <w:color w:val="auto"/>
                <w:sz w:val="24"/>
                <w:szCs w:val="24"/>
              </w:rPr>
            </w:pPr>
            <w:r w:rsidRPr="005901E0">
              <w:rPr>
                <w:color w:val="auto"/>
                <w:sz w:val="24"/>
                <w:szCs w:val="24"/>
              </w:rPr>
              <w:t>The case also reinforced the importance of children’s participation. Although the children’s views were central to my work, linguistic and cultural factors affected their ability to express themselves. Their reduced expressiveness in English could easily have been misinterpreted as disengagement. Thomas’s (2012) work on participation and the Welsh Government’s commitment to the U</w:t>
            </w:r>
            <w:r>
              <w:rPr>
                <w:color w:val="auto"/>
                <w:sz w:val="24"/>
                <w:szCs w:val="24"/>
              </w:rPr>
              <w:t xml:space="preserve">nited </w:t>
            </w:r>
            <w:r w:rsidRPr="005901E0">
              <w:rPr>
                <w:color w:val="auto"/>
                <w:sz w:val="24"/>
                <w:szCs w:val="24"/>
              </w:rPr>
              <w:t>N</w:t>
            </w:r>
            <w:r>
              <w:rPr>
                <w:color w:val="auto"/>
                <w:sz w:val="24"/>
                <w:szCs w:val="24"/>
              </w:rPr>
              <w:t xml:space="preserve">ations </w:t>
            </w:r>
            <w:r w:rsidRPr="005901E0">
              <w:rPr>
                <w:color w:val="auto"/>
                <w:sz w:val="24"/>
                <w:szCs w:val="24"/>
              </w:rPr>
              <w:t>C</w:t>
            </w:r>
            <w:r>
              <w:rPr>
                <w:color w:val="auto"/>
                <w:sz w:val="24"/>
                <w:szCs w:val="24"/>
              </w:rPr>
              <w:t xml:space="preserve">onventions on the </w:t>
            </w:r>
            <w:r w:rsidRPr="005901E0">
              <w:rPr>
                <w:color w:val="auto"/>
                <w:sz w:val="24"/>
                <w:szCs w:val="24"/>
              </w:rPr>
              <w:t>R</w:t>
            </w:r>
            <w:r>
              <w:rPr>
                <w:color w:val="auto"/>
                <w:sz w:val="24"/>
                <w:szCs w:val="24"/>
              </w:rPr>
              <w:t xml:space="preserve">ights of the </w:t>
            </w:r>
            <w:r w:rsidRPr="005901E0">
              <w:rPr>
                <w:color w:val="auto"/>
                <w:sz w:val="24"/>
                <w:szCs w:val="24"/>
              </w:rPr>
              <w:t>C</w:t>
            </w:r>
            <w:r>
              <w:rPr>
                <w:color w:val="auto"/>
                <w:sz w:val="24"/>
                <w:szCs w:val="24"/>
              </w:rPr>
              <w:t xml:space="preserve">hild (UNCRC) </w:t>
            </w:r>
            <w:r w:rsidRPr="005901E0">
              <w:rPr>
                <w:color w:val="auto"/>
                <w:sz w:val="24"/>
                <w:szCs w:val="24"/>
              </w:rPr>
              <w:t xml:space="preserve">highlighted the need for culturally sensitive practice. This strengthened my understanding of the Welsh Language Active Offer and the More Than Just Words framework, </w:t>
            </w:r>
            <w:r>
              <w:rPr>
                <w:color w:val="auto"/>
                <w:sz w:val="24"/>
                <w:szCs w:val="24"/>
              </w:rPr>
              <w:t>as well as</w:t>
            </w:r>
            <w:r w:rsidRPr="005901E0">
              <w:rPr>
                <w:color w:val="auto"/>
                <w:sz w:val="24"/>
                <w:szCs w:val="24"/>
              </w:rPr>
              <w:t xml:space="preserve"> the duty under Section 6 of the Social Services and Well</w:t>
            </w:r>
            <w:r w:rsidRPr="005901E0">
              <w:rPr>
                <w:rFonts w:ascii="Cambria Math" w:hAnsi="Cambria Math" w:cs="Cambria Math"/>
                <w:color w:val="auto"/>
                <w:sz w:val="24"/>
                <w:szCs w:val="24"/>
              </w:rPr>
              <w:t>‑</w:t>
            </w:r>
            <w:r w:rsidRPr="005901E0">
              <w:rPr>
                <w:color w:val="auto"/>
                <w:sz w:val="24"/>
                <w:szCs w:val="24"/>
              </w:rPr>
              <w:t>being (Wales) Act 2014 to have due regard to the UNCRC.</w:t>
            </w:r>
          </w:p>
          <w:p w14:paraId="05B42EB0" w14:textId="77777777" w:rsidR="00103DFA" w:rsidRDefault="00103DFA" w:rsidP="00103DFA">
            <w:pPr>
              <w:spacing w:line="360" w:lineRule="auto"/>
              <w:jc w:val="both"/>
              <w:rPr>
                <w:color w:val="auto"/>
                <w:sz w:val="24"/>
                <w:szCs w:val="24"/>
              </w:rPr>
            </w:pPr>
          </w:p>
          <w:p w14:paraId="6C6FD2B4" w14:textId="77777777" w:rsidR="00103DFA" w:rsidRPr="005901E0" w:rsidRDefault="00103DFA" w:rsidP="00103DFA">
            <w:pPr>
              <w:spacing w:line="360" w:lineRule="auto"/>
              <w:jc w:val="both"/>
              <w:rPr>
                <w:color w:val="auto"/>
                <w:sz w:val="24"/>
                <w:szCs w:val="24"/>
              </w:rPr>
            </w:pPr>
            <w:r w:rsidRPr="005901E0">
              <w:rPr>
                <w:color w:val="auto"/>
                <w:sz w:val="24"/>
                <w:szCs w:val="24"/>
              </w:rPr>
              <w:t>Multi</w:t>
            </w:r>
            <w:r w:rsidRPr="005901E0">
              <w:rPr>
                <w:rFonts w:ascii="Cambria Math" w:hAnsi="Cambria Math" w:cs="Cambria Math"/>
                <w:color w:val="auto"/>
                <w:sz w:val="24"/>
                <w:szCs w:val="24"/>
              </w:rPr>
              <w:t>‑</w:t>
            </w:r>
            <w:r w:rsidRPr="005901E0">
              <w:rPr>
                <w:color w:val="auto"/>
                <w:sz w:val="24"/>
                <w:szCs w:val="24"/>
              </w:rPr>
              <w:t>agency working provided further learning. While collaboration was generally effective, there were moments where communication could have been more timely or detailed. The Wales Safeguarding Procedures and UK GDPR require information</w:t>
            </w:r>
            <w:r w:rsidRPr="005901E0">
              <w:rPr>
                <w:rFonts w:ascii="Cambria Math" w:hAnsi="Cambria Math" w:cs="Cambria Math"/>
                <w:color w:val="auto"/>
                <w:sz w:val="24"/>
                <w:szCs w:val="24"/>
              </w:rPr>
              <w:t>‑</w:t>
            </w:r>
            <w:r w:rsidRPr="005901E0">
              <w:rPr>
                <w:color w:val="auto"/>
                <w:sz w:val="24"/>
                <w:szCs w:val="24"/>
              </w:rPr>
              <w:t>sharing to be necessary, proportionate and in the child’s best interests, with safeguarding providing a lawful basis for sharing without consent. This emphasised the importance of assertive communication and the confidence to challenge partners when concerns are minimised, as supported by the Escalation and Professional Challenge guidance.</w:t>
            </w:r>
          </w:p>
          <w:p w14:paraId="18F32925" w14:textId="77777777" w:rsidR="00103DFA" w:rsidRDefault="00103DFA" w:rsidP="00103DFA">
            <w:pPr>
              <w:spacing w:line="360" w:lineRule="auto"/>
              <w:jc w:val="both"/>
              <w:rPr>
                <w:color w:val="auto"/>
                <w:sz w:val="24"/>
                <w:szCs w:val="24"/>
              </w:rPr>
            </w:pPr>
          </w:p>
          <w:p w14:paraId="437E3DB1" w14:textId="77777777" w:rsidR="00103DFA" w:rsidRDefault="00103DFA" w:rsidP="00103DFA">
            <w:pPr>
              <w:spacing w:line="360" w:lineRule="auto"/>
              <w:jc w:val="both"/>
              <w:rPr>
                <w:color w:val="auto"/>
                <w:sz w:val="24"/>
                <w:szCs w:val="24"/>
              </w:rPr>
            </w:pPr>
            <w:r w:rsidRPr="005901E0">
              <w:rPr>
                <w:color w:val="auto"/>
                <w:sz w:val="24"/>
                <w:szCs w:val="24"/>
              </w:rPr>
              <w:t>Finally, reflecting on the father’s progress through the Cycle of Change highlighted the non</w:t>
            </w:r>
            <w:r w:rsidRPr="005901E0">
              <w:rPr>
                <w:rFonts w:ascii="Cambria Math" w:hAnsi="Cambria Math" w:cs="Cambria Math"/>
                <w:color w:val="auto"/>
                <w:sz w:val="24"/>
                <w:szCs w:val="24"/>
              </w:rPr>
              <w:t>‑</w:t>
            </w:r>
            <w:r w:rsidRPr="005901E0">
              <w:rPr>
                <w:color w:val="auto"/>
                <w:sz w:val="24"/>
                <w:szCs w:val="24"/>
              </w:rPr>
              <w:t>linear nature of behaviour change and the need for realistic expectations</w:t>
            </w:r>
            <w:r>
              <w:rPr>
                <w:color w:val="auto"/>
                <w:sz w:val="24"/>
                <w:szCs w:val="24"/>
              </w:rPr>
              <w:t xml:space="preserve"> </w:t>
            </w:r>
            <w:r w:rsidRPr="00C00910">
              <w:rPr>
                <w:color w:val="auto"/>
                <w:sz w:val="24"/>
                <w:szCs w:val="24"/>
              </w:rPr>
              <w:t>(Prochaska and DiClemente, 1983).</w:t>
            </w:r>
            <w:r w:rsidRPr="005901E0">
              <w:rPr>
                <w:color w:val="auto"/>
                <w:sz w:val="24"/>
                <w:szCs w:val="24"/>
              </w:rPr>
              <w:t xml:space="preserve"> Ongoing support through a Care and Support Plan, as required under Part 4 of the Social Services and Well</w:t>
            </w:r>
            <w:r w:rsidRPr="005901E0">
              <w:rPr>
                <w:rFonts w:ascii="Cambria Math" w:hAnsi="Cambria Math" w:cs="Cambria Math"/>
                <w:color w:val="auto"/>
                <w:sz w:val="24"/>
                <w:szCs w:val="24"/>
              </w:rPr>
              <w:t>‑</w:t>
            </w:r>
            <w:r w:rsidRPr="005901E0">
              <w:rPr>
                <w:color w:val="auto"/>
                <w:sz w:val="24"/>
                <w:szCs w:val="24"/>
              </w:rPr>
              <w:t>being (Wales) Act 2014, ensured proportionate, preventative and outcome</w:t>
            </w:r>
            <w:r w:rsidRPr="005901E0">
              <w:rPr>
                <w:rFonts w:ascii="Cambria Math" w:hAnsi="Cambria Math" w:cs="Cambria Math"/>
                <w:color w:val="auto"/>
                <w:sz w:val="24"/>
                <w:szCs w:val="24"/>
              </w:rPr>
              <w:t>‑</w:t>
            </w:r>
            <w:r w:rsidRPr="005901E0">
              <w:rPr>
                <w:color w:val="auto"/>
                <w:sz w:val="24"/>
                <w:szCs w:val="24"/>
              </w:rPr>
              <w:t xml:space="preserve">focused intervention. Overall, this case strengthened my </w:t>
            </w:r>
            <w:r w:rsidRPr="005901E0">
              <w:rPr>
                <w:color w:val="auto"/>
                <w:sz w:val="24"/>
                <w:szCs w:val="24"/>
              </w:rPr>
              <w:lastRenderedPageBreak/>
              <w:t>understanding of how theory, legislation and reflective practice intersect in safeguarding, reinforcing the need for cultural sensitivity, child</w:t>
            </w:r>
            <w:r w:rsidRPr="005901E0">
              <w:rPr>
                <w:rFonts w:ascii="Cambria Math" w:hAnsi="Cambria Math" w:cs="Cambria Math"/>
                <w:color w:val="auto"/>
                <w:sz w:val="24"/>
                <w:szCs w:val="24"/>
              </w:rPr>
              <w:t>‑</w:t>
            </w:r>
            <w:r w:rsidRPr="005901E0">
              <w:rPr>
                <w:color w:val="auto"/>
                <w:sz w:val="24"/>
                <w:szCs w:val="24"/>
              </w:rPr>
              <w:t>centred practice and critical self</w:t>
            </w:r>
            <w:r w:rsidRPr="005901E0">
              <w:rPr>
                <w:rFonts w:ascii="Cambria Math" w:hAnsi="Cambria Math" w:cs="Cambria Math"/>
                <w:color w:val="auto"/>
                <w:sz w:val="24"/>
                <w:szCs w:val="24"/>
              </w:rPr>
              <w:t>‑</w:t>
            </w:r>
            <w:r w:rsidRPr="005901E0">
              <w:rPr>
                <w:color w:val="auto"/>
                <w:sz w:val="24"/>
                <w:szCs w:val="24"/>
              </w:rPr>
              <w:t>awareness.</w:t>
            </w:r>
          </w:p>
          <w:p w14:paraId="5D11938E" w14:textId="77777777" w:rsidR="00103DFA" w:rsidRDefault="00103DFA" w:rsidP="00103DFA">
            <w:pPr>
              <w:spacing w:line="360" w:lineRule="auto"/>
              <w:jc w:val="both"/>
              <w:rPr>
                <w:b/>
                <w:bCs/>
                <w:color w:val="auto"/>
                <w:sz w:val="24"/>
                <w:szCs w:val="24"/>
              </w:rPr>
            </w:pPr>
          </w:p>
          <w:p w14:paraId="065689C7" w14:textId="48F77B0C" w:rsidR="00103DFA" w:rsidRPr="00103DFA" w:rsidRDefault="00103DFA" w:rsidP="00103DFA">
            <w:pPr>
              <w:rPr>
                <w:sz w:val="24"/>
                <w:szCs w:val="24"/>
              </w:rPr>
            </w:pPr>
            <w:r w:rsidRPr="00103DFA">
              <w:rPr>
                <w:sz w:val="24"/>
                <w:szCs w:val="24"/>
              </w:rPr>
              <w:t>Word count 3876</w:t>
            </w:r>
          </w:p>
          <w:p w14:paraId="57F6E810" w14:textId="77777777" w:rsidR="00103DFA" w:rsidRPr="00103DFA" w:rsidRDefault="00103DFA" w:rsidP="00FF7EBB">
            <w:pPr>
              <w:jc w:val="both"/>
              <w:rPr>
                <w:iCs/>
                <w:sz w:val="24"/>
                <w:szCs w:val="24"/>
              </w:rPr>
            </w:pP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83466B" w14:textId="77777777" w:rsidR="000B4B04" w:rsidRDefault="000B4B04">
      <w:r>
        <w:separator/>
      </w:r>
    </w:p>
  </w:endnote>
  <w:endnote w:type="continuationSeparator" w:id="0">
    <w:p w14:paraId="4F08CFCF" w14:textId="77777777" w:rsidR="000B4B04" w:rsidRDefault="000B4B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C2898D" w14:textId="77777777" w:rsidR="000B4B04" w:rsidRDefault="000B4B04">
      <w:r>
        <w:separator/>
      </w:r>
    </w:p>
  </w:footnote>
  <w:footnote w:type="continuationSeparator" w:id="0">
    <w:p w14:paraId="345B4532" w14:textId="77777777" w:rsidR="000B4B04" w:rsidRDefault="000B4B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4B04"/>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3DFA"/>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25999"/>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4352</Words>
  <Characters>25029</Characters>
  <Application>Microsoft Office Word</Application>
  <DocSecurity>0</DocSecurity>
  <Lines>1317</Lines>
  <Paragraphs>413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kevin turner</cp:lastModifiedBy>
  <cp:revision>2</cp:revision>
  <cp:lastPrinted>2020-02-11T19:20:00Z</cp:lastPrinted>
  <dcterms:created xsi:type="dcterms:W3CDTF">2026-02-20T09:35:00Z</dcterms:created>
  <dcterms:modified xsi:type="dcterms:W3CDTF">2026-02-20T09:35:00Z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fae29bd7-ac05-499d-820a-b8addd409818</vt:lpwstr>
  </property>
</Properties>
</file>