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0026" w:rsidRPr="00D767A2" w:rsidRDefault="00D767A2">
      <w:pPr>
        <w:rPr>
          <w:sz w:val="24"/>
          <w:szCs w:val="24"/>
        </w:rPr>
      </w:pPr>
      <w:r w:rsidRPr="00D767A2">
        <w:rPr>
          <w:sz w:val="24"/>
          <w:szCs w:val="24"/>
        </w:rPr>
        <w:t>Paul L. Taylor</w:t>
      </w:r>
      <w:r>
        <w:rPr>
          <w:sz w:val="24"/>
          <w:szCs w:val="24"/>
        </w:rPr>
        <w:t>, ‘</w:t>
      </w:r>
      <w:r w:rsidR="001A0026" w:rsidRPr="00D767A2">
        <w:rPr>
          <w:sz w:val="24"/>
          <w:szCs w:val="24"/>
        </w:rPr>
        <w:t>The Ethics of Respect of Nature</w:t>
      </w:r>
      <w:r>
        <w:rPr>
          <w:sz w:val="24"/>
          <w:szCs w:val="24"/>
        </w:rPr>
        <w:t xml:space="preserve">’, </w:t>
      </w:r>
      <w:r w:rsidR="00E46E5B">
        <w:rPr>
          <w:sz w:val="24"/>
          <w:szCs w:val="24"/>
        </w:rPr>
        <w:t xml:space="preserve">chapter in Michael E. Zimmerman </w:t>
      </w:r>
      <w:r w:rsidR="00E46E5B" w:rsidRPr="00E46E5B">
        <w:rPr>
          <w:i/>
          <w:iCs/>
          <w:sz w:val="24"/>
          <w:szCs w:val="24"/>
        </w:rPr>
        <w:t>Environemntal Philosophy: From Animal Rights to Radical Ecology</w:t>
      </w:r>
      <w:r w:rsidR="00E46E5B">
        <w:rPr>
          <w:sz w:val="24"/>
          <w:szCs w:val="24"/>
        </w:rPr>
        <w:t xml:space="preserve"> (Upper Saddle River, NJ: Pearson/Prentic</w:t>
      </w:r>
      <w:r w:rsidR="00D335B3">
        <w:rPr>
          <w:sz w:val="24"/>
          <w:szCs w:val="24"/>
        </w:rPr>
        <w:t>e</w:t>
      </w:r>
      <w:r w:rsidR="00E46E5B">
        <w:rPr>
          <w:sz w:val="24"/>
          <w:szCs w:val="24"/>
        </w:rPr>
        <w:t xml:space="preserve"> Hall, 2005).</w:t>
      </w:r>
    </w:p>
    <w:p w:rsidR="001A0026" w:rsidRPr="00D767A2" w:rsidRDefault="001A0026">
      <w:pPr>
        <w:rPr>
          <w:sz w:val="24"/>
          <w:szCs w:val="24"/>
        </w:rPr>
      </w:pPr>
    </w:p>
    <w:p w:rsidR="001A0026" w:rsidRDefault="001A0026">
      <w:pPr>
        <w:rPr>
          <w:sz w:val="24"/>
          <w:szCs w:val="24"/>
        </w:rPr>
      </w:pPr>
      <w:r w:rsidRPr="00D767A2">
        <w:rPr>
          <w:sz w:val="24"/>
          <w:szCs w:val="24"/>
        </w:rPr>
        <w:t xml:space="preserve">Most of Paul W. </w:t>
      </w:r>
      <w:r w:rsidR="00D767A2" w:rsidRPr="00D767A2">
        <w:rPr>
          <w:sz w:val="24"/>
          <w:szCs w:val="24"/>
        </w:rPr>
        <w:t>Taylors</w:t>
      </w:r>
      <w:r w:rsidRPr="00D767A2">
        <w:rPr>
          <w:sz w:val="24"/>
          <w:szCs w:val="24"/>
        </w:rPr>
        <w:t xml:space="preserve"> article on, ‘The Ethics of </w:t>
      </w:r>
      <w:r w:rsidR="00E46E5B">
        <w:rPr>
          <w:sz w:val="24"/>
          <w:szCs w:val="24"/>
        </w:rPr>
        <w:t>R</w:t>
      </w:r>
      <w:r w:rsidRPr="00D767A2">
        <w:rPr>
          <w:sz w:val="24"/>
          <w:szCs w:val="24"/>
        </w:rPr>
        <w:t xml:space="preserve">espect </w:t>
      </w:r>
      <w:r w:rsidR="00E46E5B">
        <w:rPr>
          <w:sz w:val="24"/>
          <w:szCs w:val="24"/>
        </w:rPr>
        <w:t>for</w:t>
      </w:r>
      <w:r w:rsidRPr="00D767A2">
        <w:rPr>
          <w:sz w:val="24"/>
          <w:szCs w:val="24"/>
        </w:rPr>
        <w:t xml:space="preserve"> Nature’ is from an anthropocentric point of view-point and therefor</w:t>
      </w:r>
      <w:r w:rsidR="00E46E5B">
        <w:rPr>
          <w:sz w:val="24"/>
          <w:szCs w:val="24"/>
        </w:rPr>
        <w:t>e</w:t>
      </w:r>
      <w:r w:rsidRPr="00D767A2">
        <w:rPr>
          <w:sz w:val="24"/>
          <w:szCs w:val="24"/>
        </w:rPr>
        <w:t xml:space="preserve"> did not contribute to the research required for the essay tha</w:t>
      </w:r>
      <w:r w:rsidR="006B2829" w:rsidRPr="00D767A2">
        <w:rPr>
          <w:sz w:val="24"/>
          <w:szCs w:val="24"/>
        </w:rPr>
        <w:t>t</w:t>
      </w:r>
      <w:r w:rsidRPr="00D767A2">
        <w:rPr>
          <w:sz w:val="24"/>
          <w:szCs w:val="24"/>
        </w:rPr>
        <w:t xml:space="preserve"> much. However, one subsection within his work, with the title of, ‘The Natural World as an Organic System’ was informative from the standpoint of understanding, “…the whole natural order of the Earth’s biosphere is a complex but unified wed of interconnected organisms…The ecological Relationship between any community of living things and their environment from an organic whole of functionally interdependent parts.”</w:t>
      </w:r>
      <w:r w:rsidR="006B2829" w:rsidRPr="00D767A2">
        <w:rPr>
          <w:rStyle w:val="FootnoteReference"/>
          <w:sz w:val="24"/>
          <w:szCs w:val="24"/>
        </w:rPr>
        <w:footnoteReference w:id="1"/>
      </w:r>
      <w:r w:rsidRPr="00D767A2">
        <w:rPr>
          <w:sz w:val="24"/>
          <w:szCs w:val="24"/>
        </w:rPr>
        <w:t xml:space="preserve"> This is useful for my essay question, in that it attempts to explain</w:t>
      </w:r>
      <w:r w:rsidR="006B2829" w:rsidRPr="00D767A2">
        <w:rPr>
          <w:sz w:val="24"/>
          <w:szCs w:val="24"/>
        </w:rPr>
        <w:t xml:space="preserve"> the basis for the connections between organisms  and therefore including , non</w:t>
      </w:r>
      <w:r w:rsidR="00E46E5B">
        <w:rPr>
          <w:sz w:val="24"/>
          <w:szCs w:val="24"/>
        </w:rPr>
        <w:t>-</w:t>
      </w:r>
      <w:r w:rsidR="006B2829" w:rsidRPr="00D767A2">
        <w:rPr>
          <w:sz w:val="24"/>
          <w:szCs w:val="24"/>
        </w:rPr>
        <w:t xml:space="preserve">human creatures and the fact that those relationships intrinsically provide the basis for those creatures to have interests to which they would ‘rather’ build upon and those that would be otherwise counterproductive to ‘the good’ and ‘well-being’ of such creatures. He </w:t>
      </w:r>
      <w:r w:rsidR="00E46E5B">
        <w:rPr>
          <w:sz w:val="24"/>
          <w:szCs w:val="24"/>
        </w:rPr>
        <w:t>g</w:t>
      </w:r>
      <w:r w:rsidR="006B2829" w:rsidRPr="00D767A2">
        <w:rPr>
          <w:sz w:val="24"/>
          <w:szCs w:val="24"/>
        </w:rPr>
        <w:t>oes on to say, “As far as the well-being for wild animals is concerned, their ecological equilibrium must not be destroyed”</w:t>
      </w:r>
      <w:r w:rsidR="006B2829" w:rsidRPr="00D767A2">
        <w:rPr>
          <w:rStyle w:val="FootnoteReference"/>
          <w:sz w:val="24"/>
          <w:szCs w:val="24"/>
        </w:rPr>
        <w:footnoteReference w:id="2"/>
      </w:r>
      <w:r w:rsidR="006B2829" w:rsidRPr="00D767A2">
        <w:rPr>
          <w:sz w:val="24"/>
          <w:szCs w:val="24"/>
        </w:rPr>
        <w:t xml:space="preserve">. He also points out that </w:t>
      </w:r>
      <w:r w:rsidR="00E46E5B">
        <w:rPr>
          <w:sz w:val="24"/>
          <w:szCs w:val="24"/>
        </w:rPr>
        <w:t>he is not</w:t>
      </w:r>
      <w:r w:rsidR="006B2829" w:rsidRPr="00D767A2">
        <w:rPr>
          <w:sz w:val="24"/>
          <w:szCs w:val="24"/>
        </w:rPr>
        <w:t xml:space="preserve"> looking to form a moral </w:t>
      </w:r>
      <w:r w:rsidR="00C372E5" w:rsidRPr="00D767A2">
        <w:rPr>
          <w:sz w:val="24"/>
          <w:szCs w:val="24"/>
        </w:rPr>
        <w:t>dimension</w:t>
      </w:r>
      <w:r w:rsidR="006B2829" w:rsidRPr="00D767A2">
        <w:rPr>
          <w:sz w:val="24"/>
          <w:szCs w:val="24"/>
        </w:rPr>
        <w:t xml:space="preserve"> to this description, but more of a factual look at the ecological realities of the situation at hand and looking at the relationships of concerns and interests. He clarifies this by stating, “Its significance for humans is the same as its significance for non-humans”</w:t>
      </w:r>
      <w:r w:rsidR="006B2829" w:rsidRPr="00D767A2">
        <w:rPr>
          <w:rStyle w:val="FootnoteReference"/>
          <w:sz w:val="24"/>
          <w:szCs w:val="24"/>
        </w:rPr>
        <w:footnoteReference w:id="3"/>
      </w:r>
      <w:r w:rsidR="00C372E5" w:rsidRPr="00D767A2">
        <w:rPr>
          <w:sz w:val="24"/>
          <w:szCs w:val="24"/>
        </w:rPr>
        <w:t xml:space="preserve">. For my research this is useful as it implies the possibility that, if the significance is the same then, should non-human animals as having right that go alongside these interests, in order for those interests to be fully appreciated in their intrinsic significance? This </w:t>
      </w:r>
      <w:r w:rsidR="00E46E5B">
        <w:rPr>
          <w:sz w:val="24"/>
          <w:szCs w:val="24"/>
        </w:rPr>
        <w:t>a</w:t>
      </w:r>
      <w:r w:rsidR="00C372E5" w:rsidRPr="00D767A2">
        <w:rPr>
          <w:sz w:val="24"/>
          <w:szCs w:val="24"/>
        </w:rPr>
        <w:t>rticle also has a subsection which questions the anthropocentric assumption that humans are superior to question, it does not</w:t>
      </w:r>
      <w:r w:rsidR="00E46E5B">
        <w:rPr>
          <w:sz w:val="24"/>
          <w:szCs w:val="24"/>
        </w:rPr>
        <w:t>,</w:t>
      </w:r>
      <w:r w:rsidR="00C372E5" w:rsidRPr="00D767A2">
        <w:rPr>
          <w:sz w:val="24"/>
          <w:szCs w:val="24"/>
        </w:rPr>
        <w:t xml:space="preserve"> however, add much to the topic of my essay, other than to point out various inconsistencies of the human superiority argument, namely that it can only make sense in an anthropocentrically focused point of view. This article will be useful in my essay generally, but it will not be part of the essential reading for research purposes for the structure of my arguments and points.</w:t>
      </w:r>
    </w:p>
    <w:p w:rsidR="00E46E5B" w:rsidRDefault="00E46E5B">
      <w:pPr>
        <w:rPr>
          <w:sz w:val="24"/>
          <w:szCs w:val="24"/>
        </w:rPr>
      </w:pPr>
    </w:p>
    <w:p w:rsidR="00E46E5B" w:rsidRDefault="00E46E5B">
      <w:pPr>
        <w:rPr>
          <w:sz w:val="24"/>
          <w:szCs w:val="24"/>
        </w:rPr>
      </w:pPr>
      <w:r>
        <w:rPr>
          <w:sz w:val="24"/>
          <w:szCs w:val="24"/>
        </w:rPr>
        <w:t>Robin Attfield, ‘Can Biocentric Consequentialism meet Pluralistic Challenges?’</w:t>
      </w:r>
      <w:r w:rsidR="00D335B3">
        <w:rPr>
          <w:sz w:val="24"/>
          <w:szCs w:val="24"/>
        </w:rPr>
        <w:t xml:space="preserve"> in </w:t>
      </w:r>
      <w:r w:rsidR="00D335B3" w:rsidRPr="00D335B3">
        <w:rPr>
          <w:i/>
          <w:iCs/>
          <w:sz w:val="24"/>
          <w:szCs w:val="24"/>
        </w:rPr>
        <w:t>Consequentialism and Environmental Ethics</w:t>
      </w:r>
      <w:r w:rsidR="00D335B3">
        <w:rPr>
          <w:sz w:val="24"/>
          <w:szCs w:val="24"/>
        </w:rPr>
        <w:t>, eds. Avram Hiller, Ramona Ilea and Leonard Kahn ((New York: Routledge, 2014).</w:t>
      </w:r>
    </w:p>
    <w:p w:rsidR="00DB08E7" w:rsidRDefault="00D335B3" w:rsidP="00DB08E7">
      <w:pPr>
        <w:rPr>
          <w:sz w:val="24"/>
          <w:szCs w:val="24"/>
        </w:rPr>
      </w:pPr>
      <w:r>
        <w:rPr>
          <w:sz w:val="24"/>
          <w:szCs w:val="24"/>
        </w:rPr>
        <w:t xml:space="preserve">This paper on biocentric consequentialism goes through the different perspectives on this subject and examines different interpretations and critiques of the understanding f the subject criteria. Much of the paper does not apply to my essay research, however, one section in particular is of note to my essay which is the section entitled ‘Some objections to </w:t>
      </w:r>
      <w:r>
        <w:rPr>
          <w:sz w:val="24"/>
          <w:szCs w:val="24"/>
        </w:rPr>
        <w:lastRenderedPageBreak/>
        <w:t>biocent</w:t>
      </w:r>
      <w:r w:rsidR="0016424F">
        <w:rPr>
          <w:sz w:val="24"/>
          <w:szCs w:val="24"/>
        </w:rPr>
        <w:t>r</w:t>
      </w:r>
      <w:r>
        <w:rPr>
          <w:sz w:val="24"/>
          <w:szCs w:val="24"/>
        </w:rPr>
        <w:t>ic consequentialism considered’</w:t>
      </w:r>
      <w:r w:rsidR="00EC0CBC">
        <w:rPr>
          <w:sz w:val="24"/>
          <w:szCs w:val="24"/>
        </w:rPr>
        <w:t>. O</w:t>
      </w:r>
      <w:r>
        <w:rPr>
          <w:sz w:val="24"/>
          <w:szCs w:val="24"/>
        </w:rPr>
        <w:t>n page 10</w:t>
      </w:r>
      <w:r w:rsidR="00EC0CBC">
        <w:rPr>
          <w:sz w:val="24"/>
          <w:szCs w:val="24"/>
        </w:rPr>
        <w:t xml:space="preserve"> he discusses how anthropocentrist criti</w:t>
      </w:r>
      <w:r w:rsidR="0016424F">
        <w:rPr>
          <w:sz w:val="24"/>
          <w:szCs w:val="24"/>
        </w:rPr>
        <w:t>cis</w:t>
      </w:r>
      <w:r w:rsidR="00EC0CBC">
        <w:rPr>
          <w:sz w:val="24"/>
          <w:szCs w:val="24"/>
        </w:rPr>
        <w:t>ms of non-</w:t>
      </w:r>
      <w:r w:rsidR="0016424F">
        <w:rPr>
          <w:sz w:val="24"/>
          <w:szCs w:val="24"/>
        </w:rPr>
        <w:t>anthropocentric</w:t>
      </w:r>
      <w:r w:rsidR="00EC0CBC">
        <w:rPr>
          <w:sz w:val="24"/>
          <w:szCs w:val="24"/>
        </w:rPr>
        <w:t xml:space="preserve"> theories are actually mistake</w:t>
      </w:r>
      <w:r w:rsidR="0016424F">
        <w:rPr>
          <w:sz w:val="24"/>
          <w:szCs w:val="24"/>
        </w:rPr>
        <w:t>n for assuming that ‘human appraisers cannot avoid employing criterion of human interests.’</w:t>
      </w:r>
      <w:r w:rsidR="0016424F">
        <w:rPr>
          <w:rStyle w:val="FootnoteReference"/>
          <w:sz w:val="24"/>
          <w:szCs w:val="24"/>
        </w:rPr>
        <w:footnoteReference w:id="4"/>
      </w:r>
      <w:r w:rsidR="0016424F">
        <w:rPr>
          <w:sz w:val="24"/>
          <w:szCs w:val="24"/>
        </w:rPr>
        <w:t xml:space="preserve"> When concerning matters of non-anthropocentric practices </w:t>
      </w:r>
      <w:r w:rsidR="00DB08E7">
        <w:rPr>
          <w:sz w:val="24"/>
          <w:szCs w:val="24"/>
        </w:rPr>
        <w:t>w</w:t>
      </w:r>
      <w:r w:rsidR="0016424F">
        <w:rPr>
          <w:sz w:val="24"/>
          <w:szCs w:val="24"/>
        </w:rPr>
        <w:t>e can think of the paper by Nagel entitled ‘What is it like like to be a bat?’ In this paper, Nagel shows how difficult it is to escape the anthropocentric understanding of attempting to understand the lives of other species</w:t>
      </w:r>
      <w:r w:rsidR="00DB08E7">
        <w:rPr>
          <w:sz w:val="24"/>
          <w:szCs w:val="24"/>
        </w:rPr>
        <w:t>. It is extremely difficult if not impossible in his opinion., as his own analysis shows. However, in Attfield’s paper, Attfield points out that ‘Human appraisers must be capable of being swayed by non-human interests, or compassion towards animals would be impossible.’</w:t>
      </w:r>
      <w:r w:rsidR="00DB08E7">
        <w:rPr>
          <w:rStyle w:val="FootnoteReference"/>
          <w:sz w:val="24"/>
          <w:szCs w:val="24"/>
        </w:rPr>
        <w:footnoteReference w:id="5"/>
      </w:r>
      <w:r w:rsidR="00DB08E7">
        <w:rPr>
          <w:sz w:val="24"/>
          <w:szCs w:val="24"/>
        </w:rPr>
        <w:t xml:space="preserve"> Another way to put it would be to say that</w:t>
      </w:r>
      <w:r w:rsidR="005A0D8F">
        <w:rPr>
          <w:sz w:val="24"/>
          <w:szCs w:val="24"/>
        </w:rPr>
        <w:t>,</w:t>
      </w:r>
      <w:r w:rsidR="00DB08E7">
        <w:rPr>
          <w:sz w:val="24"/>
          <w:szCs w:val="24"/>
        </w:rPr>
        <w:t xml:space="preserve"> since human beings have the unique ability for cross-species empathy, it follows that for this to be possible it requires necessarily that human beings can concern themselves authentically and with sound inferences,</w:t>
      </w:r>
      <w:r w:rsidR="005A0D8F">
        <w:rPr>
          <w:sz w:val="24"/>
          <w:szCs w:val="24"/>
        </w:rPr>
        <w:t xml:space="preserve"> and </w:t>
      </w:r>
      <w:r w:rsidR="00DB08E7">
        <w:rPr>
          <w:sz w:val="24"/>
          <w:szCs w:val="24"/>
        </w:rPr>
        <w:t>associate non-human creatures’ interests with that of an understanding of their interests and therefore</w:t>
      </w:r>
      <w:r w:rsidR="005A0D8F">
        <w:rPr>
          <w:sz w:val="24"/>
          <w:szCs w:val="24"/>
        </w:rPr>
        <w:t xml:space="preserve"> the question of whether they ‘should’ or ‘ought’ to have rights. This is a query that inevitably leads to the problem that if one assigns rights to something, then the same mechanism that allows for this to become an accepted reality within human society also has the ability to build into it to take those rights away.</w:t>
      </w:r>
    </w:p>
    <w:p w:rsidR="005A0D8F" w:rsidRDefault="005A0D8F" w:rsidP="00DB08E7">
      <w:pPr>
        <w:rPr>
          <w:sz w:val="24"/>
          <w:szCs w:val="24"/>
        </w:rPr>
      </w:pPr>
      <w:r>
        <w:rPr>
          <w:sz w:val="24"/>
          <w:szCs w:val="24"/>
        </w:rPr>
        <w:t xml:space="preserve">Inconclusion to this, I consider these points to be of considerable value to the research for my essay, especially concerning the implications and inferences of cross-species empathy and therefore cross-species understanding, to an extent of non-human creatures’ interests and the values that follow from such understandings. </w:t>
      </w:r>
    </w:p>
    <w:p w:rsidR="005A0D8F" w:rsidRDefault="005A0D8F" w:rsidP="00DB08E7">
      <w:pPr>
        <w:rPr>
          <w:sz w:val="24"/>
          <w:szCs w:val="24"/>
        </w:rPr>
      </w:pPr>
    </w:p>
    <w:p w:rsidR="005A0D8F" w:rsidRDefault="005A0D8F" w:rsidP="00DB08E7">
      <w:pPr>
        <w:rPr>
          <w:sz w:val="24"/>
          <w:szCs w:val="24"/>
        </w:rPr>
      </w:pPr>
      <w:r>
        <w:rPr>
          <w:sz w:val="24"/>
          <w:szCs w:val="24"/>
        </w:rPr>
        <w:t xml:space="preserve">Peter Singer, ‘Equality for Animals’ Chapter 3 in </w:t>
      </w:r>
      <w:r w:rsidRPr="005A0D8F">
        <w:rPr>
          <w:i/>
          <w:iCs/>
          <w:sz w:val="24"/>
          <w:szCs w:val="24"/>
        </w:rPr>
        <w:t>Practical Ethics</w:t>
      </w:r>
      <w:r>
        <w:rPr>
          <w:sz w:val="24"/>
          <w:szCs w:val="24"/>
        </w:rPr>
        <w:t xml:space="preserve"> (Cambridge: Cambridge University Press, 1993).</w:t>
      </w:r>
    </w:p>
    <w:p w:rsidR="005A0D8F" w:rsidRDefault="005A0D8F" w:rsidP="00DB08E7">
      <w:pPr>
        <w:rPr>
          <w:sz w:val="24"/>
          <w:szCs w:val="24"/>
        </w:rPr>
      </w:pPr>
      <w:r>
        <w:rPr>
          <w:sz w:val="24"/>
          <w:szCs w:val="24"/>
        </w:rPr>
        <w:t>In the chapter of Peter Singers’ book called ‘Equality for Animals’ he argues that non-human animals do have interests and moreover, they should be take into account when concerning ethical matters such as these. He uses the concepts of ‘the fundamental principle of equality’</w:t>
      </w:r>
      <w:r>
        <w:rPr>
          <w:rStyle w:val="FootnoteReference"/>
          <w:sz w:val="24"/>
          <w:szCs w:val="24"/>
        </w:rPr>
        <w:footnoteReference w:id="6"/>
      </w:r>
      <w:r>
        <w:rPr>
          <w:sz w:val="24"/>
          <w:szCs w:val="24"/>
        </w:rPr>
        <w:t xml:space="preserve"> and uses the concept of ‘the principle of equal consideration of interests</w:t>
      </w:r>
      <w:r w:rsidR="00A972AA">
        <w:rPr>
          <w:sz w:val="24"/>
          <w:szCs w:val="24"/>
        </w:rPr>
        <w:t>’.</w:t>
      </w:r>
      <w:r w:rsidR="00A972AA">
        <w:rPr>
          <w:rStyle w:val="FootnoteReference"/>
          <w:sz w:val="24"/>
          <w:szCs w:val="24"/>
        </w:rPr>
        <w:footnoteReference w:id="7"/>
      </w:r>
      <w:r w:rsidR="00A972AA">
        <w:rPr>
          <w:sz w:val="24"/>
          <w:szCs w:val="24"/>
        </w:rPr>
        <w:t xml:space="preserve"> Strangely these principles were created originally for anthropocentric theories, however Singer recognised that this principle could also be easily transferable to non-human animals. As he states, ‘I shall now contend that while this principle does not provide an adequate basis for human equality, it provides a basis that cannot be limited to humans.’</w:t>
      </w:r>
      <w:r w:rsidR="00A972AA">
        <w:rPr>
          <w:rStyle w:val="FootnoteReference"/>
          <w:sz w:val="24"/>
          <w:szCs w:val="24"/>
        </w:rPr>
        <w:footnoteReference w:id="8"/>
      </w:r>
      <w:r w:rsidR="00A972AA">
        <w:rPr>
          <w:sz w:val="24"/>
          <w:szCs w:val="24"/>
        </w:rPr>
        <w:t xml:space="preserve"> He then explains what this looks like in more detail: ‘having accepted the principle of equality as a sound moral basis for relations with others of our own species, we are also committed to accepting it as a sound moral basis for relations with those outside our own species – non-human animals.’</w:t>
      </w:r>
      <w:r w:rsidR="00A972AA">
        <w:rPr>
          <w:rStyle w:val="FootnoteReference"/>
          <w:sz w:val="24"/>
          <w:szCs w:val="24"/>
        </w:rPr>
        <w:footnoteReference w:id="9"/>
      </w:r>
      <w:r w:rsidR="00A972AA">
        <w:rPr>
          <w:sz w:val="24"/>
          <w:szCs w:val="24"/>
        </w:rPr>
        <w:t xml:space="preserve"> He accepts that such an consideration might be seen as strange but </w:t>
      </w:r>
      <w:r w:rsidR="00A972AA">
        <w:rPr>
          <w:sz w:val="24"/>
          <w:szCs w:val="24"/>
        </w:rPr>
        <w:lastRenderedPageBreak/>
        <w:t>justifies it in regards to how humans view racism within our own species and compares that to what is essentially speciesism on our part, pointing out a common concern: ‘How can anyone waste their time on equality for animals when so many humans are denied real equality?’</w:t>
      </w:r>
      <w:r w:rsidR="00A972AA">
        <w:rPr>
          <w:rStyle w:val="FootnoteReference"/>
          <w:sz w:val="24"/>
          <w:szCs w:val="24"/>
        </w:rPr>
        <w:footnoteReference w:id="10"/>
      </w:r>
      <w:r w:rsidR="00A972AA">
        <w:rPr>
          <w:sz w:val="24"/>
          <w:szCs w:val="24"/>
        </w:rPr>
        <w:t xml:space="preserve"> He regards statements such as this to be a defining feature of the situation when one does not consider the interests of non-human creatures as a prejudice that one has. This prejudice has weak justifications especially when compared to human to human slavery and the overwhelming similarities between that and slavery. He goes on to talk about that it is difficult to see things without a similarity of species value-judgement on one’s current experience as a common feature of everyday life.</w:t>
      </w:r>
    </w:p>
    <w:p w:rsidR="00A972AA" w:rsidRPr="00D767A2" w:rsidRDefault="00A972AA" w:rsidP="00DB08E7">
      <w:pPr>
        <w:rPr>
          <w:sz w:val="24"/>
          <w:szCs w:val="24"/>
        </w:rPr>
      </w:pPr>
      <w:r>
        <w:rPr>
          <w:sz w:val="24"/>
          <w:szCs w:val="24"/>
        </w:rPr>
        <w:t>This relates to my essay question</w:t>
      </w:r>
      <w:r w:rsidR="006A70D8">
        <w:rPr>
          <w:sz w:val="24"/>
          <w:szCs w:val="24"/>
        </w:rPr>
        <w:t xml:space="preserve"> very closely in that it strongly advocates that we take the interests and possible rights of non-human creatures seriously because of the easily committable atrocities that can come from a negligent perspective on the issue.</w:t>
      </w:r>
      <w:bookmarkStart w:id="0" w:name="_GoBack"/>
      <w:bookmarkEnd w:id="0"/>
    </w:p>
    <w:sectPr w:rsidR="00A972AA" w:rsidRPr="00D76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A48" w:rsidRDefault="006F4A48" w:rsidP="006B2829">
      <w:pPr>
        <w:spacing w:after="0" w:line="240" w:lineRule="auto"/>
      </w:pPr>
      <w:r>
        <w:separator/>
      </w:r>
    </w:p>
  </w:endnote>
  <w:endnote w:type="continuationSeparator" w:id="0">
    <w:p w:rsidR="006F4A48" w:rsidRDefault="006F4A48" w:rsidP="006B2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A48" w:rsidRDefault="006F4A48" w:rsidP="006B2829">
      <w:pPr>
        <w:spacing w:after="0" w:line="240" w:lineRule="auto"/>
      </w:pPr>
      <w:r>
        <w:separator/>
      </w:r>
    </w:p>
  </w:footnote>
  <w:footnote w:type="continuationSeparator" w:id="0">
    <w:p w:rsidR="006F4A48" w:rsidRDefault="006F4A48" w:rsidP="006B2829">
      <w:pPr>
        <w:spacing w:after="0" w:line="240" w:lineRule="auto"/>
      </w:pPr>
      <w:r>
        <w:continuationSeparator/>
      </w:r>
    </w:p>
  </w:footnote>
  <w:footnote w:id="1">
    <w:p w:rsidR="00C372E5" w:rsidRDefault="00C372E5">
      <w:pPr>
        <w:pStyle w:val="FootnoteText"/>
      </w:pPr>
      <w:r>
        <w:rPr>
          <w:rStyle w:val="FootnoteReference"/>
        </w:rPr>
        <w:footnoteRef/>
      </w:r>
      <w:r>
        <w:t xml:space="preserve"> Pp.77</w:t>
      </w:r>
    </w:p>
  </w:footnote>
  <w:footnote w:id="2">
    <w:p w:rsidR="00C372E5" w:rsidRDefault="00C372E5">
      <w:pPr>
        <w:pStyle w:val="FootnoteText"/>
      </w:pPr>
      <w:r>
        <w:rPr>
          <w:rStyle w:val="FootnoteReference"/>
        </w:rPr>
        <w:footnoteRef/>
      </w:r>
      <w:r>
        <w:t xml:space="preserve"> Pp.77</w:t>
      </w:r>
    </w:p>
  </w:footnote>
  <w:footnote w:id="3">
    <w:p w:rsidR="00C372E5" w:rsidRDefault="00C372E5">
      <w:pPr>
        <w:pStyle w:val="FootnoteText"/>
      </w:pPr>
      <w:r>
        <w:rPr>
          <w:rStyle w:val="FootnoteReference"/>
        </w:rPr>
        <w:footnoteRef/>
      </w:r>
      <w:r>
        <w:t xml:space="preserve"> pp.77</w:t>
      </w:r>
    </w:p>
  </w:footnote>
  <w:footnote w:id="4">
    <w:p w:rsidR="0016424F" w:rsidRDefault="0016424F">
      <w:pPr>
        <w:pStyle w:val="FootnoteText"/>
      </w:pPr>
      <w:r>
        <w:rPr>
          <w:rStyle w:val="FootnoteReference"/>
        </w:rPr>
        <w:footnoteRef/>
      </w:r>
      <w:r>
        <w:t xml:space="preserve"> Robin Attfield, p. 10</w:t>
      </w:r>
    </w:p>
  </w:footnote>
  <w:footnote w:id="5">
    <w:p w:rsidR="00DB08E7" w:rsidRDefault="00DB08E7">
      <w:pPr>
        <w:pStyle w:val="FootnoteText"/>
      </w:pPr>
      <w:r>
        <w:rPr>
          <w:rStyle w:val="FootnoteReference"/>
        </w:rPr>
        <w:footnoteRef/>
      </w:r>
      <w:r>
        <w:t xml:space="preserve"> Robin Attfield, p.10</w:t>
      </w:r>
    </w:p>
  </w:footnote>
  <w:footnote w:id="6">
    <w:p w:rsidR="005A0D8F" w:rsidRDefault="005A0D8F">
      <w:pPr>
        <w:pStyle w:val="FootnoteText"/>
      </w:pPr>
      <w:r>
        <w:rPr>
          <w:rStyle w:val="FootnoteReference"/>
        </w:rPr>
        <w:footnoteRef/>
      </w:r>
      <w:r>
        <w:t xml:space="preserve"> Peter Singer, p. 55</w:t>
      </w:r>
    </w:p>
  </w:footnote>
  <w:footnote w:id="7">
    <w:p w:rsidR="00A972AA" w:rsidRDefault="00A972AA">
      <w:pPr>
        <w:pStyle w:val="FootnoteText"/>
      </w:pPr>
      <w:r>
        <w:rPr>
          <w:rStyle w:val="FootnoteReference"/>
        </w:rPr>
        <w:footnoteRef/>
      </w:r>
      <w:r>
        <w:t xml:space="preserve"> Peter Singer p. 55</w:t>
      </w:r>
    </w:p>
  </w:footnote>
  <w:footnote w:id="8">
    <w:p w:rsidR="00A972AA" w:rsidRDefault="00A972AA">
      <w:pPr>
        <w:pStyle w:val="FootnoteText"/>
      </w:pPr>
      <w:r>
        <w:rPr>
          <w:rStyle w:val="FootnoteReference"/>
        </w:rPr>
        <w:footnoteRef/>
      </w:r>
      <w:r>
        <w:t xml:space="preserve"> Peter Singer, p. 55</w:t>
      </w:r>
    </w:p>
  </w:footnote>
  <w:footnote w:id="9">
    <w:p w:rsidR="00A972AA" w:rsidRDefault="00A972AA">
      <w:pPr>
        <w:pStyle w:val="FootnoteText"/>
      </w:pPr>
      <w:r>
        <w:rPr>
          <w:rStyle w:val="FootnoteReference"/>
        </w:rPr>
        <w:footnoteRef/>
      </w:r>
      <w:r>
        <w:t xml:space="preserve"> Ibid</w:t>
      </w:r>
    </w:p>
  </w:footnote>
  <w:footnote w:id="10">
    <w:p w:rsidR="00A972AA" w:rsidRDefault="00A972AA">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26"/>
    <w:rsid w:val="0016424F"/>
    <w:rsid w:val="001A0026"/>
    <w:rsid w:val="005010AC"/>
    <w:rsid w:val="005A0D8F"/>
    <w:rsid w:val="006A70D8"/>
    <w:rsid w:val="006B2829"/>
    <w:rsid w:val="006F4A48"/>
    <w:rsid w:val="00A972AA"/>
    <w:rsid w:val="00C372E5"/>
    <w:rsid w:val="00C64BF8"/>
    <w:rsid w:val="00D335B3"/>
    <w:rsid w:val="00D767A2"/>
    <w:rsid w:val="00DB08E7"/>
    <w:rsid w:val="00E46E5B"/>
    <w:rsid w:val="00EC0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8532B"/>
  <w15:chartTrackingRefBased/>
  <w15:docId w15:val="{A762DC68-AE6B-4FED-B99A-78C9FF696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28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2829"/>
    <w:rPr>
      <w:sz w:val="20"/>
      <w:szCs w:val="20"/>
    </w:rPr>
  </w:style>
  <w:style w:type="character" w:styleId="FootnoteReference">
    <w:name w:val="footnote reference"/>
    <w:basedOn w:val="DefaultParagraphFont"/>
    <w:uiPriority w:val="99"/>
    <w:semiHidden/>
    <w:unhideWhenUsed/>
    <w:rsid w:val="006B2829"/>
    <w:rPr>
      <w:vertAlign w:val="superscript"/>
    </w:rPr>
  </w:style>
  <w:style w:type="character" w:styleId="CommentReference">
    <w:name w:val="annotation reference"/>
    <w:basedOn w:val="DefaultParagraphFont"/>
    <w:uiPriority w:val="99"/>
    <w:semiHidden/>
    <w:unhideWhenUsed/>
    <w:rsid w:val="0016424F"/>
    <w:rPr>
      <w:sz w:val="16"/>
      <w:szCs w:val="16"/>
    </w:rPr>
  </w:style>
  <w:style w:type="paragraph" w:styleId="CommentText">
    <w:name w:val="annotation text"/>
    <w:basedOn w:val="Normal"/>
    <w:link w:val="CommentTextChar"/>
    <w:uiPriority w:val="99"/>
    <w:semiHidden/>
    <w:unhideWhenUsed/>
    <w:rsid w:val="0016424F"/>
    <w:pPr>
      <w:spacing w:line="240" w:lineRule="auto"/>
    </w:pPr>
    <w:rPr>
      <w:sz w:val="20"/>
      <w:szCs w:val="20"/>
    </w:rPr>
  </w:style>
  <w:style w:type="character" w:customStyle="1" w:styleId="CommentTextChar">
    <w:name w:val="Comment Text Char"/>
    <w:basedOn w:val="DefaultParagraphFont"/>
    <w:link w:val="CommentText"/>
    <w:uiPriority w:val="99"/>
    <w:semiHidden/>
    <w:rsid w:val="0016424F"/>
    <w:rPr>
      <w:sz w:val="20"/>
      <w:szCs w:val="20"/>
    </w:rPr>
  </w:style>
  <w:style w:type="paragraph" w:styleId="CommentSubject">
    <w:name w:val="annotation subject"/>
    <w:basedOn w:val="CommentText"/>
    <w:next w:val="CommentText"/>
    <w:link w:val="CommentSubjectChar"/>
    <w:uiPriority w:val="99"/>
    <w:semiHidden/>
    <w:unhideWhenUsed/>
    <w:rsid w:val="0016424F"/>
    <w:rPr>
      <w:b/>
      <w:bCs/>
    </w:rPr>
  </w:style>
  <w:style w:type="character" w:customStyle="1" w:styleId="CommentSubjectChar">
    <w:name w:val="Comment Subject Char"/>
    <w:basedOn w:val="CommentTextChar"/>
    <w:link w:val="CommentSubject"/>
    <w:uiPriority w:val="99"/>
    <w:semiHidden/>
    <w:rsid w:val="0016424F"/>
    <w:rPr>
      <w:b/>
      <w:bCs/>
      <w:sz w:val="20"/>
      <w:szCs w:val="20"/>
    </w:rPr>
  </w:style>
  <w:style w:type="paragraph" w:styleId="BalloonText">
    <w:name w:val="Balloon Text"/>
    <w:basedOn w:val="Normal"/>
    <w:link w:val="BalloonTextChar"/>
    <w:uiPriority w:val="99"/>
    <w:semiHidden/>
    <w:unhideWhenUsed/>
    <w:rsid w:val="001642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424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F6704-E34E-452C-BB30-7436A5CBD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Pages>
  <Words>1055</Words>
  <Characters>6017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cp:revision>
  <dcterms:created xsi:type="dcterms:W3CDTF">2019-06-07T13:59:00Z</dcterms:created>
  <dcterms:modified xsi:type="dcterms:W3CDTF">2019-06-07T15:47:00Z</dcterms:modified>
</cp:coreProperties>
</file>