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cs="Times New Roman"/>
          <w:b/>
          <w:bCs/>
          <w:sz w:val="32"/>
          <w:szCs w:val="36"/>
        </w:rPr>
      </w:pPr>
      <w:r>
        <w:rPr>
          <w:rFonts w:hint="eastAsia" w:ascii="Times New Roman" w:hAnsi="Times New Roman" w:cs="Times New Roman"/>
          <w:b/>
          <w:bCs/>
          <w:sz w:val="32"/>
          <w:szCs w:val="36"/>
        </w:rPr>
        <w:t>Based on Sustainable Design Theory</w:t>
      </w:r>
    </w:p>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cs="Times New Roman"/>
          <w:b/>
          <w:bCs/>
          <w:sz w:val="32"/>
          <w:szCs w:val="36"/>
        </w:rPr>
      </w:pPr>
      <w:r>
        <w:rPr>
          <w:rFonts w:hint="eastAsia" w:ascii="Times New Roman" w:hAnsi="Times New Roman" w:cs="Times New Roman"/>
          <w:b/>
          <w:bCs/>
          <w:sz w:val="32"/>
          <w:szCs w:val="36"/>
        </w:rPr>
        <w:t>Investigation and Design Practice of Intangible Cultural Heritage Handicraft Industry in Fuzhou</w:t>
      </w:r>
    </w:p>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cs="Times New Roman"/>
          <w:b w:val="0"/>
          <w:bCs w:val="0"/>
          <w:sz w:val="22"/>
          <w:szCs w:val="24"/>
          <w:lang w:val="en-US" w:eastAsia="zh-CN"/>
        </w:rPr>
      </w:pPr>
      <w:r>
        <w:rPr>
          <w:rFonts w:hint="eastAsia" w:ascii="Times New Roman" w:hAnsi="Times New Roman" w:cs="Times New Roman"/>
          <w:b w:val="0"/>
          <w:bCs w:val="0"/>
          <w:sz w:val="22"/>
          <w:szCs w:val="24"/>
          <w:lang w:val="en-US" w:eastAsia="zh-CN"/>
        </w:rPr>
        <w:t>Name:Caisheng Luo</w:t>
      </w:r>
    </w:p>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cs="Times New Roman"/>
          <w:b w:val="0"/>
          <w:bCs w:val="0"/>
          <w:sz w:val="22"/>
          <w:szCs w:val="24"/>
          <w:lang w:val="en-US" w:eastAsia="zh-CN"/>
        </w:rPr>
      </w:pPr>
      <w:r>
        <w:rPr>
          <w:rFonts w:hint="eastAsia" w:ascii="Times New Roman" w:hAnsi="Times New Roman" w:cs="Times New Roman"/>
          <w:b w:val="0"/>
          <w:bCs w:val="0"/>
          <w:sz w:val="22"/>
          <w:szCs w:val="24"/>
          <w:lang w:val="en-US" w:eastAsia="zh-CN"/>
        </w:rPr>
        <w:t>Student Number:1914482</w:t>
      </w:r>
    </w:p>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cs="Times New Roman"/>
          <w:b w:val="0"/>
          <w:bCs w:val="0"/>
          <w:sz w:val="22"/>
          <w:szCs w:val="24"/>
          <w:lang w:val="en-US" w:eastAsia="zh-CN"/>
        </w:rPr>
      </w:pPr>
      <w:bookmarkStart w:id="21" w:name="_GoBack"/>
      <w:bookmarkEnd w:id="21"/>
    </w:p>
    <w:p>
      <w:pPr>
        <w:rPr>
          <w:rFonts w:hint="default" w:ascii="Times New Roman" w:hAnsi="Times New Roman" w:cs="Times New Roman" w:eastAsiaTheme="minorEastAsia"/>
          <w:b/>
          <w:bCs/>
          <w:lang w:val="en-US" w:eastAsia="zh-CN"/>
        </w:rPr>
      </w:pPr>
      <w:r>
        <w:rPr>
          <w:rFonts w:ascii="Times New Roman" w:hAnsi="Times New Roman" w:cs="Times New Roman"/>
          <w:b/>
          <w:bCs/>
        </w:rPr>
        <w:t xml:space="preserve">1. </w:t>
      </w:r>
      <w:bookmarkStart w:id="0" w:name="OLE_LINK3"/>
      <w:r>
        <w:rPr>
          <w:rFonts w:hint="eastAsia" w:ascii="Times New Roman" w:hAnsi="Times New Roman" w:cs="Times New Roman"/>
          <w:b/>
          <w:bCs/>
          <w:lang w:val="en-US" w:eastAsia="zh-CN"/>
        </w:rPr>
        <w:t>Project propo</w:t>
      </w:r>
      <w:bookmarkEnd w:id="0"/>
      <w:r>
        <w:rPr>
          <w:rFonts w:hint="eastAsia" w:ascii="Times New Roman" w:hAnsi="Times New Roman" w:cs="Times New Roman"/>
          <w:b/>
          <w:bCs/>
          <w:lang w:val="en-US" w:eastAsia="zh-CN"/>
        </w:rPr>
        <w:t>sal</w:t>
      </w:r>
    </w:p>
    <w:p>
      <w:pPr>
        <w:ind w:firstLine="420" w:firstLineChars="200"/>
        <w:rPr>
          <w:rFonts w:ascii="Times New Roman" w:hAnsi="Times New Roman" w:cs="Times New Roman"/>
        </w:rPr>
      </w:pPr>
      <w:r>
        <w:rPr>
          <w:rFonts w:ascii="Times New Roman" w:hAnsi="Times New Roman" w:cs="Times New Roman"/>
        </w:rPr>
        <w:t>The UNESCO Convention for the Safeguarding of the Intangible Cultural Heritage, promulgated in 2003, states: "The intangible cultural heritage refers to all kinds of social activities, narrative arts, performing arts, productive life experiences, crafts of all kinds, as well as to the tools, objects, manufactured goods and places used in the telling, performance, implementation The tools, objects, manufactured goods and places used in the telling, performance, and performance of these skills and techniques." (Lenzerini, 2011. pp. 101-120) This concept has been introduced to China for more than ten years. Currently, intangible cultural heritage is integrated into major national decisions and deployments such as the rural revitalization strategy and the integrated development of cultural tourism. In March 2017, the Ministry of Culture and Tourism and three other ministries jointly issued the China Traditional Craft Revitalisation Plan (Liu Jiamin, 2017. p.148), which aims to select and focus on supporting several traditional craft projects, promote the formation of replicable experience cases, and drive the development and revitalization of traditional crafts nationwide. Intangible cultural heritage differs from ordinary cultural objects in that it needs to survive in the market economy, with production and consumption being the two essential ends of the spectrum, and the absence of consumption means the absence of market demand. Without consumption, there is no market demand. Therefore, the potential resource value held by ICH itself is in line with the market economy. Some scholars have proposed the development path of 'from heritage to resource' (Fang Lili, 2009. pp. 42-52), linking people's real life to the development of society, so that the conservation of NRM can change from static to dynamic along with cultural changes, and NRM can also emit the light of industry.</w:t>
      </w:r>
    </w:p>
    <w:p>
      <w:pPr>
        <w:ind w:firstLine="420" w:firstLineChars="200"/>
        <w:rPr>
          <w:rFonts w:ascii="Times New Roman" w:hAnsi="Times New Roman" w:cs="Times New Roman"/>
        </w:rPr>
      </w:pPr>
      <w:r>
        <w:rPr>
          <w:rFonts w:ascii="Times New Roman" w:hAnsi="Times New Roman" w:cs="Times New Roman"/>
        </w:rPr>
        <w:t>According to the Chinese travel newspaper "2021 ICH E-Commerce Development Report": (Zhiming Liu,ruo Chuan Ban, Chenming Zuo, Xin Liu, Meng Sun, Weiying Sun, 2021)"Over the past three years, NRM consumption has achieved rapid growth in both quantity and scale. Firstly, the increase in the supply of non-heritage consumption, with the number of Taobao non-heritage shops exceeding 35,000; secondly, the growth in the sales of non-heritage goods, with the annual turnover of Taobao non-heritage goods increasing by more than 20% year-on-year for two consecutive years; thirdly, the expansion of the scale of the consumer population, with the scale of non-heritage goods consumers reaching a hundred million, with the post-85s and post-90s becoming the main consumers of non-heritage goods. The reasons for these are, firstly, the changing consumer consciousness of the younger generation. The rise of cultural self-confidence and the rise of national brands have together given rise to the rise of "national fever", which has become an important trend in China's consumer market. Secondly, the quality of national products has improved. In the past, the decline of many non-heritage items was due to traditional production methods, high production costs, high prices, and the inability to standardize quality, which directly led to a smaller market. Now, China has become a world manufacturing power, and as the industry continues to iterate and upgrade, consumers have more and more trust in national products. Live streaming has helped revitalize non-traditional heritage. A more important and direct driving factor of the "ICH fever" is the combination of ICH and internet platforms. The combination of non-hereditary heritage and internet platforms has allowed non-heritage practitioners and businesses to "link" directly with consumers through the internet to create pop-up and net-worthy products. In the past year, there were 3.8 million live broadcasts on Taobao, with an average of more than 10,000 broadcasts per day, of which merchants' live broadcasts accounted for 80%.</w:t>
      </w:r>
    </w:p>
    <w:p>
      <w:pPr>
        <w:ind w:firstLine="420" w:firstLineChars="200"/>
        <w:rPr>
          <w:rFonts w:ascii="Times New Roman" w:hAnsi="Times New Roman" w:cs="Times New Roman"/>
        </w:rPr>
      </w:pPr>
      <w:r>
        <w:rPr>
          <w:rFonts w:ascii="Times New Roman" w:hAnsi="Times New Roman" w:cs="Times New Roman"/>
        </w:rPr>
        <w:t>Every few years the Fuzhou Municipal Government gives different policies to support the revival of handicrafts in the local intangible cultural heritage. After 2006, the Implementation Opinions of the Fuzhou Municipal People's Government on Strengthening the Protection of Intangible Cultural Heritage (People's Government of Fuzhou, Fujian Province, 2006), the Implementation Opinions of the Fuzhou Municipal People's Government on Protecting and Developing Traditional Arts and Crafts  Implementation Opinions on the Protection and Development of Traditional Arts and Crafts in Fuzhou (Fuzhou Municipal People's Government, 2013), 2013),  Opinions on accelerating the development of cultural and creative industries in Fuzhou (Fuzhou Municipal People's Government, 2010), "The 12th Five-Year Special Plan for the Development of Cultural and Creative Industries in Fuzhou (2011-2015)" (The 12th Five-Year Special Plan for the Development of Cultural and Creative Industries in Fuzhou (2011-2015)).  Cities in Fuzhou (Fuzhou Municipal People's Government, 2013). 16 March 2022, with the consent of the municipal government, the Fuzhou Municipal People's Government Office of the Fuzhou Municipal People's Government issued "Several Measures to Promote the Protection and Development of Traditional Arts and Crafts in Fuzhou", to promote the heritage, protection and development of traditional arts and crafts in Fuzhou, combined with the actual situation in Fuzhou, according to the Five-Year Action Plan for the Protection and Development of Cork Painting, Stripped Lacquerware and Shoushan Stone Carving Techniques in Fuzhou (2021-2025), supporting the formulation of Several Measures to Promote the Protection and Development of Traditional Arts and Crafts in Fuzhou (Several measures to promote the protection and development of traditional arts and crafts in Fuzhou (Fuzhou Municipal People's Government, 2022). To sum up, these policies support the following directions: 1. increase the training of talents 2. strengthen the protection of skill inheritance 3. strengthen the promotion and display 4. encourage the development of markets 5. realize branding and industrialization.</w:t>
      </w:r>
    </w:p>
    <w:p>
      <w:pPr>
        <w:ind w:firstLine="420" w:firstLineChars="200"/>
        <w:rPr>
          <w:rFonts w:ascii="Times New Roman" w:hAnsi="Times New Roman" w:cs="Times New Roman"/>
        </w:rPr>
      </w:pPr>
      <w:r>
        <w:rPr>
          <w:rFonts w:ascii="Times New Roman" w:hAnsi="Times New Roman" w:cs="Times New Roman"/>
        </w:rPr>
        <w:t xml:space="preserve">Fuzhou, China, is a city with a large number of traditional crafts, many of which are listed in the national intangible cultural heritage. According to statistics, the intangible cultural crafts currently listed at the national and provincial levels and sold at the most famous tourist attractions in Fuzhou are Fuzhou Stripped Lacquerware, Cork Painting, Shoushan Stone, Oil Paper Umbrellas, and Cow Horn Combs, and current research will mainly focus on these crafts The current research will also focus on these crafts. Although the government has introduced policies to support the development of traditional handicrafts, according to the study, many people still leave these industries to make a living. So as a designer, what can design do for them from a design perspective? Can design be used to create added value and sustainability in products? In turn, it can increase the income of those who work in the industry and attract more young people to join the profession. We recognize the value of traditional crafts in a market economy, not only in terms of their intrinsic product value but also in terms of the brand value derived from their historical and cultural heritage, but can this value be obtained through design and how can it be obtained? </w:t>
      </w:r>
    </w:p>
    <w:p>
      <w:pPr>
        <w:ind w:firstLine="420" w:firstLineChars="200"/>
        <w:rPr>
          <w:rFonts w:ascii="Times New Roman" w:hAnsi="Times New Roman" w:cs="Times New Roman"/>
        </w:rPr>
      </w:pPr>
      <w:r>
        <w:rPr>
          <w:rFonts w:ascii="Times New Roman" w:hAnsi="Times New Roman" w:cs="Times New Roman"/>
        </w:rPr>
        <w:t>At the heart of the UN 2030 Agenda are the 17 Sustainable Development Goals (SDGs) (17 Goals to Transform Our World (2022) United Nations). The SDGs aim to ensure a sustainable, peaceful, prosperous, and equitable life on the planet for everyone, now and in the future. To develop industries with high added value and economic productivity through culturally diverse innovation. Improve production activities and innovation to further activate local cultural and product innovation. In addition, technology development, research, and the invention should be supported to achieve industrial diversification and higher added value of goods. Sustainable consumption and production patterns should be adopted to enhance the role of local culture and products in green economy industries such as sustainable tourism and to achieve sustainable management and efficient use of resources by 2030. (Build Resilient Infrastructure, Promote Sustainable Industrialization and Foster Innovation (2022) United Nation) Therefore, the direct path to sustainable development is to change our behavior and thinking.</w:t>
      </w:r>
    </w:p>
    <w:p>
      <w:pPr>
        <w:ind w:firstLine="420" w:firstLineChars="200"/>
        <w:rPr>
          <w:rFonts w:hint="eastAsia" w:ascii="Times New Roman" w:hAnsi="Times New Roman" w:cs="Times New Roman"/>
        </w:rPr>
      </w:pPr>
      <w:r>
        <w:rPr>
          <w:rFonts w:hint="eastAsia" w:ascii="Times New Roman" w:hAnsi="Times New Roman" w:cs="Times New Roman"/>
        </w:rPr>
        <w:t>The concept of 'sustainable design' is not conclusive in academic circles, but on the one hand it is closely related to the concepts of 'green design', 'eco-design', 'low carbon design' and 'environmental design'. "On the one hand, it is closely related to concepts such as 'green design', 'eco-design', 'low carbon design' and 'environmental design', but on the other hand it has its own characteristics and core methods. Specifically, 'sustainable design' differs from design that is based solely on the output of a 'material product' in that it integrates 'products and services' to create 'sustainable solutions'. "sustainable solutions' to meet specific consumer needs, replacing the consumption of material products with 'outcomes' and 'benefits', while at the same time reducing the consumption of material products. It is a strategic design activity with the ultimate goal of reducing the consumption of resources and environmental pollution and changing the quality of life of people in society. (Manzini, E., 2002, pp. 141-148.) It can be seen that 'sustainable design' does not simply emphasise the preservation of the ecological environment, but advocates a systematic innovation strategy that takes into account the needs of users, environmental benefits, social benefits and business development. In this context, design practitioners, who previously played only a service role, have taken on more and more social responsibilities and obligations, and the scope of traditional 'industrial design' is being expanded. The theoretical basis for sustainable development is ecology, driven by a serious concern for the natural environment. "The evolution and development of the concept of sustainable design can be briefly divided into four stages.</w:t>
      </w:r>
    </w:p>
    <w:p>
      <w:pPr>
        <w:ind w:firstLine="420" w:firstLineChars="200"/>
        <w:rPr>
          <w:rFonts w:hint="eastAsia" w:ascii="Times New Roman" w:hAnsi="Times New Roman" w:cs="Times New Roman"/>
        </w:rPr>
      </w:pPr>
      <w:r>
        <w:rPr>
          <w:rFonts w:hint="eastAsia" w:ascii="Times New Roman" w:hAnsi="Times New Roman" w:cs="Times New Roman"/>
        </w:rPr>
        <w:t>The first stage began in the 1980s and 1990s and can be referred to as the early 'green design' stage, emphasising the use of materials and energy with low environmental impact, including the 3R concept (Reduce, Recycle, Reuse) that we often refer to (i.e. reducing material and energy consumption, products and components that can be (Reduce, Recycle, Reuse), products and components that can be easily sorted and recycled and reused. In addition, the concepts of 'design for harmlessness', 'design for disassembly' and 'design for sustainability' can all be included in the broader 'green design "This is the first time that environmental issues have been included in this phase. The inclusion of environmental issues as a fundamental element of design thinking at this stage was a profound reflection on the role of design and its role in society, and greatly enhanced the social value of design. The problem, however, is that the early concept of 'green design' remained a 'post-process intervention', a palliative remedial measure taken after the 'problems and hazards' had been recognised, essentially In essence, it only reduces the intensity of the hazard to a certain extent and prolongs the cycle of the outbreak of the hazard, which is a "symptomatic" act. With China's large population, relatively poor resources and accelerating ecological degradation, it is inevitable that 'green design' should be deepened at this stage, but the above-mentioned concepts and methods alone cannot fundamentally solve the problem of conflict between economic development and the environment.</w:t>
      </w:r>
    </w:p>
    <w:p>
      <w:pPr>
        <w:ind w:firstLine="420" w:firstLineChars="200"/>
        <w:rPr>
          <w:rFonts w:hint="eastAsia" w:ascii="Times New Roman" w:hAnsi="Times New Roman" w:cs="Times New Roman"/>
        </w:rPr>
      </w:pPr>
      <w:r>
        <w:rPr>
          <w:rFonts w:hint="eastAsia" w:ascii="Times New Roman" w:hAnsi="Times New Roman" w:cs="Times New Roman"/>
        </w:rPr>
        <w:t> The second stage belongs to the "Eco - design" (Knight, P. and Jenkins, J.O., 2009., pp. 549-558.) stage. "Eco-design is an approach to design that looks at the whole process of the 'product lifecycle', not only focusing on the end result, but also thinking holistically about environmental issues in all phases, aspects and aspects of product design, which can be called It can be called "intervention in process". Specifically, Ecodesign addresses issues such as energy consumption in the production of products, emissions to water, air and soil, pollution from noise, vibration, radiation and electromagnetic fields, and the generation and disposal of waste materials. Life Cycle Assessment (LCA) is an important tool in the implementation of eco-design, which uses a systematic approach and quantitative indicators to guide and regulate the design process. LCA is becoming a key component of environmental policy development in countries around the world, including China.</w:t>
      </w:r>
    </w:p>
    <w:p>
      <w:pPr>
        <w:ind w:firstLine="420" w:firstLineChars="200"/>
        <w:rPr>
          <w:rFonts w:hint="eastAsia" w:ascii="Times New Roman" w:hAnsi="Times New Roman" w:cs="Times New Roman"/>
        </w:rPr>
      </w:pPr>
      <w:r>
        <w:rPr>
          <w:rFonts w:hint="eastAsia" w:ascii="Times New Roman" w:hAnsi="Times New Roman" w:cs="Times New Roman"/>
        </w:rPr>
        <w:t xml:space="preserve">The third stage can be called eco-efficiency-based 'product and service system design', which goes beyond the general focus on 'physical products' and into the realm of 'system design'. It is an intervention at the level of "products and services". According to Professor Carlo Vezzoli of the Politecnico di Milano: From the device of products to the contrive of 'solutions' (Vezzoli, C. and Manzini, E., 2008. p.4), p.4). Such solutions may be materialised products or immaterialised services. Professor Liu Guanzhong of Tsinghua University has proposed a theoretical approach to 'design theology' that is essentially consistent with 'systems design'. It is clear that 'product service system design' is a holistic approach that seeks to integrate the many design-related factors in the wider business environment and create a new 'business model'. As Paul Hawken says in Business Ecology, "Business needs to unify economic, biological and human systems into a whole, to achieve a symbiotic cycle of business, consumer and ecology, thus opening up a path to sustainable business development." It is a painful journey for economic development to shift away from an over-reliance on the production and consumption of 'materialised goods'. However, this transformation is the way forward for the future sustainable development of the Chinese economy, and indeed the global economy. </w:t>
      </w:r>
    </w:p>
    <w:p>
      <w:pPr>
        <w:ind w:firstLine="420" w:firstLineChars="200"/>
        <w:rPr>
          <w:rFonts w:hint="eastAsia" w:ascii="Times New Roman" w:hAnsi="Times New Roman" w:cs="Times New Roman"/>
        </w:rPr>
      </w:pPr>
      <w:r>
        <w:rPr>
          <w:rFonts w:hint="eastAsia" w:ascii="Times New Roman" w:hAnsi="Times New Roman" w:cs="Times New Roman"/>
        </w:rPr>
        <w:t>The fourth stage is at the forefront of design research today, focusing on social equity and harmony, and is a further expansion and refinement of Sustainable Design, involving the sustainable development of local culture, respect for cultural and species diversity, concern for the disadvantaged and the promotion of sustainable consumption patterns. In this way, the systemic concept of 'sustainable design' has been deepened and refined to focus on social cohesion in the face of globalisation and the spiritual and emotional world of the public. Fundamentally, sustainable socio-economic development depends on a change in people's values and consumption patterns, and the focus on sustainable 'consumption patterns' is therefore central to this phase. Design is the bridge between production and consumption, and can be a tool to stimulate the urge to consume, or a means to promote sustainable consumption. One of the most recent themes in design research today is 'social innovation and sustainable design'. Professor Ezio Manzini of Politecnico di Milano describes this future, socially innovative paradigm as "green, social and networked" (Manzini, E., 2015. MIT press).</w:t>
      </w:r>
    </w:p>
    <w:p>
      <w:pPr>
        <w:ind w:firstLine="420" w:firstLineChars="200"/>
        <w:rPr>
          <w:rFonts w:hint="eastAsia" w:ascii="Times New Roman" w:hAnsi="Times New Roman" w:cs="Times New Roman"/>
        </w:rPr>
      </w:pPr>
    </w:p>
    <w:p>
      <w:pPr>
        <w:ind w:firstLine="420" w:firstLineChars="200"/>
        <w:rPr>
          <w:rFonts w:hint="eastAsia" w:ascii="Times New Roman" w:hAnsi="Times New Roman" w:cs="Times New Roman"/>
        </w:rPr>
      </w:pPr>
    </w:p>
    <w:p>
      <w:pPr>
        <w:rPr>
          <w:rFonts w:hint="eastAsia" w:ascii="Times New Roman" w:hAnsi="Times New Roman" w:cs="Times New Roman"/>
          <w:b/>
          <w:bCs/>
        </w:rPr>
      </w:pPr>
      <w:r>
        <w:rPr>
          <w:rFonts w:hint="eastAsia" w:ascii="Times New Roman" w:hAnsi="Times New Roman" w:cs="Times New Roman"/>
          <w:b/>
          <w:bCs/>
        </w:rPr>
        <w:t xml:space="preserve">2. Project aims and objectives Research design </w:t>
      </w:r>
    </w:p>
    <w:p>
      <w:pPr>
        <w:rPr>
          <w:rFonts w:hint="eastAsia" w:ascii="Times New Roman" w:hAnsi="Times New Roman" w:cs="Times New Roman"/>
          <w:b/>
          <w:bCs/>
        </w:rPr>
      </w:pPr>
      <w:bookmarkStart w:id="1" w:name="OLE_LINK1"/>
      <w:r>
        <w:rPr>
          <w:rFonts w:hint="eastAsia" w:ascii="Times New Roman" w:hAnsi="Times New Roman" w:cs="Times New Roman"/>
          <w:b/>
          <w:bCs/>
        </w:rPr>
        <w:t>1. Review of the definition and development of a sustainable design.</w:t>
      </w:r>
    </w:p>
    <w:p>
      <w:pPr>
        <w:ind w:firstLine="420" w:firstLineChars="200"/>
        <w:rPr>
          <w:rFonts w:hint="eastAsia" w:ascii="Times New Roman" w:hAnsi="Times New Roman" w:cs="Times New Roman"/>
          <w:b w:val="0"/>
          <w:bCs w:val="0"/>
        </w:rPr>
      </w:pPr>
      <w:r>
        <w:rPr>
          <w:rFonts w:hint="eastAsia" w:ascii="Times New Roman" w:hAnsi="Times New Roman" w:cs="Times New Roman"/>
          <w:b w:val="0"/>
          <w:bCs w:val="0"/>
        </w:rPr>
        <w:t>(1) Comparison of schools and models of sustainable design development.</w:t>
      </w:r>
    </w:p>
    <w:p>
      <w:pPr>
        <w:ind w:firstLine="420" w:firstLineChars="200"/>
        <w:rPr>
          <w:rFonts w:hint="eastAsia" w:ascii="Times New Roman" w:hAnsi="Times New Roman" w:cs="Times New Roman"/>
          <w:b w:val="0"/>
          <w:bCs w:val="0"/>
        </w:rPr>
      </w:pPr>
      <w:r>
        <w:rPr>
          <w:rFonts w:hint="eastAsia" w:ascii="Times New Roman" w:hAnsi="Times New Roman" w:cs="Times New Roman"/>
          <w:b w:val="0"/>
          <w:bCs w:val="0"/>
        </w:rPr>
        <w:t>(2) The development and importance of sustainable design in China.</w:t>
      </w:r>
    </w:p>
    <w:p>
      <w:pPr>
        <w:rPr>
          <w:rFonts w:hint="eastAsia" w:ascii="Times New Roman" w:hAnsi="Times New Roman" w:cs="Times New Roman"/>
          <w:b/>
          <w:bCs/>
        </w:rPr>
      </w:pPr>
      <w:r>
        <w:rPr>
          <w:rFonts w:hint="eastAsia" w:ascii="Times New Roman" w:hAnsi="Times New Roman" w:cs="Times New Roman"/>
          <w:b/>
          <w:bCs/>
        </w:rPr>
        <w:t>2. What problems do companies face in implementing sustainable design, what resources do they need, and how do these resources affect each other?</w:t>
      </w:r>
    </w:p>
    <w:p>
      <w:pPr>
        <w:ind w:firstLine="420" w:firstLineChars="200"/>
        <w:rPr>
          <w:rFonts w:hint="eastAsia" w:ascii="Times New Roman" w:hAnsi="Times New Roman" w:cs="Times New Roman"/>
          <w:b w:val="0"/>
          <w:bCs w:val="0"/>
        </w:rPr>
      </w:pPr>
      <w:r>
        <w:rPr>
          <w:rFonts w:hint="eastAsia" w:ascii="Times New Roman" w:hAnsi="Times New Roman" w:cs="Times New Roman"/>
          <w:b w:val="0"/>
          <w:bCs w:val="0"/>
        </w:rPr>
        <w:t>(1) Investigate and analyze the current situation and problems of enterprises in Fuzhou that are currently listed as intangible cultural heritage crafts at a provincial and national level.</w:t>
      </w:r>
    </w:p>
    <w:p>
      <w:pPr>
        <w:ind w:firstLine="420" w:firstLineChars="200"/>
        <w:rPr>
          <w:rFonts w:hint="eastAsia" w:ascii="Times New Roman" w:hAnsi="Times New Roman" w:cs="Times New Roman"/>
          <w:b w:val="0"/>
          <w:bCs w:val="0"/>
        </w:rPr>
      </w:pPr>
      <w:r>
        <w:rPr>
          <w:rFonts w:hint="eastAsia" w:ascii="Times New Roman" w:hAnsi="Times New Roman" w:cs="Times New Roman"/>
          <w:b w:val="0"/>
          <w:bCs w:val="0"/>
        </w:rPr>
        <w:t>(2) To study the relationship between the four parties involved - producers, policy supporters, markets, and skills training - and to analyze the potential for sustainable development of these enterprises through the theoretical model of sustainable design, and to measure and evaluate the potential and propose a sustainable design model that is consistent with the development of local enterprises.</w:t>
      </w:r>
    </w:p>
    <w:p>
      <w:pPr>
        <w:rPr>
          <w:rFonts w:hint="eastAsia" w:ascii="Times New Roman" w:hAnsi="Times New Roman" w:cs="Times New Roman"/>
          <w:b/>
          <w:bCs/>
        </w:rPr>
      </w:pPr>
      <w:r>
        <w:rPr>
          <w:rFonts w:hint="eastAsia" w:ascii="Times New Roman" w:hAnsi="Times New Roman" w:cs="Times New Roman"/>
          <w:b/>
          <w:bCs/>
        </w:rPr>
        <w:t>3. How different volumes of ICH enterprises can upgrade their enterprises through the concept of sustainable design.</w:t>
      </w:r>
    </w:p>
    <w:p>
      <w:pPr>
        <w:ind w:firstLine="420" w:firstLineChars="200"/>
        <w:rPr>
          <w:rFonts w:hint="eastAsia" w:ascii="Times New Roman" w:hAnsi="Times New Roman" w:cs="Times New Roman"/>
          <w:b w:val="0"/>
          <w:bCs w:val="0"/>
        </w:rPr>
      </w:pPr>
      <w:r>
        <w:rPr>
          <w:rFonts w:hint="eastAsia" w:ascii="Times New Roman" w:hAnsi="Times New Roman" w:cs="Times New Roman"/>
          <w:b w:val="0"/>
          <w:bCs w:val="0"/>
        </w:rPr>
        <w:t>(1) A case study of the D4S model in the sustainable design model is used to provide a sustainable design reference for ICH handicraft enterprises in Fuzhou.</w:t>
      </w:r>
    </w:p>
    <w:p>
      <w:pPr>
        <w:ind w:firstLine="420" w:firstLineChars="200"/>
        <w:rPr>
          <w:rFonts w:hint="eastAsia" w:ascii="Times New Roman" w:hAnsi="Times New Roman" w:cs="Times New Roman"/>
          <w:b w:val="0"/>
          <w:bCs w:val="0"/>
        </w:rPr>
      </w:pPr>
      <w:r>
        <w:rPr>
          <w:rFonts w:hint="eastAsia" w:ascii="Times New Roman" w:hAnsi="Times New Roman" w:cs="Times New Roman"/>
          <w:b w:val="0"/>
          <w:bCs w:val="0"/>
        </w:rPr>
        <w:t>(2) To select an ICH enterprise and design its brand vision and product design using the D4S model.</w:t>
      </w:r>
    </w:p>
    <w:bookmarkEnd w:id="1"/>
    <w:p>
      <w:pPr>
        <w:rPr>
          <w:rFonts w:hint="eastAsia" w:ascii="Times New Roman" w:hAnsi="Times New Roman" w:cs="Times New Roman"/>
          <w:b w:val="0"/>
          <w:bCs w:val="0"/>
        </w:rPr>
      </w:pPr>
    </w:p>
    <w:p>
      <w:pPr>
        <w:rPr>
          <w:rFonts w:hint="eastAsia" w:ascii="Times New Roman" w:hAnsi="Times New Roman" w:cs="Times New Roman"/>
          <w:b/>
          <w:bCs/>
        </w:rPr>
      </w:pPr>
      <w:r>
        <w:rPr>
          <w:rFonts w:hint="eastAsia" w:ascii="Times New Roman" w:hAnsi="Times New Roman" w:cs="Times New Roman"/>
          <w:b/>
          <w:bCs/>
        </w:rPr>
        <w:t>3. Data analysis of research</w:t>
      </w:r>
    </w:p>
    <w:p>
      <w:pPr>
        <w:ind w:firstLine="420" w:firstLineChars="200"/>
        <w:rPr>
          <w:rFonts w:hint="eastAsia" w:ascii="Times New Roman" w:hAnsi="Times New Roman" w:cs="Times New Roman"/>
          <w:b w:val="0"/>
          <w:bCs w:val="0"/>
        </w:rPr>
      </w:pPr>
      <w:bookmarkStart w:id="2" w:name="OLE_LINK2"/>
      <w:r>
        <w:rPr>
          <w:rFonts w:hint="eastAsia" w:ascii="Times New Roman" w:hAnsi="Times New Roman" w:cs="Times New Roman"/>
          <w:b w:val="0"/>
          <w:bCs w:val="0"/>
        </w:rPr>
        <w:t>In response to the above Project aims and objectives Research design, the research was conducted through a literature review, semi-structured interviews, questionnaires, case studies, and design practice methods.</w:t>
      </w:r>
    </w:p>
    <w:p>
      <w:pPr>
        <w:ind w:firstLine="420" w:firstLineChars="200"/>
        <w:rPr>
          <w:rFonts w:hint="eastAsia" w:ascii="Times New Roman" w:hAnsi="Times New Roman" w:cs="Times New Roman"/>
          <w:b w:val="0"/>
          <w:bCs w:val="0"/>
        </w:rPr>
      </w:pPr>
      <w:r>
        <w:rPr>
          <w:rFonts w:hint="eastAsia" w:ascii="Times New Roman" w:hAnsi="Times New Roman" w:cs="Times New Roman"/>
          <w:b w:val="0"/>
          <w:bCs w:val="0"/>
        </w:rPr>
        <w:t>In the literature review, the theoretical development of sustainable design is reviewed, especially the analogical analysis of models, in an attempt to outline a methodology for sustainable design in line with the intangible cultural heritage handicraft industry.</w:t>
      </w:r>
    </w:p>
    <w:p>
      <w:pPr>
        <w:ind w:firstLine="420" w:firstLineChars="200"/>
        <w:rPr>
          <w:rFonts w:hint="eastAsia" w:ascii="Times New Roman" w:hAnsi="Times New Roman" w:cs="Times New Roman"/>
          <w:b w:val="0"/>
          <w:bCs w:val="0"/>
        </w:rPr>
      </w:pPr>
      <w:r>
        <w:rPr>
          <w:rFonts w:hint="eastAsia" w:ascii="Times New Roman" w:hAnsi="Times New Roman" w:cs="Times New Roman"/>
          <w:b w:val="0"/>
          <w:bCs w:val="0"/>
        </w:rPr>
        <w:t>Semi-structured interviews were conducted with managers and designers of ICH handicraft enterprises in Fuzhou, policy supporters (the Fuzhou Department of Intangible Culture and the Fuzhou Cultural and Creative Investment Department), and craft training schools and institutions. For example, five enterprises with craft factories and brands were selected for semi-structured interviews with senior leaders, product managers, or creative directors responsible for product design within the enterprises. The interviews were conducted to understand the basic situation, strategy, design capabilities, and innovative approaches of the companies in sustainable design. Interviews with policymakers focus on interviews with the relevant leadership to understand the implementation of policies and current issues. Interviews with craft training schools and institutions focus on interviewing around 5-10 teachers, students, or apprentices to understand the training system, dilemmas, and innovative approaches of craft training schools and institutions.</w:t>
      </w:r>
    </w:p>
    <w:p>
      <w:pPr>
        <w:rPr>
          <w:rFonts w:hint="eastAsia" w:ascii="Times New Roman" w:hAnsi="Times New Roman" w:cs="Times New Roman"/>
          <w:b w:val="0"/>
          <w:bCs w:val="0"/>
        </w:rPr>
      </w:pPr>
      <w:r>
        <w:rPr>
          <w:rFonts w:hint="eastAsia" w:ascii="Times New Roman" w:hAnsi="Times New Roman" w:cs="Times New Roman"/>
          <w:b w:val="0"/>
          <w:bCs w:val="0"/>
        </w:rPr>
        <w:t>Questionnaires were conducted mainly for consumers and craft enterprises. The consumer questionnaire covers frequency of purchase, reasons for purchase, acceptance of purchase, etc. The questionnaire survey of enterprises covers issues such as company background, corporate design resources, market distribution of the company's products, product design philosophy, etc. Subsequent adjustments and rationalization in this area will continue. The questionnaire survey mainly revolves around seeking the opinions of experts and academic teams again. Communication with other experts on the questionnaire design was conducted in the form of academic seminars, one-on-one interviews, and email exchanges to solicit the opinions of experts and academics in the same field on the initial questionnaire, and the questionnaire was revised according to their suggestions to form the revised questionnaire. Finally, a small-scale pre-test was conducted on the revised questionnaire to verify the reasonableness of all the indicators set in the questionnaire and the questionnaire presentation. Based on the feedback and suggestions from the respondents, the presentation and language of some of the measure items were modified and the final questionnaire was formed on this basis. As most of the items in this study were measured on a five-point Likert scale and relied on the subjective assessment of the respondents, Fowler (Fowler Jr, F.J., 2013, p. 45) identified four main reasons for the inaccuracy of the respondent's responses to the items, which led to biased data results. In this study, measures were taken to minimize the negative impact on the accuracy of the answers. Firstly, to address the negative impact of respondents not knowing the relevant information, people with comprehensive knowledge of corporate design were selected to fill in the questionnaire; secondly, to reduce the negative impact of respondents recalling the questions, the questions were all related to the last three years; thirdly, to reduce the negative impact of Thirdly, to reduce the number of questions that respondents are reluctant to answer, this questionnaire is purely for academic research purposes and does not involve commercial confidentiality, and promises to keep the information provided by respondents confidential; fourthly, to reduce the negative impact caused by respondents' inability to understand the questions asked, this questionnaire has been repeatedly revised and improved to exclude the occurrence of questions that are difficult to understand or ambiguous. According to Wang Jimei (2022. p. 191), the design of a questionnaire consists of four levels: theoretical conceptualization and purpose, questionnaire format, statements of the items, and questionnaire wording. When designing a questionnaire, the content and subscale composition should be determined according to the purpose of the questionnaire design; the questionnaire should avoid complex statements or leading questions, multiple meanings or implicit assumptions, and clear and specific item wording; in addition, the questionnaire wording should avoid being too abstract; and the respondent's response bias should be controlled. According to Ma Qingguo (Fan Bonai, Deng Feng, and Ma Qingguo, pp. 41-45), the key points in designing a questionnaire correctly are: to set the questions according to the objectives of the study; to set the questions according to the characteristics of the respondents; to avoid setting questions that cannot be answered honestly, and to vary the formulation of the questions to obtain data that cannot be answered directly but must be understood.</w:t>
      </w:r>
    </w:p>
    <w:p>
      <w:pPr>
        <w:ind w:firstLine="420" w:firstLineChars="200"/>
        <w:rPr>
          <w:rFonts w:ascii="Times New Roman" w:hAnsi="Times New Roman" w:cs="Times New Roman"/>
          <w:b w:val="0"/>
          <w:bCs w:val="0"/>
        </w:rPr>
      </w:pPr>
      <w:r>
        <w:rPr>
          <w:rFonts w:hint="eastAsia" w:ascii="Times New Roman" w:hAnsi="Times New Roman" w:cs="Times New Roman"/>
          <w:b w:val="0"/>
          <w:bCs w:val="0"/>
        </w:rPr>
        <w:t>In terms of design practice data, the questionnaire survey was conducted mainly with high-end design practitioners (the screening sample was focused on brand design companies and product design companies, and the interviewees should have more than eight years of design experience and have won some design awards) to analyze the branding methodology in the process of branding intangible cultural heritage handicrafts. To provide methodological implications for managers of intangible cultural heritage industries. In terms of product design methodology, by observing the design practices of handicraft practitioners and designers with design background knowledge in organizations, the analysis is carried out using design innovation thinking as the underlying theory, in conjunction with the practice of traditional handicrafts, emphasizing the outlook and experimentation of design thinking on the sustainable development of traditional handicrafts. Firstly, factor analysis was conducted using a questionnaire to split the different dimensions of sustainability of handicraft design to form several dimensions, which were renamed to form evaluation indicators and content. Secondly, the young designer is guided through preliminary brainstorming and subjectivity sketching to complete the preliminary conceptualization and the initial description of the product based on its structural characteristics and the evaluation indicator items. The design practices and ideas from the previous phase are analyzed as preliminary prototypes. Finally, the design prototypes are tested and evaluated against sustainable value indicators for traditional craft design, the possibility of sustainable design is analyzed, and the theoretical, systematic, evaluative, and diverse nature of sustainable design innovation is argued so that a sustainable development model for traditional craft design can be established.</w:t>
      </w:r>
    </w:p>
    <w:bookmarkEnd w:id="2"/>
    <w:p>
      <w:pPr>
        <w:rPr>
          <w:rFonts w:ascii="Times New Roman" w:hAnsi="Times New Roman" w:cs="Times New Roman"/>
        </w:rPr>
      </w:pPr>
    </w:p>
    <w:p>
      <w:pPr>
        <w:rPr>
          <w:rFonts w:ascii="Times New Roman" w:hAnsi="Times New Roman" w:cs="Times New Roman"/>
          <w:b/>
          <w:bCs/>
        </w:rPr>
      </w:pPr>
      <w:r>
        <w:rPr>
          <w:rFonts w:ascii="Times New Roman" w:hAnsi="Times New Roman" w:cs="Times New Roman"/>
          <w:b/>
          <w:bCs/>
        </w:rPr>
        <w:t>4. Reference</w:t>
      </w:r>
    </w:p>
    <w:p>
      <w:pPr>
        <w:jc w:val="left"/>
        <w:rPr>
          <w:rFonts w:hint="default" w:ascii="Times New Roman" w:hAnsi="Times New Roman" w:eastAsia="新宋体" w:cs="Times New Roman"/>
          <w:color w:val="000000" w:themeColor="text1"/>
          <w:sz w:val="18"/>
          <w:szCs w:val="18"/>
          <w:shd w:val="clear" w:color="auto" w:fill="FFFFFF"/>
          <w14:textFill>
            <w14:solidFill>
              <w14:schemeClr w14:val="tx1"/>
            </w14:solidFill>
          </w14:textFill>
        </w:rPr>
      </w:pPr>
      <w:bookmarkStart w:id="3" w:name="OLE_LINK41"/>
      <w:bookmarkStart w:id="4" w:name="OLE_LINK42"/>
      <w:r>
        <w:rPr>
          <w:rFonts w:hint="default" w:ascii="Times New Roman" w:hAnsi="Times New Roman" w:eastAsia="新宋体" w:cs="Times New Roman"/>
          <w:color w:val="000000" w:themeColor="text1"/>
          <w:kern w:val="0"/>
          <w:sz w:val="18"/>
          <w:szCs w:val="18"/>
          <w:shd w:val="clear" w:color="auto" w:fill="FFFFFF"/>
          <w14:textFill>
            <w14:solidFill>
              <w14:schemeClr w14:val="tx1"/>
            </w14:solidFill>
          </w14:textFill>
        </w:rPr>
        <w:t>［1］Lenzerini, F., 2011. Intangible cultural heritage: The living culture of peoples. </w:t>
      </w:r>
      <w:r>
        <w:rPr>
          <w:rFonts w:hint="default" w:ascii="Times New Roman" w:hAnsi="Times New Roman" w:eastAsia="新宋体" w:cs="Times New Roman"/>
          <w:i/>
          <w:iCs/>
          <w:color w:val="000000" w:themeColor="text1"/>
          <w:kern w:val="0"/>
          <w:sz w:val="18"/>
          <w:szCs w:val="18"/>
          <w:shd w:val="clear" w:color="auto" w:fill="FFFFFF"/>
          <w14:textFill>
            <w14:solidFill>
              <w14:schemeClr w14:val="tx1"/>
            </w14:solidFill>
          </w14:textFill>
        </w:rPr>
        <w:t>European Journal of International Law</w:t>
      </w:r>
      <w:r>
        <w:rPr>
          <w:rFonts w:hint="default" w:ascii="Times New Roman" w:hAnsi="Times New Roman" w:eastAsia="新宋体" w:cs="Times New Roman"/>
          <w:color w:val="000000" w:themeColor="text1"/>
          <w:kern w:val="0"/>
          <w:sz w:val="18"/>
          <w:szCs w:val="18"/>
          <w:shd w:val="clear" w:color="auto" w:fill="FFFFFF"/>
          <w14:textFill>
            <w14:solidFill>
              <w14:schemeClr w14:val="tx1"/>
            </w14:solidFill>
          </w14:textFill>
        </w:rPr>
        <w:t>, </w:t>
      </w:r>
      <w:r>
        <w:rPr>
          <w:rFonts w:hint="default" w:ascii="Times New Roman" w:hAnsi="Times New Roman" w:eastAsia="新宋体" w:cs="Times New Roman"/>
          <w:i/>
          <w:iCs/>
          <w:color w:val="000000" w:themeColor="text1"/>
          <w:kern w:val="0"/>
          <w:sz w:val="18"/>
          <w:szCs w:val="18"/>
          <w:shd w:val="clear" w:color="auto" w:fill="FFFFFF"/>
          <w14:textFill>
            <w14:solidFill>
              <w14:schemeClr w14:val="tx1"/>
            </w14:solidFill>
          </w14:textFill>
        </w:rPr>
        <w:t>22</w:t>
      </w:r>
      <w:r>
        <w:rPr>
          <w:rFonts w:hint="default" w:ascii="Times New Roman" w:hAnsi="Times New Roman" w:eastAsia="新宋体" w:cs="Times New Roman"/>
          <w:color w:val="000000" w:themeColor="text1"/>
          <w:kern w:val="0"/>
          <w:sz w:val="18"/>
          <w:szCs w:val="18"/>
          <w:shd w:val="clear" w:color="auto" w:fill="FFFFFF"/>
          <w14:textFill>
            <w14:solidFill>
              <w14:schemeClr w14:val="tx1"/>
            </w14:solidFill>
          </w14:textFill>
        </w:rPr>
        <w:t>(1), pp.101-120.</w:t>
      </w:r>
    </w:p>
    <w:p>
      <w:pPr>
        <w:jc w:val="left"/>
        <w:rPr>
          <w:rFonts w:hint="default" w:ascii="Times New Roman" w:hAnsi="Times New Roman" w:eastAsia="新宋体" w:cs="Times New Roman"/>
          <w:color w:val="000000" w:themeColor="text1"/>
          <w:sz w:val="18"/>
          <w:szCs w:val="18"/>
          <w:shd w:val="clear" w:color="auto" w:fill="FFFFFF"/>
          <w14:textFill>
            <w14:solidFill>
              <w14:schemeClr w14:val="tx1"/>
            </w14:solidFill>
          </w14:textFill>
        </w:rPr>
      </w:pPr>
      <w:bookmarkStart w:id="5" w:name="OLE_LINK6"/>
      <w:r>
        <w:rPr>
          <w:rFonts w:hint="default" w:ascii="Times New Roman" w:hAnsi="Times New Roman" w:eastAsia="新宋体" w:cs="Times New Roman"/>
          <w:color w:val="000000" w:themeColor="text1"/>
          <w:sz w:val="18"/>
          <w:szCs w:val="18"/>
          <w:shd w:val="clear" w:color="auto" w:fill="FFFFFF"/>
          <w14:textFill>
            <w14:solidFill>
              <w14:schemeClr w14:val="tx1"/>
            </w14:solidFill>
          </w14:textFill>
        </w:rPr>
        <w:t>［2］</w:t>
      </w:r>
      <w:bookmarkEnd w:id="5"/>
      <w:bookmarkStart w:id="6" w:name="OLE_LINK7"/>
      <w:r>
        <w:rPr>
          <w:rFonts w:hint="default" w:ascii="Times New Roman" w:hAnsi="Times New Roman" w:eastAsia="新宋体" w:cs="Times New Roman"/>
          <w:color w:val="000000" w:themeColor="text1"/>
          <w:sz w:val="18"/>
          <w:szCs w:val="18"/>
          <w:shd w:val="clear" w:color="auto" w:fill="FFFFFF"/>
          <w14:textFill>
            <w14:solidFill>
              <w14:schemeClr w14:val="tx1"/>
            </w14:solidFill>
          </w14:textFill>
        </w:rPr>
        <w:t>Liu Jiamin, 2017</w:t>
      </w:r>
      <w:bookmarkEnd w:id="6"/>
      <w:r>
        <w:rPr>
          <w:rFonts w:hint="default" w:ascii="Times New Roman" w:hAnsi="Times New Roman" w:eastAsia="新宋体" w:cs="Times New Roman"/>
          <w:color w:val="000000" w:themeColor="text1"/>
          <w:sz w:val="18"/>
          <w:szCs w:val="18"/>
          <w:shd w:val="clear" w:color="auto" w:fill="FFFFFF"/>
          <w14:textFill>
            <w14:solidFill>
              <w14:schemeClr w14:val="tx1"/>
            </w14:solidFill>
          </w14:textFill>
        </w:rPr>
        <w:t>. Notice of the General Office of the State Council on Forwarding the Promotion Plan of Chinese Traditional Crafts by Ministry of Culture and other departments. Fun Fun, (3), p.</w:t>
      </w:r>
      <w:bookmarkStart w:id="7" w:name="OLE_LINK8"/>
      <w:r>
        <w:rPr>
          <w:rFonts w:hint="default" w:ascii="Times New Roman" w:hAnsi="Times New Roman" w:eastAsia="新宋体" w:cs="Times New Roman"/>
          <w:color w:val="000000" w:themeColor="text1"/>
          <w:sz w:val="18"/>
          <w:szCs w:val="18"/>
          <w:shd w:val="clear" w:color="auto" w:fill="FFFFFF"/>
          <w14:textFill>
            <w14:solidFill>
              <w14:schemeClr w14:val="tx1"/>
            </w14:solidFill>
          </w14:textFill>
        </w:rPr>
        <w:t>148</w:t>
      </w:r>
      <w:bookmarkEnd w:id="7"/>
      <w:r>
        <w:rPr>
          <w:rFonts w:hint="default" w:ascii="Times New Roman" w:hAnsi="Times New Roman" w:eastAsia="新宋体" w:cs="Times New Roman"/>
          <w:color w:val="000000" w:themeColor="text1"/>
          <w:sz w:val="18"/>
          <w:szCs w:val="18"/>
          <w:shd w:val="clear" w:color="auto" w:fill="FFFFFF"/>
          <w14:textFill>
            <w14:solidFill>
              <w14:schemeClr w14:val="tx1"/>
            </w14:solidFill>
          </w14:textFill>
        </w:rPr>
        <w:t>.</w:t>
      </w:r>
    </w:p>
    <w:p>
      <w:pPr>
        <w:jc w:val="left"/>
        <w:rPr>
          <w:rFonts w:hint="default" w:ascii="Times New Roman" w:hAnsi="Times New Roman" w:eastAsia="新宋体" w:cs="Times New Roman"/>
          <w:color w:val="000000" w:themeColor="text1"/>
          <w:sz w:val="18"/>
          <w:szCs w:val="18"/>
          <w:shd w:val="clear" w:color="auto" w:fill="FFFFFF"/>
          <w14:textFill>
            <w14:solidFill>
              <w14:schemeClr w14:val="tx1"/>
            </w14:solidFill>
          </w14:textFill>
        </w:rPr>
      </w:pPr>
      <w:r>
        <w:rPr>
          <w:rFonts w:hint="default" w:ascii="Times New Roman" w:hAnsi="Times New Roman" w:eastAsia="新宋体" w:cs="Times New Roman"/>
          <w:color w:val="000000" w:themeColor="text1"/>
          <w:sz w:val="18"/>
          <w:szCs w:val="18"/>
          <w:shd w:val="clear" w:color="auto" w:fill="FFFFFF"/>
          <w14:textFill>
            <w14:solidFill>
              <w14:schemeClr w14:val="tx1"/>
            </w14:solidFill>
          </w14:textFill>
        </w:rPr>
        <w:t>［3］Fang Lili, 2009. From Heritage to Resource: A Study of Western Human Resources. Ethnic Art, (2), pp.42-52.</w:t>
      </w:r>
    </w:p>
    <w:p>
      <w:pPr>
        <w:jc w:val="left"/>
        <w:rPr>
          <w:rFonts w:hint="default" w:ascii="Times New Roman" w:hAnsi="Times New Roman" w:eastAsia="宋体" w:cs="Times New Roman"/>
          <w:i w:val="0"/>
          <w:iCs w:val="0"/>
          <w:caps w:val="0"/>
          <w:color w:val="000000" w:themeColor="text1"/>
          <w:spacing w:val="0"/>
          <w:sz w:val="18"/>
          <w:szCs w:val="18"/>
          <w:shd w:val="clear" w:fill="FFFFFF"/>
          <w14:textFill>
            <w14:solidFill>
              <w14:schemeClr w14:val="tx1"/>
            </w14:solidFill>
          </w14:textFill>
        </w:rPr>
      </w:pPr>
      <w:r>
        <w:rPr>
          <w:rFonts w:hint="default" w:ascii="Times New Roman" w:hAnsi="Times New Roman" w:eastAsia="新宋体" w:cs="Times New Roman"/>
          <w:color w:val="000000" w:themeColor="text1"/>
          <w:sz w:val="18"/>
          <w:szCs w:val="18"/>
          <w14:textFill>
            <w14:solidFill>
              <w14:schemeClr w14:val="tx1"/>
            </w14:solidFill>
          </w14:textFill>
        </w:rPr>
        <w:t>［4］Zhiming Liu,ruo chuan Ban, Chenming Zuo,Xin Liu,Meng Sun,Weiying Sun,(2021)‘2021 Intangible Cultural Heritage E-commerce Development Report’, China Travel News,28th September, p.3.</w:t>
      </w:r>
      <w:r>
        <w:rPr>
          <w:rFonts w:hint="default" w:ascii="Times New Roman" w:hAnsi="Times New Roman" w:eastAsia="新宋体" w:cs="Times New Roman"/>
          <w:color w:val="000000" w:themeColor="text1"/>
          <w:sz w:val="18"/>
          <w:szCs w:val="18"/>
          <w14:textFill>
            <w14:solidFill>
              <w14:schemeClr w14:val="tx1"/>
            </w14:solidFill>
          </w14:textFill>
        </w:rPr>
        <w:cr/>
      </w:r>
      <w:r>
        <w:rPr>
          <w:rFonts w:hint="default" w:ascii="Times New Roman" w:hAnsi="Times New Roman" w:eastAsia="新宋体" w:cs="Times New Roman"/>
          <w:color w:val="000000" w:themeColor="text1"/>
          <w:sz w:val="18"/>
          <w:szCs w:val="18"/>
          <w14:textFill>
            <w14:solidFill>
              <w14:schemeClr w14:val="tx1"/>
            </w14:solidFill>
          </w14:textFill>
        </w:rPr>
        <w:t>［5］People's Government of Fuzhou, Fujian Province(2006) Implementation Opinions of the Fuzhou Municipal People's Government on Strengthening the Protection of Intangible Cultural Heritage. Available at: http://www.fuzhou.gov.cn/html/20061225/767983.html (Accessed: 6 August 2022).</w:t>
      </w:r>
      <w:r>
        <w:rPr>
          <w:rFonts w:hint="default" w:ascii="Times New Roman" w:hAnsi="Times New Roman" w:eastAsia="新宋体" w:cs="Times New Roman"/>
          <w:color w:val="000000" w:themeColor="text1"/>
          <w:sz w:val="18"/>
          <w:szCs w:val="18"/>
          <w14:textFill>
            <w14:solidFill>
              <w14:schemeClr w14:val="tx1"/>
            </w14:solidFill>
          </w14:textFill>
        </w:rPr>
        <w:cr/>
      </w:r>
      <w:r>
        <w:rPr>
          <w:rFonts w:hint="default" w:ascii="Times New Roman" w:hAnsi="Times New Roman" w:eastAsia="新宋体" w:cs="Times New Roman"/>
          <w:color w:val="000000" w:themeColor="text1"/>
          <w:sz w:val="18"/>
          <w:szCs w:val="18"/>
          <w14:textFill>
            <w14:solidFill>
              <w14:schemeClr w14:val="tx1"/>
            </w14:solidFill>
          </w14:textFill>
        </w:rPr>
        <w:t>［6］Fuzhou Municipal People's Government (2013) Implementation Opinions on the Protection and Development of Traditional Arts and Crafts in Fuzhou.Available at: http://www.law689.com/showinfo-1-64069-0.html(Accessed: 6 August 2022).</w:t>
      </w:r>
      <w:r>
        <w:rPr>
          <w:rFonts w:hint="default" w:ascii="Times New Roman" w:hAnsi="Times New Roman" w:eastAsia="新宋体" w:cs="Times New Roman"/>
          <w:color w:val="000000" w:themeColor="text1"/>
          <w:sz w:val="18"/>
          <w:szCs w:val="18"/>
          <w14:textFill>
            <w14:solidFill>
              <w14:schemeClr w14:val="tx1"/>
            </w14:solidFill>
          </w14:textFill>
        </w:rPr>
        <w:cr/>
      </w:r>
      <w:r>
        <w:rPr>
          <w:rFonts w:hint="default" w:ascii="Times New Roman" w:hAnsi="Times New Roman" w:eastAsia="新宋体" w:cs="Times New Roman"/>
          <w:color w:val="000000" w:themeColor="text1"/>
          <w:sz w:val="18"/>
          <w:szCs w:val="18"/>
          <w14:textFill>
            <w14:solidFill>
              <w14:schemeClr w14:val="tx1"/>
            </w14:solidFill>
          </w14:textFill>
        </w:rPr>
        <w:t>［7］Fuzhou Municipal People's Government (2010) Opinions on accelerating the development of cultural and creative industries in Fuzhou.Available at: http://fsou.com/html/text/lar/171917/17191739.html (Accessed: 6 August 2022).</w:t>
      </w:r>
      <w:r>
        <w:rPr>
          <w:rFonts w:hint="default" w:ascii="Times New Roman" w:hAnsi="Times New Roman" w:eastAsia="新宋体" w:cs="Times New Roman"/>
          <w:color w:val="000000" w:themeColor="text1"/>
          <w:sz w:val="18"/>
          <w:szCs w:val="18"/>
          <w14:textFill>
            <w14:solidFill>
              <w14:schemeClr w14:val="tx1"/>
            </w14:solidFill>
          </w14:textFill>
        </w:rPr>
        <w:cr/>
      </w:r>
      <w:r>
        <w:rPr>
          <w:rFonts w:hint="default" w:ascii="Times New Roman" w:hAnsi="Times New Roman" w:eastAsia="新宋体" w:cs="Times New Roman"/>
          <w:color w:val="000000" w:themeColor="text1"/>
          <w:sz w:val="18"/>
          <w:szCs w:val="18"/>
          <w14:textFill>
            <w14:solidFill>
              <w14:schemeClr w14:val="tx1"/>
            </w14:solidFill>
          </w14:textFill>
        </w:rPr>
        <w:t>［8］Fuzhou Municipal People's Government (2012) The 12th Five-Year Special Plan for the Development of Cultural and Creative Industries in Fuzhou(2011-2015). Available at: http://www.fuzhou.gov.cn/zgfzzt/sswgh/lsgh/sew/201205/t20120531_1561096.htm(Accessed: 6 August 2022).</w:t>
      </w:r>
      <w:r>
        <w:rPr>
          <w:rFonts w:hint="default" w:ascii="Times New Roman" w:hAnsi="Times New Roman" w:eastAsia="新宋体" w:cs="Times New Roman"/>
          <w:color w:val="000000" w:themeColor="text1"/>
          <w:sz w:val="18"/>
          <w:szCs w:val="18"/>
          <w14:textFill>
            <w14:solidFill>
              <w14:schemeClr w14:val="tx1"/>
            </w14:solidFill>
          </w14:textFill>
        </w:rPr>
        <w:cr/>
      </w:r>
      <w:r>
        <w:rPr>
          <w:rFonts w:hint="default" w:ascii="Times New Roman" w:hAnsi="Times New Roman" w:eastAsia="新宋体" w:cs="Times New Roman"/>
          <w:color w:val="000000" w:themeColor="text1"/>
          <w:sz w:val="18"/>
          <w:szCs w:val="18"/>
          <w14:textFill>
            <w14:solidFill>
              <w14:schemeClr w14:val="tx1"/>
            </w14:solidFill>
          </w14:textFill>
        </w:rPr>
        <w:t>［9］Fuzhou Municipal People's Government (2013) Regulations on the Protection of Famous Historical and Cultural Cities in Fuzhou. Available at: http://www.fuzhou.gov.cn/zgfzzt/lswhmcgwh/lswhmc/zcfg/201705/t20170518_514711.htm(Accessed: 6 August 2022).</w:t>
      </w:r>
      <w:r>
        <w:rPr>
          <w:rFonts w:hint="default" w:ascii="Times New Roman" w:hAnsi="Times New Roman" w:eastAsia="新宋体" w:cs="Times New Roman"/>
          <w:color w:val="000000" w:themeColor="text1"/>
          <w:sz w:val="18"/>
          <w:szCs w:val="18"/>
          <w14:textFill>
            <w14:solidFill>
              <w14:schemeClr w14:val="tx1"/>
            </w14:solidFill>
          </w14:textFill>
        </w:rPr>
        <w:cr/>
      </w:r>
      <w:r>
        <w:rPr>
          <w:rFonts w:hint="default" w:ascii="Times New Roman" w:hAnsi="Times New Roman" w:eastAsia="新宋体" w:cs="Times New Roman"/>
          <w:color w:val="000000" w:themeColor="text1"/>
          <w:sz w:val="18"/>
          <w:szCs w:val="18"/>
          <w14:textFill>
            <w14:solidFill>
              <w14:schemeClr w14:val="tx1"/>
            </w14:solidFill>
          </w14:textFill>
        </w:rPr>
        <w:t>［10］Fuzhou Municipal People's Government (2022) Several measures to promote the protection and development of traditional arts and crafts in Fuzhou . Available at: http://https://www.fuzhou.gov.cn/zcjd/bs/202203/t20220329_4334432.htm (Accessed: 6 August 2022).</w:t>
      </w:r>
      <w:r>
        <w:rPr>
          <w:rFonts w:hint="default" w:ascii="Times New Roman" w:hAnsi="Times New Roman" w:eastAsia="新宋体" w:cs="Times New Roman"/>
          <w:color w:val="000000" w:themeColor="text1"/>
          <w:sz w:val="18"/>
          <w:szCs w:val="18"/>
          <w14:textFill>
            <w14:solidFill>
              <w14:schemeClr w14:val="tx1"/>
            </w14:solidFill>
          </w14:textFill>
        </w:rPr>
        <w:cr/>
      </w:r>
      <w:r>
        <w:rPr>
          <w:rFonts w:hint="default" w:ascii="Times New Roman" w:hAnsi="Times New Roman" w:eastAsia="新宋体" w:cs="Times New Roman"/>
          <w:color w:val="000000" w:themeColor="text1"/>
          <w:sz w:val="18"/>
          <w:szCs w:val="18"/>
          <w14:textFill>
            <w14:solidFill>
              <w14:schemeClr w14:val="tx1"/>
            </w14:solidFill>
          </w14:textFill>
        </w:rPr>
        <w:t xml:space="preserve"> [11] United nation(2022）17 Goals to Transform Our World.Available online: https://www.un.org/sustainabledevelopment(Accessed: 6 August 2022).</w:t>
      </w:r>
      <w:r>
        <w:rPr>
          <w:rFonts w:hint="default" w:ascii="Times New Roman" w:hAnsi="Times New Roman" w:eastAsia="新宋体" w:cs="Times New Roman"/>
          <w:color w:val="000000" w:themeColor="text1"/>
          <w:sz w:val="18"/>
          <w:szCs w:val="18"/>
          <w14:textFill>
            <w14:solidFill>
              <w14:schemeClr w14:val="tx1"/>
            </w14:solidFill>
          </w14:textFill>
        </w:rPr>
        <w:cr/>
      </w:r>
      <w:r>
        <w:rPr>
          <w:rFonts w:hint="default" w:ascii="Times New Roman" w:hAnsi="Times New Roman" w:eastAsia="新宋体" w:cs="Times New Roman"/>
          <w:color w:val="000000" w:themeColor="text1"/>
          <w:sz w:val="18"/>
          <w:szCs w:val="18"/>
          <w14:textFill>
            <w14:solidFill>
              <w14:schemeClr w14:val="tx1"/>
            </w14:solidFill>
          </w14:textFill>
        </w:rPr>
        <w:t>[12] United nation(2022）Build Resilient Infrastructure, Promote Sustainable Industrialization and Foster Innovation.Available online:https://www.un.org/sustainabledevelopment/infrastructure-industrialization/(Accessed: 8 August 2022).</w:t>
      </w:r>
      <w:r>
        <w:rPr>
          <w:rFonts w:hint="default" w:ascii="Times New Roman" w:hAnsi="Times New Roman" w:eastAsia="新宋体" w:cs="Times New Roman"/>
          <w:color w:val="000000" w:themeColor="text1"/>
          <w:sz w:val="18"/>
          <w:szCs w:val="18"/>
          <w14:textFill>
            <w14:solidFill>
              <w14:schemeClr w14:val="tx1"/>
            </w14:solidFill>
          </w14:textFill>
        </w:rPr>
        <w:cr/>
      </w:r>
      <w:r>
        <w:rPr>
          <w:rFonts w:hint="default" w:ascii="Times New Roman" w:hAnsi="Times New Roman" w:eastAsia="新宋体" w:cs="Times New Roman"/>
          <w:color w:val="000000" w:themeColor="text1"/>
          <w:sz w:val="18"/>
          <w:szCs w:val="18"/>
          <w14:textFill>
            <w14:solidFill>
              <w14:schemeClr w14:val="tx1"/>
            </w14:solidFill>
          </w14:textFill>
        </w:rPr>
        <w:t>[13]</w:t>
      </w:r>
      <w:bookmarkStart w:id="8" w:name="OLE_LINK35"/>
      <w:r>
        <w:rPr>
          <w:rFonts w:hint="default" w:ascii="Times New Roman" w:hAnsi="Times New Roman" w:eastAsia="宋体" w:cs="Times New Roman"/>
          <w:i w:val="0"/>
          <w:iCs w:val="0"/>
          <w:caps w:val="0"/>
          <w:color w:val="000000" w:themeColor="text1"/>
          <w:spacing w:val="0"/>
          <w:sz w:val="18"/>
          <w:szCs w:val="18"/>
          <w:shd w:val="clear" w:fill="FFFFFF"/>
          <w14:textFill>
            <w14:solidFill>
              <w14:schemeClr w14:val="tx1"/>
            </w14:solidFill>
          </w14:textFill>
        </w:rPr>
        <w:t>Manzini, E., 2002.</w:t>
      </w:r>
      <w:bookmarkEnd w:id="8"/>
      <w:r>
        <w:rPr>
          <w:rFonts w:hint="default" w:ascii="Times New Roman" w:hAnsi="Times New Roman" w:eastAsia="宋体" w:cs="Times New Roman"/>
          <w:i w:val="0"/>
          <w:iCs w:val="0"/>
          <w:caps w:val="0"/>
          <w:color w:val="000000" w:themeColor="text1"/>
          <w:spacing w:val="0"/>
          <w:sz w:val="18"/>
          <w:szCs w:val="18"/>
          <w:shd w:val="clear" w:fill="FFFFFF"/>
          <w14:textFill>
            <w14:solidFill>
              <w14:schemeClr w14:val="tx1"/>
            </w14:solidFill>
          </w14:textFill>
        </w:rPr>
        <w:t xml:space="preserve"> Context-based wellbeing and the concept of regenerative solution A conceptual framework for scenario building and sustainable solutions development. </w:t>
      </w:r>
      <w:r>
        <w:rPr>
          <w:rFonts w:hint="default" w:ascii="Times New Roman" w:hAnsi="Times New Roman" w:eastAsia="宋体" w:cs="Times New Roman"/>
          <w:i/>
          <w:iCs/>
          <w:caps w:val="0"/>
          <w:color w:val="000000" w:themeColor="text1"/>
          <w:spacing w:val="0"/>
          <w:sz w:val="18"/>
          <w:szCs w:val="18"/>
          <w:shd w:val="clear" w:fill="FFFFFF"/>
          <w14:textFill>
            <w14:solidFill>
              <w14:schemeClr w14:val="tx1"/>
            </w14:solidFill>
          </w14:textFill>
        </w:rPr>
        <w:t>The journal of Sustainable Product design</w:t>
      </w:r>
      <w:r>
        <w:rPr>
          <w:rFonts w:hint="default" w:ascii="Times New Roman" w:hAnsi="Times New Roman" w:eastAsia="宋体" w:cs="Times New Roman"/>
          <w:i w:val="0"/>
          <w:iCs w:val="0"/>
          <w:caps w:val="0"/>
          <w:color w:val="000000" w:themeColor="text1"/>
          <w:spacing w:val="0"/>
          <w:sz w:val="18"/>
          <w:szCs w:val="18"/>
          <w:shd w:val="clear" w:fill="FFFFFF"/>
          <w14:textFill>
            <w14:solidFill>
              <w14:schemeClr w14:val="tx1"/>
            </w14:solidFill>
          </w14:textFill>
        </w:rPr>
        <w:t>, </w:t>
      </w:r>
      <w:r>
        <w:rPr>
          <w:rFonts w:hint="default" w:ascii="Times New Roman" w:hAnsi="Times New Roman" w:eastAsia="宋体" w:cs="Times New Roman"/>
          <w:i/>
          <w:iCs/>
          <w:caps w:val="0"/>
          <w:color w:val="000000" w:themeColor="text1"/>
          <w:spacing w:val="0"/>
          <w:sz w:val="18"/>
          <w:szCs w:val="18"/>
          <w:shd w:val="clear" w:fill="FFFFFF"/>
          <w14:textFill>
            <w14:solidFill>
              <w14:schemeClr w14:val="tx1"/>
            </w14:solidFill>
          </w14:textFill>
        </w:rPr>
        <w:t>2</w:t>
      </w:r>
      <w:r>
        <w:rPr>
          <w:rFonts w:hint="default" w:ascii="Times New Roman" w:hAnsi="Times New Roman" w:eastAsia="宋体" w:cs="Times New Roman"/>
          <w:i w:val="0"/>
          <w:iCs w:val="0"/>
          <w:caps w:val="0"/>
          <w:color w:val="000000" w:themeColor="text1"/>
          <w:spacing w:val="0"/>
          <w:sz w:val="18"/>
          <w:szCs w:val="18"/>
          <w:shd w:val="clear" w:fill="FFFFFF"/>
          <w14:textFill>
            <w14:solidFill>
              <w14:schemeClr w14:val="tx1"/>
            </w14:solidFill>
          </w14:textFill>
        </w:rPr>
        <w:t xml:space="preserve">(3), </w:t>
      </w:r>
      <w:bookmarkStart w:id="9" w:name="OLE_LINK36"/>
      <w:r>
        <w:rPr>
          <w:rFonts w:hint="default" w:ascii="Times New Roman" w:hAnsi="Times New Roman" w:eastAsia="宋体" w:cs="Times New Roman"/>
          <w:i w:val="0"/>
          <w:iCs w:val="0"/>
          <w:caps w:val="0"/>
          <w:color w:val="000000" w:themeColor="text1"/>
          <w:spacing w:val="0"/>
          <w:sz w:val="18"/>
          <w:szCs w:val="18"/>
          <w:shd w:val="clear" w:fill="FFFFFF"/>
          <w14:textFill>
            <w14:solidFill>
              <w14:schemeClr w14:val="tx1"/>
            </w14:solidFill>
          </w14:textFill>
        </w:rPr>
        <w:t>pp.141-148.</w:t>
      </w:r>
      <w:bookmarkEnd w:id="9"/>
    </w:p>
    <w:p>
      <w:pPr>
        <w:jc w:val="left"/>
        <w:rPr>
          <w:rFonts w:hint="default" w:ascii="Times New Roman" w:hAnsi="Times New Roman" w:eastAsia="新宋体" w:cs="Times New Roman"/>
          <w:color w:val="000000" w:themeColor="text1"/>
          <w:sz w:val="18"/>
          <w:szCs w:val="18"/>
          <w14:textFill>
            <w14:solidFill>
              <w14:schemeClr w14:val="tx1"/>
            </w14:solidFill>
          </w14:textFill>
        </w:rPr>
      </w:pPr>
      <w:r>
        <w:rPr>
          <w:rFonts w:hint="default" w:ascii="Times New Roman" w:hAnsi="Times New Roman" w:eastAsia="新宋体" w:cs="Times New Roman"/>
          <w:color w:val="000000" w:themeColor="text1"/>
          <w:sz w:val="18"/>
          <w:szCs w:val="18"/>
          <w14:textFill>
            <w14:solidFill>
              <w14:schemeClr w14:val="tx1"/>
            </w14:solidFill>
          </w14:textFill>
        </w:rPr>
        <w:t>[14]</w:t>
      </w:r>
      <w:r>
        <w:rPr>
          <w:rFonts w:hint="default" w:ascii="Times New Roman" w:hAnsi="Times New Roman" w:eastAsia="宋体" w:cs="Times New Roman"/>
          <w:i w:val="0"/>
          <w:iCs w:val="0"/>
          <w:caps w:val="0"/>
          <w:color w:val="000000" w:themeColor="text1"/>
          <w:spacing w:val="0"/>
          <w:sz w:val="18"/>
          <w:szCs w:val="18"/>
          <w:shd w:val="clear" w:fill="FFFFFF"/>
          <w14:textFill>
            <w14:solidFill>
              <w14:schemeClr w14:val="tx1"/>
            </w14:solidFill>
          </w14:textFill>
        </w:rPr>
        <w:t>Goyal, S., Esposito, M. and Kapoor, A., 2018., pp.729-740</w:t>
      </w:r>
      <w:r>
        <w:rPr>
          <w:rFonts w:hint="default" w:ascii="Times New Roman" w:hAnsi="Times New Roman" w:cs="Times New Roman"/>
          <w:i w:val="0"/>
          <w:iCs w:val="0"/>
          <w:caps w:val="0"/>
          <w:color w:val="000000" w:themeColor="text1"/>
          <w:spacing w:val="0"/>
          <w:sz w:val="18"/>
          <w:szCs w:val="18"/>
          <w:lang w:eastAsia="zh-CN"/>
          <w14:textFill>
            <w14:solidFill>
              <w14:schemeClr w14:val="tx1"/>
            </w14:solidFill>
          </w14:textFill>
        </w:rPr>
        <w:t>）</w:t>
      </w:r>
      <w:bookmarkStart w:id="10" w:name="OLE_LINK38"/>
      <w:r>
        <w:rPr>
          <w:rFonts w:hint="default" w:ascii="Times New Roman" w:hAnsi="Times New Roman" w:eastAsia="宋体" w:cs="Times New Roman"/>
          <w:i w:val="0"/>
          <w:iCs w:val="0"/>
          <w:caps w:val="0"/>
          <w:color w:val="000000" w:themeColor="text1"/>
          <w:spacing w:val="0"/>
          <w:sz w:val="18"/>
          <w:szCs w:val="18"/>
          <w:shd w:val="clear" w:fill="FFFFFF"/>
          <w14:textFill>
            <w14:solidFill>
              <w14:schemeClr w14:val="tx1"/>
            </w14:solidFill>
          </w14:textFill>
        </w:rPr>
        <w:t>Goyal, S., Esposito, M. and Kapoor, A., 2018.</w:t>
      </w:r>
      <w:bookmarkEnd w:id="10"/>
      <w:r>
        <w:rPr>
          <w:rFonts w:hint="default" w:ascii="Times New Roman" w:hAnsi="Times New Roman" w:eastAsia="宋体" w:cs="Times New Roman"/>
          <w:i w:val="0"/>
          <w:iCs w:val="0"/>
          <w:caps w:val="0"/>
          <w:color w:val="000000" w:themeColor="text1"/>
          <w:spacing w:val="0"/>
          <w:sz w:val="18"/>
          <w:szCs w:val="18"/>
          <w:shd w:val="clear" w:fill="FFFFFF"/>
          <w14:textFill>
            <w14:solidFill>
              <w14:schemeClr w14:val="tx1"/>
            </w14:solidFill>
          </w14:textFill>
        </w:rPr>
        <w:t xml:space="preserve"> Circular economy business models in developing economies: lessons from India on reduce, recycle, and reuse paradigms. </w:t>
      </w:r>
      <w:r>
        <w:rPr>
          <w:rFonts w:hint="default" w:ascii="Times New Roman" w:hAnsi="Times New Roman" w:eastAsia="宋体" w:cs="Times New Roman"/>
          <w:i/>
          <w:iCs/>
          <w:caps w:val="0"/>
          <w:color w:val="000000" w:themeColor="text1"/>
          <w:spacing w:val="0"/>
          <w:sz w:val="18"/>
          <w:szCs w:val="18"/>
          <w:shd w:val="clear" w:fill="FFFFFF"/>
          <w14:textFill>
            <w14:solidFill>
              <w14:schemeClr w14:val="tx1"/>
            </w14:solidFill>
          </w14:textFill>
        </w:rPr>
        <w:t>Thunderbird International Business Review</w:t>
      </w:r>
      <w:r>
        <w:rPr>
          <w:rFonts w:hint="default" w:ascii="Times New Roman" w:hAnsi="Times New Roman" w:eastAsia="宋体" w:cs="Times New Roman"/>
          <w:i w:val="0"/>
          <w:iCs w:val="0"/>
          <w:caps w:val="0"/>
          <w:color w:val="000000" w:themeColor="text1"/>
          <w:spacing w:val="0"/>
          <w:sz w:val="18"/>
          <w:szCs w:val="18"/>
          <w:shd w:val="clear" w:fill="FFFFFF"/>
          <w14:textFill>
            <w14:solidFill>
              <w14:schemeClr w14:val="tx1"/>
            </w14:solidFill>
          </w14:textFill>
        </w:rPr>
        <w:t>, </w:t>
      </w:r>
      <w:r>
        <w:rPr>
          <w:rFonts w:hint="default" w:ascii="Times New Roman" w:hAnsi="Times New Roman" w:eastAsia="宋体" w:cs="Times New Roman"/>
          <w:i/>
          <w:iCs/>
          <w:caps w:val="0"/>
          <w:color w:val="000000" w:themeColor="text1"/>
          <w:spacing w:val="0"/>
          <w:sz w:val="18"/>
          <w:szCs w:val="18"/>
          <w:shd w:val="clear" w:fill="FFFFFF"/>
          <w14:textFill>
            <w14:solidFill>
              <w14:schemeClr w14:val="tx1"/>
            </w14:solidFill>
          </w14:textFill>
        </w:rPr>
        <w:t>60</w:t>
      </w:r>
      <w:r>
        <w:rPr>
          <w:rFonts w:hint="default" w:ascii="Times New Roman" w:hAnsi="Times New Roman" w:eastAsia="宋体" w:cs="Times New Roman"/>
          <w:i w:val="0"/>
          <w:iCs w:val="0"/>
          <w:caps w:val="0"/>
          <w:color w:val="000000" w:themeColor="text1"/>
          <w:spacing w:val="0"/>
          <w:sz w:val="18"/>
          <w:szCs w:val="18"/>
          <w:shd w:val="clear" w:fill="FFFFFF"/>
          <w14:textFill>
            <w14:solidFill>
              <w14:schemeClr w14:val="tx1"/>
            </w14:solidFill>
          </w14:textFill>
        </w:rPr>
        <w:t>(5)</w:t>
      </w:r>
      <w:bookmarkStart w:id="11" w:name="OLE_LINK39"/>
      <w:r>
        <w:rPr>
          <w:rFonts w:hint="default" w:ascii="Times New Roman" w:hAnsi="Times New Roman" w:eastAsia="宋体" w:cs="Times New Roman"/>
          <w:i w:val="0"/>
          <w:iCs w:val="0"/>
          <w:caps w:val="0"/>
          <w:color w:val="000000" w:themeColor="text1"/>
          <w:spacing w:val="0"/>
          <w:sz w:val="18"/>
          <w:szCs w:val="18"/>
          <w:shd w:val="clear" w:fill="FFFFFF"/>
          <w14:textFill>
            <w14:solidFill>
              <w14:schemeClr w14:val="tx1"/>
            </w14:solidFill>
          </w14:textFill>
        </w:rPr>
        <w:t>, pp.729-740</w:t>
      </w:r>
      <w:bookmarkEnd w:id="11"/>
      <w:r>
        <w:rPr>
          <w:rFonts w:hint="default" w:ascii="Times New Roman" w:hAnsi="Times New Roman" w:eastAsia="宋体" w:cs="Times New Roman"/>
          <w:i w:val="0"/>
          <w:iCs w:val="0"/>
          <w:caps w:val="0"/>
          <w:color w:val="000000" w:themeColor="text1"/>
          <w:spacing w:val="0"/>
          <w:sz w:val="18"/>
          <w:szCs w:val="18"/>
          <w:shd w:val="clear" w:fill="FFFFFF"/>
          <w14:textFill>
            <w14:solidFill>
              <w14:schemeClr w14:val="tx1"/>
            </w14:solidFill>
          </w14:textFill>
        </w:rPr>
        <w:t>.</w:t>
      </w:r>
      <w:r>
        <w:rPr>
          <w:rFonts w:hint="default" w:ascii="Times New Roman" w:hAnsi="Times New Roman" w:eastAsia="新宋体" w:cs="Times New Roman"/>
          <w:color w:val="000000" w:themeColor="text1"/>
          <w:sz w:val="18"/>
          <w:szCs w:val="18"/>
          <w14:textFill>
            <w14:solidFill>
              <w14:schemeClr w14:val="tx1"/>
            </w14:solidFill>
          </w14:textFill>
        </w:rPr>
        <w:cr/>
      </w:r>
      <w:r>
        <w:rPr>
          <w:rFonts w:hint="default" w:ascii="Times New Roman" w:hAnsi="Times New Roman" w:eastAsia="新宋体" w:cs="Times New Roman"/>
          <w:color w:val="000000" w:themeColor="text1"/>
          <w:sz w:val="18"/>
          <w:szCs w:val="18"/>
          <w14:textFill>
            <w14:solidFill>
              <w14:schemeClr w14:val="tx1"/>
            </w14:solidFill>
          </w14:textFill>
        </w:rPr>
        <w:t xml:space="preserve"> [15]J.M.,Ekman,S.,Sanderson,S.W.,Vedin,B.A.,Verganti, R.,Tether, B.and Alvarez,E.,2006.Design-inspired innovation.World Scientific.</w:t>
      </w:r>
      <w:r>
        <w:rPr>
          <w:rFonts w:hint="default" w:ascii="Times New Roman" w:hAnsi="Times New Roman" w:eastAsia="新宋体" w:cs="Times New Roman"/>
          <w:color w:val="000000" w:themeColor="text1"/>
          <w:sz w:val="18"/>
          <w:szCs w:val="18"/>
          <w14:textFill>
            <w14:solidFill>
              <w14:schemeClr w14:val="tx1"/>
            </w14:solidFill>
          </w14:textFill>
        </w:rPr>
        <w:cr/>
      </w:r>
      <w:r>
        <w:rPr>
          <w:rFonts w:hint="default" w:ascii="Times New Roman" w:hAnsi="Times New Roman" w:eastAsia="新宋体" w:cs="Times New Roman"/>
          <w:color w:val="000000" w:themeColor="text1"/>
          <w:sz w:val="18"/>
          <w:szCs w:val="18"/>
          <w14:textFill>
            <w14:solidFill>
              <w14:schemeClr w14:val="tx1"/>
            </w14:solidFill>
          </w14:textFill>
        </w:rPr>
        <w:t>[16]</w:t>
      </w:r>
      <w:bookmarkStart w:id="12" w:name="OLE_LINK44"/>
      <w:r>
        <w:rPr>
          <w:rFonts w:hint="default" w:ascii="Times New Roman" w:hAnsi="Times New Roman" w:eastAsia="宋体" w:cs="Times New Roman"/>
          <w:i w:val="0"/>
          <w:iCs w:val="0"/>
          <w:caps w:val="0"/>
          <w:color w:val="000000" w:themeColor="text1"/>
          <w:spacing w:val="0"/>
          <w:sz w:val="18"/>
          <w:szCs w:val="18"/>
          <w:shd w:val="clear" w:fill="FFFFFF"/>
          <w14:textFill>
            <w14:solidFill>
              <w14:schemeClr w14:val="tx1"/>
            </w14:solidFill>
          </w14:textFill>
        </w:rPr>
        <w:t>Vezzoli, C. and Manzini, E., 2008. </w:t>
      </w:r>
      <w:bookmarkEnd w:id="12"/>
      <w:r>
        <w:rPr>
          <w:rFonts w:hint="default" w:ascii="Times New Roman" w:hAnsi="Times New Roman" w:eastAsia="宋体" w:cs="Times New Roman"/>
          <w:i/>
          <w:iCs/>
          <w:caps w:val="0"/>
          <w:color w:val="000000" w:themeColor="text1"/>
          <w:spacing w:val="0"/>
          <w:sz w:val="18"/>
          <w:szCs w:val="18"/>
          <w:shd w:val="clear" w:fill="FFFFFF"/>
          <w14:textFill>
            <w14:solidFill>
              <w14:schemeClr w14:val="tx1"/>
            </w14:solidFill>
          </w14:textFill>
        </w:rPr>
        <w:t>Design for environmental sustainability</w:t>
      </w:r>
      <w:r>
        <w:rPr>
          <w:rFonts w:hint="default" w:ascii="Times New Roman" w:hAnsi="Times New Roman" w:eastAsia="宋体" w:cs="Times New Roman"/>
          <w:i w:val="0"/>
          <w:iCs w:val="0"/>
          <w:caps w:val="0"/>
          <w:color w:val="000000" w:themeColor="text1"/>
          <w:spacing w:val="0"/>
          <w:sz w:val="18"/>
          <w:szCs w:val="18"/>
          <w:shd w:val="clear" w:fill="FFFFFF"/>
          <w14:textFill>
            <w14:solidFill>
              <w14:schemeClr w14:val="tx1"/>
            </w14:solidFill>
          </w14:textFill>
        </w:rPr>
        <w:t> (p. 4). London: Springer.</w:t>
      </w:r>
    </w:p>
    <w:p>
      <w:pPr>
        <w:numPr>
          <w:ilvl w:val="0"/>
          <w:numId w:val="1"/>
        </w:numPr>
        <w:jc w:val="left"/>
        <w:rPr>
          <w:rFonts w:hint="default" w:ascii="Times New Roman" w:hAnsi="Times New Roman" w:eastAsia="新宋体" w:cs="Times New Roman"/>
          <w:color w:val="000000" w:themeColor="text1"/>
          <w:sz w:val="18"/>
          <w:szCs w:val="18"/>
          <w14:textFill>
            <w14:solidFill>
              <w14:schemeClr w14:val="tx1"/>
            </w14:solidFill>
          </w14:textFill>
        </w:rPr>
      </w:pPr>
      <w:r>
        <w:rPr>
          <w:rFonts w:hint="default" w:ascii="Times New Roman" w:hAnsi="Times New Roman" w:eastAsia="新宋体" w:cs="Times New Roman"/>
          <w:color w:val="000000" w:themeColor="text1"/>
          <w:sz w:val="18"/>
          <w:szCs w:val="18"/>
          <w14:textFill>
            <w14:solidFill>
              <w14:schemeClr w14:val="tx1"/>
            </w14:solidFill>
          </w14:textFill>
        </w:rPr>
        <w:t>Bruce, M. and Cooper, R., 2001. Creative product design: A practical guide to requirements capture management. John Wiley &amp; Sons.</w:t>
      </w:r>
      <w:r>
        <w:rPr>
          <w:rFonts w:hint="default" w:ascii="Times New Roman" w:hAnsi="Times New Roman" w:eastAsia="新宋体" w:cs="Times New Roman"/>
          <w:color w:val="000000" w:themeColor="text1"/>
          <w:sz w:val="18"/>
          <w:szCs w:val="18"/>
          <w14:textFill>
            <w14:solidFill>
              <w14:schemeClr w14:val="tx1"/>
            </w14:solidFill>
          </w14:textFill>
        </w:rPr>
        <w:cr/>
      </w:r>
      <w:bookmarkStart w:id="13" w:name="OLE_LINK24"/>
      <w:bookmarkStart w:id="14" w:name="OLE_LINK20"/>
      <w:r>
        <w:rPr>
          <w:rFonts w:hint="default" w:ascii="Times New Roman" w:hAnsi="Times New Roman" w:eastAsia="新宋体" w:cs="Times New Roman"/>
          <w:color w:val="000000" w:themeColor="text1"/>
          <w:sz w:val="18"/>
          <w:szCs w:val="18"/>
          <w14:textFill>
            <w14:solidFill>
              <w14:schemeClr w14:val="tx1"/>
            </w14:solidFill>
          </w14:textFill>
        </w:rPr>
        <w:t>[18]</w:t>
      </w:r>
      <w:bookmarkEnd w:id="13"/>
      <w:bookmarkStart w:id="15" w:name="OLE_LINK46"/>
      <w:r>
        <w:rPr>
          <w:rFonts w:hint="default" w:ascii="Times New Roman" w:hAnsi="Times New Roman" w:eastAsia="宋体" w:cs="Times New Roman"/>
          <w:i w:val="0"/>
          <w:iCs w:val="0"/>
          <w:caps w:val="0"/>
          <w:color w:val="000000" w:themeColor="text1"/>
          <w:spacing w:val="0"/>
          <w:sz w:val="18"/>
          <w:szCs w:val="18"/>
          <w:shd w:val="clear" w:fill="FFFFFF"/>
          <w14:textFill>
            <w14:solidFill>
              <w14:schemeClr w14:val="tx1"/>
            </w14:solidFill>
          </w14:textFill>
        </w:rPr>
        <w:t>Manzini, E., 2015.</w:t>
      </w:r>
      <w:bookmarkEnd w:id="15"/>
      <w:r>
        <w:rPr>
          <w:rFonts w:hint="default" w:ascii="Times New Roman" w:hAnsi="Times New Roman" w:eastAsia="宋体" w:cs="Times New Roman"/>
          <w:i w:val="0"/>
          <w:iCs w:val="0"/>
          <w:caps w:val="0"/>
          <w:color w:val="000000" w:themeColor="text1"/>
          <w:spacing w:val="0"/>
          <w:sz w:val="18"/>
          <w:szCs w:val="18"/>
          <w:shd w:val="clear" w:fill="FFFFFF"/>
          <w14:textFill>
            <w14:solidFill>
              <w14:schemeClr w14:val="tx1"/>
            </w14:solidFill>
          </w14:textFill>
        </w:rPr>
        <w:t> </w:t>
      </w:r>
      <w:r>
        <w:rPr>
          <w:rFonts w:hint="default" w:ascii="Times New Roman" w:hAnsi="Times New Roman" w:eastAsia="宋体" w:cs="Times New Roman"/>
          <w:i/>
          <w:iCs/>
          <w:caps w:val="0"/>
          <w:color w:val="000000" w:themeColor="text1"/>
          <w:spacing w:val="0"/>
          <w:sz w:val="18"/>
          <w:szCs w:val="18"/>
          <w:shd w:val="clear" w:fill="FFFFFF"/>
          <w14:textFill>
            <w14:solidFill>
              <w14:schemeClr w14:val="tx1"/>
            </w14:solidFill>
          </w14:textFill>
        </w:rPr>
        <w:t>Design, when everybody designs: An introduction to design for social innovation</w:t>
      </w:r>
      <w:r>
        <w:rPr>
          <w:rFonts w:hint="default" w:ascii="Times New Roman" w:hAnsi="Times New Roman" w:eastAsia="宋体" w:cs="Times New Roman"/>
          <w:i w:val="0"/>
          <w:iCs w:val="0"/>
          <w:caps w:val="0"/>
          <w:color w:val="000000" w:themeColor="text1"/>
          <w:spacing w:val="0"/>
          <w:sz w:val="18"/>
          <w:szCs w:val="18"/>
          <w:shd w:val="clear" w:fill="FFFFFF"/>
          <w14:textFill>
            <w14:solidFill>
              <w14:schemeClr w14:val="tx1"/>
            </w14:solidFill>
          </w14:textFill>
        </w:rPr>
        <w:t xml:space="preserve">. </w:t>
      </w:r>
      <w:bookmarkStart w:id="16" w:name="OLE_LINK47"/>
      <w:r>
        <w:rPr>
          <w:rFonts w:hint="default" w:ascii="Times New Roman" w:hAnsi="Times New Roman" w:eastAsia="宋体" w:cs="Times New Roman"/>
          <w:i w:val="0"/>
          <w:iCs w:val="0"/>
          <w:caps w:val="0"/>
          <w:color w:val="000000" w:themeColor="text1"/>
          <w:spacing w:val="0"/>
          <w:sz w:val="18"/>
          <w:szCs w:val="18"/>
          <w:shd w:val="clear" w:fill="FFFFFF"/>
          <w14:textFill>
            <w14:solidFill>
              <w14:schemeClr w14:val="tx1"/>
            </w14:solidFill>
          </w14:textFill>
        </w:rPr>
        <w:t>MIT press</w:t>
      </w:r>
      <w:bookmarkEnd w:id="16"/>
      <w:r>
        <w:rPr>
          <w:rFonts w:hint="default" w:ascii="Times New Roman" w:hAnsi="Times New Roman" w:eastAsia="宋体" w:cs="Times New Roman"/>
          <w:i w:val="0"/>
          <w:iCs w:val="0"/>
          <w:caps w:val="0"/>
          <w:color w:val="000000" w:themeColor="text1"/>
          <w:spacing w:val="0"/>
          <w:sz w:val="18"/>
          <w:szCs w:val="18"/>
          <w:shd w:val="clear" w:fill="FFFFFF"/>
          <w14:textFill>
            <w14:solidFill>
              <w14:schemeClr w14:val="tx1"/>
            </w14:solidFill>
          </w14:textFill>
        </w:rPr>
        <w:t>.</w:t>
      </w:r>
    </w:p>
    <w:p>
      <w:pPr>
        <w:numPr>
          <w:ilvl w:val="0"/>
          <w:numId w:val="0"/>
        </w:numPr>
        <w:ind w:leftChars="0"/>
        <w:jc w:val="left"/>
        <w:rPr>
          <w:rFonts w:hint="default" w:ascii="Times New Roman" w:hAnsi="Times New Roman" w:eastAsia="宋体" w:cs="Times New Roman"/>
          <w:b w:val="0"/>
          <w:bCs w:val="0"/>
          <w:i w:val="0"/>
          <w:iCs w:val="0"/>
          <w:caps w:val="0"/>
          <w:color w:val="000000" w:themeColor="text1"/>
          <w:spacing w:val="0"/>
          <w:sz w:val="18"/>
          <w:szCs w:val="18"/>
          <w:shd w:val="clear" w:fill="FFFFFF"/>
          <w14:textFill>
            <w14:solidFill>
              <w14:schemeClr w14:val="tx1"/>
            </w14:solidFill>
          </w14:textFill>
        </w:rPr>
      </w:pPr>
      <w:bookmarkStart w:id="17" w:name="OLE_LINK26"/>
      <w:r>
        <w:rPr>
          <w:rFonts w:hint="default" w:ascii="Times New Roman" w:hAnsi="Times New Roman" w:eastAsia="新宋体" w:cs="Times New Roman"/>
          <w:color w:val="000000" w:themeColor="text1"/>
          <w:sz w:val="18"/>
          <w:szCs w:val="18"/>
          <w14:textFill>
            <w14:solidFill>
              <w14:schemeClr w14:val="tx1"/>
            </w14:solidFill>
          </w14:textFill>
        </w:rPr>
        <w:t>[1</w:t>
      </w:r>
      <w:r>
        <w:rPr>
          <w:rFonts w:hint="default" w:ascii="Times New Roman" w:hAnsi="Times New Roman" w:eastAsia="新宋体" w:cs="Times New Roman"/>
          <w:color w:val="000000" w:themeColor="text1"/>
          <w:sz w:val="18"/>
          <w:szCs w:val="18"/>
          <w:lang w:val="en-US" w:eastAsia="zh-CN"/>
          <w14:textFill>
            <w14:solidFill>
              <w14:schemeClr w14:val="tx1"/>
            </w14:solidFill>
          </w14:textFill>
        </w:rPr>
        <w:t>9</w:t>
      </w:r>
      <w:r>
        <w:rPr>
          <w:rFonts w:hint="default" w:ascii="Times New Roman" w:hAnsi="Times New Roman" w:eastAsia="新宋体" w:cs="Times New Roman"/>
          <w:color w:val="000000" w:themeColor="text1"/>
          <w:sz w:val="18"/>
          <w:szCs w:val="18"/>
          <w14:textFill>
            <w14:solidFill>
              <w14:schemeClr w14:val="tx1"/>
            </w14:solidFill>
          </w14:textFill>
        </w:rPr>
        <w:t>]</w:t>
      </w:r>
      <w:r>
        <w:rPr>
          <w:rFonts w:hint="default" w:ascii="Times New Roman" w:hAnsi="Times New Roman" w:eastAsia="宋体" w:cs="Times New Roman"/>
          <w:b w:val="0"/>
          <w:bCs w:val="0"/>
          <w:i w:val="0"/>
          <w:iCs w:val="0"/>
          <w:caps w:val="0"/>
          <w:color w:val="000000" w:themeColor="text1"/>
          <w:spacing w:val="0"/>
          <w:sz w:val="18"/>
          <w:szCs w:val="18"/>
          <w:shd w:val="clear" w:fill="FFFFFF"/>
          <w14:textFill>
            <w14:solidFill>
              <w14:schemeClr w14:val="tx1"/>
            </w14:solidFill>
          </w14:textFill>
        </w:rPr>
        <w:t>Fowler Jr, F.J., 2013. </w:t>
      </w:r>
      <w:r>
        <w:rPr>
          <w:rFonts w:hint="default" w:ascii="Times New Roman" w:hAnsi="Times New Roman" w:eastAsia="宋体" w:cs="Times New Roman"/>
          <w:b w:val="0"/>
          <w:bCs w:val="0"/>
          <w:i/>
          <w:iCs/>
          <w:caps w:val="0"/>
          <w:color w:val="000000" w:themeColor="text1"/>
          <w:spacing w:val="0"/>
          <w:sz w:val="18"/>
          <w:szCs w:val="18"/>
          <w:shd w:val="clear" w:fill="FFFFFF"/>
          <w14:textFill>
            <w14:solidFill>
              <w14:schemeClr w14:val="tx1"/>
            </w14:solidFill>
          </w14:textFill>
        </w:rPr>
        <w:t>Survey research methods</w:t>
      </w:r>
      <w:r>
        <w:rPr>
          <w:rFonts w:hint="default" w:ascii="Times New Roman" w:hAnsi="Times New Roman" w:eastAsia="宋体" w:cs="Times New Roman"/>
          <w:b w:val="0"/>
          <w:bCs w:val="0"/>
          <w:i w:val="0"/>
          <w:iCs w:val="0"/>
          <w:caps w:val="0"/>
          <w:color w:val="000000" w:themeColor="text1"/>
          <w:spacing w:val="0"/>
          <w:sz w:val="18"/>
          <w:szCs w:val="18"/>
          <w:shd w:val="clear" w:fill="FFFFFF"/>
          <w14:textFill>
            <w14:solidFill>
              <w14:schemeClr w14:val="tx1"/>
            </w14:solidFill>
          </w14:textFill>
        </w:rPr>
        <w:t>. Sage publications.</w:t>
      </w:r>
      <w:bookmarkEnd w:id="17"/>
    </w:p>
    <w:p>
      <w:pPr>
        <w:widowControl w:val="0"/>
        <w:numPr>
          <w:ilvl w:val="0"/>
          <w:numId w:val="0"/>
        </w:numPr>
        <w:jc w:val="left"/>
        <w:rPr>
          <w:rFonts w:hint="default" w:ascii="Times New Roman" w:hAnsi="Times New Roman" w:eastAsia="宋体" w:cs="Times New Roman"/>
          <w:b w:val="0"/>
          <w:bCs w:val="0"/>
          <w:i w:val="0"/>
          <w:iCs w:val="0"/>
          <w:caps w:val="0"/>
          <w:color w:val="000000" w:themeColor="text1"/>
          <w:spacing w:val="0"/>
          <w:sz w:val="18"/>
          <w:szCs w:val="18"/>
          <w:shd w:val="clear" w:fill="FFFFFF"/>
          <w14:textFill>
            <w14:solidFill>
              <w14:schemeClr w14:val="tx1"/>
            </w14:solidFill>
          </w14:textFill>
        </w:rPr>
      </w:pPr>
      <w:bookmarkStart w:id="18" w:name="OLE_LINK30"/>
      <w:r>
        <w:rPr>
          <w:rFonts w:hint="default" w:ascii="Times New Roman" w:hAnsi="Times New Roman" w:eastAsia="新宋体" w:cs="Times New Roman"/>
          <w:color w:val="000000" w:themeColor="text1"/>
          <w:sz w:val="18"/>
          <w:szCs w:val="18"/>
          <w14:textFill>
            <w14:solidFill>
              <w14:schemeClr w14:val="tx1"/>
            </w14:solidFill>
          </w14:textFill>
        </w:rPr>
        <w:t>[</w:t>
      </w:r>
      <w:r>
        <w:rPr>
          <w:rFonts w:hint="default" w:ascii="Times New Roman" w:hAnsi="Times New Roman" w:eastAsia="新宋体" w:cs="Times New Roman"/>
          <w:color w:val="000000" w:themeColor="text1"/>
          <w:sz w:val="18"/>
          <w:szCs w:val="18"/>
          <w:lang w:val="en-US" w:eastAsia="zh-CN"/>
          <w14:textFill>
            <w14:solidFill>
              <w14:schemeClr w14:val="tx1"/>
            </w14:solidFill>
          </w14:textFill>
        </w:rPr>
        <w:t>20</w:t>
      </w:r>
      <w:r>
        <w:rPr>
          <w:rFonts w:hint="default" w:ascii="Times New Roman" w:hAnsi="Times New Roman" w:eastAsia="新宋体" w:cs="Times New Roman"/>
          <w:color w:val="000000" w:themeColor="text1"/>
          <w:sz w:val="18"/>
          <w:szCs w:val="18"/>
          <w14:textFill>
            <w14:solidFill>
              <w14:schemeClr w14:val="tx1"/>
            </w14:solidFill>
          </w14:textFill>
        </w:rPr>
        <w:t>]</w:t>
      </w:r>
      <w:bookmarkEnd w:id="18"/>
      <w:bookmarkStart w:id="19" w:name="OLE_LINK28"/>
      <w:r>
        <w:rPr>
          <w:rFonts w:hint="default" w:ascii="Times New Roman" w:hAnsi="Times New Roman" w:eastAsia="宋体" w:cs="Times New Roman"/>
          <w:b w:val="0"/>
          <w:bCs w:val="0"/>
          <w:i w:val="0"/>
          <w:iCs w:val="0"/>
          <w:caps w:val="0"/>
          <w:color w:val="000000" w:themeColor="text1"/>
          <w:spacing w:val="0"/>
          <w:sz w:val="18"/>
          <w:szCs w:val="18"/>
          <w:shd w:val="clear" w:fill="FFFFFF"/>
          <w14:textFill>
            <w14:solidFill>
              <w14:schemeClr w14:val="tx1"/>
            </w14:solidFill>
          </w14:textFill>
        </w:rPr>
        <w:t>Yang Jimei, 2022.</w:t>
      </w:r>
      <w:bookmarkEnd w:id="19"/>
      <w:r>
        <w:rPr>
          <w:rFonts w:hint="default" w:ascii="Times New Roman" w:hAnsi="Times New Roman" w:eastAsia="宋体" w:cs="Times New Roman"/>
          <w:b w:val="0"/>
          <w:bCs w:val="0"/>
          <w:i w:val="0"/>
          <w:iCs w:val="0"/>
          <w:caps w:val="0"/>
          <w:color w:val="000000" w:themeColor="text1"/>
          <w:spacing w:val="0"/>
          <w:sz w:val="18"/>
          <w:szCs w:val="18"/>
          <w:shd w:val="clear" w:fill="FFFFFF"/>
          <w14:textFill>
            <w14:solidFill>
              <w14:schemeClr w14:val="tx1"/>
            </w14:solidFill>
          </w14:textFill>
        </w:rPr>
        <w:t xml:space="preserve"> A review of research on factors influencing employee innovation behavior. Modern Management, 12, p.191.</w:t>
      </w:r>
    </w:p>
    <w:p>
      <w:pPr>
        <w:widowControl w:val="0"/>
        <w:numPr>
          <w:ilvl w:val="0"/>
          <w:numId w:val="0"/>
        </w:numPr>
        <w:jc w:val="left"/>
        <w:rPr>
          <w:rFonts w:hint="default" w:ascii="Times New Roman" w:hAnsi="Times New Roman" w:eastAsia="宋体" w:cs="Times New Roman"/>
          <w:b w:val="0"/>
          <w:bCs w:val="0"/>
          <w:i w:val="0"/>
          <w:iCs w:val="0"/>
          <w:caps w:val="0"/>
          <w:color w:val="000000" w:themeColor="text1"/>
          <w:spacing w:val="0"/>
          <w:sz w:val="18"/>
          <w:szCs w:val="18"/>
          <w:shd w:val="clear" w:fill="FFFFFF"/>
          <w14:textFill>
            <w14:solidFill>
              <w14:schemeClr w14:val="tx1"/>
            </w14:solidFill>
          </w14:textFill>
        </w:rPr>
      </w:pPr>
      <w:r>
        <w:rPr>
          <w:rFonts w:hint="default" w:ascii="Times New Roman" w:hAnsi="Times New Roman" w:eastAsia="新宋体" w:cs="Times New Roman"/>
          <w:color w:val="000000" w:themeColor="text1"/>
          <w:sz w:val="18"/>
          <w:szCs w:val="18"/>
          <w14:textFill>
            <w14:solidFill>
              <w14:schemeClr w14:val="tx1"/>
            </w14:solidFill>
          </w14:textFill>
        </w:rPr>
        <w:t>[</w:t>
      </w:r>
      <w:r>
        <w:rPr>
          <w:rFonts w:hint="default" w:ascii="Times New Roman" w:hAnsi="Times New Roman" w:eastAsia="新宋体" w:cs="Times New Roman"/>
          <w:color w:val="000000" w:themeColor="text1"/>
          <w:sz w:val="18"/>
          <w:szCs w:val="18"/>
          <w:lang w:val="en-US" w:eastAsia="zh-CN"/>
          <w14:textFill>
            <w14:solidFill>
              <w14:schemeClr w14:val="tx1"/>
            </w14:solidFill>
          </w14:textFill>
        </w:rPr>
        <w:t>21</w:t>
      </w:r>
      <w:r>
        <w:rPr>
          <w:rFonts w:hint="default" w:ascii="Times New Roman" w:hAnsi="Times New Roman" w:eastAsia="新宋体" w:cs="Times New Roman"/>
          <w:color w:val="000000" w:themeColor="text1"/>
          <w:sz w:val="18"/>
          <w:szCs w:val="18"/>
          <w14:textFill>
            <w14:solidFill>
              <w14:schemeClr w14:val="tx1"/>
            </w14:solidFill>
          </w14:textFill>
        </w:rPr>
        <w:t>]</w:t>
      </w:r>
      <w:bookmarkStart w:id="20" w:name="OLE_LINK31"/>
      <w:r>
        <w:rPr>
          <w:rFonts w:hint="default" w:ascii="Times New Roman" w:hAnsi="Times New Roman" w:eastAsia="宋体" w:cs="Times New Roman"/>
          <w:b w:val="0"/>
          <w:bCs w:val="0"/>
          <w:i w:val="0"/>
          <w:iCs w:val="0"/>
          <w:caps w:val="0"/>
          <w:color w:val="000000" w:themeColor="text1"/>
          <w:spacing w:val="0"/>
          <w:sz w:val="18"/>
          <w:szCs w:val="18"/>
          <w:shd w:val="clear" w:fill="FFFFFF"/>
          <w14:textFill>
            <w14:solidFill>
              <w14:schemeClr w14:val="tx1"/>
            </w14:solidFill>
          </w14:textFill>
        </w:rPr>
        <w:t>Fan Bonai, Deng Feng and Ma Qingguo</w:t>
      </w:r>
      <w:bookmarkEnd w:id="20"/>
      <w:r>
        <w:rPr>
          <w:rFonts w:hint="default" w:ascii="Times New Roman" w:hAnsi="Times New Roman" w:eastAsia="宋体" w:cs="Times New Roman"/>
          <w:b w:val="0"/>
          <w:bCs w:val="0"/>
          <w:i w:val="0"/>
          <w:iCs w:val="0"/>
          <w:caps w:val="0"/>
          <w:color w:val="000000" w:themeColor="text1"/>
          <w:spacing w:val="0"/>
          <w:sz w:val="18"/>
          <w:szCs w:val="18"/>
          <w:shd w:val="clear" w:fill="FFFFFF"/>
          <w14:textFill>
            <w14:solidFill>
              <w14:schemeClr w14:val="tx1"/>
            </w14:solidFill>
          </w14:textFill>
        </w:rPr>
        <w:t>, 1998. A review of sustainable development theories. Zhejiang Social Sciences, (2), pp.41-45.</w:t>
      </w:r>
      <w:bookmarkEnd w:id="3"/>
      <w:bookmarkEnd w:id="4"/>
      <w:bookmarkEnd w:id="14"/>
    </w:p>
    <w:p>
      <w:pPr>
        <w:jc w:val="left"/>
        <w:rPr>
          <w:rFonts w:ascii="Times New Roman" w:hAnsi="Times New Roman" w:cs="Times New Roma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新宋体">
    <w:panose1 w:val="02010609030101010101"/>
    <w:charset w:val="86"/>
    <w:family w:val="modern"/>
    <w:pitch w:val="default"/>
    <w:sig w:usb0="00000283" w:usb1="288F0000" w:usb2="0000000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590BF84"/>
    <w:multiLevelType w:val="singleLevel"/>
    <w:tmpl w:val="8590BF84"/>
    <w:lvl w:ilvl="0" w:tentative="0">
      <w:start w:val="17"/>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jYzODNjMGI2OGMwMmM2YzkyODdiNmY1OTY5ZGEzZmEifQ=="/>
  </w:docVars>
  <w:rsids>
    <w:rsidRoot w:val="00302E6D"/>
    <w:rsid w:val="00302E6D"/>
    <w:rsid w:val="00591662"/>
    <w:rsid w:val="00647F56"/>
    <w:rsid w:val="006A019B"/>
    <w:rsid w:val="007D39A1"/>
    <w:rsid w:val="008737A0"/>
    <w:rsid w:val="008F5397"/>
    <w:rsid w:val="00920381"/>
    <w:rsid w:val="00A2721B"/>
    <w:rsid w:val="00B00EE8"/>
    <w:rsid w:val="00BA7B97"/>
    <w:rsid w:val="00C64CCC"/>
    <w:rsid w:val="00C83AE3"/>
    <w:rsid w:val="00DE0148"/>
    <w:rsid w:val="00E20519"/>
    <w:rsid w:val="00EC1C36"/>
    <w:rsid w:val="00EC57FC"/>
    <w:rsid w:val="00F57910"/>
    <w:rsid w:val="00F66A77"/>
    <w:rsid w:val="00F76320"/>
    <w:rsid w:val="09127EC7"/>
    <w:rsid w:val="0A6F3D04"/>
    <w:rsid w:val="14053399"/>
    <w:rsid w:val="164976AB"/>
    <w:rsid w:val="17CE60BA"/>
    <w:rsid w:val="18074E05"/>
    <w:rsid w:val="192F1B49"/>
    <w:rsid w:val="1AAD7387"/>
    <w:rsid w:val="1BD05350"/>
    <w:rsid w:val="1D4A4435"/>
    <w:rsid w:val="20D81D57"/>
    <w:rsid w:val="25B14925"/>
    <w:rsid w:val="26611F21"/>
    <w:rsid w:val="28D92B11"/>
    <w:rsid w:val="2B136F09"/>
    <w:rsid w:val="2C02237E"/>
    <w:rsid w:val="2CD31625"/>
    <w:rsid w:val="2F713AA3"/>
    <w:rsid w:val="30EA0691"/>
    <w:rsid w:val="31556AAC"/>
    <w:rsid w:val="31D2634F"/>
    <w:rsid w:val="34BF705E"/>
    <w:rsid w:val="385B52F0"/>
    <w:rsid w:val="3D7852A4"/>
    <w:rsid w:val="48F8624E"/>
    <w:rsid w:val="4A58168F"/>
    <w:rsid w:val="4CC55C8C"/>
    <w:rsid w:val="510C5F98"/>
    <w:rsid w:val="513067F5"/>
    <w:rsid w:val="52412A09"/>
    <w:rsid w:val="52DF68C3"/>
    <w:rsid w:val="60600E46"/>
    <w:rsid w:val="65545234"/>
    <w:rsid w:val="67D77C40"/>
    <w:rsid w:val="705073A1"/>
    <w:rsid w:val="75BD7F3E"/>
    <w:rsid w:val="76544D6C"/>
    <w:rsid w:val="7FAD703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7"/>
    <w:unhideWhenUsed/>
    <w:qFormat/>
    <w:uiPriority w:val="99"/>
    <w:pPr>
      <w:tabs>
        <w:tab w:val="center" w:pos="4153"/>
        <w:tab w:val="right" w:pos="8306"/>
      </w:tabs>
      <w:snapToGrid w:val="0"/>
      <w:jc w:val="left"/>
    </w:pPr>
    <w:rPr>
      <w:sz w:val="18"/>
      <w:szCs w:val="18"/>
    </w:rPr>
  </w:style>
  <w:style w:type="paragraph" w:styleId="3">
    <w:name w:val="header"/>
    <w:basedOn w:val="1"/>
    <w:link w:val="6"/>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6">
    <w:name w:val="页眉 字符"/>
    <w:basedOn w:val="5"/>
    <w:link w:val="3"/>
    <w:qFormat/>
    <w:uiPriority w:val="99"/>
    <w:rPr>
      <w:sz w:val="18"/>
      <w:szCs w:val="18"/>
    </w:rPr>
  </w:style>
  <w:style w:type="character" w:customStyle="1" w:styleId="7">
    <w:name w:val="页脚 字符"/>
    <w:basedOn w:val="5"/>
    <w:link w:val="2"/>
    <w:qFormat/>
    <w:uiPriority w:val="99"/>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6</Pages>
  <Words>3235</Words>
  <Characters>18443</Characters>
  <Lines>153</Lines>
  <Paragraphs>43</Paragraphs>
  <TotalTime>4</TotalTime>
  <ScaleCrop>false</ScaleCrop>
  <LinksUpToDate>false</LinksUpToDate>
  <CharactersWithSpaces>21635</CharactersWithSpaces>
  <Application>WPS Office_11.1.0.12313_F1E327BC-269C-435d-A152-05C5408002CA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2022-08-14T21:17:00Z</dcterms:created>
  <dc:creator>caisheng Luo</dc:creator>
  <cp:lastModifiedBy>感性的财神爷</cp:lastModifiedBy>
  <dcterms:modified xsi:type="dcterms:W3CDTF">2022-08-21T22:17:26Z</dcterms:modified>
  <cp:revision>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2052-11.1.0.12313</vt:lpwstr>
  </property>
  <property fmtid="{D5CDD505-2E9C-101B-9397-08002B2CF9AE}" pid="3" name="ICV">
    <vt:lpwstr>E78BB6D7FCAE4B23BE3F1039AF40A43E</vt:lpwstr>
  </property>
</Properties>
</file>