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2953D" w14:textId="33A8A8CB" w:rsidR="00490A8F" w:rsidRDefault="00490A8F" w:rsidP="00490A8F">
      <w:pPr>
        <w:jc w:val="center"/>
        <w:rPr>
          <w:rFonts w:ascii="Arial" w:hAnsi="Arial" w:cs="Arial"/>
          <w:b/>
          <w:szCs w:val="24"/>
        </w:rPr>
      </w:pPr>
      <w:bookmarkStart w:id="0" w:name="_Toc100675087"/>
      <w:bookmarkStart w:id="1" w:name="_Toc100664838"/>
      <w:r>
        <w:rPr>
          <w:noProof/>
          <w:lang w:val="bg-BG"/>
        </w:rPr>
        <w:drawing>
          <wp:anchor distT="0" distB="0" distL="114300" distR="114300" simplePos="0" relativeHeight="251658240" behindDoc="1" locked="0" layoutInCell="1" allowOverlap="1" wp14:anchorId="2BFFD4C7" wp14:editId="6C271DA1">
            <wp:simplePos x="0" y="0"/>
            <wp:positionH relativeFrom="margin">
              <wp:posOffset>1727200</wp:posOffset>
            </wp:positionH>
            <wp:positionV relativeFrom="margin">
              <wp:posOffset>88900</wp:posOffset>
            </wp:positionV>
            <wp:extent cx="2781300" cy="1270000"/>
            <wp:effectExtent l="0" t="0" r="0" b="635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1300" cy="1270000"/>
                    </a:xfrm>
                    <a:prstGeom prst="rect">
                      <a:avLst/>
                    </a:prstGeom>
                    <a:noFill/>
                  </pic:spPr>
                </pic:pic>
              </a:graphicData>
            </a:graphic>
            <wp14:sizeRelH relativeFrom="margin">
              <wp14:pctWidth>0</wp14:pctWidth>
            </wp14:sizeRelH>
            <wp14:sizeRelV relativeFrom="margin">
              <wp14:pctHeight>0</wp14:pctHeight>
            </wp14:sizeRelV>
          </wp:anchor>
        </w:drawing>
      </w:r>
    </w:p>
    <w:p w14:paraId="6273F3F3" w14:textId="77777777" w:rsidR="00490A8F" w:rsidRDefault="00490A8F" w:rsidP="00490A8F">
      <w:pPr>
        <w:jc w:val="center"/>
        <w:rPr>
          <w:rFonts w:ascii="Arial" w:hAnsi="Arial" w:cs="Arial"/>
          <w:b/>
          <w:szCs w:val="24"/>
        </w:rPr>
      </w:pPr>
    </w:p>
    <w:p w14:paraId="1562AEF9" w14:textId="77777777" w:rsidR="00490A8F" w:rsidRDefault="00490A8F" w:rsidP="00490A8F">
      <w:pPr>
        <w:jc w:val="center"/>
        <w:rPr>
          <w:rFonts w:ascii="Arial" w:hAnsi="Arial" w:cs="Arial"/>
          <w:b/>
          <w:szCs w:val="24"/>
        </w:rPr>
      </w:pPr>
    </w:p>
    <w:p w14:paraId="05DF41A7" w14:textId="77777777" w:rsidR="00490A8F" w:rsidRDefault="00490A8F" w:rsidP="00490A8F">
      <w:pPr>
        <w:jc w:val="center"/>
        <w:rPr>
          <w:rFonts w:ascii="Arial" w:hAnsi="Arial" w:cs="Arial"/>
          <w:b/>
          <w:szCs w:val="24"/>
        </w:rPr>
      </w:pPr>
    </w:p>
    <w:p w14:paraId="3634BC60" w14:textId="32CF44E3" w:rsidR="00F032C9" w:rsidRDefault="00490A8F" w:rsidP="00490A8F">
      <w:pPr>
        <w:spacing w:before="0" w:line="259" w:lineRule="auto"/>
        <w:jc w:val="center"/>
        <w:rPr>
          <w:rFonts w:ascii="Arial" w:hAnsi="Arial" w:cs="Arial"/>
          <w:color w:val="202124"/>
          <w:sz w:val="48"/>
          <w:szCs w:val="33"/>
          <w:shd w:val="clear" w:color="auto" w:fill="FFFFFF"/>
        </w:rPr>
      </w:pPr>
      <w:r>
        <w:rPr>
          <w:rFonts w:ascii="Arial" w:hAnsi="Arial" w:cs="Arial"/>
          <w:color w:val="202124"/>
          <w:sz w:val="48"/>
          <w:szCs w:val="33"/>
          <w:shd w:val="clear" w:color="auto" w:fill="FFFFFF"/>
        </w:rPr>
        <w:t>LCBB4002 Community Engagement</w:t>
      </w:r>
      <w:r>
        <w:rPr>
          <w:rFonts w:ascii="Arial" w:hAnsi="Arial" w:cs="Arial"/>
          <w:color w:val="202124"/>
          <w:sz w:val="48"/>
          <w:szCs w:val="33"/>
          <w:shd w:val="clear" w:color="auto" w:fill="FFFFFF"/>
        </w:rPr>
        <w:br/>
        <w:t>(Assessment 2)</w:t>
      </w:r>
    </w:p>
    <w:p w14:paraId="549281AB" w14:textId="44CD5A79" w:rsidR="00630782" w:rsidRDefault="00630782" w:rsidP="00490A8F">
      <w:pPr>
        <w:spacing w:before="0" w:line="259" w:lineRule="auto"/>
        <w:jc w:val="center"/>
        <w:rPr>
          <w:rFonts w:ascii="Arial" w:hAnsi="Arial" w:cs="Arial"/>
          <w:color w:val="202124"/>
          <w:sz w:val="48"/>
          <w:szCs w:val="33"/>
          <w:shd w:val="clear" w:color="auto" w:fill="FFFFFF"/>
        </w:rPr>
      </w:pPr>
    </w:p>
    <w:p w14:paraId="1514A15C" w14:textId="537F1240" w:rsidR="00646451" w:rsidRDefault="00646451" w:rsidP="00490A8F">
      <w:pPr>
        <w:spacing w:before="0" w:line="259" w:lineRule="auto"/>
        <w:jc w:val="center"/>
        <w:rPr>
          <w:rFonts w:ascii="Arial" w:hAnsi="Arial" w:cs="Arial"/>
          <w:color w:val="202124"/>
          <w:sz w:val="48"/>
          <w:szCs w:val="33"/>
          <w:shd w:val="clear" w:color="auto" w:fill="FFFFFF"/>
        </w:rPr>
      </w:pPr>
    </w:p>
    <w:p w14:paraId="4CEBF432" w14:textId="1303FEEE" w:rsidR="00646451" w:rsidRDefault="00646451" w:rsidP="00490A8F">
      <w:pPr>
        <w:spacing w:before="0" w:line="259" w:lineRule="auto"/>
        <w:jc w:val="center"/>
        <w:rPr>
          <w:rFonts w:ascii="Arial" w:hAnsi="Arial" w:cs="Arial"/>
          <w:color w:val="202124"/>
          <w:sz w:val="48"/>
          <w:szCs w:val="33"/>
          <w:shd w:val="clear" w:color="auto" w:fill="FFFFFF"/>
        </w:rPr>
      </w:pPr>
    </w:p>
    <w:p w14:paraId="1B579EFE" w14:textId="0B7B4866" w:rsidR="00646451" w:rsidRDefault="00646451" w:rsidP="00490A8F">
      <w:pPr>
        <w:spacing w:before="0" w:line="259" w:lineRule="auto"/>
        <w:jc w:val="center"/>
        <w:rPr>
          <w:rFonts w:ascii="Arial" w:hAnsi="Arial" w:cs="Arial"/>
          <w:color w:val="202124"/>
          <w:sz w:val="48"/>
          <w:szCs w:val="33"/>
          <w:shd w:val="clear" w:color="auto" w:fill="FFFFFF"/>
        </w:rPr>
      </w:pPr>
    </w:p>
    <w:p w14:paraId="13952788" w14:textId="5C1A41E7" w:rsidR="00646451" w:rsidRDefault="00646451" w:rsidP="00490A8F">
      <w:pPr>
        <w:spacing w:before="0" w:line="259" w:lineRule="auto"/>
        <w:jc w:val="center"/>
        <w:rPr>
          <w:rFonts w:ascii="Arial" w:hAnsi="Arial" w:cs="Arial"/>
          <w:color w:val="202124"/>
          <w:sz w:val="48"/>
          <w:szCs w:val="33"/>
          <w:shd w:val="clear" w:color="auto" w:fill="FFFFFF"/>
        </w:rPr>
      </w:pPr>
    </w:p>
    <w:p w14:paraId="765F2F47" w14:textId="3CA5BA5E" w:rsidR="00646451" w:rsidRDefault="00646451" w:rsidP="00490A8F">
      <w:pPr>
        <w:spacing w:before="0" w:line="259" w:lineRule="auto"/>
        <w:jc w:val="center"/>
        <w:rPr>
          <w:rFonts w:ascii="Arial" w:hAnsi="Arial" w:cs="Arial"/>
          <w:color w:val="202124"/>
          <w:sz w:val="48"/>
          <w:szCs w:val="33"/>
          <w:shd w:val="clear" w:color="auto" w:fill="FFFFFF"/>
        </w:rPr>
      </w:pPr>
    </w:p>
    <w:p w14:paraId="3CEB807D" w14:textId="77777777" w:rsidR="00646451" w:rsidRDefault="00646451" w:rsidP="00490A8F">
      <w:pPr>
        <w:spacing w:before="0" w:line="259" w:lineRule="auto"/>
        <w:jc w:val="center"/>
        <w:rPr>
          <w:rFonts w:ascii="Arial" w:hAnsi="Arial" w:cs="Arial"/>
          <w:color w:val="202124"/>
          <w:sz w:val="48"/>
          <w:szCs w:val="33"/>
          <w:shd w:val="clear" w:color="auto" w:fill="FFFFFF"/>
        </w:rPr>
      </w:pPr>
    </w:p>
    <w:p w14:paraId="0996A480" w14:textId="77777777" w:rsidR="00721A7D" w:rsidRDefault="00634925" w:rsidP="00022B1E">
      <w:pPr>
        <w:bidi/>
        <w:spacing w:before="0" w:line="259" w:lineRule="auto"/>
        <w:ind w:left="5040"/>
        <w:jc w:val="right"/>
        <w:rPr>
          <w:rFonts w:cs="Times New Roman"/>
          <w:color w:val="202124"/>
          <w:szCs w:val="24"/>
          <w:shd w:val="clear" w:color="auto" w:fill="FFFFFF"/>
          <w:lang w:val="bg-BG"/>
        </w:rPr>
      </w:pPr>
      <w:proofErr w:type="spellStart"/>
      <w:r w:rsidRPr="00545232">
        <w:rPr>
          <w:rFonts w:cs="Times New Roman"/>
          <w:color w:val="202124"/>
          <w:szCs w:val="24"/>
          <w:shd w:val="clear" w:color="auto" w:fill="FFFFFF"/>
          <w:lang w:val="bg-BG"/>
        </w:rPr>
        <w:t>Name</w:t>
      </w:r>
      <w:proofErr w:type="spellEnd"/>
      <w:r w:rsidRPr="00545232">
        <w:rPr>
          <w:rFonts w:cs="Times New Roman"/>
          <w:color w:val="202124"/>
          <w:szCs w:val="24"/>
          <w:shd w:val="clear" w:color="auto" w:fill="FFFFFF"/>
          <w:lang w:val="bg-BG"/>
        </w:rPr>
        <w:t xml:space="preserve"> :</w:t>
      </w:r>
      <w:proofErr w:type="spellStart"/>
      <w:r w:rsidR="00576666" w:rsidRPr="00545232">
        <w:rPr>
          <w:rFonts w:cs="Times New Roman"/>
          <w:color w:val="202124"/>
          <w:szCs w:val="24"/>
          <w:shd w:val="clear" w:color="auto" w:fill="FFFFFF"/>
          <w:lang w:val="bg-BG"/>
        </w:rPr>
        <w:t>Madalina</w:t>
      </w:r>
      <w:proofErr w:type="spellEnd"/>
      <w:r w:rsidR="00576666" w:rsidRPr="00545232">
        <w:rPr>
          <w:rFonts w:cs="Times New Roman"/>
          <w:color w:val="202124"/>
          <w:szCs w:val="24"/>
          <w:shd w:val="clear" w:color="auto" w:fill="FFFFFF"/>
          <w:lang w:val="bg-BG"/>
        </w:rPr>
        <w:t xml:space="preserve"> </w:t>
      </w:r>
      <w:proofErr w:type="spellStart"/>
      <w:r w:rsidR="00576666" w:rsidRPr="00545232">
        <w:rPr>
          <w:rFonts w:cs="Times New Roman"/>
          <w:color w:val="202124"/>
          <w:szCs w:val="24"/>
          <w:shd w:val="clear" w:color="auto" w:fill="FFFFFF"/>
          <w:lang w:val="bg-BG"/>
        </w:rPr>
        <w:t>Emilia</w:t>
      </w:r>
      <w:proofErr w:type="spellEnd"/>
      <w:r w:rsidR="00576666" w:rsidRPr="00545232">
        <w:rPr>
          <w:rFonts w:cs="Times New Roman"/>
          <w:color w:val="202124"/>
          <w:szCs w:val="24"/>
          <w:shd w:val="clear" w:color="auto" w:fill="FFFFFF"/>
          <w:lang w:val="bg-BG"/>
        </w:rPr>
        <w:t xml:space="preserve"> </w:t>
      </w:r>
      <w:proofErr w:type="spellStart"/>
      <w:r w:rsidR="00576666" w:rsidRPr="00545232">
        <w:rPr>
          <w:rFonts w:cs="Times New Roman"/>
          <w:color w:val="202124"/>
          <w:szCs w:val="24"/>
          <w:shd w:val="clear" w:color="auto" w:fill="FFFFFF"/>
          <w:lang w:val="bg-BG"/>
        </w:rPr>
        <w:t>Stan</w:t>
      </w:r>
      <w:proofErr w:type="spellEnd"/>
    </w:p>
    <w:p w14:paraId="3E86635F" w14:textId="77777777" w:rsidR="00B73752" w:rsidRDefault="00C31B9F" w:rsidP="00022B1E">
      <w:pPr>
        <w:bidi/>
        <w:spacing w:before="0" w:line="259" w:lineRule="auto"/>
        <w:ind w:left="5040"/>
        <w:jc w:val="right"/>
        <w:rPr>
          <w:rFonts w:cs="Times New Roman"/>
          <w:color w:val="202124"/>
          <w:szCs w:val="24"/>
          <w:shd w:val="clear" w:color="auto" w:fill="FFFFFF"/>
          <w:rtl/>
          <w:lang w:val="bg-BG"/>
        </w:rPr>
      </w:pPr>
      <w:r w:rsidRPr="00C31B9F">
        <w:rPr>
          <w:rFonts w:cs="Times New Roman"/>
          <w:color w:val="202124"/>
          <w:szCs w:val="24"/>
          <w:shd w:val="clear" w:color="auto" w:fill="FFFFFF"/>
          <w:rtl/>
          <w:lang w:val="bg-BG"/>
        </w:rPr>
        <w:t xml:space="preserve">Student </w:t>
      </w:r>
      <w:r w:rsidR="00B73752">
        <w:rPr>
          <w:rFonts w:cs="Times New Roman"/>
          <w:color w:val="202124"/>
          <w:szCs w:val="24"/>
          <w:shd w:val="clear" w:color="auto" w:fill="FFFFFF"/>
          <w:rtl/>
          <w:lang w:val="bg-BG"/>
        </w:rPr>
        <w:t>number 2115325</w:t>
      </w:r>
    </w:p>
    <w:p w14:paraId="3FAA575A" w14:textId="566F3013" w:rsidR="00F032C9" w:rsidRDefault="00022B1E" w:rsidP="00022B1E">
      <w:pPr>
        <w:bidi/>
        <w:spacing w:before="0" w:line="259" w:lineRule="auto"/>
        <w:ind w:left="5040"/>
        <w:jc w:val="right"/>
        <w:rPr>
          <w:rFonts w:ascii="Arial" w:hAnsi="Arial" w:cs="Arial"/>
          <w:color w:val="202124"/>
          <w:szCs w:val="24"/>
          <w:shd w:val="clear" w:color="auto" w:fill="FFFFFF"/>
          <w:lang w:val="bg-BG"/>
        </w:rPr>
      </w:pPr>
      <w:proofErr w:type="spellStart"/>
      <w:r w:rsidRPr="00C76378">
        <w:rPr>
          <w:rFonts w:ascii="Arial" w:hAnsi="Arial" w:cs="Arial"/>
          <w:color w:val="202124"/>
          <w:szCs w:val="24"/>
          <w:shd w:val="clear" w:color="auto" w:fill="FFFFFF"/>
          <w:lang w:val="bg-BG"/>
        </w:rPr>
        <w:t>Lecturer</w:t>
      </w:r>
      <w:proofErr w:type="spellEnd"/>
      <w:r w:rsidRPr="00C76378">
        <w:rPr>
          <w:rFonts w:ascii="Arial" w:hAnsi="Arial" w:cs="Arial"/>
          <w:color w:val="202124"/>
          <w:szCs w:val="24"/>
          <w:shd w:val="clear" w:color="auto" w:fill="FFFFFF"/>
          <w:lang w:val="bg-BG"/>
        </w:rPr>
        <w:t xml:space="preserve"> </w:t>
      </w:r>
      <w:proofErr w:type="spellStart"/>
      <w:r w:rsidR="00C76378" w:rsidRPr="00C76378">
        <w:rPr>
          <w:rFonts w:ascii="Arial" w:hAnsi="Arial" w:cs="Arial"/>
          <w:color w:val="202124"/>
          <w:szCs w:val="24"/>
          <w:shd w:val="clear" w:color="auto" w:fill="FFFFFF"/>
          <w:lang w:val="bg-BG"/>
        </w:rPr>
        <w:t>Faizu</w:t>
      </w:r>
      <w:proofErr w:type="spellEnd"/>
      <w:r w:rsidR="00C76378" w:rsidRPr="00C76378">
        <w:rPr>
          <w:rFonts w:ascii="Arial" w:hAnsi="Arial" w:cs="Arial"/>
          <w:color w:val="202124"/>
          <w:szCs w:val="24"/>
          <w:shd w:val="clear" w:color="auto" w:fill="FFFFFF"/>
          <w:lang w:val="bg-BG"/>
        </w:rPr>
        <w:t xml:space="preserve"> </w:t>
      </w:r>
      <w:proofErr w:type="spellStart"/>
      <w:r w:rsidR="00C76378" w:rsidRPr="00C76378">
        <w:rPr>
          <w:rFonts w:ascii="Arial" w:hAnsi="Arial" w:cs="Arial"/>
          <w:color w:val="202124"/>
          <w:szCs w:val="24"/>
          <w:shd w:val="clear" w:color="auto" w:fill="FFFFFF"/>
          <w:lang w:val="bg-BG"/>
        </w:rPr>
        <w:t>Edu</w:t>
      </w:r>
      <w:proofErr w:type="spellEnd"/>
    </w:p>
    <w:p w14:paraId="029420B9" w14:textId="07B80831" w:rsidR="001C106D" w:rsidRDefault="001C106D" w:rsidP="001C106D">
      <w:pPr>
        <w:bidi/>
        <w:spacing w:before="0" w:line="259" w:lineRule="auto"/>
        <w:ind w:left="5040"/>
        <w:jc w:val="right"/>
        <w:rPr>
          <w:rFonts w:ascii="Arial" w:hAnsi="Arial" w:cs="Arial"/>
          <w:color w:val="202124"/>
          <w:szCs w:val="24"/>
          <w:shd w:val="clear" w:color="auto" w:fill="FFFFFF"/>
          <w:lang w:val="bg-BG"/>
        </w:rPr>
      </w:pPr>
    </w:p>
    <w:p w14:paraId="3A1EEF02" w14:textId="4FC3FAD4" w:rsidR="001C106D" w:rsidRDefault="001C106D" w:rsidP="001C106D">
      <w:pPr>
        <w:bidi/>
        <w:spacing w:before="0" w:line="259" w:lineRule="auto"/>
        <w:ind w:left="5040"/>
        <w:jc w:val="right"/>
        <w:rPr>
          <w:rFonts w:ascii="Arial" w:hAnsi="Arial" w:cs="Arial"/>
          <w:color w:val="202124"/>
          <w:szCs w:val="24"/>
          <w:shd w:val="clear" w:color="auto" w:fill="FFFFFF"/>
          <w:lang w:val="bg-BG"/>
        </w:rPr>
      </w:pPr>
    </w:p>
    <w:p w14:paraId="2C7A8323" w14:textId="7305B3AC" w:rsidR="001C106D" w:rsidRDefault="001C106D" w:rsidP="001C106D">
      <w:pPr>
        <w:bidi/>
        <w:spacing w:before="0" w:line="259" w:lineRule="auto"/>
        <w:ind w:left="5040"/>
        <w:jc w:val="right"/>
        <w:rPr>
          <w:rFonts w:ascii="Arial" w:hAnsi="Arial" w:cs="Arial"/>
          <w:color w:val="202124"/>
          <w:szCs w:val="24"/>
          <w:shd w:val="clear" w:color="auto" w:fill="FFFFFF"/>
          <w:lang w:val="bg-BG"/>
        </w:rPr>
      </w:pPr>
    </w:p>
    <w:p w14:paraId="3CCAC525" w14:textId="49F9F96D" w:rsidR="001C106D" w:rsidRDefault="001C106D" w:rsidP="001C106D">
      <w:pPr>
        <w:bidi/>
        <w:spacing w:before="0" w:line="259" w:lineRule="auto"/>
        <w:ind w:left="5040"/>
        <w:jc w:val="right"/>
        <w:rPr>
          <w:rFonts w:ascii="Arial" w:hAnsi="Arial" w:cs="Arial"/>
          <w:color w:val="202124"/>
          <w:szCs w:val="24"/>
          <w:shd w:val="clear" w:color="auto" w:fill="FFFFFF"/>
          <w:lang w:val="bg-BG"/>
        </w:rPr>
      </w:pPr>
    </w:p>
    <w:p w14:paraId="15E2B466" w14:textId="2CB44F97" w:rsidR="001C106D" w:rsidRDefault="001C106D" w:rsidP="001C106D">
      <w:pPr>
        <w:bidi/>
        <w:spacing w:before="0" w:line="259" w:lineRule="auto"/>
        <w:ind w:left="5040"/>
        <w:jc w:val="right"/>
        <w:rPr>
          <w:rFonts w:ascii="Arial" w:hAnsi="Arial" w:cs="Arial"/>
          <w:color w:val="202124"/>
          <w:szCs w:val="24"/>
          <w:shd w:val="clear" w:color="auto" w:fill="FFFFFF"/>
          <w:lang w:val="bg-BG"/>
        </w:rPr>
      </w:pPr>
    </w:p>
    <w:p w14:paraId="1C5E19D7" w14:textId="6112199B" w:rsidR="0012461B" w:rsidRDefault="0012461B" w:rsidP="0012461B">
      <w:pPr>
        <w:bidi/>
        <w:spacing w:before="0" w:line="259" w:lineRule="auto"/>
        <w:ind w:left="5040"/>
        <w:jc w:val="right"/>
        <w:rPr>
          <w:rFonts w:ascii="Arial" w:hAnsi="Arial" w:cs="Arial"/>
          <w:color w:val="202124"/>
          <w:szCs w:val="24"/>
          <w:shd w:val="clear" w:color="auto" w:fill="FFFFFF"/>
          <w:lang w:val="bg-BG"/>
        </w:rPr>
      </w:pPr>
    </w:p>
    <w:p w14:paraId="0E6D3A9C" w14:textId="77777777" w:rsidR="0012461B" w:rsidRPr="00C76378" w:rsidRDefault="0012461B" w:rsidP="0012461B">
      <w:pPr>
        <w:bidi/>
        <w:spacing w:before="0" w:line="259" w:lineRule="auto"/>
        <w:ind w:left="5040"/>
        <w:jc w:val="right"/>
        <w:rPr>
          <w:rFonts w:ascii="Arial" w:hAnsi="Arial" w:cs="Arial"/>
          <w:color w:val="202124"/>
          <w:szCs w:val="24"/>
          <w:shd w:val="clear" w:color="auto" w:fill="FFFFFF"/>
        </w:rPr>
      </w:pPr>
    </w:p>
    <w:p w14:paraId="2AF73DB3" w14:textId="77777777" w:rsidR="00CE7194" w:rsidRDefault="00CE7194" w:rsidP="00CE7194">
      <w:pPr>
        <w:bidi/>
        <w:spacing w:before="0" w:line="259" w:lineRule="auto"/>
        <w:ind w:left="5040"/>
        <w:jc w:val="center"/>
        <w:rPr>
          <w:rFonts w:ascii="Arial" w:hAnsi="Arial" w:cs="Arial"/>
          <w:color w:val="202124"/>
          <w:sz w:val="48"/>
          <w:szCs w:val="33"/>
          <w:shd w:val="clear" w:color="auto" w:fill="FFFFFF"/>
        </w:rPr>
      </w:pPr>
    </w:p>
    <w:p w14:paraId="06053436" w14:textId="77777777" w:rsidR="00F032C9" w:rsidRDefault="00F032C9" w:rsidP="00490A8F">
      <w:pPr>
        <w:spacing w:before="0" w:line="259" w:lineRule="auto"/>
        <w:jc w:val="center"/>
        <w:rPr>
          <w:rFonts w:ascii="Arial" w:hAnsi="Arial" w:cs="Arial"/>
          <w:color w:val="202124"/>
          <w:sz w:val="48"/>
          <w:szCs w:val="33"/>
          <w:shd w:val="clear" w:color="auto" w:fill="FFFFFF"/>
        </w:rPr>
      </w:pPr>
    </w:p>
    <w:p w14:paraId="15C28841" w14:textId="04E5FC1A" w:rsidR="0021676F" w:rsidRDefault="0021676F" w:rsidP="00490A8F">
      <w:pPr>
        <w:spacing w:before="0" w:line="259" w:lineRule="auto"/>
        <w:jc w:val="center"/>
        <w:rPr>
          <w:rFonts w:ascii="Arial" w:eastAsiaTheme="majorEastAsia" w:hAnsi="Arial" w:cs="Arial"/>
          <w:color w:val="2F5496" w:themeColor="accent1" w:themeShade="BF"/>
          <w:szCs w:val="24"/>
        </w:rPr>
      </w:pPr>
      <w:r>
        <w:rPr>
          <w:rFonts w:ascii="Arial" w:hAnsi="Arial" w:cs="Arial"/>
          <w:szCs w:val="24"/>
        </w:rPr>
        <w:br w:type="page"/>
      </w:r>
    </w:p>
    <w:sdt>
      <w:sdtPr>
        <w:rPr>
          <w:rFonts w:ascii="Times New Roman" w:eastAsiaTheme="minorHAnsi" w:hAnsi="Times New Roman" w:cstheme="minorBidi"/>
          <w:color w:val="auto"/>
          <w:sz w:val="24"/>
          <w:szCs w:val="22"/>
        </w:rPr>
        <w:id w:val="1708448322"/>
        <w:docPartObj>
          <w:docPartGallery w:val="Table of Contents"/>
          <w:docPartUnique/>
        </w:docPartObj>
      </w:sdtPr>
      <w:sdtEndPr>
        <w:rPr>
          <w:b/>
          <w:bCs/>
          <w:noProof/>
        </w:rPr>
      </w:sdtEndPr>
      <w:sdtContent>
        <w:p w14:paraId="442205A7" w14:textId="7B101460" w:rsidR="00490A8F" w:rsidRDefault="00490A8F">
          <w:pPr>
            <w:pStyle w:val="a9"/>
          </w:pPr>
          <w:r>
            <w:t>Table of Contents</w:t>
          </w:r>
        </w:p>
        <w:p w14:paraId="185EF9B9" w14:textId="024D5B1B" w:rsidR="00490A8F" w:rsidRDefault="00490A8F">
          <w:pPr>
            <w:pStyle w:val="11"/>
            <w:tabs>
              <w:tab w:val="right" w:leader="dot" w:pos="9350"/>
            </w:tabs>
            <w:rPr>
              <w:noProof/>
            </w:rPr>
          </w:pPr>
          <w:r>
            <w:fldChar w:fldCharType="begin"/>
          </w:r>
          <w:r>
            <w:instrText xml:space="preserve"> TOC \o "1-3" \h \z \u </w:instrText>
          </w:r>
          <w:r>
            <w:fldChar w:fldCharType="separate"/>
          </w:r>
          <w:hyperlink w:anchor="_Toc100684739" w:history="1">
            <w:r w:rsidRPr="00677FC4">
              <w:rPr>
                <w:rStyle w:val="aa"/>
                <w:rFonts w:ascii="Arial" w:hAnsi="Arial" w:cs="Arial"/>
                <w:noProof/>
              </w:rPr>
              <w:t>Part B</w:t>
            </w:r>
            <w:r>
              <w:rPr>
                <w:noProof/>
                <w:webHidden/>
              </w:rPr>
              <w:tab/>
            </w:r>
            <w:r>
              <w:rPr>
                <w:noProof/>
                <w:webHidden/>
              </w:rPr>
              <w:fldChar w:fldCharType="begin"/>
            </w:r>
            <w:r>
              <w:rPr>
                <w:noProof/>
                <w:webHidden/>
              </w:rPr>
              <w:instrText xml:space="preserve"> PAGEREF _Toc100684739 \h </w:instrText>
            </w:r>
            <w:r>
              <w:rPr>
                <w:noProof/>
                <w:webHidden/>
              </w:rPr>
            </w:r>
            <w:r>
              <w:rPr>
                <w:noProof/>
                <w:webHidden/>
              </w:rPr>
              <w:fldChar w:fldCharType="separate"/>
            </w:r>
            <w:r>
              <w:rPr>
                <w:noProof/>
                <w:webHidden/>
              </w:rPr>
              <w:t>3</w:t>
            </w:r>
            <w:r>
              <w:rPr>
                <w:noProof/>
                <w:webHidden/>
              </w:rPr>
              <w:fldChar w:fldCharType="end"/>
            </w:r>
          </w:hyperlink>
        </w:p>
        <w:p w14:paraId="0E9EF8EA" w14:textId="55982C67" w:rsidR="00490A8F" w:rsidRDefault="00DB3F97">
          <w:pPr>
            <w:pStyle w:val="21"/>
            <w:tabs>
              <w:tab w:val="right" w:leader="dot" w:pos="9350"/>
            </w:tabs>
            <w:rPr>
              <w:noProof/>
            </w:rPr>
          </w:pPr>
          <w:hyperlink w:anchor="_Toc100684740" w:history="1">
            <w:r w:rsidR="00490A8F" w:rsidRPr="00677FC4">
              <w:rPr>
                <w:rStyle w:val="aa"/>
                <w:rFonts w:ascii="Arial" w:hAnsi="Arial" w:cs="Arial"/>
                <w:noProof/>
              </w:rPr>
              <w:t>Introduction</w:t>
            </w:r>
            <w:r w:rsidR="00490A8F">
              <w:rPr>
                <w:noProof/>
                <w:webHidden/>
              </w:rPr>
              <w:tab/>
            </w:r>
            <w:r w:rsidR="00490A8F">
              <w:rPr>
                <w:noProof/>
                <w:webHidden/>
              </w:rPr>
              <w:fldChar w:fldCharType="begin"/>
            </w:r>
            <w:r w:rsidR="00490A8F">
              <w:rPr>
                <w:noProof/>
                <w:webHidden/>
              </w:rPr>
              <w:instrText xml:space="preserve"> PAGEREF _Toc100684740 \h </w:instrText>
            </w:r>
            <w:r w:rsidR="00490A8F">
              <w:rPr>
                <w:noProof/>
                <w:webHidden/>
              </w:rPr>
            </w:r>
            <w:r w:rsidR="00490A8F">
              <w:rPr>
                <w:noProof/>
                <w:webHidden/>
              </w:rPr>
              <w:fldChar w:fldCharType="separate"/>
            </w:r>
            <w:r w:rsidR="00490A8F">
              <w:rPr>
                <w:noProof/>
                <w:webHidden/>
              </w:rPr>
              <w:t>3</w:t>
            </w:r>
            <w:r w:rsidR="00490A8F">
              <w:rPr>
                <w:noProof/>
                <w:webHidden/>
              </w:rPr>
              <w:fldChar w:fldCharType="end"/>
            </w:r>
          </w:hyperlink>
        </w:p>
        <w:p w14:paraId="03BFE029" w14:textId="330EAD5F" w:rsidR="00490A8F" w:rsidRDefault="00DB3F97">
          <w:pPr>
            <w:pStyle w:val="21"/>
            <w:tabs>
              <w:tab w:val="right" w:leader="dot" w:pos="9350"/>
            </w:tabs>
            <w:rPr>
              <w:noProof/>
            </w:rPr>
          </w:pPr>
          <w:hyperlink w:anchor="_Toc100684741" w:history="1">
            <w:r w:rsidR="00490A8F" w:rsidRPr="00677FC4">
              <w:rPr>
                <w:rStyle w:val="aa"/>
                <w:rFonts w:ascii="Arial" w:hAnsi="Arial" w:cs="Arial"/>
                <w:noProof/>
              </w:rPr>
              <w:t>Projects</w:t>
            </w:r>
            <w:r w:rsidR="00490A8F">
              <w:rPr>
                <w:noProof/>
                <w:webHidden/>
              </w:rPr>
              <w:tab/>
            </w:r>
            <w:r w:rsidR="00490A8F">
              <w:rPr>
                <w:noProof/>
                <w:webHidden/>
              </w:rPr>
              <w:fldChar w:fldCharType="begin"/>
            </w:r>
            <w:r w:rsidR="00490A8F">
              <w:rPr>
                <w:noProof/>
                <w:webHidden/>
              </w:rPr>
              <w:instrText xml:space="preserve"> PAGEREF _Toc100684741 \h </w:instrText>
            </w:r>
            <w:r w:rsidR="00490A8F">
              <w:rPr>
                <w:noProof/>
                <w:webHidden/>
              </w:rPr>
            </w:r>
            <w:r w:rsidR="00490A8F">
              <w:rPr>
                <w:noProof/>
                <w:webHidden/>
              </w:rPr>
              <w:fldChar w:fldCharType="separate"/>
            </w:r>
            <w:r w:rsidR="00490A8F">
              <w:rPr>
                <w:noProof/>
                <w:webHidden/>
              </w:rPr>
              <w:t>4</w:t>
            </w:r>
            <w:r w:rsidR="00490A8F">
              <w:rPr>
                <w:noProof/>
                <w:webHidden/>
              </w:rPr>
              <w:fldChar w:fldCharType="end"/>
            </w:r>
          </w:hyperlink>
        </w:p>
        <w:p w14:paraId="73072C61" w14:textId="075BC7D3" w:rsidR="00490A8F" w:rsidRDefault="00DB3F97">
          <w:pPr>
            <w:pStyle w:val="21"/>
            <w:tabs>
              <w:tab w:val="right" w:leader="dot" w:pos="9350"/>
            </w:tabs>
            <w:rPr>
              <w:noProof/>
            </w:rPr>
          </w:pPr>
          <w:hyperlink w:anchor="_Toc100684742" w:history="1">
            <w:r w:rsidR="00490A8F" w:rsidRPr="00677FC4">
              <w:rPr>
                <w:rStyle w:val="aa"/>
                <w:rFonts w:ascii="Arial" w:hAnsi="Arial" w:cs="Arial"/>
                <w:noProof/>
              </w:rPr>
              <w:t>Aspects of Community Engagement</w:t>
            </w:r>
            <w:r w:rsidR="00490A8F">
              <w:rPr>
                <w:noProof/>
                <w:webHidden/>
              </w:rPr>
              <w:tab/>
            </w:r>
            <w:r w:rsidR="00490A8F">
              <w:rPr>
                <w:noProof/>
                <w:webHidden/>
              </w:rPr>
              <w:fldChar w:fldCharType="begin"/>
            </w:r>
            <w:r w:rsidR="00490A8F">
              <w:rPr>
                <w:noProof/>
                <w:webHidden/>
              </w:rPr>
              <w:instrText xml:space="preserve"> PAGEREF _Toc100684742 \h </w:instrText>
            </w:r>
            <w:r w:rsidR="00490A8F">
              <w:rPr>
                <w:noProof/>
                <w:webHidden/>
              </w:rPr>
            </w:r>
            <w:r w:rsidR="00490A8F">
              <w:rPr>
                <w:noProof/>
                <w:webHidden/>
              </w:rPr>
              <w:fldChar w:fldCharType="separate"/>
            </w:r>
            <w:r w:rsidR="00490A8F">
              <w:rPr>
                <w:noProof/>
                <w:webHidden/>
              </w:rPr>
              <w:t>5</w:t>
            </w:r>
            <w:r w:rsidR="00490A8F">
              <w:rPr>
                <w:noProof/>
                <w:webHidden/>
              </w:rPr>
              <w:fldChar w:fldCharType="end"/>
            </w:r>
          </w:hyperlink>
        </w:p>
        <w:p w14:paraId="753E7ADF" w14:textId="5F27F70D" w:rsidR="00490A8F" w:rsidRDefault="00DB3F97">
          <w:pPr>
            <w:pStyle w:val="21"/>
            <w:tabs>
              <w:tab w:val="right" w:leader="dot" w:pos="9350"/>
            </w:tabs>
            <w:rPr>
              <w:noProof/>
            </w:rPr>
          </w:pPr>
          <w:hyperlink w:anchor="_Toc100684743" w:history="1">
            <w:r w:rsidR="00490A8F" w:rsidRPr="00677FC4">
              <w:rPr>
                <w:rStyle w:val="aa"/>
                <w:rFonts w:ascii="Arial" w:hAnsi="Arial" w:cs="Arial"/>
                <w:noProof/>
              </w:rPr>
              <w:t>Analysis</w:t>
            </w:r>
            <w:r w:rsidR="00490A8F">
              <w:rPr>
                <w:noProof/>
                <w:webHidden/>
              </w:rPr>
              <w:tab/>
            </w:r>
            <w:r w:rsidR="00490A8F">
              <w:rPr>
                <w:noProof/>
                <w:webHidden/>
              </w:rPr>
              <w:fldChar w:fldCharType="begin"/>
            </w:r>
            <w:r w:rsidR="00490A8F">
              <w:rPr>
                <w:noProof/>
                <w:webHidden/>
              </w:rPr>
              <w:instrText xml:space="preserve"> PAGEREF _Toc100684743 \h </w:instrText>
            </w:r>
            <w:r w:rsidR="00490A8F">
              <w:rPr>
                <w:noProof/>
                <w:webHidden/>
              </w:rPr>
            </w:r>
            <w:r w:rsidR="00490A8F">
              <w:rPr>
                <w:noProof/>
                <w:webHidden/>
              </w:rPr>
              <w:fldChar w:fldCharType="separate"/>
            </w:r>
            <w:r w:rsidR="00490A8F">
              <w:rPr>
                <w:noProof/>
                <w:webHidden/>
              </w:rPr>
              <w:t>7</w:t>
            </w:r>
            <w:r w:rsidR="00490A8F">
              <w:rPr>
                <w:noProof/>
                <w:webHidden/>
              </w:rPr>
              <w:fldChar w:fldCharType="end"/>
            </w:r>
          </w:hyperlink>
        </w:p>
        <w:p w14:paraId="78FCC41B" w14:textId="08865AAC" w:rsidR="00490A8F" w:rsidRDefault="00DB3F97">
          <w:pPr>
            <w:pStyle w:val="21"/>
            <w:tabs>
              <w:tab w:val="right" w:leader="dot" w:pos="9350"/>
            </w:tabs>
            <w:rPr>
              <w:noProof/>
            </w:rPr>
          </w:pPr>
          <w:hyperlink w:anchor="_Toc100684744" w:history="1">
            <w:r w:rsidR="00490A8F" w:rsidRPr="00677FC4">
              <w:rPr>
                <w:rStyle w:val="aa"/>
                <w:rFonts w:ascii="Arial" w:hAnsi="Arial" w:cs="Arial"/>
                <w:noProof/>
              </w:rPr>
              <w:t>Conclusion</w:t>
            </w:r>
            <w:r w:rsidR="00490A8F">
              <w:rPr>
                <w:noProof/>
                <w:webHidden/>
              </w:rPr>
              <w:tab/>
            </w:r>
            <w:r w:rsidR="00490A8F">
              <w:rPr>
                <w:noProof/>
                <w:webHidden/>
              </w:rPr>
              <w:fldChar w:fldCharType="begin"/>
            </w:r>
            <w:r w:rsidR="00490A8F">
              <w:rPr>
                <w:noProof/>
                <w:webHidden/>
              </w:rPr>
              <w:instrText xml:space="preserve"> PAGEREF _Toc100684744 \h </w:instrText>
            </w:r>
            <w:r w:rsidR="00490A8F">
              <w:rPr>
                <w:noProof/>
                <w:webHidden/>
              </w:rPr>
            </w:r>
            <w:r w:rsidR="00490A8F">
              <w:rPr>
                <w:noProof/>
                <w:webHidden/>
              </w:rPr>
              <w:fldChar w:fldCharType="separate"/>
            </w:r>
            <w:r w:rsidR="00490A8F">
              <w:rPr>
                <w:noProof/>
                <w:webHidden/>
              </w:rPr>
              <w:t>11</w:t>
            </w:r>
            <w:r w:rsidR="00490A8F">
              <w:rPr>
                <w:noProof/>
                <w:webHidden/>
              </w:rPr>
              <w:fldChar w:fldCharType="end"/>
            </w:r>
          </w:hyperlink>
        </w:p>
        <w:p w14:paraId="13FC2CD5" w14:textId="1C60EABD" w:rsidR="00490A8F" w:rsidRDefault="00DB3F97">
          <w:pPr>
            <w:pStyle w:val="11"/>
            <w:tabs>
              <w:tab w:val="right" w:leader="dot" w:pos="9350"/>
            </w:tabs>
            <w:rPr>
              <w:noProof/>
            </w:rPr>
          </w:pPr>
          <w:hyperlink w:anchor="_Toc100684745" w:history="1">
            <w:r w:rsidR="00490A8F" w:rsidRPr="00677FC4">
              <w:rPr>
                <w:rStyle w:val="aa"/>
                <w:noProof/>
                <w:shd w:val="clear" w:color="auto" w:fill="FFFFFF"/>
              </w:rPr>
              <w:t>References</w:t>
            </w:r>
            <w:r w:rsidR="00490A8F">
              <w:rPr>
                <w:noProof/>
                <w:webHidden/>
              </w:rPr>
              <w:tab/>
            </w:r>
            <w:r w:rsidR="00490A8F">
              <w:rPr>
                <w:noProof/>
                <w:webHidden/>
              </w:rPr>
              <w:fldChar w:fldCharType="begin"/>
            </w:r>
            <w:r w:rsidR="00490A8F">
              <w:rPr>
                <w:noProof/>
                <w:webHidden/>
              </w:rPr>
              <w:instrText xml:space="preserve"> PAGEREF _Toc100684745 \h </w:instrText>
            </w:r>
            <w:r w:rsidR="00490A8F">
              <w:rPr>
                <w:noProof/>
                <w:webHidden/>
              </w:rPr>
            </w:r>
            <w:r w:rsidR="00490A8F">
              <w:rPr>
                <w:noProof/>
                <w:webHidden/>
              </w:rPr>
              <w:fldChar w:fldCharType="separate"/>
            </w:r>
            <w:r w:rsidR="00490A8F">
              <w:rPr>
                <w:noProof/>
                <w:webHidden/>
              </w:rPr>
              <w:t>12</w:t>
            </w:r>
            <w:r w:rsidR="00490A8F">
              <w:rPr>
                <w:noProof/>
                <w:webHidden/>
              </w:rPr>
              <w:fldChar w:fldCharType="end"/>
            </w:r>
          </w:hyperlink>
        </w:p>
        <w:p w14:paraId="683FC2E3" w14:textId="4D1A0A75" w:rsidR="00490A8F" w:rsidRDefault="00490A8F">
          <w:r>
            <w:rPr>
              <w:b/>
              <w:bCs/>
              <w:noProof/>
            </w:rPr>
            <w:fldChar w:fldCharType="end"/>
          </w:r>
        </w:p>
      </w:sdtContent>
    </w:sdt>
    <w:p w14:paraId="75585F8C" w14:textId="77777777" w:rsidR="0021676F" w:rsidRDefault="0021676F">
      <w:pPr>
        <w:spacing w:before="0" w:line="259" w:lineRule="auto"/>
        <w:jc w:val="left"/>
        <w:rPr>
          <w:rFonts w:ascii="Arial" w:eastAsiaTheme="majorEastAsia" w:hAnsi="Arial" w:cs="Arial"/>
          <w:color w:val="2F5496" w:themeColor="accent1" w:themeShade="BF"/>
          <w:szCs w:val="24"/>
        </w:rPr>
      </w:pPr>
      <w:r>
        <w:rPr>
          <w:rFonts w:ascii="Arial" w:hAnsi="Arial" w:cs="Arial"/>
          <w:szCs w:val="24"/>
        </w:rPr>
        <w:br w:type="page"/>
      </w:r>
    </w:p>
    <w:p w14:paraId="1F07C39E" w14:textId="62F1E7D9" w:rsidR="0021676F" w:rsidRDefault="0021676F" w:rsidP="0021676F">
      <w:pPr>
        <w:pStyle w:val="1"/>
        <w:spacing w:before="120"/>
        <w:rPr>
          <w:rFonts w:ascii="Arial" w:hAnsi="Arial" w:cs="Arial"/>
          <w:sz w:val="24"/>
          <w:szCs w:val="24"/>
        </w:rPr>
      </w:pPr>
      <w:bookmarkStart w:id="2" w:name="_Toc100684739"/>
      <w:r>
        <w:rPr>
          <w:rFonts w:ascii="Arial" w:hAnsi="Arial" w:cs="Arial"/>
          <w:sz w:val="24"/>
          <w:szCs w:val="24"/>
        </w:rPr>
        <w:t>Part B</w:t>
      </w:r>
      <w:bookmarkEnd w:id="0"/>
      <w:bookmarkEnd w:id="1"/>
      <w:bookmarkEnd w:id="2"/>
    </w:p>
    <w:p w14:paraId="07E8576C" w14:textId="77777777" w:rsidR="0021676F" w:rsidRDefault="0021676F" w:rsidP="0021676F">
      <w:pPr>
        <w:pStyle w:val="2"/>
        <w:spacing w:before="120"/>
        <w:rPr>
          <w:rFonts w:ascii="Arial" w:hAnsi="Arial" w:cs="Arial"/>
          <w:sz w:val="24"/>
          <w:szCs w:val="24"/>
        </w:rPr>
      </w:pPr>
      <w:bookmarkStart w:id="3" w:name="_Toc100675088"/>
      <w:bookmarkStart w:id="4" w:name="_Toc100664839"/>
      <w:bookmarkStart w:id="5" w:name="_Toc100684740"/>
      <w:r>
        <w:rPr>
          <w:rFonts w:ascii="Arial" w:hAnsi="Arial" w:cs="Arial"/>
          <w:sz w:val="24"/>
          <w:szCs w:val="24"/>
        </w:rPr>
        <w:t>Introduction</w:t>
      </w:r>
      <w:bookmarkEnd w:id="3"/>
      <w:bookmarkEnd w:id="4"/>
      <w:bookmarkEnd w:id="5"/>
    </w:p>
    <w:p w14:paraId="776E8799" w14:textId="77777777" w:rsidR="0021676F" w:rsidRDefault="0021676F" w:rsidP="0021676F">
      <w:pPr>
        <w:rPr>
          <w:rFonts w:ascii="Arial" w:hAnsi="Arial" w:cs="Arial"/>
          <w:szCs w:val="24"/>
        </w:rPr>
      </w:pPr>
      <w:r>
        <w:rPr>
          <w:rFonts w:ascii="Arial" w:hAnsi="Arial" w:cs="Arial"/>
          <w:szCs w:val="24"/>
        </w:rPr>
        <w:t xml:space="preserve">Community projects are there to help the community as a whole. When we talk about the need for community projects, it is important to understand that they tackle areas where policy interventions or local authorities cannot. When faced with difficult decisions, policy interventions require local knowledge and support which is often time-consuming. Effective community engagement serves to engage different stakeholders and achieve a long-term solution to community issues. In this second assessment, I will compare the previous project with a hypothetical project of my undertaking and how a community project can be successful. </w:t>
      </w:r>
    </w:p>
    <w:p w14:paraId="6654EFB7" w14:textId="77777777" w:rsidR="0021676F" w:rsidRDefault="0021676F" w:rsidP="0021676F">
      <w:pPr>
        <w:rPr>
          <w:rFonts w:ascii="Arial" w:hAnsi="Arial" w:cs="Arial"/>
          <w:szCs w:val="24"/>
        </w:rPr>
      </w:pPr>
    </w:p>
    <w:p w14:paraId="637D387D" w14:textId="77777777" w:rsidR="0021676F" w:rsidRDefault="0021676F" w:rsidP="0021676F">
      <w:pPr>
        <w:rPr>
          <w:rFonts w:ascii="Arial" w:eastAsiaTheme="majorEastAsia" w:hAnsi="Arial" w:cs="Arial"/>
          <w:color w:val="2F5496" w:themeColor="accent1" w:themeShade="BF"/>
          <w:szCs w:val="24"/>
        </w:rPr>
      </w:pPr>
      <w:r>
        <w:rPr>
          <w:rFonts w:ascii="Arial" w:hAnsi="Arial" w:cs="Arial"/>
          <w:szCs w:val="24"/>
        </w:rPr>
        <w:br w:type="page"/>
      </w:r>
    </w:p>
    <w:p w14:paraId="55ECFAA9" w14:textId="77777777" w:rsidR="0021676F" w:rsidRDefault="0021676F" w:rsidP="0021676F">
      <w:pPr>
        <w:pStyle w:val="2"/>
        <w:spacing w:before="120"/>
        <w:rPr>
          <w:rFonts w:ascii="Arial" w:hAnsi="Arial" w:cs="Arial"/>
          <w:sz w:val="24"/>
          <w:szCs w:val="24"/>
        </w:rPr>
      </w:pPr>
      <w:bookmarkStart w:id="6" w:name="_Toc100675089"/>
      <w:bookmarkStart w:id="7" w:name="_Toc100664840"/>
      <w:bookmarkStart w:id="8" w:name="_Toc100684741"/>
      <w:r>
        <w:rPr>
          <w:rFonts w:ascii="Arial" w:hAnsi="Arial" w:cs="Arial"/>
          <w:sz w:val="24"/>
          <w:szCs w:val="24"/>
        </w:rPr>
        <w:t>Projects</w:t>
      </w:r>
      <w:bookmarkEnd w:id="6"/>
      <w:bookmarkEnd w:id="7"/>
      <w:bookmarkEnd w:id="8"/>
    </w:p>
    <w:p w14:paraId="7F590AC5" w14:textId="77777777" w:rsidR="0021676F" w:rsidRDefault="0021676F" w:rsidP="0021676F">
      <w:pPr>
        <w:rPr>
          <w:rFonts w:ascii="Arial" w:hAnsi="Arial" w:cs="Arial"/>
          <w:szCs w:val="24"/>
        </w:rPr>
      </w:pPr>
      <w:r>
        <w:rPr>
          <w:rFonts w:ascii="Arial" w:hAnsi="Arial" w:cs="Arial"/>
          <w:szCs w:val="24"/>
        </w:rPr>
        <w:t xml:space="preserve">Before discussing the projects, it is important to understand the core values of good community engagement. These values include understanding that everyone who is affected by the community project should be involved in it. It is also important to understand that their experiences are what define the course of the action taken (Bowen, </w:t>
      </w:r>
      <w:proofErr w:type="spellStart"/>
      <w:r>
        <w:rPr>
          <w:rFonts w:ascii="Arial" w:hAnsi="Arial" w:cs="Arial"/>
          <w:szCs w:val="24"/>
        </w:rPr>
        <w:t>Newenham-Kahindi</w:t>
      </w:r>
      <w:proofErr w:type="spellEnd"/>
      <w:r>
        <w:rPr>
          <w:rFonts w:ascii="Arial" w:hAnsi="Arial" w:cs="Arial"/>
          <w:szCs w:val="24"/>
        </w:rPr>
        <w:t xml:space="preserve">, and </w:t>
      </w:r>
      <w:proofErr w:type="spellStart"/>
      <w:r>
        <w:rPr>
          <w:rFonts w:ascii="Arial" w:hAnsi="Arial" w:cs="Arial"/>
          <w:szCs w:val="24"/>
        </w:rPr>
        <w:t>Herremans</w:t>
      </w:r>
      <w:proofErr w:type="spellEnd"/>
      <w:r>
        <w:rPr>
          <w:rFonts w:ascii="Arial" w:hAnsi="Arial" w:cs="Arial"/>
          <w:szCs w:val="24"/>
        </w:rPr>
        <w:t>, 2010). While designing a process, it is important to understand how it will be perceived and communicate it to the participants.</w:t>
      </w:r>
    </w:p>
    <w:p w14:paraId="15FF1E8E" w14:textId="77777777" w:rsidR="0021676F" w:rsidRDefault="0021676F" w:rsidP="0021676F">
      <w:pPr>
        <w:rPr>
          <w:rFonts w:ascii="Arial" w:hAnsi="Arial" w:cs="Arial"/>
          <w:szCs w:val="24"/>
        </w:rPr>
      </w:pPr>
      <w:r>
        <w:rPr>
          <w:rFonts w:ascii="Arial" w:hAnsi="Arial" w:cs="Arial"/>
          <w:szCs w:val="24"/>
        </w:rPr>
        <w:t xml:space="preserve">Community development is thus an important step here. Urban Community Projects did that by including the local youth and families in their projects in London. They understood how they were being affected and knew that their influence was going to affect the decision. They also did not make the decisions but took in the input of everyone around them to develop new projects such as the Camden Food Bank project. They also ensure that effective communications are occurring between them. </w:t>
      </w:r>
    </w:p>
    <w:p w14:paraId="7743F224" w14:textId="77777777" w:rsidR="0021676F" w:rsidRDefault="0021676F" w:rsidP="0021676F">
      <w:pPr>
        <w:rPr>
          <w:rFonts w:ascii="Arial" w:hAnsi="Arial" w:cs="Arial"/>
          <w:szCs w:val="24"/>
        </w:rPr>
      </w:pPr>
      <w:r>
        <w:rPr>
          <w:rFonts w:ascii="Arial" w:hAnsi="Arial" w:cs="Arial"/>
          <w:szCs w:val="24"/>
        </w:rPr>
        <w:t xml:space="preserve">Head (2007) defines those best practices are those that include careful planning and preparation, inclusion and demographic diversity, transparency, a shared purpose, and openness and learning.  From the purview look of the Urban Community Project, they seem to tick all the boxes except for diversity. The reason diversity is picked out is that there is not enough information related to projects done for it. While there is participation in different projects, there is no fixed allocation for diverse or ethnic individuals. Therefore, this would be something I would focus on for my project. Similarly, they do not have enough influence on social media within their project as their outreach is only covered within their local areas without extending the barriers. </w:t>
      </w:r>
    </w:p>
    <w:p w14:paraId="04AD5701" w14:textId="77777777" w:rsidR="0021676F" w:rsidRDefault="0021676F" w:rsidP="0021676F">
      <w:pPr>
        <w:rPr>
          <w:rFonts w:ascii="Arial" w:hAnsi="Arial" w:cs="Arial"/>
          <w:szCs w:val="24"/>
        </w:rPr>
      </w:pPr>
      <w:r>
        <w:rPr>
          <w:rFonts w:ascii="Arial" w:hAnsi="Arial" w:cs="Arial"/>
          <w:szCs w:val="24"/>
        </w:rPr>
        <w:t xml:space="preserve">For my project, I would like to engage individuals in environmental awareness and the community garden process. For the environmental awareness project, I would like to work on recycling and start by teaching kids how to recycle so that they can impart that knowledge to their peers and grow up with a sense of protecting the environment. The second project I would do would be on finding a community space and making it a garden project for everyone in the </w:t>
      </w:r>
      <w:proofErr w:type="spellStart"/>
      <w:r>
        <w:rPr>
          <w:rFonts w:ascii="Arial" w:hAnsi="Arial" w:cs="Arial"/>
          <w:szCs w:val="24"/>
        </w:rPr>
        <w:t>neighbourhood</w:t>
      </w:r>
      <w:proofErr w:type="spellEnd"/>
      <w:r>
        <w:rPr>
          <w:rFonts w:ascii="Arial" w:hAnsi="Arial" w:cs="Arial"/>
          <w:szCs w:val="24"/>
        </w:rPr>
        <w:t xml:space="preserve">. This is more of a tricky project because it requires the appropriate permissions and approval but I think it is better than a food bank because it will give agricultural knowledge and a sense of achievement. After all, they would be growing their food. To make the entire plan, I would use the service cycle given below. </w:t>
      </w:r>
    </w:p>
    <w:p w14:paraId="08EF61A9" w14:textId="207B9F44" w:rsidR="0021676F" w:rsidRDefault="0021676F" w:rsidP="0021676F">
      <w:pPr>
        <w:jc w:val="center"/>
        <w:rPr>
          <w:rFonts w:ascii="Arial" w:hAnsi="Arial" w:cs="Arial"/>
          <w:szCs w:val="24"/>
        </w:rPr>
      </w:pPr>
      <w:r>
        <w:rPr>
          <w:rFonts w:ascii="Arial" w:hAnsi="Arial" w:cs="Arial"/>
          <w:noProof/>
          <w:szCs w:val="24"/>
        </w:rPr>
        <w:drawing>
          <wp:inline distT="0" distB="0" distL="0" distR="0" wp14:anchorId="29DB655D" wp14:editId="4E9E0D93">
            <wp:extent cx="3549650" cy="3498850"/>
            <wp:effectExtent l="0" t="0" r="0" b="6350"/>
            <wp:docPr id="2" name="Picture 2" descr="MYP Community Project - International School of Nanshan Shenz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YP Community Project - International School of Nanshan Shenzh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49650" cy="3498850"/>
                    </a:xfrm>
                    <a:prstGeom prst="rect">
                      <a:avLst/>
                    </a:prstGeom>
                    <a:noFill/>
                    <a:ln>
                      <a:noFill/>
                    </a:ln>
                  </pic:spPr>
                </pic:pic>
              </a:graphicData>
            </a:graphic>
          </wp:inline>
        </w:drawing>
      </w:r>
    </w:p>
    <w:p w14:paraId="62824EE2" w14:textId="77777777" w:rsidR="0021676F" w:rsidRDefault="0021676F" w:rsidP="0021676F">
      <w:pPr>
        <w:pStyle w:val="a3"/>
        <w:spacing w:before="120" w:line="360" w:lineRule="auto"/>
        <w:jc w:val="center"/>
        <w:rPr>
          <w:rFonts w:ascii="Arial" w:eastAsiaTheme="majorEastAsia" w:hAnsi="Arial" w:cs="Arial"/>
          <w:color w:val="2F5496" w:themeColor="accent1" w:themeShade="BF"/>
          <w:sz w:val="24"/>
          <w:szCs w:val="24"/>
        </w:rPr>
      </w:pPr>
      <w:r>
        <w:rPr>
          <w:rFonts w:ascii="Arial" w:hAnsi="Arial" w:cs="Arial"/>
          <w:sz w:val="24"/>
          <w:szCs w:val="24"/>
        </w:rPr>
        <w:t xml:space="preserve">Figure </w:t>
      </w:r>
      <w:r>
        <w:rPr>
          <w:rFonts w:ascii="Arial" w:hAnsi="Arial" w:cs="Arial"/>
          <w:sz w:val="24"/>
          <w:szCs w:val="24"/>
        </w:rPr>
        <w:fldChar w:fldCharType="begin"/>
      </w:r>
      <w:r>
        <w:rPr>
          <w:rFonts w:ascii="Arial" w:hAnsi="Arial" w:cs="Arial"/>
          <w:sz w:val="24"/>
          <w:szCs w:val="24"/>
        </w:rPr>
        <w:instrText xml:space="preserve"> SEQ Figure \* ARABIC </w:instrText>
      </w:r>
      <w:r>
        <w:rPr>
          <w:rFonts w:ascii="Arial" w:hAnsi="Arial" w:cs="Arial"/>
          <w:sz w:val="24"/>
          <w:szCs w:val="24"/>
        </w:rPr>
        <w:fldChar w:fldCharType="separate"/>
      </w:r>
      <w:r>
        <w:rPr>
          <w:rFonts w:ascii="Arial" w:hAnsi="Arial" w:cs="Arial"/>
          <w:noProof/>
          <w:sz w:val="24"/>
          <w:szCs w:val="24"/>
        </w:rPr>
        <w:t>1</w:t>
      </w:r>
      <w:r>
        <w:rPr>
          <w:rFonts w:ascii="Arial" w:hAnsi="Arial" w:cs="Arial"/>
          <w:noProof/>
          <w:sz w:val="24"/>
          <w:szCs w:val="24"/>
        </w:rPr>
        <w:fldChar w:fldCharType="end"/>
      </w:r>
      <w:r>
        <w:rPr>
          <w:rFonts w:ascii="Arial" w:hAnsi="Arial" w:cs="Arial"/>
          <w:sz w:val="24"/>
          <w:szCs w:val="24"/>
        </w:rPr>
        <w:t>: Service Cycle Model</w:t>
      </w:r>
    </w:p>
    <w:p w14:paraId="3C1920AC" w14:textId="77777777" w:rsidR="0021676F" w:rsidRDefault="0021676F" w:rsidP="0021676F">
      <w:pPr>
        <w:pStyle w:val="2"/>
        <w:spacing w:before="120"/>
        <w:rPr>
          <w:rFonts w:ascii="Arial" w:hAnsi="Arial" w:cs="Arial"/>
          <w:sz w:val="24"/>
          <w:szCs w:val="24"/>
        </w:rPr>
      </w:pPr>
      <w:bookmarkStart w:id="9" w:name="_Toc100675090"/>
      <w:bookmarkStart w:id="10" w:name="_Toc100664841"/>
      <w:bookmarkStart w:id="11" w:name="_Toc100684742"/>
      <w:r>
        <w:rPr>
          <w:rFonts w:ascii="Arial" w:hAnsi="Arial" w:cs="Arial"/>
          <w:sz w:val="24"/>
          <w:szCs w:val="24"/>
        </w:rPr>
        <w:t>Aspects of Community Engagement</w:t>
      </w:r>
      <w:bookmarkEnd w:id="9"/>
      <w:bookmarkEnd w:id="10"/>
      <w:bookmarkEnd w:id="11"/>
    </w:p>
    <w:p w14:paraId="2B0747E5" w14:textId="77777777" w:rsidR="0021676F" w:rsidRDefault="0021676F" w:rsidP="0021676F">
      <w:pPr>
        <w:spacing w:after="0"/>
        <w:rPr>
          <w:rFonts w:ascii="Arial" w:hAnsi="Arial" w:cs="Arial"/>
          <w:szCs w:val="24"/>
        </w:rPr>
      </w:pPr>
      <w:r>
        <w:rPr>
          <w:rFonts w:ascii="Arial" w:hAnsi="Arial" w:cs="Arial"/>
          <w:szCs w:val="24"/>
        </w:rPr>
        <w:t>Other than having a plan, there are aspects of Community engagement that are necessary to make sure that the project is successful. These fall into the following categories:</w:t>
      </w:r>
    </w:p>
    <w:p w14:paraId="515DD4C3" w14:textId="77777777" w:rsidR="0021676F" w:rsidRDefault="0021676F" w:rsidP="0021676F">
      <w:pPr>
        <w:spacing w:after="0"/>
        <w:rPr>
          <w:rFonts w:ascii="Arial" w:hAnsi="Arial" w:cs="Arial"/>
          <w:b/>
          <w:bCs/>
          <w:szCs w:val="24"/>
        </w:rPr>
      </w:pPr>
      <w:r>
        <w:rPr>
          <w:rFonts w:ascii="Arial" w:hAnsi="Arial" w:cs="Arial"/>
          <w:b/>
          <w:bCs/>
          <w:szCs w:val="24"/>
        </w:rPr>
        <w:t>Active Consultation</w:t>
      </w:r>
    </w:p>
    <w:p w14:paraId="17B81C00" w14:textId="77777777" w:rsidR="0021676F" w:rsidRDefault="0021676F" w:rsidP="0021676F">
      <w:pPr>
        <w:rPr>
          <w:rFonts w:ascii="Arial" w:hAnsi="Arial" w:cs="Arial"/>
          <w:szCs w:val="24"/>
        </w:rPr>
      </w:pPr>
      <w:r>
        <w:rPr>
          <w:rFonts w:ascii="Arial" w:hAnsi="Arial" w:cs="Arial"/>
          <w:szCs w:val="24"/>
        </w:rPr>
        <w:t xml:space="preserve">Active consultation is a process where the leader/s of the project consults with the locals to find the need for genuine community development (Newman, 2006). It is a process that helps the communities articulate their concerns and understand what steps to take for the future. An active consultation project understands the community context and maps out the cultural asset mapping. It understands how the community plan with go and determines the community consultation methods (Schiavo, 2021). </w:t>
      </w:r>
    </w:p>
    <w:p w14:paraId="0D16F9B4" w14:textId="77777777" w:rsidR="0021676F" w:rsidRDefault="0021676F" w:rsidP="0021676F">
      <w:pPr>
        <w:spacing w:after="0"/>
        <w:rPr>
          <w:rFonts w:ascii="Arial" w:hAnsi="Arial" w:cs="Arial"/>
          <w:b/>
          <w:bCs/>
          <w:szCs w:val="24"/>
        </w:rPr>
      </w:pPr>
      <w:r>
        <w:rPr>
          <w:rFonts w:ascii="Arial" w:hAnsi="Arial" w:cs="Arial"/>
          <w:b/>
          <w:bCs/>
          <w:szCs w:val="24"/>
        </w:rPr>
        <w:t>Stakeholders</w:t>
      </w:r>
    </w:p>
    <w:p w14:paraId="45762FBA" w14:textId="77777777" w:rsidR="0021676F" w:rsidRDefault="0021676F" w:rsidP="0021676F">
      <w:pPr>
        <w:spacing w:after="0"/>
        <w:rPr>
          <w:rFonts w:ascii="Arial" w:hAnsi="Arial" w:cs="Arial"/>
          <w:szCs w:val="24"/>
        </w:rPr>
      </w:pPr>
      <w:r>
        <w:rPr>
          <w:rFonts w:ascii="Arial" w:hAnsi="Arial" w:cs="Arial"/>
          <w:szCs w:val="24"/>
        </w:rPr>
        <w:t>Stakeholders are individuals who are affected by any community project that is undertaken. There are different types of stakeholders with the most common being:</w:t>
      </w:r>
    </w:p>
    <w:p w14:paraId="6211DB65" w14:textId="77777777" w:rsidR="0021676F" w:rsidRDefault="0021676F" w:rsidP="0021676F">
      <w:pPr>
        <w:pStyle w:val="a4"/>
        <w:numPr>
          <w:ilvl w:val="0"/>
          <w:numId w:val="1"/>
        </w:numPr>
        <w:spacing w:after="0"/>
        <w:rPr>
          <w:rFonts w:ascii="Arial" w:hAnsi="Arial" w:cs="Arial"/>
          <w:szCs w:val="24"/>
        </w:rPr>
      </w:pPr>
      <w:r>
        <w:rPr>
          <w:rFonts w:ascii="Arial" w:hAnsi="Arial" w:cs="Arial"/>
          <w:szCs w:val="24"/>
        </w:rPr>
        <w:t>Residents</w:t>
      </w:r>
    </w:p>
    <w:p w14:paraId="621A8FF3" w14:textId="77777777" w:rsidR="0021676F" w:rsidRDefault="0021676F" w:rsidP="0021676F">
      <w:pPr>
        <w:pStyle w:val="a4"/>
        <w:numPr>
          <w:ilvl w:val="0"/>
          <w:numId w:val="1"/>
        </w:numPr>
        <w:spacing w:after="0"/>
        <w:rPr>
          <w:rFonts w:ascii="Arial" w:hAnsi="Arial" w:cs="Arial"/>
          <w:szCs w:val="24"/>
        </w:rPr>
      </w:pPr>
      <w:r>
        <w:rPr>
          <w:rFonts w:ascii="Arial" w:hAnsi="Arial" w:cs="Arial"/>
          <w:szCs w:val="24"/>
        </w:rPr>
        <w:t>Communities living in the area</w:t>
      </w:r>
    </w:p>
    <w:p w14:paraId="30114A73" w14:textId="77777777" w:rsidR="0021676F" w:rsidRDefault="0021676F" w:rsidP="0021676F">
      <w:pPr>
        <w:pStyle w:val="a4"/>
        <w:numPr>
          <w:ilvl w:val="0"/>
          <w:numId w:val="1"/>
        </w:numPr>
        <w:spacing w:after="0"/>
        <w:rPr>
          <w:rFonts w:ascii="Arial" w:hAnsi="Arial" w:cs="Arial"/>
          <w:szCs w:val="24"/>
        </w:rPr>
      </w:pPr>
      <w:r>
        <w:rPr>
          <w:rFonts w:ascii="Arial" w:hAnsi="Arial" w:cs="Arial"/>
          <w:szCs w:val="24"/>
        </w:rPr>
        <w:t>Religious or Faith groups</w:t>
      </w:r>
    </w:p>
    <w:p w14:paraId="2261EA35" w14:textId="77777777" w:rsidR="0021676F" w:rsidRDefault="0021676F" w:rsidP="0021676F">
      <w:pPr>
        <w:pStyle w:val="a4"/>
        <w:numPr>
          <w:ilvl w:val="0"/>
          <w:numId w:val="1"/>
        </w:numPr>
        <w:spacing w:after="0"/>
        <w:rPr>
          <w:rFonts w:ascii="Arial" w:hAnsi="Arial" w:cs="Arial"/>
          <w:szCs w:val="24"/>
        </w:rPr>
      </w:pPr>
      <w:r>
        <w:rPr>
          <w:rFonts w:ascii="Arial" w:hAnsi="Arial" w:cs="Arial"/>
          <w:szCs w:val="24"/>
        </w:rPr>
        <w:t>Ethnic Groups</w:t>
      </w:r>
    </w:p>
    <w:p w14:paraId="2162B139" w14:textId="77777777" w:rsidR="0021676F" w:rsidRDefault="0021676F" w:rsidP="0021676F">
      <w:pPr>
        <w:pStyle w:val="a4"/>
        <w:numPr>
          <w:ilvl w:val="0"/>
          <w:numId w:val="1"/>
        </w:numPr>
        <w:spacing w:after="0"/>
        <w:rPr>
          <w:rFonts w:ascii="Arial" w:hAnsi="Arial" w:cs="Arial"/>
          <w:szCs w:val="24"/>
        </w:rPr>
      </w:pPr>
      <w:r>
        <w:rPr>
          <w:rFonts w:ascii="Arial" w:hAnsi="Arial" w:cs="Arial"/>
          <w:szCs w:val="24"/>
        </w:rPr>
        <w:t>Voluntary groups</w:t>
      </w:r>
    </w:p>
    <w:p w14:paraId="62359380" w14:textId="77777777" w:rsidR="0021676F" w:rsidRDefault="0021676F" w:rsidP="0021676F">
      <w:pPr>
        <w:pStyle w:val="a4"/>
        <w:numPr>
          <w:ilvl w:val="0"/>
          <w:numId w:val="1"/>
        </w:numPr>
        <w:spacing w:after="0"/>
        <w:rPr>
          <w:rFonts w:ascii="Arial" w:hAnsi="Arial" w:cs="Arial"/>
          <w:szCs w:val="24"/>
        </w:rPr>
      </w:pPr>
      <w:r>
        <w:rPr>
          <w:rFonts w:ascii="Arial" w:hAnsi="Arial" w:cs="Arial"/>
          <w:szCs w:val="24"/>
        </w:rPr>
        <w:t>Internet-based groups</w:t>
      </w:r>
    </w:p>
    <w:p w14:paraId="3C686D64" w14:textId="77777777" w:rsidR="0021676F" w:rsidRDefault="0021676F" w:rsidP="0021676F">
      <w:pPr>
        <w:pStyle w:val="a4"/>
        <w:numPr>
          <w:ilvl w:val="0"/>
          <w:numId w:val="1"/>
        </w:numPr>
        <w:spacing w:after="0"/>
        <w:rPr>
          <w:rFonts w:ascii="Arial" w:hAnsi="Arial" w:cs="Arial"/>
          <w:szCs w:val="24"/>
        </w:rPr>
      </w:pPr>
      <w:r>
        <w:rPr>
          <w:rFonts w:ascii="Arial" w:hAnsi="Arial" w:cs="Arial"/>
          <w:szCs w:val="24"/>
        </w:rPr>
        <w:t>Local or concerned authorities</w:t>
      </w:r>
    </w:p>
    <w:p w14:paraId="0D3971A5" w14:textId="77777777" w:rsidR="0021676F" w:rsidRDefault="0021676F" w:rsidP="0021676F">
      <w:pPr>
        <w:rPr>
          <w:rFonts w:ascii="Arial" w:hAnsi="Arial" w:cs="Arial"/>
          <w:szCs w:val="24"/>
        </w:rPr>
      </w:pPr>
      <w:r>
        <w:rPr>
          <w:rFonts w:ascii="Arial" w:hAnsi="Arial" w:cs="Arial"/>
          <w:szCs w:val="24"/>
        </w:rPr>
        <w:t xml:space="preserve">After identifying said stakeholders, it is important to understand how the local community network works and if there are any support </w:t>
      </w:r>
      <w:proofErr w:type="spellStart"/>
      <w:r>
        <w:rPr>
          <w:rFonts w:ascii="Arial" w:hAnsi="Arial" w:cs="Arial"/>
          <w:szCs w:val="24"/>
        </w:rPr>
        <w:t>organisations</w:t>
      </w:r>
      <w:proofErr w:type="spellEnd"/>
      <w:r>
        <w:rPr>
          <w:rFonts w:ascii="Arial" w:hAnsi="Arial" w:cs="Arial"/>
          <w:szCs w:val="24"/>
        </w:rPr>
        <w:t xml:space="preserve"> nearby (</w:t>
      </w:r>
      <w:proofErr w:type="spellStart"/>
      <w:r>
        <w:rPr>
          <w:rFonts w:ascii="Arial" w:hAnsi="Arial" w:cs="Arial"/>
          <w:szCs w:val="24"/>
        </w:rPr>
        <w:t>Usadolo</w:t>
      </w:r>
      <w:proofErr w:type="spellEnd"/>
      <w:r>
        <w:rPr>
          <w:rFonts w:ascii="Arial" w:hAnsi="Arial" w:cs="Arial"/>
          <w:szCs w:val="24"/>
        </w:rPr>
        <w:t xml:space="preserve"> and </w:t>
      </w:r>
      <w:proofErr w:type="spellStart"/>
      <w:r>
        <w:rPr>
          <w:rFonts w:ascii="Arial" w:hAnsi="Arial" w:cs="Arial"/>
          <w:szCs w:val="24"/>
        </w:rPr>
        <w:t>Caldwel</w:t>
      </w:r>
      <w:proofErr w:type="spellEnd"/>
      <w:r>
        <w:rPr>
          <w:rFonts w:ascii="Arial" w:hAnsi="Arial" w:cs="Arial"/>
          <w:szCs w:val="24"/>
        </w:rPr>
        <w:t>, 2016). It is also important to make sure that the targets that are going to be set by the project are not already being done by another (</w:t>
      </w:r>
      <w:proofErr w:type="spellStart"/>
      <w:r>
        <w:rPr>
          <w:rFonts w:ascii="Arial" w:hAnsi="Arial" w:cs="Arial"/>
          <w:szCs w:val="24"/>
        </w:rPr>
        <w:t>Tosun</w:t>
      </w:r>
      <w:proofErr w:type="spellEnd"/>
      <w:r>
        <w:rPr>
          <w:rFonts w:ascii="Arial" w:hAnsi="Arial" w:cs="Arial"/>
          <w:szCs w:val="24"/>
        </w:rPr>
        <w:t>, 2006). It is a community project, not a competition. Many consider stakeholders to be only potential funders and decision-makers, but they are also people who affect the project. It is also important to focus on the ethnic individuals in the area because they work with ensuring a better and more inclusive program (</w:t>
      </w:r>
      <w:proofErr w:type="spellStart"/>
      <w:r>
        <w:rPr>
          <w:rFonts w:ascii="Arial" w:hAnsi="Arial" w:cs="Arial"/>
          <w:szCs w:val="24"/>
        </w:rPr>
        <w:t>Khazaei</w:t>
      </w:r>
      <w:proofErr w:type="spellEnd"/>
      <w:r>
        <w:rPr>
          <w:rFonts w:ascii="Arial" w:hAnsi="Arial" w:cs="Arial"/>
          <w:szCs w:val="24"/>
        </w:rPr>
        <w:t xml:space="preserve">, Elliot, and </w:t>
      </w:r>
      <w:proofErr w:type="spellStart"/>
      <w:r>
        <w:rPr>
          <w:rFonts w:ascii="Arial" w:hAnsi="Arial" w:cs="Arial"/>
          <w:szCs w:val="24"/>
        </w:rPr>
        <w:t>Joppe</w:t>
      </w:r>
      <w:proofErr w:type="spellEnd"/>
      <w:r>
        <w:rPr>
          <w:rFonts w:ascii="Arial" w:hAnsi="Arial" w:cs="Arial"/>
          <w:szCs w:val="24"/>
        </w:rPr>
        <w:t xml:space="preserve">, 2015). </w:t>
      </w:r>
    </w:p>
    <w:p w14:paraId="6FC97206" w14:textId="77777777" w:rsidR="0021676F" w:rsidRDefault="0021676F" w:rsidP="0021676F">
      <w:pPr>
        <w:rPr>
          <w:rFonts w:ascii="Arial" w:hAnsi="Arial" w:cs="Arial"/>
          <w:szCs w:val="24"/>
        </w:rPr>
      </w:pPr>
      <w:r>
        <w:rPr>
          <w:rFonts w:ascii="Arial" w:hAnsi="Arial" w:cs="Arial"/>
          <w:szCs w:val="24"/>
        </w:rPr>
        <w:t xml:space="preserve">For my project, I would start by identifying the stakeholders which would be as mentioned above. Then it would be important to understand how my project would affect them. So, for my environmental awareness project, they would gain a better idea of the environment but this might mean more work for them to maintain it, something they would have misgivings with. The same could be said with the community garden plan. For the community garden plan, there would be an extra issue due to local authorities and permissions and whether everyone in the community is comfortable with having a garden. </w:t>
      </w:r>
    </w:p>
    <w:p w14:paraId="1E283B08" w14:textId="77777777" w:rsidR="0021676F" w:rsidRDefault="0021676F" w:rsidP="0021676F">
      <w:pPr>
        <w:rPr>
          <w:rFonts w:ascii="Arial" w:hAnsi="Arial" w:cs="Arial"/>
          <w:szCs w:val="24"/>
        </w:rPr>
      </w:pPr>
      <w:r>
        <w:rPr>
          <w:rFonts w:ascii="Arial" w:hAnsi="Arial" w:cs="Arial"/>
          <w:szCs w:val="24"/>
        </w:rPr>
        <w:t>It is then important to find the connection between them and the engagement goals. After all the appropriate permits are gotten, they can be informed about the project, they can be consulted (which goes back to the active consultation phase), they can collaborate to create a problem-solving process and they can be empowered to work for it (</w:t>
      </w:r>
      <w:proofErr w:type="spellStart"/>
      <w:r>
        <w:rPr>
          <w:rFonts w:ascii="Arial" w:hAnsi="Arial" w:cs="Arial"/>
          <w:szCs w:val="24"/>
        </w:rPr>
        <w:t>Khazaei</w:t>
      </w:r>
      <w:proofErr w:type="spellEnd"/>
      <w:r>
        <w:rPr>
          <w:rFonts w:ascii="Arial" w:hAnsi="Arial" w:cs="Arial"/>
          <w:szCs w:val="24"/>
        </w:rPr>
        <w:t xml:space="preserve">, Elliot and </w:t>
      </w:r>
      <w:proofErr w:type="spellStart"/>
      <w:r>
        <w:rPr>
          <w:rFonts w:ascii="Arial" w:hAnsi="Arial" w:cs="Arial"/>
          <w:szCs w:val="24"/>
        </w:rPr>
        <w:t>Joppe</w:t>
      </w:r>
      <w:proofErr w:type="spellEnd"/>
      <w:r>
        <w:rPr>
          <w:rFonts w:ascii="Arial" w:hAnsi="Arial" w:cs="Arial"/>
          <w:szCs w:val="24"/>
        </w:rPr>
        <w:t xml:space="preserve">, 2015). Finally, constant communication should be maintained with them which should be through social media, via Facebook or Google Calendar where changes would be communicated with them, and they can stay ahead of the curve in terms of new plans. </w:t>
      </w:r>
    </w:p>
    <w:p w14:paraId="086D5649" w14:textId="77777777" w:rsidR="0021676F" w:rsidRDefault="0021676F" w:rsidP="0021676F">
      <w:pPr>
        <w:rPr>
          <w:rFonts w:ascii="Arial" w:hAnsi="Arial" w:cs="Arial"/>
          <w:b/>
          <w:bCs/>
          <w:szCs w:val="24"/>
        </w:rPr>
      </w:pPr>
      <w:r>
        <w:rPr>
          <w:rFonts w:ascii="Arial" w:hAnsi="Arial" w:cs="Arial"/>
          <w:b/>
          <w:bCs/>
          <w:szCs w:val="24"/>
        </w:rPr>
        <w:t>Inclusion</w:t>
      </w:r>
    </w:p>
    <w:p w14:paraId="6593E0B8" w14:textId="77777777" w:rsidR="0021676F" w:rsidRDefault="0021676F" w:rsidP="0021676F">
      <w:pPr>
        <w:rPr>
          <w:rFonts w:ascii="Arial" w:hAnsi="Arial" w:cs="Arial"/>
          <w:szCs w:val="24"/>
        </w:rPr>
      </w:pPr>
      <w:r>
        <w:rPr>
          <w:rFonts w:ascii="Arial" w:hAnsi="Arial" w:cs="Arial"/>
          <w:szCs w:val="24"/>
        </w:rPr>
        <w:t xml:space="preserve">Inclusion is a concept that describes the need to involve everyone within a project, regardless of their ethnic background or the colour of their skin. Inclusion correlates directly to engagement processes where there is a need to understand the need for diversity and how to attract them further (Amado, </w:t>
      </w:r>
      <w:proofErr w:type="spellStart"/>
      <w:r>
        <w:rPr>
          <w:rFonts w:ascii="Arial" w:hAnsi="Arial" w:cs="Arial"/>
          <w:szCs w:val="24"/>
        </w:rPr>
        <w:t>Stancliffe</w:t>
      </w:r>
      <w:proofErr w:type="spellEnd"/>
      <w:r>
        <w:rPr>
          <w:rFonts w:ascii="Arial" w:hAnsi="Arial" w:cs="Arial"/>
          <w:szCs w:val="24"/>
        </w:rPr>
        <w:t xml:space="preserve">, McCarron, and </w:t>
      </w:r>
      <w:proofErr w:type="spellStart"/>
      <w:r>
        <w:rPr>
          <w:rFonts w:ascii="Arial" w:hAnsi="Arial" w:cs="Arial"/>
          <w:szCs w:val="24"/>
        </w:rPr>
        <w:t>McCallion</w:t>
      </w:r>
      <w:proofErr w:type="spellEnd"/>
      <w:r>
        <w:rPr>
          <w:rFonts w:ascii="Arial" w:hAnsi="Arial" w:cs="Arial"/>
          <w:szCs w:val="24"/>
        </w:rPr>
        <w:t xml:space="preserve">, 2013). It is important to know what barrier is affecting them, whether it be a cultural or physical one, and then decide how to approach them through it. For diverse individuals, the first communication is of utmost importance therefore, strong planning is required before approaching them. It is important to know their capability as stakeholders and how active they are within the community. If they are not active (Amado, </w:t>
      </w:r>
      <w:proofErr w:type="spellStart"/>
      <w:r>
        <w:rPr>
          <w:rFonts w:ascii="Arial" w:hAnsi="Arial" w:cs="Arial"/>
          <w:szCs w:val="24"/>
        </w:rPr>
        <w:t>Stancliffe</w:t>
      </w:r>
      <w:proofErr w:type="spellEnd"/>
      <w:r>
        <w:rPr>
          <w:rFonts w:ascii="Arial" w:hAnsi="Arial" w:cs="Arial"/>
          <w:szCs w:val="24"/>
        </w:rPr>
        <w:t xml:space="preserve">, McCarron, and </w:t>
      </w:r>
      <w:proofErr w:type="spellStart"/>
      <w:r>
        <w:rPr>
          <w:rFonts w:ascii="Arial" w:hAnsi="Arial" w:cs="Arial"/>
          <w:szCs w:val="24"/>
        </w:rPr>
        <w:t>McCallion</w:t>
      </w:r>
      <w:proofErr w:type="spellEnd"/>
      <w:r>
        <w:rPr>
          <w:rFonts w:ascii="Arial" w:hAnsi="Arial" w:cs="Arial"/>
          <w:szCs w:val="24"/>
        </w:rPr>
        <w:t>, 2013), it should be a goal to understand why because that would subsequently affect their participation in the current project being undertaken. Within this, we also have to consider the time and resources available for the community project and most importantly to reach these individuals. This can be in regards to their food needs, economic needs, childcare needs, venues, and more. What is also important to note is that volunteers will most likely come from these communities so it is important to attract them through social media or activities geared towards them (Milner and Kelly, 2009).</w:t>
      </w:r>
    </w:p>
    <w:p w14:paraId="7520E781" w14:textId="77777777" w:rsidR="0021676F" w:rsidRDefault="0021676F" w:rsidP="0021676F">
      <w:pPr>
        <w:rPr>
          <w:rFonts w:ascii="Arial" w:hAnsi="Arial" w:cs="Arial"/>
          <w:szCs w:val="24"/>
        </w:rPr>
      </w:pPr>
      <w:r>
        <w:rPr>
          <w:rFonts w:ascii="Arial" w:hAnsi="Arial" w:cs="Arial"/>
          <w:szCs w:val="24"/>
        </w:rPr>
        <w:t xml:space="preserve">Within all of these, the need for flexibility is also a must because everyone leads busy lives and contexts may change as the work begins. Therefore, even as stakeholders may challenge this project, it is important to take their input rather than be resolute. </w:t>
      </w:r>
    </w:p>
    <w:p w14:paraId="0A5E38F3" w14:textId="77777777" w:rsidR="0021676F" w:rsidRDefault="0021676F" w:rsidP="0021676F">
      <w:pPr>
        <w:pStyle w:val="2"/>
        <w:spacing w:before="120"/>
        <w:rPr>
          <w:rFonts w:ascii="Arial" w:hAnsi="Arial" w:cs="Arial"/>
          <w:sz w:val="24"/>
          <w:szCs w:val="24"/>
        </w:rPr>
      </w:pPr>
      <w:bookmarkStart w:id="12" w:name="_Toc100675091"/>
      <w:bookmarkStart w:id="13" w:name="_Toc100664842"/>
      <w:bookmarkStart w:id="14" w:name="_Toc100684743"/>
      <w:r>
        <w:rPr>
          <w:rFonts w:ascii="Arial" w:hAnsi="Arial" w:cs="Arial"/>
          <w:sz w:val="24"/>
          <w:szCs w:val="24"/>
        </w:rPr>
        <w:t>Analysis</w:t>
      </w:r>
      <w:bookmarkEnd w:id="12"/>
      <w:bookmarkEnd w:id="13"/>
      <w:bookmarkEnd w:id="14"/>
    </w:p>
    <w:p w14:paraId="5BBB8A22" w14:textId="77777777" w:rsidR="0021676F" w:rsidRDefault="0021676F" w:rsidP="0021676F">
      <w:pPr>
        <w:rPr>
          <w:rFonts w:ascii="Arial" w:hAnsi="Arial" w:cs="Arial"/>
          <w:b/>
          <w:bCs/>
          <w:szCs w:val="24"/>
        </w:rPr>
      </w:pPr>
      <w:r>
        <w:rPr>
          <w:rFonts w:ascii="Arial" w:hAnsi="Arial" w:cs="Arial"/>
          <w:b/>
          <w:bCs/>
          <w:szCs w:val="24"/>
        </w:rPr>
        <w:t>Research</w:t>
      </w:r>
    </w:p>
    <w:p w14:paraId="44AF1B9C" w14:textId="77777777" w:rsidR="0021676F" w:rsidRDefault="0021676F" w:rsidP="0021676F">
      <w:pPr>
        <w:rPr>
          <w:rFonts w:ascii="Arial" w:hAnsi="Arial" w:cs="Arial"/>
          <w:szCs w:val="24"/>
        </w:rPr>
      </w:pPr>
      <w:r>
        <w:rPr>
          <w:rFonts w:ascii="Arial" w:hAnsi="Arial" w:cs="Arial"/>
          <w:szCs w:val="24"/>
        </w:rPr>
        <w:t>Community projects cannot be undertaken on a whim. It is important to conduct the appropriate research before going forward with a community project. The research itself can help design the project and even to remove something that would not be feasible. There are different types of research but research is also expensive so before doing one, it is important to know what type of research should be taken (</w:t>
      </w:r>
      <w:proofErr w:type="spellStart"/>
      <w:r>
        <w:rPr>
          <w:rFonts w:ascii="Arial" w:hAnsi="Arial" w:cs="Arial"/>
          <w:szCs w:val="24"/>
        </w:rPr>
        <w:t>Aquilué</w:t>
      </w:r>
      <w:proofErr w:type="spellEnd"/>
      <w:r>
        <w:rPr>
          <w:rFonts w:ascii="Arial" w:hAnsi="Arial" w:cs="Arial"/>
          <w:szCs w:val="24"/>
        </w:rPr>
        <w:t xml:space="preserve"> et al., 2021). Research can be done in two-time frames, either before or after the project but for community projects, it should be done before the project has been started. It is also better to take an easy approach to it without making it too complicated.</w:t>
      </w:r>
    </w:p>
    <w:p w14:paraId="0CC300AC" w14:textId="77777777" w:rsidR="0021676F" w:rsidRDefault="0021676F" w:rsidP="0021676F">
      <w:pPr>
        <w:rPr>
          <w:rFonts w:ascii="Arial" w:hAnsi="Arial" w:cs="Arial"/>
          <w:szCs w:val="24"/>
        </w:rPr>
      </w:pPr>
      <w:r>
        <w:rPr>
          <w:rFonts w:ascii="Arial" w:hAnsi="Arial" w:cs="Arial"/>
          <w:szCs w:val="24"/>
        </w:rPr>
        <w:t xml:space="preserve">It is important to make sure that the community project does not get lost in the research because the research itself can be exploratory but also unnecessary. Community project research is often based on taking surveys, in-depth interviews, or case studies that have already been undertaken in the area. It can thus be emic or etic, with an inside view of an outside view that can be done through case studies. For my project, I would take note if there is an existing project in the area, what the perception of environmental awareness or community gardens is, and how interested they are in it. </w:t>
      </w:r>
    </w:p>
    <w:p w14:paraId="2FFD8786" w14:textId="77777777" w:rsidR="0021676F" w:rsidRDefault="0021676F" w:rsidP="0021676F">
      <w:pPr>
        <w:rPr>
          <w:rFonts w:ascii="Arial" w:hAnsi="Arial" w:cs="Arial"/>
          <w:szCs w:val="24"/>
        </w:rPr>
      </w:pPr>
      <w:r>
        <w:rPr>
          <w:rFonts w:ascii="Arial" w:hAnsi="Arial" w:cs="Arial"/>
          <w:szCs w:val="24"/>
        </w:rPr>
        <w:t xml:space="preserve">Before doing the research, the structure of the community must be adjusted to adhere to the standards that people expect. This is to say there should not be only one person at the top but rather a committee of members to make it more of a democracy than autocracy. Program goals should be outlined clearly and the community should be informed regularly. This can be done through public forum meetings or workshops that are informal to not make them nervous. Community conflicts should also be identified such as the tensions or conflicts between families so that they do not interfere with the community objective. </w:t>
      </w:r>
    </w:p>
    <w:p w14:paraId="2C44ECA2" w14:textId="77777777" w:rsidR="0021676F" w:rsidRDefault="0021676F" w:rsidP="0021676F">
      <w:pPr>
        <w:rPr>
          <w:rFonts w:ascii="Arial" w:hAnsi="Arial" w:cs="Arial"/>
          <w:b/>
          <w:bCs/>
          <w:szCs w:val="24"/>
        </w:rPr>
      </w:pPr>
      <w:r>
        <w:rPr>
          <w:rFonts w:ascii="Arial" w:hAnsi="Arial" w:cs="Arial"/>
          <w:b/>
          <w:bCs/>
          <w:szCs w:val="24"/>
        </w:rPr>
        <w:t>Community Mapping</w:t>
      </w:r>
    </w:p>
    <w:p w14:paraId="6B36CB3B" w14:textId="77777777" w:rsidR="0021676F" w:rsidRDefault="0021676F" w:rsidP="0021676F">
      <w:pPr>
        <w:rPr>
          <w:rFonts w:ascii="Arial" w:hAnsi="Arial" w:cs="Arial"/>
          <w:szCs w:val="24"/>
        </w:rPr>
      </w:pPr>
      <w:r>
        <w:rPr>
          <w:rFonts w:ascii="Arial" w:hAnsi="Arial" w:cs="Arial"/>
          <w:szCs w:val="24"/>
        </w:rPr>
        <w:t xml:space="preserve">Community mapping is a process that helps with mapping out a visual representation of a community’s attributes (Perkins, 2007). It is a conceptual process that helps community project managers understand how to approach communication and facilitation within the community. This is done by collecting data to create a map and highlighting people of different backgrounds, economic statuses, and employment rates (Parker, 2006). It helps to gather in-depth information and identify the opportunities and challenges that meet the transition needs. It can also help find new resources to develop, enhance and sustain goals. It helps with encouraging the development of future legislation and policy goals. </w:t>
      </w:r>
    </w:p>
    <w:p w14:paraId="301F821B" w14:textId="77777777" w:rsidR="0021676F" w:rsidRDefault="0021676F" w:rsidP="0021676F">
      <w:pPr>
        <w:rPr>
          <w:rFonts w:ascii="Arial" w:hAnsi="Arial" w:cs="Arial"/>
          <w:szCs w:val="24"/>
        </w:rPr>
      </w:pPr>
      <w:r>
        <w:rPr>
          <w:rFonts w:ascii="Arial" w:hAnsi="Arial" w:cs="Arial"/>
          <w:szCs w:val="24"/>
        </w:rPr>
        <w:t xml:space="preserve">In the case of Urban Community Projects, they conducted this by engaging youth involved in crime. They knew that crime in the area was a risk so their decision to engage the kids in other projects shows their process of community mapping. Generally, community mapping is done using census data from the government and is a good technique to ensure there are no issues later on. </w:t>
      </w:r>
    </w:p>
    <w:p w14:paraId="43CF2066" w14:textId="77777777" w:rsidR="0021676F" w:rsidRDefault="0021676F" w:rsidP="0021676F">
      <w:pPr>
        <w:rPr>
          <w:rFonts w:ascii="Arial" w:hAnsi="Arial" w:cs="Arial"/>
          <w:b/>
          <w:bCs/>
          <w:szCs w:val="24"/>
        </w:rPr>
      </w:pPr>
      <w:r>
        <w:rPr>
          <w:rFonts w:ascii="Arial" w:hAnsi="Arial" w:cs="Arial"/>
          <w:b/>
          <w:bCs/>
          <w:szCs w:val="24"/>
        </w:rPr>
        <w:t>Community Impact Analysis</w:t>
      </w:r>
    </w:p>
    <w:p w14:paraId="7C1AB3AE" w14:textId="77777777" w:rsidR="0021676F" w:rsidRDefault="0021676F" w:rsidP="0021676F">
      <w:pPr>
        <w:rPr>
          <w:rFonts w:ascii="Arial" w:hAnsi="Arial" w:cs="Arial"/>
          <w:szCs w:val="24"/>
        </w:rPr>
      </w:pPr>
      <w:r>
        <w:rPr>
          <w:rFonts w:ascii="Arial" w:hAnsi="Arial" w:cs="Arial"/>
          <w:szCs w:val="24"/>
        </w:rPr>
        <w:t xml:space="preserve">Community impact analysis is a process to understand the planning, project development, and decision-making process throughout the project planning process. It plays a role in understanding how a particular project has affected the community and helps in understanding the nature of the project as well as the communities that are affected. It creates the profile of the community and analyses the impacts of each project alternative (Kim, </w:t>
      </w:r>
      <w:proofErr w:type="spellStart"/>
      <w:r>
        <w:rPr>
          <w:rFonts w:ascii="Arial" w:hAnsi="Arial" w:cs="Arial"/>
          <w:szCs w:val="24"/>
        </w:rPr>
        <w:t>Uysal</w:t>
      </w:r>
      <w:proofErr w:type="spellEnd"/>
      <w:r>
        <w:rPr>
          <w:rFonts w:ascii="Arial" w:hAnsi="Arial" w:cs="Arial"/>
          <w:szCs w:val="24"/>
        </w:rPr>
        <w:t xml:space="preserve"> and </w:t>
      </w:r>
      <w:proofErr w:type="spellStart"/>
      <w:r>
        <w:rPr>
          <w:rFonts w:ascii="Arial" w:hAnsi="Arial" w:cs="Arial"/>
          <w:szCs w:val="24"/>
        </w:rPr>
        <w:t>Sirgy</w:t>
      </w:r>
      <w:proofErr w:type="spellEnd"/>
      <w:r>
        <w:rPr>
          <w:rFonts w:ascii="Arial" w:hAnsi="Arial" w:cs="Arial"/>
          <w:szCs w:val="24"/>
        </w:rPr>
        <w:t xml:space="preserve">, 2013). It also understands the opportunities to avoid minimize and mitigate against the future. While impact analyses have a basic structure in play, they can be modified to include other information as well. It is like a scale and an example will be given below. </w:t>
      </w:r>
    </w:p>
    <w:p w14:paraId="276C171E" w14:textId="1CA20AD7" w:rsidR="0021676F" w:rsidRDefault="0021676F" w:rsidP="0021676F">
      <w:pPr>
        <w:jc w:val="center"/>
        <w:rPr>
          <w:rFonts w:ascii="Arial" w:hAnsi="Arial" w:cs="Arial"/>
          <w:szCs w:val="24"/>
        </w:rPr>
      </w:pPr>
      <w:r>
        <w:rPr>
          <w:rFonts w:ascii="Arial" w:hAnsi="Arial" w:cs="Arial"/>
          <w:noProof/>
          <w:szCs w:val="24"/>
        </w:rPr>
        <w:drawing>
          <wp:inline distT="0" distB="0" distL="0" distR="0" wp14:anchorId="60CC7740" wp14:editId="4A077F0E">
            <wp:extent cx="5734050" cy="3289300"/>
            <wp:effectExtent l="0" t="0" r="0" b="6350"/>
            <wp:docPr id="1" name="Picture 1" descr="Impact analysis matri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act analysis matrix.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289300"/>
                    </a:xfrm>
                    <a:prstGeom prst="rect">
                      <a:avLst/>
                    </a:prstGeom>
                    <a:noFill/>
                    <a:ln>
                      <a:noFill/>
                    </a:ln>
                  </pic:spPr>
                </pic:pic>
              </a:graphicData>
            </a:graphic>
          </wp:inline>
        </w:drawing>
      </w:r>
    </w:p>
    <w:p w14:paraId="78BFABF1" w14:textId="77777777" w:rsidR="0021676F" w:rsidRDefault="0021676F" w:rsidP="0021676F">
      <w:pPr>
        <w:pStyle w:val="a3"/>
        <w:spacing w:line="360" w:lineRule="auto"/>
        <w:jc w:val="center"/>
        <w:rPr>
          <w:rFonts w:ascii="Arial" w:hAnsi="Arial" w:cs="Arial"/>
          <w:sz w:val="24"/>
          <w:szCs w:val="24"/>
        </w:rPr>
      </w:pPr>
      <w:r>
        <w:rPr>
          <w:rFonts w:ascii="Arial" w:hAnsi="Arial" w:cs="Arial"/>
          <w:sz w:val="24"/>
          <w:szCs w:val="24"/>
        </w:rPr>
        <w:t xml:space="preserve">Figure </w:t>
      </w:r>
      <w:r>
        <w:rPr>
          <w:rFonts w:ascii="Arial" w:hAnsi="Arial" w:cs="Arial"/>
          <w:sz w:val="24"/>
          <w:szCs w:val="24"/>
        </w:rPr>
        <w:fldChar w:fldCharType="begin"/>
      </w:r>
      <w:r>
        <w:rPr>
          <w:rFonts w:ascii="Arial" w:hAnsi="Arial" w:cs="Arial"/>
          <w:sz w:val="24"/>
          <w:szCs w:val="24"/>
        </w:rPr>
        <w:instrText xml:space="preserve"> SEQ Figure \* ARABIC </w:instrText>
      </w:r>
      <w:r>
        <w:rPr>
          <w:rFonts w:ascii="Arial" w:hAnsi="Arial" w:cs="Arial"/>
          <w:sz w:val="24"/>
          <w:szCs w:val="24"/>
        </w:rPr>
        <w:fldChar w:fldCharType="separate"/>
      </w:r>
      <w:r>
        <w:rPr>
          <w:rFonts w:ascii="Arial" w:hAnsi="Arial" w:cs="Arial"/>
          <w:noProof/>
          <w:sz w:val="24"/>
          <w:szCs w:val="24"/>
        </w:rPr>
        <w:t>2</w:t>
      </w:r>
      <w:r>
        <w:rPr>
          <w:rFonts w:ascii="Arial" w:hAnsi="Arial" w:cs="Arial"/>
          <w:noProof/>
          <w:sz w:val="24"/>
          <w:szCs w:val="24"/>
        </w:rPr>
        <w:fldChar w:fldCharType="end"/>
      </w:r>
      <w:r>
        <w:rPr>
          <w:rFonts w:ascii="Arial" w:hAnsi="Arial" w:cs="Arial"/>
          <w:sz w:val="24"/>
          <w:szCs w:val="24"/>
        </w:rPr>
        <w:t>: Example of Impact Analysis Matrix, (</w:t>
      </w:r>
      <w:proofErr w:type="spellStart"/>
      <w:r>
        <w:rPr>
          <w:rFonts w:ascii="Arial" w:hAnsi="Arial" w:cs="Arial"/>
          <w:sz w:val="24"/>
          <w:szCs w:val="24"/>
        </w:rPr>
        <w:t>Aquilué</w:t>
      </w:r>
      <w:proofErr w:type="spellEnd"/>
      <w:r>
        <w:rPr>
          <w:rFonts w:ascii="Arial" w:hAnsi="Arial" w:cs="Arial"/>
          <w:sz w:val="24"/>
          <w:szCs w:val="24"/>
        </w:rPr>
        <w:t xml:space="preserve"> et al., 2021)</w:t>
      </w:r>
    </w:p>
    <w:p w14:paraId="6C3438C8" w14:textId="77777777" w:rsidR="0021676F" w:rsidRDefault="0021676F" w:rsidP="0021676F">
      <w:pPr>
        <w:rPr>
          <w:rFonts w:ascii="Arial" w:hAnsi="Arial" w:cs="Arial"/>
          <w:b/>
          <w:bCs/>
          <w:szCs w:val="24"/>
        </w:rPr>
      </w:pPr>
      <w:r>
        <w:rPr>
          <w:rFonts w:ascii="Arial" w:hAnsi="Arial" w:cs="Arial"/>
          <w:b/>
          <w:bCs/>
          <w:szCs w:val="24"/>
        </w:rPr>
        <w:t>Social Media</w:t>
      </w:r>
    </w:p>
    <w:p w14:paraId="2A7330CA" w14:textId="77777777" w:rsidR="0021676F" w:rsidRDefault="0021676F" w:rsidP="0021676F">
      <w:pPr>
        <w:rPr>
          <w:rFonts w:ascii="Arial" w:hAnsi="Arial" w:cs="Arial"/>
          <w:szCs w:val="24"/>
        </w:rPr>
      </w:pPr>
      <w:r>
        <w:rPr>
          <w:rFonts w:ascii="Arial" w:hAnsi="Arial" w:cs="Arial"/>
          <w:szCs w:val="24"/>
        </w:rPr>
        <w:t xml:space="preserve">Social media has become a tool that has a significant impact on engagement within a locality or community. In the present context, anyone from government representatives to residents is on Facebook, Twitter, or Instagram. Residents and community members are thus able to engage with others and communicate effectively. Because social media is free, many people can use it and it can also be particular to specific groups, making it much easier to reach them. Social media also gives residents the ability to connect with local government and ask questions to get answers to particular decisions made (Graham, 2014). They are also a way in community engagement to incite excitement about a project and how they can go about completing it. It is also important to know which social media apps are being used in which area because there is a degree of popularity among them. Younger children prefer </w:t>
      </w:r>
      <w:proofErr w:type="spellStart"/>
      <w:r>
        <w:rPr>
          <w:rFonts w:ascii="Arial" w:hAnsi="Arial" w:cs="Arial"/>
          <w:szCs w:val="24"/>
        </w:rPr>
        <w:t>Tiktok</w:t>
      </w:r>
      <w:proofErr w:type="spellEnd"/>
      <w:r>
        <w:rPr>
          <w:rFonts w:ascii="Arial" w:hAnsi="Arial" w:cs="Arial"/>
          <w:szCs w:val="24"/>
        </w:rPr>
        <w:t xml:space="preserve"> while older individuals prefer Facebook (Chen and </w:t>
      </w:r>
      <w:proofErr w:type="spellStart"/>
      <w:r>
        <w:rPr>
          <w:rFonts w:ascii="Arial" w:hAnsi="Arial" w:cs="Arial"/>
          <w:szCs w:val="24"/>
        </w:rPr>
        <w:t>DiVall</w:t>
      </w:r>
      <w:proofErr w:type="spellEnd"/>
      <w:r>
        <w:rPr>
          <w:rFonts w:ascii="Arial" w:hAnsi="Arial" w:cs="Arial"/>
          <w:szCs w:val="24"/>
        </w:rPr>
        <w:t xml:space="preserve">, 2018). </w:t>
      </w:r>
    </w:p>
    <w:p w14:paraId="20239106" w14:textId="77777777" w:rsidR="0021676F" w:rsidRDefault="0021676F" w:rsidP="0021676F">
      <w:pPr>
        <w:rPr>
          <w:rFonts w:ascii="Arial" w:hAnsi="Arial" w:cs="Arial"/>
          <w:szCs w:val="24"/>
        </w:rPr>
      </w:pPr>
      <w:r>
        <w:rPr>
          <w:rFonts w:ascii="Arial" w:hAnsi="Arial" w:cs="Arial"/>
          <w:szCs w:val="24"/>
        </w:rPr>
        <w:t xml:space="preserve">For Urban community projects, this participation seemed low and for my project, I would work through using gamification methods or private groups where they are free to share their ideas and participate. </w:t>
      </w:r>
    </w:p>
    <w:p w14:paraId="0F7F4C47" w14:textId="77777777" w:rsidR="0021676F" w:rsidRDefault="0021676F" w:rsidP="0021676F">
      <w:pPr>
        <w:rPr>
          <w:rFonts w:ascii="Arial" w:hAnsi="Arial" w:cs="Arial"/>
          <w:b/>
          <w:bCs/>
          <w:szCs w:val="24"/>
        </w:rPr>
      </w:pPr>
      <w:r>
        <w:rPr>
          <w:rFonts w:ascii="Arial" w:hAnsi="Arial" w:cs="Arial"/>
          <w:b/>
          <w:bCs/>
          <w:szCs w:val="24"/>
        </w:rPr>
        <w:t>Evaluation</w:t>
      </w:r>
    </w:p>
    <w:p w14:paraId="219E0301" w14:textId="77777777" w:rsidR="0021676F" w:rsidRDefault="0021676F" w:rsidP="0021676F">
      <w:pPr>
        <w:rPr>
          <w:rFonts w:ascii="Arial" w:hAnsi="Arial" w:cs="Arial"/>
          <w:szCs w:val="24"/>
        </w:rPr>
      </w:pPr>
      <w:r>
        <w:rPr>
          <w:rFonts w:ascii="Arial" w:hAnsi="Arial" w:cs="Arial"/>
          <w:szCs w:val="24"/>
        </w:rPr>
        <w:t>We can consider an evaluation to also be a part of a research project because it gives it legitimacy and improvement (</w:t>
      </w:r>
      <w:proofErr w:type="spellStart"/>
      <w:r>
        <w:rPr>
          <w:rFonts w:ascii="Arial" w:hAnsi="Arial" w:cs="Arial"/>
          <w:szCs w:val="24"/>
        </w:rPr>
        <w:t>Butterfoss</w:t>
      </w:r>
      <w:proofErr w:type="spellEnd"/>
      <w:r>
        <w:rPr>
          <w:rFonts w:ascii="Arial" w:hAnsi="Arial" w:cs="Arial"/>
          <w:szCs w:val="24"/>
        </w:rPr>
        <w:t>, 2006). Community projects are assessed on how beneficial they are for the community and in the case of the Urban Community Project, they have benefited many through the inclusion of youth and employment practices for individuals. Their engagement processes can be improved. However, when evaluating the best practices for the community, this can be summarised into the following:</w:t>
      </w:r>
    </w:p>
    <w:p w14:paraId="45E61494" w14:textId="77777777" w:rsidR="0021676F" w:rsidRDefault="0021676F" w:rsidP="0021676F">
      <w:pPr>
        <w:pStyle w:val="a4"/>
        <w:numPr>
          <w:ilvl w:val="0"/>
          <w:numId w:val="2"/>
        </w:numPr>
        <w:rPr>
          <w:rFonts w:ascii="Arial" w:hAnsi="Arial" w:cs="Arial"/>
          <w:szCs w:val="24"/>
        </w:rPr>
      </w:pPr>
      <w:r>
        <w:rPr>
          <w:rFonts w:ascii="Arial" w:hAnsi="Arial" w:cs="Arial"/>
          <w:szCs w:val="24"/>
        </w:rPr>
        <w:t>Proper Engagement</w:t>
      </w:r>
    </w:p>
    <w:p w14:paraId="26B05C17" w14:textId="77777777" w:rsidR="0021676F" w:rsidRDefault="0021676F" w:rsidP="0021676F">
      <w:pPr>
        <w:pStyle w:val="a4"/>
        <w:numPr>
          <w:ilvl w:val="0"/>
          <w:numId w:val="2"/>
        </w:numPr>
        <w:rPr>
          <w:rFonts w:ascii="Arial" w:hAnsi="Arial" w:cs="Arial"/>
          <w:szCs w:val="24"/>
        </w:rPr>
      </w:pPr>
      <w:r>
        <w:rPr>
          <w:rFonts w:ascii="Arial" w:hAnsi="Arial" w:cs="Arial"/>
          <w:szCs w:val="24"/>
        </w:rPr>
        <w:t>Social Media platforms for communication</w:t>
      </w:r>
    </w:p>
    <w:p w14:paraId="56C9AE87" w14:textId="77777777" w:rsidR="0021676F" w:rsidRDefault="0021676F" w:rsidP="0021676F">
      <w:pPr>
        <w:pStyle w:val="a4"/>
        <w:numPr>
          <w:ilvl w:val="0"/>
          <w:numId w:val="2"/>
        </w:numPr>
        <w:rPr>
          <w:rFonts w:ascii="Arial" w:hAnsi="Arial" w:cs="Arial"/>
          <w:szCs w:val="24"/>
        </w:rPr>
      </w:pPr>
      <w:r>
        <w:rPr>
          <w:rFonts w:ascii="Arial" w:hAnsi="Arial" w:cs="Arial"/>
          <w:szCs w:val="24"/>
        </w:rPr>
        <w:t>Workshops or events to allow people to share their thoughts</w:t>
      </w:r>
    </w:p>
    <w:p w14:paraId="12395886" w14:textId="77777777" w:rsidR="0021676F" w:rsidRDefault="0021676F" w:rsidP="0021676F">
      <w:pPr>
        <w:pStyle w:val="a4"/>
        <w:numPr>
          <w:ilvl w:val="0"/>
          <w:numId w:val="2"/>
        </w:numPr>
        <w:rPr>
          <w:rFonts w:ascii="Arial" w:hAnsi="Arial" w:cs="Arial"/>
          <w:szCs w:val="24"/>
        </w:rPr>
      </w:pPr>
      <w:r>
        <w:rPr>
          <w:rFonts w:ascii="Arial" w:hAnsi="Arial" w:cs="Arial"/>
          <w:szCs w:val="24"/>
        </w:rPr>
        <w:t>Active consultation methods to make sure people understand what projects are being undertaken.</w:t>
      </w:r>
    </w:p>
    <w:p w14:paraId="3D05BA3D" w14:textId="77777777" w:rsidR="0021676F" w:rsidRDefault="0021676F" w:rsidP="0021676F">
      <w:pPr>
        <w:pStyle w:val="a4"/>
        <w:numPr>
          <w:ilvl w:val="0"/>
          <w:numId w:val="2"/>
        </w:numPr>
        <w:rPr>
          <w:rFonts w:ascii="Arial" w:hAnsi="Arial" w:cs="Arial"/>
          <w:szCs w:val="24"/>
        </w:rPr>
      </w:pPr>
      <w:r>
        <w:rPr>
          <w:rFonts w:ascii="Arial" w:hAnsi="Arial" w:cs="Arial"/>
          <w:szCs w:val="24"/>
        </w:rPr>
        <w:t xml:space="preserve">Continual improvement. </w:t>
      </w:r>
    </w:p>
    <w:p w14:paraId="1C5346EC" w14:textId="77777777" w:rsidR="0021676F" w:rsidRDefault="0021676F" w:rsidP="0021676F">
      <w:pPr>
        <w:pStyle w:val="2"/>
        <w:spacing w:before="120"/>
        <w:rPr>
          <w:rFonts w:ascii="Arial" w:hAnsi="Arial" w:cs="Arial"/>
          <w:sz w:val="24"/>
          <w:szCs w:val="24"/>
        </w:rPr>
      </w:pPr>
      <w:bookmarkStart w:id="15" w:name="_Toc100675092"/>
      <w:bookmarkStart w:id="16" w:name="_Toc100664843"/>
      <w:bookmarkStart w:id="17" w:name="_Toc100684744"/>
      <w:r>
        <w:rPr>
          <w:rFonts w:ascii="Arial" w:hAnsi="Arial" w:cs="Arial"/>
          <w:sz w:val="24"/>
          <w:szCs w:val="24"/>
        </w:rPr>
        <w:t>Conclusion</w:t>
      </w:r>
      <w:bookmarkEnd w:id="15"/>
      <w:bookmarkEnd w:id="16"/>
      <w:bookmarkEnd w:id="17"/>
    </w:p>
    <w:p w14:paraId="41D47C5D" w14:textId="77777777" w:rsidR="0021676F" w:rsidRDefault="0021676F" w:rsidP="0021676F">
      <w:pPr>
        <w:rPr>
          <w:rFonts w:ascii="Arial" w:hAnsi="Arial" w:cs="Arial"/>
          <w:szCs w:val="24"/>
        </w:rPr>
      </w:pPr>
      <w:r>
        <w:rPr>
          <w:rFonts w:ascii="Arial" w:hAnsi="Arial" w:cs="Arial"/>
          <w:szCs w:val="24"/>
        </w:rPr>
        <w:t xml:space="preserve">We consider an engagement plan to be good when it works appropriately on the issue being addressed. It does not matter if the project is big or small. In this part, we discussed how to make a good community project and takeaways from another project. We also understood the importance of research in any project and how it can contribute to better outcomes. Having learned through this module, I am now confident in my ability to conduct a good community project plan that will help in the future. </w:t>
      </w:r>
    </w:p>
    <w:p w14:paraId="0FB3D135" w14:textId="4199A588" w:rsidR="0021676F" w:rsidRDefault="0021676F" w:rsidP="0021676F">
      <w:pPr>
        <w:rPr>
          <w:rFonts w:ascii="Arial" w:eastAsiaTheme="majorEastAsia" w:hAnsi="Arial" w:cs="Arial"/>
          <w:color w:val="2F5496" w:themeColor="accent1" w:themeShade="BF"/>
          <w:szCs w:val="24"/>
        </w:rPr>
      </w:pPr>
      <w:r>
        <w:rPr>
          <w:rFonts w:ascii="Arial" w:hAnsi="Arial" w:cs="Arial"/>
          <w:szCs w:val="24"/>
        </w:rPr>
        <w:br w:type="page"/>
      </w:r>
    </w:p>
    <w:p w14:paraId="2EC20DB1" w14:textId="4BDAD2F3" w:rsidR="0021676F" w:rsidRDefault="0021676F" w:rsidP="0021676F">
      <w:pPr>
        <w:pStyle w:val="1"/>
        <w:rPr>
          <w:shd w:val="clear" w:color="auto" w:fill="FFFFFF"/>
        </w:rPr>
      </w:pPr>
      <w:bookmarkStart w:id="18" w:name="_Toc100684745"/>
      <w:r>
        <w:rPr>
          <w:shd w:val="clear" w:color="auto" w:fill="FFFFFF"/>
        </w:rPr>
        <w:t>References</w:t>
      </w:r>
      <w:bookmarkEnd w:id="18"/>
    </w:p>
    <w:p w14:paraId="547C40E1" w14:textId="38123D2F" w:rsidR="0021676F" w:rsidRDefault="0021676F" w:rsidP="0021676F">
      <w:pPr>
        <w:rPr>
          <w:rFonts w:ascii="Arial" w:hAnsi="Arial" w:cs="Arial"/>
          <w:color w:val="222222"/>
          <w:szCs w:val="24"/>
          <w:shd w:val="clear" w:color="auto" w:fill="FFFFFF"/>
        </w:rPr>
      </w:pPr>
      <w:r>
        <w:rPr>
          <w:rFonts w:ascii="Arial" w:hAnsi="Arial" w:cs="Arial"/>
          <w:color w:val="222222"/>
          <w:szCs w:val="24"/>
          <w:shd w:val="clear" w:color="auto" w:fill="FFFFFF"/>
        </w:rPr>
        <w:t xml:space="preserve">Le </w:t>
      </w:r>
      <w:proofErr w:type="spellStart"/>
      <w:r>
        <w:rPr>
          <w:rFonts w:ascii="Arial" w:hAnsi="Arial" w:cs="Arial"/>
          <w:color w:val="222222"/>
          <w:szCs w:val="24"/>
          <w:shd w:val="clear" w:color="auto" w:fill="FFFFFF"/>
        </w:rPr>
        <w:t>Dantec</w:t>
      </w:r>
      <w:proofErr w:type="spellEnd"/>
      <w:r>
        <w:rPr>
          <w:rFonts w:ascii="Arial" w:hAnsi="Arial" w:cs="Arial"/>
          <w:color w:val="222222"/>
          <w:szCs w:val="24"/>
          <w:shd w:val="clear" w:color="auto" w:fill="FFFFFF"/>
        </w:rPr>
        <w:t>, C.A., 2016. Design through collective action/collective action through design. </w:t>
      </w:r>
      <w:r>
        <w:rPr>
          <w:rFonts w:ascii="Arial" w:hAnsi="Arial" w:cs="Arial"/>
          <w:i/>
          <w:iCs/>
          <w:color w:val="222222"/>
          <w:szCs w:val="24"/>
          <w:shd w:val="clear" w:color="auto" w:fill="FFFFFF"/>
        </w:rPr>
        <w:t>interactions</w:t>
      </w:r>
      <w:r>
        <w:rPr>
          <w:rFonts w:ascii="Arial" w:hAnsi="Arial" w:cs="Arial"/>
          <w:color w:val="222222"/>
          <w:szCs w:val="24"/>
          <w:shd w:val="clear" w:color="auto" w:fill="FFFFFF"/>
        </w:rPr>
        <w:t>, </w:t>
      </w:r>
      <w:r>
        <w:rPr>
          <w:rFonts w:ascii="Arial" w:hAnsi="Arial" w:cs="Arial"/>
          <w:i/>
          <w:iCs/>
          <w:color w:val="222222"/>
          <w:szCs w:val="24"/>
          <w:shd w:val="clear" w:color="auto" w:fill="FFFFFF"/>
        </w:rPr>
        <w:t>24</w:t>
      </w:r>
      <w:r>
        <w:rPr>
          <w:rFonts w:ascii="Arial" w:hAnsi="Arial" w:cs="Arial"/>
          <w:color w:val="222222"/>
          <w:szCs w:val="24"/>
          <w:shd w:val="clear" w:color="auto" w:fill="FFFFFF"/>
        </w:rPr>
        <w:t>(1), pp.24-30.</w:t>
      </w:r>
    </w:p>
    <w:p w14:paraId="3DD1E0F0" w14:textId="77777777" w:rsidR="0021676F" w:rsidRDefault="0021676F" w:rsidP="0021676F">
      <w:pPr>
        <w:rPr>
          <w:rFonts w:ascii="Arial" w:hAnsi="Arial" w:cs="Arial"/>
          <w:color w:val="222222"/>
          <w:szCs w:val="24"/>
          <w:shd w:val="clear" w:color="auto" w:fill="FFFFFF"/>
        </w:rPr>
      </w:pPr>
      <w:r>
        <w:rPr>
          <w:rFonts w:ascii="Arial" w:hAnsi="Arial" w:cs="Arial"/>
          <w:color w:val="222222"/>
          <w:szCs w:val="24"/>
          <w:shd w:val="clear" w:color="auto" w:fill="FFFFFF"/>
        </w:rPr>
        <w:t>Lynn Kenyon, M.A., 2009. Community engagement: from a professional to a public perspective. </w:t>
      </w:r>
      <w:r>
        <w:rPr>
          <w:rFonts w:ascii="Arial" w:hAnsi="Arial" w:cs="Arial"/>
          <w:i/>
          <w:iCs/>
          <w:color w:val="222222"/>
          <w:szCs w:val="24"/>
          <w:shd w:val="clear" w:color="auto" w:fill="FFFFFF"/>
        </w:rPr>
        <w:t>Community Practitioner</w:t>
      </w:r>
      <w:r>
        <w:rPr>
          <w:rFonts w:ascii="Arial" w:hAnsi="Arial" w:cs="Arial"/>
          <w:color w:val="222222"/>
          <w:szCs w:val="24"/>
          <w:shd w:val="clear" w:color="auto" w:fill="FFFFFF"/>
        </w:rPr>
        <w:t>, </w:t>
      </w:r>
      <w:r>
        <w:rPr>
          <w:rFonts w:ascii="Arial" w:hAnsi="Arial" w:cs="Arial"/>
          <w:i/>
          <w:iCs/>
          <w:color w:val="222222"/>
          <w:szCs w:val="24"/>
          <w:shd w:val="clear" w:color="auto" w:fill="FFFFFF"/>
        </w:rPr>
        <w:t>82</w:t>
      </w:r>
      <w:r>
        <w:rPr>
          <w:rFonts w:ascii="Arial" w:hAnsi="Arial" w:cs="Arial"/>
          <w:color w:val="222222"/>
          <w:szCs w:val="24"/>
          <w:shd w:val="clear" w:color="auto" w:fill="FFFFFF"/>
        </w:rPr>
        <w:t>(2), p.22.</w:t>
      </w:r>
    </w:p>
    <w:p w14:paraId="37AF31ED" w14:textId="77777777" w:rsidR="0021676F" w:rsidRDefault="0021676F" w:rsidP="0021676F">
      <w:pPr>
        <w:rPr>
          <w:rFonts w:ascii="Arial" w:hAnsi="Arial" w:cs="Arial"/>
          <w:color w:val="222222"/>
          <w:szCs w:val="24"/>
          <w:shd w:val="clear" w:color="auto" w:fill="FFFFFF"/>
        </w:rPr>
      </w:pPr>
      <w:r>
        <w:rPr>
          <w:rFonts w:ascii="Arial" w:hAnsi="Arial" w:cs="Arial"/>
          <w:color w:val="222222"/>
          <w:szCs w:val="24"/>
          <w:shd w:val="clear" w:color="auto" w:fill="FFFFFF"/>
        </w:rPr>
        <w:t>Milner, P. and Kelly, B., 2009. Community participation and inclusion: People with disabilities defining their place. </w:t>
      </w:r>
      <w:r>
        <w:rPr>
          <w:rFonts w:ascii="Arial" w:hAnsi="Arial" w:cs="Arial"/>
          <w:i/>
          <w:iCs/>
          <w:color w:val="222222"/>
          <w:szCs w:val="24"/>
          <w:shd w:val="clear" w:color="auto" w:fill="FFFFFF"/>
        </w:rPr>
        <w:t>Disability &amp; Society</w:t>
      </w:r>
      <w:r>
        <w:rPr>
          <w:rFonts w:ascii="Arial" w:hAnsi="Arial" w:cs="Arial"/>
          <w:color w:val="222222"/>
          <w:szCs w:val="24"/>
          <w:shd w:val="clear" w:color="auto" w:fill="FFFFFF"/>
        </w:rPr>
        <w:t>, </w:t>
      </w:r>
      <w:r>
        <w:rPr>
          <w:rFonts w:ascii="Arial" w:hAnsi="Arial" w:cs="Arial"/>
          <w:i/>
          <w:iCs/>
          <w:color w:val="222222"/>
          <w:szCs w:val="24"/>
          <w:shd w:val="clear" w:color="auto" w:fill="FFFFFF"/>
        </w:rPr>
        <w:t>24</w:t>
      </w:r>
      <w:r>
        <w:rPr>
          <w:rFonts w:ascii="Arial" w:hAnsi="Arial" w:cs="Arial"/>
          <w:color w:val="222222"/>
          <w:szCs w:val="24"/>
          <w:shd w:val="clear" w:color="auto" w:fill="FFFFFF"/>
        </w:rPr>
        <w:t>(1), pp.47-62.</w:t>
      </w:r>
    </w:p>
    <w:p w14:paraId="571B29A9" w14:textId="77777777" w:rsidR="0021676F" w:rsidRDefault="0021676F" w:rsidP="0021676F">
      <w:pPr>
        <w:rPr>
          <w:rFonts w:ascii="Arial" w:hAnsi="Arial" w:cs="Arial"/>
          <w:color w:val="000000"/>
          <w:szCs w:val="24"/>
          <w:shd w:val="clear" w:color="auto" w:fill="FFFFFF"/>
        </w:rPr>
      </w:pPr>
      <w:r>
        <w:rPr>
          <w:rFonts w:ascii="Arial" w:hAnsi="Arial" w:cs="Arial"/>
          <w:color w:val="000000"/>
          <w:szCs w:val="24"/>
          <w:shd w:val="clear" w:color="auto" w:fill="FFFFFF"/>
        </w:rPr>
        <w:t>Newman, P., 2006. Towards a science of community engagement. </w:t>
      </w:r>
      <w:r>
        <w:rPr>
          <w:rFonts w:ascii="Arial" w:hAnsi="Arial" w:cs="Arial"/>
          <w:i/>
          <w:iCs/>
          <w:color w:val="000000"/>
          <w:szCs w:val="24"/>
          <w:shd w:val="clear" w:color="auto" w:fill="FFFFFF"/>
        </w:rPr>
        <w:t>The Lancet</w:t>
      </w:r>
      <w:r>
        <w:rPr>
          <w:rFonts w:ascii="Arial" w:hAnsi="Arial" w:cs="Arial"/>
          <w:color w:val="000000"/>
          <w:szCs w:val="24"/>
          <w:shd w:val="clear" w:color="auto" w:fill="FFFFFF"/>
        </w:rPr>
        <w:t>, 367(9507), p.302.</w:t>
      </w:r>
    </w:p>
    <w:p w14:paraId="481A2D0F" w14:textId="77777777" w:rsidR="0021676F" w:rsidRDefault="0021676F" w:rsidP="0021676F">
      <w:pPr>
        <w:rPr>
          <w:rFonts w:ascii="Arial" w:hAnsi="Arial" w:cs="Arial"/>
          <w:color w:val="000000"/>
          <w:szCs w:val="24"/>
          <w:shd w:val="clear" w:color="auto" w:fill="FFFFFF"/>
        </w:rPr>
      </w:pPr>
      <w:r>
        <w:rPr>
          <w:rFonts w:ascii="Arial" w:hAnsi="Arial" w:cs="Arial"/>
          <w:color w:val="000000"/>
          <w:szCs w:val="24"/>
          <w:shd w:val="clear" w:color="auto" w:fill="FFFFFF"/>
        </w:rPr>
        <w:t>Ons.gov.uk. 2022. </w:t>
      </w:r>
      <w:r>
        <w:rPr>
          <w:rFonts w:ascii="Arial" w:hAnsi="Arial" w:cs="Arial"/>
          <w:i/>
          <w:iCs/>
          <w:color w:val="000000"/>
          <w:szCs w:val="24"/>
          <w:shd w:val="clear" w:color="auto" w:fill="FFFFFF"/>
        </w:rPr>
        <w:t>Employment in the UK - Office for National Statistics</w:t>
      </w:r>
      <w:r>
        <w:rPr>
          <w:rFonts w:ascii="Arial" w:hAnsi="Arial" w:cs="Arial"/>
          <w:color w:val="000000"/>
          <w:szCs w:val="24"/>
          <w:shd w:val="clear" w:color="auto" w:fill="FFFFFF"/>
        </w:rPr>
        <w:t>. [online] Available at: &lt;https://www.ons.gov.uk/employmentandlabourmarket/peopleinwork/employmentandemployeetypes/bulletins/employmentintheuk/february2022&gt; [Accessed 11 April 2022].</w:t>
      </w:r>
    </w:p>
    <w:p w14:paraId="2F3F6B2C" w14:textId="77777777" w:rsidR="0021676F" w:rsidRDefault="0021676F" w:rsidP="0021676F">
      <w:pPr>
        <w:rPr>
          <w:rFonts w:ascii="Arial" w:hAnsi="Arial" w:cs="Arial"/>
          <w:color w:val="222222"/>
          <w:szCs w:val="24"/>
          <w:shd w:val="clear" w:color="auto" w:fill="FFFFFF"/>
        </w:rPr>
      </w:pPr>
      <w:r>
        <w:rPr>
          <w:rFonts w:ascii="Arial" w:hAnsi="Arial" w:cs="Arial"/>
          <w:color w:val="222222"/>
          <w:szCs w:val="24"/>
          <w:shd w:val="clear" w:color="auto" w:fill="FFFFFF"/>
        </w:rPr>
        <w:t>Parker, B., 2006. Constructing community through maps? Power and praxis in community mapping. </w:t>
      </w:r>
      <w:r>
        <w:rPr>
          <w:rFonts w:ascii="Arial" w:hAnsi="Arial" w:cs="Arial"/>
          <w:i/>
          <w:iCs/>
          <w:color w:val="222222"/>
          <w:szCs w:val="24"/>
          <w:shd w:val="clear" w:color="auto" w:fill="FFFFFF"/>
        </w:rPr>
        <w:t>The Professional Geographer</w:t>
      </w:r>
      <w:r>
        <w:rPr>
          <w:rFonts w:ascii="Arial" w:hAnsi="Arial" w:cs="Arial"/>
          <w:color w:val="222222"/>
          <w:szCs w:val="24"/>
          <w:shd w:val="clear" w:color="auto" w:fill="FFFFFF"/>
        </w:rPr>
        <w:t>, </w:t>
      </w:r>
      <w:r>
        <w:rPr>
          <w:rFonts w:ascii="Arial" w:hAnsi="Arial" w:cs="Arial"/>
          <w:i/>
          <w:iCs/>
          <w:color w:val="222222"/>
          <w:szCs w:val="24"/>
          <w:shd w:val="clear" w:color="auto" w:fill="FFFFFF"/>
        </w:rPr>
        <w:t>58</w:t>
      </w:r>
      <w:r>
        <w:rPr>
          <w:rFonts w:ascii="Arial" w:hAnsi="Arial" w:cs="Arial"/>
          <w:color w:val="222222"/>
          <w:szCs w:val="24"/>
          <w:shd w:val="clear" w:color="auto" w:fill="FFFFFF"/>
        </w:rPr>
        <w:t>(4), pp.470-484.</w:t>
      </w:r>
    </w:p>
    <w:p w14:paraId="2EFF3ED8" w14:textId="77777777" w:rsidR="0021676F" w:rsidRDefault="0021676F" w:rsidP="0021676F">
      <w:pPr>
        <w:rPr>
          <w:rFonts w:ascii="Arial" w:hAnsi="Arial" w:cs="Arial"/>
          <w:color w:val="222222"/>
          <w:szCs w:val="24"/>
          <w:shd w:val="clear" w:color="auto" w:fill="FFFFFF"/>
        </w:rPr>
      </w:pPr>
      <w:r>
        <w:rPr>
          <w:rFonts w:ascii="Arial" w:hAnsi="Arial" w:cs="Arial"/>
          <w:color w:val="222222"/>
          <w:szCs w:val="24"/>
          <w:shd w:val="clear" w:color="auto" w:fill="FFFFFF"/>
        </w:rPr>
        <w:t>Percy-Smith, B., 2006. From consultation to social learning in community participation with young people. </w:t>
      </w:r>
      <w:r>
        <w:rPr>
          <w:rFonts w:ascii="Arial" w:hAnsi="Arial" w:cs="Arial"/>
          <w:i/>
          <w:iCs/>
          <w:color w:val="222222"/>
          <w:szCs w:val="24"/>
          <w:shd w:val="clear" w:color="auto" w:fill="FFFFFF"/>
        </w:rPr>
        <w:t>Children Youth and Environments</w:t>
      </w:r>
      <w:r>
        <w:rPr>
          <w:rFonts w:ascii="Arial" w:hAnsi="Arial" w:cs="Arial"/>
          <w:color w:val="222222"/>
          <w:szCs w:val="24"/>
          <w:shd w:val="clear" w:color="auto" w:fill="FFFFFF"/>
        </w:rPr>
        <w:t>, </w:t>
      </w:r>
      <w:r>
        <w:rPr>
          <w:rFonts w:ascii="Arial" w:hAnsi="Arial" w:cs="Arial"/>
          <w:i/>
          <w:iCs/>
          <w:color w:val="222222"/>
          <w:szCs w:val="24"/>
          <w:shd w:val="clear" w:color="auto" w:fill="FFFFFF"/>
        </w:rPr>
        <w:t>16</w:t>
      </w:r>
      <w:r>
        <w:rPr>
          <w:rFonts w:ascii="Arial" w:hAnsi="Arial" w:cs="Arial"/>
          <w:color w:val="222222"/>
          <w:szCs w:val="24"/>
          <w:shd w:val="clear" w:color="auto" w:fill="FFFFFF"/>
        </w:rPr>
        <w:t>(2), pp.153-179.</w:t>
      </w:r>
    </w:p>
    <w:p w14:paraId="111A9F5E" w14:textId="77777777" w:rsidR="0021676F" w:rsidRDefault="0021676F" w:rsidP="0021676F">
      <w:pPr>
        <w:rPr>
          <w:rFonts w:ascii="Arial" w:hAnsi="Arial" w:cs="Arial"/>
          <w:color w:val="222222"/>
          <w:szCs w:val="24"/>
          <w:shd w:val="clear" w:color="auto" w:fill="FFFFFF"/>
        </w:rPr>
      </w:pPr>
      <w:r>
        <w:rPr>
          <w:rFonts w:ascii="Arial" w:hAnsi="Arial" w:cs="Arial"/>
          <w:color w:val="222222"/>
          <w:szCs w:val="24"/>
          <w:shd w:val="clear" w:color="auto" w:fill="FFFFFF"/>
        </w:rPr>
        <w:t>Perkins, C., 2007. Community mapping. </w:t>
      </w:r>
      <w:r>
        <w:rPr>
          <w:rFonts w:ascii="Arial" w:hAnsi="Arial" w:cs="Arial"/>
          <w:i/>
          <w:iCs/>
          <w:color w:val="222222"/>
          <w:szCs w:val="24"/>
          <w:shd w:val="clear" w:color="auto" w:fill="FFFFFF"/>
        </w:rPr>
        <w:t>The Cartographic Journal</w:t>
      </w:r>
      <w:r>
        <w:rPr>
          <w:rFonts w:ascii="Arial" w:hAnsi="Arial" w:cs="Arial"/>
          <w:color w:val="222222"/>
          <w:szCs w:val="24"/>
          <w:shd w:val="clear" w:color="auto" w:fill="FFFFFF"/>
        </w:rPr>
        <w:t>, </w:t>
      </w:r>
      <w:r>
        <w:rPr>
          <w:rFonts w:ascii="Arial" w:hAnsi="Arial" w:cs="Arial"/>
          <w:i/>
          <w:iCs/>
          <w:color w:val="222222"/>
          <w:szCs w:val="24"/>
          <w:shd w:val="clear" w:color="auto" w:fill="FFFFFF"/>
        </w:rPr>
        <w:t>44</w:t>
      </w:r>
      <w:r>
        <w:rPr>
          <w:rFonts w:ascii="Arial" w:hAnsi="Arial" w:cs="Arial"/>
          <w:color w:val="222222"/>
          <w:szCs w:val="24"/>
          <w:shd w:val="clear" w:color="auto" w:fill="FFFFFF"/>
        </w:rPr>
        <w:t>(2), pp.127-137.</w:t>
      </w:r>
    </w:p>
    <w:p w14:paraId="456083C8" w14:textId="77777777" w:rsidR="0021676F" w:rsidRDefault="0021676F" w:rsidP="0021676F">
      <w:pPr>
        <w:rPr>
          <w:rFonts w:ascii="Arial" w:hAnsi="Arial" w:cs="Arial"/>
          <w:color w:val="222222"/>
          <w:szCs w:val="24"/>
          <w:shd w:val="clear" w:color="auto" w:fill="FFFFFF"/>
        </w:rPr>
      </w:pPr>
      <w:proofErr w:type="spellStart"/>
      <w:r>
        <w:rPr>
          <w:rFonts w:ascii="Arial" w:hAnsi="Arial" w:cs="Arial"/>
          <w:color w:val="222222"/>
          <w:szCs w:val="24"/>
          <w:shd w:val="clear" w:color="auto" w:fill="FFFFFF"/>
        </w:rPr>
        <w:t>Sandercock</w:t>
      </w:r>
      <w:proofErr w:type="spellEnd"/>
      <w:r>
        <w:rPr>
          <w:rFonts w:ascii="Arial" w:hAnsi="Arial" w:cs="Arial"/>
          <w:color w:val="222222"/>
          <w:szCs w:val="24"/>
          <w:shd w:val="clear" w:color="auto" w:fill="FFFFFF"/>
        </w:rPr>
        <w:t>, L., 2020. The heart of community engagement: Practitioner stories from across the globe.</w:t>
      </w:r>
    </w:p>
    <w:p w14:paraId="22AC770F" w14:textId="77777777" w:rsidR="0021676F" w:rsidRDefault="0021676F" w:rsidP="0021676F">
      <w:pPr>
        <w:rPr>
          <w:rFonts w:ascii="Arial" w:hAnsi="Arial" w:cs="Arial"/>
          <w:color w:val="000000"/>
          <w:szCs w:val="24"/>
          <w:shd w:val="clear" w:color="auto" w:fill="FFFFFF"/>
        </w:rPr>
      </w:pPr>
      <w:r>
        <w:rPr>
          <w:rFonts w:ascii="Arial" w:hAnsi="Arial" w:cs="Arial"/>
          <w:color w:val="000000"/>
          <w:szCs w:val="24"/>
          <w:shd w:val="clear" w:color="auto" w:fill="FFFFFF"/>
        </w:rPr>
        <w:t>Schiavo, R., 2021. What is true community engagement and why it matters (now more than ever). </w:t>
      </w:r>
      <w:r>
        <w:rPr>
          <w:rFonts w:ascii="Arial" w:hAnsi="Arial" w:cs="Arial"/>
          <w:i/>
          <w:iCs/>
          <w:color w:val="000000"/>
          <w:szCs w:val="24"/>
          <w:shd w:val="clear" w:color="auto" w:fill="FFFFFF"/>
        </w:rPr>
        <w:t>Journal of Communication in Healthcare</w:t>
      </w:r>
      <w:r>
        <w:rPr>
          <w:rFonts w:ascii="Arial" w:hAnsi="Arial" w:cs="Arial"/>
          <w:color w:val="000000"/>
          <w:szCs w:val="24"/>
          <w:shd w:val="clear" w:color="auto" w:fill="FFFFFF"/>
        </w:rPr>
        <w:t>, 14(2), pp.91-92.</w:t>
      </w:r>
    </w:p>
    <w:p w14:paraId="4D604766" w14:textId="77777777" w:rsidR="0021676F" w:rsidRDefault="0021676F" w:rsidP="0021676F">
      <w:pPr>
        <w:rPr>
          <w:rFonts w:ascii="Arial" w:hAnsi="Arial" w:cs="Arial"/>
          <w:color w:val="222222"/>
          <w:szCs w:val="24"/>
          <w:shd w:val="clear" w:color="auto" w:fill="FFFFFF"/>
        </w:rPr>
      </w:pPr>
      <w:r>
        <w:rPr>
          <w:rFonts w:ascii="Arial" w:hAnsi="Arial" w:cs="Arial"/>
          <w:color w:val="222222"/>
          <w:szCs w:val="24"/>
          <w:shd w:val="clear" w:color="auto" w:fill="FFFFFF"/>
        </w:rPr>
        <w:t>Stanley, D., 2009. Leadership: behind the mask. </w:t>
      </w:r>
      <w:r>
        <w:rPr>
          <w:rFonts w:ascii="Arial" w:hAnsi="Arial" w:cs="Arial"/>
          <w:i/>
          <w:iCs/>
          <w:color w:val="222222"/>
          <w:szCs w:val="24"/>
          <w:shd w:val="clear" w:color="auto" w:fill="FFFFFF"/>
        </w:rPr>
        <w:t>ACORN</w:t>
      </w:r>
      <w:r>
        <w:rPr>
          <w:rFonts w:ascii="Arial" w:hAnsi="Arial" w:cs="Arial"/>
          <w:color w:val="222222"/>
          <w:szCs w:val="24"/>
          <w:shd w:val="clear" w:color="auto" w:fill="FFFFFF"/>
        </w:rPr>
        <w:t>, </w:t>
      </w:r>
      <w:r>
        <w:rPr>
          <w:rFonts w:ascii="Arial" w:hAnsi="Arial" w:cs="Arial"/>
          <w:i/>
          <w:iCs/>
          <w:color w:val="222222"/>
          <w:szCs w:val="24"/>
          <w:shd w:val="clear" w:color="auto" w:fill="FFFFFF"/>
        </w:rPr>
        <w:t>22</w:t>
      </w:r>
      <w:r>
        <w:rPr>
          <w:rFonts w:ascii="Arial" w:hAnsi="Arial" w:cs="Arial"/>
          <w:color w:val="222222"/>
          <w:szCs w:val="24"/>
          <w:shd w:val="clear" w:color="auto" w:fill="FFFFFF"/>
        </w:rPr>
        <w:t>(1), pp.14-20.4</w:t>
      </w:r>
    </w:p>
    <w:p w14:paraId="01A002CE" w14:textId="77777777" w:rsidR="0021676F" w:rsidRDefault="0021676F" w:rsidP="0021676F">
      <w:pPr>
        <w:rPr>
          <w:rFonts w:ascii="Arial" w:hAnsi="Arial" w:cs="Arial"/>
          <w:color w:val="222222"/>
          <w:szCs w:val="24"/>
          <w:shd w:val="clear" w:color="auto" w:fill="FFFFFF"/>
        </w:rPr>
      </w:pPr>
      <w:proofErr w:type="spellStart"/>
      <w:r>
        <w:rPr>
          <w:rFonts w:ascii="Arial" w:hAnsi="Arial" w:cs="Arial"/>
          <w:color w:val="222222"/>
          <w:szCs w:val="24"/>
          <w:shd w:val="clear" w:color="auto" w:fill="FFFFFF"/>
        </w:rPr>
        <w:t>Tosun</w:t>
      </w:r>
      <w:proofErr w:type="spellEnd"/>
      <w:r>
        <w:rPr>
          <w:rFonts w:ascii="Arial" w:hAnsi="Arial" w:cs="Arial"/>
          <w:color w:val="222222"/>
          <w:szCs w:val="24"/>
          <w:shd w:val="clear" w:color="auto" w:fill="FFFFFF"/>
        </w:rPr>
        <w:t>, C., 2006. Expected nature of community participation in tourism development. </w:t>
      </w:r>
      <w:r>
        <w:rPr>
          <w:rFonts w:ascii="Arial" w:hAnsi="Arial" w:cs="Arial"/>
          <w:i/>
          <w:iCs/>
          <w:color w:val="222222"/>
          <w:szCs w:val="24"/>
          <w:shd w:val="clear" w:color="auto" w:fill="FFFFFF"/>
        </w:rPr>
        <w:t>Tourism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27</w:t>
      </w:r>
      <w:r>
        <w:rPr>
          <w:rFonts w:ascii="Arial" w:hAnsi="Arial" w:cs="Arial"/>
          <w:color w:val="222222"/>
          <w:szCs w:val="24"/>
          <w:shd w:val="clear" w:color="auto" w:fill="FFFFFF"/>
        </w:rPr>
        <w:t>(3), pp.493-504.</w:t>
      </w:r>
    </w:p>
    <w:p w14:paraId="729837C7" w14:textId="77777777" w:rsidR="0021676F" w:rsidRDefault="0021676F" w:rsidP="0021676F">
      <w:pPr>
        <w:rPr>
          <w:rFonts w:ascii="Arial" w:hAnsi="Arial" w:cs="Arial"/>
          <w:color w:val="000000"/>
          <w:szCs w:val="24"/>
          <w:shd w:val="clear" w:color="auto" w:fill="FFFFFF"/>
        </w:rPr>
      </w:pPr>
      <w:r>
        <w:rPr>
          <w:rFonts w:ascii="Arial" w:hAnsi="Arial" w:cs="Arial"/>
          <w:color w:val="000000"/>
          <w:szCs w:val="24"/>
          <w:shd w:val="clear" w:color="auto" w:fill="FFFFFF"/>
        </w:rPr>
        <w:t>URBAN COMMUNITY PROJECTS. 2022. </w:t>
      </w:r>
      <w:r>
        <w:rPr>
          <w:rFonts w:ascii="Arial" w:hAnsi="Arial" w:cs="Arial"/>
          <w:i/>
          <w:iCs/>
          <w:color w:val="000000"/>
          <w:szCs w:val="24"/>
          <w:shd w:val="clear" w:color="auto" w:fill="FFFFFF"/>
        </w:rPr>
        <w:t>Programs — URBAN COMMUNITY PROJECTS</w:t>
      </w:r>
      <w:r>
        <w:rPr>
          <w:rFonts w:ascii="Arial" w:hAnsi="Arial" w:cs="Arial"/>
          <w:color w:val="000000"/>
          <w:szCs w:val="24"/>
          <w:shd w:val="clear" w:color="auto" w:fill="FFFFFF"/>
        </w:rPr>
        <w:t>. [online] Available at: &lt;https://www.urbancommunityprojects.org.uk/programs&gt; [Accessed 11 April 2022].</w:t>
      </w:r>
    </w:p>
    <w:p w14:paraId="7736B866" w14:textId="54A0CE2B" w:rsidR="00891E8C" w:rsidRDefault="0021676F" w:rsidP="0021676F">
      <w:proofErr w:type="spellStart"/>
      <w:r>
        <w:rPr>
          <w:rFonts w:ascii="Arial" w:hAnsi="Arial" w:cs="Arial"/>
          <w:color w:val="222222"/>
          <w:szCs w:val="24"/>
          <w:shd w:val="clear" w:color="auto" w:fill="FFFFFF"/>
        </w:rPr>
        <w:t>Usadolo</w:t>
      </w:r>
      <w:proofErr w:type="spellEnd"/>
      <w:r>
        <w:rPr>
          <w:rFonts w:ascii="Arial" w:hAnsi="Arial" w:cs="Arial"/>
          <w:color w:val="222222"/>
          <w:szCs w:val="24"/>
          <w:shd w:val="clear" w:color="auto" w:fill="FFFFFF"/>
        </w:rPr>
        <w:t xml:space="preserve">, S.E. and </w:t>
      </w:r>
      <w:proofErr w:type="spellStart"/>
      <w:r>
        <w:rPr>
          <w:rFonts w:ascii="Arial" w:hAnsi="Arial" w:cs="Arial"/>
          <w:color w:val="222222"/>
          <w:szCs w:val="24"/>
          <w:shd w:val="clear" w:color="auto" w:fill="FFFFFF"/>
        </w:rPr>
        <w:t>Caldwel</w:t>
      </w:r>
      <w:proofErr w:type="spellEnd"/>
      <w:r>
        <w:rPr>
          <w:rFonts w:ascii="Arial" w:hAnsi="Arial" w:cs="Arial"/>
          <w:color w:val="222222"/>
          <w:szCs w:val="24"/>
          <w:shd w:val="clear" w:color="auto" w:fill="FFFFFF"/>
        </w:rPr>
        <w:t>, M., 2016. A stakeholder approach to community participation in a rural development project. </w:t>
      </w:r>
      <w:r>
        <w:rPr>
          <w:rFonts w:ascii="Arial" w:hAnsi="Arial" w:cs="Arial"/>
          <w:i/>
          <w:iCs/>
          <w:color w:val="222222"/>
          <w:szCs w:val="24"/>
          <w:shd w:val="clear" w:color="auto" w:fill="FFFFFF"/>
        </w:rPr>
        <w:t>Sage Open</w:t>
      </w:r>
      <w:r>
        <w:rPr>
          <w:rFonts w:ascii="Arial" w:hAnsi="Arial" w:cs="Arial"/>
          <w:color w:val="222222"/>
          <w:szCs w:val="24"/>
          <w:shd w:val="clear" w:color="auto" w:fill="FFFFFF"/>
        </w:rPr>
        <w:t>, </w:t>
      </w:r>
      <w:r>
        <w:rPr>
          <w:rFonts w:ascii="Arial" w:hAnsi="Arial" w:cs="Arial"/>
          <w:i/>
          <w:iCs/>
          <w:color w:val="222222"/>
          <w:szCs w:val="24"/>
          <w:shd w:val="clear" w:color="auto" w:fill="FFFFFF"/>
        </w:rPr>
        <w:t>6</w:t>
      </w:r>
      <w:r>
        <w:rPr>
          <w:rFonts w:ascii="Arial" w:hAnsi="Arial" w:cs="Arial"/>
          <w:color w:val="222222"/>
          <w:szCs w:val="24"/>
          <w:shd w:val="clear" w:color="auto" w:fill="FFFFFF"/>
        </w:rPr>
        <w:t>(1), p.2158244016638132</w:t>
      </w:r>
    </w:p>
    <w:sectPr w:rsidR="00891E8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0D8F9" w14:textId="77777777" w:rsidR="004A6C48" w:rsidRDefault="004A6C48" w:rsidP="00490A8F">
      <w:pPr>
        <w:spacing w:before="0" w:after="0" w:line="240" w:lineRule="auto"/>
      </w:pPr>
      <w:r>
        <w:separator/>
      </w:r>
    </w:p>
  </w:endnote>
  <w:endnote w:type="continuationSeparator" w:id="0">
    <w:p w14:paraId="3D2F6A8E" w14:textId="77777777" w:rsidR="004A6C48" w:rsidRDefault="004A6C48" w:rsidP="00490A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011791"/>
      <w:docPartObj>
        <w:docPartGallery w:val="Page Numbers (Bottom of Page)"/>
        <w:docPartUnique/>
      </w:docPartObj>
    </w:sdtPr>
    <w:sdtEndPr>
      <w:rPr>
        <w:noProof/>
      </w:rPr>
    </w:sdtEndPr>
    <w:sdtContent>
      <w:p w14:paraId="325C667C" w14:textId="78BCE52E" w:rsidR="00490A8F" w:rsidRDefault="00490A8F">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563DE9E3" w14:textId="77777777" w:rsidR="00490A8F" w:rsidRDefault="00490A8F">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62745" w14:textId="77777777" w:rsidR="004A6C48" w:rsidRDefault="004A6C48" w:rsidP="00490A8F">
      <w:pPr>
        <w:spacing w:before="0" w:after="0" w:line="240" w:lineRule="auto"/>
      </w:pPr>
      <w:r>
        <w:separator/>
      </w:r>
    </w:p>
  </w:footnote>
  <w:footnote w:type="continuationSeparator" w:id="0">
    <w:p w14:paraId="33A89993" w14:textId="77777777" w:rsidR="004A6C48" w:rsidRDefault="004A6C48" w:rsidP="00490A8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B11F5"/>
    <w:multiLevelType w:val="hybridMultilevel"/>
    <w:tmpl w:val="4410A3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0031727"/>
    <w:multiLevelType w:val="hybridMultilevel"/>
    <w:tmpl w:val="C86A1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C4B1C21"/>
    <w:multiLevelType w:val="hybridMultilevel"/>
    <w:tmpl w:val="BB24F34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556722D2"/>
    <w:multiLevelType w:val="hybridMultilevel"/>
    <w:tmpl w:val="F6049882"/>
    <w:lvl w:ilvl="0" w:tplc="04020001">
      <w:start w:val="1"/>
      <w:numFmt w:val="bullet"/>
      <w:lvlText w:val=""/>
      <w:lvlJc w:val="left"/>
      <w:pPr>
        <w:ind w:left="5760" w:hanging="360"/>
      </w:pPr>
      <w:rPr>
        <w:rFonts w:ascii="Symbol" w:hAnsi="Symbol" w:hint="default"/>
      </w:rPr>
    </w:lvl>
    <w:lvl w:ilvl="1" w:tplc="04020003" w:tentative="1">
      <w:start w:val="1"/>
      <w:numFmt w:val="bullet"/>
      <w:lvlText w:val="o"/>
      <w:lvlJc w:val="left"/>
      <w:pPr>
        <w:ind w:left="6480" w:hanging="360"/>
      </w:pPr>
      <w:rPr>
        <w:rFonts w:ascii="Courier New" w:hAnsi="Courier New" w:cs="Courier New" w:hint="default"/>
      </w:rPr>
    </w:lvl>
    <w:lvl w:ilvl="2" w:tplc="04020005" w:tentative="1">
      <w:start w:val="1"/>
      <w:numFmt w:val="bullet"/>
      <w:lvlText w:val=""/>
      <w:lvlJc w:val="left"/>
      <w:pPr>
        <w:ind w:left="7200" w:hanging="360"/>
      </w:pPr>
      <w:rPr>
        <w:rFonts w:ascii="Wingdings" w:hAnsi="Wingdings" w:hint="default"/>
      </w:rPr>
    </w:lvl>
    <w:lvl w:ilvl="3" w:tplc="04020001" w:tentative="1">
      <w:start w:val="1"/>
      <w:numFmt w:val="bullet"/>
      <w:lvlText w:val=""/>
      <w:lvlJc w:val="left"/>
      <w:pPr>
        <w:ind w:left="7920" w:hanging="360"/>
      </w:pPr>
      <w:rPr>
        <w:rFonts w:ascii="Symbol" w:hAnsi="Symbol" w:hint="default"/>
      </w:rPr>
    </w:lvl>
    <w:lvl w:ilvl="4" w:tplc="04020003" w:tentative="1">
      <w:start w:val="1"/>
      <w:numFmt w:val="bullet"/>
      <w:lvlText w:val="o"/>
      <w:lvlJc w:val="left"/>
      <w:pPr>
        <w:ind w:left="8640" w:hanging="360"/>
      </w:pPr>
      <w:rPr>
        <w:rFonts w:ascii="Courier New" w:hAnsi="Courier New" w:cs="Courier New" w:hint="default"/>
      </w:rPr>
    </w:lvl>
    <w:lvl w:ilvl="5" w:tplc="04020005" w:tentative="1">
      <w:start w:val="1"/>
      <w:numFmt w:val="bullet"/>
      <w:lvlText w:val=""/>
      <w:lvlJc w:val="left"/>
      <w:pPr>
        <w:ind w:left="9360" w:hanging="360"/>
      </w:pPr>
      <w:rPr>
        <w:rFonts w:ascii="Wingdings" w:hAnsi="Wingdings" w:hint="default"/>
      </w:rPr>
    </w:lvl>
    <w:lvl w:ilvl="6" w:tplc="04020001" w:tentative="1">
      <w:start w:val="1"/>
      <w:numFmt w:val="bullet"/>
      <w:lvlText w:val=""/>
      <w:lvlJc w:val="left"/>
      <w:pPr>
        <w:ind w:left="10080" w:hanging="360"/>
      </w:pPr>
      <w:rPr>
        <w:rFonts w:ascii="Symbol" w:hAnsi="Symbol" w:hint="default"/>
      </w:rPr>
    </w:lvl>
    <w:lvl w:ilvl="7" w:tplc="04020003" w:tentative="1">
      <w:start w:val="1"/>
      <w:numFmt w:val="bullet"/>
      <w:lvlText w:val="o"/>
      <w:lvlJc w:val="left"/>
      <w:pPr>
        <w:ind w:left="10800" w:hanging="360"/>
      </w:pPr>
      <w:rPr>
        <w:rFonts w:ascii="Courier New" w:hAnsi="Courier New" w:cs="Courier New" w:hint="default"/>
      </w:rPr>
    </w:lvl>
    <w:lvl w:ilvl="8" w:tplc="04020005" w:tentative="1">
      <w:start w:val="1"/>
      <w:numFmt w:val="bullet"/>
      <w:lvlText w:val=""/>
      <w:lvlJc w:val="left"/>
      <w:pPr>
        <w:ind w:left="11520" w:hanging="360"/>
      </w:pPr>
      <w:rPr>
        <w:rFonts w:ascii="Wingdings" w:hAnsi="Wingdings" w:hint="default"/>
      </w:rPr>
    </w:lvl>
  </w:abstractNum>
  <w:num w:numId="1" w16cid:durableId="284700267">
    <w:abstractNumId w:val="1"/>
  </w:num>
  <w:num w:numId="2" w16cid:durableId="1246652575">
    <w:abstractNumId w:val="0"/>
  </w:num>
  <w:num w:numId="3" w16cid:durableId="1851989252">
    <w:abstractNumId w:val="2"/>
  </w:num>
  <w:num w:numId="4" w16cid:durableId="1741824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MTE0tjC2tDAwMrNU0lEKTi0uzszPAykwrAUAJlZ+BCwAAAA="/>
  </w:docVars>
  <w:rsids>
    <w:rsidRoot w:val="0021676F"/>
    <w:rsid w:val="00022B1E"/>
    <w:rsid w:val="0012461B"/>
    <w:rsid w:val="001C106D"/>
    <w:rsid w:val="0021676F"/>
    <w:rsid w:val="00273037"/>
    <w:rsid w:val="00490A8F"/>
    <w:rsid w:val="004A6C48"/>
    <w:rsid w:val="00545232"/>
    <w:rsid w:val="00576666"/>
    <w:rsid w:val="005D4EB4"/>
    <w:rsid w:val="005F113F"/>
    <w:rsid w:val="00630782"/>
    <w:rsid w:val="00634925"/>
    <w:rsid w:val="00646451"/>
    <w:rsid w:val="00721A7D"/>
    <w:rsid w:val="00763526"/>
    <w:rsid w:val="00891E8C"/>
    <w:rsid w:val="00AC0AD8"/>
    <w:rsid w:val="00B73752"/>
    <w:rsid w:val="00B817D7"/>
    <w:rsid w:val="00C26A35"/>
    <w:rsid w:val="00C31B9F"/>
    <w:rsid w:val="00C76378"/>
    <w:rsid w:val="00CE7194"/>
    <w:rsid w:val="00DB1DCE"/>
    <w:rsid w:val="00F032C9"/>
    <w:rsid w:val="00F604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A5268"/>
  <w15:chartTrackingRefBased/>
  <w15:docId w15:val="{6E489264-C145-4D2C-B55F-7C1496EC4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1676F"/>
    <w:pPr>
      <w:spacing w:before="120" w:line="360" w:lineRule="auto"/>
      <w:jc w:val="both"/>
    </w:pPr>
    <w:rPr>
      <w:rFonts w:ascii="Times New Roman" w:hAnsi="Times New Roman"/>
      <w:sz w:val="24"/>
    </w:rPr>
  </w:style>
  <w:style w:type="paragraph" w:styleId="1">
    <w:name w:val="heading 1"/>
    <w:basedOn w:val="a"/>
    <w:next w:val="a"/>
    <w:link w:val="10"/>
    <w:uiPriority w:val="9"/>
    <w:qFormat/>
    <w:rsid w:val="0021676F"/>
    <w:pPr>
      <w:keepNext/>
      <w:keepLines/>
      <w:spacing w:before="360" w:after="12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semiHidden/>
    <w:unhideWhenUsed/>
    <w:qFormat/>
    <w:rsid w:val="0021676F"/>
    <w:pPr>
      <w:keepNext/>
      <w:keepLines/>
      <w:spacing w:before="40" w:after="0"/>
      <w:outlineLvl w:val="1"/>
    </w:pPr>
    <w:rPr>
      <w:rFonts w:eastAsiaTheme="majorEastAsia" w:cstheme="majorBidi"/>
      <w:b/>
      <w:color w:val="C45911" w:themeColor="accent2" w:themeShade="BF"/>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1676F"/>
    <w:rPr>
      <w:rFonts w:ascii="Times New Roman" w:eastAsiaTheme="majorEastAsia" w:hAnsi="Times New Roman" w:cstheme="majorBidi"/>
      <w:color w:val="2F5496" w:themeColor="accent1" w:themeShade="BF"/>
      <w:sz w:val="32"/>
      <w:szCs w:val="32"/>
    </w:rPr>
  </w:style>
  <w:style w:type="character" w:customStyle="1" w:styleId="20">
    <w:name w:val="Заглавие 2 Знак"/>
    <w:basedOn w:val="a0"/>
    <w:link w:val="2"/>
    <w:uiPriority w:val="9"/>
    <w:semiHidden/>
    <w:rsid w:val="0021676F"/>
    <w:rPr>
      <w:rFonts w:ascii="Times New Roman" w:eastAsiaTheme="majorEastAsia" w:hAnsi="Times New Roman" w:cstheme="majorBidi"/>
      <w:b/>
      <w:color w:val="C45911" w:themeColor="accent2" w:themeShade="BF"/>
      <w:sz w:val="28"/>
      <w:szCs w:val="26"/>
    </w:rPr>
  </w:style>
  <w:style w:type="paragraph" w:styleId="a3">
    <w:name w:val="caption"/>
    <w:basedOn w:val="a"/>
    <w:next w:val="a"/>
    <w:uiPriority w:val="35"/>
    <w:semiHidden/>
    <w:unhideWhenUsed/>
    <w:qFormat/>
    <w:rsid w:val="0021676F"/>
    <w:pPr>
      <w:spacing w:before="0" w:after="200" w:line="240" w:lineRule="auto"/>
    </w:pPr>
    <w:rPr>
      <w:i/>
      <w:iCs/>
      <w:color w:val="44546A" w:themeColor="text2"/>
      <w:sz w:val="18"/>
      <w:szCs w:val="18"/>
    </w:rPr>
  </w:style>
  <w:style w:type="paragraph" w:styleId="a4">
    <w:name w:val="List Paragraph"/>
    <w:basedOn w:val="a"/>
    <w:uiPriority w:val="34"/>
    <w:qFormat/>
    <w:rsid w:val="0021676F"/>
    <w:pPr>
      <w:ind w:left="720"/>
      <w:contextualSpacing/>
    </w:pPr>
  </w:style>
  <w:style w:type="paragraph" w:styleId="a5">
    <w:name w:val="header"/>
    <w:basedOn w:val="a"/>
    <w:link w:val="a6"/>
    <w:uiPriority w:val="99"/>
    <w:unhideWhenUsed/>
    <w:rsid w:val="00490A8F"/>
    <w:pPr>
      <w:tabs>
        <w:tab w:val="center" w:pos="4680"/>
        <w:tab w:val="right" w:pos="9360"/>
      </w:tabs>
      <w:spacing w:before="0" w:after="0" w:line="240" w:lineRule="auto"/>
    </w:pPr>
  </w:style>
  <w:style w:type="character" w:customStyle="1" w:styleId="a6">
    <w:name w:val="Горен колонтитул Знак"/>
    <w:basedOn w:val="a0"/>
    <w:link w:val="a5"/>
    <w:uiPriority w:val="99"/>
    <w:rsid w:val="00490A8F"/>
    <w:rPr>
      <w:rFonts w:ascii="Times New Roman" w:hAnsi="Times New Roman"/>
      <w:sz w:val="24"/>
    </w:rPr>
  </w:style>
  <w:style w:type="paragraph" w:styleId="a7">
    <w:name w:val="footer"/>
    <w:basedOn w:val="a"/>
    <w:link w:val="a8"/>
    <w:uiPriority w:val="99"/>
    <w:unhideWhenUsed/>
    <w:rsid w:val="00490A8F"/>
    <w:pPr>
      <w:tabs>
        <w:tab w:val="center" w:pos="4680"/>
        <w:tab w:val="right" w:pos="9360"/>
      </w:tabs>
      <w:spacing w:before="0" w:after="0" w:line="240" w:lineRule="auto"/>
    </w:pPr>
  </w:style>
  <w:style w:type="character" w:customStyle="1" w:styleId="a8">
    <w:name w:val="Долен колонтитул Знак"/>
    <w:basedOn w:val="a0"/>
    <w:link w:val="a7"/>
    <w:uiPriority w:val="99"/>
    <w:rsid w:val="00490A8F"/>
    <w:rPr>
      <w:rFonts w:ascii="Times New Roman" w:hAnsi="Times New Roman"/>
      <w:sz w:val="24"/>
    </w:rPr>
  </w:style>
  <w:style w:type="paragraph" w:styleId="a9">
    <w:name w:val="TOC Heading"/>
    <w:basedOn w:val="1"/>
    <w:next w:val="a"/>
    <w:uiPriority w:val="39"/>
    <w:unhideWhenUsed/>
    <w:qFormat/>
    <w:rsid w:val="00490A8F"/>
    <w:pPr>
      <w:spacing w:before="240" w:after="0" w:line="259" w:lineRule="auto"/>
      <w:jc w:val="left"/>
      <w:outlineLvl w:val="9"/>
    </w:pPr>
    <w:rPr>
      <w:rFonts w:asciiTheme="majorHAnsi" w:hAnsiTheme="majorHAnsi"/>
    </w:rPr>
  </w:style>
  <w:style w:type="paragraph" w:styleId="11">
    <w:name w:val="toc 1"/>
    <w:basedOn w:val="a"/>
    <w:next w:val="a"/>
    <w:autoRedefine/>
    <w:uiPriority w:val="39"/>
    <w:unhideWhenUsed/>
    <w:rsid w:val="00490A8F"/>
    <w:pPr>
      <w:spacing w:after="100"/>
    </w:pPr>
  </w:style>
  <w:style w:type="paragraph" w:styleId="21">
    <w:name w:val="toc 2"/>
    <w:basedOn w:val="a"/>
    <w:next w:val="a"/>
    <w:autoRedefine/>
    <w:uiPriority w:val="39"/>
    <w:unhideWhenUsed/>
    <w:rsid w:val="00490A8F"/>
    <w:pPr>
      <w:spacing w:after="100"/>
      <w:ind w:left="240"/>
    </w:pPr>
  </w:style>
  <w:style w:type="character" w:styleId="aa">
    <w:name w:val="Hyperlink"/>
    <w:basedOn w:val="a0"/>
    <w:uiPriority w:val="99"/>
    <w:unhideWhenUsed/>
    <w:rsid w:val="00490A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47417">
      <w:bodyDiv w:val="1"/>
      <w:marLeft w:val="0"/>
      <w:marRight w:val="0"/>
      <w:marTop w:val="0"/>
      <w:marBottom w:val="0"/>
      <w:divBdr>
        <w:top w:val="none" w:sz="0" w:space="0" w:color="auto"/>
        <w:left w:val="none" w:sz="0" w:space="0" w:color="auto"/>
        <w:bottom w:val="none" w:sz="0" w:space="0" w:color="auto"/>
        <w:right w:val="none" w:sz="0" w:space="0" w:color="auto"/>
      </w:divBdr>
    </w:div>
    <w:div w:id="1394818039">
      <w:bodyDiv w:val="1"/>
      <w:marLeft w:val="0"/>
      <w:marRight w:val="0"/>
      <w:marTop w:val="0"/>
      <w:marBottom w:val="0"/>
      <w:divBdr>
        <w:top w:val="none" w:sz="0" w:space="0" w:color="auto"/>
        <w:left w:val="none" w:sz="0" w:space="0" w:color="auto"/>
        <w:bottom w:val="none" w:sz="0" w:space="0" w:color="auto"/>
        <w:right w:val="none" w:sz="0" w:space="0" w:color="auto"/>
      </w:divBdr>
    </w:div>
    <w:div w:id="177242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0C7FC-6630-4896-9937-279F38C8AC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2513</Words>
  <Characters>14328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Desislava Hristova</cp:lastModifiedBy>
  <cp:revision>2</cp:revision>
  <dcterms:created xsi:type="dcterms:W3CDTF">2022-05-08T17:15:00Z</dcterms:created>
  <dcterms:modified xsi:type="dcterms:W3CDTF">2022-05-08T17:15:00Z</dcterms:modified>
</cp:coreProperties>
</file>