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2AF8F" w14:textId="77777777" w:rsidR="00166D81" w:rsidRPr="00C05B2A" w:rsidRDefault="00166D81" w:rsidP="00A5714B">
      <w:pPr>
        <w:spacing w:line="480" w:lineRule="auto"/>
        <w:jc w:val="both"/>
        <w:rPr>
          <w:rFonts w:ascii="Arial" w:hAnsi="Arial" w:cs="Arial"/>
        </w:rPr>
      </w:pPr>
    </w:p>
    <w:p w14:paraId="41992A44" w14:textId="57977260" w:rsidR="008749EC" w:rsidRPr="00C05B2A" w:rsidRDefault="00A5714B" w:rsidP="00A5714B">
      <w:pPr>
        <w:spacing w:line="480" w:lineRule="auto"/>
        <w:jc w:val="center"/>
        <w:rPr>
          <w:rFonts w:ascii="Arial" w:hAnsi="Arial" w:cs="Arial"/>
          <w:b/>
          <w:bCs/>
          <w:sz w:val="32"/>
          <w:szCs w:val="32"/>
        </w:rPr>
      </w:pPr>
      <w:r w:rsidRPr="00C05B2A">
        <w:rPr>
          <w:noProof/>
        </w:rPr>
        <w:drawing>
          <wp:inline distT="0" distB="0" distL="0" distR="0" wp14:anchorId="0CC3586E" wp14:editId="3CB69123">
            <wp:extent cx="3314700" cy="1381125"/>
            <wp:effectExtent l="0" t="0" r="0" b="0"/>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381125"/>
                    </a:xfrm>
                    <a:prstGeom prst="rect">
                      <a:avLst/>
                    </a:prstGeom>
                    <a:noFill/>
                    <a:ln>
                      <a:noFill/>
                    </a:ln>
                  </pic:spPr>
                </pic:pic>
              </a:graphicData>
            </a:graphic>
          </wp:inline>
        </w:drawing>
      </w:r>
    </w:p>
    <w:p w14:paraId="680BA36A" w14:textId="3F117193" w:rsidR="00A5714B" w:rsidRPr="00C05B2A" w:rsidRDefault="00A5714B" w:rsidP="00A5714B">
      <w:pPr>
        <w:spacing w:line="480" w:lineRule="auto"/>
        <w:jc w:val="center"/>
        <w:rPr>
          <w:rFonts w:ascii="Arial" w:hAnsi="Arial" w:cs="Arial"/>
          <w:b/>
          <w:bCs/>
          <w:sz w:val="32"/>
          <w:szCs w:val="32"/>
        </w:rPr>
      </w:pPr>
      <w:r w:rsidRPr="00C05B2A">
        <w:rPr>
          <w:rFonts w:ascii="Arial" w:hAnsi="Arial" w:cs="Arial"/>
          <w:b/>
          <w:bCs/>
          <w:sz w:val="32"/>
          <w:szCs w:val="32"/>
        </w:rPr>
        <w:t>MSc Public Health and Social Care in Practice</w:t>
      </w:r>
    </w:p>
    <w:p w14:paraId="1B3EF2BD" w14:textId="46145F2F" w:rsidR="00A5714B" w:rsidRPr="00C05B2A" w:rsidRDefault="00A5714B" w:rsidP="00A5714B">
      <w:pPr>
        <w:spacing w:line="480" w:lineRule="auto"/>
        <w:jc w:val="center"/>
        <w:rPr>
          <w:rFonts w:ascii="Arial" w:hAnsi="Arial" w:cs="Arial"/>
          <w:b/>
          <w:bCs/>
          <w:sz w:val="32"/>
          <w:szCs w:val="32"/>
        </w:rPr>
      </w:pPr>
      <w:r w:rsidRPr="00C05B2A">
        <w:rPr>
          <w:rFonts w:ascii="Arial" w:hAnsi="Arial" w:cs="Arial"/>
          <w:b/>
          <w:bCs/>
          <w:sz w:val="32"/>
          <w:szCs w:val="32"/>
        </w:rPr>
        <w:t>Module Title: Service Integration and Partnership Working</w:t>
      </w:r>
    </w:p>
    <w:p w14:paraId="16947A93" w14:textId="6B43B89E" w:rsidR="00A5714B" w:rsidRPr="00C05B2A" w:rsidRDefault="00A5714B" w:rsidP="00A5714B">
      <w:pPr>
        <w:spacing w:line="480" w:lineRule="auto"/>
        <w:jc w:val="center"/>
        <w:rPr>
          <w:rFonts w:ascii="Arial" w:hAnsi="Arial" w:cs="Arial"/>
          <w:b/>
          <w:bCs/>
          <w:sz w:val="32"/>
          <w:szCs w:val="32"/>
        </w:rPr>
      </w:pPr>
      <w:r w:rsidRPr="00C05B2A">
        <w:rPr>
          <w:rFonts w:ascii="Arial" w:hAnsi="Arial" w:cs="Arial"/>
          <w:b/>
          <w:bCs/>
          <w:sz w:val="32"/>
          <w:szCs w:val="32"/>
        </w:rPr>
        <w:t>Module code: LCHS7005</w:t>
      </w:r>
    </w:p>
    <w:p w14:paraId="246FEA3F" w14:textId="7C162C57" w:rsidR="00A5714B" w:rsidRPr="00C05B2A" w:rsidRDefault="008749EC" w:rsidP="00A5714B">
      <w:pPr>
        <w:spacing w:line="480" w:lineRule="auto"/>
        <w:jc w:val="center"/>
        <w:rPr>
          <w:rFonts w:ascii="Arial" w:hAnsi="Arial" w:cs="Arial"/>
          <w:b/>
          <w:bCs/>
          <w:sz w:val="32"/>
          <w:szCs w:val="32"/>
        </w:rPr>
      </w:pPr>
      <w:r w:rsidRPr="00C05B2A">
        <w:rPr>
          <w:rFonts w:ascii="Arial" w:hAnsi="Arial" w:cs="Arial"/>
          <w:b/>
          <w:bCs/>
          <w:sz w:val="32"/>
          <w:szCs w:val="32"/>
        </w:rPr>
        <w:t>Component 2 Reflective Report</w:t>
      </w:r>
    </w:p>
    <w:p w14:paraId="0C250880" w14:textId="35587104" w:rsidR="00A5714B" w:rsidRPr="00C05B2A" w:rsidRDefault="008749EC" w:rsidP="00A5714B">
      <w:pPr>
        <w:spacing w:line="480" w:lineRule="auto"/>
        <w:jc w:val="center"/>
        <w:rPr>
          <w:rFonts w:ascii="Arial" w:hAnsi="Arial" w:cs="Arial"/>
          <w:b/>
          <w:bCs/>
          <w:i/>
          <w:sz w:val="32"/>
          <w:szCs w:val="32"/>
        </w:rPr>
      </w:pPr>
      <w:r w:rsidRPr="00C05B2A">
        <w:rPr>
          <w:rFonts w:ascii="Arial" w:hAnsi="Arial" w:cs="Arial"/>
          <w:b/>
          <w:bCs/>
          <w:i/>
          <w:sz w:val="32"/>
          <w:szCs w:val="32"/>
        </w:rPr>
        <w:t>Reflective Analysis of Service Integration and Partnership Working in Health and Social Care Practice: A Case-Based Reflection on DiaWell LU4</w:t>
      </w:r>
    </w:p>
    <w:p w14:paraId="5F0DC010" w14:textId="548DDB1B" w:rsidR="00A5714B" w:rsidRPr="00C05B2A" w:rsidRDefault="00A5714B" w:rsidP="00A5714B">
      <w:pPr>
        <w:spacing w:line="480" w:lineRule="auto"/>
        <w:jc w:val="center"/>
        <w:rPr>
          <w:rFonts w:ascii="Arial" w:hAnsi="Arial" w:cs="Arial"/>
          <w:b/>
          <w:bCs/>
          <w:sz w:val="32"/>
          <w:szCs w:val="32"/>
        </w:rPr>
      </w:pPr>
      <w:r w:rsidRPr="00C05B2A">
        <w:rPr>
          <w:rFonts w:ascii="Arial" w:hAnsi="Arial" w:cs="Arial"/>
          <w:b/>
          <w:bCs/>
          <w:sz w:val="32"/>
          <w:szCs w:val="32"/>
        </w:rPr>
        <w:t>Student Name</w:t>
      </w:r>
      <w:r w:rsidR="00C05B2A" w:rsidRPr="00C05B2A">
        <w:rPr>
          <w:rFonts w:ascii="Arial" w:hAnsi="Arial" w:cs="Arial"/>
          <w:b/>
          <w:bCs/>
          <w:sz w:val="32"/>
          <w:szCs w:val="32"/>
        </w:rPr>
        <w:t xml:space="preserve"> </w:t>
      </w:r>
      <w:r w:rsidRPr="00C05B2A">
        <w:rPr>
          <w:rFonts w:ascii="Arial" w:hAnsi="Arial" w:cs="Arial"/>
          <w:b/>
          <w:bCs/>
          <w:sz w:val="32"/>
          <w:szCs w:val="32"/>
        </w:rPr>
        <w:t>:</w:t>
      </w:r>
      <w:r w:rsidR="00C05B2A" w:rsidRPr="00C05B2A">
        <w:rPr>
          <w:rFonts w:ascii="Arial" w:hAnsi="Arial" w:cs="Arial"/>
          <w:b/>
          <w:bCs/>
          <w:sz w:val="32"/>
          <w:szCs w:val="32"/>
        </w:rPr>
        <w:t xml:space="preserve"> Neha Makwana</w:t>
      </w:r>
    </w:p>
    <w:p w14:paraId="4D4CDBE3" w14:textId="6F29B868" w:rsidR="00692BD4" w:rsidRPr="00C05B2A" w:rsidRDefault="00A5714B" w:rsidP="00A5714B">
      <w:pPr>
        <w:spacing w:line="480" w:lineRule="auto"/>
        <w:jc w:val="center"/>
        <w:rPr>
          <w:rFonts w:ascii="Arial" w:hAnsi="Arial" w:cs="Arial"/>
          <w:b/>
          <w:bCs/>
          <w:sz w:val="32"/>
          <w:szCs w:val="32"/>
        </w:rPr>
      </w:pPr>
      <w:r w:rsidRPr="00C05B2A">
        <w:rPr>
          <w:rFonts w:ascii="Arial" w:hAnsi="Arial" w:cs="Arial"/>
          <w:b/>
          <w:bCs/>
          <w:sz w:val="32"/>
          <w:szCs w:val="32"/>
        </w:rPr>
        <w:t>Student ID</w:t>
      </w:r>
      <w:r w:rsidR="00C05B2A" w:rsidRPr="00C05B2A">
        <w:rPr>
          <w:rFonts w:ascii="Arial" w:hAnsi="Arial" w:cs="Arial"/>
          <w:b/>
          <w:bCs/>
          <w:sz w:val="32"/>
          <w:szCs w:val="32"/>
        </w:rPr>
        <w:t xml:space="preserve"> </w:t>
      </w:r>
      <w:r w:rsidRPr="00C05B2A">
        <w:rPr>
          <w:rFonts w:ascii="Arial" w:hAnsi="Arial" w:cs="Arial"/>
          <w:b/>
          <w:bCs/>
          <w:sz w:val="32"/>
          <w:szCs w:val="32"/>
        </w:rPr>
        <w:t>:</w:t>
      </w:r>
      <w:r w:rsidR="00C05B2A" w:rsidRPr="00C05B2A">
        <w:rPr>
          <w:rFonts w:ascii="Arial" w:hAnsi="Arial" w:cs="Arial"/>
          <w:b/>
          <w:bCs/>
          <w:sz w:val="32"/>
          <w:szCs w:val="32"/>
        </w:rPr>
        <w:t xml:space="preserve"> 2436892</w:t>
      </w:r>
      <w:r w:rsidR="00692BD4" w:rsidRPr="00C05B2A">
        <w:rPr>
          <w:rFonts w:ascii="Arial" w:hAnsi="Arial" w:cs="Arial"/>
          <w:b/>
          <w:bCs/>
          <w:sz w:val="32"/>
          <w:szCs w:val="32"/>
        </w:rPr>
        <w:br w:type="page"/>
      </w:r>
    </w:p>
    <w:sdt>
      <w:sdtPr>
        <w:rPr>
          <w:rFonts w:asciiTheme="minorHAnsi" w:eastAsiaTheme="minorHAnsi" w:hAnsiTheme="minorHAnsi" w:cstheme="minorBidi"/>
          <w:color w:val="auto"/>
          <w:kern w:val="2"/>
          <w:sz w:val="24"/>
          <w:szCs w:val="24"/>
        </w:rPr>
        <w:id w:val="773210349"/>
        <w:docPartObj>
          <w:docPartGallery w:val="Table of Contents"/>
          <w:docPartUnique/>
        </w:docPartObj>
      </w:sdtPr>
      <w:sdtEndPr>
        <w:rPr>
          <w:rFonts w:ascii="Times New Roman" w:eastAsia="Times New Roman" w:hAnsi="Times New Roman" w:cs="Times New Roman"/>
          <w:b/>
          <w:bCs/>
          <w:noProof/>
          <w:kern w:val="0"/>
        </w:rPr>
      </w:sdtEndPr>
      <w:sdtContent>
        <w:p w14:paraId="6AB45212" w14:textId="4CC40546" w:rsidR="00692BD4" w:rsidRPr="00C05B2A" w:rsidRDefault="00692BD4" w:rsidP="00A5714B">
          <w:pPr>
            <w:pStyle w:val="TOCHeading"/>
            <w:spacing w:line="480" w:lineRule="auto"/>
            <w:jc w:val="center"/>
            <w:rPr>
              <w:rFonts w:ascii="Arial" w:hAnsi="Arial" w:cs="Arial"/>
              <w:b/>
              <w:bCs/>
              <w:color w:val="auto"/>
              <w:sz w:val="28"/>
              <w:szCs w:val="22"/>
            </w:rPr>
          </w:pPr>
          <w:r w:rsidRPr="00C05B2A">
            <w:rPr>
              <w:rFonts w:ascii="Arial" w:hAnsi="Arial" w:cs="Arial"/>
              <w:b/>
              <w:bCs/>
              <w:color w:val="auto"/>
              <w:sz w:val="28"/>
              <w:szCs w:val="22"/>
            </w:rPr>
            <w:t>Table of Contents</w:t>
          </w:r>
        </w:p>
        <w:p w14:paraId="47894C6B" w14:textId="41BD2991" w:rsidR="00260195" w:rsidRPr="00C05B2A" w:rsidRDefault="00692BD4" w:rsidP="00260195">
          <w:pPr>
            <w:pStyle w:val="TOC1"/>
            <w:tabs>
              <w:tab w:val="right" w:leader="dot" w:pos="9350"/>
            </w:tabs>
            <w:spacing w:after="0"/>
            <w:jc w:val="both"/>
            <w:rPr>
              <w:rFonts w:ascii="Arial" w:eastAsiaTheme="minorEastAsia" w:hAnsi="Arial" w:cs="Arial"/>
              <w:noProof/>
              <w:sz w:val="20"/>
              <w:szCs w:val="22"/>
              <w14:ligatures w14:val="none"/>
            </w:rPr>
          </w:pPr>
          <w:r w:rsidRPr="00C05B2A">
            <w:rPr>
              <w:rFonts w:ascii="Arial" w:hAnsi="Arial" w:cs="Arial"/>
              <w:sz w:val="22"/>
            </w:rPr>
            <w:fldChar w:fldCharType="begin"/>
          </w:r>
          <w:r w:rsidRPr="00C05B2A">
            <w:rPr>
              <w:rFonts w:ascii="Arial" w:hAnsi="Arial" w:cs="Arial"/>
              <w:sz w:val="22"/>
            </w:rPr>
            <w:instrText xml:space="preserve"> TOC \o "1-3" \h \z \u </w:instrText>
          </w:r>
          <w:r w:rsidRPr="00C05B2A">
            <w:rPr>
              <w:rFonts w:ascii="Arial" w:hAnsi="Arial" w:cs="Arial"/>
              <w:sz w:val="22"/>
            </w:rPr>
            <w:fldChar w:fldCharType="separate"/>
          </w:r>
          <w:hyperlink w:anchor="_Toc227769353" w:history="1">
            <w:r w:rsidR="00260195" w:rsidRPr="00C05B2A">
              <w:rPr>
                <w:rStyle w:val="Hyperlink"/>
                <w:rFonts w:ascii="Arial" w:hAnsi="Arial" w:cs="Arial"/>
                <w:noProof/>
                <w:color w:val="auto"/>
                <w:sz w:val="22"/>
              </w:rPr>
              <w:t>1. Introduction</w:t>
            </w:r>
            <w:r w:rsidR="00260195" w:rsidRPr="00C05B2A">
              <w:rPr>
                <w:rFonts w:ascii="Arial" w:hAnsi="Arial" w:cs="Arial"/>
                <w:noProof/>
                <w:webHidden/>
                <w:sz w:val="22"/>
              </w:rPr>
              <w:tab/>
            </w:r>
            <w:r w:rsidR="00260195" w:rsidRPr="00C05B2A">
              <w:rPr>
                <w:rFonts w:ascii="Arial" w:hAnsi="Arial" w:cs="Arial"/>
                <w:noProof/>
                <w:webHidden/>
                <w:sz w:val="22"/>
              </w:rPr>
              <w:fldChar w:fldCharType="begin"/>
            </w:r>
            <w:r w:rsidR="00260195" w:rsidRPr="00C05B2A">
              <w:rPr>
                <w:rFonts w:ascii="Arial" w:hAnsi="Arial" w:cs="Arial"/>
                <w:noProof/>
                <w:webHidden/>
                <w:sz w:val="22"/>
              </w:rPr>
              <w:instrText xml:space="preserve"> PAGEREF _Toc227769353 \h </w:instrText>
            </w:r>
            <w:r w:rsidR="00260195" w:rsidRPr="00C05B2A">
              <w:rPr>
                <w:rFonts w:ascii="Arial" w:hAnsi="Arial" w:cs="Arial"/>
                <w:noProof/>
                <w:webHidden/>
                <w:sz w:val="22"/>
              </w:rPr>
            </w:r>
            <w:r w:rsidR="00260195" w:rsidRPr="00C05B2A">
              <w:rPr>
                <w:rFonts w:ascii="Arial" w:hAnsi="Arial" w:cs="Arial"/>
                <w:noProof/>
                <w:webHidden/>
                <w:sz w:val="22"/>
              </w:rPr>
              <w:fldChar w:fldCharType="separate"/>
            </w:r>
            <w:r w:rsidR="003A625F" w:rsidRPr="00C05B2A">
              <w:rPr>
                <w:rFonts w:ascii="Arial" w:hAnsi="Arial" w:cs="Arial"/>
                <w:noProof/>
                <w:webHidden/>
                <w:sz w:val="22"/>
              </w:rPr>
              <w:t>3</w:t>
            </w:r>
            <w:r w:rsidR="00260195" w:rsidRPr="00C05B2A">
              <w:rPr>
                <w:rFonts w:ascii="Arial" w:hAnsi="Arial" w:cs="Arial"/>
                <w:noProof/>
                <w:webHidden/>
                <w:sz w:val="22"/>
              </w:rPr>
              <w:fldChar w:fldCharType="end"/>
            </w:r>
          </w:hyperlink>
        </w:p>
        <w:p w14:paraId="79457797" w14:textId="79E755C5"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54" w:history="1">
            <w:r w:rsidRPr="00C05B2A">
              <w:rPr>
                <w:rStyle w:val="Hyperlink"/>
                <w:rFonts w:ascii="Arial" w:hAnsi="Arial" w:cs="Arial"/>
                <w:noProof/>
                <w:color w:val="auto"/>
                <w:sz w:val="22"/>
              </w:rPr>
              <w:t>2. Context: Identifying Needs and Opportunities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_Toc227769354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3</w:t>
            </w:r>
            <w:r w:rsidRPr="00C05B2A">
              <w:rPr>
                <w:rFonts w:ascii="Arial" w:hAnsi="Arial" w:cs="Arial"/>
                <w:noProof/>
                <w:webHidden/>
                <w:sz w:val="22"/>
              </w:rPr>
              <w:fldChar w:fldCharType="end"/>
            </w:r>
          </w:hyperlink>
        </w:p>
        <w:p w14:paraId="7909CA12" w14:textId="62CB727B"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55" w:history="1">
            <w:r w:rsidRPr="00C05B2A">
              <w:rPr>
                <w:rStyle w:val="Hyperlink"/>
                <w:rFonts w:ascii="Arial" w:hAnsi="Arial" w:cs="Arial"/>
                <w:noProof/>
                <w:color w:val="auto"/>
                <w:sz w:val="22"/>
              </w:rPr>
              <w:t>2.1 Identifying Population Needs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_Toc227769355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3</w:t>
            </w:r>
            <w:r w:rsidRPr="00C05B2A">
              <w:rPr>
                <w:rFonts w:ascii="Arial" w:hAnsi="Arial" w:cs="Arial"/>
                <w:noProof/>
                <w:webHidden/>
                <w:sz w:val="22"/>
              </w:rPr>
              <w:fldChar w:fldCharType="end"/>
            </w:r>
          </w:hyperlink>
        </w:p>
        <w:p w14:paraId="079A1C3D" w14:textId="69860562"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56" w:history="1">
            <w:r w:rsidRPr="00C05B2A">
              <w:rPr>
                <w:rStyle w:val="Hyperlink"/>
                <w:rFonts w:ascii="Arial" w:hAnsi="Arial" w:cs="Arial"/>
                <w:noProof/>
                <w:color w:val="auto"/>
                <w:sz w:val="22"/>
              </w:rPr>
              <w:t>2.2 Opportunities for Service Integration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_Toc227769356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4</w:t>
            </w:r>
            <w:r w:rsidRPr="00C05B2A">
              <w:rPr>
                <w:rFonts w:ascii="Arial" w:hAnsi="Arial" w:cs="Arial"/>
                <w:noProof/>
                <w:webHidden/>
                <w:sz w:val="22"/>
              </w:rPr>
              <w:fldChar w:fldCharType="end"/>
            </w:r>
          </w:hyperlink>
        </w:p>
        <w:p w14:paraId="3E3A01D7" w14:textId="2EF705DB"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57" w:history="1">
            <w:r w:rsidRPr="00C05B2A">
              <w:rPr>
                <w:rStyle w:val="Hyperlink"/>
                <w:rFonts w:ascii="Arial" w:hAnsi="Arial" w:cs="Arial"/>
                <w:noProof/>
                <w:color w:val="auto"/>
                <w:sz w:val="22"/>
              </w:rPr>
              <w:t>2.3 Aims and Objectives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_Toc227769357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4</w:t>
            </w:r>
            <w:r w:rsidRPr="00C05B2A">
              <w:rPr>
                <w:rFonts w:ascii="Arial" w:hAnsi="Arial" w:cs="Arial"/>
                <w:noProof/>
                <w:webHidden/>
                <w:sz w:val="22"/>
              </w:rPr>
              <w:fldChar w:fldCharType="end"/>
            </w:r>
          </w:hyperlink>
        </w:p>
        <w:p w14:paraId="526558FD" w14:textId="68D40828"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58" w:history="1">
            <w:r w:rsidRPr="00C05B2A">
              <w:rPr>
                <w:rStyle w:val="Hyperlink"/>
                <w:rFonts w:ascii="Arial" w:hAnsi="Arial" w:cs="Arial"/>
                <w:noProof/>
                <w:color w:val="auto"/>
                <w:sz w:val="22"/>
              </w:rPr>
              <w:t>3. Input: Partners, Frameworks, and Barriers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_Toc227769358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5</w:t>
            </w:r>
            <w:r w:rsidRPr="00C05B2A">
              <w:rPr>
                <w:rFonts w:ascii="Arial" w:hAnsi="Arial" w:cs="Arial"/>
                <w:noProof/>
                <w:webHidden/>
                <w:sz w:val="22"/>
              </w:rPr>
              <w:fldChar w:fldCharType="end"/>
            </w:r>
          </w:hyperlink>
        </w:p>
        <w:p w14:paraId="1513D17B" w14:textId="097FB371"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59" w:history="1">
            <w:r w:rsidRPr="00C05B2A">
              <w:rPr>
                <w:rStyle w:val="Hyperlink"/>
                <w:rFonts w:ascii="Arial" w:hAnsi="Arial" w:cs="Arial"/>
                <w:noProof/>
                <w:color w:val="auto"/>
                <w:sz w:val="22"/>
              </w:rPr>
              <w:t>3.1 Key Partners and Their Roles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_Toc227769359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5</w:t>
            </w:r>
            <w:r w:rsidRPr="00C05B2A">
              <w:rPr>
                <w:rFonts w:ascii="Arial" w:hAnsi="Arial" w:cs="Arial"/>
                <w:noProof/>
                <w:webHidden/>
                <w:sz w:val="22"/>
              </w:rPr>
              <w:fldChar w:fldCharType="end"/>
            </w:r>
          </w:hyperlink>
        </w:p>
        <w:p w14:paraId="345820EB" w14:textId="54FC4AAD"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0" w:history="1">
            <w:r w:rsidRPr="00C05B2A">
              <w:rPr>
                <w:rStyle w:val="Hyperlink"/>
                <w:rFonts w:ascii="Arial" w:hAnsi="Arial" w:cs="Arial"/>
                <w:noProof/>
                <w:color w:val="auto"/>
                <w:sz w:val="22"/>
              </w:rPr>
              <w:t>3.2 Frameworks and Theoretical Understanding</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_Toc227769360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6</w:t>
            </w:r>
            <w:r w:rsidRPr="00C05B2A">
              <w:rPr>
                <w:rFonts w:ascii="Arial" w:hAnsi="Arial" w:cs="Arial"/>
                <w:noProof/>
                <w:webHidden/>
                <w:sz w:val="22"/>
              </w:rPr>
              <w:fldChar w:fldCharType="end"/>
            </w:r>
          </w:hyperlink>
        </w:p>
        <w:p w14:paraId="33F3AAEB" w14:textId="4F591580"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1" w:history="1">
            <w:r w:rsidRPr="00C05B2A">
              <w:rPr>
                <w:rStyle w:val="Hyperlink"/>
                <w:rFonts w:ascii="Arial" w:hAnsi="Arial" w:cs="Arial"/>
                <w:noProof/>
                <w:color w:val="auto"/>
                <w:sz w:val="22"/>
              </w:rPr>
              <w:t>3.3 Resources Required</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_Toc227769361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6</w:t>
            </w:r>
            <w:r w:rsidRPr="00C05B2A">
              <w:rPr>
                <w:rFonts w:ascii="Arial" w:hAnsi="Arial" w:cs="Arial"/>
                <w:noProof/>
                <w:webHidden/>
                <w:sz w:val="22"/>
              </w:rPr>
              <w:fldChar w:fldCharType="end"/>
            </w:r>
          </w:hyperlink>
        </w:p>
        <w:p w14:paraId="25F0C128" w14:textId="534079A8"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2" w:history="1">
            <w:r w:rsidRPr="00C05B2A">
              <w:rPr>
                <w:rStyle w:val="Hyperlink"/>
                <w:rFonts w:ascii="Arial" w:hAnsi="Arial" w:cs="Arial"/>
                <w:noProof/>
                <w:color w:val="auto"/>
                <w:sz w:val="22"/>
              </w:rPr>
              <w:t>3.4 Barriers to Integration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_Toc227769362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7</w:t>
            </w:r>
            <w:r w:rsidRPr="00C05B2A">
              <w:rPr>
                <w:rFonts w:ascii="Arial" w:hAnsi="Arial" w:cs="Arial"/>
                <w:noProof/>
                <w:webHidden/>
                <w:sz w:val="22"/>
              </w:rPr>
              <w:fldChar w:fldCharType="end"/>
            </w:r>
          </w:hyperlink>
        </w:p>
        <w:p w14:paraId="202ECF75" w14:textId="6308254D"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3" w:history="1">
            <w:r w:rsidRPr="00C05B2A">
              <w:rPr>
                <w:rStyle w:val="Hyperlink"/>
                <w:rFonts w:ascii="Arial" w:hAnsi="Arial" w:cs="Arial"/>
                <w:noProof/>
                <w:color w:val="auto"/>
                <w:sz w:val="22"/>
              </w:rPr>
              <w:t>3.5 Recommendations for Improvement</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_Toc227769363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7</w:t>
            </w:r>
            <w:r w:rsidRPr="00C05B2A">
              <w:rPr>
                <w:rFonts w:ascii="Arial" w:hAnsi="Arial" w:cs="Arial"/>
                <w:noProof/>
                <w:webHidden/>
                <w:sz w:val="22"/>
              </w:rPr>
              <w:fldChar w:fldCharType="end"/>
            </w:r>
          </w:hyperlink>
        </w:p>
        <w:p w14:paraId="3ED9909F" w14:textId="0FF606BF"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64" w:history="1">
            <w:r w:rsidRPr="00C05B2A">
              <w:rPr>
                <w:rStyle w:val="Hyperlink"/>
                <w:rFonts w:ascii="Arial" w:hAnsi="Arial" w:cs="Arial"/>
                <w:noProof/>
                <w:color w:val="auto"/>
                <w:sz w:val="22"/>
              </w:rPr>
              <w:t>4. Process Working Reflection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_Toc227769364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8</w:t>
            </w:r>
            <w:r w:rsidRPr="00C05B2A">
              <w:rPr>
                <w:rFonts w:ascii="Arial" w:hAnsi="Arial" w:cs="Arial"/>
                <w:noProof/>
                <w:webHidden/>
                <w:sz w:val="22"/>
              </w:rPr>
              <w:fldChar w:fldCharType="end"/>
            </w:r>
          </w:hyperlink>
        </w:p>
        <w:p w14:paraId="3B8E0ACA" w14:textId="02BC533D"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5" w:history="1">
            <w:r w:rsidRPr="00C05B2A">
              <w:rPr>
                <w:rStyle w:val="Hyperlink"/>
                <w:rFonts w:ascii="Arial" w:hAnsi="Arial" w:cs="Arial"/>
                <w:noProof/>
                <w:color w:val="auto"/>
                <w:sz w:val="22"/>
              </w:rPr>
              <w:t>4.1 Team Collaboration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_Toc227769365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8</w:t>
            </w:r>
            <w:r w:rsidRPr="00C05B2A">
              <w:rPr>
                <w:rFonts w:ascii="Arial" w:hAnsi="Arial" w:cs="Arial"/>
                <w:noProof/>
                <w:webHidden/>
                <w:sz w:val="22"/>
              </w:rPr>
              <w:fldChar w:fldCharType="end"/>
            </w:r>
          </w:hyperlink>
        </w:p>
        <w:p w14:paraId="5340B7DB" w14:textId="618921E6"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6" w:history="1">
            <w:r w:rsidRPr="00C05B2A">
              <w:rPr>
                <w:rStyle w:val="Hyperlink"/>
                <w:rFonts w:ascii="Arial" w:hAnsi="Arial" w:cs="Arial"/>
                <w:noProof/>
                <w:color w:val="auto"/>
                <w:sz w:val="22"/>
              </w:rPr>
              <w:t>4.2 Roles and Responsibilities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_Toc227769366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8</w:t>
            </w:r>
            <w:r w:rsidRPr="00C05B2A">
              <w:rPr>
                <w:rFonts w:ascii="Arial" w:hAnsi="Arial" w:cs="Arial"/>
                <w:noProof/>
                <w:webHidden/>
                <w:sz w:val="22"/>
              </w:rPr>
              <w:fldChar w:fldCharType="end"/>
            </w:r>
          </w:hyperlink>
        </w:p>
        <w:p w14:paraId="74DA298B" w14:textId="39BA2E9B"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7" w:history="1">
            <w:r w:rsidRPr="00C05B2A">
              <w:rPr>
                <w:rStyle w:val="Hyperlink"/>
                <w:rFonts w:ascii="Arial" w:hAnsi="Arial" w:cs="Arial"/>
                <w:noProof/>
                <w:color w:val="auto"/>
                <w:sz w:val="22"/>
              </w:rPr>
              <w:t>4.3 Personal Contribution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_Toc227769367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9</w:t>
            </w:r>
            <w:r w:rsidRPr="00C05B2A">
              <w:rPr>
                <w:rFonts w:ascii="Arial" w:hAnsi="Arial" w:cs="Arial"/>
                <w:noProof/>
                <w:webHidden/>
                <w:sz w:val="22"/>
              </w:rPr>
              <w:fldChar w:fldCharType="end"/>
            </w:r>
          </w:hyperlink>
        </w:p>
        <w:p w14:paraId="7078A34B" w14:textId="0EDC36C7"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68" w:history="1">
            <w:r w:rsidRPr="00C05B2A">
              <w:rPr>
                <w:rStyle w:val="Hyperlink"/>
                <w:rFonts w:ascii="Arial" w:hAnsi="Arial" w:cs="Arial"/>
                <w:noProof/>
                <w:color w:val="auto"/>
                <w:sz w:val="22"/>
              </w:rPr>
              <w:t>5. Product: Outcomes and Professional Development</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_Toc227769368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9</w:t>
            </w:r>
            <w:r w:rsidRPr="00C05B2A">
              <w:rPr>
                <w:rFonts w:ascii="Arial" w:hAnsi="Arial" w:cs="Arial"/>
                <w:noProof/>
                <w:webHidden/>
                <w:sz w:val="22"/>
              </w:rPr>
              <w:fldChar w:fldCharType="end"/>
            </w:r>
          </w:hyperlink>
        </w:p>
        <w:p w14:paraId="5F1D605E" w14:textId="3F98D4B5"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69" w:history="1">
            <w:r w:rsidRPr="00C05B2A">
              <w:rPr>
                <w:rStyle w:val="Hyperlink"/>
                <w:rFonts w:ascii="Arial" w:hAnsi="Arial" w:cs="Arial"/>
                <w:noProof/>
                <w:color w:val="auto"/>
                <w:sz w:val="22"/>
              </w:rPr>
              <w:t>5.1 Evaluation of Success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_Toc227769369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9</w:t>
            </w:r>
            <w:r w:rsidRPr="00C05B2A">
              <w:rPr>
                <w:rFonts w:ascii="Arial" w:hAnsi="Arial" w:cs="Arial"/>
                <w:noProof/>
                <w:webHidden/>
                <w:sz w:val="22"/>
              </w:rPr>
              <w:fldChar w:fldCharType="end"/>
            </w:r>
          </w:hyperlink>
        </w:p>
        <w:p w14:paraId="0506D430" w14:textId="76A089F3"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70" w:history="1">
            <w:r w:rsidRPr="00C05B2A">
              <w:rPr>
                <w:rStyle w:val="Hyperlink"/>
                <w:rFonts w:ascii="Arial" w:hAnsi="Arial" w:cs="Arial"/>
                <w:noProof/>
                <w:color w:val="auto"/>
                <w:sz w:val="22"/>
              </w:rPr>
              <w:t>5.2 Competencies for Integrated Care</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_Toc227769370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11</w:t>
            </w:r>
            <w:r w:rsidRPr="00C05B2A">
              <w:rPr>
                <w:rFonts w:ascii="Arial" w:hAnsi="Arial" w:cs="Arial"/>
                <w:noProof/>
                <w:webHidden/>
                <w:sz w:val="22"/>
              </w:rPr>
              <w:fldChar w:fldCharType="end"/>
            </w:r>
          </w:hyperlink>
        </w:p>
        <w:p w14:paraId="7206E756" w14:textId="0E2CB1F0"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71" w:history="1">
            <w:r w:rsidRPr="00C05B2A">
              <w:rPr>
                <w:rStyle w:val="Hyperlink"/>
                <w:rFonts w:ascii="Arial" w:hAnsi="Arial" w:cs="Arial"/>
                <w:noProof/>
                <w:color w:val="auto"/>
                <w:sz w:val="22"/>
              </w:rPr>
              <w:t>5.3 Personal Learning and Growth</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_Toc227769371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11</w:t>
            </w:r>
            <w:r w:rsidRPr="00C05B2A">
              <w:rPr>
                <w:rFonts w:ascii="Arial" w:hAnsi="Arial" w:cs="Arial"/>
                <w:noProof/>
                <w:webHidden/>
                <w:sz w:val="22"/>
              </w:rPr>
              <w:fldChar w:fldCharType="end"/>
            </w:r>
          </w:hyperlink>
        </w:p>
        <w:p w14:paraId="0DE5CD66" w14:textId="77ACE770" w:rsidR="00260195" w:rsidRPr="00C05B2A" w:rsidRDefault="00260195" w:rsidP="00260195">
          <w:pPr>
            <w:pStyle w:val="TOC2"/>
            <w:tabs>
              <w:tab w:val="right" w:leader="dot" w:pos="9350"/>
            </w:tabs>
            <w:spacing w:after="0"/>
            <w:jc w:val="both"/>
            <w:rPr>
              <w:rFonts w:ascii="Arial" w:eastAsiaTheme="minorEastAsia" w:hAnsi="Arial" w:cs="Arial"/>
              <w:noProof/>
              <w:sz w:val="20"/>
              <w:szCs w:val="22"/>
              <w14:ligatures w14:val="none"/>
            </w:rPr>
          </w:pPr>
          <w:hyperlink w:anchor="_Toc227769372" w:history="1">
            <w:r w:rsidRPr="00C05B2A">
              <w:rPr>
                <w:rStyle w:val="Hyperlink"/>
                <w:rFonts w:ascii="Arial" w:hAnsi="Arial" w:cs="Arial"/>
                <w:noProof/>
                <w:color w:val="auto"/>
                <w:sz w:val="22"/>
              </w:rPr>
              <w:t>5.4 Steps for Professional Development</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_Toc227769372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12</w:t>
            </w:r>
            <w:r w:rsidRPr="00C05B2A">
              <w:rPr>
                <w:rFonts w:ascii="Arial" w:hAnsi="Arial" w:cs="Arial"/>
                <w:noProof/>
                <w:webHidden/>
                <w:sz w:val="22"/>
              </w:rPr>
              <w:fldChar w:fldCharType="end"/>
            </w:r>
          </w:hyperlink>
        </w:p>
        <w:p w14:paraId="44057EF9" w14:textId="29EE7E0E"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73" w:history="1">
            <w:r w:rsidRPr="00C05B2A">
              <w:rPr>
                <w:rStyle w:val="Hyperlink"/>
                <w:rFonts w:ascii="Arial" w:hAnsi="Arial" w:cs="Arial"/>
                <w:noProof/>
                <w:color w:val="auto"/>
                <w:sz w:val="22"/>
              </w:rPr>
              <w:t>6. Critical Reflection and Analysis Gibbs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_Toc227769373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12</w:t>
            </w:r>
            <w:r w:rsidRPr="00C05B2A">
              <w:rPr>
                <w:rFonts w:ascii="Arial" w:hAnsi="Arial" w:cs="Arial"/>
                <w:noProof/>
                <w:webHidden/>
                <w:sz w:val="22"/>
              </w:rPr>
              <w:fldChar w:fldCharType="end"/>
            </w:r>
          </w:hyperlink>
        </w:p>
        <w:p w14:paraId="21E4E3C9" w14:textId="55113809"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74" w:history="1">
            <w:r w:rsidRPr="00C05B2A">
              <w:rPr>
                <w:rStyle w:val="Hyperlink"/>
                <w:rFonts w:ascii="Arial" w:hAnsi="Arial" w:cs="Arial"/>
                <w:noProof/>
                <w:color w:val="auto"/>
                <w:sz w:val="22"/>
              </w:rPr>
              <w:t>7. Conclusion</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_Toc227769374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14</w:t>
            </w:r>
            <w:r w:rsidRPr="00C05B2A">
              <w:rPr>
                <w:rFonts w:ascii="Arial" w:hAnsi="Arial" w:cs="Arial"/>
                <w:noProof/>
                <w:webHidden/>
                <w:sz w:val="22"/>
              </w:rPr>
              <w:fldChar w:fldCharType="end"/>
            </w:r>
          </w:hyperlink>
        </w:p>
        <w:p w14:paraId="65035AE0" w14:textId="2F86F54A" w:rsidR="00260195" w:rsidRPr="00C05B2A" w:rsidRDefault="00260195" w:rsidP="00260195">
          <w:pPr>
            <w:pStyle w:val="TOC1"/>
            <w:tabs>
              <w:tab w:val="right" w:leader="dot" w:pos="9350"/>
            </w:tabs>
            <w:spacing w:after="0"/>
            <w:jc w:val="both"/>
            <w:rPr>
              <w:rFonts w:ascii="Arial" w:eastAsiaTheme="minorEastAsia" w:hAnsi="Arial" w:cs="Arial"/>
              <w:noProof/>
              <w:sz w:val="20"/>
              <w:szCs w:val="22"/>
              <w14:ligatures w14:val="none"/>
            </w:rPr>
          </w:pPr>
          <w:hyperlink w:anchor="_Toc227769375" w:history="1">
            <w:r w:rsidRPr="00C05B2A">
              <w:rPr>
                <w:rStyle w:val="Hyperlink"/>
                <w:rFonts w:ascii="Arial" w:hAnsi="Arial" w:cs="Arial"/>
                <w:noProof/>
                <w:color w:val="auto"/>
                <w:sz w:val="22"/>
              </w:rPr>
              <w:t>References</w:t>
            </w:r>
            <w:r w:rsidRPr="00C05B2A">
              <w:rPr>
                <w:rFonts w:ascii="Arial" w:hAnsi="Arial" w:cs="Arial"/>
                <w:noProof/>
                <w:webHidden/>
                <w:sz w:val="22"/>
              </w:rPr>
              <w:tab/>
            </w:r>
            <w:r w:rsidRPr="00C05B2A">
              <w:rPr>
                <w:rFonts w:ascii="Arial" w:hAnsi="Arial" w:cs="Arial"/>
                <w:noProof/>
                <w:webHidden/>
                <w:sz w:val="22"/>
              </w:rPr>
              <w:fldChar w:fldCharType="begin"/>
            </w:r>
            <w:r w:rsidRPr="00C05B2A">
              <w:rPr>
                <w:rFonts w:ascii="Arial" w:hAnsi="Arial" w:cs="Arial"/>
                <w:noProof/>
                <w:webHidden/>
                <w:sz w:val="22"/>
              </w:rPr>
              <w:instrText xml:space="preserve"> PAGEREF _Toc227769375 \h </w:instrText>
            </w:r>
            <w:r w:rsidRPr="00C05B2A">
              <w:rPr>
                <w:rFonts w:ascii="Arial" w:hAnsi="Arial" w:cs="Arial"/>
                <w:noProof/>
                <w:webHidden/>
                <w:sz w:val="22"/>
              </w:rPr>
            </w:r>
            <w:r w:rsidRPr="00C05B2A">
              <w:rPr>
                <w:rFonts w:ascii="Arial" w:hAnsi="Arial" w:cs="Arial"/>
                <w:noProof/>
                <w:webHidden/>
                <w:sz w:val="22"/>
              </w:rPr>
              <w:fldChar w:fldCharType="separate"/>
            </w:r>
            <w:r w:rsidR="003A625F" w:rsidRPr="00C05B2A">
              <w:rPr>
                <w:rFonts w:ascii="Arial" w:hAnsi="Arial" w:cs="Arial"/>
                <w:noProof/>
                <w:webHidden/>
                <w:sz w:val="22"/>
              </w:rPr>
              <w:t>15</w:t>
            </w:r>
            <w:r w:rsidRPr="00C05B2A">
              <w:rPr>
                <w:rFonts w:ascii="Arial" w:hAnsi="Arial" w:cs="Arial"/>
                <w:noProof/>
                <w:webHidden/>
                <w:sz w:val="22"/>
              </w:rPr>
              <w:fldChar w:fldCharType="end"/>
            </w:r>
          </w:hyperlink>
        </w:p>
        <w:p w14:paraId="22BD7F11" w14:textId="1E6298B6" w:rsidR="00692BD4" w:rsidRPr="00C05B2A" w:rsidRDefault="00692BD4" w:rsidP="00260195">
          <w:pPr>
            <w:jc w:val="both"/>
          </w:pPr>
          <w:r w:rsidRPr="00C05B2A">
            <w:rPr>
              <w:rFonts w:ascii="Arial" w:hAnsi="Arial" w:cs="Arial"/>
              <w:b/>
              <w:bCs/>
              <w:noProof/>
              <w:sz w:val="22"/>
            </w:rPr>
            <w:fldChar w:fldCharType="end"/>
          </w:r>
        </w:p>
      </w:sdtContent>
    </w:sdt>
    <w:p w14:paraId="481E95CC" w14:textId="77777777" w:rsidR="007626F5" w:rsidRPr="00C05B2A" w:rsidRDefault="007626F5" w:rsidP="00A5714B">
      <w:pPr>
        <w:spacing w:line="480" w:lineRule="auto"/>
        <w:rPr>
          <w:rFonts w:ascii="Arial" w:hAnsi="Arial" w:cs="Arial"/>
        </w:rPr>
      </w:pPr>
    </w:p>
    <w:p w14:paraId="0E436DD5" w14:textId="77777777" w:rsidR="007626F5" w:rsidRPr="00C05B2A" w:rsidRDefault="007626F5" w:rsidP="00A5714B">
      <w:pPr>
        <w:spacing w:line="480" w:lineRule="auto"/>
        <w:jc w:val="both"/>
        <w:rPr>
          <w:rFonts w:ascii="Arial" w:hAnsi="Arial" w:cs="Arial"/>
          <w:b/>
          <w:bCs/>
          <w:sz w:val="32"/>
          <w:szCs w:val="32"/>
        </w:rPr>
      </w:pPr>
      <w:r w:rsidRPr="00C05B2A">
        <w:rPr>
          <w:rFonts w:ascii="Arial" w:hAnsi="Arial" w:cs="Arial"/>
          <w:b/>
          <w:bCs/>
          <w:sz w:val="32"/>
          <w:szCs w:val="32"/>
        </w:rPr>
        <w:br w:type="page"/>
      </w:r>
    </w:p>
    <w:p w14:paraId="2951B933" w14:textId="219F8AE5" w:rsidR="007626F5" w:rsidRPr="00C05B2A" w:rsidRDefault="007626F5" w:rsidP="00A5714B">
      <w:pPr>
        <w:pStyle w:val="Heading1"/>
        <w:spacing w:line="480" w:lineRule="auto"/>
      </w:pPr>
      <w:bookmarkStart w:id="0" w:name="_Toc227769353"/>
      <w:r w:rsidRPr="00C05B2A">
        <w:lastRenderedPageBreak/>
        <w:t>1. Introduction</w:t>
      </w:r>
      <w:bookmarkEnd w:id="0"/>
      <w:r w:rsidRPr="00C05B2A">
        <w:t xml:space="preserve"> </w:t>
      </w:r>
    </w:p>
    <w:p w14:paraId="1D35AC95" w14:textId="532F7F7B" w:rsidR="007626F5" w:rsidRPr="00C05B2A" w:rsidRDefault="00E9104B" w:rsidP="00A5714B">
      <w:pPr>
        <w:spacing w:line="480" w:lineRule="auto"/>
        <w:jc w:val="both"/>
        <w:rPr>
          <w:rFonts w:ascii="Arial" w:hAnsi="Arial" w:cs="Arial"/>
          <w:sz w:val="22"/>
          <w:szCs w:val="22"/>
        </w:rPr>
      </w:pPr>
      <w:r w:rsidRPr="00C05B2A">
        <w:rPr>
          <w:rFonts w:ascii="Arial" w:hAnsi="Arial" w:cs="Arial"/>
          <w:sz w:val="22"/>
          <w:szCs w:val="22"/>
        </w:rPr>
        <w:t>Modern health and social care (HSC) is concerned with the integration and partnership working of the service, in particular, in the treatment of complex and long-term disorders, such as Type 2 diabetes. The coordination of health, social, and community services to deliver improved patient outcomes and efficiency in the system is called integrated care, and the collaboration of various healthcare providers, local authorities, and voluntary organisations to deliver a person-centred care is known as partnership working (</w:t>
      </w:r>
      <w:r w:rsidR="002B51FE" w:rsidRPr="00C05B2A">
        <w:rPr>
          <w:rFonts w:ascii="Arial" w:hAnsi="Arial" w:cs="Arial"/>
          <w:sz w:val="22"/>
          <w:szCs w:val="22"/>
        </w:rPr>
        <w:t>Racey et al., 2023</w:t>
      </w:r>
      <w:r w:rsidRPr="00C05B2A">
        <w:rPr>
          <w:rFonts w:ascii="Arial" w:hAnsi="Arial" w:cs="Arial"/>
          <w:sz w:val="22"/>
          <w:szCs w:val="22"/>
        </w:rPr>
        <w:t xml:space="preserve">). Person-centred care is another area that contributes to the need to tailor services to needs, preferences and social settings in such a way that makes delivery of care responsive and inclusive. This reflective report is meant to critically reflect my learning and understanding of service integration and partnership working and how the same can be applied to the real world scenario. The reflection experience is organized in Gibbs Reflective Cycle where the experiences are </w:t>
      </w:r>
      <w:r w:rsidR="00A5714B" w:rsidRPr="00C05B2A">
        <w:rPr>
          <w:rFonts w:ascii="Arial" w:hAnsi="Arial" w:cs="Arial"/>
          <w:sz w:val="22"/>
          <w:szCs w:val="22"/>
        </w:rPr>
        <w:t>analysed</w:t>
      </w:r>
      <w:r w:rsidRPr="00C05B2A">
        <w:rPr>
          <w:rFonts w:ascii="Arial" w:hAnsi="Arial" w:cs="Arial"/>
          <w:sz w:val="22"/>
          <w:szCs w:val="22"/>
        </w:rPr>
        <w:t>, results evaluated and the aspects to improve are identified. The case study in the report is DiaWell LU4 integrated diabetes care model due to its application of multi-sector approach in the management of diabetes prevalence in Luton. The report is structured according to key areas: context, input, process, product and critical reflection.</w:t>
      </w:r>
    </w:p>
    <w:p w14:paraId="2F2A930B" w14:textId="73D004C8" w:rsidR="007626F5" w:rsidRPr="00C05B2A" w:rsidRDefault="007626F5" w:rsidP="00A5714B">
      <w:pPr>
        <w:pStyle w:val="Heading1"/>
        <w:spacing w:line="480" w:lineRule="auto"/>
      </w:pPr>
      <w:bookmarkStart w:id="1" w:name="_Toc227769354"/>
      <w:r w:rsidRPr="00C05B2A">
        <w:t>2. Context: Identifying Needs and Opportunities</w:t>
      </w:r>
      <w:bookmarkEnd w:id="1"/>
      <w:r w:rsidRPr="00C05B2A">
        <w:t xml:space="preserve"> </w:t>
      </w:r>
    </w:p>
    <w:p w14:paraId="0F57C858" w14:textId="77777777" w:rsidR="007626F5" w:rsidRPr="00C05B2A" w:rsidRDefault="007626F5" w:rsidP="00A5714B">
      <w:pPr>
        <w:pStyle w:val="Heading2"/>
        <w:spacing w:line="480" w:lineRule="auto"/>
      </w:pPr>
      <w:bookmarkStart w:id="2" w:name="_Toc227769355"/>
      <w:r w:rsidRPr="00C05B2A">
        <w:t>2.1 Identifying Population Needs</w:t>
      </w:r>
      <w:bookmarkEnd w:id="2"/>
    </w:p>
    <w:p w14:paraId="67E29C0B" w14:textId="642E1EAC" w:rsidR="00E9104B" w:rsidRPr="00C05B2A" w:rsidRDefault="00ED0AC1" w:rsidP="00A5714B">
      <w:pPr>
        <w:spacing w:line="480" w:lineRule="auto"/>
        <w:jc w:val="both"/>
        <w:rPr>
          <w:rFonts w:ascii="Arial" w:hAnsi="Arial" w:cs="Arial"/>
          <w:sz w:val="22"/>
          <w:szCs w:val="22"/>
        </w:rPr>
      </w:pPr>
      <w:r w:rsidRPr="00C05B2A">
        <w:rPr>
          <w:rFonts w:ascii="Arial" w:hAnsi="Arial" w:cs="Arial"/>
          <w:sz w:val="22"/>
          <w:szCs w:val="22"/>
        </w:rPr>
        <w:t xml:space="preserve">According to Fuse (2024) claims that Type 2 diabetes should not be perceived as a clinical illness but as a complex population health condition because it is highly influenced by the social determinants and risk factors at the community level. Based on the social determinants framework by Marmot and the integrated health perspectives by WHO, income, education, housing, and lifestyle opportunities are important determinants of health outcomes. Conversely, my original hypothesis was that diabetes was mainly treated in a clinical manner and by </w:t>
      </w:r>
      <w:r w:rsidRPr="00C05B2A">
        <w:rPr>
          <w:rFonts w:ascii="Arial" w:hAnsi="Arial" w:cs="Arial"/>
          <w:sz w:val="22"/>
          <w:szCs w:val="22"/>
        </w:rPr>
        <w:lastRenderedPageBreak/>
        <w:t>individual behaviour change, which seems narrow and simplistic at the moment. Guldemond (2024) argues that integrated and person-centred methods are required to effectively tackle long-term conditions since they integrate medical treatment with prevention measures.</w:t>
      </w:r>
      <w:r w:rsidR="00853100" w:rsidRPr="00C05B2A">
        <w:rPr>
          <w:rFonts w:ascii="Arial" w:hAnsi="Arial" w:cs="Arial"/>
          <w:sz w:val="22"/>
          <w:szCs w:val="22"/>
        </w:rPr>
        <w:t xml:space="preserve"> </w:t>
      </w:r>
      <w:r w:rsidR="00082D33" w:rsidRPr="00C05B2A">
        <w:rPr>
          <w:rFonts w:ascii="Arial" w:hAnsi="Arial" w:cs="Arial"/>
          <w:sz w:val="22"/>
          <w:szCs w:val="22"/>
        </w:rPr>
        <w:t xml:space="preserve">According to </w:t>
      </w:r>
      <w:proofErr w:type="spellStart"/>
      <w:r w:rsidR="00082D33" w:rsidRPr="00C05B2A">
        <w:rPr>
          <w:rFonts w:ascii="Arial" w:hAnsi="Arial" w:cs="Arial"/>
          <w:sz w:val="22"/>
          <w:szCs w:val="22"/>
        </w:rPr>
        <w:t>Pastakia</w:t>
      </w:r>
      <w:proofErr w:type="spellEnd"/>
      <w:r w:rsidR="00082D33" w:rsidRPr="00C05B2A">
        <w:rPr>
          <w:rFonts w:ascii="Arial" w:hAnsi="Arial" w:cs="Arial"/>
          <w:sz w:val="22"/>
          <w:szCs w:val="22"/>
        </w:rPr>
        <w:t xml:space="preserve"> et al. (2025), it can lead to the persistence of health inequalities even in the face of clinical services because of the incapacity to address social determinants</w:t>
      </w:r>
      <w:r w:rsidR="00D76185" w:rsidRPr="00C05B2A">
        <w:rPr>
          <w:rFonts w:ascii="Arial" w:hAnsi="Arial" w:cs="Arial"/>
          <w:sz w:val="22"/>
          <w:szCs w:val="22"/>
        </w:rPr>
        <w:t xml:space="preserve">. </w:t>
      </w:r>
    </w:p>
    <w:p w14:paraId="2DCC294C" w14:textId="77777777" w:rsidR="007626F5" w:rsidRPr="00C05B2A" w:rsidRDefault="007626F5" w:rsidP="00A5714B">
      <w:pPr>
        <w:pStyle w:val="Heading2"/>
        <w:spacing w:line="480" w:lineRule="auto"/>
      </w:pPr>
      <w:bookmarkStart w:id="3" w:name="_Toc227769356"/>
      <w:r w:rsidRPr="00C05B2A">
        <w:t>2.2 Opportunities for Service Integration</w:t>
      </w:r>
      <w:bookmarkEnd w:id="3"/>
    </w:p>
    <w:p w14:paraId="1CA8B142" w14:textId="5DD559E1" w:rsidR="00E9104B" w:rsidRPr="00C05B2A" w:rsidRDefault="00082D33" w:rsidP="00A5714B">
      <w:pPr>
        <w:spacing w:line="480" w:lineRule="auto"/>
        <w:jc w:val="both"/>
        <w:rPr>
          <w:rFonts w:ascii="Arial" w:hAnsi="Arial" w:cs="Arial"/>
          <w:sz w:val="22"/>
          <w:szCs w:val="22"/>
        </w:rPr>
      </w:pPr>
      <w:r w:rsidRPr="00C05B2A">
        <w:rPr>
          <w:rFonts w:ascii="Arial" w:hAnsi="Arial" w:cs="Arial"/>
          <w:sz w:val="22"/>
          <w:szCs w:val="22"/>
        </w:rPr>
        <w:t>Fuse (2024) quotes that the absence of coordination between the health and social care systems often creates inefficiencies, duplication of services, and negative patient outcomes</w:t>
      </w:r>
      <w:r w:rsidR="00ED0AC1" w:rsidRPr="00C05B2A">
        <w:rPr>
          <w:rFonts w:ascii="Arial" w:hAnsi="Arial" w:cs="Arial"/>
          <w:sz w:val="22"/>
          <w:szCs w:val="22"/>
        </w:rPr>
        <w:t xml:space="preserve">. Li et al. (2024) note that integrated healthcare models enhance the management of chronic diseases by enhancing the alignment of the services across organisational boundaries and increasing the continuity of care. Conversely, my initial assumption was that service delivery problems primarily were operational; but I now know that they are structural in the system design and governance. </w:t>
      </w:r>
      <w:proofErr w:type="spellStart"/>
      <w:r w:rsidR="00ED0AC1" w:rsidRPr="00C05B2A">
        <w:rPr>
          <w:rFonts w:ascii="Arial" w:hAnsi="Arial" w:cs="Arial"/>
          <w:sz w:val="22"/>
          <w:szCs w:val="22"/>
        </w:rPr>
        <w:t>Stojnić</w:t>
      </w:r>
      <w:proofErr w:type="spellEnd"/>
      <w:r w:rsidR="00ED0AC1" w:rsidRPr="00C05B2A">
        <w:rPr>
          <w:rFonts w:ascii="Arial" w:hAnsi="Arial" w:cs="Arial"/>
          <w:sz w:val="22"/>
          <w:szCs w:val="22"/>
        </w:rPr>
        <w:t xml:space="preserve"> et al. (2023) explain that the primary care teams require professional collaboration, shared decision-making, and organisational readiness to achieve successful integration. Alshammari et al. (2025) indicate that Integrated Care Systems (ICS) offer a policy framework of the transition between reactive treatment and proactive and coordinated care delivery</w:t>
      </w:r>
      <w:r w:rsidR="00E9104B" w:rsidRPr="00C05B2A">
        <w:rPr>
          <w:rFonts w:ascii="Arial" w:hAnsi="Arial" w:cs="Arial"/>
          <w:sz w:val="22"/>
          <w:szCs w:val="22"/>
        </w:rPr>
        <w:t>.</w:t>
      </w:r>
    </w:p>
    <w:p w14:paraId="6BE3DB1B" w14:textId="77777777" w:rsidR="007626F5" w:rsidRPr="00C05B2A" w:rsidRDefault="007626F5" w:rsidP="00A5714B">
      <w:pPr>
        <w:pStyle w:val="Heading2"/>
        <w:spacing w:line="480" w:lineRule="auto"/>
      </w:pPr>
      <w:bookmarkStart w:id="4" w:name="_Toc227769357"/>
      <w:r w:rsidRPr="00C05B2A">
        <w:t>2.3 Aims and Objectives</w:t>
      </w:r>
      <w:bookmarkEnd w:id="4"/>
    </w:p>
    <w:tbl>
      <w:tblPr>
        <w:tblStyle w:val="TableGrid"/>
        <w:tblW w:w="0" w:type="auto"/>
        <w:tblLook w:val="04A0" w:firstRow="1" w:lastRow="0" w:firstColumn="1" w:lastColumn="0" w:noHBand="0" w:noVBand="1"/>
      </w:tblPr>
      <w:tblGrid>
        <w:gridCol w:w="1874"/>
        <w:gridCol w:w="2885"/>
        <w:gridCol w:w="2408"/>
        <w:gridCol w:w="2409"/>
      </w:tblGrid>
      <w:tr w:rsidR="00BD629D" w:rsidRPr="00C05B2A" w14:paraId="0260EC87" w14:textId="77777777" w:rsidTr="00BD629D">
        <w:tc>
          <w:tcPr>
            <w:tcW w:w="0" w:type="auto"/>
            <w:hideMark/>
          </w:tcPr>
          <w:p w14:paraId="0DA7B8B0" w14:textId="77777777" w:rsidR="00BD629D" w:rsidRPr="00C05B2A" w:rsidRDefault="00BD629D" w:rsidP="00BD629D">
            <w:pPr>
              <w:spacing w:after="160" w:line="480" w:lineRule="auto"/>
              <w:jc w:val="both"/>
              <w:rPr>
                <w:rFonts w:ascii="Arial" w:eastAsiaTheme="minorHAnsi" w:hAnsi="Arial" w:cs="Arial"/>
                <w:b/>
                <w:bCs/>
                <w:kern w:val="2"/>
                <w:sz w:val="22"/>
                <w:szCs w:val="22"/>
              </w:rPr>
            </w:pPr>
            <w:r w:rsidRPr="00C05B2A">
              <w:rPr>
                <w:rFonts w:ascii="Arial" w:eastAsiaTheme="minorHAnsi" w:hAnsi="Arial" w:cs="Arial"/>
                <w:b/>
                <w:bCs/>
                <w:kern w:val="2"/>
                <w:sz w:val="22"/>
                <w:szCs w:val="22"/>
              </w:rPr>
              <w:t>Category</w:t>
            </w:r>
          </w:p>
        </w:tc>
        <w:tc>
          <w:tcPr>
            <w:tcW w:w="0" w:type="auto"/>
            <w:hideMark/>
          </w:tcPr>
          <w:p w14:paraId="7664EE68" w14:textId="77777777" w:rsidR="00BD629D" w:rsidRPr="00C05B2A" w:rsidRDefault="00BD629D" w:rsidP="00BD629D">
            <w:pPr>
              <w:spacing w:after="160" w:line="480" w:lineRule="auto"/>
              <w:jc w:val="both"/>
              <w:rPr>
                <w:rFonts w:ascii="Arial" w:eastAsiaTheme="minorHAnsi" w:hAnsi="Arial" w:cs="Arial"/>
                <w:b/>
                <w:bCs/>
                <w:kern w:val="2"/>
                <w:sz w:val="22"/>
                <w:szCs w:val="22"/>
              </w:rPr>
            </w:pPr>
            <w:r w:rsidRPr="00C05B2A">
              <w:rPr>
                <w:rFonts w:ascii="Arial" w:eastAsiaTheme="minorHAnsi" w:hAnsi="Arial" w:cs="Arial"/>
                <w:b/>
                <w:bCs/>
                <w:kern w:val="2"/>
                <w:sz w:val="22"/>
                <w:szCs w:val="22"/>
              </w:rPr>
              <w:t>Aim / Objective</w:t>
            </w:r>
          </w:p>
        </w:tc>
        <w:tc>
          <w:tcPr>
            <w:tcW w:w="0" w:type="auto"/>
            <w:hideMark/>
          </w:tcPr>
          <w:p w14:paraId="191B0E02" w14:textId="77777777" w:rsidR="00BD629D" w:rsidRPr="00C05B2A" w:rsidRDefault="00BD629D" w:rsidP="00BD629D">
            <w:pPr>
              <w:spacing w:after="160" w:line="480" w:lineRule="auto"/>
              <w:jc w:val="both"/>
              <w:rPr>
                <w:rFonts w:ascii="Arial" w:eastAsiaTheme="minorHAnsi" w:hAnsi="Arial" w:cs="Arial"/>
                <w:b/>
                <w:bCs/>
                <w:kern w:val="2"/>
                <w:sz w:val="22"/>
                <w:szCs w:val="22"/>
              </w:rPr>
            </w:pPr>
            <w:r w:rsidRPr="00C05B2A">
              <w:rPr>
                <w:rFonts w:ascii="Arial" w:eastAsiaTheme="minorHAnsi" w:hAnsi="Arial" w:cs="Arial"/>
                <w:b/>
                <w:bCs/>
                <w:kern w:val="2"/>
                <w:sz w:val="22"/>
                <w:szCs w:val="22"/>
              </w:rPr>
              <w:t>Related Principle / Focus</w:t>
            </w:r>
          </w:p>
        </w:tc>
        <w:tc>
          <w:tcPr>
            <w:tcW w:w="0" w:type="auto"/>
            <w:hideMark/>
          </w:tcPr>
          <w:p w14:paraId="3DF530E1" w14:textId="77777777" w:rsidR="00BD629D" w:rsidRPr="00C05B2A" w:rsidRDefault="00BD629D" w:rsidP="00BD629D">
            <w:pPr>
              <w:spacing w:after="160" w:line="480" w:lineRule="auto"/>
              <w:jc w:val="both"/>
              <w:rPr>
                <w:rFonts w:ascii="Arial" w:eastAsiaTheme="minorHAnsi" w:hAnsi="Arial" w:cs="Arial"/>
                <w:b/>
                <w:bCs/>
                <w:kern w:val="2"/>
                <w:sz w:val="22"/>
                <w:szCs w:val="22"/>
              </w:rPr>
            </w:pPr>
            <w:r w:rsidRPr="00C05B2A">
              <w:rPr>
                <w:rFonts w:ascii="Arial" w:eastAsiaTheme="minorHAnsi" w:hAnsi="Arial" w:cs="Arial"/>
                <w:b/>
                <w:bCs/>
                <w:kern w:val="2"/>
                <w:sz w:val="22"/>
                <w:szCs w:val="22"/>
              </w:rPr>
              <w:t>Outcome / Expected Impact</w:t>
            </w:r>
          </w:p>
        </w:tc>
      </w:tr>
      <w:tr w:rsidR="00BD629D" w:rsidRPr="00C05B2A" w14:paraId="3B1CA6BF" w14:textId="77777777" w:rsidTr="00BD629D">
        <w:tc>
          <w:tcPr>
            <w:tcW w:w="0" w:type="auto"/>
            <w:hideMark/>
          </w:tcPr>
          <w:p w14:paraId="5B5EA0C7"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Population Health Aim</w:t>
            </w:r>
          </w:p>
        </w:tc>
        <w:tc>
          <w:tcPr>
            <w:tcW w:w="0" w:type="auto"/>
            <w:hideMark/>
          </w:tcPr>
          <w:p w14:paraId="584AD2C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Reduce Type 2 diabetes prevalence in LU4 over 5 years</w:t>
            </w:r>
          </w:p>
        </w:tc>
        <w:tc>
          <w:tcPr>
            <w:tcW w:w="0" w:type="auto"/>
            <w:hideMark/>
          </w:tcPr>
          <w:p w14:paraId="4985F184"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Prevention-focused integrated care (ICS model)</w:t>
            </w:r>
          </w:p>
        </w:tc>
        <w:tc>
          <w:tcPr>
            <w:tcW w:w="0" w:type="auto"/>
            <w:hideMark/>
          </w:tcPr>
          <w:p w14:paraId="328F3623"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 xml:space="preserve">Improved population health outcomes and reduced disease </w:t>
            </w:r>
            <w:r w:rsidRPr="00C05B2A">
              <w:rPr>
                <w:rFonts w:ascii="Arial" w:eastAsiaTheme="minorHAnsi" w:hAnsi="Arial" w:cs="Arial"/>
                <w:kern w:val="2"/>
                <w:sz w:val="22"/>
                <w:szCs w:val="22"/>
              </w:rPr>
              <w:lastRenderedPageBreak/>
              <w:t>burden</w:t>
            </w:r>
          </w:p>
        </w:tc>
      </w:tr>
      <w:tr w:rsidR="00BD629D" w:rsidRPr="00C05B2A" w14:paraId="233C1935" w14:textId="77777777" w:rsidTr="00BD629D">
        <w:tc>
          <w:tcPr>
            <w:tcW w:w="0" w:type="auto"/>
            <w:hideMark/>
          </w:tcPr>
          <w:p w14:paraId="5535B28B"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lastRenderedPageBreak/>
              <w:t>Early Intervention Objective</w:t>
            </w:r>
          </w:p>
        </w:tc>
        <w:tc>
          <w:tcPr>
            <w:tcW w:w="0" w:type="auto"/>
            <w:hideMark/>
          </w:tcPr>
          <w:p w14:paraId="080F7171"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Increase early diagnosis and screening by 20% within 2 years</w:t>
            </w:r>
          </w:p>
        </w:tc>
        <w:tc>
          <w:tcPr>
            <w:tcW w:w="0" w:type="auto"/>
            <w:hideMark/>
          </w:tcPr>
          <w:p w14:paraId="537FA197"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NHS Long Term Plan – prevention and early detection</w:t>
            </w:r>
          </w:p>
        </w:tc>
        <w:tc>
          <w:tcPr>
            <w:tcW w:w="0" w:type="auto"/>
            <w:hideMark/>
          </w:tcPr>
          <w:p w14:paraId="6266F7C5"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Reduced late-stage complications and hospital admissions</w:t>
            </w:r>
          </w:p>
        </w:tc>
      </w:tr>
      <w:tr w:rsidR="00BD629D" w:rsidRPr="00C05B2A" w14:paraId="73B098C8" w14:textId="77777777" w:rsidTr="00BD629D">
        <w:tc>
          <w:tcPr>
            <w:tcW w:w="0" w:type="auto"/>
            <w:hideMark/>
          </w:tcPr>
          <w:p w14:paraId="539FDB85"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Self-Management Objective</w:t>
            </w:r>
          </w:p>
        </w:tc>
        <w:tc>
          <w:tcPr>
            <w:tcW w:w="0" w:type="auto"/>
            <w:hideMark/>
          </w:tcPr>
          <w:p w14:paraId="36B57248"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 xml:space="preserve">Improve patient self-management and </w:t>
            </w:r>
            <w:proofErr w:type="spellStart"/>
            <w:r w:rsidRPr="00C05B2A">
              <w:rPr>
                <w:rFonts w:ascii="Arial" w:eastAsiaTheme="minorHAnsi" w:hAnsi="Arial" w:cs="Arial"/>
                <w:kern w:val="2"/>
                <w:sz w:val="22"/>
                <w:szCs w:val="22"/>
              </w:rPr>
              <w:t>glycaemic</w:t>
            </w:r>
            <w:proofErr w:type="spellEnd"/>
            <w:r w:rsidRPr="00C05B2A">
              <w:rPr>
                <w:rFonts w:ascii="Arial" w:eastAsiaTheme="minorHAnsi" w:hAnsi="Arial" w:cs="Arial"/>
                <w:kern w:val="2"/>
                <w:sz w:val="22"/>
                <w:szCs w:val="22"/>
              </w:rPr>
              <w:t xml:space="preserve"> control (HbA1c reduction by 0.5–1%)</w:t>
            </w:r>
          </w:p>
        </w:tc>
        <w:tc>
          <w:tcPr>
            <w:tcW w:w="0" w:type="auto"/>
            <w:hideMark/>
          </w:tcPr>
          <w:p w14:paraId="69EDFC63"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Person-</w:t>
            </w:r>
            <w:proofErr w:type="spellStart"/>
            <w:r w:rsidRPr="00C05B2A">
              <w:rPr>
                <w:rFonts w:ascii="Arial" w:eastAsiaTheme="minorHAnsi" w:hAnsi="Arial" w:cs="Arial"/>
                <w:kern w:val="2"/>
                <w:sz w:val="22"/>
                <w:szCs w:val="22"/>
              </w:rPr>
              <w:t>centred</w:t>
            </w:r>
            <w:proofErr w:type="spellEnd"/>
            <w:r w:rsidRPr="00C05B2A">
              <w:rPr>
                <w:rFonts w:ascii="Arial" w:eastAsiaTheme="minorHAnsi" w:hAnsi="Arial" w:cs="Arial"/>
                <w:kern w:val="2"/>
                <w:sz w:val="22"/>
                <w:szCs w:val="22"/>
              </w:rPr>
              <w:t xml:space="preserve"> care (WHO framework)</w:t>
            </w:r>
          </w:p>
        </w:tc>
        <w:tc>
          <w:tcPr>
            <w:tcW w:w="0" w:type="auto"/>
            <w:hideMark/>
          </w:tcPr>
          <w:p w14:paraId="69F83FB3"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Better long-term disease control and patient empowerment</w:t>
            </w:r>
          </w:p>
        </w:tc>
      </w:tr>
      <w:tr w:rsidR="00BD629D" w:rsidRPr="00C05B2A" w14:paraId="73319798" w14:textId="77777777" w:rsidTr="00BD629D">
        <w:tc>
          <w:tcPr>
            <w:tcW w:w="0" w:type="auto"/>
            <w:hideMark/>
          </w:tcPr>
          <w:p w14:paraId="58E219EE"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Digital Integration Objective</w:t>
            </w:r>
          </w:p>
        </w:tc>
        <w:tc>
          <w:tcPr>
            <w:tcW w:w="0" w:type="auto"/>
            <w:hideMark/>
          </w:tcPr>
          <w:p w14:paraId="7509A13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Implement shared electronic health records across all partners within 12 months</w:t>
            </w:r>
          </w:p>
        </w:tc>
        <w:tc>
          <w:tcPr>
            <w:tcW w:w="0" w:type="auto"/>
            <w:hideMark/>
          </w:tcPr>
          <w:p w14:paraId="0D7BA2F0"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Digital transformation in integrated care systems</w:t>
            </w:r>
          </w:p>
        </w:tc>
        <w:tc>
          <w:tcPr>
            <w:tcW w:w="0" w:type="auto"/>
            <w:hideMark/>
          </w:tcPr>
          <w:p w14:paraId="5B269BB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Improved coordination and reduced service duplication</w:t>
            </w:r>
          </w:p>
        </w:tc>
      </w:tr>
      <w:tr w:rsidR="00BD629D" w:rsidRPr="00C05B2A" w14:paraId="5AF59C9F" w14:textId="77777777" w:rsidTr="00BD629D">
        <w:tc>
          <w:tcPr>
            <w:tcW w:w="0" w:type="auto"/>
            <w:hideMark/>
          </w:tcPr>
          <w:p w14:paraId="50919EA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Health Inequality Aim</w:t>
            </w:r>
          </w:p>
        </w:tc>
        <w:tc>
          <w:tcPr>
            <w:tcW w:w="0" w:type="auto"/>
            <w:hideMark/>
          </w:tcPr>
          <w:p w14:paraId="7D812172"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Reduce gap between Luton and national diabetes prevalence rates</w:t>
            </w:r>
          </w:p>
        </w:tc>
        <w:tc>
          <w:tcPr>
            <w:tcW w:w="0" w:type="auto"/>
            <w:hideMark/>
          </w:tcPr>
          <w:p w14:paraId="5DED0102"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Social determinants of health (Marmot approach)</w:t>
            </w:r>
          </w:p>
        </w:tc>
        <w:tc>
          <w:tcPr>
            <w:tcW w:w="0" w:type="auto"/>
            <w:hideMark/>
          </w:tcPr>
          <w:p w14:paraId="684C8776"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Reduced health inequalities in deprived communities</w:t>
            </w:r>
          </w:p>
        </w:tc>
      </w:tr>
      <w:tr w:rsidR="00BD629D" w:rsidRPr="00C05B2A" w14:paraId="6CBDB96F" w14:textId="77777777" w:rsidTr="00BD629D">
        <w:tc>
          <w:tcPr>
            <w:tcW w:w="0" w:type="auto"/>
            <w:hideMark/>
          </w:tcPr>
          <w:p w14:paraId="1B86690A"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Group Development Objective</w:t>
            </w:r>
          </w:p>
        </w:tc>
        <w:tc>
          <w:tcPr>
            <w:tcW w:w="0" w:type="auto"/>
            <w:hideMark/>
          </w:tcPr>
          <w:p w14:paraId="0E785FFB"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Improve team collaboration and interdisciplinary communication during project development</w:t>
            </w:r>
          </w:p>
        </w:tc>
        <w:tc>
          <w:tcPr>
            <w:tcW w:w="0" w:type="auto"/>
            <w:hideMark/>
          </w:tcPr>
          <w:p w14:paraId="3B06CE44"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Interprofessional collaboration principles</w:t>
            </w:r>
          </w:p>
        </w:tc>
        <w:tc>
          <w:tcPr>
            <w:tcW w:w="0" w:type="auto"/>
            <w:hideMark/>
          </w:tcPr>
          <w:p w14:paraId="0F23D562"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Enhanced efficiency, coordination, and shared understanding</w:t>
            </w:r>
          </w:p>
        </w:tc>
      </w:tr>
      <w:tr w:rsidR="00BD629D" w:rsidRPr="00C05B2A" w14:paraId="15E80EE2" w14:textId="77777777" w:rsidTr="00BD629D">
        <w:tc>
          <w:tcPr>
            <w:tcW w:w="0" w:type="auto"/>
            <w:hideMark/>
          </w:tcPr>
          <w:p w14:paraId="457FD74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Group Functionality Objective</w:t>
            </w:r>
          </w:p>
        </w:tc>
        <w:tc>
          <w:tcPr>
            <w:tcW w:w="0" w:type="auto"/>
            <w:hideMark/>
          </w:tcPr>
          <w:p w14:paraId="5473881A"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Clarify roles and responsibilities early in group work to reduce duplication</w:t>
            </w:r>
          </w:p>
        </w:tc>
        <w:tc>
          <w:tcPr>
            <w:tcW w:w="0" w:type="auto"/>
            <w:hideMark/>
          </w:tcPr>
          <w:p w14:paraId="6F393332"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Team effectiveness theory (Belbin roles concept)</w:t>
            </w:r>
          </w:p>
        </w:tc>
        <w:tc>
          <w:tcPr>
            <w:tcW w:w="0" w:type="auto"/>
            <w:hideMark/>
          </w:tcPr>
          <w:p w14:paraId="006DF8A2"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Improved productivity and reduced conflict in tasks</w:t>
            </w:r>
          </w:p>
        </w:tc>
      </w:tr>
      <w:tr w:rsidR="00BD629D" w:rsidRPr="00C05B2A" w14:paraId="1715B690" w14:textId="77777777" w:rsidTr="00BD629D">
        <w:tc>
          <w:tcPr>
            <w:tcW w:w="0" w:type="auto"/>
            <w:hideMark/>
          </w:tcPr>
          <w:p w14:paraId="028FB824"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lastRenderedPageBreak/>
              <w:t>Reflective Learning Objective</w:t>
            </w:r>
          </w:p>
        </w:tc>
        <w:tc>
          <w:tcPr>
            <w:tcW w:w="0" w:type="auto"/>
            <w:hideMark/>
          </w:tcPr>
          <w:p w14:paraId="5E97F95B"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Apply theoretical frameworks to real-world integrated care practice</w:t>
            </w:r>
          </w:p>
        </w:tc>
        <w:tc>
          <w:tcPr>
            <w:tcW w:w="0" w:type="auto"/>
            <w:hideMark/>
          </w:tcPr>
          <w:p w14:paraId="07460A11"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Experiential learning (Gibbs Reflective Cycle)</w:t>
            </w:r>
          </w:p>
        </w:tc>
        <w:tc>
          <w:tcPr>
            <w:tcW w:w="0" w:type="auto"/>
            <w:hideMark/>
          </w:tcPr>
          <w:p w14:paraId="24FCF37D"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Stronger critical thinking and applied understanding</w:t>
            </w:r>
          </w:p>
        </w:tc>
      </w:tr>
      <w:tr w:rsidR="00BD629D" w:rsidRPr="00C05B2A" w14:paraId="7CEA71DA" w14:textId="77777777" w:rsidTr="00BD629D">
        <w:tc>
          <w:tcPr>
            <w:tcW w:w="0" w:type="auto"/>
            <w:hideMark/>
          </w:tcPr>
          <w:p w14:paraId="370975F9"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b/>
                <w:bCs/>
                <w:kern w:val="2"/>
                <w:sz w:val="22"/>
                <w:szCs w:val="22"/>
              </w:rPr>
              <w:t>Service Integration Aim</w:t>
            </w:r>
          </w:p>
        </w:tc>
        <w:tc>
          <w:tcPr>
            <w:tcW w:w="0" w:type="auto"/>
            <w:hideMark/>
          </w:tcPr>
          <w:p w14:paraId="00FFAC20"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Strengthen collaboration between NHS, Local Authority, and voluntary sector</w:t>
            </w:r>
          </w:p>
        </w:tc>
        <w:tc>
          <w:tcPr>
            <w:tcW w:w="0" w:type="auto"/>
            <w:hideMark/>
          </w:tcPr>
          <w:p w14:paraId="6B7AF2DB"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Integrated Care System (ICS) model</w:t>
            </w:r>
          </w:p>
        </w:tc>
        <w:tc>
          <w:tcPr>
            <w:tcW w:w="0" w:type="auto"/>
            <w:hideMark/>
          </w:tcPr>
          <w:p w14:paraId="66C3B458" w14:textId="77777777" w:rsidR="00BD629D" w:rsidRPr="00C05B2A" w:rsidRDefault="00BD629D" w:rsidP="00BD629D">
            <w:pPr>
              <w:spacing w:after="160" w:line="480" w:lineRule="auto"/>
              <w:jc w:val="both"/>
              <w:rPr>
                <w:rFonts w:ascii="Arial" w:eastAsiaTheme="minorHAnsi" w:hAnsi="Arial" w:cs="Arial"/>
                <w:kern w:val="2"/>
                <w:sz w:val="22"/>
                <w:szCs w:val="22"/>
              </w:rPr>
            </w:pPr>
            <w:r w:rsidRPr="00C05B2A">
              <w:rPr>
                <w:rFonts w:ascii="Arial" w:eastAsiaTheme="minorHAnsi" w:hAnsi="Arial" w:cs="Arial"/>
                <w:kern w:val="2"/>
                <w:sz w:val="22"/>
                <w:szCs w:val="22"/>
              </w:rPr>
              <w:t>More coordinated, holistic, and sustainable care delivery</w:t>
            </w:r>
          </w:p>
        </w:tc>
      </w:tr>
    </w:tbl>
    <w:p w14:paraId="67ACC29D" w14:textId="29BF76B6" w:rsidR="007626F5" w:rsidRPr="00C05B2A" w:rsidRDefault="007626F5" w:rsidP="00A5714B">
      <w:pPr>
        <w:spacing w:line="480" w:lineRule="auto"/>
        <w:jc w:val="both"/>
        <w:rPr>
          <w:rFonts w:ascii="Arial" w:hAnsi="Arial" w:cs="Arial"/>
          <w:sz w:val="22"/>
          <w:szCs w:val="22"/>
        </w:rPr>
      </w:pPr>
    </w:p>
    <w:p w14:paraId="69B2F6AC" w14:textId="53FE1C27" w:rsidR="007626F5" w:rsidRPr="00C05B2A" w:rsidRDefault="007626F5" w:rsidP="00A5714B">
      <w:pPr>
        <w:pStyle w:val="Heading1"/>
        <w:spacing w:line="480" w:lineRule="auto"/>
      </w:pPr>
      <w:bookmarkStart w:id="5" w:name="_Toc227769358"/>
      <w:r w:rsidRPr="00C05B2A">
        <w:t>3. Input: Partners, Frameworks, and Barriers</w:t>
      </w:r>
      <w:bookmarkEnd w:id="5"/>
      <w:r w:rsidRPr="00C05B2A">
        <w:t xml:space="preserve"> </w:t>
      </w:r>
    </w:p>
    <w:p w14:paraId="11AE0512" w14:textId="77777777" w:rsidR="007626F5" w:rsidRPr="00C05B2A" w:rsidRDefault="007626F5" w:rsidP="00A5714B">
      <w:pPr>
        <w:pStyle w:val="Heading2"/>
        <w:spacing w:line="480" w:lineRule="auto"/>
      </w:pPr>
      <w:bookmarkStart w:id="6" w:name="_Toc227769359"/>
      <w:r w:rsidRPr="00C05B2A">
        <w:t>3.1 Key Partners and Their Roles</w:t>
      </w:r>
      <w:bookmarkEnd w:id="6"/>
    </w:p>
    <w:p w14:paraId="65CE1FD9" w14:textId="5951238D" w:rsidR="00E9104B" w:rsidRPr="00C05B2A" w:rsidRDefault="00ED0AC1" w:rsidP="00A5714B">
      <w:pPr>
        <w:spacing w:line="480" w:lineRule="auto"/>
        <w:jc w:val="both"/>
        <w:rPr>
          <w:rFonts w:ascii="Arial" w:hAnsi="Arial" w:cs="Arial"/>
          <w:sz w:val="22"/>
          <w:szCs w:val="22"/>
        </w:rPr>
      </w:pPr>
      <w:r w:rsidRPr="00C05B2A">
        <w:rPr>
          <w:rFonts w:ascii="Arial" w:hAnsi="Arial" w:cs="Arial"/>
          <w:sz w:val="22"/>
          <w:szCs w:val="22"/>
        </w:rPr>
        <w:t xml:space="preserve">According to </w:t>
      </w:r>
      <w:proofErr w:type="spellStart"/>
      <w:r w:rsidRPr="00C05B2A">
        <w:rPr>
          <w:rFonts w:ascii="Arial" w:hAnsi="Arial" w:cs="Arial"/>
          <w:sz w:val="22"/>
          <w:szCs w:val="22"/>
        </w:rPr>
        <w:t>Stojnić</w:t>
      </w:r>
      <w:proofErr w:type="spellEnd"/>
      <w:r w:rsidRPr="00C05B2A">
        <w:rPr>
          <w:rFonts w:ascii="Arial" w:hAnsi="Arial" w:cs="Arial"/>
          <w:sz w:val="22"/>
          <w:szCs w:val="22"/>
        </w:rPr>
        <w:t xml:space="preserve"> et al. (2023) claim that successful integrated care is based on systematic cooperation among various stakeholders with their unique yet related roles. As I reflect on the DiaWell LU4 model, I now realize that NHS Primary Care has been involved in clinical diagnosis and continuing treatment, whereas the Local Authority is involved in prevention and social determinant of health. Strategic leadership and resource allocation are provided by the Integrated Care Board, and the voluntary sector provides better community outreach and cultural access. Alshaikh et al. (2025) report that patient safety and continuity of care in chronic disease management is greatly enhanced by multidisciplinary collaboration. Fuse (2024) asserts that fragmentation between these sectors may undermine the outcomes of patients, which is why the idea of coordinated governance is crucial. Olson and Burns (2023) say that person-centred care relies on a smooth fusion of clinical and community services</w:t>
      </w:r>
      <w:r w:rsidR="00E9104B" w:rsidRPr="00C05B2A">
        <w:rPr>
          <w:rFonts w:ascii="Arial" w:hAnsi="Arial" w:cs="Arial"/>
          <w:sz w:val="22"/>
          <w:szCs w:val="22"/>
        </w:rPr>
        <w:t>.</w:t>
      </w:r>
    </w:p>
    <w:p w14:paraId="612BADFD" w14:textId="77777777" w:rsidR="007626F5" w:rsidRPr="00C05B2A" w:rsidRDefault="007626F5" w:rsidP="00A5714B">
      <w:pPr>
        <w:pStyle w:val="Heading2"/>
        <w:spacing w:line="480" w:lineRule="auto"/>
      </w:pPr>
      <w:bookmarkStart w:id="7" w:name="_Toc227769360"/>
      <w:r w:rsidRPr="00C05B2A">
        <w:lastRenderedPageBreak/>
        <w:t>3.2 Frameworks and Theoretical Understanding</w:t>
      </w:r>
      <w:bookmarkEnd w:id="7"/>
    </w:p>
    <w:p w14:paraId="3AB47222" w14:textId="18CDC5D8" w:rsidR="007626F5" w:rsidRPr="00C05B2A" w:rsidRDefault="00ED0AC1" w:rsidP="00A5714B">
      <w:pPr>
        <w:spacing w:line="480" w:lineRule="auto"/>
        <w:jc w:val="both"/>
        <w:rPr>
          <w:rFonts w:ascii="Arial" w:hAnsi="Arial" w:cs="Arial"/>
          <w:sz w:val="22"/>
          <w:szCs w:val="22"/>
        </w:rPr>
      </w:pPr>
      <w:r w:rsidRPr="00C05B2A">
        <w:rPr>
          <w:rFonts w:ascii="Arial" w:hAnsi="Arial" w:cs="Arial"/>
          <w:sz w:val="22"/>
          <w:szCs w:val="22"/>
        </w:rPr>
        <w:t>The NHS England (2022) describes the concept of the Integrated Care Systems (ICS) as the approach aimed at enhancing the overall health of the population by ensuring that the services are delivered and that the organisations share responsibility. The Health and Care Act 2022 provides that statutory integration will involve greater collaboration between NHS bodies and local authorities to enhance efficiency and reduce inequalities. Conversely, I have perceptively identified that ICS and WHO models share the same objectives but vary in terms of scope of implementation, in UK, ICS is system-based whereas WHO models are conceptualized on a global level. Li et al. (2024) observe that differences in healthcare infrastructure have a great impact on the effectiveness of the application of these frameworks. One limitation, Guldemond (2024) states, is that theoretical and practical success are not always the same because of the resource and workforce limitations</w:t>
      </w:r>
      <w:r w:rsidR="00E9104B" w:rsidRPr="00C05B2A">
        <w:rPr>
          <w:rFonts w:ascii="Arial" w:hAnsi="Arial" w:cs="Arial"/>
          <w:sz w:val="22"/>
          <w:szCs w:val="22"/>
        </w:rPr>
        <w:t xml:space="preserve">. </w:t>
      </w:r>
    </w:p>
    <w:p w14:paraId="378B4543" w14:textId="77777777" w:rsidR="007626F5" w:rsidRPr="00C05B2A" w:rsidRDefault="007626F5" w:rsidP="00A5714B">
      <w:pPr>
        <w:pStyle w:val="Heading2"/>
        <w:spacing w:line="480" w:lineRule="auto"/>
      </w:pPr>
      <w:bookmarkStart w:id="8" w:name="_Toc227769361"/>
      <w:r w:rsidRPr="00C05B2A">
        <w:t>3.3 Resources Required</w:t>
      </w:r>
      <w:bookmarkEnd w:id="8"/>
    </w:p>
    <w:p w14:paraId="2E1CC748" w14:textId="1572B9C3" w:rsidR="007626F5" w:rsidRPr="00C05B2A" w:rsidRDefault="00082D33" w:rsidP="00A5714B">
      <w:pPr>
        <w:spacing w:line="480" w:lineRule="auto"/>
        <w:jc w:val="both"/>
        <w:rPr>
          <w:rFonts w:ascii="Arial" w:hAnsi="Arial" w:cs="Arial"/>
          <w:sz w:val="22"/>
          <w:szCs w:val="22"/>
        </w:rPr>
      </w:pPr>
      <w:r w:rsidRPr="00C05B2A">
        <w:rPr>
          <w:rFonts w:ascii="Arial" w:hAnsi="Arial" w:cs="Arial"/>
          <w:sz w:val="22"/>
          <w:szCs w:val="22"/>
        </w:rPr>
        <w:t>Fuse (2024) claims that successful models of integrated care must have enough human, financial, and digital resources to be effective. With DiaWell LU4 in mind, I understand that the interdisciplinary teams which include GPs, nurses, social workers, and dietitians are the key towards the provision of a holistic care. As Alshammari et al. (2025) point out, the capacity of the workforce is one of the determinants of success in the chronic disease management, particularly the management of diabetes. It has financial investment of 1.5 -2.5 million annually to finance service delivery and infrastructure. On the other hand, my perception of financial planning had not been that important before since I believed that integration is mostly structural, rather than resource-dependent. Another study by Racey et al. (2023) also confirms that digital tools such as shared electronic health records enhance coordination and reduce the cases of duplication of services</w:t>
      </w:r>
      <w:r w:rsidR="00ED0AC1" w:rsidRPr="00C05B2A">
        <w:rPr>
          <w:rFonts w:ascii="Arial" w:hAnsi="Arial" w:cs="Arial"/>
          <w:sz w:val="22"/>
          <w:szCs w:val="22"/>
        </w:rPr>
        <w:t xml:space="preserve">. </w:t>
      </w:r>
    </w:p>
    <w:p w14:paraId="2115E6FB" w14:textId="77777777" w:rsidR="007626F5" w:rsidRPr="00C05B2A" w:rsidRDefault="007626F5" w:rsidP="00A5714B">
      <w:pPr>
        <w:pStyle w:val="Heading2"/>
        <w:spacing w:line="480" w:lineRule="auto"/>
      </w:pPr>
      <w:bookmarkStart w:id="9" w:name="_Toc227769362"/>
      <w:r w:rsidRPr="00C05B2A">
        <w:lastRenderedPageBreak/>
        <w:t>3.4 Barriers to Integration</w:t>
      </w:r>
      <w:bookmarkEnd w:id="9"/>
    </w:p>
    <w:p w14:paraId="56AC7C9C" w14:textId="79618A46" w:rsidR="007626F5" w:rsidRPr="00C05B2A" w:rsidRDefault="00082D33" w:rsidP="00A5714B">
      <w:pPr>
        <w:spacing w:line="480" w:lineRule="auto"/>
        <w:jc w:val="both"/>
        <w:rPr>
          <w:rFonts w:ascii="Arial" w:hAnsi="Arial" w:cs="Arial"/>
          <w:sz w:val="22"/>
          <w:szCs w:val="22"/>
        </w:rPr>
      </w:pPr>
      <w:r w:rsidRPr="00C05B2A">
        <w:rPr>
          <w:rFonts w:ascii="Arial" w:hAnsi="Arial" w:cs="Arial"/>
          <w:sz w:val="22"/>
          <w:szCs w:val="22"/>
        </w:rPr>
        <w:t xml:space="preserve">According to Guldemond (2024), integrated care systems have significant structural and operational barriers, and these barriers can limit the system effectiveness in the event that they are not addressed strategically. With the example of DiaWell LU4, organisational silos, lack of labour, technological, and financial constraints became evident. </w:t>
      </w:r>
      <w:proofErr w:type="spellStart"/>
      <w:r w:rsidRPr="00C05B2A">
        <w:rPr>
          <w:rFonts w:ascii="Arial" w:hAnsi="Arial" w:cs="Arial"/>
          <w:sz w:val="22"/>
          <w:szCs w:val="22"/>
        </w:rPr>
        <w:t>Stojnić</w:t>
      </w:r>
      <w:proofErr w:type="spellEnd"/>
      <w:r w:rsidRPr="00C05B2A">
        <w:rPr>
          <w:rFonts w:ascii="Arial" w:hAnsi="Arial" w:cs="Arial"/>
          <w:sz w:val="22"/>
          <w:szCs w:val="22"/>
        </w:rPr>
        <w:t xml:space="preserve"> et al. (2023) discovered that one of the most persistent problems when implementing the primary care integration is silo working due to resistance to change and the lack of clarity in the roles. Racey et al. (2023) contribute that data-sharing is also a problem, and digital systems cannot be compatible with each other, which additionally worsens the coordination</w:t>
      </w:r>
      <w:r w:rsidR="00ED0AC1" w:rsidRPr="00C05B2A">
        <w:rPr>
          <w:rFonts w:ascii="Arial" w:hAnsi="Arial" w:cs="Arial"/>
          <w:sz w:val="22"/>
          <w:szCs w:val="22"/>
        </w:rPr>
        <w:t xml:space="preserve">. </w:t>
      </w:r>
    </w:p>
    <w:p w14:paraId="3235617C" w14:textId="77777777" w:rsidR="007626F5" w:rsidRPr="00C05B2A" w:rsidRDefault="007626F5" w:rsidP="00A5714B">
      <w:pPr>
        <w:pStyle w:val="Heading2"/>
        <w:spacing w:line="480" w:lineRule="auto"/>
      </w:pPr>
      <w:bookmarkStart w:id="10" w:name="_Toc227769363"/>
      <w:r w:rsidRPr="00C05B2A">
        <w:t>3.5 Recommendations for Improvement</w:t>
      </w:r>
      <w:bookmarkEnd w:id="10"/>
    </w:p>
    <w:p w14:paraId="183BABFA" w14:textId="374FF4F8" w:rsidR="007626F5" w:rsidRPr="00C05B2A" w:rsidRDefault="009176F3" w:rsidP="00A5714B">
      <w:pPr>
        <w:spacing w:line="480" w:lineRule="auto"/>
        <w:jc w:val="both"/>
        <w:rPr>
          <w:rFonts w:ascii="Arial" w:hAnsi="Arial" w:cs="Arial"/>
          <w:sz w:val="22"/>
          <w:szCs w:val="22"/>
        </w:rPr>
      </w:pPr>
      <w:r w:rsidRPr="00C05B2A">
        <w:rPr>
          <w:rFonts w:ascii="Arial" w:hAnsi="Arial" w:cs="Arial"/>
          <w:sz w:val="22"/>
          <w:szCs w:val="22"/>
        </w:rPr>
        <w:t xml:space="preserve">According to </w:t>
      </w:r>
      <w:r w:rsidR="00ED0AC1" w:rsidRPr="00C05B2A">
        <w:rPr>
          <w:rFonts w:ascii="Arial" w:hAnsi="Arial" w:cs="Arial"/>
          <w:sz w:val="22"/>
          <w:szCs w:val="22"/>
        </w:rPr>
        <w:t xml:space="preserve">AlDoshan et al. (2025) suggest that enhanced multidisciplinary collaboration, workforce capacity, and digital health systems are the keys to enhanced integrated care. Considering DiaWell LU4, I suggest improving governance frameworks to have better accountability and coordination among partners. NHS England (2022) states that enhanced governance of Integrated Care Systems enhances alignment of services and population health outcomes. The workforce development should be invested in to cope with shortages and enhance service delivery capacity. Racey et al. (2023) state that the communication and efficiency are greatly enhanced by digital integration with the help of shared electronic health records. Conversely, I know that technological solutions are not enough without a cultural change. </w:t>
      </w:r>
    </w:p>
    <w:p w14:paraId="44415F8D" w14:textId="42581AD3" w:rsidR="007626F5" w:rsidRPr="00C05B2A" w:rsidRDefault="007626F5" w:rsidP="00A5714B">
      <w:pPr>
        <w:pStyle w:val="Heading1"/>
        <w:spacing w:line="480" w:lineRule="auto"/>
      </w:pPr>
      <w:bookmarkStart w:id="11" w:name="_Toc227769364"/>
      <w:r w:rsidRPr="00C05B2A">
        <w:lastRenderedPageBreak/>
        <w:t>4. Process Working Reflection</w:t>
      </w:r>
      <w:bookmarkEnd w:id="11"/>
      <w:r w:rsidRPr="00C05B2A">
        <w:t xml:space="preserve"> </w:t>
      </w:r>
    </w:p>
    <w:p w14:paraId="1AFB73E0" w14:textId="77777777" w:rsidR="007626F5" w:rsidRPr="00C05B2A" w:rsidRDefault="007626F5" w:rsidP="00A5714B">
      <w:pPr>
        <w:pStyle w:val="Heading2"/>
        <w:spacing w:line="480" w:lineRule="auto"/>
      </w:pPr>
      <w:bookmarkStart w:id="12" w:name="_Toc227769365"/>
      <w:r w:rsidRPr="00C05B2A">
        <w:t>4.1 Team Collaboration</w:t>
      </w:r>
      <w:bookmarkEnd w:id="12"/>
    </w:p>
    <w:p w14:paraId="6AC877FB" w14:textId="53CDE16C" w:rsidR="007626F5" w:rsidRPr="00C05B2A" w:rsidRDefault="00BD629D" w:rsidP="00A5714B">
      <w:pPr>
        <w:spacing w:line="480" w:lineRule="auto"/>
        <w:jc w:val="both"/>
        <w:rPr>
          <w:rFonts w:ascii="Arial" w:hAnsi="Arial" w:cs="Arial"/>
          <w:sz w:val="22"/>
          <w:szCs w:val="22"/>
        </w:rPr>
      </w:pPr>
      <w:r w:rsidRPr="00C05B2A">
        <w:rPr>
          <w:rFonts w:ascii="Arial" w:hAnsi="Arial" w:cs="Arial"/>
          <w:sz w:val="22"/>
          <w:szCs w:val="22"/>
        </w:rPr>
        <w:t xml:space="preserve">Reflecting on the work of the group presentation, I realise that our work was influenced by the strengths and the weaknesses in the collaboration and coordination. Alshaikh et al. (2025) found that successful interdisciplinary collaboration in healthcare necessitates well-organized communication, role definition, and shared responsibility to deliver high-quality results. When preparing the DiaWell LU4 presentation, we first encountered some difficulties in task organization, because the roles were not specified, which resulted in overlapping of the material and some time management inefficiencies. In contrast, we became more effective in communication as we progressed in our communication by conducting regular discussions and feedback sessions, which made it possible to align our ideas and develop a more consistent final presentation. The team showed a high level of interest in studying the integrated care models and implementing them to the case study, which increased the scholarly level of the work. But what did go wrong was insufficient planning at the beginning in terms of structure of presentation and time allocation which influenced the smooth flow in the rehearsal stages. In case I were to approach this task once again, I would consider early role assignment, creating a clear presentation schedule, and more formal mock presentations to enhance confidence and consistency in delivery. </w:t>
      </w:r>
      <w:proofErr w:type="spellStart"/>
      <w:r w:rsidRPr="00C05B2A">
        <w:rPr>
          <w:rFonts w:ascii="Arial" w:hAnsi="Arial" w:cs="Arial"/>
          <w:sz w:val="22"/>
          <w:szCs w:val="22"/>
        </w:rPr>
        <w:t>Stojnić</w:t>
      </w:r>
      <w:proofErr w:type="spellEnd"/>
      <w:r w:rsidRPr="00C05B2A">
        <w:rPr>
          <w:rFonts w:ascii="Arial" w:hAnsi="Arial" w:cs="Arial"/>
          <w:sz w:val="22"/>
          <w:szCs w:val="22"/>
        </w:rPr>
        <w:t xml:space="preserve"> et al. (2023) argue that teamwork that is organized and has a set of leadership roles has a strong positive effect on the performance of an integrated healthcare project. This has reinforced my knowledge around the essence of planning, coordination and communication in group-based academic and professional environments, specifically within complex health and social care integration environments</w:t>
      </w:r>
      <w:r w:rsidR="00E9104B" w:rsidRPr="00C05B2A">
        <w:rPr>
          <w:rFonts w:ascii="Arial" w:hAnsi="Arial" w:cs="Arial"/>
          <w:sz w:val="22"/>
          <w:szCs w:val="22"/>
        </w:rPr>
        <w:t>.</w:t>
      </w:r>
    </w:p>
    <w:p w14:paraId="27AFCF79" w14:textId="77777777" w:rsidR="007626F5" w:rsidRPr="00C05B2A" w:rsidRDefault="007626F5" w:rsidP="00A5714B">
      <w:pPr>
        <w:pStyle w:val="Heading2"/>
        <w:spacing w:line="480" w:lineRule="auto"/>
      </w:pPr>
      <w:bookmarkStart w:id="13" w:name="_Toc227769366"/>
      <w:r w:rsidRPr="00C05B2A">
        <w:lastRenderedPageBreak/>
        <w:t>4.2 Roles and Responsibilities</w:t>
      </w:r>
      <w:bookmarkEnd w:id="13"/>
    </w:p>
    <w:p w14:paraId="78ECD2C5" w14:textId="035F1847" w:rsidR="007626F5" w:rsidRPr="00C05B2A" w:rsidRDefault="00A911C1" w:rsidP="00A5714B">
      <w:pPr>
        <w:spacing w:line="480" w:lineRule="auto"/>
        <w:jc w:val="both"/>
        <w:rPr>
          <w:rFonts w:ascii="Arial" w:hAnsi="Arial" w:cs="Arial"/>
          <w:sz w:val="22"/>
          <w:szCs w:val="22"/>
        </w:rPr>
      </w:pPr>
      <w:r w:rsidRPr="00C05B2A">
        <w:rPr>
          <w:rFonts w:ascii="Arial" w:hAnsi="Arial" w:cs="Arial"/>
          <w:sz w:val="22"/>
          <w:szCs w:val="22"/>
        </w:rPr>
        <w:t xml:space="preserve">According to Olson and Burns (2023) argue that well-established roles in healthcare teams play a critical role in ensuring accountability, efficiency, and effective collaboration. When looking back on our group work, </w:t>
      </w:r>
      <w:r w:rsidR="00BD629D" w:rsidRPr="00C05B2A">
        <w:rPr>
          <w:rFonts w:ascii="Arial" w:hAnsi="Arial" w:cs="Arial"/>
          <w:sz w:val="22"/>
          <w:szCs w:val="22"/>
        </w:rPr>
        <w:t>we</w:t>
      </w:r>
      <w:r w:rsidRPr="00C05B2A">
        <w:rPr>
          <w:rFonts w:ascii="Arial" w:hAnsi="Arial" w:cs="Arial"/>
          <w:sz w:val="22"/>
          <w:szCs w:val="22"/>
        </w:rPr>
        <w:t xml:space="preserve"> noticed that one of the greatest weaknesses was that initially role clarity was lacking. Activities like research, analysis of frameworks, and development of reports were overlapping resulting to overlapping of efforts and inefficiencies. The leadership roles were also not clearly defined initially and this helped in delays in coordination. Conversely, as the project went </w:t>
      </w:r>
      <w:r w:rsidR="00BC056B" w:rsidRPr="00C05B2A">
        <w:rPr>
          <w:rFonts w:ascii="Arial" w:hAnsi="Arial" w:cs="Arial"/>
          <w:sz w:val="22"/>
          <w:szCs w:val="22"/>
        </w:rPr>
        <w:t>on,</w:t>
      </w:r>
      <w:r w:rsidRPr="00C05B2A">
        <w:rPr>
          <w:rFonts w:ascii="Arial" w:hAnsi="Arial" w:cs="Arial"/>
          <w:sz w:val="22"/>
          <w:szCs w:val="22"/>
        </w:rPr>
        <w:t xml:space="preserve"> we got better organized as we assigned tasks according to personal strengths and this made our productivity higher and minimized confusion. </w:t>
      </w:r>
      <w:proofErr w:type="spellStart"/>
      <w:r w:rsidRPr="00C05B2A">
        <w:rPr>
          <w:rFonts w:ascii="Arial" w:hAnsi="Arial" w:cs="Arial"/>
          <w:sz w:val="22"/>
          <w:szCs w:val="22"/>
        </w:rPr>
        <w:t>Stojnić</w:t>
      </w:r>
      <w:proofErr w:type="spellEnd"/>
      <w:r w:rsidRPr="00C05B2A">
        <w:rPr>
          <w:rFonts w:ascii="Arial" w:hAnsi="Arial" w:cs="Arial"/>
          <w:sz w:val="22"/>
          <w:szCs w:val="22"/>
        </w:rPr>
        <w:t xml:space="preserve"> et al. (2023) report that ambiguous role definitions are a typical obstacle in integrated care teams and may adversely affect the work of the team unless addressed in the initial stage</w:t>
      </w:r>
      <w:r w:rsidR="00E9104B" w:rsidRPr="00C05B2A">
        <w:rPr>
          <w:rFonts w:ascii="Arial" w:hAnsi="Arial" w:cs="Arial"/>
          <w:sz w:val="22"/>
          <w:szCs w:val="22"/>
        </w:rPr>
        <w:t>.</w:t>
      </w:r>
    </w:p>
    <w:p w14:paraId="305EB864" w14:textId="77777777" w:rsidR="007626F5" w:rsidRPr="00C05B2A" w:rsidRDefault="007626F5" w:rsidP="00A5714B">
      <w:pPr>
        <w:pStyle w:val="Heading2"/>
        <w:spacing w:line="480" w:lineRule="auto"/>
      </w:pPr>
      <w:bookmarkStart w:id="14" w:name="_Toc227769367"/>
      <w:r w:rsidRPr="00C05B2A">
        <w:t>4.3 Personal Contribution</w:t>
      </w:r>
      <w:bookmarkEnd w:id="14"/>
    </w:p>
    <w:p w14:paraId="034F03B7" w14:textId="002A6E33" w:rsidR="007626F5" w:rsidRPr="00C05B2A" w:rsidRDefault="00A911C1" w:rsidP="00A5714B">
      <w:pPr>
        <w:spacing w:line="480" w:lineRule="auto"/>
        <w:jc w:val="both"/>
        <w:rPr>
          <w:rFonts w:ascii="Arial" w:hAnsi="Arial" w:cs="Arial"/>
          <w:sz w:val="22"/>
          <w:szCs w:val="22"/>
        </w:rPr>
      </w:pPr>
      <w:r w:rsidRPr="00C05B2A">
        <w:rPr>
          <w:rFonts w:ascii="Arial" w:hAnsi="Arial" w:cs="Arial"/>
          <w:sz w:val="22"/>
          <w:szCs w:val="22"/>
        </w:rPr>
        <w:t xml:space="preserve">Fuse (2024) also adds that analytical and collaborative skills are needed to effectively transform theory into practice and engage actively in the development of integrated care. In the DiaWell LU4 project, </w:t>
      </w:r>
      <w:r w:rsidR="00BD629D" w:rsidRPr="00C05B2A">
        <w:rPr>
          <w:rFonts w:ascii="Arial" w:hAnsi="Arial" w:cs="Arial"/>
          <w:sz w:val="22"/>
          <w:szCs w:val="22"/>
        </w:rPr>
        <w:t>we</w:t>
      </w:r>
      <w:r w:rsidRPr="00C05B2A">
        <w:rPr>
          <w:rFonts w:ascii="Arial" w:hAnsi="Arial" w:cs="Arial"/>
          <w:sz w:val="22"/>
          <w:szCs w:val="22"/>
        </w:rPr>
        <w:t xml:space="preserve"> made a significant contribution to the secondary research and framework analysis as well as the development of recommendations. </w:t>
      </w:r>
      <w:r w:rsidR="00BD629D" w:rsidRPr="00C05B2A">
        <w:rPr>
          <w:rFonts w:ascii="Arial" w:hAnsi="Arial" w:cs="Arial"/>
          <w:sz w:val="22"/>
          <w:szCs w:val="22"/>
        </w:rPr>
        <w:t>we</w:t>
      </w:r>
      <w:r w:rsidRPr="00C05B2A">
        <w:rPr>
          <w:rFonts w:ascii="Arial" w:hAnsi="Arial" w:cs="Arial"/>
          <w:sz w:val="22"/>
          <w:szCs w:val="22"/>
        </w:rPr>
        <w:t xml:space="preserve"> w</w:t>
      </w:r>
      <w:r w:rsidR="00BD629D" w:rsidRPr="00C05B2A">
        <w:rPr>
          <w:rFonts w:ascii="Arial" w:hAnsi="Arial" w:cs="Arial"/>
          <w:sz w:val="22"/>
          <w:szCs w:val="22"/>
        </w:rPr>
        <w:t>ere</w:t>
      </w:r>
      <w:r w:rsidRPr="00C05B2A">
        <w:rPr>
          <w:rFonts w:ascii="Arial" w:hAnsi="Arial" w:cs="Arial"/>
          <w:sz w:val="22"/>
          <w:szCs w:val="22"/>
        </w:rPr>
        <w:t xml:space="preserve"> also in </w:t>
      </w:r>
      <w:r w:rsidR="003A625F" w:rsidRPr="00C05B2A">
        <w:rPr>
          <w:rFonts w:ascii="Arial" w:hAnsi="Arial" w:cs="Arial"/>
          <w:sz w:val="22"/>
          <w:szCs w:val="22"/>
        </w:rPr>
        <w:t>favour</w:t>
      </w:r>
      <w:r w:rsidRPr="00C05B2A">
        <w:rPr>
          <w:rFonts w:ascii="Arial" w:hAnsi="Arial" w:cs="Arial"/>
          <w:sz w:val="22"/>
          <w:szCs w:val="22"/>
        </w:rPr>
        <w:t xml:space="preserve"> of the correspondence of theoretical models and the practice, especially concerning integrated care systems. Conversely, </w:t>
      </w:r>
      <w:r w:rsidR="00BD629D" w:rsidRPr="00C05B2A">
        <w:rPr>
          <w:rFonts w:ascii="Arial" w:hAnsi="Arial" w:cs="Arial"/>
          <w:sz w:val="22"/>
          <w:szCs w:val="22"/>
        </w:rPr>
        <w:t xml:space="preserve">we </w:t>
      </w:r>
      <w:r w:rsidRPr="00C05B2A">
        <w:rPr>
          <w:rFonts w:ascii="Arial" w:hAnsi="Arial" w:cs="Arial"/>
          <w:sz w:val="22"/>
          <w:szCs w:val="22"/>
        </w:rPr>
        <w:t xml:space="preserve">understand that one of </w:t>
      </w:r>
      <w:r w:rsidR="00BD629D" w:rsidRPr="00C05B2A">
        <w:rPr>
          <w:rFonts w:ascii="Arial" w:hAnsi="Arial" w:cs="Arial"/>
          <w:sz w:val="22"/>
          <w:szCs w:val="22"/>
        </w:rPr>
        <w:t>the</w:t>
      </w:r>
      <w:r w:rsidRPr="00C05B2A">
        <w:rPr>
          <w:rFonts w:ascii="Arial" w:hAnsi="Arial" w:cs="Arial"/>
          <w:sz w:val="22"/>
          <w:szCs w:val="22"/>
        </w:rPr>
        <w:t xml:space="preserve"> limitations was initially having a narrow-mindedness on academic sources without taking into consideration the feasibility with which the practice could be implemented. Racey et al. (2023) state that a good healthcare innovation has to balance the theoretical and practical aspects, especially with digital and integrated systems. This experience enabled me to become more critical thinkers, when </w:t>
      </w:r>
      <w:r w:rsidR="003A625F" w:rsidRPr="00C05B2A">
        <w:rPr>
          <w:rFonts w:ascii="Arial" w:hAnsi="Arial" w:cs="Arial"/>
          <w:sz w:val="22"/>
          <w:szCs w:val="22"/>
        </w:rPr>
        <w:t>analysing</w:t>
      </w:r>
      <w:r w:rsidRPr="00C05B2A">
        <w:rPr>
          <w:rFonts w:ascii="Arial" w:hAnsi="Arial" w:cs="Arial"/>
          <w:sz w:val="22"/>
          <w:szCs w:val="22"/>
        </w:rPr>
        <w:t xml:space="preserve"> different sources, better communicators, since we had to discuss our work, and better problem solvers, as </w:t>
      </w:r>
      <w:r w:rsidR="00BD629D" w:rsidRPr="00C05B2A">
        <w:rPr>
          <w:rFonts w:ascii="Arial" w:hAnsi="Arial" w:cs="Arial"/>
          <w:sz w:val="22"/>
          <w:szCs w:val="22"/>
        </w:rPr>
        <w:t>we</w:t>
      </w:r>
      <w:r w:rsidRPr="00C05B2A">
        <w:rPr>
          <w:rFonts w:ascii="Arial" w:hAnsi="Arial" w:cs="Arial"/>
          <w:sz w:val="22"/>
          <w:szCs w:val="22"/>
        </w:rPr>
        <w:t xml:space="preserve"> had to fill the gaps between theory and practice</w:t>
      </w:r>
      <w:r w:rsidR="00E9104B" w:rsidRPr="00C05B2A">
        <w:rPr>
          <w:rFonts w:ascii="Arial" w:hAnsi="Arial" w:cs="Arial"/>
          <w:sz w:val="22"/>
          <w:szCs w:val="22"/>
        </w:rPr>
        <w:t>.</w:t>
      </w:r>
    </w:p>
    <w:p w14:paraId="094E4353" w14:textId="3E9E09BC" w:rsidR="007626F5" w:rsidRPr="00C05B2A" w:rsidRDefault="007626F5" w:rsidP="00A5714B">
      <w:pPr>
        <w:pStyle w:val="Heading1"/>
        <w:spacing w:line="480" w:lineRule="auto"/>
      </w:pPr>
      <w:bookmarkStart w:id="15" w:name="_Toc227769368"/>
      <w:r w:rsidRPr="00C05B2A">
        <w:lastRenderedPageBreak/>
        <w:t>5. Product: Outcomes and Professional Development</w:t>
      </w:r>
      <w:bookmarkEnd w:id="15"/>
      <w:r w:rsidRPr="00C05B2A">
        <w:t xml:space="preserve"> </w:t>
      </w:r>
    </w:p>
    <w:p w14:paraId="1A797158" w14:textId="4FE83B53" w:rsidR="007626F5" w:rsidRPr="00C05B2A" w:rsidRDefault="007626F5" w:rsidP="00A5714B">
      <w:pPr>
        <w:pStyle w:val="Heading2"/>
        <w:spacing w:line="480" w:lineRule="auto"/>
      </w:pPr>
      <w:bookmarkStart w:id="16" w:name="_Toc227769369"/>
      <w:r w:rsidRPr="00C05B2A">
        <w:t>5.1 Evaluation of Success</w:t>
      </w:r>
      <w:bookmarkEnd w:id="16"/>
    </w:p>
    <w:p w14:paraId="4EAABF98" w14:textId="1C16A811" w:rsidR="007626F5" w:rsidRPr="00C05B2A" w:rsidRDefault="00D76185" w:rsidP="00A5714B">
      <w:pPr>
        <w:spacing w:line="480" w:lineRule="auto"/>
        <w:jc w:val="both"/>
        <w:rPr>
          <w:rFonts w:ascii="Arial" w:hAnsi="Arial" w:cs="Arial"/>
          <w:sz w:val="22"/>
          <w:szCs w:val="22"/>
        </w:rPr>
      </w:pPr>
      <w:r w:rsidRPr="00C05B2A">
        <w:rPr>
          <w:rFonts w:ascii="Arial" w:hAnsi="Arial" w:cs="Arial"/>
          <w:sz w:val="22"/>
          <w:szCs w:val="22"/>
        </w:rPr>
        <w:t xml:space="preserve">Taking into account the final product, I believe that the team was able to achieve its primary objectives, including the development of a coherent model of care and the development of evidence-based recommendations to assist the DiaWell LU4. The model had its solid theoretical basis since it employed and implemented the existing frameworks and policies, and, at the same time, it was practical in its application to real life issues in health and social care. However, these were great disadvantages. </w:t>
      </w:r>
    </w:p>
    <w:p w14:paraId="07850AA8" w14:textId="77777777" w:rsidR="007626F5" w:rsidRPr="00C05B2A" w:rsidRDefault="007626F5" w:rsidP="00A5714B">
      <w:pPr>
        <w:pStyle w:val="Heading2"/>
        <w:spacing w:line="480" w:lineRule="auto"/>
      </w:pPr>
      <w:bookmarkStart w:id="17" w:name="_Toc227769370"/>
      <w:r w:rsidRPr="00C05B2A">
        <w:t>5.2 Competencies for Integrated Care</w:t>
      </w:r>
      <w:bookmarkEnd w:id="17"/>
    </w:p>
    <w:p w14:paraId="7B8F9EE3" w14:textId="4397193E" w:rsidR="007626F5" w:rsidRPr="00C05B2A" w:rsidRDefault="00D76185" w:rsidP="00A5714B">
      <w:pPr>
        <w:spacing w:line="480" w:lineRule="auto"/>
        <w:jc w:val="both"/>
        <w:rPr>
          <w:rFonts w:ascii="Arial" w:hAnsi="Arial" w:cs="Arial"/>
          <w:sz w:val="22"/>
          <w:szCs w:val="22"/>
        </w:rPr>
      </w:pPr>
      <w:r w:rsidRPr="00C05B2A">
        <w:rPr>
          <w:rFonts w:ascii="Arial" w:hAnsi="Arial" w:cs="Arial"/>
          <w:sz w:val="22"/>
          <w:szCs w:val="22"/>
        </w:rPr>
        <w:t>This has taught me to identify some of the key skills necessary to deliver effective integrated care. The multidisciplinary activities can only be organized through teamwork and leadership and effective communication skills can help in the effective distribution of information between the sectors</w:t>
      </w:r>
      <w:r w:rsidR="00692BD4" w:rsidRPr="00C05B2A">
        <w:rPr>
          <w:rFonts w:ascii="Arial" w:hAnsi="Arial" w:cs="Arial"/>
          <w:sz w:val="22"/>
          <w:szCs w:val="22"/>
        </w:rPr>
        <w:t xml:space="preserve"> (Banda </w:t>
      </w:r>
      <w:proofErr w:type="spellStart"/>
      <w:r w:rsidR="00692BD4" w:rsidRPr="00C05B2A">
        <w:rPr>
          <w:rFonts w:ascii="Arial" w:hAnsi="Arial" w:cs="Arial"/>
          <w:sz w:val="22"/>
          <w:szCs w:val="22"/>
        </w:rPr>
        <w:t>Banda</w:t>
      </w:r>
      <w:proofErr w:type="spellEnd"/>
      <w:r w:rsidR="00692BD4" w:rsidRPr="00C05B2A">
        <w:rPr>
          <w:rFonts w:ascii="Arial" w:hAnsi="Arial" w:cs="Arial"/>
          <w:sz w:val="22"/>
          <w:szCs w:val="22"/>
        </w:rPr>
        <w:t>, 2024)</w:t>
      </w:r>
      <w:r w:rsidRPr="00C05B2A">
        <w:rPr>
          <w:rFonts w:ascii="Arial" w:hAnsi="Arial" w:cs="Arial"/>
          <w:sz w:val="22"/>
          <w:szCs w:val="22"/>
        </w:rPr>
        <w:t>. Cultural competence in terms of addressing the needs of various populations is very important in high health inequality regions. Strategic thinking helps in planning and resource allocation in the long run. These skills align with such models as those promoted by NHS Leadership Academy and interprofessional collaboration models with the emphasis on shared decision-making and shared responsibility. Considering this, I can imagine that the success of integration does not solely depend on the systems, but also on the skills of the professionals involved.</w:t>
      </w:r>
    </w:p>
    <w:p w14:paraId="4FCF59F5" w14:textId="77777777" w:rsidR="007626F5" w:rsidRPr="00C05B2A" w:rsidRDefault="007626F5" w:rsidP="00A5714B">
      <w:pPr>
        <w:pStyle w:val="Heading2"/>
        <w:spacing w:line="480" w:lineRule="auto"/>
      </w:pPr>
      <w:bookmarkStart w:id="18" w:name="_Toc227769371"/>
      <w:r w:rsidRPr="00C05B2A">
        <w:t>5.3 Personal Learning and Growth</w:t>
      </w:r>
      <w:bookmarkEnd w:id="18"/>
    </w:p>
    <w:p w14:paraId="76A83FEF" w14:textId="5E822B3A" w:rsidR="007626F5" w:rsidRPr="00C05B2A" w:rsidRDefault="00D76185" w:rsidP="00A5714B">
      <w:pPr>
        <w:spacing w:line="480" w:lineRule="auto"/>
        <w:jc w:val="both"/>
        <w:rPr>
          <w:rFonts w:ascii="Arial" w:hAnsi="Arial" w:cs="Arial"/>
          <w:sz w:val="22"/>
          <w:szCs w:val="22"/>
        </w:rPr>
      </w:pPr>
      <w:r w:rsidRPr="00C05B2A">
        <w:rPr>
          <w:rFonts w:ascii="Arial" w:hAnsi="Arial" w:cs="Arial"/>
          <w:sz w:val="22"/>
          <w:szCs w:val="22"/>
        </w:rPr>
        <w:t xml:space="preserve">The module has actually added value to my learning experience since it has enabled me to transcend the learning theory to practice. Early on in my career, I was very familiar with a lot of theory about service integration, but now given the DiaWell LU4 case, I have gotten a chance to </w:t>
      </w:r>
      <w:r w:rsidRPr="00C05B2A">
        <w:rPr>
          <w:rFonts w:ascii="Arial" w:hAnsi="Arial" w:cs="Arial"/>
          <w:sz w:val="22"/>
          <w:szCs w:val="22"/>
        </w:rPr>
        <w:lastRenderedPageBreak/>
        <w:t>apply theories into practice. Notably, now I have understood that learning in HSC is a dynamic and an ongoing process</w:t>
      </w:r>
      <w:r w:rsidR="00692BD4" w:rsidRPr="00C05B2A">
        <w:rPr>
          <w:rFonts w:ascii="Arial" w:hAnsi="Arial" w:cs="Arial"/>
          <w:sz w:val="22"/>
          <w:szCs w:val="22"/>
        </w:rPr>
        <w:t xml:space="preserve"> (</w:t>
      </w:r>
      <w:r w:rsidR="00692BD4" w:rsidRPr="00C05B2A">
        <w:rPr>
          <w:rFonts w:ascii="Arial" w:hAnsi="Arial" w:cs="Arial"/>
        </w:rPr>
        <w:t>Li et al., 2024)</w:t>
      </w:r>
      <w:r w:rsidRPr="00C05B2A">
        <w:rPr>
          <w:rFonts w:ascii="Arial" w:hAnsi="Arial" w:cs="Arial"/>
          <w:sz w:val="22"/>
          <w:szCs w:val="22"/>
        </w:rPr>
        <w:t>. This reflection has cemented the necessity to be flexible, think critically and continue to develop in order to be able to respond to the new challenges in integrated care practice.</w:t>
      </w:r>
    </w:p>
    <w:p w14:paraId="2FA9B8C0" w14:textId="77777777" w:rsidR="007626F5" w:rsidRPr="00C05B2A" w:rsidRDefault="007626F5" w:rsidP="00A5714B">
      <w:pPr>
        <w:pStyle w:val="Heading2"/>
        <w:spacing w:line="480" w:lineRule="auto"/>
      </w:pPr>
      <w:bookmarkStart w:id="19" w:name="_Toc227769372"/>
      <w:r w:rsidRPr="00C05B2A">
        <w:t>5.4 Steps for Professional Development</w:t>
      </w:r>
      <w:bookmarkEnd w:id="19"/>
    </w:p>
    <w:p w14:paraId="1FDAE955" w14:textId="79CA7286" w:rsidR="007626F5" w:rsidRPr="00C05B2A" w:rsidRDefault="00D76185" w:rsidP="00A5714B">
      <w:pPr>
        <w:spacing w:line="480" w:lineRule="auto"/>
        <w:jc w:val="both"/>
        <w:rPr>
          <w:rFonts w:ascii="Arial" w:hAnsi="Arial" w:cs="Arial"/>
          <w:sz w:val="22"/>
          <w:szCs w:val="22"/>
        </w:rPr>
      </w:pPr>
      <w:r w:rsidRPr="00C05B2A">
        <w:rPr>
          <w:rFonts w:ascii="Arial" w:hAnsi="Arial" w:cs="Arial"/>
          <w:sz w:val="22"/>
          <w:szCs w:val="22"/>
        </w:rPr>
        <w:t>Later on, I will understand that I will actively have to work on developing my professional competences to become a valuable participant in an integrated care setting. In the process of continuous professional development (CPD), I will get a chance to keep up with the changing policies, practices and innovations in the field of health and social care. To close the theory-practice gap, it is important to have practical experience in integrated care settings. Furthermore, enhancing my digital health literacy will also allow me to utilize the new technologies like electronic health records and telehealth systems. In addition, the leadership development process will also allow me to create multidisciplinary groups and be involved in making strategic decisions within complex health care settings.</w:t>
      </w:r>
    </w:p>
    <w:p w14:paraId="2C361C79" w14:textId="4573F697" w:rsidR="007626F5" w:rsidRPr="00C05B2A" w:rsidRDefault="007626F5" w:rsidP="00A5714B">
      <w:pPr>
        <w:pStyle w:val="Heading1"/>
        <w:spacing w:line="480" w:lineRule="auto"/>
      </w:pPr>
      <w:bookmarkStart w:id="20" w:name="_Toc227769373"/>
      <w:r w:rsidRPr="00C05B2A">
        <w:t xml:space="preserve">6. Critical Reflection and Analysis </w:t>
      </w:r>
      <w:r w:rsidR="0065026A" w:rsidRPr="00C05B2A">
        <w:t>Gibbs</w:t>
      </w:r>
      <w:bookmarkEnd w:id="20"/>
    </w:p>
    <w:p w14:paraId="3B8A1FDA" w14:textId="77777777" w:rsidR="00082D33" w:rsidRPr="00C05B2A" w:rsidRDefault="00082D33" w:rsidP="00082D33">
      <w:pPr>
        <w:spacing w:line="480" w:lineRule="auto"/>
        <w:jc w:val="both"/>
        <w:rPr>
          <w:rFonts w:ascii="Arial" w:hAnsi="Arial" w:cs="Arial"/>
          <w:sz w:val="22"/>
          <w:szCs w:val="22"/>
        </w:rPr>
      </w:pPr>
      <w:r w:rsidRPr="00C05B2A">
        <w:rPr>
          <w:rFonts w:ascii="Arial" w:hAnsi="Arial" w:cs="Arial"/>
          <w:sz w:val="22"/>
          <w:szCs w:val="22"/>
        </w:rPr>
        <w:t xml:space="preserve">I critically analysed my learning outcomes within the framework of service integration through Gibbs reflective cycle by identifying its advantages and flaws in the DiaWell LU4 scenario. In the affirmative, integration is an effective means to improve efficiency through coordinated care, reduce duplication and boost the person-centred support. Although to a limited extent, there is some evidence that integrated care models improve patient outcomes and resource utilization and strengthen prevention strategies (Olson and Burns, 2023). In practice, I observed how health, social care and community services could collaborate to ensure that the system is more responsive. Still, I was also able to discover what had gone awry in the theory and application. First, I thought that under the integration, the improved results would be obtained, and there </w:t>
      </w:r>
      <w:r w:rsidRPr="00C05B2A">
        <w:rPr>
          <w:rFonts w:ascii="Arial" w:hAnsi="Arial" w:cs="Arial"/>
          <w:sz w:val="22"/>
          <w:szCs w:val="22"/>
        </w:rPr>
        <w:lastRenderedPageBreak/>
        <w:t>would not be any significant operation challenges. The premise was not able to take into account certain real-life complexities such as a slow decision-making step, incoherent communication between the stakeholders, and the digital illiteracy of services. These issues indicated that integration is not always effective and depends on the maturity of system.</w:t>
      </w:r>
    </w:p>
    <w:p w14:paraId="05A0C3B1" w14:textId="3CF4BA53" w:rsidR="00A911C1" w:rsidRPr="00C05B2A" w:rsidRDefault="00082D33" w:rsidP="00082D33">
      <w:pPr>
        <w:spacing w:line="480" w:lineRule="auto"/>
        <w:jc w:val="both"/>
        <w:rPr>
          <w:rFonts w:ascii="Arial" w:hAnsi="Arial" w:cs="Arial"/>
          <w:sz w:val="22"/>
          <w:szCs w:val="22"/>
        </w:rPr>
      </w:pPr>
      <w:r w:rsidRPr="00C05B2A">
        <w:rPr>
          <w:rFonts w:ascii="Arial" w:hAnsi="Arial" w:cs="Arial"/>
          <w:sz w:val="22"/>
          <w:szCs w:val="22"/>
        </w:rPr>
        <w:t>On the other hand, I am aware that integration can be an extra administrative burden, require a lot of coordination and overload an already small workforce. The other steps that I would take are more emphasis on transparent governance structures and better stakeholder alignment at an earlier stage to reduce the role ambiguity and duplication. My other suggestion will be to ensure that there is stronger digital infrastructure in the planning stage to enable sharing of data and coordination. The learning is facilitated by the systems theory as healthcare organisations are interconnected systems, where alteration in one aspect directly influences other aspects. Moreover, the complexity theory can be used to comprehend why integrated care systems are not necessarily predictable due to a range of interacting factors (</w:t>
      </w:r>
      <w:proofErr w:type="spellStart"/>
      <w:r w:rsidRPr="00C05B2A">
        <w:rPr>
          <w:rFonts w:ascii="Arial" w:hAnsi="Arial" w:cs="Arial"/>
          <w:sz w:val="22"/>
          <w:szCs w:val="22"/>
        </w:rPr>
        <w:t>Pastakia</w:t>
      </w:r>
      <w:proofErr w:type="spellEnd"/>
      <w:r w:rsidRPr="00C05B2A">
        <w:rPr>
          <w:rFonts w:ascii="Arial" w:hAnsi="Arial" w:cs="Arial"/>
          <w:sz w:val="22"/>
          <w:szCs w:val="22"/>
        </w:rPr>
        <w:t xml:space="preserve"> et al., 2025)</w:t>
      </w:r>
      <w:r w:rsidR="00A911C1" w:rsidRPr="00C05B2A">
        <w:rPr>
          <w:rFonts w:ascii="Arial" w:hAnsi="Arial" w:cs="Arial"/>
          <w:sz w:val="22"/>
          <w:szCs w:val="22"/>
        </w:rPr>
        <w:t>.</w:t>
      </w:r>
    </w:p>
    <w:p w14:paraId="170AE7A5" w14:textId="043EA4BC" w:rsidR="007626F5" w:rsidRPr="00C05B2A" w:rsidRDefault="00A911C1" w:rsidP="00A911C1">
      <w:pPr>
        <w:spacing w:line="480" w:lineRule="auto"/>
        <w:jc w:val="both"/>
        <w:rPr>
          <w:rFonts w:ascii="Arial" w:hAnsi="Arial" w:cs="Arial"/>
          <w:sz w:val="22"/>
          <w:szCs w:val="22"/>
        </w:rPr>
      </w:pPr>
      <w:r w:rsidRPr="00C05B2A">
        <w:rPr>
          <w:rFonts w:ascii="Arial" w:hAnsi="Arial" w:cs="Arial"/>
          <w:sz w:val="22"/>
          <w:szCs w:val="22"/>
        </w:rPr>
        <w:t xml:space="preserve">What this implies is that integration </w:t>
      </w:r>
      <w:proofErr w:type="spellStart"/>
      <w:r w:rsidRPr="00C05B2A">
        <w:rPr>
          <w:rFonts w:ascii="Arial" w:hAnsi="Arial" w:cs="Arial"/>
          <w:sz w:val="22"/>
          <w:szCs w:val="22"/>
        </w:rPr>
        <w:t>can not</w:t>
      </w:r>
      <w:proofErr w:type="spellEnd"/>
      <w:r w:rsidRPr="00C05B2A">
        <w:rPr>
          <w:rFonts w:ascii="Arial" w:hAnsi="Arial" w:cs="Arial"/>
          <w:sz w:val="22"/>
          <w:szCs w:val="22"/>
        </w:rPr>
        <w:t xml:space="preserve"> be discussed as a blanket solution. Rather, it thrives based on the quality of leadership, availability of resources, the ability of the work force, and contextual preparedness. My follow-up under practice is to be more critical and systems-based, constantly review the processes of integrations, and to concentrate on adaptive leadership and evidence-based decision-making in order to achieve lasting positive changes in care delivery.</w:t>
      </w:r>
    </w:p>
    <w:p w14:paraId="4EAB7980" w14:textId="52FC310D" w:rsidR="00692BD4" w:rsidRPr="00C05B2A" w:rsidRDefault="00692BD4" w:rsidP="00A5714B">
      <w:pPr>
        <w:spacing w:line="480" w:lineRule="auto"/>
        <w:jc w:val="center"/>
        <w:rPr>
          <w:rFonts w:ascii="Arial" w:hAnsi="Arial" w:cs="Arial"/>
          <w:sz w:val="22"/>
          <w:szCs w:val="22"/>
        </w:rPr>
      </w:pPr>
      <w:r w:rsidRPr="00C05B2A">
        <w:rPr>
          <w:noProof/>
        </w:rPr>
        <w:lastRenderedPageBreak/>
        <w:drawing>
          <wp:inline distT="0" distB="0" distL="0" distR="0" wp14:anchorId="2FF29810" wp14:editId="675D8262">
            <wp:extent cx="5838825" cy="3819525"/>
            <wp:effectExtent l="0" t="0" r="0" b="0"/>
            <wp:docPr id="835393242" name="Diagram 83539324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7F95864" w14:textId="18C9ECB1" w:rsidR="00692BD4" w:rsidRPr="00C05B2A" w:rsidRDefault="00692BD4" w:rsidP="00A5714B">
      <w:pPr>
        <w:spacing w:line="480" w:lineRule="auto"/>
        <w:jc w:val="center"/>
        <w:rPr>
          <w:rFonts w:ascii="Arial" w:hAnsi="Arial" w:cs="Arial"/>
          <w:b/>
          <w:bCs/>
          <w:i/>
          <w:iCs/>
          <w:sz w:val="22"/>
          <w:szCs w:val="22"/>
        </w:rPr>
      </w:pPr>
      <w:r w:rsidRPr="00C05B2A">
        <w:rPr>
          <w:rFonts w:ascii="Arial" w:hAnsi="Arial" w:cs="Arial"/>
          <w:b/>
          <w:bCs/>
          <w:i/>
          <w:iCs/>
          <w:sz w:val="22"/>
          <w:szCs w:val="22"/>
        </w:rPr>
        <w:t>Figure 1:</w:t>
      </w:r>
      <w:r w:rsidRPr="00C05B2A">
        <w:rPr>
          <w:b/>
          <w:bCs/>
          <w:i/>
          <w:iCs/>
        </w:rPr>
        <w:t xml:space="preserve"> </w:t>
      </w:r>
      <w:r w:rsidRPr="00C05B2A">
        <w:rPr>
          <w:rFonts w:ascii="Arial" w:hAnsi="Arial" w:cs="Arial"/>
          <w:b/>
          <w:bCs/>
          <w:i/>
          <w:iCs/>
          <w:sz w:val="22"/>
          <w:szCs w:val="22"/>
        </w:rPr>
        <w:t>Gibbs reflective cycle</w:t>
      </w:r>
    </w:p>
    <w:p w14:paraId="6C9A7771" w14:textId="11D9575D" w:rsidR="00692BD4" w:rsidRPr="00C05B2A" w:rsidRDefault="00692BD4" w:rsidP="00A5714B">
      <w:pPr>
        <w:spacing w:line="480" w:lineRule="auto"/>
        <w:jc w:val="center"/>
        <w:rPr>
          <w:rFonts w:ascii="Arial" w:hAnsi="Arial" w:cs="Arial"/>
          <w:sz w:val="22"/>
          <w:szCs w:val="22"/>
        </w:rPr>
      </w:pPr>
      <w:r w:rsidRPr="00C05B2A">
        <w:rPr>
          <w:rFonts w:ascii="Arial" w:hAnsi="Arial" w:cs="Arial"/>
          <w:sz w:val="22"/>
          <w:szCs w:val="22"/>
        </w:rPr>
        <w:t>(Source: Self-Created)</w:t>
      </w:r>
    </w:p>
    <w:p w14:paraId="186574D1" w14:textId="06C1AE78" w:rsidR="007626F5" w:rsidRPr="00C05B2A" w:rsidRDefault="007626F5" w:rsidP="00A5714B">
      <w:pPr>
        <w:pStyle w:val="Heading1"/>
        <w:spacing w:line="480" w:lineRule="auto"/>
      </w:pPr>
      <w:bookmarkStart w:id="21" w:name="_Toc227769374"/>
      <w:r w:rsidRPr="00C05B2A">
        <w:t>7. Conclusion</w:t>
      </w:r>
      <w:bookmarkEnd w:id="21"/>
      <w:r w:rsidRPr="00C05B2A">
        <w:t xml:space="preserve"> </w:t>
      </w:r>
    </w:p>
    <w:p w14:paraId="10E53041" w14:textId="61A12491" w:rsidR="008749EC" w:rsidRPr="00C05B2A" w:rsidRDefault="00D76185" w:rsidP="00A5714B">
      <w:pPr>
        <w:spacing w:line="480" w:lineRule="auto"/>
        <w:jc w:val="both"/>
        <w:rPr>
          <w:rFonts w:ascii="Arial" w:hAnsi="Arial" w:cs="Arial"/>
          <w:sz w:val="22"/>
          <w:szCs w:val="22"/>
        </w:rPr>
      </w:pPr>
      <w:r w:rsidRPr="00C05B2A">
        <w:rPr>
          <w:rFonts w:ascii="Arial" w:hAnsi="Arial" w:cs="Arial"/>
          <w:sz w:val="22"/>
          <w:szCs w:val="22"/>
        </w:rPr>
        <w:t>In conclusion, this reflective report has supported the topmost importance of service integration and partnership working in the resolution of the complex health problems such as Type 2 diabetes. As the DiaWell LU4 case showed, the collaboration of the healthcare providers, local authorities, and community organisations may help improve the outcomes by offering comprehensive and person-centred care. This reflection helped me have a more critical look at the integration frameworks, and their pros and cons in practice. The last thing I have noticed is that despite the importance of integrated care in improving the health outcomes and inequality reduction, it should be planned, evaluated and flexible to ensure that it is sustainable and effective in many healthcare facilities in the long run.</w:t>
      </w:r>
    </w:p>
    <w:p w14:paraId="77FBA224" w14:textId="4853C680" w:rsidR="00692BD4" w:rsidRPr="00C05B2A" w:rsidRDefault="00692BD4" w:rsidP="00A5714B">
      <w:pPr>
        <w:pStyle w:val="Heading1"/>
        <w:spacing w:line="480" w:lineRule="auto"/>
      </w:pPr>
      <w:bookmarkStart w:id="22" w:name="_Toc227769375"/>
      <w:r w:rsidRPr="00C05B2A">
        <w:lastRenderedPageBreak/>
        <w:t>References</w:t>
      </w:r>
      <w:bookmarkEnd w:id="22"/>
    </w:p>
    <w:p w14:paraId="343B0E5E" w14:textId="77777777" w:rsidR="00692BD4" w:rsidRPr="00C05B2A" w:rsidRDefault="00692BD4" w:rsidP="00A5714B">
      <w:pPr>
        <w:spacing w:line="480" w:lineRule="auto"/>
        <w:jc w:val="both"/>
        <w:rPr>
          <w:rFonts w:ascii="Arial" w:hAnsi="Arial" w:cs="Arial"/>
          <w:sz w:val="22"/>
          <w:szCs w:val="22"/>
        </w:rPr>
      </w:pPr>
      <w:proofErr w:type="spellStart"/>
      <w:r w:rsidRPr="00C05B2A">
        <w:rPr>
          <w:rFonts w:ascii="Arial" w:hAnsi="Arial" w:cs="Arial"/>
          <w:sz w:val="22"/>
          <w:szCs w:val="22"/>
        </w:rPr>
        <w:t>Albanaqi</w:t>
      </w:r>
      <w:proofErr w:type="spellEnd"/>
      <w:r w:rsidRPr="00C05B2A">
        <w:rPr>
          <w:rFonts w:ascii="Arial" w:hAnsi="Arial" w:cs="Arial"/>
          <w:sz w:val="22"/>
          <w:szCs w:val="22"/>
        </w:rPr>
        <w:t xml:space="preserve">, N.H.K., Alanazi, B.O.B., Alanazi, W.O.B., Alanazi, T.S.K., </w:t>
      </w:r>
      <w:proofErr w:type="spellStart"/>
      <w:r w:rsidRPr="00C05B2A">
        <w:rPr>
          <w:rFonts w:ascii="Arial" w:hAnsi="Arial" w:cs="Arial"/>
          <w:sz w:val="22"/>
          <w:szCs w:val="22"/>
        </w:rPr>
        <w:t>Majrashi</w:t>
      </w:r>
      <w:proofErr w:type="spellEnd"/>
      <w:r w:rsidRPr="00C05B2A">
        <w:rPr>
          <w:rFonts w:ascii="Arial" w:hAnsi="Arial" w:cs="Arial"/>
          <w:sz w:val="22"/>
          <w:szCs w:val="22"/>
        </w:rPr>
        <w:t xml:space="preserve">, A.A., </w:t>
      </w:r>
      <w:proofErr w:type="spellStart"/>
      <w:r w:rsidRPr="00C05B2A">
        <w:rPr>
          <w:rFonts w:ascii="Arial" w:hAnsi="Arial" w:cs="Arial"/>
          <w:sz w:val="22"/>
          <w:szCs w:val="22"/>
        </w:rPr>
        <w:t>Alsharari</w:t>
      </w:r>
      <w:proofErr w:type="spellEnd"/>
      <w:r w:rsidRPr="00C05B2A">
        <w:rPr>
          <w:rFonts w:ascii="Arial" w:hAnsi="Arial" w:cs="Arial"/>
          <w:sz w:val="22"/>
          <w:szCs w:val="22"/>
        </w:rPr>
        <w:t xml:space="preserve">, M.S.S. and </w:t>
      </w:r>
      <w:proofErr w:type="spellStart"/>
      <w:r w:rsidRPr="00C05B2A">
        <w:rPr>
          <w:rFonts w:ascii="Arial" w:hAnsi="Arial" w:cs="Arial"/>
          <w:sz w:val="22"/>
          <w:szCs w:val="22"/>
        </w:rPr>
        <w:t>Alquayqie</w:t>
      </w:r>
      <w:proofErr w:type="spellEnd"/>
      <w:r w:rsidRPr="00C05B2A">
        <w:rPr>
          <w:rFonts w:ascii="Arial" w:hAnsi="Arial" w:cs="Arial"/>
          <w:sz w:val="22"/>
          <w:szCs w:val="22"/>
        </w:rPr>
        <w:t>, W.A.M., 2024. Nursing and optometry in diabetes care: prevention of diabetic retinopathy. </w:t>
      </w:r>
      <w:r w:rsidRPr="00C05B2A">
        <w:rPr>
          <w:rFonts w:ascii="Arial" w:hAnsi="Arial" w:cs="Arial"/>
          <w:i/>
          <w:iCs/>
          <w:sz w:val="22"/>
          <w:szCs w:val="22"/>
        </w:rPr>
        <w:t>Gland Surgery</w:t>
      </w:r>
      <w:r w:rsidRPr="00C05B2A">
        <w:rPr>
          <w:rFonts w:ascii="Arial" w:hAnsi="Arial" w:cs="Arial"/>
          <w:sz w:val="22"/>
          <w:szCs w:val="22"/>
        </w:rPr>
        <w:t>, </w:t>
      </w:r>
      <w:r w:rsidRPr="00C05B2A">
        <w:rPr>
          <w:rFonts w:ascii="Arial" w:hAnsi="Arial" w:cs="Arial"/>
          <w:i/>
          <w:iCs/>
          <w:sz w:val="22"/>
          <w:szCs w:val="22"/>
        </w:rPr>
        <w:t>9</w:t>
      </w:r>
      <w:r w:rsidRPr="00C05B2A">
        <w:rPr>
          <w:rFonts w:ascii="Arial" w:hAnsi="Arial" w:cs="Arial"/>
          <w:sz w:val="22"/>
          <w:szCs w:val="22"/>
        </w:rPr>
        <w:t>(2), pp.586-592.</w:t>
      </w:r>
    </w:p>
    <w:p w14:paraId="58A30D2E" w14:textId="17922E35" w:rsidR="00692BD4" w:rsidRPr="00C05B2A" w:rsidRDefault="00692BD4" w:rsidP="00A5714B">
      <w:pPr>
        <w:spacing w:line="480" w:lineRule="auto"/>
        <w:jc w:val="both"/>
        <w:rPr>
          <w:rFonts w:ascii="Arial" w:hAnsi="Arial" w:cs="Arial"/>
          <w:sz w:val="22"/>
          <w:szCs w:val="22"/>
        </w:rPr>
      </w:pPr>
      <w:proofErr w:type="spellStart"/>
      <w:r w:rsidRPr="00C05B2A">
        <w:rPr>
          <w:rFonts w:ascii="Arial" w:hAnsi="Arial" w:cs="Arial"/>
          <w:sz w:val="22"/>
          <w:szCs w:val="22"/>
        </w:rPr>
        <w:t>AlDoshan</w:t>
      </w:r>
      <w:proofErr w:type="spellEnd"/>
      <w:r w:rsidRPr="00C05B2A">
        <w:rPr>
          <w:rFonts w:ascii="Arial" w:hAnsi="Arial" w:cs="Arial"/>
          <w:sz w:val="22"/>
          <w:szCs w:val="22"/>
        </w:rPr>
        <w:t xml:space="preserve">, T.M., </w:t>
      </w:r>
      <w:proofErr w:type="spellStart"/>
      <w:r w:rsidRPr="00C05B2A">
        <w:rPr>
          <w:rFonts w:ascii="Arial" w:hAnsi="Arial" w:cs="Arial"/>
          <w:sz w:val="22"/>
          <w:szCs w:val="22"/>
        </w:rPr>
        <w:t>ALMahasnah</w:t>
      </w:r>
      <w:proofErr w:type="spellEnd"/>
      <w:r w:rsidRPr="00C05B2A">
        <w:rPr>
          <w:rFonts w:ascii="Arial" w:hAnsi="Arial" w:cs="Arial"/>
          <w:sz w:val="22"/>
          <w:szCs w:val="22"/>
        </w:rPr>
        <w:t xml:space="preserve">, F.R., </w:t>
      </w:r>
      <w:proofErr w:type="spellStart"/>
      <w:r w:rsidRPr="00C05B2A">
        <w:rPr>
          <w:rFonts w:ascii="Arial" w:hAnsi="Arial" w:cs="Arial"/>
          <w:sz w:val="22"/>
          <w:szCs w:val="22"/>
        </w:rPr>
        <w:t>AlMadan</w:t>
      </w:r>
      <w:proofErr w:type="spellEnd"/>
      <w:r w:rsidRPr="00C05B2A">
        <w:rPr>
          <w:rFonts w:ascii="Arial" w:hAnsi="Arial" w:cs="Arial"/>
          <w:sz w:val="22"/>
          <w:szCs w:val="22"/>
        </w:rPr>
        <w:t xml:space="preserve">, F.I., Al Ghadeer, M.A., AlSaba, R.M., Yaseen, M.A.I., </w:t>
      </w:r>
      <w:proofErr w:type="spellStart"/>
      <w:r w:rsidRPr="00C05B2A">
        <w:rPr>
          <w:rFonts w:ascii="Arial" w:hAnsi="Arial" w:cs="Arial"/>
          <w:sz w:val="22"/>
          <w:szCs w:val="22"/>
        </w:rPr>
        <w:t>Sufuq</w:t>
      </w:r>
      <w:proofErr w:type="spellEnd"/>
      <w:r w:rsidRPr="00C05B2A">
        <w:rPr>
          <w:rFonts w:ascii="Arial" w:hAnsi="Arial" w:cs="Arial"/>
          <w:sz w:val="22"/>
          <w:szCs w:val="22"/>
        </w:rPr>
        <w:t xml:space="preserve">, W.M., Saab, I.M., </w:t>
      </w:r>
      <w:proofErr w:type="spellStart"/>
      <w:r w:rsidRPr="00C05B2A">
        <w:rPr>
          <w:rFonts w:ascii="Arial" w:hAnsi="Arial" w:cs="Arial"/>
          <w:sz w:val="22"/>
          <w:szCs w:val="22"/>
        </w:rPr>
        <w:t>Alshogaifi</w:t>
      </w:r>
      <w:proofErr w:type="spellEnd"/>
      <w:r w:rsidRPr="00C05B2A">
        <w:rPr>
          <w:rFonts w:ascii="Arial" w:hAnsi="Arial" w:cs="Arial"/>
          <w:sz w:val="22"/>
          <w:szCs w:val="22"/>
        </w:rPr>
        <w:t xml:space="preserve">, A.A., </w:t>
      </w:r>
      <w:proofErr w:type="spellStart"/>
      <w:r w:rsidRPr="00C05B2A">
        <w:rPr>
          <w:rFonts w:ascii="Arial" w:hAnsi="Arial" w:cs="Arial"/>
          <w:sz w:val="22"/>
          <w:szCs w:val="22"/>
        </w:rPr>
        <w:t>Alnajrani</w:t>
      </w:r>
      <w:proofErr w:type="spellEnd"/>
      <w:r w:rsidRPr="00C05B2A">
        <w:rPr>
          <w:rFonts w:ascii="Arial" w:hAnsi="Arial" w:cs="Arial"/>
          <w:sz w:val="22"/>
          <w:szCs w:val="22"/>
        </w:rPr>
        <w:t xml:space="preserve">, H.H. and </w:t>
      </w:r>
      <w:proofErr w:type="spellStart"/>
      <w:r w:rsidRPr="00C05B2A">
        <w:rPr>
          <w:rFonts w:ascii="Arial" w:hAnsi="Arial" w:cs="Arial"/>
          <w:sz w:val="22"/>
          <w:szCs w:val="22"/>
        </w:rPr>
        <w:t>AlGhamdi</w:t>
      </w:r>
      <w:proofErr w:type="spellEnd"/>
      <w:r w:rsidRPr="00C05B2A">
        <w:rPr>
          <w:rFonts w:ascii="Arial" w:hAnsi="Arial" w:cs="Arial"/>
          <w:sz w:val="22"/>
          <w:szCs w:val="22"/>
        </w:rPr>
        <w:t>, T.S., 2025. Emerging Digital Health Technologies In Diabetes Care: Clinical Outcomes, Patient Experience, And Evolving Roles Of Nurses, Dentists, Laboratory, Health Informatics, And Radiology Professionals–A Systematic Review. </w:t>
      </w:r>
      <w:r w:rsidRPr="00C05B2A">
        <w:rPr>
          <w:rFonts w:ascii="Arial" w:hAnsi="Arial" w:cs="Arial"/>
          <w:i/>
          <w:iCs/>
          <w:sz w:val="22"/>
          <w:szCs w:val="22"/>
        </w:rPr>
        <w:t>The Review of Diabetic Studies</w:t>
      </w:r>
      <w:r w:rsidRPr="00C05B2A">
        <w:rPr>
          <w:rFonts w:ascii="Arial" w:hAnsi="Arial" w:cs="Arial"/>
          <w:sz w:val="22"/>
          <w:szCs w:val="22"/>
        </w:rPr>
        <w:t>, pp.77-84.</w:t>
      </w:r>
    </w:p>
    <w:p w14:paraId="023D802C"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 xml:space="preserve">Alshaikh, R.S., Alhamad, A.E., </w:t>
      </w:r>
      <w:proofErr w:type="spellStart"/>
      <w:r w:rsidRPr="00C05B2A">
        <w:rPr>
          <w:rFonts w:ascii="Arial" w:hAnsi="Arial" w:cs="Arial"/>
          <w:sz w:val="22"/>
          <w:szCs w:val="22"/>
        </w:rPr>
        <w:t>yousef</w:t>
      </w:r>
      <w:proofErr w:type="spellEnd"/>
      <w:r w:rsidRPr="00C05B2A">
        <w:rPr>
          <w:rFonts w:ascii="Arial" w:hAnsi="Arial" w:cs="Arial"/>
          <w:sz w:val="22"/>
          <w:szCs w:val="22"/>
        </w:rPr>
        <w:t xml:space="preserve"> Alkhamis, N., </w:t>
      </w:r>
      <w:proofErr w:type="spellStart"/>
      <w:r w:rsidRPr="00C05B2A">
        <w:rPr>
          <w:rFonts w:ascii="Arial" w:hAnsi="Arial" w:cs="Arial"/>
          <w:sz w:val="22"/>
          <w:szCs w:val="22"/>
        </w:rPr>
        <w:t>AlDulaim</w:t>
      </w:r>
      <w:proofErr w:type="spellEnd"/>
      <w:r w:rsidRPr="00C05B2A">
        <w:rPr>
          <w:rFonts w:ascii="Arial" w:hAnsi="Arial" w:cs="Arial"/>
          <w:sz w:val="22"/>
          <w:szCs w:val="22"/>
        </w:rPr>
        <w:t xml:space="preserve">, A.J., </w:t>
      </w:r>
      <w:proofErr w:type="spellStart"/>
      <w:r w:rsidRPr="00C05B2A">
        <w:rPr>
          <w:rFonts w:ascii="Arial" w:hAnsi="Arial" w:cs="Arial"/>
          <w:sz w:val="22"/>
          <w:szCs w:val="22"/>
        </w:rPr>
        <w:t>Alshuwayrid</w:t>
      </w:r>
      <w:proofErr w:type="spellEnd"/>
      <w:r w:rsidRPr="00C05B2A">
        <w:rPr>
          <w:rFonts w:ascii="Arial" w:hAnsi="Arial" w:cs="Arial"/>
          <w:sz w:val="22"/>
          <w:szCs w:val="22"/>
        </w:rPr>
        <w:t xml:space="preserve">, S.K., </w:t>
      </w:r>
      <w:proofErr w:type="spellStart"/>
      <w:r w:rsidRPr="00C05B2A">
        <w:rPr>
          <w:rFonts w:ascii="Arial" w:hAnsi="Arial" w:cs="Arial"/>
          <w:sz w:val="22"/>
          <w:szCs w:val="22"/>
        </w:rPr>
        <w:t>Alsaif</w:t>
      </w:r>
      <w:proofErr w:type="spellEnd"/>
      <w:r w:rsidRPr="00C05B2A">
        <w:rPr>
          <w:rFonts w:ascii="Arial" w:hAnsi="Arial" w:cs="Arial"/>
          <w:sz w:val="22"/>
          <w:szCs w:val="22"/>
        </w:rPr>
        <w:t xml:space="preserve">, S.A., </w:t>
      </w:r>
      <w:proofErr w:type="spellStart"/>
      <w:r w:rsidRPr="00C05B2A">
        <w:rPr>
          <w:rFonts w:ascii="Arial" w:hAnsi="Arial" w:cs="Arial"/>
          <w:sz w:val="22"/>
          <w:szCs w:val="22"/>
        </w:rPr>
        <w:t>Alghafly</w:t>
      </w:r>
      <w:proofErr w:type="spellEnd"/>
      <w:r w:rsidRPr="00C05B2A">
        <w:rPr>
          <w:rFonts w:ascii="Arial" w:hAnsi="Arial" w:cs="Arial"/>
          <w:sz w:val="22"/>
          <w:szCs w:val="22"/>
        </w:rPr>
        <w:t xml:space="preserve">, H.M., </w:t>
      </w:r>
      <w:proofErr w:type="spellStart"/>
      <w:r w:rsidRPr="00C05B2A">
        <w:rPr>
          <w:rFonts w:ascii="Arial" w:hAnsi="Arial" w:cs="Arial"/>
          <w:sz w:val="22"/>
          <w:szCs w:val="22"/>
        </w:rPr>
        <w:t>Alkhalifah</w:t>
      </w:r>
      <w:proofErr w:type="spellEnd"/>
      <w:r w:rsidRPr="00C05B2A">
        <w:rPr>
          <w:rFonts w:ascii="Arial" w:hAnsi="Arial" w:cs="Arial"/>
          <w:sz w:val="22"/>
          <w:szCs w:val="22"/>
        </w:rPr>
        <w:t xml:space="preserve">, J.S.M., </w:t>
      </w:r>
      <w:proofErr w:type="spellStart"/>
      <w:r w:rsidRPr="00C05B2A">
        <w:rPr>
          <w:rFonts w:ascii="Arial" w:hAnsi="Arial" w:cs="Arial"/>
          <w:sz w:val="22"/>
          <w:szCs w:val="22"/>
        </w:rPr>
        <w:t>mughram</w:t>
      </w:r>
      <w:proofErr w:type="spellEnd"/>
      <w:r w:rsidRPr="00C05B2A">
        <w:rPr>
          <w:rFonts w:ascii="Arial" w:hAnsi="Arial" w:cs="Arial"/>
          <w:sz w:val="22"/>
          <w:szCs w:val="22"/>
        </w:rPr>
        <w:t xml:space="preserve"> Alshehri, T.A., Alonazi, W.S.H. and </w:t>
      </w:r>
      <w:proofErr w:type="spellStart"/>
      <w:r w:rsidRPr="00C05B2A">
        <w:rPr>
          <w:rFonts w:ascii="Arial" w:hAnsi="Arial" w:cs="Arial"/>
          <w:sz w:val="22"/>
          <w:szCs w:val="22"/>
        </w:rPr>
        <w:t>Bumozah</w:t>
      </w:r>
      <w:proofErr w:type="spellEnd"/>
      <w:r w:rsidRPr="00C05B2A">
        <w:rPr>
          <w:rFonts w:ascii="Arial" w:hAnsi="Arial" w:cs="Arial"/>
          <w:sz w:val="22"/>
          <w:szCs w:val="22"/>
        </w:rPr>
        <w:t>, M.A., 2025. Multidisciplinary Community Care: Integrating Health Assistants, Pharmacists, Emergency Medical Services Technicians, Healthcare And Hospital Management Specialists, And Anesthesia Technicians For Patient Safety. </w:t>
      </w:r>
      <w:r w:rsidRPr="00C05B2A">
        <w:rPr>
          <w:rFonts w:ascii="Arial" w:hAnsi="Arial" w:cs="Arial"/>
          <w:i/>
          <w:iCs/>
          <w:sz w:val="22"/>
          <w:szCs w:val="22"/>
        </w:rPr>
        <w:t>The Review of Diabetic Studies</w:t>
      </w:r>
      <w:r w:rsidRPr="00C05B2A">
        <w:rPr>
          <w:rFonts w:ascii="Arial" w:hAnsi="Arial" w:cs="Arial"/>
          <w:sz w:val="22"/>
          <w:szCs w:val="22"/>
        </w:rPr>
        <w:t>, pp.1019-1034.</w:t>
      </w:r>
    </w:p>
    <w:p w14:paraId="0C6ABF07"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 xml:space="preserve">Alshammari, S.M., </w:t>
      </w:r>
      <w:proofErr w:type="spellStart"/>
      <w:r w:rsidRPr="00C05B2A">
        <w:rPr>
          <w:rFonts w:ascii="Arial" w:hAnsi="Arial" w:cs="Arial"/>
          <w:sz w:val="22"/>
          <w:szCs w:val="22"/>
        </w:rPr>
        <w:t>Alrashidi</w:t>
      </w:r>
      <w:proofErr w:type="spellEnd"/>
      <w:r w:rsidRPr="00C05B2A">
        <w:rPr>
          <w:rFonts w:ascii="Arial" w:hAnsi="Arial" w:cs="Arial"/>
          <w:sz w:val="22"/>
          <w:szCs w:val="22"/>
        </w:rPr>
        <w:t>, A.F., Aldhafiri, B.M., Alshammari, A.M., Alenazi, S.O.S., Al-Shammari, M.N.S. and Altarifi, F.M.K., 2025. The Technician Triad In Chronic Disease Management: Systematic Review Of Pharmacy, Laboratory, And Nursing Technician Roles In Diabetes And Cardiovascular Care In Saudi Arabia. </w:t>
      </w:r>
      <w:r w:rsidRPr="00C05B2A">
        <w:rPr>
          <w:rFonts w:ascii="Arial" w:hAnsi="Arial" w:cs="Arial"/>
          <w:i/>
          <w:iCs/>
          <w:sz w:val="22"/>
          <w:szCs w:val="22"/>
        </w:rPr>
        <w:t>The Review of Diabetic Studies</w:t>
      </w:r>
      <w:r w:rsidRPr="00C05B2A">
        <w:rPr>
          <w:rFonts w:ascii="Arial" w:hAnsi="Arial" w:cs="Arial"/>
          <w:sz w:val="22"/>
          <w:szCs w:val="22"/>
        </w:rPr>
        <w:t>, pp.641-652.</w:t>
      </w:r>
    </w:p>
    <w:p w14:paraId="762F1502"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 xml:space="preserve">Banda, C., Banda, N.P., </w:t>
      </w:r>
      <w:proofErr w:type="spellStart"/>
      <w:r w:rsidRPr="00C05B2A">
        <w:rPr>
          <w:rFonts w:ascii="Arial" w:hAnsi="Arial" w:cs="Arial"/>
          <w:sz w:val="22"/>
          <w:szCs w:val="22"/>
        </w:rPr>
        <w:t>Gombachika</w:t>
      </w:r>
      <w:proofErr w:type="spellEnd"/>
      <w:r w:rsidRPr="00C05B2A">
        <w:rPr>
          <w:rFonts w:ascii="Arial" w:hAnsi="Arial" w:cs="Arial"/>
          <w:sz w:val="22"/>
          <w:szCs w:val="22"/>
        </w:rPr>
        <w:t xml:space="preserve">, B.T., Nyirenda, M.J., </w:t>
      </w:r>
      <w:proofErr w:type="spellStart"/>
      <w:r w:rsidRPr="00C05B2A">
        <w:rPr>
          <w:rFonts w:ascii="Arial" w:hAnsi="Arial" w:cs="Arial"/>
          <w:sz w:val="22"/>
          <w:szCs w:val="22"/>
        </w:rPr>
        <w:t>Hosseinipour</w:t>
      </w:r>
      <w:proofErr w:type="spellEnd"/>
      <w:r w:rsidRPr="00C05B2A">
        <w:rPr>
          <w:rFonts w:ascii="Arial" w:hAnsi="Arial" w:cs="Arial"/>
          <w:sz w:val="22"/>
          <w:szCs w:val="22"/>
        </w:rPr>
        <w:t xml:space="preserve">, M.C. and </w:t>
      </w:r>
      <w:proofErr w:type="spellStart"/>
      <w:r w:rsidRPr="00C05B2A">
        <w:rPr>
          <w:rFonts w:ascii="Arial" w:hAnsi="Arial" w:cs="Arial"/>
          <w:sz w:val="22"/>
          <w:szCs w:val="22"/>
        </w:rPr>
        <w:t>Muula</w:t>
      </w:r>
      <w:proofErr w:type="spellEnd"/>
      <w:r w:rsidRPr="00C05B2A">
        <w:rPr>
          <w:rFonts w:ascii="Arial" w:hAnsi="Arial" w:cs="Arial"/>
          <w:sz w:val="22"/>
          <w:szCs w:val="22"/>
        </w:rPr>
        <w:t>, A.S., 2024. Primary health care preparedness to integrate diabetes care in Blantyre, Malawi: A mixed methods study. </w:t>
      </w:r>
      <w:proofErr w:type="spellStart"/>
      <w:r w:rsidRPr="00C05B2A">
        <w:rPr>
          <w:rFonts w:ascii="Arial" w:hAnsi="Arial" w:cs="Arial"/>
          <w:i/>
          <w:iCs/>
          <w:sz w:val="22"/>
          <w:szCs w:val="22"/>
        </w:rPr>
        <w:t>Plos</w:t>
      </w:r>
      <w:proofErr w:type="spellEnd"/>
      <w:r w:rsidRPr="00C05B2A">
        <w:rPr>
          <w:rFonts w:ascii="Arial" w:hAnsi="Arial" w:cs="Arial"/>
          <w:i/>
          <w:iCs/>
          <w:sz w:val="22"/>
          <w:szCs w:val="22"/>
        </w:rPr>
        <w:t xml:space="preserve"> one</w:t>
      </w:r>
      <w:r w:rsidRPr="00C05B2A">
        <w:rPr>
          <w:rFonts w:ascii="Arial" w:hAnsi="Arial" w:cs="Arial"/>
          <w:sz w:val="22"/>
          <w:szCs w:val="22"/>
        </w:rPr>
        <w:t>, </w:t>
      </w:r>
      <w:r w:rsidRPr="00C05B2A">
        <w:rPr>
          <w:rFonts w:ascii="Arial" w:hAnsi="Arial" w:cs="Arial"/>
          <w:i/>
          <w:iCs/>
          <w:sz w:val="22"/>
          <w:szCs w:val="22"/>
        </w:rPr>
        <w:t>19</w:t>
      </w:r>
      <w:r w:rsidRPr="00C05B2A">
        <w:rPr>
          <w:rFonts w:ascii="Arial" w:hAnsi="Arial" w:cs="Arial"/>
          <w:sz w:val="22"/>
          <w:szCs w:val="22"/>
        </w:rPr>
        <w:t>(5), p.e0303030.</w:t>
      </w:r>
    </w:p>
    <w:p w14:paraId="0745D7AB"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Fuse, K., Kamimura, N., Iguchi, S., Kato, K. and Takahashi, H.E., 2024. Integrating community care for the prevention and treatment of diabetes. </w:t>
      </w:r>
      <w:r w:rsidRPr="00C05B2A">
        <w:rPr>
          <w:rFonts w:ascii="Arial" w:hAnsi="Arial" w:cs="Arial"/>
          <w:i/>
          <w:iCs/>
          <w:sz w:val="22"/>
          <w:szCs w:val="22"/>
        </w:rPr>
        <w:t>International Journal of Integrated Care</w:t>
      </w:r>
      <w:r w:rsidRPr="00C05B2A">
        <w:rPr>
          <w:rFonts w:ascii="Arial" w:hAnsi="Arial" w:cs="Arial"/>
          <w:sz w:val="22"/>
          <w:szCs w:val="22"/>
        </w:rPr>
        <w:t>, </w:t>
      </w:r>
      <w:r w:rsidRPr="00C05B2A">
        <w:rPr>
          <w:rFonts w:ascii="Arial" w:hAnsi="Arial" w:cs="Arial"/>
          <w:i/>
          <w:iCs/>
          <w:sz w:val="22"/>
          <w:szCs w:val="22"/>
        </w:rPr>
        <w:t>24</w:t>
      </w:r>
      <w:r w:rsidRPr="00C05B2A">
        <w:rPr>
          <w:rFonts w:ascii="Arial" w:hAnsi="Arial" w:cs="Arial"/>
          <w:sz w:val="22"/>
          <w:szCs w:val="22"/>
        </w:rPr>
        <w:t>(2), p.22.</w:t>
      </w:r>
    </w:p>
    <w:p w14:paraId="1D6F7FAF"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lastRenderedPageBreak/>
        <w:t>Guldemond, N., 2024. What is meant by ‘integrated personalized diabetes management’: A view into the future and what success should look like. </w:t>
      </w:r>
      <w:r w:rsidRPr="00C05B2A">
        <w:rPr>
          <w:rFonts w:ascii="Arial" w:hAnsi="Arial" w:cs="Arial"/>
          <w:i/>
          <w:iCs/>
          <w:sz w:val="22"/>
          <w:szCs w:val="22"/>
        </w:rPr>
        <w:t>Diabetes, Obesity and Metabolism</w:t>
      </w:r>
      <w:r w:rsidRPr="00C05B2A">
        <w:rPr>
          <w:rFonts w:ascii="Arial" w:hAnsi="Arial" w:cs="Arial"/>
          <w:sz w:val="22"/>
          <w:szCs w:val="22"/>
        </w:rPr>
        <w:t>, </w:t>
      </w:r>
      <w:r w:rsidRPr="00C05B2A">
        <w:rPr>
          <w:rFonts w:ascii="Arial" w:hAnsi="Arial" w:cs="Arial"/>
          <w:i/>
          <w:iCs/>
          <w:sz w:val="22"/>
          <w:szCs w:val="22"/>
        </w:rPr>
        <w:t>26</w:t>
      </w:r>
      <w:r w:rsidRPr="00C05B2A">
        <w:rPr>
          <w:rFonts w:ascii="Arial" w:hAnsi="Arial" w:cs="Arial"/>
          <w:sz w:val="22"/>
          <w:szCs w:val="22"/>
        </w:rPr>
        <w:t>, pp.14-29.</w:t>
      </w:r>
    </w:p>
    <w:p w14:paraId="598217C4"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 xml:space="preserve">Li, N., Dong, Y. and Zhang, G., 2024. County-level integrated healthcare practice in </w:t>
      </w:r>
      <w:proofErr w:type="spellStart"/>
      <w:r w:rsidRPr="00C05B2A">
        <w:rPr>
          <w:rFonts w:ascii="Arial" w:hAnsi="Arial" w:cs="Arial"/>
          <w:sz w:val="22"/>
          <w:szCs w:val="22"/>
        </w:rPr>
        <w:t>china</w:t>
      </w:r>
      <w:proofErr w:type="spellEnd"/>
      <w:r w:rsidRPr="00C05B2A">
        <w:rPr>
          <w:rFonts w:ascii="Arial" w:hAnsi="Arial" w:cs="Arial"/>
          <w:sz w:val="22"/>
          <w:szCs w:val="22"/>
        </w:rPr>
        <w:t xml:space="preserve">: a kaiser </w:t>
      </w:r>
      <w:proofErr w:type="spellStart"/>
      <w:r w:rsidRPr="00C05B2A">
        <w:rPr>
          <w:rFonts w:ascii="Arial" w:hAnsi="Arial" w:cs="Arial"/>
          <w:sz w:val="22"/>
          <w:szCs w:val="22"/>
        </w:rPr>
        <w:t>permanente</w:t>
      </w:r>
      <w:proofErr w:type="spellEnd"/>
      <w:r w:rsidRPr="00C05B2A">
        <w:rPr>
          <w:rFonts w:ascii="Arial" w:hAnsi="Arial" w:cs="Arial"/>
          <w:sz w:val="22"/>
          <w:szCs w:val="22"/>
        </w:rPr>
        <w:t>-inspired approach. </w:t>
      </w:r>
      <w:r w:rsidRPr="00C05B2A">
        <w:rPr>
          <w:rFonts w:ascii="Arial" w:hAnsi="Arial" w:cs="Arial"/>
          <w:i/>
          <w:iCs/>
          <w:sz w:val="22"/>
          <w:szCs w:val="22"/>
        </w:rPr>
        <w:t>International Journal of Integrated Care</w:t>
      </w:r>
      <w:r w:rsidRPr="00C05B2A">
        <w:rPr>
          <w:rFonts w:ascii="Arial" w:hAnsi="Arial" w:cs="Arial"/>
          <w:sz w:val="22"/>
          <w:szCs w:val="22"/>
        </w:rPr>
        <w:t>, </w:t>
      </w:r>
      <w:r w:rsidRPr="00C05B2A">
        <w:rPr>
          <w:rFonts w:ascii="Arial" w:hAnsi="Arial" w:cs="Arial"/>
          <w:i/>
          <w:iCs/>
          <w:sz w:val="22"/>
          <w:szCs w:val="22"/>
        </w:rPr>
        <w:t>24</w:t>
      </w:r>
      <w:r w:rsidRPr="00C05B2A">
        <w:rPr>
          <w:rFonts w:ascii="Arial" w:hAnsi="Arial" w:cs="Arial"/>
          <w:sz w:val="22"/>
          <w:szCs w:val="22"/>
        </w:rPr>
        <w:t>(4), p.18.</w:t>
      </w:r>
    </w:p>
    <w:p w14:paraId="6ED6A712"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Olson, A.W. and Burns, A.L., 2023. From patient centered to person centered: The pharmacist’s role and value in community-integrated care transformation. </w:t>
      </w:r>
      <w:r w:rsidRPr="00C05B2A">
        <w:rPr>
          <w:rFonts w:ascii="Arial" w:hAnsi="Arial" w:cs="Arial"/>
          <w:i/>
          <w:iCs/>
          <w:sz w:val="22"/>
          <w:szCs w:val="22"/>
        </w:rPr>
        <w:t>Journal of the American Pharmacists Association</w:t>
      </w:r>
      <w:r w:rsidRPr="00C05B2A">
        <w:rPr>
          <w:rFonts w:ascii="Arial" w:hAnsi="Arial" w:cs="Arial"/>
          <w:sz w:val="22"/>
          <w:szCs w:val="22"/>
        </w:rPr>
        <w:t>, </w:t>
      </w:r>
      <w:r w:rsidRPr="00C05B2A">
        <w:rPr>
          <w:rFonts w:ascii="Arial" w:hAnsi="Arial" w:cs="Arial"/>
          <w:i/>
          <w:iCs/>
          <w:sz w:val="22"/>
          <w:szCs w:val="22"/>
        </w:rPr>
        <w:t>63</w:t>
      </w:r>
      <w:r w:rsidRPr="00C05B2A">
        <w:rPr>
          <w:rFonts w:ascii="Arial" w:hAnsi="Arial" w:cs="Arial"/>
          <w:sz w:val="22"/>
          <w:szCs w:val="22"/>
        </w:rPr>
        <w:t>(3), pp.736-741.</w:t>
      </w:r>
    </w:p>
    <w:p w14:paraId="3BD45AD2" w14:textId="77777777" w:rsidR="00692BD4" w:rsidRPr="00C05B2A" w:rsidRDefault="00692BD4" w:rsidP="00A5714B">
      <w:pPr>
        <w:spacing w:line="480" w:lineRule="auto"/>
        <w:jc w:val="both"/>
        <w:rPr>
          <w:rFonts w:ascii="Arial" w:hAnsi="Arial" w:cs="Arial"/>
          <w:sz w:val="22"/>
          <w:szCs w:val="22"/>
        </w:rPr>
      </w:pPr>
      <w:proofErr w:type="spellStart"/>
      <w:r w:rsidRPr="00C05B2A">
        <w:rPr>
          <w:rFonts w:ascii="Arial" w:hAnsi="Arial" w:cs="Arial"/>
          <w:sz w:val="22"/>
          <w:szCs w:val="22"/>
        </w:rPr>
        <w:t>Pastakia</w:t>
      </w:r>
      <w:proofErr w:type="spellEnd"/>
      <w:r w:rsidRPr="00C05B2A">
        <w:rPr>
          <w:rFonts w:ascii="Arial" w:hAnsi="Arial" w:cs="Arial"/>
          <w:sz w:val="22"/>
          <w:szCs w:val="22"/>
        </w:rPr>
        <w:t xml:space="preserve">, S.D., Clark, A., Lewis, K., Taugher, D., Adeoye-Olatunde, O., Byrd, K., Johnson, K., Gonzales, A.M., </w:t>
      </w:r>
      <w:proofErr w:type="spellStart"/>
      <w:r w:rsidRPr="00C05B2A">
        <w:rPr>
          <w:rFonts w:ascii="Arial" w:hAnsi="Arial" w:cs="Arial"/>
          <w:sz w:val="22"/>
          <w:szCs w:val="22"/>
        </w:rPr>
        <w:t>Tossoun</w:t>
      </w:r>
      <w:proofErr w:type="spellEnd"/>
      <w:r w:rsidRPr="00C05B2A">
        <w:rPr>
          <w:rFonts w:ascii="Arial" w:hAnsi="Arial" w:cs="Arial"/>
          <w:sz w:val="22"/>
          <w:szCs w:val="22"/>
        </w:rPr>
        <w:t>, N., Cortez, D. and Mata, A., 2025. Impact of philanthropic investment on integrating social determinants of health into diabetes care at US federally qualified health centers. </w:t>
      </w:r>
      <w:r w:rsidRPr="00C05B2A">
        <w:rPr>
          <w:rFonts w:ascii="Arial" w:hAnsi="Arial" w:cs="Arial"/>
          <w:i/>
          <w:iCs/>
          <w:sz w:val="22"/>
          <w:szCs w:val="22"/>
        </w:rPr>
        <w:t>Dialogues in Health</w:t>
      </w:r>
      <w:r w:rsidRPr="00C05B2A">
        <w:rPr>
          <w:rFonts w:ascii="Arial" w:hAnsi="Arial" w:cs="Arial"/>
          <w:sz w:val="22"/>
          <w:szCs w:val="22"/>
        </w:rPr>
        <w:t>, p.100248.</w:t>
      </w:r>
    </w:p>
    <w:p w14:paraId="5CACF8BD" w14:textId="7777777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 xml:space="preserve">Racey, M., Whitmore, C., Alliston, P., Cafazzo, J.A., Crawford, A., Castle, D., Dragonetti, R., Fitzpatrick-Lewis, D., </w:t>
      </w:r>
      <w:proofErr w:type="spellStart"/>
      <w:r w:rsidRPr="00C05B2A">
        <w:rPr>
          <w:rFonts w:ascii="Arial" w:hAnsi="Arial" w:cs="Arial"/>
          <w:sz w:val="22"/>
          <w:szCs w:val="22"/>
        </w:rPr>
        <w:t>Jovkovic</w:t>
      </w:r>
      <w:proofErr w:type="spellEnd"/>
      <w:r w:rsidRPr="00C05B2A">
        <w:rPr>
          <w:rFonts w:ascii="Arial" w:hAnsi="Arial" w:cs="Arial"/>
          <w:sz w:val="22"/>
          <w:szCs w:val="22"/>
        </w:rPr>
        <w:t>, M., Melamed, O.C. and Naeem, F., 2023. Technology-supported integrated care innovations to support diabetes and mental health care: scoping review. </w:t>
      </w:r>
      <w:r w:rsidRPr="00C05B2A">
        <w:rPr>
          <w:rFonts w:ascii="Arial" w:hAnsi="Arial" w:cs="Arial"/>
          <w:i/>
          <w:iCs/>
          <w:sz w:val="22"/>
          <w:szCs w:val="22"/>
        </w:rPr>
        <w:t>JMIR diabetes</w:t>
      </w:r>
      <w:r w:rsidRPr="00C05B2A">
        <w:rPr>
          <w:rFonts w:ascii="Arial" w:hAnsi="Arial" w:cs="Arial"/>
          <w:sz w:val="22"/>
          <w:szCs w:val="22"/>
        </w:rPr>
        <w:t>, </w:t>
      </w:r>
      <w:r w:rsidRPr="00C05B2A">
        <w:rPr>
          <w:rFonts w:ascii="Arial" w:hAnsi="Arial" w:cs="Arial"/>
          <w:i/>
          <w:iCs/>
          <w:sz w:val="22"/>
          <w:szCs w:val="22"/>
        </w:rPr>
        <w:t>8</w:t>
      </w:r>
      <w:r w:rsidRPr="00C05B2A">
        <w:rPr>
          <w:rFonts w:ascii="Arial" w:hAnsi="Arial" w:cs="Arial"/>
          <w:sz w:val="22"/>
          <w:szCs w:val="22"/>
        </w:rPr>
        <w:t>(1), p.e44652.</w:t>
      </w:r>
    </w:p>
    <w:p w14:paraId="11DEB06E" w14:textId="48960497" w:rsidR="00692BD4" w:rsidRPr="00C05B2A" w:rsidRDefault="00692BD4" w:rsidP="00A5714B">
      <w:pPr>
        <w:spacing w:line="480" w:lineRule="auto"/>
        <w:jc w:val="both"/>
        <w:rPr>
          <w:rFonts w:ascii="Arial" w:hAnsi="Arial" w:cs="Arial"/>
          <w:sz w:val="22"/>
          <w:szCs w:val="22"/>
        </w:rPr>
      </w:pPr>
      <w:r w:rsidRPr="00C05B2A">
        <w:rPr>
          <w:rFonts w:ascii="Arial" w:hAnsi="Arial" w:cs="Arial"/>
          <w:sz w:val="22"/>
          <w:szCs w:val="22"/>
        </w:rPr>
        <w:t>Stojnić, N., Klemenc-</w:t>
      </w:r>
      <w:proofErr w:type="spellStart"/>
      <w:r w:rsidRPr="00C05B2A">
        <w:rPr>
          <w:rFonts w:ascii="Arial" w:hAnsi="Arial" w:cs="Arial"/>
          <w:sz w:val="22"/>
          <w:szCs w:val="22"/>
        </w:rPr>
        <w:t>Ketiš</w:t>
      </w:r>
      <w:proofErr w:type="spellEnd"/>
      <w:r w:rsidRPr="00C05B2A">
        <w:rPr>
          <w:rFonts w:ascii="Arial" w:hAnsi="Arial" w:cs="Arial"/>
          <w:sz w:val="22"/>
          <w:szCs w:val="22"/>
        </w:rPr>
        <w:t xml:space="preserve">, Z., Mori Lukančič, M., </w:t>
      </w:r>
      <w:proofErr w:type="spellStart"/>
      <w:r w:rsidRPr="00C05B2A">
        <w:rPr>
          <w:rFonts w:ascii="Arial" w:hAnsi="Arial" w:cs="Arial"/>
          <w:sz w:val="22"/>
          <w:szCs w:val="22"/>
        </w:rPr>
        <w:t>Zavrnik</w:t>
      </w:r>
      <w:proofErr w:type="spellEnd"/>
      <w:r w:rsidRPr="00C05B2A">
        <w:rPr>
          <w:rFonts w:ascii="Arial" w:hAnsi="Arial" w:cs="Arial"/>
          <w:sz w:val="22"/>
          <w:szCs w:val="22"/>
        </w:rPr>
        <w:t xml:space="preserve">, Č. and </w:t>
      </w:r>
      <w:proofErr w:type="spellStart"/>
      <w:r w:rsidRPr="00C05B2A">
        <w:rPr>
          <w:rFonts w:ascii="Arial" w:hAnsi="Arial" w:cs="Arial"/>
          <w:sz w:val="22"/>
          <w:szCs w:val="22"/>
        </w:rPr>
        <w:t>Poplas</w:t>
      </w:r>
      <w:proofErr w:type="spellEnd"/>
      <w:r w:rsidRPr="00C05B2A">
        <w:rPr>
          <w:rFonts w:ascii="Arial" w:hAnsi="Arial" w:cs="Arial"/>
          <w:sz w:val="22"/>
          <w:szCs w:val="22"/>
        </w:rPr>
        <w:t xml:space="preserve"> Susič, A., 2023. Perceptions of the primary health care team about the implementation of integrated care of patients with type 2 diabetes and hypertension in Slovenia: qualitative study. </w:t>
      </w:r>
      <w:r w:rsidRPr="00C05B2A">
        <w:rPr>
          <w:rFonts w:ascii="Arial" w:hAnsi="Arial" w:cs="Arial"/>
          <w:i/>
          <w:iCs/>
          <w:sz w:val="22"/>
          <w:szCs w:val="22"/>
        </w:rPr>
        <w:t>BMC health services research</w:t>
      </w:r>
      <w:r w:rsidRPr="00C05B2A">
        <w:rPr>
          <w:rFonts w:ascii="Arial" w:hAnsi="Arial" w:cs="Arial"/>
          <w:sz w:val="22"/>
          <w:szCs w:val="22"/>
        </w:rPr>
        <w:t>, </w:t>
      </w:r>
      <w:r w:rsidRPr="00C05B2A">
        <w:rPr>
          <w:rFonts w:ascii="Arial" w:hAnsi="Arial" w:cs="Arial"/>
          <w:i/>
          <w:iCs/>
          <w:sz w:val="22"/>
          <w:szCs w:val="22"/>
        </w:rPr>
        <w:t>23</w:t>
      </w:r>
      <w:r w:rsidRPr="00C05B2A">
        <w:rPr>
          <w:rFonts w:ascii="Arial" w:hAnsi="Arial" w:cs="Arial"/>
          <w:sz w:val="22"/>
          <w:szCs w:val="22"/>
        </w:rPr>
        <w:t>(1), p.362.</w:t>
      </w:r>
    </w:p>
    <w:sectPr w:rsidR="00692BD4" w:rsidRPr="00C05B2A" w:rsidSect="00692BD4">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1B513" w14:textId="77777777" w:rsidR="00E50E2D" w:rsidRDefault="00E50E2D" w:rsidP="00692BD4">
      <w:r>
        <w:separator/>
      </w:r>
    </w:p>
  </w:endnote>
  <w:endnote w:type="continuationSeparator" w:id="0">
    <w:p w14:paraId="4B03B259" w14:textId="77777777" w:rsidR="00E50E2D" w:rsidRDefault="00E50E2D" w:rsidP="00692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rPr>
      <w:id w:val="103315964"/>
      <w:docPartObj>
        <w:docPartGallery w:val="Page Numbers (Bottom of Page)"/>
        <w:docPartUnique/>
      </w:docPartObj>
    </w:sdtPr>
    <w:sdtEndPr>
      <w:rPr>
        <w:noProof/>
      </w:rPr>
    </w:sdtEndPr>
    <w:sdtContent>
      <w:p w14:paraId="0B35C41F" w14:textId="1F55A0F6" w:rsidR="00692BD4" w:rsidRPr="003A625F" w:rsidRDefault="00692BD4" w:rsidP="003A625F">
        <w:pPr>
          <w:pStyle w:val="Footer"/>
          <w:jc w:val="right"/>
          <w:rPr>
            <w:rFonts w:ascii="Arial" w:hAnsi="Arial" w:cs="Arial"/>
            <w:sz w:val="20"/>
          </w:rPr>
        </w:pPr>
        <w:r w:rsidRPr="003A625F">
          <w:rPr>
            <w:rFonts w:ascii="Arial" w:hAnsi="Arial" w:cs="Arial"/>
            <w:sz w:val="20"/>
          </w:rPr>
          <w:fldChar w:fldCharType="begin"/>
        </w:r>
        <w:r w:rsidRPr="003A625F">
          <w:rPr>
            <w:rFonts w:ascii="Arial" w:hAnsi="Arial" w:cs="Arial"/>
            <w:sz w:val="20"/>
          </w:rPr>
          <w:instrText xml:space="preserve"> PAGE   \* MERGEFORMAT </w:instrText>
        </w:r>
        <w:r w:rsidRPr="003A625F">
          <w:rPr>
            <w:rFonts w:ascii="Arial" w:hAnsi="Arial" w:cs="Arial"/>
            <w:sz w:val="20"/>
          </w:rPr>
          <w:fldChar w:fldCharType="separate"/>
        </w:r>
        <w:r w:rsidR="003A625F">
          <w:rPr>
            <w:rFonts w:ascii="Arial" w:hAnsi="Arial" w:cs="Arial"/>
            <w:noProof/>
            <w:sz w:val="20"/>
          </w:rPr>
          <w:t>5</w:t>
        </w:r>
        <w:r w:rsidRPr="003A625F">
          <w:rPr>
            <w:rFonts w:ascii="Arial" w:hAnsi="Arial" w:cs="Arial"/>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89099" w14:textId="77777777" w:rsidR="00E50E2D" w:rsidRDefault="00E50E2D" w:rsidP="00692BD4">
      <w:r>
        <w:separator/>
      </w:r>
    </w:p>
  </w:footnote>
  <w:footnote w:type="continuationSeparator" w:id="0">
    <w:p w14:paraId="55678DDE" w14:textId="77777777" w:rsidR="00E50E2D" w:rsidRDefault="00E50E2D" w:rsidP="00692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D31C8"/>
    <w:multiLevelType w:val="multilevel"/>
    <w:tmpl w:val="03761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33953"/>
    <w:multiLevelType w:val="multilevel"/>
    <w:tmpl w:val="A350D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E57E64"/>
    <w:multiLevelType w:val="multilevel"/>
    <w:tmpl w:val="150254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0244A"/>
    <w:multiLevelType w:val="multilevel"/>
    <w:tmpl w:val="B0064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044A26"/>
    <w:multiLevelType w:val="multilevel"/>
    <w:tmpl w:val="8EBA21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F64D98"/>
    <w:multiLevelType w:val="multilevel"/>
    <w:tmpl w:val="EB885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270093"/>
    <w:multiLevelType w:val="multilevel"/>
    <w:tmpl w:val="52782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8459EC"/>
    <w:multiLevelType w:val="multilevel"/>
    <w:tmpl w:val="18CC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EC457C"/>
    <w:multiLevelType w:val="multilevel"/>
    <w:tmpl w:val="D2E63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9E6FFB"/>
    <w:multiLevelType w:val="multilevel"/>
    <w:tmpl w:val="6CD6A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3504B6"/>
    <w:multiLevelType w:val="multilevel"/>
    <w:tmpl w:val="D20E2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15002F"/>
    <w:multiLevelType w:val="multilevel"/>
    <w:tmpl w:val="6E229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762F96"/>
    <w:multiLevelType w:val="multilevel"/>
    <w:tmpl w:val="B49A2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CE5C6C"/>
    <w:multiLevelType w:val="multilevel"/>
    <w:tmpl w:val="C3D0B3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2338FB"/>
    <w:multiLevelType w:val="multilevel"/>
    <w:tmpl w:val="739C8F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760890"/>
    <w:multiLevelType w:val="multilevel"/>
    <w:tmpl w:val="7618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C2462B"/>
    <w:multiLevelType w:val="multilevel"/>
    <w:tmpl w:val="21C61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9C7303"/>
    <w:multiLevelType w:val="multilevel"/>
    <w:tmpl w:val="1D5813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F95DEC"/>
    <w:multiLevelType w:val="multilevel"/>
    <w:tmpl w:val="005294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B0A7E1B"/>
    <w:multiLevelType w:val="multilevel"/>
    <w:tmpl w:val="26284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622754"/>
    <w:multiLevelType w:val="multilevel"/>
    <w:tmpl w:val="14705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1374F2"/>
    <w:multiLevelType w:val="multilevel"/>
    <w:tmpl w:val="5C1C3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9A4098"/>
    <w:multiLevelType w:val="multilevel"/>
    <w:tmpl w:val="8D546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713BF9"/>
    <w:multiLevelType w:val="multilevel"/>
    <w:tmpl w:val="165AD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2C0787"/>
    <w:multiLevelType w:val="multilevel"/>
    <w:tmpl w:val="F782E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5F2700"/>
    <w:multiLevelType w:val="multilevel"/>
    <w:tmpl w:val="B52E1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6F784A"/>
    <w:multiLevelType w:val="multilevel"/>
    <w:tmpl w:val="23527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905700"/>
    <w:multiLevelType w:val="multilevel"/>
    <w:tmpl w:val="B25ADD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157914"/>
    <w:multiLevelType w:val="multilevel"/>
    <w:tmpl w:val="AB7C5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356119"/>
    <w:multiLevelType w:val="multilevel"/>
    <w:tmpl w:val="81F28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DE22437"/>
    <w:multiLevelType w:val="multilevel"/>
    <w:tmpl w:val="F024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3776150">
    <w:abstractNumId w:val="8"/>
  </w:num>
  <w:num w:numId="2" w16cid:durableId="711535309">
    <w:abstractNumId w:val="12"/>
  </w:num>
  <w:num w:numId="3" w16cid:durableId="1160852716">
    <w:abstractNumId w:val="24"/>
  </w:num>
  <w:num w:numId="4" w16cid:durableId="857042822">
    <w:abstractNumId w:val="23"/>
  </w:num>
  <w:num w:numId="5" w16cid:durableId="1500389958">
    <w:abstractNumId w:val="26"/>
  </w:num>
  <w:num w:numId="6" w16cid:durableId="663820249">
    <w:abstractNumId w:val="11"/>
  </w:num>
  <w:num w:numId="7" w16cid:durableId="685715998">
    <w:abstractNumId w:val="4"/>
  </w:num>
  <w:num w:numId="8" w16cid:durableId="1589732318">
    <w:abstractNumId w:val="27"/>
  </w:num>
  <w:num w:numId="9" w16cid:durableId="482891850">
    <w:abstractNumId w:val="20"/>
  </w:num>
  <w:num w:numId="10" w16cid:durableId="191304205">
    <w:abstractNumId w:val="28"/>
  </w:num>
  <w:num w:numId="11" w16cid:durableId="394940462">
    <w:abstractNumId w:val="22"/>
  </w:num>
  <w:num w:numId="12" w16cid:durableId="1996255114">
    <w:abstractNumId w:val="19"/>
  </w:num>
  <w:num w:numId="13" w16cid:durableId="1422868687">
    <w:abstractNumId w:val="15"/>
  </w:num>
  <w:num w:numId="14" w16cid:durableId="163403567">
    <w:abstractNumId w:val="16"/>
  </w:num>
  <w:num w:numId="15" w16cid:durableId="194541800">
    <w:abstractNumId w:val="18"/>
  </w:num>
  <w:num w:numId="16" w16cid:durableId="841698832">
    <w:abstractNumId w:val="2"/>
  </w:num>
  <w:num w:numId="17" w16cid:durableId="2024476526">
    <w:abstractNumId w:val="6"/>
  </w:num>
  <w:num w:numId="18" w16cid:durableId="1702048613">
    <w:abstractNumId w:val="30"/>
  </w:num>
  <w:num w:numId="19" w16cid:durableId="637027998">
    <w:abstractNumId w:val="9"/>
  </w:num>
  <w:num w:numId="20" w16cid:durableId="1932004559">
    <w:abstractNumId w:val="5"/>
  </w:num>
  <w:num w:numId="21" w16cid:durableId="2099935926">
    <w:abstractNumId w:val="17"/>
  </w:num>
  <w:num w:numId="22" w16cid:durableId="1317219738">
    <w:abstractNumId w:val="0"/>
  </w:num>
  <w:num w:numId="23" w16cid:durableId="1020400361">
    <w:abstractNumId w:val="1"/>
  </w:num>
  <w:num w:numId="24" w16cid:durableId="1642493768">
    <w:abstractNumId w:val="3"/>
  </w:num>
  <w:num w:numId="25" w16cid:durableId="552349373">
    <w:abstractNumId w:val="13"/>
  </w:num>
  <w:num w:numId="26" w16cid:durableId="1960600846">
    <w:abstractNumId w:val="21"/>
  </w:num>
  <w:num w:numId="27" w16cid:durableId="315036381">
    <w:abstractNumId w:val="14"/>
  </w:num>
  <w:num w:numId="28" w16cid:durableId="1898320467">
    <w:abstractNumId w:val="7"/>
  </w:num>
  <w:num w:numId="29" w16cid:durableId="1769957833">
    <w:abstractNumId w:val="10"/>
  </w:num>
  <w:num w:numId="30" w16cid:durableId="885797076">
    <w:abstractNumId w:val="29"/>
  </w:num>
  <w:num w:numId="31" w16cid:durableId="201144914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49EC"/>
    <w:rsid w:val="00013266"/>
    <w:rsid w:val="00077D47"/>
    <w:rsid w:val="00082D33"/>
    <w:rsid w:val="000A2E95"/>
    <w:rsid w:val="00166D81"/>
    <w:rsid w:val="00260195"/>
    <w:rsid w:val="002B51FE"/>
    <w:rsid w:val="002C7E72"/>
    <w:rsid w:val="002E7EE2"/>
    <w:rsid w:val="003A625F"/>
    <w:rsid w:val="00542784"/>
    <w:rsid w:val="005B0CB3"/>
    <w:rsid w:val="0065026A"/>
    <w:rsid w:val="00692BD4"/>
    <w:rsid w:val="00696420"/>
    <w:rsid w:val="006C5081"/>
    <w:rsid w:val="007626F5"/>
    <w:rsid w:val="00853100"/>
    <w:rsid w:val="008749EC"/>
    <w:rsid w:val="008974B2"/>
    <w:rsid w:val="009176F3"/>
    <w:rsid w:val="00925C65"/>
    <w:rsid w:val="009E4937"/>
    <w:rsid w:val="00A5714B"/>
    <w:rsid w:val="00A911C1"/>
    <w:rsid w:val="00A95DC8"/>
    <w:rsid w:val="00B10429"/>
    <w:rsid w:val="00BC056B"/>
    <w:rsid w:val="00BD629D"/>
    <w:rsid w:val="00C05B2A"/>
    <w:rsid w:val="00C16900"/>
    <w:rsid w:val="00C36D91"/>
    <w:rsid w:val="00CF4AA0"/>
    <w:rsid w:val="00D00670"/>
    <w:rsid w:val="00D76185"/>
    <w:rsid w:val="00DB79FC"/>
    <w:rsid w:val="00E50E2D"/>
    <w:rsid w:val="00E9104B"/>
    <w:rsid w:val="00E96835"/>
    <w:rsid w:val="00ED0AC1"/>
    <w:rsid w:val="00FA2FD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93F6F"/>
  <w15:chartTrackingRefBased/>
  <w15:docId w15:val="{CE9CC1FF-8984-4405-B7D0-B181FCC92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629D"/>
    <w:pPr>
      <w:spacing w:after="0" w:line="240" w:lineRule="auto"/>
    </w:pPr>
    <w:rPr>
      <w:rFonts w:ascii="Times New Roman" w:eastAsia="Times New Roman" w:hAnsi="Times New Roman" w:cs="Times New Roman"/>
      <w:kern w:val="0"/>
    </w:rPr>
  </w:style>
  <w:style w:type="paragraph" w:styleId="Heading1">
    <w:name w:val="heading 1"/>
    <w:basedOn w:val="Normal"/>
    <w:next w:val="Normal"/>
    <w:link w:val="Heading1Char"/>
    <w:uiPriority w:val="9"/>
    <w:qFormat/>
    <w:rsid w:val="00A5714B"/>
    <w:pPr>
      <w:keepNext/>
      <w:keepLines/>
      <w:spacing w:before="120" w:after="120" w:line="360" w:lineRule="auto"/>
      <w:jc w:val="both"/>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unhideWhenUsed/>
    <w:qFormat/>
    <w:rsid w:val="00A5714B"/>
    <w:pPr>
      <w:keepNext/>
      <w:keepLines/>
      <w:spacing w:before="120" w:after="120" w:line="360" w:lineRule="auto"/>
      <w:jc w:val="both"/>
      <w:outlineLvl w:val="1"/>
    </w:pPr>
    <w:rPr>
      <w:rFonts w:asciiTheme="majorHAnsi" w:eastAsiaTheme="majorEastAsia" w:hAnsiTheme="majorHAnsi" w:cstheme="majorBidi"/>
      <w:b/>
      <w:sz w:val="26"/>
      <w:szCs w:val="32"/>
    </w:rPr>
  </w:style>
  <w:style w:type="paragraph" w:styleId="Heading3">
    <w:name w:val="heading 3"/>
    <w:basedOn w:val="Normal"/>
    <w:next w:val="Normal"/>
    <w:link w:val="Heading3Char"/>
    <w:uiPriority w:val="9"/>
    <w:semiHidden/>
    <w:unhideWhenUsed/>
    <w:qFormat/>
    <w:rsid w:val="008749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49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49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49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49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49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49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14B"/>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A5714B"/>
    <w:rPr>
      <w:rFonts w:asciiTheme="majorHAnsi" w:eastAsiaTheme="majorEastAsia" w:hAnsiTheme="majorHAnsi" w:cstheme="majorBidi"/>
      <w:b/>
      <w:sz w:val="26"/>
      <w:szCs w:val="32"/>
    </w:rPr>
  </w:style>
  <w:style w:type="character" w:customStyle="1" w:styleId="Heading3Char">
    <w:name w:val="Heading 3 Char"/>
    <w:basedOn w:val="DefaultParagraphFont"/>
    <w:link w:val="Heading3"/>
    <w:uiPriority w:val="9"/>
    <w:semiHidden/>
    <w:rsid w:val="00874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4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4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4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4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4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49EC"/>
    <w:rPr>
      <w:rFonts w:eastAsiaTheme="majorEastAsia" w:cstheme="majorBidi"/>
      <w:color w:val="272727" w:themeColor="text1" w:themeTint="D8"/>
    </w:rPr>
  </w:style>
  <w:style w:type="paragraph" w:styleId="Title">
    <w:name w:val="Title"/>
    <w:basedOn w:val="Normal"/>
    <w:next w:val="Normal"/>
    <w:link w:val="TitleChar"/>
    <w:uiPriority w:val="10"/>
    <w:qFormat/>
    <w:rsid w:val="008749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4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49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4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49EC"/>
    <w:pPr>
      <w:spacing w:before="160"/>
      <w:jc w:val="center"/>
    </w:pPr>
    <w:rPr>
      <w:i/>
      <w:iCs/>
      <w:color w:val="404040" w:themeColor="text1" w:themeTint="BF"/>
    </w:rPr>
  </w:style>
  <w:style w:type="character" w:customStyle="1" w:styleId="QuoteChar">
    <w:name w:val="Quote Char"/>
    <w:basedOn w:val="DefaultParagraphFont"/>
    <w:link w:val="Quote"/>
    <w:uiPriority w:val="29"/>
    <w:rsid w:val="008749EC"/>
    <w:rPr>
      <w:i/>
      <w:iCs/>
      <w:color w:val="404040" w:themeColor="text1" w:themeTint="BF"/>
    </w:rPr>
  </w:style>
  <w:style w:type="paragraph" w:styleId="ListParagraph">
    <w:name w:val="List Paragraph"/>
    <w:basedOn w:val="Normal"/>
    <w:uiPriority w:val="34"/>
    <w:qFormat/>
    <w:rsid w:val="008749EC"/>
    <w:pPr>
      <w:ind w:left="720"/>
      <w:contextualSpacing/>
    </w:pPr>
  </w:style>
  <w:style w:type="character" w:styleId="IntenseEmphasis">
    <w:name w:val="Intense Emphasis"/>
    <w:basedOn w:val="DefaultParagraphFont"/>
    <w:uiPriority w:val="21"/>
    <w:qFormat/>
    <w:rsid w:val="008749EC"/>
    <w:rPr>
      <w:i/>
      <w:iCs/>
      <w:color w:val="0F4761" w:themeColor="accent1" w:themeShade="BF"/>
    </w:rPr>
  </w:style>
  <w:style w:type="paragraph" w:styleId="IntenseQuote">
    <w:name w:val="Intense Quote"/>
    <w:basedOn w:val="Normal"/>
    <w:next w:val="Normal"/>
    <w:link w:val="IntenseQuoteChar"/>
    <w:uiPriority w:val="30"/>
    <w:qFormat/>
    <w:rsid w:val="008749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49EC"/>
    <w:rPr>
      <w:i/>
      <w:iCs/>
      <w:color w:val="0F4761" w:themeColor="accent1" w:themeShade="BF"/>
    </w:rPr>
  </w:style>
  <w:style w:type="character" w:styleId="IntenseReference">
    <w:name w:val="Intense Reference"/>
    <w:basedOn w:val="DefaultParagraphFont"/>
    <w:uiPriority w:val="32"/>
    <w:qFormat/>
    <w:rsid w:val="008749EC"/>
    <w:rPr>
      <w:b/>
      <w:bCs/>
      <w:smallCaps/>
      <w:color w:val="0F4761" w:themeColor="accent1" w:themeShade="BF"/>
      <w:spacing w:val="5"/>
    </w:rPr>
  </w:style>
  <w:style w:type="table" w:styleId="TableGrid">
    <w:name w:val="Table Grid"/>
    <w:basedOn w:val="TableNormal"/>
    <w:uiPriority w:val="39"/>
    <w:rsid w:val="007626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2BD4"/>
    <w:pPr>
      <w:tabs>
        <w:tab w:val="center" w:pos="4680"/>
        <w:tab w:val="right" w:pos="9360"/>
      </w:tabs>
    </w:pPr>
  </w:style>
  <w:style w:type="character" w:customStyle="1" w:styleId="HeaderChar">
    <w:name w:val="Header Char"/>
    <w:basedOn w:val="DefaultParagraphFont"/>
    <w:link w:val="Header"/>
    <w:uiPriority w:val="99"/>
    <w:rsid w:val="00692BD4"/>
  </w:style>
  <w:style w:type="paragraph" w:styleId="Footer">
    <w:name w:val="footer"/>
    <w:basedOn w:val="Normal"/>
    <w:link w:val="FooterChar"/>
    <w:uiPriority w:val="99"/>
    <w:unhideWhenUsed/>
    <w:rsid w:val="00692BD4"/>
    <w:pPr>
      <w:tabs>
        <w:tab w:val="center" w:pos="4680"/>
        <w:tab w:val="right" w:pos="9360"/>
      </w:tabs>
    </w:pPr>
  </w:style>
  <w:style w:type="character" w:customStyle="1" w:styleId="FooterChar">
    <w:name w:val="Footer Char"/>
    <w:basedOn w:val="DefaultParagraphFont"/>
    <w:link w:val="Footer"/>
    <w:uiPriority w:val="99"/>
    <w:rsid w:val="00692BD4"/>
  </w:style>
  <w:style w:type="paragraph" w:styleId="TOCHeading">
    <w:name w:val="TOC Heading"/>
    <w:basedOn w:val="Heading1"/>
    <w:next w:val="Normal"/>
    <w:uiPriority w:val="39"/>
    <w:unhideWhenUsed/>
    <w:qFormat/>
    <w:rsid w:val="00692BD4"/>
    <w:pPr>
      <w:spacing w:before="240" w:after="0" w:line="259" w:lineRule="auto"/>
      <w:jc w:val="left"/>
      <w:outlineLvl w:val="9"/>
    </w:pPr>
    <w:rPr>
      <w:rFonts w:asciiTheme="majorHAnsi" w:hAnsiTheme="majorHAnsi"/>
      <w:b w:val="0"/>
      <w:color w:val="0F4761" w:themeColor="accent1" w:themeShade="BF"/>
      <w:sz w:val="32"/>
      <w:szCs w:val="32"/>
    </w:rPr>
  </w:style>
  <w:style w:type="paragraph" w:styleId="TOC1">
    <w:name w:val="toc 1"/>
    <w:basedOn w:val="Normal"/>
    <w:next w:val="Normal"/>
    <w:autoRedefine/>
    <w:uiPriority w:val="39"/>
    <w:unhideWhenUsed/>
    <w:rsid w:val="00692BD4"/>
    <w:pPr>
      <w:spacing w:after="100"/>
    </w:pPr>
  </w:style>
  <w:style w:type="paragraph" w:styleId="TOC2">
    <w:name w:val="toc 2"/>
    <w:basedOn w:val="Normal"/>
    <w:next w:val="Normal"/>
    <w:autoRedefine/>
    <w:uiPriority w:val="39"/>
    <w:unhideWhenUsed/>
    <w:rsid w:val="00692BD4"/>
    <w:pPr>
      <w:spacing w:after="100"/>
      <w:ind w:left="240"/>
    </w:pPr>
  </w:style>
  <w:style w:type="character" w:styleId="Hyperlink">
    <w:name w:val="Hyperlink"/>
    <w:basedOn w:val="DefaultParagraphFont"/>
    <w:uiPriority w:val="99"/>
    <w:unhideWhenUsed/>
    <w:rsid w:val="00692BD4"/>
    <w:rPr>
      <w:color w:val="467886" w:themeColor="hyperlink"/>
      <w:u w:val="single"/>
    </w:rPr>
  </w:style>
  <w:style w:type="character" w:styleId="CommentReference">
    <w:name w:val="annotation reference"/>
    <w:basedOn w:val="DefaultParagraphFont"/>
    <w:uiPriority w:val="99"/>
    <w:semiHidden/>
    <w:unhideWhenUsed/>
    <w:rsid w:val="00077D47"/>
    <w:rPr>
      <w:sz w:val="16"/>
      <w:szCs w:val="16"/>
    </w:rPr>
  </w:style>
  <w:style w:type="paragraph" w:styleId="CommentText">
    <w:name w:val="annotation text"/>
    <w:basedOn w:val="Normal"/>
    <w:link w:val="CommentTextChar"/>
    <w:uiPriority w:val="99"/>
    <w:semiHidden/>
    <w:unhideWhenUsed/>
    <w:rsid w:val="00077D47"/>
    <w:rPr>
      <w:sz w:val="20"/>
      <w:szCs w:val="20"/>
    </w:rPr>
  </w:style>
  <w:style w:type="character" w:customStyle="1" w:styleId="CommentTextChar">
    <w:name w:val="Comment Text Char"/>
    <w:basedOn w:val="DefaultParagraphFont"/>
    <w:link w:val="CommentText"/>
    <w:uiPriority w:val="99"/>
    <w:semiHidden/>
    <w:rsid w:val="00077D47"/>
    <w:rPr>
      <w:sz w:val="20"/>
      <w:szCs w:val="20"/>
      <w:lang w:val="en-GB"/>
    </w:rPr>
  </w:style>
  <w:style w:type="paragraph" w:styleId="CommentSubject">
    <w:name w:val="annotation subject"/>
    <w:basedOn w:val="CommentText"/>
    <w:next w:val="CommentText"/>
    <w:link w:val="CommentSubjectChar"/>
    <w:uiPriority w:val="99"/>
    <w:semiHidden/>
    <w:unhideWhenUsed/>
    <w:rsid w:val="00077D47"/>
    <w:rPr>
      <w:b/>
      <w:bCs/>
    </w:rPr>
  </w:style>
  <w:style w:type="character" w:customStyle="1" w:styleId="CommentSubjectChar">
    <w:name w:val="Comment Subject Char"/>
    <w:basedOn w:val="CommentTextChar"/>
    <w:link w:val="CommentSubject"/>
    <w:uiPriority w:val="99"/>
    <w:semiHidden/>
    <w:rsid w:val="00077D47"/>
    <w:rPr>
      <w:b/>
      <w:bCs/>
      <w:sz w:val="20"/>
      <w:szCs w:val="20"/>
      <w:lang w:val="en-GB"/>
    </w:rPr>
  </w:style>
  <w:style w:type="paragraph" w:styleId="BalloonText">
    <w:name w:val="Balloon Text"/>
    <w:basedOn w:val="Normal"/>
    <w:link w:val="BalloonTextChar"/>
    <w:uiPriority w:val="99"/>
    <w:semiHidden/>
    <w:unhideWhenUsed/>
    <w:rsid w:val="00077D4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7D47"/>
    <w:rPr>
      <w:rFonts w:ascii="Segoe UI" w:hAnsi="Segoe UI" w:cs="Segoe UI"/>
      <w:sz w:val="18"/>
      <w:szCs w:val="18"/>
      <w:lang w:val="en-GB"/>
    </w:rPr>
  </w:style>
  <w:style w:type="paragraph" w:styleId="NormalWeb">
    <w:name w:val="Normal (Web)"/>
    <w:basedOn w:val="Normal"/>
    <w:uiPriority w:val="99"/>
    <w:unhideWhenUsed/>
    <w:rsid w:val="00077D4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066732">
      <w:bodyDiv w:val="1"/>
      <w:marLeft w:val="0"/>
      <w:marRight w:val="0"/>
      <w:marTop w:val="0"/>
      <w:marBottom w:val="0"/>
      <w:divBdr>
        <w:top w:val="none" w:sz="0" w:space="0" w:color="auto"/>
        <w:left w:val="none" w:sz="0" w:space="0" w:color="auto"/>
        <w:bottom w:val="none" w:sz="0" w:space="0" w:color="auto"/>
        <w:right w:val="none" w:sz="0" w:space="0" w:color="auto"/>
      </w:divBdr>
    </w:div>
    <w:div w:id="990791208">
      <w:bodyDiv w:val="1"/>
      <w:marLeft w:val="0"/>
      <w:marRight w:val="0"/>
      <w:marTop w:val="0"/>
      <w:marBottom w:val="0"/>
      <w:divBdr>
        <w:top w:val="none" w:sz="0" w:space="0" w:color="auto"/>
        <w:left w:val="none" w:sz="0" w:space="0" w:color="auto"/>
        <w:bottom w:val="none" w:sz="0" w:space="0" w:color="auto"/>
        <w:right w:val="none" w:sz="0" w:space="0" w:color="auto"/>
      </w:divBdr>
    </w:div>
    <w:div w:id="1185899571">
      <w:bodyDiv w:val="1"/>
      <w:marLeft w:val="0"/>
      <w:marRight w:val="0"/>
      <w:marTop w:val="0"/>
      <w:marBottom w:val="0"/>
      <w:divBdr>
        <w:top w:val="none" w:sz="0" w:space="0" w:color="auto"/>
        <w:left w:val="none" w:sz="0" w:space="0" w:color="auto"/>
        <w:bottom w:val="none" w:sz="0" w:space="0" w:color="auto"/>
        <w:right w:val="none" w:sz="0" w:space="0" w:color="auto"/>
      </w:divBdr>
    </w:div>
    <w:div w:id="1944068778">
      <w:bodyDiv w:val="1"/>
      <w:marLeft w:val="0"/>
      <w:marRight w:val="0"/>
      <w:marTop w:val="0"/>
      <w:marBottom w:val="0"/>
      <w:divBdr>
        <w:top w:val="none" w:sz="0" w:space="0" w:color="auto"/>
        <w:left w:val="none" w:sz="0" w:space="0" w:color="auto"/>
        <w:bottom w:val="none" w:sz="0" w:space="0" w:color="auto"/>
        <w:right w:val="none" w:sz="0" w:space="0" w:color="auto"/>
      </w:divBdr>
    </w:div>
    <w:div w:id="1978875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8BD4E7-BC16-4DAC-9741-7FB86CF87A0F}" type="doc">
      <dgm:prSet loTypeId="urn:microsoft.com/office/officeart/2005/8/layout/radial3" loCatId="cycle" qsTypeId="urn:microsoft.com/office/officeart/2005/8/quickstyle/simple1" qsCatId="simple" csTypeId="urn:microsoft.com/office/officeart/2005/8/colors/colorful1" csCatId="colorful" phldr="1"/>
      <dgm:spPr/>
      <dgm:t>
        <a:bodyPr/>
        <a:lstStyle/>
        <a:p>
          <a:endParaRPr lang="en-US"/>
        </a:p>
      </dgm:t>
    </dgm:pt>
    <dgm:pt modelId="{52740A77-3B1E-42FC-BD20-51ACCAC32298}">
      <dgm:prSet phldrT="[Text]" custT="1"/>
      <dgm:spPr/>
      <dgm:t>
        <a:bodyPr/>
        <a:lstStyle/>
        <a:p>
          <a:pPr algn="ctr"/>
          <a:r>
            <a:rPr lang="en-US" sz="1400" b="1">
              <a:latin typeface="Arial" panose="020B0604020202020204" pitchFamily="34" charset="0"/>
              <a:cs typeface="Arial" panose="020B0604020202020204" pitchFamily="34" charset="0"/>
            </a:rPr>
            <a:t>Gibbs' Reflective Cycle</a:t>
          </a:r>
        </a:p>
      </dgm:t>
    </dgm:pt>
    <dgm:pt modelId="{B60D964D-D008-403F-9AC1-D65C9007748B}" type="parTrans" cxnId="{7968B01B-119C-4B2D-B31B-B3BE47B02B53}">
      <dgm:prSet/>
      <dgm:spPr/>
      <dgm:t>
        <a:bodyPr/>
        <a:lstStyle/>
        <a:p>
          <a:pPr algn="ctr"/>
          <a:endParaRPr lang="en-US"/>
        </a:p>
      </dgm:t>
    </dgm:pt>
    <dgm:pt modelId="{A848CA11-BCB8-41B6-846A-2A62E94B9D22}" type="sibTrans" cxnId="{7968B01B-119C-4B2D-B31B-B3BE47B02B53}">
      <dgm:prSet/>
      <dgm:spPr/>
      <dgm:t>
        <a:bodyPr/>
        <a:lstStyle/>
        <a:p>
          <a:pPr algn="ctr"/>
          <a:endParaRPr lang="en-US"/>
        </a:p>
      </dgm:t>
    </dgm:pt>
    <dgm:pt modelId="{DF92E4F2-7ACB-4245-9B89-58C278AEB4A3}">
      <dgm:prSet phldrT="[Text]" custT="1"/>
      <dgm:spPr/>
      <dgm:t>
        <a:bodyPr/>
        <a:lstStyle/>
        <a:p>
          <a:pPr algn="ctr"/>
          <a:r>
            <a:rPr lang="en-US" sz="1000" b="1">
              <a:latin typeface="Arial" panose="020B0604020202020204" pitchFamily="34" charset="0"/>
              <a:cs typeface="Arial" panose="020B0604020202020204" pitchFamily="34" charset="0"/>
            </a:rPr>
            <a:t>Description</a:t>
          </a:r>
        </a:p>
      </dgm:t>
    </dgm:pt>
    <dgm:pt modelId="{18D9CF44-B1FA-41AB-9591-2F28FB345FD3}" type="parTrans" cxnId="{59C1CEF1-D0A3-43FC-8CE9-181B3686D0BA}">
      <dgm:prSet/>
      <dgm:spPr/>
      <dgm:t>
        <a:bodyPr/>
        <a:lstStyle/>
        <a:p>
          <a:pPr algn="ctr"/>
          <a:endParaRPr lang="en-US"/>
        </a:p>
      </dgm:t>
    </dgm:pt>
    <dgm:pt modelId="{AEA14A6D-13AC-4768-84CC-6253DF94B9B3}" type="sibTrans" cxnId="{59C1CEF1-D0A3-43FC-8CE9-181B3686D0BA}">
      <dgm:prSet/>
      <dgm:spPr/>
      <dgm:t>
        <a:bodyPr/>
        <a:lstStyle/>
        <a:p>
          <a:pPr algn="ctr"/>
          <a:endParaRPr lang="en-US"/>
        </a:p>
      </dgm:t>
    </dgm:pt>
    <dgm:pt modelId="{C94C1DA6-3EF2-4D28-B70C-FA96582F43C6}">
      <dgm:prSet phldrT="[Text]" custT="1"/>
      <dgm:spPr/>
      <dgm:t>
        <a:bodyPr/>
        <a:lstStyle/>
        <a:p>
          <a:pPr algn="ctr"/>
          <a:r>
            <a:rPr lang="en-US" sz="1200" b="1">
              <a:latin typeface="Arial" panose="020B0604020202020204" pitchFamily="34" charset="0"/>
              <a:cs typeface="Arial" panose="020B0604020202020204" pitchFamily="34" charset="0"/>
            </a:rPr>
            <a:t>Evaluation</a:t>
          </a:r>
        </a:p>
      </dgm:t>
    </dgm:pt>
    <dgm:pt modelId="{D1C78DCE-9A96-4D0F-AABF-165F5268346C}" type="parTrans" cxnId="{256811F9-C0CE-4504-836F-ABFB909F829B}">
      <dgm:prSet/>
      <dgm:spPr/>
      <dgm:t>
        <a:bodyPr/>
        <a:lstStyle/>
        <a:p>
          <a:pPr algn="ctr"/>
          <a:endParaRPr lang="en-US"/>
        </a:p>
      </dgm:t>
    </dgm:pt>
    <dgm:pt modelId="{89B8E2CA-F9DB-4895-AABF-129F01F67004}" type="sibTrans" cxnId="{256811F9-C0CE-4504-836F-ABFB909F829B}">
      <dgm:prSet/>
      <dgm:spPr/>
      <dgm:t>
        <a:bodyPr/>
        <a:lstStyle/>
        <a:p>
          <a:pPr algn="ctr"/>
          <a:endParaRPr lang="en-US"/>
        </a:p>
      </dgm:t>
    </dgm:pt>
    <dgm:pt modelId="{D7AAD354-0B4C-4482-A178-F78853FAF706}">
      <dgm:prSet phldrT="[Text]" custT="1"/>
      <dgm:spPr/>
      <dgm:t>
        <a:bodyPr/>
        <a:lstStyle/>
        <a:p>
          <a:pPr algn="ctr"/>
          <a:r>
            <a:rPr lang="en-US" sz="1200" b="1">
              <a:latin typeface="Arial" panose="020B0604020202020204" pitchFamily="34" charset="0"/>
              <a:cs typeface="Arial" panose="020B0604020202020204" pitchFamily="34" charset="0"/>
            </a:rPr>
            <a:t>Conclusion</a:t>
          </a:r>
        </a:p>
      </dgm:t>
    </dgm:pt>
    <dgm:pt modelId="{DF7C9576-2274-4F0B-B0F0-EAD7F5F8E13C}" type="parTrans" cxnId="{0CADAE21-C66F-40EF-81D0-5E0CA6A97DB6}">
      <dgm:prSet/>
      <dgm:spPr/>
      <dgm:t>
        <a:bodyPr/>
        <a:lstStyle/>
        <a:p>
          <a:pPr algn="ctr"/>
          <a:endParaRPr lang="en-US"/>
        </a:p>
      </dgm:t>
    </dgm:pt>
    <dgm:pt modelId="{41062A86-66B6-4F25-9FD2-AB44EC61DA28}" type="sibTrans" cxnId="{0CADAE21-C66F-40EF-81D0-5E0CA6A97DB6}">
      <dgm:prSet/>
      <dgm:spPr/>
      <dgm:t>
        <a:bodyPr/>
        <a:lstStyle/>
        <a:p>
          <a:pPr algn="ctr"/>
          <a:endParaRPr lang="en-US"/>
        </a:p>
      </dgm:t>
    </dgm:pt>
    <dgm:pt modelId="{493B2D10-E4ED-44B1-A26B-C777E874E39A}">
      <dgm:prSet phldrT="[Text]" custT="1"/>
      <dgm:spPr/>
      <dgm:t>
        <a:bodyPr/>
        <a:lstStyle/>
        <a:p>
          <a:pPr algn="ctr"/>
          <a:r>
            <a:rPr lang="en-US" sz="1200" b="1">
              <a:latin typeface="Arial" panose="020B0604020202020204" pitchFamily="34" charset="0"/>
              <a:cs typeface="Arial" panose="020B0604020202020204" pitchFamily="34" charset="0"/>
            </a:rPr>
            <a:t>Action plan</a:t>
          </a:r>
        </a:p>
      </dgm:t>
    </dgm:pt>
    <dgm:pt modelId="{9032B105-DB65-484E-94A4-236B11B67CD5}" type="parTrans" cxnId="{1B6E4550-60C6-4845-90AA-CFAB41A6B721}">
      <dgm:prSet/>
      <dgm:spPr/>
      <dgm:t>
        <a:bodyPr/>
        <a:lstStyle/>
        <a:p>
          <a:pPr algn="ctr"/>
          <a:endParaRPr lang="en-US"/>
        </a:p>
      </dgm:t>
    </dgm:pt>
    <dgm:pt modelId="{0FC9F550-85E7-4F63-8F43-3D29D0B9C955}" type="sibTrans" cxnId="{1B6E4550-60C6-4845-90AA-CFAB41A6B721}">
      <dgm:prSet/>
      <dgm:spPr/>
      <dgm:t>
        <a:bodyPr/>
        <a:lstStyle/>
        <a:p>
          <a:pPr algn="ctr"/>
          <a:endParaRPr lang="en-US"/>
        </a:p>
      </dgm:t>
    </dgm:pt>
    <dgm:pt modelId="{78533EFF-0AA7-48D0-AE31-C38CE691A0C2}">
      <dgm:prSet custT="1"/>
      <dgm:spPr/>
      <dgm:t>
        <a:bodyPr/>
        <a:lstStyle/>
        <a:p>
          <a:pPr algn="ctr"/>
          <a:r>
            <a:rPr lang="en-US" sz="1200" b="1">
              <a:latin typeface="Arial" panose="020B0604020202020204" pitchFamily="34" charset="0"/>
              <a:cs typeface="Arial" panose="020B0604020202020204" pitchFamily="34" charset="0"/>
            </a:rPr>
            <a:t>Feelings</a:t>
          </a:r>
        </a:p>
      </dgm:t>
    </dgm:pt>
    <dgm:pt modelId="{68A59BF0-623C-4342-86A2-A07113C027AE}" type="sibTrans" cxnId="{E2399F99-A7A0-4619-8EFD-865CB7A8DE43}">
      <dgm:prSet/>
      <dgm:spPr/>
      <dgm:t>
        <a:bodyPr/>
        <a:lstStyle/>
        <a:p>
          <a:pPr algn="ctr"/>
          <a:endParaRPr lang="en-US"/>
        </a:p>
      </dgm:t>
    </dgm:pt>
    <dgm:pt modelId="{DFF10C15-C530-4D31-87E4-8ABF52ACA2BD}" type="parTrans" cxnId="{E2399F99-A7A0-4619-8EFD-865CB7A8DE43}">
      <dgm:prSet/>
      <dgm:spPr/>
      <dgm:t>
        <a:bodyPr/>
        <a:lstStyle/>
        <a:p>
          <a:pPr algn="ctr"/>
          <a:endParaRPr lang="en-US"/>
        </a:p>
      </dgm:t>
    </dgm:pt>
    <dgm:pt modelId="{B70BABD7-3644-45B9-A129-F67B40376BE6}">
      <dgm:prSet custT="1"/>
      <dgm:spPr/>
      <dgm:t>
        <a:bodyPr/>
        <a:lstStyle/>
        <a:p>
          <a:r>
            <a:rPr lang="en-US" sz="1200" b="1">
              <a:latin typeface="Arial" panose="020B0604020202020204" pitchFamily="34" charset="0"/>
              <a:cs typeface="Arial" panose="020B0604020202020204" pitchFamily="34" charset="0"/>
            </a:rPr>
            <a:t>Analysis</a:t>
          </a:r>
        </a:p>
      </dgm:t>
    </dgm:pt>
    <dgm:pt modelId="{E49E5EBC-0AF7-490C-BEFB-3183E1286D7B}" type="parTrans" cxnId="{388B4BE4-6A1A-481A-930A-1A25E599FD5E}">
      <dgm:prSet/>
      <dgm:spPr/>
      <dgm:t>
        <a:bodyPr/>
        <a:lstStyle/>
        <a:p>
          <a:endParaRPr lang="en-US"/>
        </a:p>
      </dgm:t>
    </dgm:pt>
    <dgm:pt modelId="{1AADB3A6-33A7-46C0-B71E-002625D4E4F9}" type="sibTrans" cxnId="{388B4BE4-6A1A-481A-930A-1A25E599FD5E}">
      <dgm:prSet/>
      <dgm:spPr/>
      <dgm:t>
        <a:bodyPr/>
        <a:lstStyle/>
        <a:p>
          <a:endParaRPr lang="en-US"/>
        </a:p>
      </dgm:t>
    </dgm:pt>
    <dgm:pt modelId="{9C8E4A56-7D06-4FD1-936E-05E2F0D48B43}" type="pres">
      <dgm:prSet presAssocID="{318BD4E7-BC16-4DAC-9741-7FB86CF87A0F}" presName="composite" presStyleCnt="0">
        <dgm:presLayoutVars>
          <dgm:chMax val="1"/>
          <dgm:dir/>
          <dgm:resizeHandles val="exact"/>
        </dgm:presLayoutVars>
      </dgm:prSet>
      <dgm:spPr/>
    </dgm:pt>
    <dgm:pt modelId="{BF5286CB-2B38-4A92-9E55-CED50C49FEDB}" type="pres">
      <dgm:prSet presAssocID="{318BD4E7-BC16-4DAC-9741-7FB86CF87A0F}" presName="radial" presStyleCnt="0">
        <dgm:presLayoutVars>
          <dgm:animLvl val="ctr"/>
        </dgm:presLayoutVars>
      </dgm:prSet>
      <dgm:spPr/>
    </dgm:pt>
    <dgm:pt modelId="{4F6F3B7F-A1D8-4B8E-B171-6936DDCE314D}" type="pres">
      <dgm:prSet presAssocID="{52740A77-3B1E-42FC-BD20-51ACCAC32298}" presName="centerShape" presStyleLbl="vennNode1" presStyleIdx="0" presStyleCnt="7" custLinFactNeighborX="460" custLinFactNeighborY="1381"/>
      <dgm:spPr/>
    </dgm:pt>
    <dgm:pt modelId="{804391BC-958A-41E5-87DF-493C294CCD0D}" type="pres">
      <dgm:prSet presAssocID="{DF92E4F2-7ACB-4245-9B89-58C278AEB4A3}" presName="node" presStyleLbl="vennNode1" presStyleIdx="1" presStyleCnt="7">
        <dgm:presLayoutVars>
          <dgm:bulletEnabled val="1"/>
        </dgm:presLayoutVars>
      </dgm:prSet>
      <dgm:spPr/>
    </dgm:pt>
    <dgm:pt modelId="{B5C01237-A1E9-45F3-B392-532039E22410}" type="pres">
      <dgm:prSet presAssocID="{78533EFF-0AA7-48D0-AE31-C38CE691A0C2}" presName="node" presStyleLbl="vennNode1" presStyleIdx="2" presStyleCnt="7">
        <dgm:presLayoutVars>
          <dgm:bulletEnabled val="1"/>
        </dgm:presLayoutVars>
      </dgm:prSet>
      <dgm:spPr/>
    </dgm:pt>
    <dgm:pt modelId="{50B90531-ACD8-4E27-9493-0BF4E28BB7E7}" type="pres">
      <dgm:prSet presAssocID="{C94C1DA6-3EF2-4D28-B70C-FA96582F43C6}" presName="node" presStyleLbl="vennNode1" presStyleIdx="3" presStyleCnt="7">
        <dgm:presLayoutVars>
          <dgm:bulletEnabled val="1"/>
        </dgm:presLayoutVars>
      </dgm:prSet>
      <dgm:spPr/>
    </dgm:pt>
    <dgm:pt modelId="{E7D44A09-851C-4230-A801-8E97973296E2}" type="pres">
      <dgm:prSet presAssocID="{B70BABD7-3644-45B9-A129-F67B40376BE6}" presName="node" presStyleLbl="vennNode1" presStyleIdx="4" presStyleCnt="7">
        <dgm:presLayoutVars>
          <dgm:bulletEnabled val="1"/>
        </dgm:presLayoutVars>
      </dgm:prSet>
      <dgm:spPr/>
    </dgm:pt>
    <dgm:pt modelId="{72173D06-B66F-4726-BA2C-70DB432A8A84}" type="pres">
      <dgm:prSet presAssocID="{D7AAD354-0B4C-4482-A178-F78853FAF706}" presName="node" presStyleLbl="vennNode1" presStyleIdx="5" presStyleCnt="7" custScaleX="105751" custScaleY="104770">
        <dgm:presLayoutVars>
          <dgm:bulletEnabled val="1"/>
        </dgm:presLayoutVars>
      </dgm:prSet>
      <dgm:spPr/>
    </dgm:pt>
    <dgm:pt modelId="{5E9787E0-1FA2-4AAE-8285-9E72FB4CA984}" type="pres">
      <dgm:prSet presAssocID="{493B2D10-E4ED-44B1-A26B-C777E874E39A}" presName="node" presStyleLbl="vennNode1" presStyleIdx="6" presStyleCnt="7">
        <dgm:presLayoutVars>
          <dgm:bulletEnabled val="1"/>
        </dgm:presLayoutVars>
      </dgm:prSet>
      <dgm:spPr/>
    </dgm:pt>
  </dgm:ptLst>
  <dgm:cxnLst>
    <dgm:cxn modelId="{775C5D08-F08D-4770-BABA-7F0BA7C5475F}" type="presOf" srcId="{C94C1DA6-3EF2-4D28-B70C-FA96582F43C6}" destId="{50B90531-ACD8-4E27-9493-0BF4E28BB7E7}" srcOrd="0" destOrd="0" presId="urn:microsoft.com/office/officeart/2005/8/layout/radial3"/>
    <dgm:cxn modelId="{70CC4709-5290-4B45-861A-8110061ABE06}" type="presOf" srcId="{D7AAD354-0B4C-4482-A178-F78853FAF706}" destId="{72173D06-B66F-4726-BA2C-70DB432A8A84}" srcOrd="0" destOrd="0" presId="urn:microsoft.com/office/officeart/2005/8/layout/radial3"/>
    <dgm:cxn modelId="{7968B01B-119C-4B2D-B31B-B3BE47B02B53}" srcId="{318BD4E7-BC16-4DAC-9741-7FB86CF87A0F}" destId="{52740A77-3B1E-42FC-BD20-51ACCAC32298}" srcOrd="0" destOrd="0" parTransId="{B60D964D-D008-403F-9AC1-D65C9007748B}" sibTransId="{A848CA11-BCB8-41B6-846A-2A62E94B9D22}"/>
    <dgm:cxn modelId="{0CADAE21-C66F-40EF-81D0-5E0CA6A97DB6}" srcId="{52740A77-3B1E-42FC-BD20-51ACCAC32298}" destId="{D7AAD354-0B4C-4482-A178-F78853FAF706}" srcOrd="4" destOrd="0" parTransId="{DF7C9576-2274-4F0B-B0F0-EAD7F5F8E13C}" sibTransId="{41062A86-66B6-4F25-9FD2-AB44EC61DA28}"/>
    <dgm:cxn modelId="{B3804328-5C80-4979-837C-ED2FBCC7509B}" type="presOf" srcId="{318BD4E7-BC16-4DAC-9741-7FB86CF87A0F}" destId="{9C8E4A56-7D06-4FD1-936E-05E2F0D48B43}" srcOrd="0" destOrd="0" presId="urn:microsoft.com/office/officeart/2005/8/layout/radial3"/>
    <dgm:cxn modelId="{1B6E4550-60C6-4845-90AA-CFAB41A6B721}" srcId="{52740A77-3B1E-42FC-BD20-51ACCAC32298}" destId="{493B2D10-E4ED-44B1-A26B-C777E874E39A}" srcOrd="5" destOrd="0" parTransId="{9032B105-DB65-484E-94A4-236B11B67CD5}" sibTransId="{0FC9F550-85E7-4F63-8F43-3D29D0B9C955}"/>
    <dgm:cxn modelId="{DF897F96-F3FF-4EFC-B085-4048BDD89E4B}" type="presOf" srcId="{DF92E4F2-7ACB-4245-9B89-58C278AEB4A3}" destId="{804391BC-958A-41E5-87DF-493C294CCD0D}" srcOrd="0" destOrd="0" presId="urn:microsoft.com/office/officeart/2005/8/layout/radial3"/>
    <dgm:cxn modelId="{E2399F99-A7A0-4619-8EFD-865CB7A8DE43}" srcId="{52740A77-3B1E-42FC-BD20-51ACCAC32298}" destId="{78533EFF-0AA7-48D0-AE31-C38CE691A0C2}" srcOrd="1" destOrd="0" parTransId="{DFF10C15-C530-4D31-87E4-8ABF52ACA2BD}" sibTransId="{68A59BF0-623C-4342-86A2-A07113C027AE}"/>
    <dgm:cxn modelId="{8B146DA6-55BB-459B-972F-38ABAD87A427}" type="presOf" srcId="{78533EFF-0AA7-48D0-AE31-C38CE691A0C2}" destId="{B5C01237-A1E9-45F3-B392-532039E22410}" srcOrd="0" destOrd="0" presId="urn:microsoft.com/office/officeart/2005/8/layout/radial3"/>
    <dgm:cxn modelId="{459574CD-C3CE-4E05-BE6B-AE4A9420E2F0}" type="presOf" srcId="{B70BABD7-3644-45B9-A129-F67B40376BE6}" destId="{E7D44A09-851C-4230-A801-8E97973296E2}" srcOrd="0" destOrd="0" presId="urn:microsoft.com/office/officeart/2005/8/layout/radial3"/>
    <dgm:cxn modelId="{E2E590D8-B4E4-4EBE-8646-20AD34F1294F}" type="presOf" srcId="{493B2D10-E4ED-44B1-A26B-C777E874E39A}" destId="{5E9787E0-1FA2-4AAE-8285-9E72FB4CA984}" srcOrd="0" destOrd="0" presId="urn:microsoft.com/office/officeart/2005/8/layout/radial3"/>
    <dgm:cxn modelId="{388B4BE4-6A1A-481A-930A-1A25E599FD5E}" srcId="{52740A77-3B1E-42FC-BD20-51ACCAC32298}" destId="{B70BABD7-3644-45B9-A129-F67B40376BE6}" srcOrd="3" destOrd="0" parTransId="{E49E5EBC-0AF7-490C-BEFB-3183E1286D7B}" sibTransId="{1AADB3A6-33A7-46C0-B71E-002625D4E4F9}"/>
    <dgm:cxn modelId="{59C1CEF1-D0A3-43FC-8CE9-181B3686D0BA}" srcId="{52740A77-3B1E-42FC-BD20-51ACCAC32298}" destId="{DF92E4F2-7ACB-4245-9B89-58C278AEB4A3}" srcOrd="0" destOrd="0" parTransId="{18D9CF44-B1FA-41AB-9591-2F28FB345FD3}" sibTransId="{AEA14A6D-13AC-4768-84CC-6253DF94B9B3}"/>
    <dgm:cxn modelId="{256811F9-C0CE-4504-836F-ABFB909F829B}" srcId="{52740A77-3B1E-42FC-BD20-51ACCAC32298}" destId="{C94C1DA6-3EF2-4D28-B70C-FA96582F43C6}" srcOrd="2" destOrd="0" parTransId="{D1C78DCE-9A96-4D0F-AABF-165F5268346C}" sibTransId="{89B8E2CA-F9DB-4895-AABF-129F01F67004}"/>
    <dgm:cxn modelId="{918E72F9-4BA9-4B25-A8A1-FDD85402C466}" type="presOf" srcId="{52740A77-3B1E-42FC-BD20-51ACCAC32298}" destId="{4F6F3B7F-A1D8-4B8E-B171-6936DDCE314D}" srcOrd="0" destOrd="0" presId="urn:microsoft.com/office/officeart/2005/8/layout/radial3"/>
    <dgm:cxn modelId="{61BBD0C2-44C0-475E-88F3-1A4B4F41092D}" type="presParOf" srcId="{9C8E4A56-7D06-4FD1-936E-05E2F0D48B43}" destId="{BF5286CB-2B38-4A92-9E55-CED50C49FEDB}" srcOrd="0" destOrd="0" presId="urn:microsoft.com/office/officeart/2005/8/layout/radial3"/>
    <dgm:cxn modelId="{B7136A31-0F6E-4DE6-A4FA-1DCC852C5B7D}" type="presParOf" srcId="{BF5286CB-2B38-4A92-9E55-CED50C49FEDB}" destId="{4F6F3B7F-A1D8-4B8E-B171-6936DDCE314D}" srcOrd="0" destOrd="0" presId="urn:microsoft.com/office/officeart/2005/8/layout/radial3"/>
    <dgm:cxn modelId="{A33E8202-4F46-41D1-A870-34094F40DD70}" type="presParOf" srcId="{BF5286CB-2B38-4A92-9E55-CED50C49FEDB}" destId="{804391BC-958A-41E5-87DF-493C294CCD0D}" srcOrd="1" destOrd="0" presId="urn:microsoft.com/office/officeart/2005/8/layout/radial3"/>
    <dgm:cxn modelId="{8F5FBA23-CF4C-43A6-8C04-F9CBF1C8CFEE}" type="presParOf" srcId="{BF5286CB-2B38-4A92-9E55-CED50C49FEDB}" destId="{B5C01237-A1E9-45F3-B392-532039E22410}" srcOrd="2" destOrd="0" presId="urn:microsoft.com/office/officeart/2005/8/layout/radial3"/>
    <dgm:cxn modelId="{2A3A0447-EDAC-4231-B267-B7F70C419158}" type="presParOf" srcId="{BF5286CB-2B38-4A92-9E55-CED50C49FEDB}" destId="{50B90531-ACD8-4E27-9493-0BF4E28BB7E7}" srcOrd="3" destOrd="0" presId="urn:microsoft.com/office/officeart/2005/8/layout/radial3"/>
    <dgm:cxn modelId="{2DB8A98C-DAF4-4CD4-8FA4-D0ACE6E5950F}" type="presParOf" srcId="{BF5286CB-2B38-4A92-9E55-CED50C49FEDB}" destId="{E7D44A09-851C-4230-A801-8E97973296E2}" srcOrd="4" destOrd="0" presId="urn:microsoft.com/office/officeart/2005/8/layout/radial3"/>
    <dgm:cxn modelId="{2D5DF1F1-5163-43E4-913D-10B264E06875}" type="presParOf" srcId="{BF5286CB-2B38-4A92-9E55-CED50C49FEDB}" destId="{72173D06-B66F-4726-BA2C-70DB432A8A84}" srcOrd="5" destOrd="0" presId="urn:microsoft.com/office/officeart/2005/8/layout/radial3"/>
    <dgm:cxn modelId="{9E6E802F-E242-4809-862E-C8B908663D7D}" type="presParOf" srcId="{BF5286CB-2B38-4A92-9E55-CED50C49FEDB}" destId="{5E9787E0-1FA2-4AAE-8285-9E72FB4CA984}" srcOrd="6"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6F3B7F-A1D8-4B8E-B171-6936DDCE314D}">
      <dsp:nvSpPr>
        <dsp:cNvPr id="0" name=""/>
        <dsp:cNvSpPr/>
      </dsp:nvSpPr>
      <dsp:spPr>
        <a:xfrm>
          <a:off x="1888014" y="888549"/>
          <a:ext cx="2118642" cy="2118642"/>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Arial" panose="020B0604020202020204" pitchFamily="34" charset="0"/>
              <a:cs typeface="Arial" panose="020B0604020202020204" pitchFamily="34" charset="0"/>
            </a:rPr>
            <a:t>Gibbs' Reflective Cycle</a:t>
          </a:r>
        </a:p>
      </dsp:txBody>
      <dsp:txXfrm>
        <a:off x="2198282" y="1198817"/>
        <a:ext cx="1498106" cy="1498106"/>
      </dsp:txXfrm>
    </dsp:sp>
    <dsp:sp modelId="{804391BC-958A-41E5-87DF-493C294CCD0D}">
      <dsp:nvSpPr>
        <dsp:cNvPr id="0" name=""/>
        <dsp:cNvSpPr/>
      </dsp:nvSpPr>
      <dsp:spPr>
        <a:xfrm>
          <a:off x="2404982" y="378"/>
          <a:ext cx="1059321" cy="1059321"/>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latin typeface="Arial" panose="020B0604020202020204" pitchFamily="34" charset="0"/>
              <a:cs typeface="Arial" panose="020B0604020202020204" pitchFamily="34" charset="0"/>
            </a:rPr>
            <a:t>Description</a:t>
          </a:r>
        </a:p>
      </dsp:txBody>
      <dsp:txXfrm>
        <a:off x="2560116" y="155512"/>
        <a:ext cx="749053" cy="749053"/>
      </dsp:txXfrm>
    </dsp:sp>
    <dsp:sp modelId="{B5C01237-A1E9-45F3-B392-532039E22410}">
      <dsp:nvSpPr>
        <dsp:cNvPr id="0" name=""/>
        <dsp:cNvSpPr/>
      </dsp:nvSpPr>
      <dsp:spPr>
        <a:xfrm>
          <a:off x="3599857" y="690239"/>
          <a:ext cx="1059321" cy="105932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Feelings</a:t>
          </a:r>
        </a:p>
      </dsp:txBody>
      <dsp:txXfrm>
        <a:off x="3754991" y="845373"/>
        <a:ext cx="749053" cy="749053"/>
      </dsp:txXfrm>
    </dsp:sp>
    <dsp:sp modelId="{50B90531-ACD8-4E27-9493-0BF4E28BB7E7}">
      <dsp:nvSpPr>
        <dsp:cNvPr id="0" name=""/>
        <dsp:cNvSpPr/>
      </dsp:nvSpPr>
      <dsp:spPr>
        <a:xfrm>
          <a:off x="3599857" y="2069963"/>
          <a:ext cx="1059321" cy="1059321"/>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Evaluation</a:t>
          </a:r>
        </a:p>
      </dsp:txBody>
      <dsp:txXfrm>
        <a:off x="3754991" y="2225097"/>
        <a:ext cx="749053" cy="749053"/>
      </dsp:txXfrm>
    </dsp:sp>
    <dsp:sp modelId="{E7D44A09-851C-4230-A801-8E97973296E2}">
      <dsp:nvSpPr>
        <dsp:cNvPr id="0" name=""/>
        <dsp:cNvSpPr/>
      </dsp:nvSpPr>
      <dsp:spPr>
        <a:xfrm>
          <a:off x="2404982" y="2759825"/>
          <a:ext cx="1059321" cy="1059321"/>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Analysis</a:t>
          </a:r>
        </a:p>
      </dsp:txBody>
      <dsp:txXfrm>
        <a:off x="2560116" y="2914959"/>
        <a:ext cx="749053" cy="749053"/>
      </dsp:txXfrm>
    </dsp:sp>
    <dsp:sp modelId="{72173D06-B66F-4726-BA2C-70DB432A8A84}">
      <dsp:nvSpPr>
        <dsp:cNvPr id="0" name=""/>
        <dsp:cNvSpPr/>
      </dsp:nvSpPr>
      <dsp:spPr>
        <a:xfrm>
          <a:off x="1179645" y="2044698"/>
          <a:ext cx="1120242" cy="110985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Conclusion</a:t>
          </a:r>
        </a:p>
      </dsp:txBody>
      <dsp:txXfrm>
        <a:off x="1343701" y="2207232"/>
        <a:ext cx="792130" cy="784783"/>
      </dsp:txXfrm>
    </dsp:sp>
    <dsp:sp modelId="{5E9787E0-1FA2-4AAE-8285-9E72FB4CA984}">
      <dsp:nvSpPr>
        <dsp:cNvPr id="0" name=""/>
        <dsp:cNvSpPr/>
      </dsp:nvSpPr>
      <dsp:spPr>
        <a:xfrm>
          <a:off x="1210106" y="690239"/>
          <a:ext cx="1059321" cy="1059321"/>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Action plan</a:t>
          </a:r>
        </a:p>
      </dsp:txBody>
      <dsp:txXfrm>
        <a:off x="1365240" y="845373"/>
        <a:ext cx="749053" cy="749053"/>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DD1DAA-0180-4CD5-832A-D71EE4F99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16</Pages>
  <Words>3958</Words>
  <Characters>22563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vishwalmakwana9999@outlook.com</cp:lastModifiedBy>
  <cp:revision>21</cp:revision>
  <dcterms:created xsi:type="dcterms:W3CDTF">2026-04-22T06:22:00Z</dcterms:created>
  <dcterms:modified xsi:type="dcterms:W3CDTF">2026-04-26T18:05:00Z</dcterms:modified>
</cp:coreProperties>
</file>