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1.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4B325" w14:textId="77777777" w:rsidR="000245F4" w:rsidRDefault="000245F4" w:rsidP="000245F4">
      <w:pPr>
        <w:pStyle w:val="BodyText"/>
        <w:spacing w:before="162" w:line="264" w:lineRule="auto"/>
        <w:ind w:right="283"/>
        <w:rPr>
          <w:b/>
          <w:bCs/>
          <w:color w:val="222222"/>
          <w:u w:val="single"/>
          <w:shd w:val="clear" w:color="auto" w:fill="FFFFFF"/>
        </w:rPr>
      </w:pPr>
      <w:r>
        <w:rPr>
          <w:b/>
          <w:bCs/>
          <w:color w:val="222222"/>
          <w:u w:val="single"/>
          <w:shd w:val="clear" w:color="auto" w:fill="FFFFFF"/>
        </w:rPr>
        <w:t>Name: Chloe Hitchings</w:t>
      </w:r>
    </w:p>
    <w:p w14:paraId="6C295E0B" w14:textId="77777777" w:rsidR="000245F4" w:rsidRDefault="000245F4" w:rsidP="000245F4">
      <w:pPr>
        <w:pStyle w:val="BodyText"/>
        <w:spacing w:before="162" w:line="264" w:lineRule="auto"/>
        <w:ind w:right="283"/>
        <w:rPr>
          <w:b/>
          <w:bCs/>
          <w:color w:val="222222"/>
          <w:u w:val="single"/>
          <w:shd w:val="clear" w:color="auto" w:fill="FFFFFF"/>
        </w:rPr>
      </w:pPr>
      <w:r>
        <w:rPr>
          <w:b/>
          <w:bCs/>
          <w:color w:val="222222"/>
          <w:u w:val="single"/>
          <w:shd w:val="clear" w:color="auto" w:fill="FFFFFF"/>
        </w:rPr>
        <w:t xml:space="preserve">CIPD Number: </w:t>
      </w:r>
      <w:r w:rsidRPr="000245F4">
        <w:rPr>
          <w:b/>
          <w:bCs/>
          <w:u w:val="single"/>
        </w:rPr>
        <w:t>88554053</w:t>
      </w:r>
    </w:p>
    <w:p w14:paraId="0A09B067" w14:textId="53C5B040" w:rsidR="000245F4" w:rsidRDefault="000245F4" w:rsidP="000245F4">
      <w:pPr>
        <w:pStyle w:val="BodyText"/>
        <w:spacing w:before="162" w:line="264" w:lineRule="auto"/>
        <w:ind w:right="283"/>
        <w:rPr>
          <w:b/>
          <w:bCs/>
          <w:color w:val="222222"/>
          <w:u w:val="single"/>
          <w:shd w:val="clear" w:color="auto" w:fill="FFFFFF"/>
        </w:rPr>
      </w:pPr>
      <w:r>
        <w:rPr>
          <w:b/>
          <w:bCs/>
          <w:color w:val="222222"/>
          <w:u w:val="single"/>
          <w:shd w:val="clear" w:color="auto" w:fill="FFFFFF"/>
        </w:rPr>
        <w:t>Word Count:</w:t>
      </w:r>
      <w:r w:rsidR="00D23ED9">
        <w:rPr>
          <w:b/>
          <w:bCs/>
          <w:color w:val="222222"/>
          <w:u w:val="single"/>
          <w:shd w:val="clear" w:color="auto" w:fill="FFFFFF"/>
        </w:rPr>
        <w:t xml:space="preserve"> 2617</w:t>
      </w:r>
    </w:p>
    <w:p w14:paraId="67FBC07D" w14:textId="77777777" w:rsidR="00363B7F" w:rsidRPr="00E200BB" w:rsidRDefault="00363B7F">
      <w:pPr>
        <w:rPr>
          <w:rFonts w:ascii="Arial" w:hAnsi="Arial" w:cs="Arial"/>
        </w:rPr>
      </w:pPr>
    </w:p>
    <w:p w14:paraId="66D64F53" w14:textId="2705A94B" w:rsidR="00363B7F" w:rsidRPr="00E200BB" w:rsidRDefault="00363B7F" w:rsidP="00363B7F">
      <w:pPr>
        <w:jc w:val="center"/>
        <w:rPr>
          <w:rFonts w:ascii="Arial" w:hAnsi="Arial" w:cs="Arial"/>
          <w:b/>
          <w:bCs/>
          <w:u w:val="single"/>
        </w:rPr>
      </w:pPr>
      <w:r w:rsidRPr="00E200BB">
        <w:rPr>
          <w:rFonts w:ascii="Arial" w:hAnsi="Arial" w:cs="Arial"/>
          <w:b/>
          <w:bCs/>
          <w:u w:val="single"/>
        </w:rPr>
        <w:t>Task One</w:t>
      </w:r>
    </w:p>
    <w:p w14:paraId="0DBB9990" w14:textId="77777777" w:rsidR="00635BFD" w:rsidRDefault="00635BFD" w:rsidP="003011F5">
      <w:pPr>
        <w:pStyle w:val="BodyText"/>
        <w:spacing w:before="162" w:line="264" w:lineRule="auto"/>
        <w:ind w:right="283"/>
        <w:jc w:val="both"/>
      </w:pPr>
    </w:p>
    <w:p w14:paraId="4DDDAC8B" w14:textId="77777777" w:rsidR="002C7734" w:rsidRPr="00E200BB" w:rsidRDefault="002C7734" w:rsidP="003011F5">
      <w:pPr>
        <w:pStyle w:val="BodyText"/>
        <w:spacing w:before="162" w:line="264" w:lineRule="auto"/>
        <w:ind w:right="283"/>
        <w:jc w:val="both"/>
      </w:pPr>
    </w:p>
    <w:p w14:paraId="7D7CF6A3" w14:textId="3E201B92" w:rsidR="00635BFD" w:rsidRPr="00C00035" w:rsidRDefault="00635BFD" w:rsidP="003011F5">
      <w:pPr>
        <w:pStyle w:val="BodyText"/>
        <w:spacing w:before="162" w:line="264" w:lineRule="auto"/>
        <w:ind w:right="283"/>
        <w:jc w:val="both"/>
        <w:rPr>
          <w:b/>
          <w:bCs/>
          <w:u w:val="single"/>
        </w:rPr>
      </w:pPr>
      <w:r w:rsidRPr="00C00035">
        <w:rPr>
          <w:b/>
          <w:bCs/>
          <w:u w:val="single"/>
        </w:rPr>
        <w:t>Table of Contents:</w:t>
      </w:r>
    </w:p>
    <w:p w14:paraId="16AEA6C2" w14:textId="4956C713" w:rsidR="0031188D" w:rsidRPr="00E200BB" w:rsidRDefault="0031188D" w:rsidP="003011F5">
      <w:pPr>
        <w:pStyle w:val="BodyText"/>
        <w:spacing w:before="162" w:line="264" w:lineRule="auto"/>
        <w:ind w:right="283"/>
        <w:jc w:val="both"/>
      </w:pPr>
      <w:r w:rsidRPr="00E200BB">
        <w:t xml:space="preserve">Introduction – Page </w:t>
      </w:r>
      <w:r w:rsidR="002C7734">
        <w:t>1</w:t>
      </w:r>
    </w:p>
    <w:p w14:paraId="133B2323" w14:textId="036C8744" w:rsidR="00EE1001" w:rsidRDefault="00EE1001" w:rsidP="003011F5">
      <w:pPr>
        <w:pStyle w:val="BodyText"/>
        <w:spacing w:before="162" w:line="264" w:lineRule="auto"/>
        <w:ind w:right="283"/>
        <w:jc w:val="both"/>
      </w:pPr>
      <w:r w:rsidRPr="00E200BB">
        <w:t xml:space="preserve">Evidence Based Practice – Pages </w:t>
      </w:r>
      <w:r w:rsidR="009536BA">
        <w:t>1-2</w:t>
      </w:r>
    </w:p>
    <w:p w14:paraId="5FB6398C" w14:textId="77E56E11" w:rsidR="009536BA" w:rsidRDefault="009536BA" w:rsidP="003011F5">
      <w:pPr>
        <w:pStyle w:val="BodyText"/>
        <w:spacing w:before="162" w:line="264" w:lineRule="auto"/>
        <w:ind w:right="283"/>
        <w:jc w:val="both"/>
      </w:pPr>
      <w:r>
        <w:t xml:space="preserve">Analysis Tools and Methods </w:t>
      </w:r>
      <w:r w:rsidR="005D1B66">
        <w:t xml:space="preserve">– </w:t>
      </w:r>
      <w:r>
        <w:t>Page</w:t>
      </w:r>
      <w:r w:rsidR="005D1B66">
        <w:t>s</w:t>
      </w:r>
      <w:r>
        <w:t xml:space="preserve"> 2-3</w:t>
      </w:r>
    </w:p>
    <w:p w14:paraId="4E67700B" w14:textId="7BF09DF8" w:rsidR="009536BA" w:rsidRDefault="009536BA" w:rsidP="003011F5">
      <w:pPr>
        <w:pStyle w:val="BodyText"/>
        <w:spacing w:before="162" w:line="264" w:lineRule="auto"/>
        <w:ind w:right="283"/>
        <w:jc w:val="both"/>
      </w:pPr>
      <w:r>
        <w:t xml:space="preserve">Main Principles of Critical Thinking </w:t>
      </w:r>
      <w:r w:rsidR="005D1B66">
        <w:t xml:space="preserve">– </w:t>
      </w:r>
      <w:r>
        <w:t>Page 3</w:t>
      </w:r>
    </w:p>
    <w:p w14:paraId="248C0153" w14:textId="2834426F" w:rsidR="009536BA" w:rsidRPr="00E200BB" w:rsidRDefault="009536BA" w:rsidP="003011F5">
      <w:pPr>
        <w:pStyle w:val="BodyText"/>
        <w:spacing w:before="162" w:line="264" w:lineRule="auto"/>
        <w:ind w:right="283"/>
        <w:jc w:val="both"/>
      </w:pPr>
      <w:r>
        <w:t xml:space="preserve">Decision Making Processes </w:t>
      </w:r>
      <w:r w:rsidR="005D1B66">
        <w:t>– Pages 3-4</w:t>
      </w:r>
    </w:p>
    <w:p w14:paraId="4B6D4960" w14:textId="4ED43962" w:rsidR="00EE1001" w:rsidRDefault="005D1B66" w:rsidP="003011F5">
      <w:pPr>
        <w:pStyle w:val="BodyText"/>
        <w:spacing w:before="162" w:line="264" w:lineRule="auto"/>
        <w:ind w:right="283"/>
        <w:jc w:val="both"/>
      </w:pPr>
      <w:r>
        <w:t>Ethical Pe</w:t>
      </w:r>
      <w:r w:rsidR="00C0444D">
        <w:t>rspectives – Pages 4-5</w:t>
      </w:r>
    </w:p>
    <w:p w14:paraId="26384F0F" w14:textId="61C91F04" w:rsidR="00C0444D" w:rsidRDefault="00C0444D" w:rsidP="003011F5">
      <w:pPr>
        <w:pStyle w:val="BodyText"/>
        <w:spacing w:before="162" w:line="264" w:lineRule="auto"/>
        <w:ind w:right="283"/>
        <w:jc w:val="both"/>
      </w:pPr>
      <w:r>
        <w:t>Financial and Non-Financial Performance – Pages 5-6</w:t>
      </w:r>
    </w:p>
    <w:p w14:paraId="1E111C32" w14:textId="2B17CC9B" w:rsidR="00B629DB" w:rsidRPr="00E200BB" w:rsidRDefault="00B629DB" w:rsidP="003011F5">
      <w:pPr>
        <w:pStyle w:val="BodyText"/>
        <w:spacing w:before="162" w:line="264" w:lineRule="auto"/>
        <w:ind w:right="283"/>
        <w:jc w:val="both"/>
      </w:pPr>
      <w:r>
        <w:t xml:space="preserve">Values of People Practice – Page 6 </w:t>
      </w:r>
    </w:p>
    <w:p w14:paraId="424A8666" w14:textId="77777777" w:rsidR="000E6449" w:rsidRPr="00E200BB" w:rsidRDefault="000E6449" w:rsidP="003011F5">
      <w:pPr>
        <w:pStyle w:val="BodyText"/>
        <w:spacing w:before="162" w:line="264" w:lineRule="auto"/>
        <w:ind w:right="283"/>
        <w:jc w:val="both"/>
      </w:pPr>
    </w:p>
    <w:p w14:paraId="619E0AF2" w14:textId="53CB78A2" w:rsidR="00196F65" w:rsidRDefault="000E6449" w:rsidP="003011F5">
      <w:pPr>
        <w:pStyle w:val="BodyText"/>
        <w:spacing w:before="162" w:line="264" w:lineRule="auto"/>
        <w:ind w:right="283"/>
        <w:jc w:val="both"/>
        <w:rPr>
          <w:b/>
          <w:bCs/>
          <w:u w:val="single"/>
        </w:rPr>
      </w:pPr>
      <w:r w:rsidRPr="00E200BB">
        <w:rPr>
          <w:b/>
          <w:bCs/>
          <w:u w:val="single"/>
        </w:rPr>
        <w:t>Introduction</w:t>
      </w:r>
    </w:p>
    <w:p w14:paraId="56E84306" w14:textId="05F98973" w:rsidR="00B3213A" w:rsidRDefault="00196F65" w:rsidP="002C7734">
      <w:pPr>
        <w:pStyle w:val="BodyText"/>
        <w:spacing w:before="162" w:line="264" w:lineRule="auto"/>
        <w:ind w:right="283"/>
        <w:jc w:val="both"/>
        <w:rPr>
          <w:sz w:val="24"/>
          <w:szCs w:val="24"/>
        </w:rPr>
      </w:pPr>
      <w:r w:rsidRPr="00357386">
        <w:rPr>
          <w:sz w:val="24"/>
          <w:szCs w:val="24"/>
        </w:rPr>
        <w:t xml:space="preserve">The following report will be outlining the approaches to using Evidence-Based Practice in the workplace to gain insights into people practices to further improve business performance. Using practical examples and research, the reader of this report will </w:t>
      </w:r>
      <w:r w:rsidR="008F530E" w:rsidRPr="00357386">
        <w:rPr>
          <w:sz w:val="24"/>
          <w:szCs w:val="24"/>
        </w:rPr>
        <w:t>understand</w:t>
      </w:r>
      <w:r w:rsidRPr="00357386">
        <w:rPr>
          <w:sz w:val="24"/>
          <w:szCs w:val="24"/>
        </w:rPr>
        <w:t xml:space="preserve"> how Evidence-Based Practices can be used to improve </w:t>
      </w:r>
      <w:r w:rsidR="00B3213A">
        <w:rPr>
          <w:sz w:val="24"/>
          <w:szCs w:val="24"/>
        </w:rPr>
        <w:t xml:space="preserve">performance by using </w:t>
      </w:r>
      <w:r w:rsidRPr="00357386">
        <w:rPr>
          <w:sz w:val="24"/>
          <w:szCs w:val="24"/>
        </w:rPr>
        <w:t>effective decision making and critical thinking skills</w:t>
      </w:r>
      <w:r w:rsidR="00B3213A">
        <w:rPr>
          <w:sz w:val="24"/>
          <w:szCs w:val="24"/>
        </w:rPr>
        <w:t xml:space="preserve"> to apply in the workplace. It also drawers upon the effectiveness of using different analysis methods and tools to diagnose challenges in the workplace and how to overcome these.</w:t>
      </w:r>
      <w:r w:rsidR="00C04A00">
        <w:rPr>
          <w:sz w:val="24"/>
          <w:szCs w:val="24"/>
        </w:rPr>
        <w:t xml:space="preserve"> </w:t>
      </w:r>
      <w:r w:rsidR="00AF1CD5">
        <w:rPr>
          <w:sz w:val="24"/>
          <w:szCs w:val="24"/>
        </w:rPr>
        <w:t>The overall theme of this</w:t>
      </w:r>
      <w:r w:rsidR="0064315A">
        <w:rPr>
          <w:sz w:val="24"/>
          <w:szCs w:val="24"/>
        </w:rPr>
        <w:t xml:space="preserve"> report is to establis</w:t>
      </w:r>
      <w:r w:rsidR="00896411">
        <w:rPr>
          <w:sz w:val="24"/>
          <w:szCs w:val="24"/>
        </w:rPr>
        <w:t xml:space="preserve">h </w:t>
      </w:r>
      <w:r w:rsidR="0064315A">
        <w:rPr>
          <w:sz w:val="24"/>
          <w:szCs w:val="24"/>
        </w:rPr>
        <w:t xml:space="preserve">that Evidence Based Practice </w:t>
      </w:r>
      <w:r w:rsidR="00896411">
        <w:rPr>
          <w:sz w:val="24"/>
          <w:szCs w:val="24"/>
        </w:rPr>
        <w:t>add value to an organisation.</w:t>
      </w:r>
    </w:p>
    <w:p w14:paraId="2FB0E37C" w14:textId="77777777" w:rsidR="003612C4" w:rsidRPr="00E200BB" w:rsidRDefault="003612C4" w:rsidP="003011F5">
      <w:pPr>
        <w:pStyle w:val="BodyText"/>
        <w:spacing w:before="162" w:line="264" w:lineRule="auto"/>
        <w:ind w:right="283"/>
        <w:jc w:val="both"/>
      </w:pPr>
    </w:p>
    <w:p w14:paraId="4CE9E435" w14:textId="63A4897F" w:rsidR="00C31E0F" w:rsidRPr="00E200BB" w:rsidRDefault="003D40F0" w:rsidP="00F12C08">
      <w:pPr>
        <w:pStyle w:val="BodyText"/>
        <w:tabs>
          <w:tab w:val="right" w:pos="8743"/>
        </w:tabs>
        <w:spacing w:before="162" w:line="264" w:lineRule="auto"/>
        <w:ind w:right="283"/>
        <w:jc w:val="both"/>
        <w:rPr>
          <w:b/>
          <w:bCs/>
          <w:u w:val="single"/>
        </w:rPr>
      </w:pPr>
      <w:r w:rsidRPr="00E200BB">
        <w:rPr>
          <w:b/>
          <w:bCs/>
          <w:u w:val="single"/>
        </w:rPr>
        <w:t>Evidence Based Practice</w:t>
      </w:r>
      <w:r w:rsidR="002C7734">
        <w:rPr>
          <w:b/>
          <w:bCs/>
          <w:u w:val="single"/>
        </w:rPr>
        <w:t xml:space="preserve"> (AC 1.1)</w:t>
      </w:r>
    </w:p>
    <w:p w14:paraId="1314C004" w14:textId="08A4CA0B" w:rsidR="000127FB" w:rsidRDefault="002C7734" w:rsidP="00806DA4">
      <w:pPr>
        <w:pStyle w:val="BodyText"/>
        <w:spacing w:before="162" w:line="264" w:lineRule="auto"/>
        <w:ind w:right="283"/>
        <w:jc w:val="both"/>
      </w:pPr>
      <w:r w:rsidRPr="00E200BB">
        <w:t xml:space="preserve">The concept of Evidence-Based Practice (EBP) originated in the medicinal field and has been adapted into Human Resource Management (HRM), specifically into </w:t>
      </w:r>
      <w:r w:rsidR="00116E8A">
        <w:t xml:space="preserve">being the basis of strategic </w:t>
      </w:r>
      <w:r w:rsidRPr="00E200BB">
        <w:t>decision-making.</w:t>
      </w:r>
      <w:r w:rsidR="002F187B">
        <w:t xml:space="preserve"> </w:t>
      </w:r>
      <w:r w:rsidR="00047D05">
        <w:t>Evidence Based Practice (EBP)</w:t>
      </w:r>
      <w:r w:rsidR="00806DA4" w:rsidRPr="00E200BB">
        <w:t xml:space="preserve"> involves making decisions through conscientious, </w:t>
      </w:r>
      <w:r w:rsidR="007C144F" w:rsidRPr="00E200BB">
        <w:t>explicit,</w:t>
      </w:r>
      <w:r w:rsidR="00806DA4" w:rsidRPr="00E200BB">
        <w:t xml:space="preserve"> and judicious evidence to come to a favourable outcome (Briner et al 20</w:t>
      </w:r>
      <w:r w:rsidR="007F4837">
        <w:t>17</w:t>
      </w:r>
      <w:r w:rsidR="00806DA4" w:rsidRPr="00E200BB">
        <w:t xml:space="preserve">). </w:t>
      </w:r>
    </w:p>
    <w:p w14:paraId="487D6CFE" w14:textId="136D69C5" w:rsidR="00C814FA" w:rsidRPr="00E200BB" w:rsidRDefault="00806DA4" w:rsidP="00806DA4">
      <w:pPr>
        <w:pStyle w:val="BodyText"/>
        <w:spacing w:before="162" w:line="264" w:lineRule="auto"/>
        <w:ind w:right="283"/>
        <w:jc w:val="both"/>
      </w:pPr>
      <w:r w:rsidRPr="00E200BB">
        <w:t>Many professionals base their decisions on their sole personal judgement, but the implications of getting decisions wrong could be detrimental (</w:t>
      </w:r>
      <w:r w:rsidR="00EB4785">
        <w:t xml:space="preserve">Waite et al, </w:t>
      </w:r>
      <w:r w:rsidR="001C3877">
        <w:t>2021</w:t>
      </w:r>
      <w:r w:rsidRPr="00E200BB">
        <w:t xml:space="preserve">). This could </w:t>
      </w:r>
      <w:r w:rsidRPr="00E200BB">
        <w:lastRenderedPageBreak/>
        <w:t>potentially be risky and have financial implications for the business. Decisions in HRM need to be more evidence based and not based on blind faith (Rousseau, 201</w:t>
      </w:r>
      <w:r w:rsidR="004D7DB3">
        <w:t>1</w:t>
      </w:r>
      <w:r w:rsidR="00A664A8">
        <w:t>; Rosseau, 2006</w:t>
      </w:r>
      <w:r w:rsidRPr="00E200BB">
        <w:t xml:space="preserve">). </w:t>
      </w:r>
      <w:r w:rsidR="000127FB" w:rsidRPr="00E200BB">
        <w:t>Our personal thoughts and experiences can influence</w:t>
      </w:r>
      <w:r w:rsidR="000127FB">
        <w:t xml:space="preserve"> </w:t>
      </w:r>
      <w:r w:rsidR="000127FB" w:rsidRPr="00E200BB">
        <w:t>evidence</w:t>
      </w:r>
      <w:r w:rsidR="000127FB">
        <w:t xml:space="preserve"> obtained</w:t>
      </w:r>
      <w:r w:rsidR="000127FB" w:rsidRPr="00E200BB">
        <w:t>, such as heuristics</w:t>
      </w:r>
      <w:r w:rsidR="00BD6493">
        <w:t xml:space="preserve"> </w:t>
      </w:r>
      <w:r w:rsidR="000127FB" w:rsidRPr="00E200BB">
        <w:t>biases that accept the evidence that supports our purpose, affecting the validity and interpretation of the evidence.</w:t>
      </w:r>
      <w:r w:rsidR="00300B20">
        <w:t xml:space="preserve"> Using EBP can </w:t>
      </w:r>
      <w:r w:rsidR="000127FB">
        <w:t xml:space="preserve">enable for a more objective decision-making process that isn’t swayed by internal and external influences, such as </w:t>
      </w:r>
      <w:r w:rsidR="003C6185">
        <w:t>fads</w:t>
      </w:r>
      <w:r w:rsidR="000127FB">
        <w:t xml:space="preserve"> and trends.</w:t>
      </w:r>
    </w:p>
    <w:p w14:paraId="0D545D79" w14:textId="28DB061E" w:rsidR="005C5E9C" w:rsidRDefault="00760F70" w:rsidP="008F158D">
      <w:pPr>
        <w:pStyle w:val="BodyText"/>
        <w:spacing w:before="162" w:line="264" w:lineRule="auto"/>
        <w:ind w:right="283"/>
        <w:jc w:val="both"/>
      </w:pPr>
      <w:r w:rsidRPr="00E200BB">
        <w:t xml:space="preserve">A </w:t>
      </w:r>
      <w:r w:rsidR="00806DA4" w:rsidRPr="00E200BB">
        <w:t xml:space="preserve">misconception of an EBP approach to decision making is that it is based solely on statistical information and isn’t a well-rounded approach. However, EBP uses the best available evidence from multiple sources to optimise decision-making </w:t>
      </w:r>
      <w:r w:rsidR="000D4A7C" w:rsidRPr="00E200BB">
        <w:t>and critical thinking</w:t>
      </w:r>
      <w:r w:rsidR="00806DA4" w:rsidRPr="00E200BB">
        <w:t xml:space="preserve">. According to </w:t>
      </w:r>
      <w:proofErr w:type="spellStart"/>
      <w:r w:rsidR="00A664A8">
        <w:t>Barrends</w:t>
      </w:r>
      <w:proofErr w:type="spellEnd"/>
      <w:r w:rsidR="00D51B7F" w:rsidRPr="00E200BB">
        <w:t xml:space="preserve"> et al </w:t>
      </w:r>
      <w:r w:rsidR="00806DA4" w:rsidRPr="00E200BB">
        <w:t xml:space="preserve">(2014) there are four sources of research to be considered prior to the decision-making process - scientific literature, valid organisational data, practitioner’s judgment, and concerns of affected stakeholders. </w:t>
      </w:r>
      <w:r w:rsidR="008F158D" w:rsidRPr="00E200BB">
        <w:t xml:space="preserve">It is important to critically appraise the evidence </w:t>
      </w:r>
      <w:r w:rsidR="008F158D">
        <w:t xml:space="preserve">gained </w:t>
      </w:r>
      <w:r w:rsidR="008F158D" w:rsidRPr="00E200BB">
        <w:t>by using the following six steps: Asking, Acquiring, Appraising, Aggregating, Applying and Assessing (CIPD</w:t>
      </w:r>
      <w:r w:rsidR="00904D3F">
        <w:t>, 2016</w:t>
      </w:r>
      <w:r w:rsidR="008F158D" w:rsidRPr="00E200BB">
        <w:t xml:space="preserve">). </w:t>
      </w:r>
      <w:r w:rsidR="008F158D">
        <w:t>This ensures for more</w:t>
      </w:r>
      <w:r w:rsidR="008F158D" w:rsidRPr="00E200BB">
        <w:t xml:space="preserve"> reliable and factual evidence to base decisions on that is tailored to the organisation’s purpose. </w:t>
      </w:r>
    </w:p>
    <w:p w14:paraId="1BD21F5E" w14:textId="39279D6A" w:rsidR="00C814FA" w:rsidRPr="00E200BB" w:rsidRDefault="005C5E9C" w:rsidP="00806DA4">
      <w:pPr>
        <w:pStyle w:val="BodyText"/>
        <w:spacing w:before="162" w:line="264" w:lineRule="auto"/>
        <w:ind w:right="283"/>
        <w:jc w:val="both"/>
      </w:pPr>
      <w:r w:rsidRPr="00E200BB">
        <w:t xml:space="preserve">There is a vast amount of </w:t>
      </w:r>
      <w:r>
        <w:t>evidence that is</w:t>
      </w:r>
      <w:r w:rsidRPr="00E200BB">
        <w:t xml:space="preserve"> readily available and a problem that could occur </w:t>
      </w:r>
      <w:r>
        <w:t xml:space="preserve">whilst using EBP is </w:t>
      </w:r>
      <w:r w:rsidRPr="00E200BB">
        <w:t>that there is too</w:t>
      </w:r>
      <w:r>
        <w:t xml:space="preserve"> much </w:t>
      </w:r>
      <w:r w:rsidRPr="00E200BB">
        <w:t>and that it is written by academics</w:t>
      </w:r>
      <w:r>
        <w:t xml:space="preserve"> – </w:t>
      </w:r>
      <w:r w:rsidRPr="00E200BB">
        <w:t>making it hard for managers to decipher and utilise (Armstrong</w:t>
      </w:r>
      <w:r w:rsidR="002F7210">
        <w:t xml:space="preserve"> &amp; Taylor, 2020</w:t>
      </w:r>
      <w:r w:rsidRPr="00E200BB">
        <w:t>)</w:t>
      </w:r>
      <w:r>
        <w:t>.</w:t>
      </w:r>
      <w:r w:rsidRPr="00E200BB">
        <w:t xml:space="preserve"> </w:t>
      </w:r>
      <w:r>
        <w:t>With the assistance of the HR team</w:t>
      </w:r>
      <w:r w:rsidR="00D32FB2">
        <w:t xml:space="preserve"> to extract specific </w:t>
      </w:r>
      <w:r w:rsidR="00BF2EC2">
        <w:t>data the EBP can b</w:t>
      </w:r>
      <w:r w:rsidR="00806DA4" w:rsidRPr="00E200BB">
        <w:t xml:space="preserve">e used to improve business performance based on previously researched successful examples instead of a ‘hunch’ such as setting new strategies based on benchmarking data to improve </w:t>
      </w:r>
      <w:r w:rsidR="005C1980">
        <w:t>performance.</w:t>
      </w:r>
    </w:p>
    <w:p w14:paraId="11107364" w14:textId="3412B2ED" w:rsidR="00E81DCC" w:rsidRDefault="002F1EC7" w:rsidP="001521CD">
      <w:pPr>
        <w:pStyle w:val="BodyText"/>
        <w:spacing w:before="162" w:line="264" w:lineRule="auto"/>
        <w:ind w:right="283"/>
        <w:jc w:val="both"/>
      </w:pPr>
      <w:r>
        <w:t xml:space="preserve">It is important for </w:t>
      </w:r>
      <w:r w:rsidR="004A6FE0">
        <w:t>o</w:t>
      </w:r>
      <w:r w:rsidR="00AB77C3" w:rsidRPr="00E200BB">
        <w:t>rganisatio</w:t>
      </w:r>
      <w:r w:rsidR="004A6FE0">
        <w:t>ns to understand the importance of</w:t>
      </w:r>
      <w:r w:rsidR="00C43A58">
        <w:t xml:space="preserve"> using EBP when decision-making</w:t>
      </w:r>
      <w:r w:rsidR="00E81DCC">
        <w:t xml:space="preserve"> so that they can</w:t>
      </w:r>
      <w:r w:rsidR="00622538" w:rsidRPr="00E200BB">
        <w:t xml:space="preserve"> </w:t>
      </w:r>
      <w:r w:rsidR="008D33AD" w:rsidRPr="00E200BB">
        <w:t xml:space="preserve">develop their own knowledge </w:t>
      </w:r>
      <w:r w:rsidR="00167675" w:rsidRPr="00E200BB">
        <w:t>and</w:t>
      </w:r>
      <w:r w:rsidR="00E81DCC">
        <w:t xml:space="preserve"> </w:t>
      </w:r>
      <w:r w:rsidR="00167675" w:rsidRPr="00E200BB">
        <w:t>expand upon previous knowledge in their field</w:t>
      </w:r>
      <w:r w:rsidR="00E81DCC">
        <w:t>. Professionals will be more equipped to make factual and objective based decisions which will provide successful outcomes</w:t>
      </w:r>
      <w:r w:rsidR="000E19E6">
        <w:t xml:space="preserve"> – based on previous research.</w:t>
      </w:r>
    </w:p>
    <w:p w14:paraId="6845DEC0" w14:textId="77777777" w:rsidR="000E19E6" w:rsidRPr="00E200BB" w:rsidRDefault="000E19E6" w:rsidP="001521CD">
      <w:pPr>
        <w:pStyle w:val="BodyText"/>
        <w:spacing w:before="162" w:line="264" w:lineRule="auto"/>
        <w:ind w:right="283"/>
        <w:jc w:val="both"/>
      </w:pPr>
    </w:p>
    <w:p w14:paraId="208355A2" w14:textId="19BA7DDF" w:rsidR="00F12C08" w:rsidRPr="00E200BB" w:rsidRDefault="00CA77B9" w:rsidP="00F12C08">
      <w:pPr>
        <w:pStyle w:val="BodyText"/>
        <w:tabs>
          <w:tab w:val="right" w:pos="8743"/>
        </w:tabs>
        <w:spacing w:before="162" w:line="264" w:lineRule="auto"/>
        <w:ind w:right="283"/>
        <w:jc w:val="both"/>
        <w:rPr>
          <w:b/>
          <w:bCs/>
          <w:u w:val="single"/>
        </w:rPr>
      </w:pPr>
      <w:r w:rsidRPr="00E200BB">
        <w:rPr>
          <w:b/>
          <w:bCs/>
          <w:u w:val="single"/>
        </w:rPr>
        <w:t>Analysis Tool</w:t>
      </w:r>
      <w:r w:rsidR="00383557" w:rsidRPr="00E200BB">
        <w:rPr>
          <w:b/>
          <w:bCs/>
          <w:u w:val="single"/>
        </w:rPr>
        <w:t>s</w:t>
      </w:r>
      <w:r w:rsidRPr="00E200BB">
        <w:rPr>
          <w:b/>
          <w:bCs/>
          <w:u w:val="single"/>
        </w:rPr>
        <w:t xml:space="preserve"> and Method</w:t>
      </w:r>
      <w:r w:rsidR="00383557" w:rsidRPr="00E200BB">
        <w:rPr>
          <w:b/>
          <w:bCs/>
          <w:u w:val="single"/>
        </w:rPr>
        <w:t>s</w:t>
      </w:r>
      <w:r w:rsidR="005A2E22">
        <w:rPr>
          <w:b/>
          <w:bCs/>
          <w:u w:val="single"/>
        </w:rPr>
        <w:t xml:space="preserve"> (AC 1.2)</w:t>
      </w:r>
    </w:p>
    <w:p w14:paraId="53F87C4C" w14:textId="631CED29" w:rsidR="003553C0" w:rsidRPr="00E200BB" w:rsidRDefault="003553C0" w:rsidP="003553C0">
      <w:pPr>
        <w:spacing w:before="120"/>
        <w:rPr>
          <w:rFonts w:ascii="Arial" w:hAnsi="Arial" w:cs="Arial"/>
        </w:rPr>
      </w:pPr>
      <w:r w:rsidRPr="00E200BB">
        <w:rPr>
          <w:rFonts w:ascii="Arial" w:hAnsi="Arial" w:cs="Arial"/>
        </w:rPr>
        <w:t>SWOT is a business analysis tool that focuses on a business’ strengths, weakness</w:t>
      </w:r>
      <w:r w:rsidR="00170C62" w:rsidRPr="00E200BB">
        <w:rPr>
          <w:rFonts w:ascii="Arial" w:hAnsi="Arial" w:cs="Arial"/>
        </w:rPr>
        <w:t>es</w:t>
      </w:r>
      <w:r w:rsidRPr="00E200BB">
        <w:rPr>
          <w:rFonts w:ascii="Arial" w:hAnsi="Arial" w:cs="Arial"/>
        </w:rPr>
        <w:t xml:space="preserve">, </w:t>
      </w:r>
      <w:r w:rsidR="0049442A" w:rsidRPr="00E200BB">
        <w:rPr>
          <w:rFonts w:ascii="Arial" w:hAnsi="Arial" w:cs="Arial"/>
        </w:rPr>
        <w:t>opportunities,</w:t>
      </w:r>
      <w:r w:rsidRPr="00E200BB">
        <w:rPr>
          <w:rFonts w:ascii="Arial" w:hAnsi="Arial" w:cs="Arial"/>
        </w:rPr>
        <w:t xml:space="preserve"> and threats to understand key factors to achieve an objective and it creates the basis of a strategic plan (CIPD</w:t>
      </w:r>
      <w:r w:rsidR="00505C86" w:rsidRPr="00E200BB">
        <w:rPr>
          <w:rFonts w:ascii="Arial" w:hAnsi="Arial" w:cs="Arial"/>
        </w:rPr>
        <w:t>, 2023)</w:t>
      </w:r>
      <w:r w:rsidR="0049442A" w:rsidRPr="00E200BB">
        <w:rPr>
          <w:rFonts w:ascii="Arial" w:hAnsi="Arial" w:cs="Arial"/>
        </w:rPr>
        <w:t xml:space="preserve">. </w:t>
      </w:r>
      <w:r w:rsidRPr="00E200BB">
        <w:rPr>
          <w:rFonts w:ascii="Arial" w:hAnsi="Arial" w:cs="Arial"/>
        </w:rPr>
        <w:t>The information gained from a SWOT analysis can help managers to implement procedures to aid their decision making (Agarwal et al, 2012). SWOT is one of the most widely used management tools in the UK</w:t>
      </w:r>
      <w:r w:rsidR="00A808BA" w:rsidRPr="00E200BB">
        <w:rPr>
          <w:rFonts w:ascii="Arial" w:hAnsi="Arial" w:cs="Arial"/>
        </w:rPr>
        <w:t xml:space="preserve"> and in established </w:t>
      </w:r>
      <w:r w:rsidR="002247EA" w:rsidRPr="00E200BB">
        <w:rPr>
          <w:rFonts w:ascii="Arial" w:hAnsi="Arial" w:cs="Arial"/>
        </w:rPr>
        <w:t>business</w:t>
      </w:r>
      <w:r w:rsidR="002247EA">
        <w:rPr>
          <w:rFonts w:ascii="Arial" w:hAnsi="Arial" w:cs="Arial"/>
        </w:rPr>
        <w:t xml:space="preserve"> such as</w:t>
      </w:r>
      <w:r w:rsidR="00A808BA" w:rsidRPr="00E200BB">
        <w:rPr>
          <w:rFonts w:ascii="Arial" w:hAnsi="Arial" w:cs="Arial"/>
        </w:rPr>
        <w:t xml:space="preserve"> Ikea</w:t>
      </w:r>
      <w:r w:rsidRPr="00E200BB">
        <w:rPr>
          <w:rFonts w:ascii="Arial" w:hAnsi="Arial" w:cs="Arial"/>
        </w:rPr>
        <w:t xml:space="preserve"> (Gunn &amp; Williams, 2007</w:t>
      </w:r>
      <w:r w:rsidR="00A808BA" w:rsidRPr="00E200BB">
        <w:rPr>
          <w:rFonts w:ascii="Arial" w:hAnsi="Arial" w:cs="Arial"/>
        </w:rPr>
        <w:t>; Wu, 2020</w:t>
      </w:r>
      <w:r w:rsidRPr="00E200BB">
        <w:rPr>
          <w:rFonts w:ascii="Arial" w:hAnsi="Arial" w:cs="Arial"/>
        </w:rPr>
        <w:t>)</w:t>
      </w:r>
      <w:r w:rsidR="00A808BA" w:rsidRPr="00E200BB">
        <w:rPr>
          <w:rFonts w:ascii="Arial" w:hAnsi="Arial" w:cs="Arial"/>
        </w:rPr>
        <w:t>.</w:t>
      </w:r>
    </w:p>
    <w:p w14:paraId="3DB76731" w14:textId="1545B244" w:rsidR="00487224" w:rsidRPr="00E200BB" w:rsidRDefault="003553C0" w:rsidP="003553C0">
      <w:pPr>
        <w:spacing w:before="120"/>
        <w:rPr>
          <w:rFonts w:ascii="Arial" w:hAnsi="Arial" w:cs="Arial"/>
        </w:rPr>
      </w:pPr>
      <w:r w:rsidRPr="00E200BB">
        <w:rPr>
          <w:rFonts w:ascii="Arial" w:hAnsi="Arial" w:cs="Arial"/>
        </w:rPr>
        <w:t>SWOT is a simple and successful way to make decisions</w:t>
      </w:r>
      <w:r w:rsidR="00135FE9" w:rsidRPr="00E200BB">
        <w:rPr>
          <w:rFonts w:ascii="Arial" w:hAnsi="Arial" w:cs="Arial"/>
        </w:rPr>
        <w:t>,</w:t>
      </w:r>
      <w:r w:rsidRPr="00E200BB">
        <w:rPr>
          <w:rFonts w:ascii="Arial" w:hAnsi="Arial" w:cs="Arial"/>
        </w:rPr>
        <w:t xml:space="preserve"> compared to more complex analysis tools such as PESTLE and Porter’s Five Forces (</w:t>
      </w:r>
      <w:r w:rsidR="00A6626A" w:rsidRPr="00E200BB">
        <w:rPr>
          <w:rFonts w:ascii="Arial" w:hAnsi="Arial" w:cs="Arial"/>
        </w:rPr>
        <w:t xml:space="preserve">Kaschner, 2017). </w:t>
      </w:r>
      <w:r w:rsidRPr="00E200BB">
        <w:rPr>
          <w:rFonts w:ascii="Arial" w:hAnsi="Arial" w:cs="Arial"/>
        </w:rPr>
        <w:t>Although its simplistic nature, it can</w:t>
      </w:r>
      <w:r w:rsidR="00116505" w:rsidRPr="00E200BB">
        <w:rPr>
          <w:rFonts w:ascii="Arial" w:hAnsi="Arial" w:cs="Arial"/>
        </w:rPr>
        <w:t xml:space="preserve"> </w:t>
      </w:r>
      <w:r w:rsidR="002247EA" w:rsidRPr="00E200BB">
        <w:rPr>
          <w:rFonts w:ascii="Arial" w:hAnsi="Arial" w:cs="Arial"/>
        </w:rPr>
        <w:t>scale</w:t>
      </w:r>
      <w:r w:rsidR="00116505" w:rsidRPr="00E200BB">
        <w:rPr>
          <w:rFonts w:ascii="Arial" w:hAnsi="Arial" w:cs="Arial"/>
        </w:rPr>
        <w:t xml:space="preserve"> up or down and</w:t>
      </w:r>
      <w:r w:rsidRPr="00E200BB">
        <w:rPr>
          <w:rFonts w:ascii="Arial" w:hAnsi="Arial" w:cs="Arial"/>
        </w:rPr>
        <w:t xml:space="preserve"> requires the teams</w:t>
      </w:r>
      <w:r w:rsidR="001C70FE" w:rsidRPr="00E200BB">
        <w:rPr>
          <w:rFonts w:ascii="Arial" w:hAnsi="Arial" w:cs="Arial"/>
        </w:rPr>
        <w:t>’</w:t>
      </w:r>
      <w:r w:rsidRPr="00E200BB">
        <w:rPr>
          <w:rFonts w:ascii="Arial" w:hAnsi="Arial" w:cs="Arial"/>
        </w:rPr>
        <w:t xml:space="preserve"> strategic critical thinking so that core problems can be understood and improved (CIPD</w:t>
      </w:r>
      <w:r w:rsidR="00A6626A" w:rsidRPr="00E200BB">
        <w:rPr>
          <w:rFonts w:ascii="Arial" w:hAnsi="Arial" w:cs="Arial"/>
        </w:rPr>
        <w:t>, 2023</w:t>
      </w:r>
      <w:r w:rsidR="00116505" w:rsidRPr="00E200BB">
        <w:rPr>
          <w:rFonts w:ascii="Arial" w:hAnsi="Arial" w:cs="Arial"/>
        </w:rPr>
        <w:t xml:space="preserve">). </w:t>
      </w:r>
      <w:r w:rsidR="008F3043" w:rsidRPr="00E200BB">
        <w:rPr>
          <w:rFonts w:ascii="Arial" w:hAnsi="Arial" w:cs="Arial"/>
        </w:rPr>
        <w:t>T</w:t>
      </w:r>
      <w:r w:rsidRPr="00E200BB">
        <w:rPr>
          <w:rFonts w:ascii="Arial" w:hAnsi="Arial" w:cs="Arial"/>
        </w:rPr>
        <w:t xml:space="preserve">he SWOT analysis emphasises mostly </w:t>
      </w:r>
      <w:r w:rsidR="008F3043" w:rsidRPr="00E200BB">
        <w:rPr>
          <w:rFonts w:ascii="Arial" w:hAnsi="Arial" w:cs="Arial"/>
        </w:rPr>
        <w:t xml:space="preserve">on </w:t>
      </w:r>
      <w:r w:rsidRPr="00E200BB">
        <w:rPr>
          <w:rFonts w:ascii="Arial" w:hAnsi="Arial" w:cs="Arial"/>
        </w:rPr>
        <w:t xml:space="preserve">internal actions that can be taken whereas other tools look at </w:t>
      </w:r>
      <w:r w:rsidR="008F3043" w:rsidRPr="00E200BB">
        <w:rPr>
          <w:rFonts w:ascii="Arial" w:hAnsi="Arial" w:cs="Arial"/>
        </w:rPr>
        <w:t xml:space="preserve">more impactful </w:t>
      </w:r>
      <w:r w:rsidRPr="00E200BB">
        <w:rPr>
          <w:rFonts w:ascii="Arial" w:hAnsi="Arial" w:cs="Arial"/>
        </w:rPr>
        <w:t xml:space="preserve">external influences (Jadan </w:t>
      </w:r>
      <w:r w:rsidR="00E5592D">
        <w:rPr>
          <w:rFonts w:ascii="Arial" w:hAnsi="Arial" w:cs="Arial"/>
        </w:rPr>
        <w:t xml:space="preserve">et al, </w:t>
      </w:r>
      <w:r w:rsidRPr="00E200BB">
        <w:rPr>
          <w:rFonts w:ascii="Arial" w:hAnsi="Arial" w:cs="Arial"/>
        </w:rPr>
        <w:t xml:space="preserve">2020). For a SWOT analysis to be more effective, it is suggested that it is combined with another analysis tool as it focuses more on the internal factors </w:t>
      </w:r>
      <w:r w:rsidR="00EA0144" w:rsidRPr="00E200BB">
        <w:rPr>
          <w:rFonts w:ascii="Arial" w:hAnsi="Arial" w:cs="Arial"/>
        </w:rPr>
        <w:t>whereas others focus on</w:t>
      </w:r>
      <w:r w:rsidRPr="00E200BB">
        <w:rPr>
          <w:rFonts w:ascii="Arial" w:hAnsi="Arial" w:cs="Arial"/>
        </w:rPr>
        <w:t xml:space="preserve"> </w:t>
      </w:r>
      <w:r w:rsidR="00EA0144" w:rsidRPr="00E200BB">
        <w:rPr>
          <w:rFonts w:ascii="Arial" w:hAnsi="Arial" w:cs="Arial"/>
        </w:rPr>
        <w:t>external</w:t>
      </w:r>
      <w:r w:rsidRPr="00E200BB">
        <w:rPr>
          <w:rFonts w:ascii="Arial" w:hAnsi="Arial" w:cs="Arial"/>
        </w:rPr>
        <w:t xml:space="preserve"> factors such as PESTLE and Porter’s Five Forces (Dyson 2004; </w:t>
      </w:r>
      <w:proofErr w:type="spellStart"/>
      <w:r w:rsidRPr="00E200BB">
        <w:rPr>
          <w:rFonts w:ascii="Arial" w:hAnsi="Arial" w:cs="Arial"/>
        </w:rPr>
        <w:t>Adem</w:t>
      </w:r>
      <w:proofErr w:type="spellEnd"/>
      <w:r w:rsidRPr="00E200BB">
        <w:rPr>
          <w:rFonts w:ascii="Arial" w:hAnsi="Arial" w:cs="Arial"/>
        </w:rPr>
        <w:t xml:space="preserve"> et al, 20</w:t>
      </w:r>
      <w:r w:rsidR="000F2CC6" w:rsidRPr="00E200BB">
        <w:rPr>
          <w:rFonts w:ascii="Arial" w:hAnsi="Arial" w:cs="Arial"/>
        </w:rPr>
        <w:t>18)</w:t>
      </w:r>
      <w:r w:rsidRPr="00E200BB">
        <w:rPr>
          <w:rFonts w:ascii="Arial" w:hAnsi="Arial" w:cs="Arial"/>
        </w:rPr>
        <w:t xml:space="preserve">. </w:t>
      </w:r>
      <w:r w:rsidR="00487224" w:rsidRPr="00E200BB">
        <w:rPr>
          <w:rFonts w:ascii="Arial" w:hAnsi="Arial" w:cs="Arial"/>
        </w:rPr>
        <w:t xml:space="preserve">A SWOT analysis </w:t>
      </w:r>
      <w:r w:rsidRPr="00E200BB">
        <w:rPr>
          <w:rFonts w:ascii="Arial" w:hAnsi="Arial" w:cs="Arial"/>
        </w:rPr>
        <w:t>should be repeated</w:t>
      </w:r>
      <w:r w:rsidR="00BA14D6" w:rsidRPr="00E200BB">
        <w:rPr>
          <w:rFonts w:ascii="Arial" w:hAnsi="Arial" w:cs="Arial"/>
        </w:rPr>
        <w:t xml:space="preserve"> to stay current and up to date with everchanging trends.</w:t>
      </w:r>
    </w:p>
    <w:p w14:paraId="2B8A79D8" w14:textId="360013A8" w:rsidR="00A94840" w:rsidRPr="00E200BB" w:rsidRDefault="008903F6" w:rsidP="003553C0">
      <w:pPr>
        <w:spacing w:before="120"/>
        <w:rPr>
          <w:rFonts w:ascii="Arial" w:hAnsi="Arial" w:cs="Arial"/>
        </w:rPr>
      </w:pPr>
      <w:r w:rsidRPr="00E200BB">
        <w:rPr>
          <w:rFonts w:ascii="Arial" w:hAnsi="Arial" w:cs="Arial"/>
        </w:rPr>
        <w:t xml:space="preserve">Benchmarking is a </w:t>
      </w:r>
      <w:r w:rsidR="003553C0" w:rsidRPr="00E200BB">
        <w:rPr>
          <w:rFonts w:ascii="Arial" w:hAnsi="Arial" w:cs="Arial"/>
        </w:rPr>
        <w:t xml:space="preserve">method </w:t>
      </w:r>
      <w:r w:rsidRPr="00E200BB">
        <w:rPr>
          <w:rFonts w:ascii="Arial" w:hAnsi="Arial" w:cs="Arial"/>
        </w:rPr>
        <w:t>that involves</w:t>
      </w:r>
      <w:r w:rsidR="003553C0" w:rsidRPr="00E200BB">
        <w:rPr>
          <w:rFonts w:ascii="Arial" w:hAnsi="Arial" w:cs="Arial"/>
        </w:rPr>
        <w:t xml:space="preserve"> comparing</w:t>
      </w:r>
      <w:r w:rsidRPr="00E200BB">
        <w:rPr>
          <w:rFonts w:ascii="Arial" w:hAnsi="Arial" w:cs="Arial"/>
        </w:rPr>
        <w:t xml:space="preserve"> </w:t>
      </w:r>
      <w:r w:rsidR="003553C0" w:rsidRPr="00E200BB">
        <w:rPr>
          <w:rFonts w:ascii="Arial" w:hAnsi="Arial" w:cs="Arial"/>
        </w:rPr>
        <w:t xml:space="preserve">sector metrics from other organisations to improve </w:t>
      </w:r>
      <w:r w:rsidR="0072105E">
        <w:rPr>
          <w:rFonts w:ascii="Arial" w:hAnsi="Arial" w:cs="Arial"/>
        </w:rPr>
        <w:t>people practices</w:t>
      </w:r>
      <w:r w:rsidR="003553C0" w:rsidRPr="00E200BB">
        <w:rPr>
          <w:rFonts w:ascii="Arial" w:hAnsi="Arial" w:cs="Arial"/>
        </w:rPr>
        <w:t xml:space="preserve"> (</w:t>
      </w:r>
      <w:r w:rsidR="00A20933">
        <w:rPr>
          <w:rFonts w:ascii="Arial" w:hAnsi="Arial" w:cs="Arial"/>
        </w:rPr>
        <w:t>Armstrong &amp; Taylor, 2020</w:t>
      </w:r>
      <w:r w:rsidR="003553C0" w:rsidRPr="00E200BB">
        <w:rPr>
          <w:rFonts w:ascii="Arial" w:hAnsi="Arial" w:cs="Arial"/>
        </w:rPr>
        <w:t xml:space="preserve">). The data used for Benchmarking is </w:t>
      </w:r>
      <w:r w:rsidR="003553C0" w:rsidRPr="00E200BB">
        <w:rPr>
          <w:rFonts w:ascii="Arial" w:hAnsi="Arial" w:cs="Arial"/>
        </w:rPr>
        <w:lastRenderedPageBreak/>
        <w:t>extensive a</w:t>
      </w:r>
      <w:r w:rsidR="00B71CA8" w:rsidRPr="00E200BB">
        <w:rPr>
          <w:rFonts w:ascii="Arial" w:hAnsi="Arial" w:cs="Arial"/>
        </w:rPr>
        <w:t xml:space="preserve">nd </w:t>
      </w:r>
      <w:r w:rsidR="003553C0" w:rsidRPr="00E200BB">
        <w:rPr>
          <w:rFonts w:ascii="Arial" w:hAnsi="Arial" w:cs="Arial"/>
        </w:rPr>
        <w:t>it can include implicit</w:t>
      </w:r>
      <w:r w:rsidR="00B71CA8" w:rsidRPr="00E200BB">
        <w:rPr>
          <w:rFonts w:ascii="Arial" w:hAnsi="Arial" w:cs="Arial"/>
        </w:rPr>
        <w:t>/</w:t>
      </w:r>
      <w:r w:rsidR="003553C0" w:rsidRPr="00E200BB">
        <w:rPr>
          <w:rFonts w:ascii="Arial" w:hAnsi="Arial" w:cs="Arial"/>
        </w:rPr>
        <w:t>explicit data, quantitative</w:t>
      </w:r>
      <w:r w:rsidR="00B71CA8" w:rsidRPr="00E200BB">
        <w:rPr>
          <w:rFonts w:ascii="Arial" w:hAnsi="Arial" w:cs="Arial"/>
        </w:rPr>
        <w:t>/</w:t>
      </w:r>
      <w:r w:rsidR="003553C0" w:rsidRPr="00E200BB">
        <w:rPr>
          <w:rFonts w:ascii="Arial" w:hAnsi="Arial" w:cs="Arial"/>
        </w:rPr>
        <w:t>qualitive data</w:t>
      </w:r>
      <w:r w:rsidR="00F93DB9">
        <w:rPr>
          <w:rFonts w:ascii="Arial" w:hAnsi="Arial" w:cs="Arial"/>
        </w:rPr>
        <w:t xml:space="preserve"> and based on self-reflection</w:t>
      </w:r>
      <w:r w:rsidR="003553C0" w:rsidRPr="00E200BB">
        <w:rPr>
          <w:rFonts w:ascii="Arial" w:hAnsi="Arial" w:cs="Arial"/>
        </w:rPr>
        <w:t xml:space="preserve"> (Jackson,</w:t>
      </w:r>
      <w:r w:rsidR="00A94840" w:rsidRPr="00E200BB">
        <w:rPr>
          <w:rFonts w:ascii="Arial" w:hAnsi="Arial" w:cs="Arial"/>
        </w:rPr>
        <w:t xml:space="preserve"> </w:t>
      </w:r>
      <w:r w:rsidR="003553C0" w:rsidRPr="00E200BB">
        <w:rPr>
          <w:rFonts w:ascii="Arial" w:hAnsi="Arial" w:cs="Arial"/>
        </w:rPr>
        <w:t>2001).</w:t>
      </w:r>
    </w:p>
    <w:p w14:paraId="253D9B9A" w14:textId="2DCCDB03" w:rsidR="009B54FD" w:rsidRDefault="003553C0" w:rsidP="005742C9">
      <w:pPr>
        <w:spacing w:before="120"/>
        <w:rPr>
          <w:rFonts w:ascii="Arial" w:hAnsi="Arial" w:cs="Arial"/>
        </w:rPr>
      </w:pPr>
      <w:r w:rsidRPr="00E200BB">
        <w:rPr>
          <w:rFonts w:ascii="Arial" w:hAnsi="Arial" w:cs="Arial"/>
        </w:rPr>
        <w:t xml:space="preserve">The resource cost </w:t>
      </w:r>
      <w:r w:rsidR="00FE1340" w:rsidRPr="00E200BB">
        <w:rPr>
          <w:rFonts w:ascii="Arial" w:hAnsi="Arial" w:cs="Arial"/>
        </w:rPr>
        <w:t>can be a mini</w:t>
      </w:r>
      <w:r w:rsidR="006E6A92" w:rsidRPr="00E200BB">
        <w:rPr>
          <w:rFonts w:ascii="Arial" w:hAnsi="Arial" w:cs="Arial"/>
        </w:rPr>
        <w:t>mal</w:t>
      </w:r>
      <w:r w:rsidR="00FE1340" w:rsidRPr="00E200BB">
        <w:rPr>
          <w:rFonts w:ascii="Arial" w:hAnsi="Arial" w:cs="Arial"/>
        </w:rPr>
        <w:t xml:space="preserve"> as the HR team </w:t>
      </w:r>
      <w:r w:rsidR="009F1384" w:rsidRPr="00E200BB">
        <w:rPr>
          <w:rFonts w:ascii="Arial" w:hAnsi="Arial" w:cs="Arial"/>
        </w:rPr>
        <w:t>can provide</w:t>
      </w:r>
      <w:r w:rsidR="00FE1340" w:rsidRPr="00E200BB">
        <w:rPr>
          <w:rFonts w:ascii="Arial" w:hAnsi="Arial" w:cs="Arial"/>
        </w:rPr>
        <w:t xml:space="preserve"> this</w:t>
      </w:r>
      <w:r w:rsidRPr="00E200BB">
        <w:rPr>
          <w:rFonts w:ascii="Arial" w:hAnsi="Arial" w:cs="Arial"/>
        </w:rPr>
        <w:t xml:space="preserve"> - depending </w:t>
      </w:r>
      <w:r w:rsidR="00136233" w:rsidRPr="00E200BB">
        <w:rPr>
          <w:rFonts w:ascii="Arial" w:hAnsi="Arial" w:cs="Arial"/>
        </w:rPr>
        <w:t>on the detail needed</w:t>
      </w:r>
      <w:r w:rsidR="006E6A92" w:rsidRPr="00E200BB">
        <w:rPr>
          <w:rFonts w:ascii="Arial" w:hAnsi="Arial" w:cs="Arial"/>
        </w:rPr>
        <w:t xml:space="preserve"> </w:t>
      </w:r>
      <w:r w:rsidR="00136233" w:rsidRPr="00E200BB">
        <w:rPr>
          <w:rFonts w:ascii="Arial" w:hAnsi="Arial" w:cs="Arial"/>
        </w:rPr>
        <w:t xml:space="preserve">line managers may need to contribute. </w:t>
      </w:r>
      <w:r w:rsidRPr="00E200BB">
        <w:rPr>
          <w:rFonts w:ascii="Arial" w:hAnsi="Arial" w:cs="Arial"/>
        </w:rPr>
        <w:t>Collaboration and employee openness are key factors for this method and will ensure its success (Sciulli</w:t>
      </w:r>
      <w:r w:rsidR="00916086" w:rsidRPr="00E200BB">
        <w:rPr>
          <w:rFonts w:ascii="Arial" w:hAnsi="Arial" w:cs="Arial"/>
        </w:rPr>
        <w:t xml:space="preserve"> et al, </w:t>
      </w:r>
      <w:r w:rsidRPr="00E200BB">
        <w:rPr>
          <w:rFonts w:ascii="Arial" w:hAnsi="Arial" w:cs="Arial"/>
        </w:rPr>
        <w:t>2009</w:t>
      </w:r>
      <w:r w:rsidR="00896B46" w:rsidRPr="00E200BB">
        <w:rPr>
          <w:rFonts w:ascii="Arial" w:hAnsi="Arial" w:cs="Arial"/>
        </w:rPr>
        <w:t>). The</w:t>
      </w:r>
      <w:r w:rsidR="006E6A92" w:rsidRPr="00E200BB">
        <w:rPr>
          <w:rFonts w:ascii="Arial" w:hAnsi="Arial" w:cs="Arial"/>
        </w:rPr>
        <w:t xml:space="preserve"> effectiveness </w:t>
      </w:r>
      <w:r w:rsidR="008C13E4" w:rsidRPr="00E200BB">
        <w:rPr>
          <w:rFonts w:ascii="Arial" w:hAnsi="Arial" w:cs="Arial"/>
        </w:rPr>
        <w:t xml:space="preserve">and outcome </w:t>
      </w:r>
      <w:r w:rsidR="006E6A92" w:rsidRPr="00E200BB">
        <w:rPr>
          <w:rFonts w:ascii="Arial" w:hAnsi="Arial" w:cs="Arial"/>
        </w:rPr>
        <w:t>of benchmarking relie</w:t>
      </w:r>
      <w:r w:rsidR="008C13E4" w:rsidRPr="00E200BB">
        <w:rPr>
          <w:rFonts w:ascii="Arial" w:hAnsi="Arial" w:cs="Arial"/>
        </w:rPr>
        <w:t>s</w:t>
      </w:r>
      <w:r w:rsidR="006E6A92" w:rsidRPr="00E200BB">
        <w:rPr>
          <w:rFonts w:ascii="Arial" w:hAnsi="Arial" w:cs="Arial"/>
        </w:rPr>
        <w:t xml:space="preserve"> on the data</w:t>
      </w:r>
      <w:r w:rsidRPr="00E200BB">
        <w:rPr>
          <w:rFonts w:ascii="Arial" w:hAnsi="Arial" w:cs="Arial"/>
        </w:rPr>
        <w:t xml:space="preserve"> included in analysis</w:t>
      </w:r>
      <w:r w:rsidR="00FC4F72" w:rsidRPr="00E200BB">
        <w:rPr>
          <w:rFonts w:ascii="Arial" w:hAnsi="Arial" w:cs="Arial"/>
        </w:rPr>
        <w:t xml:space="preserve"> and its reliability </w:t>
      </w:r>
      <w:r w:rsidR="00FC1B13">
        <w:rPr>
          <w:rFonts w:ascii="Arial" w:hAnsi="Arial" w:cs="Arial"/>
        </w:rPr>
        <w:t>on the current organisation</w:t>
      </w:r>
      <w:r w:rsidR="008B6D64" w:rsidRPr="00E200BB">
        <w:rPr>
          <w:rFonts w:ascii="Arial" w:hAnsi="Arial" w:cs="Arial"/>
        </w:rPr>
        <w:t xml:space="preserve"> (Bramham, </w:t>
      </w:r>
      <w:r w:rsidR="008C65A5" w:rsidRPr="00E200BB">
        <w:rPr>
          <w:rFonts w:ascii="Arial" w:hAnsi="Arial" w:cs="Arial"/>
        </w:rPr>
        <w:t>1997)</w:t>
      </w:r>
      <w:r w:rsidR="008C13E4" w:rsidRPr="00E200BB">
        <w:rPr>
          <w:rFonts w:ascii="Arial" w:hAnsi="Arial" w:cs="Arial"/>
        </w:rPr>
        <w:t xml:space="preserve">. </w:t>
      </w:r>
      <w:r w:rsidRPr="00E200BB">
        <w:rPr>
          <w:rFonts w:ascii="Arial" w:hAnsi="Arial" w:cs="Arial"/>
        </w:rPr>
        <w:t xml:space="preserve">With this type of analysis, professionals tend to imitate the most visual practices from </w:t>
      </w:r>
      <w:r w:rsidR="002A5E28" w:rsidRPr="00E200BB">
        <w:rPr>
          <w:rFonts w:ascii="Arial" w:hAnsi="Arial" w:cs="Arial"/>
        </w:rPr>
        <w:t>other organisations</w:t>
      </w:r>
      <w:r w:rsidRPr="00E200BB">
        <w:rPr>
          <w:rFonts w:ascii="Arial" w:hAnsi="Arial" w:cs="Arial"/>
        </w:rPr>
        <w:t xml:space="preserve">, but this might not be </w:t>
      </w:r>
      <w:r w:rsidR="00B17D4F">
        <w:rPr>
          <w:rFonts w:ascii="Arial" w:hAnsi="Arial" w:cs="Arial"/>
        </w:rPr>
        <w:t xml:space="preserve">tailored to all </w:t>
      </w:r>
      <w:r w:rsidRPr="00E200BB">
        <w:rPr>
          <w:rFonts w:ascii="Arial" w:hAnsi="Arial" w:cs="Arial"/>
        </w:rPr>
        <w:t>(Pfeffer &amp; Sutton, 2006)</w:t>
      </w:r>
      <w:r w:rsidR="00F93DB9">
        <w:rPr>
          <w:rFonts w:ascii="Arial" w:hAnsi="Arial" w:cs="Arial"/>
        </w:rPr>
        <w:t xml:space="preserve">. </w:t>
      </w:r>
      <w:r w:rsidR="00E94E2C">
        <w:rPr>
          <w:rFonts w:ascii="Arial" w:hAnsi="Arial" w:cs="Arial"/>
        </w:rPr>
        <w:t xml:space="preserve">Organisations </w:t>
      </w:r>
      <w:r w:rsidR="005742C9">
        <w:rPr>
          <w:rFonts w:ascii="Arial" w:hAnsi="Arial" w:cs="Arial"/>
        </w:rPr>
        <w:t>should</w:t>
      </w:r>
      <w:r w:rsidR="00E94E2C">
        <w:rPr>
          <w:rFonts w:ascii="Arial" w:hAnsi="Arial" w:cs="Arial"/>
        </w:rPr>
        <w:t xml:space="preserve"> take inspiration from this evidence</w:t>
      </w:r>
      <w:r w:rsidR="00F93DB9">
        <w:rPr>
          <w:rFonts w:ascii="Arial" w:hAnsi="Arial" w:cs="Arial"/>
        </w:rPr>
        <w:t xml:space="preserve"> and not ‘copy’ it.</w:t>
      </w:r>
    </w:p>
    <w:p w14:paraId="66A45C1A" w14:textId="77777777" w:rsidR="00CC246B" w:rsidRPr="00E200BB" w:rsidRDefault="00CC246B" w:rsidP="005742C9">
      <w:pPr>
        <w:spacing w:before="120"/>
        <w:rPr>
          <w:rFonts w:ascii="Arial" w:hAnsi="Arial" w:cs="Arial"/>
        </w:rPr>
      </w:pPr>
    </w:p>
    <w:p w14:paraId="4D35B8A5" w14:textId="6C339DFD" w:rsidR="00B32929" w:rsidRPr="00E200BB" w:rsidRDefault="001E14D5" w:rsidP="00F12C08">
      <w:pPr>
        <w:pStyle w:val="BodyText"/>
        <w:tabs>
          <w:tab w:val="right" w:pos="8743"/>
        </w:tabs>
        <w:spacing w:before="162" w:line="264" w:lineRule="auto"/>
        <w:ind w:right="283"/>
        <w:jc w:val="both"/>
        <w:rPr>
          <w:b/>
          <w:bCs/>
          <w:u w:val="single"/>
        </w:rPr>
      </w:pPr>
      <w:r w:rsidRPr="00E200BB">
        <w:rPr>
          <w:b/>
          <w:bCs/>
          <w:u w:val="single"/>
        </w:rPr>
        <w:t>Main Principles of Critical Thinking</w:t>
      </w:r>
      <w:r w:rsidR="003B7750">
        <w:rPr>
          <w:b/>
          <w:bCs/>
          <w:u w:val="single"/>
        </w:rPr>
        <w:t xml:space="preserve"> (AC 1.3)</w:t>
      </w:r>
    </w:p>
    <w:p w14:paraId="13072933" w14:textId="28211DE9" w:rsidR="00DC2583" w:rsidRPr="00E200BB" w:rsidRDefault="00DC2583" w:rsidP="00DC2583">
      <w:pPr>
        <w:pStyle w:val="BodyText"/>
        <w:spacing w:before="162" w:line="264" w:lineRule="auto"/>
        <w:ind w:right="283"/>
        <w:jc w:val="both"/>
      </w:pPr>
      <w:r w:rsidRPr="00E200BB">
        <w:t>Critical thinking involves interpreting the data obtained and making an informed conclusion and sorting through ‘ill-defined assumptions (Armstrong and Taylor, 20</w:t>
      </w:r>
      <w:r w:rsidR="003A7D19">
        <w:t>20</w:t>
      </w:r>
      <w:r w:rsidRPr="00E200BB">
        <w:t>). Critical thinking is a cognitive skill that involves the ability to think in analytical and evaluative ways. This is by using mental processes such as attention, categorisation, selection and judgement (</w:t>
      </w:r>
      <w:r w:rsidR="00882D46">
        <w:t>Cottrell, 2011</w:t>
      </w:r>
      <w:r w:rsidRPr="00E200BB">
        <w:t xml:space="preserve">). There are multiple principles of critical thinking such </w:t>
      </w:r>
      <w:r w:rsidR="00882D46" w:rsidRPr="00E200BB">
        <w:t>as</w:t>
      </w:r>
      <w:r w:rsidRPr="00E200BB">
        <w:t xml:space="preserve"> rational thinking, awareness of biases, questioning the data and the media’s influence.</w:t>
      </w:r>
    </w:p>
    <w:p w14:paraId="46768BC5" w14:textId="33AB7C59" w:rsidR="00DC2583" w:rsidRPr="00E200BB" w:rsidRDefault="00DC2583" w:rsidP="00DC2583">
      <w:pPr>
        <w:pStyle w:val="BodyText"/>
        <w:spacing w:before="162" w:line="264" w:lineRule="auto"/>
        <w:ind w:right="283"/>
        <w:jc w:val="both"/>
      </w:pPr>
      <w:r w:rsidRPr="00E200BB">
        <w:t xml:space="preserve">Many professionals instinctively use an intuitive decision-making process which is quick and based on limited information. The decisions that follow this intuitive approach can be biased and affected by heuristics – this effects the objectivity of the decision </w:t>
      </w:r>
      <w:r w:rsidR="008871D0" w:rsidRPr="00E200BB">
        <w:t>and increases</w:t>
      </w:r>
      <w:r w:rsidRPr="00E200BB">
        <w:t xml:space="preserve"> more errors in decision-making (Russ et al, 1996). A more rational approach to decision making can be adopted so that professionals can think critically and use a more evidence-based approach. </w:t>
      </w:r>
    </w:p>
    <w:p w14:paraId="4CDCDABC" w14:textId="5B2F335F" w:rsidR="00DC2583" w:rsidRDefault="00DC2583" w:rsidP="00DC2583">
      <w:pPr>
        <w:pStyle w:val="BodyText"/>
        <w:spacing w:before="162" w:line="264" w:lineRule="auto"/>
        <w:ind w:right="283"/>
        <w:jc w:val="both"/>
      </w:pPr>
      <w:r w:rsidRPr="00E200BB">
        <w:t xml:space="preserve">Another principle of critical thinking is to question the validity of the evidence that you have been presented with. In our modern world where we have vast amounts of evidence at our fingertips – </w:t>
      </w:r>
      <w:r w:rsidR="00DC30AD" w:rsidRPr="00E200BB">
        <w:t>it’s</w:t>
      </w:r>
      <w:r w:rsidRPr="00E200BB">
        <w:t xml:space="preserve"> important to determine whether the evidence is factual or solely opinion and subject to biases. Many professionals use social media</w:t>
      </w:r>
      <w:r w:rsidR="00CA1CD3" w:rsidRPr="00E200BB">
        <w:t xml:space="preserve"> for t</w:t>
      </w:r>
      <w:r w:rsidRPr="00E200BB">
        <w:t xml:space="preserve">heir </w:t>
      </w:r>
      <w:r w:rsidR="008651F6" w:rsidRPr="00E200BB">
        <w:t>research,</w:t>
      </w:r>
      <w:r w:rsidR="00CA1CD3" w:rsidRPr="00E200BB">
        <w:t xml:space="preserve"> and it can impact an individual’s decision-making process </w:t>
      </w:r>
      <w:r w:rsidRPr="00E200BB">
        <w:t xml:space="preserve">(Kirkpatrick, 2011). </w:t>
      </w:r>
      <w:r w:rsidR="005730AD" w:rsidRPr="00E200BB">
        <w:t>Instead of</w:t>
      </w:r>
      <w:r w:rsidRPr="00E200BB">
        <w:t xml:space="preserve"> focusing on the information in front of us,</w:t>
      </w:r>
      <w:r w:rsidR="00B67F35" w:rsidRPr="00E200BB">
        <w:t xml:space="preserve"> </w:t>
      </w:r>
      <w:r w:rsidRPr="00E200BB">
        <w:t>the information presented</w:t>
      </w:r>
      <w:r w:rsidR="00D92798" w:rsidRPr="00E200BB">
        <w:t xml:space="preserve"> </w:t>
      </w:r>
      <w:r w:rsidR="00B67F35" w:rsidRPr="00E200BB">
        <w:t xml:space="preserve">should be questioned </w:t>
      </w:r>
      <w:r w:rsidR="00D92798" w:rsidRPr="00E200BB">
        <w:t>using numerous</w:t>
      </w:r>
      <w:r w:rsidRPr="00E200BB">
        <w:t xml:space="preserve"> to do a critical review of the evidence gathered</w:t>
      </w:r>
      <w:r w:rsidR="00D92798" w:rsidRPr="00E200BB">
        <w:t xml:space="preserve"> (CIPD</w:t>
      </w:r>
      <w:r w:rsidR="00325DEB" w:rsidRPr="00E200BB">
        <w:t>,</w:t>
      </w:r>
      <w:r w:rsidR="00D92798" w:rsidRPr="00E200BB">
        <w:t xml:space="preserve"> 2016)</w:t>
      </w:r>
      <w:r w:rsidRPr="00E200BB">
        <w:t xml:space="preserve">. Some of the ways to conduct effective questioning </w:t>
      </w:r>
      <w:r w:rsidR="00624126" w:rsidRPr="00E200BB">
        <w:t>involves</w:t>
      </w:r>
      <w:r w:rsidRPr="00E200BB">
        <w:t xml:space="preserve"> asking open ended questions, asking questions to reconsider your thoughts and by picking apart the methodology and conclusions drawn in the evidence. By critically appeasing the evidence and asking these types of questions, it will filter out whether the evidence is opinion based and biased or objective and justified research.</w:t>
      </w:r>
    </w:p>
    <w:p w14:paraId="02877E47" w14:textId="77777777" w:rsidR="00CC246B" w:rsidRPr="00E200BB" w:rsidRDefault="00CC246B" w:rsidP="00DC2583">
      <w:pPr>
        <w:pStyle w:val="BodyText"/>
        <w:spacing w:before="162" w:line="264" w:lineRule="auto"/>
        <w:ind w:right="283"/>
        <w:jc w:val="both"/>
      </w:pPr>
    </w:p>
    <w:p w14:paraId="56E44882" w14:textId="6928F94F" w:rsidR="001E14D5" w:rsidRDefault="00793BB9" w:rsidP="00F12C08">
      <w:pPr>
        <w:pStyle w:val="BodyText"/>
        <w:tabs>
          <w:tab w:val="right" w:pos="8743"/>
        </w:tabs>
        <w:spacing w:before="162" w:line="264" w:lineRule="auto"/>
        <w:ind w:right="283"/>
        <w:jc w:val="both"/>
        <w:rPr>
          <w:b/>
          <w:bCs/>
          <w:u w:val="single"/>
        </w:rPr>
      </w:pPr>
      <w:r w:rsidRPr="00E200BB">
        <w:rPr>
          <w:b/>
          <w:bCs/>
          <w:u w:val="single"/>
        </w:rPr>
        <w:t>Decision Making Processes</w:t>
      </w:r>
      <w:r w:rsidR="003B7750">
        <w:rPr>
          <w:b/>
          <w:bCs/>
          <w:u w:val="single"/>
        </w:rPr>
        <w:t xml:space="preserve"> (AC 1.4)</w:t>
      </w:r>
    </w:p>
    <w:p w14:paraId="02A969CA" w14:textId="5B833D3F" w:rsidR="007C0F96" w:rsidRPr="00E200BB" w:rsidRDefault="00F93A64" w:rsidP="00CE00F7">
      <w:pPr>
        <w:pStyle w:val="BodyText"/>
        <w:spacing w:before="162" w:line="264" w:lineRule="auto"/>
        <w:ind w:right="283"/>
        <w:jc w:val="both"/>
      </w:pPr>
      <w:r w:rsidRPr="00E200BB">
        <w:t xml:space="preserve">There are numerous decision-making processes to aid </w:t>
      </w:r>
      <w:r w:rsidRPr="00E200BB">
        <w:t xml:space="preserve">decision-making </w:t>
      </w:r>
      <w:r w:rsidRPr="00E200BB">
        <w:t>for performance management</w:t>
      </w:r>
      <w:r w:rsidRPr="00E200BB">
        <w:t>.</w:t>
      </w:r>
      <w:r w:rsidRPr="00E200BB">
        <w:t xml:space="preserve"> </w:t>
      </w:r>
      <w:r w:rsidR="00CE00F7" w:rsidRPr="00E200BB">
        <w:t>De Bono (</w:t>
      </w:r>
      <w:r w:rsidR="00857B8D">
        <w:t>2017</w:t>
      </w:r>
      <w:r w:rsidR="00CE00F7" w:rsidRPr="00E200BB">
        <w:t xml:space="preserve">) developed a theory </w:t>
      </w:r>
      <w:r w:rsidR="00E77AD2" w:rsidRPr="00E200BB">
        <w:t>of ‘</w:t>
      </w:r>
      <w:r w:rsidR="00CE00F7" w:rsidRPr="00E200BB">
        <w:t>Six Thinking Hats’ which reflects his belief</w:t>
      </w:r>
      <w:r w:rsidR="00E77AD2" w:rsidRPr="00E200BB">
        <w:t>s</w:t>
      </w:r>
      <w:r w:rsidR="00CE00F7" w:rsidRPr="00E200BB">
        <w:t xml:space="preserve"> that it is more valuable to use simple methods effectively than complicat</w:t>
      </w:r>
      <w:r w:rsidR="00E200BB" w:rsidRPr="00E200BB">
        <w:t>ed</w:t>
      </w:r>
      <w:r w:rsidR="00CE00F7" w:rsidRPr="00E200BB">
        <w:t xml:space="preserve"> methods </w:t>
      </w:r>
      <w:r w:rsidR="00E200BB" w:rsidRPr="00E200BB">
        <w:t xml:space="preserve">for decision-making. </w:t>
      </w:r>
      <w:r w:rsidR="00CE00F7" w:rsidRPr="00E200BB">
        <w:t xml:space="preserve">The Six steps are described further </w:t>
      </w:r>
      <w:r w:rsidR="00E200BB" w:rsidRPr="00E200BB">
        <w:t>in Figure 1.</w:t>
      </w:r>
    </w:p>
    <w:p w14:paraId="5CC31FD8" w14:textId="4BE55FFB" w:rsidR="007C0F96" w:rsidRPr="00E200BB" w:rsidRDefault="007C0F96" w:rsidP="00CE00F7">
      <w:pPr>
        <w:pStyle w:val="BodyText"/>
        <w:spacing w:before="162" w:line="264" w:lineRule="auto"/>
        <w:ind w:right="283"/>
        <w:jc w:val="both"/>
      </w:pPr>
      <w:r w:rsidRPr="00E200BB">
        <w:rPr>
          <w:noProof/>
        </w:rPr>
        <w:lastRenderedPageBreak/>
        <w:drawing>
          <wp:inline distT="0" distB="0" distL="0" distR="0" wp14:anchorId="3BC6F3B8" wp14:editId="38CACEA6">
            <wp:extent cx="2851842" cy="2851842"/>
            <wp:effectExtent l="0" t="0" r="5715" b="5715"/>
            <wp:docPr id="658671394" name="Picture 1" descr="The six thinking hats by Edward de Bono | Six thinking hats, Sof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thinking hats by Edward de Bono | Six thinking hats, Sof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4757" cy="2854757"/>
                    </a:xfrm>
                    <a:prstGeom prst="rect">
                      <a:avLst/>
                    </a:prstGeom>
                    <a:noFill/>
                    <a:ln>
                      <a:noFill/>
                    </a:ln>
                  </pic:spPr>
                </pic:pic>
              </a:graphicData>
            </a:graphic>
          </wp:inline>
        </w:drawing>
      </w:r>
    </w:p>
    <w:p w14:paraId="7FB93D5B" w14:textId="4253EE05" w:rsidR="007C0F96" w:rsidRDefault="007C0F96" w:rsidP="00CE00F7">
      <w:pPr>
        <w:pStyle w:val="BodyText"/>
        <w:spacing w:before="162" w:line="264" w:lineRule="auto"/>
        <w:ind w:right="283"/>
        <w:jc w:val="both"/>
        <w:rPr>
          <w:i/>
          <w:iCs/>
        </w:rPr>
      </w:pPr>
      <w:r w:rsidRPr="00687BA2">
        <w:rPr>
          <w:i/>
          <w:iCs/>
        </w:rPr>
        <w:t>Figure 1 – De Bono’s Six Thinking Hats.</w:t>
      </w:r>
    </w:p>
    <w:p w14:paraId="13312EA5" w14:textId="77777777" w:rsidR="00687BA2" w:rsidRPr="00687BA2" w:rsidRDefault="00687BA2" w:rsidP="00CE00F7">
      <w:pPr>
        <w:pStyle w:val="BodyText"/>
        <w:spacing w:before="162" w:line="264" w:lineRule="auto"/>
        <w:ind w:right="283"/>
        <w:jc w:val="both"/>
        <w:rPr>
          <w:i/>
          <w:iCs/>
        </w:rPr>
      </w:pPr>
    </w:p>
    <w:p w14:paraId="2E433F40" w14:textId="277148DD" w:rsidR="00CE00F7" w:rsidRPr="00E200BB" w:rsidRDefault="00CE00F7" w:rsidP="00CE00F7">
      <w:pPr>
        <w:pStyle w:val="BodyText"/>
        <w:spacing w:before="162" w:line="264" w:lineRule="auto"/>
        <w:ind w:right="283"/>
        <w:jc w:val="both"/>
      </w:pPr>
      <w:r w:rsidRPr="00E200BB">
        <w:t>This six-hat technique involves looking a problem through different perspectives using one step at a time, it encourages professionals to consider alternative ways of thinking based on the hat’s purpose. It has been found that this process is effective and is a powerful tool for organisations to use to get the best business results (</w:t>
      </w:r>
      <w:r w:rsidR="00A8694B">
        <w:rPr>
          <w:color w:val="222222"/>
          <w:sz w:val="20"/>
          <w:szCs w:val="20"/>
          <w:shd w:val="clear" w:color="auto" w:fill="FFFFFF"/>
        </w:rPr>
        <w:t>Aithal &amp; Kumar, 2017</w:t>
      </w:r>
      <w:r w:rsidR="00A8694B">
        <w:rPr>
          <w:color w:val="222222"/>
          <w:sz w:val="20"/>
          <w:szCs w:val="20"/>
          <w:shd w:val="clear" w:color="auto" w:fill="FFFFFF"/>
        </w:rPr>
        <w:t>)</w:t>
      </w:r>
      <w:r w:rsidR="00E627CC">
        <w:rPr>
          <w:color w:val="222222"/>
          <w:sz w:val="20"/>
          <w:szCs w:val="20"/>
          <w:shd w:val="clear" w:color="auto" w:fill="FFFFFF"/>
        </w:rPr>
        <w:t>.</w:t>
      </w:r>
    </w:p>
    <w:p w14:paraId="64DE4C85" w14:textId="70DC204C" w:rsidR="00CE00F7" w:rsidRPr="00E200BB" w:rsidRDefault="00CE00F7" w:rsidP="00CE00F7">
      <w:pPr>
        <w:pStyle w:val="BodyText"/>
        <w:spacing w:before="162" w:line="264" w:lineRule="auto"/>
        <w:ind w:right="283"/>
        <w:jc w:val="both"/>
      </w:pPr>
      <w:r w:rsidRPr="00E200BB">
        <w:t>Another well-known decision-making process is Lewin’s Force Field Analysis (</w:t>
      </w:r>
      <w:r w:rsidR="00E55F64">
        <w:t>Tahir, 2019)</w:t>
      </w:r>
      <w:r w:rsidR="00125025">
        <w:t xml:space="preserve"> </w:t>
      </w:r>
      <w:r w:rsidR="00001653">
        <w:t>that</w:t>
      </w:r>
      <w:r w:rsidRPr="00E200BB">
        <w:t xml:space="preserve"> involves analysing a situation and identifying what the forces are that drive or resist change</w:t>
      </w:r>
      <w:r w:rsidR="00EF2427">
        <w:t>.</w:t>
      </w:r>
      <w:r w:rsidRPr="00E200BB">
        <w:t xml:space="preserve"> This is completed by defining the change, identifying the driving and restraining forces, evaluate both forces to then develop and action plan. Professionals can then analyse the factors that are influencing the change and provide a roadmap to be successful. This analysis has been found to be effective when being carried out in small groups and with the groups’ involvement (Ramalingam, 2006). </w:t>
      </w:r>
    </w:p>
    <w:p w14:paraId="16EAF145" w14:textId="7C75C54A" w:rsidR="003357F2" w:rsidRDefault="00CE00F7" w:rsidP="000B51D5">
      <w:pPr>
        <w:pStyle w:val="BodyText"/>
        <w:spacing w:before="162" w:line="264" w:lineRule="auto"/>
        <w:ind w:right="283"/>
        <w:jc w:val="both"/>
      </w:pPr>
      <w:r w:rsidRPr="00E200BB">
        <w:t>Lastly, the Brainstorming</w:t>
      </w:r>
      <w:r w:rsidR="009D63E1">
        <w:t xml:space="preserve"> </w:t>
      </w:r>
      <w:r w:rsidRPr="00E200BB">
        <w:t xml:space="preserve">decision-making process is used to generate group ideas. Osborn (1963) formulated a more systematic approach for brainstorming that includes withholding criticisms until the end of </w:t>
      </w:r>
      <w:r w:rsidR="009D63E1">
        <w:t>the</w:t>
      </w:r>
      <w:r w:rsidRPr="00E200BB">
        <w:t xml:space="preserve"> process, total freedom to express ideas, the more ideas the better and suggestions regarding improvements are sought. It is important to ensure that all group members are involved with this process and to eliminate biases such as group think. Dennis &amp; Williams (2003) used computers for groups to share their ideas so that more participants would speak up</w:t>
      </w:r>
      <w:r w:rsidR="00B12583">
        <w:t xml:space="preserve">, another way was to set a time limit on brainstorming </w:t>
      </w:r>
      <w:r w:rsidR="00055D07">
        <w:t>so that the team worked together to real the group goal</w:t>
      </w:r>
      <w:r w:rsidRPr="00E200BB">
        <w:t xml:space="preserve"> (Wegge &amp; Haslam, 2005</w:t>
      </w:r>
      <w:r w:rsidR="000A7C8D">
        <w:t>).</w:t>
      </w:r>
    </w:p>
    <w:p w14:paraId="539127E5" w14:textId="77777777" w:rsidR="00E627CC" w:rsidRPr="00E627CC" w:rsidRDefault="00E627CC" w:rsidP="000B51D5">
      <w:pPr>
        <w:pStyle w:val="BodyText"/>
        <w:spacing w:before="162" w:line="264" w:lineRule="auto"/>
        <w:ind w:right="283"/>
        <w:jc w:val="both"/>
      </w:pPr>
    </w:p>
    <w:p w14:paraId="3D3AF27E" w14:textId="3C6C3E52" w:rsidR="000F248A" w:rsidRPr="00E200BB" w:rsidRDefault="00793BB9" w:rsidP="00F12C08">
      <w:pPr>
        <w:pStyle w:val="BodyText"/>
        <w:tabs>
          <w:tab w:val="right" w:pos="8743"/>
        </w:tabs>
        <w:spacing w:before="162" w:line="264" w:lineRule="auto"/>
        <w:ind w:right="283"/>
        <w:jc w:val="both"/>
        <w:rPr>
          <w:b/>
          <w:bCs/>
          <w:u w:val="single"/>
        </w:rPr>
      </w:pPr>
      <w:r w:rsidRPr="00E200BB">
        <w:rPr>
          <w:b/>
          <w:bCs/>
          <w:u w:val="single"/>
        </w:rPr>
        <w:t>Ethical Perspectives</w:t>
      </w:r>
      <w:r w:rsidR="00A03DAB" w:rsidRPr="00E200BB">
        <w:rPr>
          <w:b/>
          <w:bCs/>
          <w:u w:val="single"/>
        </w:rPr>
        <w:t xml:space="preserve"> </w:t>
      </w:r>
      <w:r w:rsidR="003B7750">
        <w:rPr>
          <w:b/>
          <w:bCs/>
          <w:u w:val="single"/>
        </w:rPr>
        <w:t>(AC 1.5)</w:t>
      </w:r>
    </w:p>
    <w:p w14:paraId="3F90046C" w14:textId="261C9CF0" w:rsidR="006138EB" w:rsidRPr="00E200BB" w:rsidRDefault="006138EB" w:rsidP="006138EB">
      <w:pPr>
        <w:pStyle w:val="BodyText"/>
        <w:spacing w:before="162" w:line="264" w:lineRule="auto"/>
        <w:ind w:right="283"/>
        <w:jc w:val="both"/>
      </w:pPr>
      <w:r w:rsidRPr="00E200BB">
        <w:t xml:space="preserve">According to CIPD (2022), Ethical practice is the application of ethical values in an </w:t>
      </w:r>
      <w:r w:rsidR="00805D4D" w:rsidRPr="00E200BB">
        <w:t>organisation’s</w:t>
      </w:r>
      <w:r w:rsidRPr="00E200BB">
        <w:t xml:space="preserve"> behaviour</w:t>
      </w:r>
      <w:r w:rsidR="00535C62">
        <w:t xml:space="preserve"> and the</w:t>
      </w:r>
      <w:r w:rsidRPr="00E200BB">
        <w:t xml:space="preserve"> decisions that </w:t>
      </w:r>
      <w:r w:rsidR="00535C62">
        <w:t>are</w:t>
      </w:r>
      <w:r w:rsidR="00485C05">
        <w:t xml:space="preserve"> </w:t>
      </w:r>
      <w:r w:rsidR="00406461">
        <w:t>disclose</w:t>
      </w:r>
      <w:r w:rsidR="00485C05">
        <w:t>d</w:t>
      </w:r>
      <w:r w:rsidR="00406461">
        <w:t xml:space="preserve"> to</w:t>
      </w:r>
      <w:r w:rsidRPr="00E200BB">
        <w:t xml:space="preserve"> stakeholders</w:t>
      </w:r>
      <w:r w:rsidR="00406461">
        <w:t>.</w:t>
      </w:r>
      <w:r w:rsidR="00143660">
        <w:t xml:space="preserve"> </w:t>
      </w:r>
      <w:r w:rsidRPr="00E200BB">
        <w:t xml:space="preserve">Ethics from a Deontologist viewpoint hold emphasis on duty and morality in individual’s behaviour – Deon originates from the Greek work meaning ‘duty’. This theory is associated with Kant’s notion that one should follow principle and what is right for one is right for all. This perspective focuses on the nature of the action and the motive to determine whether </w:t>
      </w:r>
      <w:r w:rsidRPr="00E200BB">
        <w:lastRenderedPageBreak/>
        <w:t xml:space="preserve">something is right or wrong – some actions are intrinsically right or wrong. This theory influences moral decisions by adhering to set rules and duties over the outcome and consequence of an action. </w:t>
      </w:r>
    </w:p>
    <w:p w14:paraId="13067BA7" w14:textId="0E55D38A" w:rsidR="006138EB" w:rsidRPr="00E200BB" w:rsidRDefault="006138EB" w:rsidP="006138EB">
      <w:pPr>
        <w:pStyle w:val="BodyText"/>
        <w:spacing w:before="162" w:line="264" w:lineRule="auto"/>
        <w:ind w:right="283"/>
        <w:jc w:val="both"/>
      </w:pPr>
      <w:r w:rsidRPr="00E200BB">
        <w:t xml:space="preserve">The </w:t>
      </w:r>
      <w:r w:rsidRPr="00CA054F">
        <w:t>CIPD (2015)</w:t>
      </w:r>
      <w:r w:rsidRPr="00E200BB">
        <w:t xml:space="preserve"> identify ‘eight lenses’ which offer a different perspective on workplace difficulties. These lenses are the Fairness lens, Merit lens, Markets lens, Democracy lens, Well-being lens, Rights and Duties lens, Character lens, Handing Down lens.</w:t>
      </w:r>
      <w:r w:rsidR="00FE4C79">
        <w:t xml:space="preserve"> </w:t>
      </w:r>
      <w:r w:rsidRPr="00E200BB">
        <w:t>All organisations are different and will require those making the decisions to figure out which lenses are suitable for their situation</w:t>
      </w:r>
      <w:r w:rsidR="00CD69D8">
        <w:t xml:space="preserve">. </w:t>
      </w:r>
      <w:r w:rsidR="00FE4C79" w:rsidRPr="00E200BB">
        <w:t>These ‘lenses’ help professionals to see what is right and wrong</w:t>
      </w:r>
      <w:r w:rsidR="00FE4C79">
        <w:t xml:space="preserve"> </w:t>
      </w:r>
      <w:r w:rsidR="00274DF1">
        <w:t xml:space="preserve">and is </w:t>
      </w:r>
      <w:r w:rsidRPr="00E200BB">
        <w:t>dependent on interpretation</w:t>
      </w:r>
      <w:r w:rsidR="00BC6E6E">
        <w:t>. P</w:t>
      </w:r>
      <w:r w:rsidRPr="00E200BB">
        <w:t>erspectives could differ in an organisation on what is ethical, the lenses may also conflict with each other for certain cases.</w:t>
      </w:r>
    </w:p>
    <w:p w14:paraId="7AC27607" w14:textId="45B4C2C3" w:rsidR="006138EB" w:rsidRPr="00E200BB" w:rsidRDefault="006138EB" w:rsidP="006138EB">
      <w:pPr>
        <w:pStyle w:val="BodyText"/>
        <w:spacing w:before="162" w:line="264" w:lineRule="auto"/>
        <w:ind w:right="283"/>
        <w:jc w:val="both"/>
      </w:pPr>
      <w:r w:rsidRPr="00E200BB">
        <w:t>Another perspective is Hedonism which focuses on pleasure and happiness as the ultimate goals in life. The moral value of an action is determined by the amount of pleasure it brings and absence of pain- seek to maximise pleasure and minimise pain.</w:t>
      </w:r>
      <w:r w:rsidR="00143660">
        <w:t xml:space="preserve"> </w:t>
      </w:r>
      <w:r w:rsidRPr="00E200BB">
        <w:t xml:space="preserve">This theory may overlook certain situations and not present the best outcome needed – it could affect </w:t>
      </w:r>
      <w:r w:rsidR="006D6A20">
        <w:t xml:space="preserve">one person </w:t>
      </w:r>
      <w:r w:rsidRPr="00E200BB">
        <w:t>positively but another person negatively.</w:t>
      </w:r>
    </w:p>
    <w:p w14:paraId="1136EBDF" w14:textId="61C5D9F8" w:rsidR="006138EB" w:rsidRPr="00E200BB" w:rsidRDefault="006138EB" w:rsidP="006138EB">
      <w:pPr>
        <w:pStyle w:val="BodyText"/>
        <w:spacing w:before="162" w:line="264" w:lineRule="auto"/>
        <w:ind w:right="283"/>
        <w:jc w:val="both"/>
      </w:pPr>
      <w:r w:rsidRPr="00E200BB">
        <w:t xml:space="preserve">Understanding these different ethical perspectives and being able to be sensitive to the perspectives that matter in the organisation will be a core skill of a HR Professional in the future </w:t>
      </w:r>
      <w:r w:rsidR="007017A5">
        <w:t>(CIPD, 2015</w:t>
      </w:r>
      <w:r w:rsidRPr="00E200BB">
        <w:t>). These unique perspectives depend on personal beliefs, cultural beliefs, personal morals, and the organisational situation, but a</w:t>
      </w:r>
      <w:r w:rsidR="00581BE1">
        <w:t>n organisation could use a</w:t>
      </w:r>
      <w:r w:rsidRPr="00E200BB">
        <w:t xml:space="preserve"> multi-perspective approach to consider all perspectives </w:t>
      </w:r>
      <w:r w:rsidR="00581BE1">
        <w:t>so</w:t>
      </w:r>
      <w:r w:rsidRPr="00E200BB">
        <w:t xml:space="preserve"> that decisions </w:t>
      </w:r>
      <w:r w:rsidR="003510EC">
        <w:t>are ethical</w:t>
      </w:r>
      <w:r w:rsidR="00581BE1">
        <w:t>.</w:t>
      </w:r>
    </w:p>
    <w:p w14:paraId="0CC16C5F" w14:textId="77777777" w:rsidR="001232CB" w:rsidRPr="00E200BB" w:rsidRDefault="001232CB" w:rsidP="00F12C08">
      <w:pPr>
        <w:pStyle w:val="BodyText"/>
        <w:tabs>
          <w:tab w:val="right" w:pos="8743"/>
        </w:tabs>
        <w:spacing w:before="162" w:line="264" w:lineRule="auto"/>
        <w:ind w:right="283"/>
        <w:jc w:val="both"/>
        <w:rPr>
          <w:b/>
          <w:bCs/>
          <w:u w:val="single"/>
        </w:rPr>
      </w:pPr>
    </w:p>
    <w:p w14:paraId="7F90EA93" w14:textId="5C030DBD" w:rsidR="00A03DAB" w:rsidRPr="00E200BB" w:rsidRDefault="00750A1B" w:rsidP="00F12C08">
      <w:pPr>
        <w:pStyle w:val="BodyText"/>
        <w:tabs>
          <w:tab w:val="right" w:pos="8743"/>
        </w:tabs>
        <w:spacing w:before="162" w:line="264" w:lineRule="auto"/>
        <w:ind w:right="283"/>
        <w:jc w:val="both"/>
        <w:rPr>
          <w:b/>
          <w:bCs/>
          <w:u w:val="single"/>
        </w:rPr>
      </w:pPr>
      <w:r w:rsidRPr="00E200BB">
        <w:rPr>
          <w:b/>
          <w:bCs/>
          <w:u w:val="single"/>
        </w:rPr>
        <w:t>Financial and Non-Financial Performance</w:t>
      </w:r>
      <w:r w:rsidR="003B7750">
        <w:rPr>
          <w:b/>
          <w:bCs/>
          <w:u w:val="single"/>
        </w:rPr>
        <w:t xml:space="preserve"> (AC 3.1)</w:t>
      </w:r>
    </w:p>
    <w:p w14:paraId="09E17D24" w14:textId="1EF998CF" w:rsidR="009D577F" w:rsidRPr="00E200BB" w:rsidRDefault="009D577F" w:rsidP="009D577F">
      <w:pPr>
        <w:pStyle w:val="BodyText"/>
        <w:spacing w:before="162" w:line="264" w:lineRule="auto"/>
        <w:ind w:right="283"/>
        <w:jc w:val="both"/>
        <w:rPr>
          <w:rFonts w:eastAsiaTheme="minorEastAsia"/>
        </w:rPr>
      </w:pPr>
      <w:r w:rsidRPr="00E200BB">
        <w:rPr>
          <w:rFonts w:eastAsiaTheme="minorEastAsia"/>
        </w:rPr>
        <w:t xml:space="preserve">There are many ways to measure financial and non-financial performance, </w:t>
      </w:r>
      <w:r w:rsidR="00665274">
        <w:rPr>
          <w:rFonts w:eastAsiaTheme="minorEastAsia"/>
        </w:rPr>
        <w:t>a</w:t>
      </w:r>
      <w:r w:rsidRPr="00E200BB">
        <w:rPr>
          <w:rFonts w:eastAsiaTheme="minorEastAsia"/>
        </w:rPr>
        <w:t xml:space="preserve"> Balanced Scorecard</w:t>
      </w:r>
      <w:r w:rsidR="00345251">
        <w:rPr>
          <w:rFonts w:eastAsiaTheme="minorEastAsia"/>
        </w:rPr>
        <w:t xml:space="preserve"> (Kaplan &amp; Norton, </w:t>
      </w:r>
      <w:r w:rsidRPr="00E200BB">
        <w:rPr>
          <w:rFonts w:eastAsiaTheme="minorEastAsia"/>
        </w:rPr>
        <w:t>1996), uses</w:t>
      </w:r>
      <w:r w:rsidR="000B1845">
        <w:rPr>
          <w:rFonts w:eastAsiaTheme="minorEastAsia"/>
        </w:rPr>
        <w:t xml:space="preserve"> future orientated</w:t>
      </w:r>
      <w:r w:rsidRPr="00E200BB">
        <w:rPr>
          <w:rFonts w:eastAsiaTheme="minorEastAsia"/>
        </w:rPr>
        <w:t xml:space="preserve"> strategic planning </w:t>
      </w:r>
      <w:r w:rsidR="000B1845">
        <w:rPr>
          <w:rFonts w:eastAsiaTheme="minorEastAsia"/>
        </w:rPr>
        <w:t xml:space="preserve">to </w:t>
      </w:r>
      <w:r w:rsidRPr="00E200BB">
        <w:rPr>
          <w:rFonts w:eastAsiaTheme="minorEastAsia"/>
        </w:rPr>
        <w:t xml:space="preserve">measure successful </w:t>
      </w:r>
      <w:r w:rsidR="00EF116A">
        <w:rPr>
          <w:rFonts w:eastAsiaTheme="minorEastAsia"/>
        </w:rPr>
        <w:t xml:space="preserve">financial </w:t>
      </w:r>
      <w:r w:rsidRPr="00E200BB">
        <w:rPr>
          <w:rFonts w:eastAsiaTheme="minorEastAsia"/>
        </w:rPr>
        <w:t>performance in an organisation (</w:t>
      </w:r>
      <w:proofErr w:type="spellStart"/>
      <w:r w:rsidR="0046417F">
        <w:t>Benková</w:t>
      </w:r>
      <w:proofErr w:type="spellEnd"/>
      <w:r w:rsidR="0046417F">
        <w:t>, 2019)</w:t>
      </w:r>
      <w:r w:rsidR="00D13922">
        <w:t>.</w:t>
      </w:r>
      <w:r w:rsidRPr="00E200BB">
        <w:t xml:space="preserve"> It uses</w:t>
      </w:r>
      <w:r w:rsidRPr="00E200BB">
        <w:rPr>
          <w:rFonts w:eastAsiaTheme="minorEastAsia"/>
        </w:rPr>
        <w:t xml:space="preserve"> Key Performance Indicators that cover all areas of the business to achieve the desired organisational strategy and mission. Both private and public sector </w:t>
      </w:r>
      <w:r w:rsidR="00665274" w:rsidRPr="00E200BB">
        <w:rPr>
          <w:rFonts w:eastAsiaTheme="minorEastAsia"/>
        </w:rPr>
        <w:t>organisatio</w:t>
      </w:r>
      <w:r w:rsidR="00665274">
        <w:rPr>
          <w:rFonts w:eastAsiaTheme="minorEastAsia"/>
        </w:rPr>
        <w:t>n</w:t>
      </w:r>
      <w:r w:rsidR="00665274" w:rsidRPr="00E200BB">
        <w:rPr>
          <w:rFonts w:eastAsiaTheme="minorEastAsia"/>
        </w:rPr>
        <w:t>s</w:t>
      </w:r>
      <w:r w:rsidRPr="00E200BB">
        <w:rPr>
          <w:rFonts w:eastAsiaTheme="minorEastAsia"/>
        </w:rPr>
        <w:t xml:space="preserve"> have used BSC approaches, however private and profitable organisations focus more on the financial metrics to increase profitability</w:t>
      </w:r>
      <w:r w:rsidR="00077E77">
        <w:rPr>
          <w:rFonts w:eastAsiaTheme="minorEastAsia"/>
        </w:rPr>
        <w:t xml:space="preserve"> </w:t>
      </w:r>
      <w:r w:rsidRPr="00E200BB">
        <w:rPr>
          <w:rFonts w:eastAsiaTheme="minorEastAsia"/>
        </w:rPr>
        <w:t xml:space="preserve">(Madsen &amp; </w:t>
      </w:r>
      <w:proofErr w:type="spellStart"/>
      <w:r w:rsidRPr="00E200BB">
        <w:rPr>
          <w:rFonts w:eastAsiaTheme="minorEastAsia"/>
        </w:rPr>
        <w:t>Stenheim</w:t>
      </w:r>
      <w:proofErr w:type="spellEnd"/>
      <w:r w:rsidRPr="00E200BB">
        <w:rPr>
          <w:rFonts w:eastAsiaTheme="minorEastAsia"/>
        </w:rPr>
        <w:t>, 2014).</w:t>
      </w:r>
    </w:p>
    <w:p w14:paraId="2A8A7EDC" w14:textId="2FA03BCC" w:rsidR="009D577F" w:rsidRPr="00E200BB" w:rsidRDefault="009D577F" w:rsidP="009D577F">
      <w:pPr>
        <w:pStyle w:val="BodyText"/>
        <w:spacing w:before="162" w:line="264" w:lineRule="auto"/>
        <w:ind w:right="283"/>
        <w:jc w:val="both"/>
        <w:rPr>
          <w:rFonts w:eastAsiaTheme="minorEastAsia"/>
        </w:rPr>
      </w:pPr>
      <w:r w:rsidRPr="00E200BB">
        <w:rPr>
          <w:rFonts w:eastAsiaTheme="minorEastAsia"/>
        </w:rPr>
        <w:t xml:space="preserve">A benefit of BSC </w:t>
      </w:r>
      <w:r w:rsidR="00866FFD">
        <w:rPr>
          <w:rFonts w:eastAsiaTheme="minorEastAsia"/>
        </w:rPr>
        <w:t xml:space="preserve">is that it </w:t>
      </w:r>
      <w:r w:rsidRPr="00E200BB">
        <w:rPr>
          <w:rFonts w:eastAsiaTheme="minorEastAsia"/>
        </w:rPr>
        <w:t>help</w:t>
      </w:r>
      <w:r w:rsidR="00866FFD">
        <w:rPr>
          <w:rFonts w:eastAsiaTheme="minorEastAsia"/>
        </w:rPr>
        <w:t>s</w:t>
      </w:r>
      <w:r w:rsidRPr="00E200BB">
        <w:rPr>
          <w:rFonts w:eastAsiaTheme="minorEastAsia"/>
        </w:rPr>
        <w:t xml:space="preserve"> to promote longitudinal growth in an organisation (Kaplan &amp; Norton, 1996) and not just short-term </w:t>
      </w:r>
      <w:r w:rsidR="00CF08BC">
        <w:rPr>
          <w:rFonts w:eastAsiaTheme="minorEastAsia"/>
        </w:rPr>
        <w:t>goals</w:t>
      </w:r>
      <w:r w:rsidRPr="00E200BB">
        <w:rPr>
          <w:rFonts w:eastAsiaTheme="minorEastAsia"/>
        </w:rPr>
        <w:t xml:space="preserve">. The implementation of this also sparks the conversation about </w:t>
      </w:r>
      <w:r w:rsidR="00866FFD">
        <w:rPr>
          <w:rFonts w:eastAsiaTheme="minorEastAsia"/>
        </w:rPr>
        <w:t>the organisations’ weaknesses</w:t>
      </w:r>
      <w:r w:rsidRPr="00E200BB">
        <w:rPr>
          <w:rFonts w:eastAsiaTheme="minorEastAsia"/>
        </w:rPr>
        <w:t xml:space="preserve"> and how to gain clarity on the main goals. On the other hand, BSC can lack an integration between different levels of an organisation (</w:t>
      </w:r>
      <w:proofErr w:type="spellStart"/>
      <w:r w:rsidRPr="00E200BB">
        <w:rPr>
          <w:rFonts w:eastAsiaTheme="minorEastAsia"/>
        </w:rPr>
        <w:t>Mohobbot</w:t>
      </w:r>
      <w:proofErr w:type="spellEnd"/>
      <w:r w:rsidRPr="00E200BB">
        <w:rPr>
          <w:rFonts w:eastAsiaTheme="minorEastAsia"/>
        </w:rPr>
        <w:t xml:space="preserve">, 2004). The BSC is set </w:t>
      </w:r>
      <w:r w:rsidR="007F7C90">
        <w:rPr>
          <w:rFonts w:eastAsiaTheme="minorEastAsia"/>
        </w:rPr>
        <w:t>at the managerial level</w:t>
      </w:r>
      <w:r w:rsidRPr="00E200BB">
        <w:rPr>
          <w:rFonts w:eastAsiaTheme="minorEastAsia"/>
        </w:rPr>
        <w:t xml:space="preserve">, it is their responsibility to escalate the main objectives of the BSC to all levels </w:t>
      </w:r>
      <w:r w:rsidR="003D3A3C">
        <w:rPr>
          <w:rFonts w:eastAsiaTheme="minorEastAsia"/>
        </w:rPr>
        <w:t>to be the</w:t>
      </w:r>
      <w:r w:rsidRPr="00E200BB">
        <w:rPr>
          <w:rFonts w:eastAsiaTheme="minorEastAsia"/>
        </w:rPr>
        <w:t xml:space="preserve"> driving forces of the change</w:t>
      </w:r>
      <w:r w:rsidR="004562EA">
        <w:rPr>
          <w:rFonts w:eastAsiaTheme="minorEastAsia"/>
        </w:rPr>
        <w:t xml:space="preserve">. </w:t>
      </w:r>
      <w:r w:rsidRPr="00E200BB">
        <w:rPr>
          <w:rFonts w:eastAsiaTheme="minorEastAsia"/>
        </w:rPr>
        <w:t>A BSC also only looks at internal contributing factors and doesn’t look at external factors influence on the organisation (</w:t>
      </w:r>
      <w:proofErr w:type="spellStart"/>
      <w:r w:rsidRPr="00E200BB">
        <w:rPr>
          <w:rFonts w:eastAsiaTheme="minorEastAsia"/>
        </w:rPr>
        <w:t>Mohobbot</w:t>
      </w:r>
      <w:proofErr w:type="spellEnd"/>
      <w:r w:rsidRPr="00E200BB">
        <w:rPr>
          <w:rFonts w:eastAsiaTheme="minorEastAsia"/>
        </w:rPr>
        <w:t>, 2004). Organisations should measure the impact of external factors, including stakeholders, before implementing a BSC.</w:t>
      </w:r>
    </w:p>
    <w:p w14:paraId="6C610DD7" w14:textId="41A7C278" w:rsidR="001A6737" w:rsidRDefault="00AE68BB" w:rsidP="001A6737">
      <w:pPr>
        <w:pStyle w:val="BodyText"/>
        <w:spacing w:before="162" w:line="264" w:lineRule="auto"/>
        <w:ind w:right="283"/>
        <w:rPr>
          <w:rFonts w:eastAsiaTheme="minorEastAsia"/>
        </w:rPr>
      </w:pPr>
      <w:r>
        <w:rPr>
          <w:rFonts w:eastAsiaTheme="minorEastAsia"/>
        </w:rPr>
        <w:t>Most organisations</w:t>
      </w:r>
      <w:r w:rsidR="001A6737" w:rsidRPr="00E200BB">
        <w:rPr>
          <w:rFonts w:eastAsiaTheme="minorEastAsia"/>
        </w:rPr>
        <w:t xml:space="preserve"> fail to utilise and </w:t>
      </w:r>
      <w:r w:rsidR="00E24873" w:rsidRPr="00E200BB">
        <w:rPr>
          <w:rFonts w:eastAsiaTheme="minorEastAsia"/>
        </w:rPr>
        <w:t>act</w:t>
      </w:r>
      <w:r w:rsidR="001A6737" w:rsidRPr="00E200BB">
        <w:rPr>
          <w:rFonts w:eastAsiaTheme="minorEastAsia"/>
        </w:rPr>
        <w:t xml:space="preserve"> </w:t>
      </w:r>
      <w:r w:rsidR="00E24873">
        <w:rPr>
          <w:rFonts w:eastAsiaTheme="minorEastAsia"/>
        </w:rPr>
        <w:t>on</w:t>
      </w:r>
      <w:r w:rsidR="001A6737" w:rsidRPr="00E200BB">
        <w:rPr>
          <w:rFonts w:eastAsiaTheme="minorEastAsia"/>
        </w:rPr>
        <w:t xml:space="preserve"> </w:t>
      </w:r>
      <w:r w:rsidR="00345251">
        <w:rPr>
          <w:rFonts w:eastAsiaTheme="minorEastAsia"/>
        </w:rPr>
        <w:t xml:space="preserve">customer </w:t>
      </w:r>
      <w:proofErr w:type="spellStart"/>
      <w:r w:rsidR="00345251">
        <w:rPr>
          <w:rFonts w:eastAsiaTheme="minorEastAsia"/>
        </w:rPr>
        <w:t>satifsaction</w:t>
      </w:r>
      <w:proofErr w:type="spellEnd"/>
      <w:r w:rsidR="001A6737" w:rsidRPr="00E200BB">
        <w:rPr>
          <w:rFonts w:eastAsiaTheme="minorEastAsia"/>
        </w:rPr>
        <w:t xml:space="preserve"> </w:t>
      </w:r>
      <w:r w:rsidR="00E24873">
        <w:rPr>
          <w:rFonts w:eastAsiaTheme="minorEastAsia"/>
        </w:rPr>
        <w:t xml:space="preserve">feedback </w:t>
      </w:r>
      <w:r w:rsidR="001A6737" w:rsidRPr="00E200BB">
        <w:rPr>
          <w:rFonts w:eastAsiaTheme="minorEastAsia"/>
        </w:rPr>
        <w:t>and ignore its impact on performance measures (</w:t>
      </w:r>
      <w:proofErr w:type="spellStart"/>
      <w:r w:rsidR="001A6737" w:rsidRPr="00E200BB">
        <w:rPr>
          <w:rFonts w:eastAsiaTheme="minorEastAsia"/>
        </w:rPr>
        <w:t>Zembke</w:t>
      </w:r>
      <w:proofErr w:type="spellEnd"/>
      <w:r w:rsidR="001A6737" w:rsidRPr="00E200BB">
        <w:rPr>
          <w:rFonts w:eastAsiaTheme="minorEastAsia"/>
        </w:rPr>
        <w:t xml:space="preserve"> &amp; Bell, 1990). Research shows that there is a link between customer satisfaction and positive organisational performance</w:t>
      </w:r>
      <w:r w:rsidR="00D815A3">
        <w:rPr>
          <w:rFonts w:eastAsiaTheme="minorEastAsia"/>
        </w:rPr>
        <w:t>.</w:t>
      </w:r>
      <w:r w:rsidR="001A6737" w:rsidRPr="00E200BB">
        <w:rPr>
          <w:rFonts w:eastAsiaTheme="minorEastAsia"/>
        </w:rPr>
        <w:t xml:space="preserve"> A public sector organisation’s performance would need to use customer</w:t>
      </w:r>
      <w:r w:rsidR="003D44F3">
        <w:rPr>
          <w:rFonts w:eastAsiaTheme="minorEastAsia"/>
        </w:rPr>
        <w:t xml:space="preserve"> </w:t>
      </w:r>
      <w:r w:rsidR="001A6737" w:rsidRPr="00E200BB">
        <w:rPr>
          <w:rFonts w:eastAsiaTheme="minorEastAsia"/>
        </w:rPr>
        <w:t>feedback as numerical goals are limited. If a customer feels that the public sector organisation is ignoring their concerns, it could lead to more complaints due to less action being taken (</w:t>
      </w:r>
      <w:r w:rsidR="003D4EDD" w:rsidRPr="003D4EDD">
        <w:t>Zamil</w:t>
      </w:r>
      <w:r w:rsidR="003D4EDD">
        <w:t xml:space="preserve"> &amp; </w:t>
      </w:r>
      <w:proofErr w:type="spellStart"/>
      <w:r w:rsidR="003D4EDD">
        <w:lastRenderedPageBreak/>
        <w:t>Shammot</w:t>
      </w:r>
      <w:proofErr w:type="spellEnd"/>
      <w:r w:rsidR="003D4EDD">
        <w:t>, 2011</w:t>
      </w:r>
      <w:r w:rsidR="001A6737" w:rsidRPr="00E200BB">
        <w:rPr>
          <w:rFonts w:eastAsiaTheme="minorEastAsia"/>
        </w:rPr>
        <w:t>).</w:t>
      </w:r>
    </w:p>
    <w:p w14:paraId="5FCBF496" w14:textId="6C319175" w:rsidR="00AE68BB" w:rsidRPr="00E24873" w:rsidRDefault="001A6737" w:rsidP="001A6737">
      <w:pPr>
        <w:pStyle w:val="BodyText"/>
        <w:spacing w:before="162" w:line="264" w:lineRule="auto"/>
        <w:ind w:right="283"/>
        <w:rPr>
          <w:rFonts w:eastAsiaTheme="minorEastAsia"/>
        </w:rPr>
      </w:pPr>
      <w:r w:rsidRPr="00E200BB">
        <w:rPr>
          <w:rFonts w:eastAsiaTheme="minorEastAsia"/>
        </w:rPr>
        <w:t>A benefit of high levels of customer satisfaction is that it can increase customer loyalty</w:t>
      </w:r>
      <w:r w:rsidR="00A830B6">
        <w:rPr>
          <w:rFonts w:eastAsiaTheme="minorEastAsia"/>
        </w:rPr>
        <w:t xml:space="preserve"> and </w:t>
      </w:r>
      <w:r w:rsidR="00A830B6" w:rsidRPr="00E200BB">
        <w:rPr>
          <w:rFonts w:eastAsiaTheme="minorEastAsia"/>
        </w:rPr>
        <w:t>retention</w:t>
      </w:r>
      <w:r w:rsidR="00A830B6">
        <w:rPr>
          <w:rFonts w:eastAsiaTheme="minorEastAsia"/>
        </w:rPr>
        <w:t xml:space="preserve"> </w:t>
      </w:r>
      <w:r w:rsidRPr="00B70957">
        <w:rPr>
          <w:rFonts w:eastAsiaTheme="minorEastAsia"/>
        </w:rPr>
        <w:t>(Anderson &amp; Sullivan, 1993</w:t>
      </w:r>
      <w:r w:rsidRPr="00E200BB">
        <w:rPr>
          <w:rFonts w:eastAsiaTheme="minorEastAsia"/>
        </w:rPr>
        <w:t>). These non-financial factors are crucial to increase customer base and the organisations’ reputation</w:t>
      </w:r>
      <w:r w:rsidR="003E611A">
        <w:rPr>
          <w:rFonts w:eastAsiaTheme="minorEastAsia"/>
        </w:rPr>
        <w:t>.</w:t>
      </w:r>
      <w:r w:rsidRPr="00E200BB">
        <w:rPr>
          <w:rFonts w:eastAsiaTheme="minorEastAsia"/>
        </w:rPr>
        <w:t xml:space="preserve"> </w:t>
      </w:r>
      <w:r w:rsidR="003E611A">
        <w:rPr>
          <w:rFonts w:eastAsiaTheme="minorEastAsia"/>
        </w:rPr>
        <w:t>C</w:t>
      </w:r>
      <w:r w:rsidRPr="00E200BB">
        <w:rPr>
          <w:rFonts w:eastAsiaTheme="minorEastAsia"/>
        </w:rPr>
        <w:t>ustomer satisfaction measures have been known to have poor reliability, predictive validity on performance and doesn’t have objective data to show causation</w:t>
      </w:r>
      <w:r w:rsidR="00106A4C">
        <w:rPr>
          <w:rFonts w:eastAsiaTheme="minorEastAsia"/>
        </w:rPr>
        <w:t xml:space="preserve">. </w:t>
      </w:r>
      <w:r w:rsidRPr="00E200BB">
        <w:t xml:space="preserve">It is important to also look at the effect that customer dissatisfaction could </w:t>
      </w:r>
      <w:r w:rsidR="00AE68BB">
        <w:t xml:space="preserve">also </w:t>
      </w:r>
      <w:r w:rsidRPr="00E200BB">
        <w:t>have on an organisatio</w:t>
      </w:r>
      <w:r w:rsidR="00AE68BB">
        <w:t>n, using social media to post dissatisfaction and ‘cancel culture’ can ruin reputation</w:t>
      </w:r>
      <w:r w:rsidR="001D7780">
        <w:t xml:space="preserve"> – proving the importance of withholding positive customer satisfaction.</w:t>
      </w:r>
    </w:p>
    <w:p w14:paraId="42C1EE52" w14:textId="77777777" w:rsidR="00AE68BB" w:rsidRDefault="001A6737" w:rsidP="00AE68BB">
      <w:pPr>
        <w:pStyle w:val="BodyText"/>
        <w:spacing w:before="162" w:line="264" w:lineRule="auto"/>
        <w:ind w:right="283"/>
      </w:pPr>
      <w:r w:rsidRPr="00E200BB">
        <w:t xml:space="preserve"> </w:t>
      </w:r>
    </w:p>
    <w:p w14:paraId="66989D06" w14:textId="2C162F45" w:rsidR="00750A1B" w:rsidRPr="00E200BB" w:rsidRDefault="00261072" w:rsidP="00AE68BB">
      <w:pPr>
        <w:pStyle w:val="BodyText"/>
        <w:spacing w:before="162" w:line="264" w:lineRule="auto"/>
        <w:ind w:right="283"/>
        <w:rPr>
          <w:b/>
          <w:bCs/>
          <w:u w:val="single"/>
        </w:rPr>
      </w:pPr>
      <w:r w:rsidRPr="00E200BB">
        <w:rPr>
          <w:b/>
          <w:bCs/>
          <w:u w:val="single"/>
        </w:rPr>
        <w:t>Value of People Practices</w:t>
      </w:r>
      <w:r w:rsidR="003B7750">
        <w:rPr>
          <w:b/>
          <w:bCs/>
          <w:u w:val="single"/>
        </w:rPr>
        <w:t xml:space="preserve"> (AC 3.2)</w:t>
      </w:r>
    </w:p>
    <w:p w14:paraId="3E140A90" w14:textId="5FAA4D65" w:rsidR="00502032" w:rsidRPr="00E200BB" w:rsidRDefault="00502032" w:rsidP="00502032">
      <w:pPr>
        <w:pStyle w:val="BodyText"/>
        <w:spacing w:before="162" w:line="264" w:lineRule="auto"/>
        <w:ind w:right="283"/>
        <w:jc w:val="both"/>
      </w:pPr>
      <w:r w:rsidRPr="00E200BB">
        <w:rPr>
          <w:rFonts w:eastAsiaTheme="minorEastAsia"/>
        </w:rPr>
        <w:t>People practices are across the employee life cycle in an organisation and refer to the processes and approaches that are used by the HR team</w:t>
      </w:r>
      <w:r w:rsidR="007F1307">
        <w:rPr>
          <w:rFonts w:eastAsiaTheme="minorEastAsia"/>
        </w:rPr>
        <w:t xml:space="preserve">. </w:t>
      </w:r>
      <w:r w:rsidRPr="00E200BB">
        <w:t>Organisations need to remain competitive so they need to add value through its people (</w:t>
      </w:r>
      <w:r w:rsidR="002E2032">
        <w:t>Waite, 2021</w:t>
      </w:r>
      <w:r w:rsidRPr="00E200BB">
        <w:t xml:space="preserve">), this can be completed using different people practice methods. </w:t>
      </w:r>
    </w:p>
    <w:p w14:paraId="21E61ED7" w14:textId="70332876" w:rsidR="00502032" w:rsidRPr="00E200BB" w:rsidRDefault="00502032" w:rsidP="00502032">
      <w:pPr>
        <w:pStyle w:val="BodyText"/>
        <w:spacing w:before="162" w:line="264" w:lineRule="auto"/>
        <w:ind w:right="283"/>
        <w:jc w:val="both"/>
      </w:pPr>
      <w:r w:rsidRPr="00E200BB">
        <w:t xml:space="preserve">A cost benefit analysis is used for data-driven decision-making and can be used to compare the costs and benefits of using people practices </w:t>
      </w:r>
      <w:r w:rsidR="00E71BEB" w:rsidRPr="00E200BB">
        <w:t>determining</w:t>
      </w:r>
      <w:r w:rsidRPr="00E200BB">
        <w:t xml:space="preserve"> whether it is beneficial and useful</w:t>
      </w:r>
      <w:r w:rsidR="00106A4C">
        <w:t xml:space="preserve">. </w:t>
      </w:r>
      <w:r w:rsidRPr="00E200BB">
        <w:t xml:space="preserve">It evaluates investments in recruitment, attraction, performance and development and retention </w:t>
      </w:r>
      <w:r w:rsidRPr="00D23ED9">
        <w:t>(CIPD</w:t>
      </w:r>
      <w:r w:rsidR="00007139" w:rsidRPr="00D23ED9">
        <w:t>, 2021).</w:t>
      </w:r>
      <w:r w:rsidR="00007139">
        <w:t xml:space="preserve"> </w:t>
      </w:r>
      <w:r w:rsidRPr="00E200BB">
        <w:t>It analyses whether the potential investment in a people practice is justifiable and whether it will positively affect the business and bring a return. If the benefits outweigh the costs</w:t>
      </w:r>
      <w:r w:rsidR="00CC1F56">
        <w:t>,</w:t>
      </w:r>
      <w:r w:rsidR="00007139">
        <w:t xml:space="preserve"> then</w:t>
      </w:r>
      <w:r w:rsidRPr="00E200BB">
        <w:t xml:space="preserve"> it would be beneficial to continue</w:t>
      </w:r>
      <w:r w:rsidR="00CC1F56">
        <w:t>. Vice Versa, a</w:t>
      </w:r>
      <w:r w:rsidRPr="00E200BB">
        <w:t xml:space="preserve"> different approach to</w:t>
      </w:r>
      <w:r w:rsidR="00CC1F56">
        <w:t xml:space="preserve"> may want to be taken to ach</w:t>
      </w:r>
      <w:r w:rsidRPr="00E200BB">
        <w:t>ieve their goal</w:t>
      </w:r>
      <w:r w:rsidR="000A5701">
        <w:t xml:space="preserve">. </w:t>
      </w:r>
      <w:r w:rsidRPr="00E200BB">
        <w:t>This type of analysis can justify whether the people practice approach would be profitable and impactful or if it would be financially risky for the organisation to undertake.</w:t>
      </w:r>
    </w:p>
    <w:p w14:paraId="1439E07F" w14:textId="6ACA04FF" w:rsidR="00502032" w:rsidRPr="00E200BB" w:rsidRDefault="00D62A93" w:rsidP="00502032">
      <w:pPr>
        <w:pStyle w:val="BodyText"/>
        <w:spacing w:before="162" w:line="264" w:lineRule="auto"/>
        <w:ind w:right="283"/>
        <w:jc w:val="both"/>
      </w:pPr>
      <w:r>
        <w:t>Before the people practice method is implemented, a Stakeholder analysis</w:t>
      </w:r>
      <w:r w:rsidR="00CE4A9E">
        <w:t xml:space="preserve"> can be</w:t>
      </w:r>
      <w:r w:rsidR="00502032" w:rsidRPr="00E200BB">
        <w:t xml:space="preserve"> completed </w:t>
      </w:r>
      <w:r w:rsidR="00CE4A9E">
        <w:t xml:space="preserve">to understand </w:t>
      </w:r>
      <w:r w:rsidR="00502032" w:rsidRPr="00E200BB">
        <w:t xml:space="preserve">the stakeholder’s requirements – referring to anybody that would be affected by the project directly or indirectly (Grimble &amp; Wellard, 1997). </w:t>
      </w:r>
      <w:r w:rsidR="00502032" w:rsidRPr="00D23ED9">
        <w:t>CIPD</w:t>
      </w:r>
      <w:r w:rsidR="00E31DCD" w:rsidRPr="00D23ED9">
        <w:t xml:space="preserve"> (2021)</w:t>
      </w:r>
      <w:r w:rsidR="00502032" w:rsidRPr="00E200BB">
        <w:t xml:space="preserve"> explains that organisations should use prescriptive data and gain stakeholder’s perspectives on determining strategies. It would involve interview</w:t>
      </w:r>
      <w:r w:rsidR="00E31DCD">
        <w:t>ing</w:t>
      </w:r>
      <w:r w:rsidR="00502032" w:rsidRPr="00E200BB">
        <w:t xml:space="preserve"> stakeholders to gain an understanding of how the people practice method would </w:t>
      </w:r>
      <w:r w:rsidR="00967D61">
        <w:t>impact them,</w:t>
      </w:r>
      <w:r w:rsidR="00502032" w:rsidRPr="00E200BB">
        <w:t xml:space="preserve"> </w:t>
      </w:r>
      <w:r w:rsidR="00967D61">
        <w:t>then</w:t>
      </w:r>
      <w:r w:rsidR="00502032" w:rsidRPr="00E200BB">
        <w:t xml:space="preserve"> identifying patterns and trends from the data </w:t>
      </w:r>
      <w:r w:rsidR="00967D61">
        <w:t xml:space="preserve">to see </w:t>
      </w:r>
      <w:r w:rsidR="00502032" w:rsidRPr="00E200BB">
        <w:t>whether any coincid</w:t>
      </w:r>
      <w:r w:rsidR="00967D61">
        <w:t>e</w:t>
      </w:r>
      <w:r w:rsidR="00502032" w:rsidRPr="00E200BB">
        <w:t xml:space="preserve"> with the goals of the practice. This type of analysis </w:t>
      </w:r>
      <w:r w:rsidR="00A44254">
        <w:t>would</w:t>
      </w:r>
      <w:r w:rsidR="00502032" w:rsidRPr="00E200BB">
        <w:t xml:space="preserve"> be beneficial as it could identify gaps that the stakeholders have brought forth about the project which could positively or negatively impact the business.</w:t>
      </w:r>
    </w:p>
    <w:p w14:paraId="0E54EC8E" w14:textId="77777777" w:rsidR="00463A0E" w:rsidRDefault="00463A0E" w:rsidP="003011F5">
      <w:pPr>
        <w:pStyle w:val="BodyText"/>
        <w:spacing w:before="162" w:line="264" w:lineRule="auto"/>
        <w:ind w:right="283"/>
        <w:jc w:val="both"/>
        <w:rPr>
          <w:b/>
          <w:bCs/>
          <w:u w:val="single"/>
        </w:rPr>
      </w:pPr>
    </w:p>
    <w:p w14:paraId="68EB48E0" w14:textId="77777777" w:rsidR="000747CE" w:rsidRPr="00E200BB" w:rsidRDefault="000747CE" w:rsidP="003011F5">
      <w:pPr>
        <w:pStyle w:val="BodyText"/>
        <w:spacing w:before="162" w:line="264" w:lineRule="auto"/>
        <w:ind w:right="283"/>
        <w:jc w:val="both"/>
        <w:rPr>
          <w:b/>
          <w:bCs/>
          <w:u w:val="single"/>
        </w:rPr>
      </w:pPr>
    </w:p>
    <w:p w14:paraId="04D3E3FE" w14:textId="77777777" w:rsidR="000747CE" w:rsidRPr="00E200BB" w:rsidRDefault="000747CE" w:rsidP="003011F5">
      <w:pPr>
        <w:pStyle w:val="BodyText"/>
        <w:spacing w:before="162" w:line="264" w:lineRule="auto"/>
        <w:ind w:right="283"/>
        <w:jc w:val="both"/>
        <w:rPr>
          <w:b/>
          <w:bCs/>
          <w:u w:val="single"/>
        </w:rPr>
      </w:pPr>
    </w:p>
    <w:p w14:paraId="1BABC77C" w14:textId="77777777" w:rsidR="000747CE" w:rsidRPr="00E200BB" w:rsidRDefault="000747CE" w:rsidP="003011F5">
      <w:pPr>
        <w:pStyle w:val="BodyText"/>
        <w:spacing w:before="162" w:line="264" w:lineRule="auto"/>
        <w:ind w:right="283"/>
        <w:jc w:val="both"/>
        <w:rPr>
          <w:b/>
          <w:bCs/>
          <w:u w:val="single"/>
        </w:rPr>
      </w:pPr>
    </w:p>
    <w:p w14:paraId="21231465" w14:textId="77777777" w:rsidR="000747CE" w:rsidRPr="00E200BB" w:rsidRDefault="000747CE" w:rsidP="003011F5">
      <w:pPr>
        <w:pStyle w:val="BodyText"/>
        <w:spacing w:before="162" w:line="264" w:lineRule="auto"/>
        <w:ind w:right="283"/>
        <w:jc w:val="both"/>
        <w:rPr>
          <w:b/>
          <w:bCs/>
          <w:u w:val="single"/>
        </w:rPr>
      </w:pPr>
    </w:p>
    <w:p w14:paraId="717CE112" w14:textId="77777777" w:rsidR="000747CE" w:rsidRDefault="000747CE" w:rsidP="003011F5">
      <w:pPr>
        <w:pStyle w:val="BodyText"/>
        <w:spacing w:before="162" w:line="264" w:lineRule="auto"/>
        <w:ind w:right="283"/>
        <w:jc w:val="both"/>
        <w:rPr>
          <w:b/>
          <w:bCs/>
          <w:u w:val="single"/>
        </w:rPr>
      </w:pPr>
    </w:p>
    <w:p w14:paraId="7BAC99DD" w14:textId="77777777" w:rsidR="00CE581C" w:rsidRDefault="00CE581C" w:rsidP="003011F5">
      <w:pPr>
        <w:pStyle w:val="BodyText"/>
        <w:spacing w:before="162" w:line="264" w:lineRule="auto"/>
        <w:ind w:right="283"/>
        <w:jc w:val="both"/>
        <w:rPr>
          <w:b/>
          <w:bCs/>
          <w:u w:val="single"/>
        </w:rPr>
      </w:pPr>
    </w:p>
    <w:p w14:paraId="0D273B49" w14:textId="77777777" w:rsidR="00204896" w:rsidRPr="00E200BB" w:rsidRDefault="00204896" w:rsidP="003011F5">
      <w:pPr>
        <w:pStyle w:val="BodyText"/>
        <w:spacing w:before="162" w:line="264" w:lineRule="auto"/>
        <w:ind w:right="283"/>
        <w:jc w:val="both"/>
        <w:rPr>
          <w:b/>
          <w:bCs/>
          <w:u w:val="single"/>
        </w:rPr>
      </w:pPr>
    </w:p>
    <w:p w14:paraId="790D348C" w14:textId="220BF1BB" w:rsidR="000C776F" w:rsidRDefault="00E90C88" w:rsidP="000C776F">
      <w:pPr>
        <w:pStyle w:val="BodyText"/>
        <w:spacing w:before="162" w:line="264" w:lineRule="auto"/>
        <w:ind w:right="283"/>
        <w:jc w:val="both"/>
      </w:pPr>
      <w:r>
        <w:rPr>
          <w:b/>
          <w:bCs/>
          <w:u w:val="single"/>
        </w:rPr>
        <w:lastRenderedPageBreak/>
        <w:t>Bibliography</w:t>
      </w:r>
    </w:p>
    <w:p w14:paraId="4B7DF930" w14:textId="77777777" w:rsidR="00573A12" w:rsidRDefault="00573A12" w:rsidP="00573A12">
      <w:pPr>
        <w:pStyle w:val="paragraph"/>
        <w:spacing w:before="0" w:beforeAutospacing="0" w:after="0" w:afterAutospacing="0"/>
        <w:ind w:right="270"/>
        <w:textAlignment w:val="baseline"/>
        <w:rPr>
          <w:rFonts w:ascii="Arial" w:hAnsi="Arial" w:cs="Arial"/>
          <w:sz w:val="22"/>
          <w:szCs w:val="22"/>
        </w:rPr>
      </w:pPr>
      <w:r>
        <w:rPr>
          <w:rStyle w:val="eop"/>
          <w:rFonts w:eastAsia="Arial"/>
          <w:sz w:val="22"/>
          <w:szCs w:val="22"/>
        </w:rPr>
        <w:t> </w:t>
      </w:r>
    </w:p>
    <w:p w14:paraId="3ACD7616" w14:textId="77777777" w:rsidR="00573A12" w:rsidRDefault="00573A12" w:rsidP="00573A12">
      <w:pPr>
        <w:pStyle w:val="paragraph"/>
        <w:spacing w:before="0" w:beforeAutospacing="0" w:after="0" w:afterAutospacing="0"/>
        <w:ind w:right="270"/>
        <w:textAlignment w:val="baseline"/>
        <w:rPr>
          <w:rFonts w:ascii="Arial" w:hAnsi="Arial" w:cs="Arial"/>
          <w:sz w:val="22"/>
          <w:szCs w:val="22"/>
        </w:rPr>
      </w:pPr>
      <w:r>
        <w:rPr>
          <w:rStyle w:val="eop"/>
          <w:rFonts w:eastAsia="Arial"/>
          <w:sz w:val="22"/>
          <w:szCs w:val="22"/>
        </w:rPr>
        <w:t> </w:t>
      </w:r>
    </w:p>
    <w:p w14:paraId="7738070D"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proofErr w:type="spellStart"/>
      <w:r w:rsidRPr="00573A12">
        <w:rPr>
          <w:rStyle w:val="normaltextrun"/>
          <w:rFonts w:ascii="Arial" w:hAnsi="Arial" w:cs="Arial"/>
          <w:sz w:val="22"/>
          <w:szCs w:val="22"/>
        </w:rPr>
        <w:t>Adem</w:t>
      </w:r>
      <w:proofErr w:type="spellEnd"/>
      <w:r w:rsidRPr="00573A12">
        <w:rPr>
          <w:rStyle w:val="normaltextrun"/>
          <w:rFonts w:ascii="Arial" w:hAnsi="Arial" w:cs="Arial"/>
          <w:sz w:val="22"/>
          <w:szCs w:val="22"/>
        </w:rPr>
        <w:t xml:space="preserve">, A., Çolak, A., &amp; Dağdeviren, M. (2018) ‘An integrated model using SWOT analysis and Hesitant fuzzy linguistic term set for evaluation occupational safety risks in life cycle of wind turbine’, </w:t>
      </w:r>
      <w:r w:rsidRPr="00573A12">
        <w:rPr>
          <w:rStyle w:val="normaltextrun"/>
          <w:rFonts w:ascii="Arial" w:hAnsi="Arial" w:cs="Arial"/>
          <w:i/>
          <w:iCs/>
          <w:sz w:val="22"/>
          <w:szCs w:val="22"/>
        </w:rPr>
        <w:t>Safety Science</w:t>
      </w:r>
      <w:r w:rsidRPr="00573A12">
        <w:rPr>
          <w:rStyle w:val="normaltextrun"/>
          <w:rFonts w:ascii="Arial" w:hAnsi="Arial" w:cs="Arial"/>
          <w:sz w:val="22"/>
          <w:szCs w:val="22"/>
        </w:rPr>
        <w:t xml:space="preserve">, 106, pp. 184-190. Available at: </w:t>
      </w:r>
      <w:hyperlink r:id="rId8" w:tgtFrame="_blank" w:history="1">
        <w:r w:rsidRPr="00573A12">
          <w:rPr>
            <w:rStyle w:val="normaltextrun"/>
            <w:rFonts w:ascii="Arial" w:hAnsi="Arial" w:cs="Arial"/>
            <w:color w:val="0000FF"/>
            <w:sz w:val="22"/>
            <w:szCs w:val="22"/>
            <w:u w:val="single"/>
          </w:rPr>
          <w:t>https://doi.org/10.1016/j.ssci.2018.02.033</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3B736E7E"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shd w:val="clear" w:color="auto" w:fill="FFFFFF"/>
        </w:rPr>
        <w:t xml:space="preserve">Agarwal, R., Grassl, W., and Pahl, J. (2012). ‘Meta-SWOT: Introducing a new strategic planning tool’, </w:t>
      </w:r>
      <w:r w:rsidRPr="00573A12">
        <w:rPr>
          <w:rStyle w:val="normaltextrun"/>
          <w:rFonts w:ascii="Arial" w:hAnsi="Arial" w:cs="Arial"/>
          <w:i/>
          <w:iCs/>
          <w:sz w:val="22"/>
          <w:szCs w:val="22"/>
          <w:shd w:val="clear" w:color="auto" w:fill="FFFFFF"/>
        </w:rPr>
        <w:t>Journal of</w:t>
      </w:r>
      <w:r w:rsidRPr="00573A12">
        <w:rPr>
          <w:rStyle w:val="scxw254498704"/>
          <w:rFonts w:ascii="Arial" w:hAnsi="Arial" w:cs="Arial"/>
          <w:sz w:val="22"/>
          <w:szCs w:val="22"/>
        </w:rPr>
        <w:t> </w:t>
      </w:r>
      <w:r w:rsidRPr="00573A12">
        <w:rPr>
          <w:rFonts w:ascii="Arial" w:hAnsi="Arial" w:cs="Arial"/>
          <w:sz w:val="22"/>
          <w:szCs w:val="22"/>
        </w:rPr>
        <w:br/>
      </w:r>
      <w:r w:rsidRPr="00573A12">
        <w:rPr>
          <w:rStyle w:val="normaltextrun"/>
          <w:rFonts w:ascii="Arial" w:hAnsi="Arial" w:cs="Arial"/>
          <w:i/>
          <w:iCs/>
          <w:sz w:val="22"/>
          <w:szCs w:val="22"/>
          <w:shd w:val="clear" w:color="auto" w:fill="FFFFFF"/>
        </w:rPr>
        <w:t>Business Strategy</w:t>
      </w:r>
      <w:r w:rsidRPr="00573A12">
        <w:rPr>
          <w:rStyle w:val="normaltextrun"/>
          <w:rFonts w:ascii="Arial" w:hAnsi="Arial" w:cs="Arial"/>
          <w:sz w:val="22"/>
          <w:szCs w:val="22"/>
          <w:shd w:val="clear" w:color="auto" w:fill="FFFFFF"/>
        </w:rPr>
        <w:t xml:space="preserve">, 33(2), pp. 12-21. Available at: </w:t>
      </w:r>
      <w:hyperlink r:id="rId9" w:tgtFrame="_blank" w:history="1">
        <w:r w:rsidRPr="00573A12">
          <w:rPr>
            <w:rStyle w:val="normaltextrun"/>
            <w:rFonts w:ascii="Arial" w:hAnsi="Arial" w:cs="Arial"/>
            <w:color w:val="0000FF"/>
            <w:sz w:val="22"/>
            <w:szCs w:val="22"/>
            <w:u w:val="single"/>
            <w:shd w:val="clear" w:color="auto" w:fill="FFFFFF"/>
          </w:rPr>
          <w:t>https://doi.org/10.1108/02756661211206708</w:t>
        </w:r>
      </w:hyperlink>
      <w:r w:rsidRPr="00573A12">
        <w:rPr>
          <w:rStyle w:val="normaltextrun"/>
          <w:rFonts w:ascii="Arial" w:hAnsi="Arial" w:cs="Arial"/>
          <w:sz w:val="22"/>
          <w:szCs w:val="22"/>
          <w:shd w:val="clear" w:color="auto" w:fill="FFFFFF"/>
        </w:rPr>
        <w:t> </w:t>
      </w:r>
      <w:r w:rsidRPr="00573A12">
        <w:rPr>
          <w:rStyle w:val="eop"/>
          <w:rFonts w:ascii="Arial" w:eastAsia="Arial" w:hAnsi="Arial" w:cs="Arial"/>
          <w:sz w:val="22"/>
          <w:szCs w:val="22"/>
        </w:rPr>
        <w:t> </w:t>
      </w:r>
    </w:p>
    <w:p w14:paraId="5EE1119E"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Style w:val="eop"/>
          <w:rFonts w:ascii="Arial" w:hAnsi="Arial" w:cs="Arial"/>
          <w:sz w:val="22"/>
          <w:szCs w:val="22"/>
        </w:rPr>
      </w:pPr>
      <w:r w:rsidRPr="00573A12">
        <w:rPr>
          <w:rStyle w:val="normaltextrun"/>
          <w:rFonts w:ascii="Arial" w:hAnsi="Arial" w:cs="Arial"/>
          <w:color w:val="222222"/>
          <w:sz w:val="22"/>
          <w:szCs w:val="22"/>
          <w:shd w:val="clear" w:color="auto" w:fill="FFFFFF"/>
        </w:rPr>
        <w:t>Aithal, P.S. and Kumar, P.M. (2017) ‘Integrating theory a and six thinking hats technique for improved organizational performance’, </w:t>
      </w:r>
      <w:r w:rsidRPr="00573A12">
        <w:rPr>
          <w:rStyle w:val="normaltextrun"/>
          <w:rFonts w:ascii="Arial" w:hAnsi="Arial" w:cs="Arial"/>
          <w:i/>
          <w:iCs/>
          <w:color w:val="222222"/>
          <w:sz w:val="22"/>
          <w:szCs w:val="22"/>
          <w:shd w:val="clear" w:color="auto" w:fill="FFFFFF"/>
        </w:rPr>
        <w:t>International Journal of Applied Engineering and Management Letters (IJAEML)</w:t>
      </w:r>
      <w:r w:rsidRPr="00573A12">
        <w:rPr>
          <w:rStyle w:val="normaltextrun"/>
          <w:rFonts w:ascii="Arial" w:hAnsi="Arial" w:cs="Arial"/>
          <w:color w:val="222222"/>
          <w:sz w:val="22"/>
          <w:szCs w:val="22"/>
          <w:shd w:val="clear" w:color="auto" w:fill="FFFFFF"/>
        </w:rPr>
        <w:t>, </w:t>
      </w:r>
      <w:r w:rsidRPr="00573A12">
        <w:rPr>
          <w:rStyle w:val="normaltextrun"/>
          <w:rFonts w:ascii="Arial" w:hAnsi="Arial" w:cs="Arial"/>
          <w:i/>
          <w:iCs/>
          <w:color w:val="222222"/>
          <w:sz w:val="22"/>
          <w:szCs w:val="22"/>
          <w:shd w:val="clear" w:color="auto" w:fill="FFFFFF"/>
        </w:rPr>
        <w:t>1</w:t>
      </w:r>
      <w:r w:rsidRPr="00573A12">
        <w:rPr>
          <w:rStyle w:val="normaltextrun"/>
          <w:rFonts w:ascii="Arial" w:hAnsi="Arial" w:cs="Arial"/>
          <w:color w:val="222222"/>
          <w:sz w:val="22"/>
          <w:szCs w:val="22"/>
          <w:shd w:val="clear" w:color="auto" w:fill="FFFFFF"/>
        </w:rPr>
        <w:t xml:space="preserve">(2), pp.66-77. Available at: </w:t>
      </w:r>
      <w:hyperlink r:id="rId10" w:tgtFrame="_blank" w:history="1">
        <w:r w:rsidRPr="00573A12">
          <w:rPr>
            <w:rStyle w:val="normaltextrun"/>
            <w:rFonts w:ascii="Arial" w:hAnsi="Arial" w:cs="Arial"/>
            <w:color w:val="0000FF"/>
            <w:sz w:val="22"/>
            <w:szCs w:val="22"/>
            <w:u w:val="single"/>
            <w:shd w:val="clear" w:color="auto" w:fill="FFFFFF"/>
          </w:rPr>
          <w:t>https://papers.ssrn.com/sol3/papers.cfm?abstract_id=3069576</w:t>
        </w:r>
      </w:hyperlink>
      <w:r w:rsidRPr="00573A12">
        <w:rPr>
          <w:rStyle w:val="normaltextrun"/>
          <w:rFonts w:ascii="Arial" w:hAnsi="Arial" w:cs="Arial"/>
          <w:color w:val="222222"/>
          <w:sz w:val="22"/>
          <w:szCs w:val="22"/>
          <w:shd w:val="clear" w:color="auto" w:fill="FFFFFF"/>
        </w:rPr>
        <w:t xml:space="preserve"> (Accessed: 26 November 2023).</w:t>
      </w:r>
      <w:r w:rsidRPr="00573A12">
        <w:rPr>
          <w:rStyle w:val="eop"/>
          <w:rFonts w:ascii="Arial" w:eastAsia="Arial" w:hAnsi="Arial" w:cs="Arial"/>
          <w:color w:val="222222"/>
          <w:sz w:val="22"/>
          <w:szCs w:val="22"/>
        </w:rPr>
        <w:t> </w:t>
      </w:r>
    </w:p>
    <w:p w14:paraId="1FA70F5A" w14:textId="73A36831"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Fonts w:ascii="Arial" w:hAnsi="Arial" w:cs="Arial"/>
          <w:color w:val="222222"/>
          <w:sz w:val="22"/>
          <w:szCs w:val="22"/>
          <w:shd w:val="clear" w:color="auto" w:fill="FFFFFF"/>
        </w:rPr>
        <w:t>Anderson, E.W. and Sullivan, M.W., 1993. The antecedents and consequences of customer satisfaction for firms. </w:t>
      </w:r>
      <w:r w:rsidRPr="00573A12">
        <w:rPr>
          <w:rFonts w:ascii="Arial" w:hAnsi="Arial" w:cs="Arial"/>
          <w:i/>
          <w:iCs/>
          <w:color w:val="222222"/>
          <w:sz w:val="22"/>
          <w:szCs w:val="22"/>
          <w:shd w:val="clear" w:color="auto" w:fill="FFFFFF"/>
        </w:rPr>
        <w:t>Marketing science</w:t>
      </w:r>
      <w:r w:rsidRPr="00573A12">
        <w:rPr>
          <w:rFonts w:ascii="Arial" w:hAnsi="Arial" w:cs="Arial"/>
          <w:color w:val="222222"/>
          <w:sz w:val="22"/>
          <w:szCs w:val="22"/>
          <w:shd w:val="clear" w:color="auto" w:fill="FFFFFF"/>
        </w:rPr>
        <w:t>, </w:t>
      </w:r>
      <w:r w:rsidRPr="00573A12">
        <w:rPr>
          <w:rFonts w:ascii="Arial" w:hAnsi="Arial" w:cs="Arial"/>
          <w:i/>
          <w:iCs/>
          <w:color w:val="222222"/>
          <w:sz w:val="22"/>
          <w:szCs w:val="22"/>
          <w:shd w:val="clear" w:color="auto" w:fill="FFFFFF"/>
        </w:rPr>
        <w:t>12</w:t>
      </w:r>
      <w:r w:rsidRPr="00573A12">
        <w:rPr>
          <w:rFonts w:ascii="Arial" w:hAnsi="Arial" w:cs="Arial"/>
          <w:color w:val="222222"/>
          <w:sz w:val="22"/>
          <w:szCs w:val="22"/>
          <w:shd w:val="clear" w:color="auto" w:fill="FFFFFF"/>
        </w:rPr>
        <w:t>(2), pp.125-143.</w:t>
      </w:r>
    </w:p>
    <w:p w14:paraId="6704B959"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Armstrong, M. and Taylor, S. (2020) </w:t>
      </w:r>
      <w:r w:rsidRPr="00573A12">
        <w:rPr>
          <w:rStyle w:val="normaltextrun"/>
          <w:rFonts w:ascii="Arial" w:hAnsi="Arial" w:cs="Arial"/>
          <w:i/>
          <w:iCs/>
          <w:sz w:val="22"/>
          <w:szCs w:val="22"/>
        </w:rPr>
        <w:t>Armstrong’s Handbook of Human Resource Management Practice.</w:t>
      </w:r>
      <w:r w:rsidRPr="00573A12">
        <w:rPr>
          <w:rStyle w:val="normaltextrun"/>
          <w:rFonts w:ascii="Arial" w:hAnsi="Arial" w:cs="Arial"/>
          <w:sz w:val="22"/>
          <w:szCs w:val="22"/>
        </w:rPr>
        <w:t xml:space="preserve"> 15</w:t>
      </w:r>
      <w:r w:rsidRPr="00573A12">
        <w:rPr>
          <w:rStyle w:val="normaltextrun"/>
          <w:rFonts w:ascii="Arial" w:hAnsi="Arial" w:cs="Arial"/>
          <w:sz w:val="22"/>
          <w:szCs w:val="22"/>
          <w:vertAlign w:val="superscript"/>
        </w:rPr>
        <w:t>th</w:t>
      </w:r>
      <w:r w:rsidRPr="00573A12">
        <w:rPr>
          <w:rStyle w:val="normaltextrun"/>
          <w:rFonts w:ascii="Arial" w:hAnsi="Arial" w:cs="Arial"/>
          <w:sz w:val="22"/>
          <w:szCs w:val="22"/>
        </w:rPr>
        <w:t xml:space="preserve"> </w:t>
      </w:r>
      <w:proofErr w:type="spellStart"/>
      <w:r w:rsidRPr="00573A12">
        <w:rPr>
          <w:rStyle w:val="normaltextrun"/>
          <w:rFonts w:ascii="Arial" w:hAnsi="Arial" w:cs="Arial"/>
          <w:sz w:val="22"/>
          <w:szCs w:val="22"/>
        </w:rPr>
        <w:t>edn</w:t>
      </w:r>
      <w:proofErr w:type="spellEnd"/>
      <w:r w:rsidRPr="00573A12">
        <w:rPr>
          <w:rStyle w:val="normaltextrun"/>
          <w:rFonts w:ascii="Arial" w:hAnsi="Arial" w:cs="Arial"/>
          <w:sz w:val="22"/>
          <w:szCs w:val="22"/>
        </w:rPr>
        <w:t>. Kogan Page Publishers, pp. 132-133</w:t>
      </w:r>
      <w:r w:rsidRPr="00573A12">
        <w:rPr>
          <w:rStyle w:val="eop"/>
          <w:rFonts w:ascii="Arial" w:eastAsia="Arial" w:hAnsi="Arial" w:cs="Arial"/>
          <w:sz w:val="22"/>
          <w:szCs w:val="22"/>
        </w:rPr>
        <w:t> </w:t>
      </w:r>
    </w:p>
    <w:p w14:paraId="3B477A60"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Barends, E., Rousseau, D.M. and Briner, R.B. (2014) Evidence-Based Management, The Basic Principles, </w:t>
      </w:r>
      <w:r w:rsidRPr="00573A12">
        <w:rPr>
          <w:rStyle w:val="normaltextrun"/>
          <w:rFonts w:ascii="Arial" w:hAnsi="Arial" w:cs="Arial"/>
          <w:i/>
          <w:iCs/>
          <w:sz w:val="22"/>
          <w:szCs w:val="22"/>
        </w:rPr>
        <w:t>Centre for Evidence Based Management. </w:t>
      </w:r>
      <w:r w:rsidRPr="00573A12">
        <w:rPr>
          <w:rStyle w:val="normaltextrun"/>
          <w:rFonts w:ascii="Arial" w:hAnsi="Arial" w:cs="Arial"/>
          <w:sz w:val="22"/>
          <w:szCs w:val="22"/>
        </w:rPr>
        <w:t xml:space="preserve"> Available at: </w:t>
      </w:r>
      <w:hyperlink r:id="rId11" w:anchor="page=203" w:tgtFrame="_blank" w:history="1">
        <w:r w:rsidRPr="00573A12">
          <w:rPr>
            <w:rStyle w:val="normaltextrun"/>
            <w:rFonts w:ascii="Arial" w:hAnsi="Arial" w:cs="Arial"/>
            <w:color w:val="0000FF"/>
            <w:sz w:val="22"/>
            <w:szCs w:val="22"/>
            <w:u w:val="single"/>
          </w:rPr>
          <w:t>https://research.vu.nl/ws/portalfiles/portal/42141986/complete+dissertation.pdf#page=203</w:t>
        </w:r>
      </w:hyperlink>
      <w:r w:rsidRPr="00573A12">
        <w:rPr>
          <w:rStyle w:val="normaltextrun"/>
          <w:rFonts w:ascii="Arial" w:hAnsi="Arial" w:cs="Arial"/>
          <w:sz w:val="22"/>
          <w:szCs w:val="22"/>
        </w:rPr>
        <w:t xml:space="preserve"> (Accessed: 24 November 2023).</w:t>
      </w:r>
      <w:r w:rsidRPr="00573A12">
        <w:rPr>
          <w:rStyle w:val="eop"/>
          <w:rFonts w:ascii="Arial" w:eastAsia="Arial" w:hAnsi="Arial" w:cs="Arial"/>
          <w:sz w:val="22"/>
          <w:szCs w:val="22"/>
        </w:rPr>
        <w:t> </w:t>
      </w:r>
    </w:p>
    <w:p w14:paraId="402E960F"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proofErr w:type="spellStart"/>
      <w:r w:rsidRPr="00573A12">
        <w:rPr>
          <w:rStyle w:val="normaltextrun"/>
          <w:rFonts w:ascii="Arial" w:hAnsi="Arial" w:cs="Arial"/>
          <w:sz w:val="22"/>
          <w:szCs w:val="22"/>
        </w:rPr>
        <w:t>Benková</w:t>
      </w:r>
      <w:proofErr w:type="spellEnd"/>
      <w:r w:rsidRPr="00573A12">
        <w:rPr>
          <w:rStyle w:val="normaltextrun"/>
          <w:rFonts w:ascii="Arial" w:hAnsi="Arial" w:cs="Arial"/>
          <w:sz w:val="22"/>
          <w:szCs w:val="22"/>
        </w:rPr>
        <w:t>, E., Gallo, P., Balogová, B. and Nemec, J. (2020) ‘</w:t>
      </w:r>
      <w:r w:rsidRPr="00573A12">
        <w:rPr>
          <w:rStyle w:val="normaltextrun"/>
          <w:rFonts w:ascii="Arial" w:hAnsi="Arial" w:cs="Arial"/>
          <w:i/>
          <w:iCs/>
          <w:sz w:val="22"/>
          <w:szCs w:val="22"/>
        </w:rPr>
        <w:t xml:space="preserve">Factors Affecting the Use of Balanced Scorecard in Measuring Company Performance’, </w:t>
      </w:r>
      <w:r w:rsidRPr="00573A12">
        <w:rPr>
          <w:rStyle w:val="normaltextrun"/>
          <w:rFonts w:ascii="Arial" w:hAnsi="Arial" w:cs="Arial"/>
          <w:sz w:val="22"/>
          <w:szCs w:val="22"/>
        </w:rPr>
        <w:t>12,</w:t>
      </w:r>
      <w:r w:rsidRPr="00573A12">
        <w:rPr>
          <w:rStyle w:val="normaltextrun"/>
          <w:rFonts w:ascii="Arial" w:hAnsi="Arial" w:cs="Arial"/>
          <w:i/>
          <w:iCs/>
          <w:sz w:val="22"/>
          <w:szCs w:val="22"/>
        </w:rPr>
        <w:t xml:space="preserve"> </w:t>
      </w:r>
      <w:r w:rsidRPr="00573A12">
        <w:rPr>
          <w:rStyle w:val="normaltextrun"/>
          <w:rFonts w:ascii="Arial" w:hAnsi="Arial" w:cs="Arial"/>
          <w:sz w:val="22"/>
          <w:szCs w:val="22"/>
        </w:rPr>
        <w:t>pp.1-18.</w:t>
      </w:r>
      <w:r w:rsidRPr="00573A12">
        <w:rPr>
          <w:rStyle w:val="normaltextrun"/>
          <w:rFonts w:ascii="Arial" w:hAnsi="Arial" w:cs="Arial"/>
          <w:i/>
          <w:iCs/>
          <w:sz w:val="22"/>
          <w:szCs w:val="22"/>
        </w:rPr>
        <w:t xml:space="preserve"> </w:t>
      </w:r>
      <w:r w:rsidRPr="00573A12">
        <w:rPr>
          <w:rStyle w:val="normaltextrun"/>
          <w:rFonts w:ascii="Arial" w:hAnsi="Arial" w:cs="Arial"/>
          <w:sz w:val="22"/>
          <w:szCs w:val="22"/>
        </w:rPr>
        <w:t xml:space="preserve">Available at: </w:t>
      </w:r>
      <w:hyperlink r:id="rId12" w:tgtFrame="_blank" w:history="1">
        <w:r w:rsidRPr="00573A12">
          <w:rPr>
            <w:rStyle w:val="normaltextrun"/>
            <w:rFonts w:ascii="Arial" w:hAnsi="Arial" w:cs="Arial"/>
            <w:color w:val="0000FF"/>
            <w:sz w:val="22"/>
            <w:szCs w:val="22"/>
            <w:u w:val="single"/>
          </w:rPr>
          <w:t>https://doi.org/10.3390/su12031178</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563F877A"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Bramham, J. (1997) ‘</w:t>
      </w:r>
      <w:r w:rsidRPr="00573A12">
        <w:rPr>
          <w:rStyle w:val="normaltextrun"/>
          <w:rFonts w:ascii="Arial" w:hAnsi="Arial" w:cs="Arial"/>
          <w:i/>
          <w:iCs/>
          <w:sz w:val="22"/>
          <w:szCs w:val="22"/>
        </w:rPr>
        <w:t xml:space="preserve">Benchmarking for People Managers’. </w:t>
      </w:r>
      <w:r w:rsidRPr="00573A12">
        <w:rPr>
          <w:rStyle w:val="normaltextrun"/>
          <w:rFonts w:ascii="Arial" w:hAnsi="Arial" w:cs="Arial"/>
          <w:sz w:val="22"/>
          <w:szCs w:val="22"/>
        </w:rPr>
        <w:t>London: CIPD Publishing. Pp. 115.</w:t>
      </w:r>
      <w:r w:rsidRPr="00573A12">
        <w:rPr>
          <w:rStyle w:val="eop"/>
          <w:rFonts w:ascii="Arial" w:eastAsia="Arial" w:hAnsi="Arial" w:cs="Arial"/>
          <w:sz w:val="22"/>
          <w:szCs w:val="22"/>
        </w:rPr>
        <w:t> </w:t>
      </w:r>
    </w:p>
    <w:p w14:paraId="5E3D3ED7"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Briner, R.B., Denyer, D. and Rousseau, D.M. (2009) ‘Evidence-Based Management: Concept Cleanup Time?‘, </w:t>
      </w:r>
      <w:r w:rsidRPr="00573A12">
        <w:rPr>
          <w:rStyle w:val="normaltextrun"/>
          <w:rFonts w:ascii="Arial" w:hAnsi="Arial" w:cs="Arial"/>
          <w:i/>
          <w:iCs/>
          <w:sz w:val="22"/>
          <w:szCs w:val="22"/>
        </w:rPr>
        <w:t>Academy of Management Perspectives</w:t>
      </w:r>
      <w:r w:rsidRPr="00573A12">
        <w:rPr>
          <w:rStyle w:val="normaltextrun"/>
          <w:rFonts w:ascii="Arial" w:hAnsi="Arial" w:cs="Arial"/>
          <w:sz w:val="22"/>
          <w:szCs w:val="22"/>
        </w:rPr>
        <w:t xml:space="preserve">, 23(4), pp 19-32. Available at: </w:t>
      </w:r>
      <w:hyperlink r:id="rId13" w:tgtFrame="_blank" w:history="1">
        <w:r w:rsidRPr="00573A12">
          <w:rPr>
            <w:rStyle w:val="normaltextrun"/>
            <w:rFonts w:ascii="Arial" w:hAnsi="Arial" w:cs="Arial"/>
            <w:color w:val="0000FF"/>
            <w:sz w:val="22"/>
            <w:szCs w:val="22"/>
            <w:u w:val="single"/>
            <w:shd w:val="clear" w:color="auto" w:fill="FFFFFF"/>
          </w:rPr>
          <w:t>https://doi.org/10.5465/amp.23.4.19</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6EA0B10B" w14:textId="77777777" w:rsidR="00573A12" w:rsidRPr="00573A12" w:rsidRDefault="00573A12" w:rsidP="00573A12">
      <w:pPr>
        <w:pStyle w:val="BodyText"/>
        <w:numPr>
          <w:ilvl w:val="0"/>
          <w:numId w:val="12"/>
        </w:numPr>
        <w:spacing w:before="162"/>
        <w:ind w:right="283"/>
        <w:jc w:val="both"/>
        <w:rPr>
          <w:i/>
          <w:iCs/>
        </w:rPr>
      </w:pPr>
      <w:r w:rsidRPr="00573A12">
        <w:t xml:space="preserve">CIPD (2015) </w:t>
      </w:r>
      <w:r w:rsidRPr="00573A12">
        <w:rPr>
          <w:i/>
          <w:iCs/>
        </w:rPr>
        <w:t>Ethical decision-making: Eight perspectives on workplace dilemmas.</w:t>
      </w:r>
      <w:r w:rsidRPr="00573A12">
        <w:t xml:space="preserve"> Available at </w:t>
      </w:r>
      <w:hyperlink r:id="rId14" w:history="1">
        <w:r w:rsidRPr="00573A12">
          <w:rPr>
            <w:rStyle w:val="Hyperlink"/>
          </w:rPr>
          <w:t>https://www.cipd.org/globalassets/media/comms/the-people-profession/profession-map-pdfs/ethical-decision-making-2015-eight-perspectives-on-workplace-dilemmas_tcm29-9564.pdf</w:t>
        </w:r>
      </w:hyperlink>
      <w:r w:rsidRPr="00573A12">
        <w:t xml:space="preserve"> (Accessed 3 December 2023).</w:t>
      </w:r>
    </w:p>
    <w:p w14:paraId="25B4E544"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CIPD (2016) </w:t>
      </w:r>
      <w:r w:rsidRPr="00573A12">
        <w:rPr>
          <w:rStyle w:val="normaltextrun"/>
          <w:rFonts w:ascii="Arial" w:hAnsi="Arial" w:cs="Arial"/>
          <w:i/>
          <w:iCs/>
          <w:sz w:val="22"/>
          <w:szCs w:val="22"/>
        </w:rPr>
        <w:t xml:space="preserve">How to Write a Critical Review. </w:t>
      </w:r>
      <w:r w:rsidRPr="00573A12">
        <w:rPr>
          <w:rStyle w:val="normaltextrun"/>
          <w:rFonts w:ascii="Arial" w:hAnsi="Arial" w:cs="Arial"/>
          <w:sz w:val="22"/>
          <w:szCs w:val="22"/>
        </w:rPr>
        <w:t xml:space="preserve">Available at: </w:t>
      </w:r>
      <w:hyperlink r:id="rId15" w:anchor="selecting-an-item-to-review" w:tgtFrame="_blank" w:history="1">
        <w:r w:rsidRPr="00573A12">
          <w:rPr>
            <w:rStyle w:val="normaltextrun"/>
            <w:rFonts w:ascii="Arial" w:hAnsi="Arial" w:cs="Arial"/>
            <w:color w:val="0000FF"/>
            <w:sz w:val="22"/>
            <w:szCs w:val="22"/>
            <w:u w:val="single"/>
          </w:rPr>
          <w:t>https://www.cipd.org/uk/learning/support-for-students/currently-studying/critical-review-writing/#selecting-an-item-to-review</w:t>
        </w:r>
      </w:hyperlink>
      <w:r w:rsidRPr="00573A12">
        <w:rPr>
          <w:rStyle w:val="normaltextrun"/>
          <w:rFonts w:ascii="Arial" w:hAnsi="Arial" w:cs="Arial"/>
          <w:sz w:val="22"/>
          <w:szCs w:val="22"/>
        </w:rPr>
        <w:t xml:space="preserve"> (Accessed: 29 November 2023).</w:t>
      </w:r>
      <w:r w:rsidRPr="00573A12">
        <w:rPr>
          <w:rStyle w:val="eop"/>
          <w:rFonts w:ascii="Arial" w:eastAsia="Arial" w:hAnsi="Arial" w:cs="Arial"/>
          <w:sz w:val="22"/>
          <w:szCs w:val="22"/>
        </w:rPr>
        <w:t> </w:t>
      </w:r>
    </w:p>
    <w:p w14:paraId="27CC1555" w14:textId="77777777" w:rsidR="00573A12" w:rsidRPr="00573A12" w:rsidRDefault="00573A12" w:rsidP="00573A12">
      <w:pPr>
        <w:pStyle w:val="BodyText"/>
        <w:numPr>
          <w:ilvl w:val="0"/>
          <w:numId w:val="12"/>
        </w:numPr>
        <w:spacing w:before="162"/>
        <w:ind w:right="283"/>
        <w:jc w:val="both"/>
        <w:rPr>
          <w:i/>
          <w:iCs/>
        </w:rPr>
      </w:pPr>
      <w:r w:rsidRPr="00573A12">
        <w:t xml:space="preserve">CIPD (2021) People analytics: Guide for people professionals. Available at </w:t>
      </w:r>
      <w:hyperlink r:id="rId16" w:history="1">
        <w:r w:rsidRPr="00573A12">
          <w:rPr>
            <w:rStyle w:val="Hyperlink"/>
          </w:rPr>
          <w:t>https://www.cipd.org/uk/knowledge/guides/analytics-practitioner-guide/</w:t>
        </w:r>
      </w:hyperlink>
      <w:r w:rsidRPr="00573A12">
        <w:t xml:space="preserve"> (Accessed 3 December 2023).</w:t>
      </w:r>
    </w:p>
    <w:p w14:paraId="5B5B171F"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CIPD (2023) </w:t>
      </w:r>
      <w:r w:rsidRPr="00573A12">
        <w:rPr>
          <w:rStyle w:val="normaltextrun"/>
          <w:rFonts w:ascii="Arial" w:hAnsi="Arial" w:cs="Arial"/>
          <w:i/>
          <w:iCs/>
          <w:sz w:val="22"/>
          <w:szCs w:val="22"/>
        </w:rPr>
        <w:t xml:space="preserve">Evidence-Based Practice for Effective Decision-Making. </w:t>
      </w:r>
      <w:r w:rsidRPr="00573A12">
        <w:rPr>
          <w:rStyle w:val="normaltextrun"/>
          <w:rFonts w:ascii="Arial" w:hAnsi="Arial" w:cs="Arial"/>
          <w:sz w:val="22"/>
          <w:szCs w:val="22"/>
        </w:rPr>
        <w:t xml:space="preserve">Available at: </w:t>
      </w:r>
      <w:hyperlink r:id="rId17" w:tgtFrame="_blank" w:history="1">
        <w:r w:rsidRPr="00573A12">
          <w:rPr>
            <w:rStyle w:val="normaltextrun"/>
            <w:rFonts w:ascii="Arial" w:hAnsi="Arial" w:cs="Arial"/>
            <w:color w:val="0000FF"/>
            <w:sz w:val="22"/>
            <w:szCs w:val="22"/>
            <w:u w:val="single"/>
          </w:rPr>
          <w:t>https://www.cipd.org/uk/knowledge/factsheets/evidence-based-practice-factsheet/</w:t>
        </w:r>
      </w:hyperlink>
      <w:r w:rsidRPr="00573A12">
        <w:rPr>
          <w:rStyle w:val="normaltextrun"/>
          <w:rFonts w:ascii="Arial" w:hAnsi="Arial" w:cs="Arial"/>
          <w:sz w:val="22"/>
          <w:szCs w:val="22"/>
        </w:rPr>
        <w:t xml:space="preserve"> (Accessed: 30 November 2023).</w:t>
      </w:r>
      <w:r w:rsidRPr="00573A12">
        <w:rPr>
          <w:rStyle w:val="eop"/>
          <w:rFonts w:ascii="Arial" w:eastAsia="Arial" w:hAnsi="Arial" w:cs="Arial"/>
          <w:sz w:val="22"/>
          <w:szCs w:val="22"/>
        </w:rPr>
        <w:t> </w:t>
      </w:r>
    </w:p>
    <w:p w14:paraId="5092F7C6"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CIPD (2023) </w:t>
      </w:r>
      <w:r w:rsidRPr="00573A12">
        <w:rPr>
          <w:rStyle w:val="normaltextrun"/>
          <w:rFonts w:ascii="Arial" w:hAnsi="Arial" w:cs="Arial"/>
          <w:i/>
          <w:iCs/>
          <w:sz w:val="22"/>
          <w:szCs w:val="22"/>
        </w:rPr>
        <w:t xml:space="preserve">SWOT Analysis. </w:t>
      </w:r>
      <w:r w:rsidRPr="00573A12">
        <w:rPr>
          <w:rStyle w:val="normaltextrun"/>
          <w:rFonts w:ascii="Arial" w:hAnsi="Arial" w:cs="Arial"/>
          <w:sz w:val="22"/>
          <w:szCs w:val="22"/>
        </w:rPr>
        <w:t xml:space="preserve">Available at: </w:t>
      </w:r>
      <w:hyperlink r:id="rId18" w:tgtFrame="_blank" w:history="1">
        <w:r w:rsidRPr="00573A12">
          <w:rPr>
            <w:rStyle w:val="normaltextrun"/>
            <w:rFonts w:ascii="Arial" w:hAnsi="Arial" w:cs="Arial"/>
            <w:color w:val="0000FF"/>
            <w:sz w:val="22"/>
            <w:szCs w:val="22"/>
            <w:u w:val="single"/>
          </w:rPr>
          <w:t>https://www.cipd.org/uk/knowledge/factsheets/swot-analysis-factsheet/</w:t>
        </w:r>
      </w:hyperlink>
      <w:r w:rsidRPr="00573A12">
        <w:rPr>
          <w:rStyle w:val="normaltextrun"/>
          <w:rFonts w:ascii="Arial" w:hAnsi="Arial" w:cs="Arial"/>
          <w:sz w:val="22"/>
          <w:szCs w:val="22"/>
        </w:rPr>
        <w:t xml:space="preserve"> (Accessed: 04 December 2023).</w:t>
      </w:r>
      <w:r w:rsidRPr="00573A12">
        <w:rPr>
          <w:rStyle w:val="eop"/>
          <w:rFonts w:ascii="Arial" w:eastAsia="Arial" w:hAnsi="Arial" w:cs="Arial"/>
          <w:sz w:val="22"/>
          <w:szCs w:val="22"/>
        </w:rPr>
        <w:t> </w:t>
      </w:r>
    </w:p>
    <w:p w14:paraId="313835E8"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Cottrell, S. (2011) </w:t>
      </w:r>
      <w:r w:rsidRPr="00573A12">
        <w:rPr>
          <w:rStyle w:val="normaltextrun"/>
          <w:rFonts w:ascii="Arial" w:hAnsi="Arial" w:cs="Arial"/>
          <w:i/>
          <w:iCs/>
          <w:sz w:val="22"/>
          <w:szCs w:val="22"/>
        </w:rPr>
        <w:t>Critical Thinking Skills: Developing Effective Analysis and Argument. Basingstoke: Palgrave Macmillan.</w:t>
      </w:r>
      <w:r w:rsidRPr="00573A12">
        <w:rPr>
          <w:rStyle w:val="eop"/>
          <w:rFonts w:ascii="Arial" w:eastAsia="Arial" w:hAnsi="Arial" w:cs="Arial"/>
          <w:sz w:val="22"/>
          <w:szCs w:val="22"/>
        </w:rPr>
        <w:t> </w:t>
      </w:r>
    </w:p>
    <w:p w14:paraId="5478C9FD" w14:textId="621592BC" w:rsidR="00573A12" w:rsidRPr="00573A12" w:rsidRDefault="00573A12" w:rsidP="00573A12">
      <w:pPr>
        <w:pStyle w:val="paragraph"/>
        <w:numPr>
          <w:ilvl w:val="0"/>
          <w:numId w:val="13"/>
        </w:numPr>
        <w:shd w:val="clear" w:color="auto" w:fill="FFFFFF"/>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000000"/>
          <w:sz w:val="22"/>
          <w:szCs w:val="22"/>
        </w:rPr>
        <w:lastRenderedPageBreak/>
        <w:t xml:space="preserve">De Bono, E. (2017) </w:t>
      </w:r>
      <w:r w:rsidRPr="00573A12">
        <w:rPr>
          <w:rStyle w:val="normaltextrun"/>
          <w:rFonts w:ascii="Arial" w:hAnsi="Arial" w:cs="Arial"/>
          <w:i/>
          <w:iCs/>
          <w:color w:val="000000"/>
          <w:sz w:val="22"/>
          <w:szCs w:val="22"/>
        </w:rPr>
        <w:t>Six Thinking Hats: The Multi-Million Bestselling guide to Running Better Meetings and Making Faster Decisions.</w:t>
      </w:r>
      <w:r w:rsidRPr="00573A12">
        <w:rPr>
          <w:rStyle w:val="normaltextrun"/>
          <w:rFonts w:ascii="Arial" w:hAnsi="Arial" w:cs="Arial"/>
          <w:color w:val="000000"/>
          <w:sz w:val="22"/>
          <w:szCs w:val="22"/>
        </w:rPr>
        <w:t xml:space="preserve"> Penguin UK, 2017.</w:t>
      </w:r>
      <w:r w:rsidRPr="00573A12">
        <w:rPr>
          <w:rStyle w:val="eop"/>
          <w:rFonts w:ascii="Arial" w:eastAsia="Arial" w:hAnsi="Arial" w:cs="Arial"/>
          <w:color w:val="000000"/>
          <w:sz w:val="22"/>
          <w:szCs w:val="22"/>
        </w:rPr>
        <w:t> </w:t>
      </w:r>
    </w:p>
    <w:p w14:paraId="38E9DE67"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Dennis, A. and Williams, M. (2003) ‘Electronic brainstorming’, </w:t>
      </w:r>
      <w:r w:rsidRPr="00573A12">
        <w:rPr>
          <w:rStyle w:val="normaltextrun"/>
          <w:rFonts w:ascii="Arial" w:hAnsi="Arial" w:cs="Arial"/>
          <w:i/>
          <w:iCs/>
          <w:color w:val="222222"/>
          <w:sz w:val="22"/>
          <w:szCs w:val="22"/>
          <w:shd w:val="clear" w:color="auto" w:fill="FFFFFF"/>
        </w:rPr>
        <w:t>Group creativity: Innovation through collaboration</w:t>
      </w:r>
      <w:r w:rsidRPr="00573A12">
        <w:rPr>
          <w:rStyle w:val="normaltextrun"/>
          <w:rFonts w:ascii="Arial" w:hAnsi="Arial" w:cs="Arial"/>
          <w:color w:val="222222"/>
          <w:sz w:val="22"/>
          <w:szCs w:val="22"/>
          <w:shd w:val="clear" w:color="auto" w:fill="FFFFFF"/>
        </w:rPr>
        <w:t xml:space="preserve">, pp.160-178. Available at: </w:t>
      </w:r>
      <w:hyperlink r:id="rId19" w:anchor="v=onepage&amp;q=Dennis%2C%20A.%20and%20Williams%2C%20M.%20(2003)%20%E2%80%98Electronic%20brainstorming%E2%80%99%2C&amp;f=false" w:tgtFrame="_blank" w:history="1">
        <w:r w:rsidRPr="00573A12">
          <w:rPr>
            <w:rStyle w:val="normaltextrun"/>
            <w:rFonts w:ascii="Arial" w:hAnsi="Arial" w:cs="Arial"/>
            <w:color w:val="0000FF"/>
            <w:sz w:val="22"/>
            <w:szCs w:val="22"/>
            <w:u w:val="single"/>
            <w:shd w:val="clear" w:color="auto" w:fill="FFFFFF"/>
          </w:rPr>
          <w:t>https://books.google.co.uk/books?hl=en&amp;lr=&amp;id=6xRnDAAAQBAJ&amp;oi=fnd&amp;pg=PA160&amp;dq=Dennis,+A.+and+Williams,+M.+(2003)+%E2%80%98Electronic+brainstorming%E2%80%99,+&amp;ots=-UPwliaygf&amp;sig=AUXCH8ijPxaQhDNzHsLXNS51SCo#v=onepage&amp;q=Dennis%2C%20A.%20and%20Williams%2C%20M.%20(2003)%20%E2%80%98Electronic%20brainstorming%E2%80%99%2C&amp;f=false</w:t>
        </w:r>
      </w:hyperlink>
      <w:r w:rsidRPr="00573A12">
        <w:rPr>
          <w:rStyle w:val="normaltextrun"/>
          <w:rFonts w:ascii="Arial" w:hAnsi="Arial" w:cs="Arial"/>
          <w:color w:val="222222"/>
          <w:sz w:val="22"/>
          <w:szCs w:val="22"/>
          <w:shd w:val="clear" w:color="auto" w:fill="FFFFFF"/>
        </w:rPr>
        <w:t xml:space="preserve"> (Accessed: 27 November 2023).</w:t>
      </w:r>
      <w:r w:rsidRPr="00573A12">
        <w:rPr>
          <w:rStyle w:val="eop"/>
          <w:rFonts w:ascii="Arial" w:eastAsia="Arial" w:hAnsi="Arial" w:cs="Arial"/>
          <w:color w:val="222222"/>
          <w:sz w:val="22"/>
          <w:szCs w:val="22"/>
        </w:rPr>
        <w:t> </w:t>
      </w:r>
    </w:p>
    <w:p w14:paraId="7F05FA0B"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Dyson, R. G. (2004) ‘Strategic development and SWOT analysis at the University of Warwick’, </w:t>
      </w:r>
      <w:r w:rsidRPr="00573A12">
        <w:rPr>
          <w:rStyle w:val="normaltextrun"/>
          <w:rFonts w:ascii="Arial" w:hAnsi="Arial" w:cs="Arial"/>
          <w:i/>
          <w:iCs/>
          <w:sz w:val="22"/>
          <w:szCs w:val="22"/>
        </w:rPr>
        <w:t>European Journal of Operational Research</w:t>
      </w:r>
      <w:r w:rsidRPr="00573A12">
        <w:rPr>
          <w:rStyle w:val="normaltextrun"/>
          <w:rFonts w:ascii="Arial" w:hAnsi="Arial" w:cs="Arial"/>
          <w:sz w:val="22"/>
          <w:szCs w:val="22"/>
        </w:rPr>
        <w:t xml:space="preserve">, 152(3), pp. 631-640. Available at: </w:t>
      </w:r>
      <w:hyperlink r:id="rId20" w:tgtFrame="_blank" w:history="1">
        <w:r w:rsidRPr="00573A12">
          <w:rPr>
            <w:rStyle w:val="normaltextrun"/>
            <w:rFonts w:ascii="Arial" w:hAnsi="Arial" w:cs="Arial"/>
            <w:color w:val="0000FF"/>
            <w:sz w:val="22"/>
            <w:szCs w:val="22"/>
            <w:u w:val="single"/>
          </w:rPr>
          <w:t>https://doi.org/10.1016/S0377-2217(03)00062-6</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23567607"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Grimble, R. and Wellard, K. (1997) ‘Stakeholder methodologies in natural resource management: a review of principles, contexts, experiences and opportunities’, </w:t>
      </w:r>
      <w:r w:rsidRPr="00573A12">
        <w:rPr>
          <w:rStyle w:val="normaltextrun"/>
          <w:rFonts w:ascii="Arial" w:hAnsi="Arial" w:cs="Arial"/>
          <w:i/>
          <w:iCs/>
          <w:sz w:val="22"/>
          <w:szCs w:val="22"/>
        </w:rPr>
        <w:t>Agricultural Systems</w:t>
      </w:r>
      <w:r w:rsidRPr="00573A12">
        <w:rPr>
          <w:rStyle w:val="normaltextrun"/>
          <w:rFonts w:ascii="Arial" w:hAnsi="Arial" w:cs="Arial"/>
          <w:sz w:val="22"/>
          <w:szCs w:val="22"/>
        </w:rPr>
        <w:t xml:space="preserve">, 55(2), pp. 173- 193. Available at: </w:t>
      </w:r>
      <w:hyperlink r:id="rId21" w:tgtFrame="_blank" w:history="1">
        <w:r w:rsidRPr="00573A12">
          <w:rPr>
            <w:rStyle w:val="normaltextrun"/>
            <w:rFonts w:ascii="Arial" w:hAnsi="Arial" w:cs="Arial"/>
            <w:color w:val="0000FF"/>
            <w:sz w:val="22"/>
            <w:szCs w:val="22"/>
            <w:u w:val="single"/>
          </w:rPr>
          <w:t>https://doi.org/10.1016/S0308-521X(97)00006-1</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46FAB219"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Gunn, R. and Williams, W. (2007) ‘Strategic tools: an empirical investigation into strategy in practice in the UK’ </w:t>
      </w:r>
      <w:r w:rsidRPr="00573A12">
        <w:rPr>
          <w:rStyle w:val="normaltextrun"/>
          <w:rFonts w:ascii="Arial" w:hAnsi="Arial" w:cs="Arial"/>
          <w:i/>
          <w:iCs/>
          <w:color w:val="222222"/>
          <w:sz w:val="22"/>
          <w:szCs w:val="22"/>
          <w:shd w:val="clear" w:color="auto" w:fill="FFFFFF"/>
        </w:rPr>
        <w:t>Strategic Change</w:t>
      </w:r>
      <w:r w:rsidRPr="00573A12">
        <w:rPr>
          <w:rStyle w:val="normaltextrun"/>
          <w:rFonts w:ascii="Arial" w:hAnsi="Arial" w:cs="Arial"/>
          <w:color w:val="222222"/>
          <w:sz w:val="22"/>
          <w:szCs w:val="22"/>
          <w:shd w:val="clear" w:color="auto" w:fill="FFFFFF"/>
        </w:rPr>
        <w:t>, </w:t>
      </w:r>
      <w:r w:rsidRPr="00573A12">
        <w:rPr>
          <w:rStyle w:val="normaltextrun"/>
          <w:rFonts w:ascii="Arial" w:hAnsi="Arial" w:cs="Arial"/>
          <w:i/>
          <w:iCs/>
          <w:color w:val="222222"/>
          <w:sz w:val="22"/>
          <w:szCs w:val="22"/>
          <w:shd w:val="clear" w:color="auto" w:fill="FFFFFF"/>
        </w:rPr>
        <w:t>16</w:t>
      </w:r>
      <w:r w:rsidRPr="00573A12">
        <w:rPr>
          <w:rStyle w:val="normaltextrun"/>
          <w:rFonts w:ascii="Arial" w:hAnsi="Arial" w:cs="Arial"/>
          <w:color w:val="222222"/>
          <w:sz w:val="22"/>
          <w:szCs w:val="22"/>
          <w:shd w:val="clear" w:color="auto" w:fill="FFFFFF"/>
        </w:rPr>
        <w:t xml:space="preserve">(5), pp.201-216. Available at: </w:t>
      </w:r>
      <w:hyperlink r:id="rId22" w:tgtFrame="_blank" w:history="1">
        <w:r w:rsidRPr="00573A12">
          <w:rPr>
            <w:rStyle w:val="normaltextrun"/>
            <w:rFonts w:ascii="Arial" w:hAnsi="Arial" w:cs="Arial"/>
            <w:color w:val="0000FF"/>
            <w:sz w:val="22"/>
            <w:szCs w:val="22"/>
            <w:u w:val="single"/>
            <w:shd w:val="clear" w:color="auto" w:fill="FFFFFF"/>
          </w:rPr>
          <w:t>https://doi.org/10.1002/jsc.799</w:t>
        </w:r>
      </w:hyperlink>
      <w:r w:rsidRPr="00573A12">
        <w:rPr>
          <w:rStyle w:val="normaltextrun"/>
          <w:rFonts w:ascii="Arial" w:hAnsi="Arial" w:cs="Arial"/>
          <w:color w:val="222222"/>
          <w:sz w:val="22"/>
          <w:szCs w:val="22"/>
          <w:shd w:val="clear" w:color="auto" w:fill="FFFFFF"/>
        </w:rPr>
        <w:t> </w:t>
      </w:r>
      <w:r w:rsidRPr="00573A12">
        <w:rPr>
          <w:rStyle w:val="eop"/>
          <w:rFonts w:ascii="Arial" w:eastAsia="Arial" w:hAnsi="Arial" w:cs="Arial"/>
          <w:color w:val="222222"/>
          <w:sz w:val="22"/>
          <w:szCs w:val="22"/>
        </w:rPr>
        <w:t> </w:t>
      </w:r>
    </w:p>
    <w:p w14:paraId="1A8F54D5" w14:textId="77777777" w:rsidR="00573A12" w:rsidRPr="00573A12" w:rsidRDefault="00573A12" w:rsidP="00573A12">
      <w:pPr>
        <w:pStyle w:val="paragraph"/>
        <w:numPr>
          <w:ilvl w:val="0"/>
          <w:numId w:val="13"/>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Jackson, N. (2001) ‘Benchmarking in UK HE: an overview’, </w:t>
      </w:r>
      <w:r w:rsidRPr="00573A12">
        <w:rPr>
          <w:rStyle w:val="normaltextrun"/>
          <w:rFonts w:ascii="Arial" w:hAnsi="Arial" w:cs="Arial"/>
          <w:i/>
          <w:iCs/>
          <w:color w:val="222222"/>
          <w:sz w:val="22"/>
          <w:szCs w:val="22"/>
          <w:shd w:val="clear" w:color="auto" w:fill="FFFFFF"/>
        </w:rPr>
        <w:t>Quality Assurance in Education</w:t>
      </w:r>
      <w:r w:rsidRPr="00573A12">
        <w:rPr>
          <w:rStyle w:val="normaltextrun"/>
          <w:rFonts w:ascii="Arial" w:hAnsi="Arial" w:cs="Arial"/>
          <w:color w:val="222222"/>
          <w:sz w:val="22"/>
          <w:szCs w:val="22"/>
          <w:shd w:val="clear" w:color="auto" w:fill="FFFFFF"/>
        </w:rPr>
        <w:t xml:space="preserve">, 9(4), pp.218-235. Available at: </w:t>
      </w:r>
      <w:hyperlink r:id="rId23" w:tgtFrame="_blank" w:history="1">
        <w:r w:rsidRPr="00573A12">
          <w:rPr>
            <w:rStyle w:val="normaltextrun"/>
            <w:rFonts w:ascii="Arial" w:hAnsi="Arial" w:cs="Arial"/>
            <w:color w:val="0000FF"/>
            <w:sz w:val="22"/>
            <w:szCs w:val="22"/>
            <w:u w:val="single"/>
            <w:shd w:val="clear" w:color="auto" w:fill="FFFFFF"/>
          </w:rPr>
          <w:t>https://doi.org/10.1108/09684880110411955</w:t>
        </w:r>
      </w:hyperlink>
      <w:r w:rsidRPr="00573A12">
        <w:rPr>
          <w:rStyle w:val="normaltextrun"/>
          <w:rFonts w:ascii="Arial" w:hAnsi="Arial" w:cs="Arial"/>
          <w:color w:val="222222"/>
          <w:sz w:val="22"/>
          <w:szCs w:val="22"/>
          <w:shd w:val="clear" w:color="auto" w:fill="FFFFFF"/>
        </w:rPr>
        <w:t> </w:t>
      </w:r>
      <w:r w:rsidRPr="00573A12">
        <w:rPr>
          <w:rStyle w:val="eop"/>
          <w:rFonts w:ascii="Arial" w:eastAsia="Arial" w:hAnsi="Arial" w:cs="Arial"/>
          <w:color w:val="222222"/>
          <w:sz w:val="22"/>
          <w:szCs w:val="22"/>
        </w:rPr>
        <w:t> </w:t>
      </w:r>
    </w:p>
    <w:p w14:paraId="07B62A80"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Kaplan, R.S. and Norton, D.P. (1996), The Balanced Scorecard – Translating Strategy Into Action, Harvard Business School Press, Boston, MA. Available at: </w:t>
      </w:r>
      <w:hyperlink r:id="rId24" w:anchor="page=36" w:tgtFrame="_blank" w:history="1">
        <w:r w:rsidRPr="00573A12">
          <w:rPr>
            <w:rStyle w:val="normaltextrun"/>
            <w:rFonts w:ascii="Arial" w:hAnsi="Arial" w:cs="Arial"/>
            <w:color w:val="0000FF"/>
            <w:sz w:val="22"/>
            <w:szCs w:val="22"/>
            <w:u w:val="single"/>
          </w:rPr>
          <w:t>https://d1wqtxts1xzle7.cloudfront.net/32320664/Kaplan_Norton_Balanced_Scorecard_-_3_articles-libre.pdf?1391518296=&amp;response-content-disposition=inline%3B+filename%3DPutting_the_Balanced_Scorecard_to_Work.pdf&amp;Expires=1701736681&amp;Signature=Hx2-a2mefRsLdOqluKKhXU5xA644-PXuzW9qlBFIw65LXuE48qpsCmg~-P7lZYEa6ycsmnGiqQdfVnVce9s6UbWGt1c4N7RyrugCmvi9Gvj5Ke8IYMOChv16SDVqGTmPcfkGaEdyDFrB7MAq7lHoU4K8CFvtqZwIq6v4aBHQ3BSTlUZKYRWTSNSFixEp9JoFmTirwAeEUYe0LZvMpI-rFP5LU2Y91oKQhI~ZS3ObztLaj-K3SEmOT9WVS8023QPXrhg~bSPaeL11UvxpbAXF~9v3qKGq4lDJdxdnfuoRajEzBZ0Wt42wKLoheH52TZ3i2im9bi6Dgcqvc3fbuciddw__&amp;Key-Pair-Id=APKAJLOHF5GGSLRBV4ZA#page=36</w:t>
        </w:r>
      </w:hyperlink>
      <w:r w:rsidRPr="00573A12">
        <w:rPr>
          <w:rStyle w:val="normaltextrun"/>
          <w:rFonts w:ascii="Arial" w:hAnsi="Arial" w:cs="Arial"/>
          <w:sz w:val="22"/>
          <w:szCs w:val="22"/>
        </w:rPr>
        <w:t xml:space="preserve"> (Accessed: 22 November 2023.</w:t>
      </w:r>
      <w:r w:rsidRPr="00573A12">
        <w:rPr>
          <w:rStyle w:val="eop"/>
          <w:rFonts w:ascii="Arial" w:eastAsia="Arial" w:hAnsi="Arial" w:cs="Arial"/>
          <w:sz w:val="22"/>
          <w:szCs w:val="22"/>
        </w:rPr>
        <w:t> </w:t>
      </w:r>
    </w:p>
    <w:p w14:paraId="72893009"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3A3A3A"/>
          <w:sz w:val="22"/>
          <w:szCs w:val="22"/>
          <w:shd w:val="clear" w:color="auto" w:fill="FFFFFF"/>
        </w:rPr>
        <w:t>Kaschner, H. (2017) ‘Effective crisis decision-making’, </w:t>
      </w:r>
      <w:r w:rsidRPr="00573A12">
        <w:rPr>
          <w:rStyle w:val="normaltextrun"/>
          <w:rFonts w:ascii="Arial" w:hAnsi="Arial" w:cs="Arial"/>
          <w:i/>
          <w:iCs/>
          <w:color w:val="3A3A3A"/>
          <w:sz w:val="22"/>
          <w:szCs w:val="22"/>
          <w:shd w:val="clear" w:color="auto" w:fill="FFFFFF"/>
        </w:rPr>
        <w:t>Journal of Business Continuity &amp; Emergency Planning</w:t>
      </w:r>
      <w:r w:rsidRPr="00573A12">
        <w:rPr>
          <w:rStyle w:val="normaltextrun"/>
          <w:rFonts w:ascii="Arial" w:hAnsi="Arial" w:cs="Arial"/>
          <w:color w:val="3A3A3A"/>
          <w:sz w:val="22"/>
          <w:szCs w:val="22"/>
          <w:shd w:val="clear" w:color="auto" w:fill="FFFFFF"/>
        </w:rPr>
        <w:t>, </w:t>
      </w:r>
      <w:r w:rsidRPr="00573A12">
        <w:rPr>
          <w:rStyle w:val="normaltextrun"/>
          <w:rFonts w:ascii="Arial" w:hAnsi="Arial" w:cs="Arial"/>
          <w:i/>
          <w:iCs/>
          <w:color w:val="3A3A3A"/>
          <w:sz w:val="22"/>
          <w:szCs w:val="22"/>
          <w:shd w:val="clear" w:color="auto" w:fill="FFFFFF"/>
        </w:rPr>
        <w:t>11</w:t>
      </w:r>
      <w:r w:rsidRPr="00573A12">
        <w:rPr>
          <w:rStyle w:val="normaltextrun"/>
          <w:rFonts w:ascii="Arial" w:hAnsi="Arial" w:cs="Arial"/>
          <w:color w:val="3A3A3A"/>
          <w:sz w:val="22"/>
          <w:szCs w:val="22"/>
          <w:shd w:val="clear" w:color="auto" w:fill="FFFFFF"/>
        </w:rPr>
        <w:t xml:space="preserve">(1), pp. 27-36. </w:t>
      </w:r>
      <w:r w:rsidRPr="00573A12">
        <w:rPr>
          <w:rStyle w:val="normaltextrun"/>
          <w:rFonts w:ascii="Arial" w:hAnsi="Arial" w:cs="Arial"/>
          <w:sz w:val="22"/>
          <w:szCs w:val="22"/>
          <w:shd w:val="clear" w:color="auto" w:fill="FFFFFF"/>
        </w:rPr>
        <w:t xml:space="preserve">Available at: </w:t>
      </w:r>
      <w:hyperlink r:id="rId25" w:tgtFrame="_blank" w:history="1">
        <w:r w:rsidRPr="00573A12">
          <w:rPr>
            <w:rStyle w:val="normaltextrun"/>
            <w:rFonts w:ascii="Arial" w:hAnsi="Arial" w:cs="Arial"/>
            <w:color w:val="0000FF"/>
            <w:sz w:val="22"/>
            <w:szCs w:val="22"/>
            <w:u w:val="single"/>
            <w:shd w:val="clear" w:color="auto" w:fill="FFFFFF"/>
          </w:rPr>
          <w:t>https://www.ingentaconnect.com/content/hsp/jbcep/2017/00000011/00000001/art00004</w:t>
        </w:r>
      </w:hyperlink>
      <w:r w:rsidRPr="00573A12">
        <w:rPr>
          <w:rStyle w:val="normaltextrun"/>
          <w:rFonts w:ascii="Arial" w:hAnsi="Arial" w:cs="Arial"/>
          <w:color w:val="FF0000"/>
          <w:sz w:val="22"/>
          <w:szCs w:val="22"/>
          <w:shd w:val="clear" w:color="auto" w:fill="FFFFFF"/>
        </w:rPr>
        <w:t xml:space="preserve"> </w:t>
      </w:r>
      <w:r w:rsidRPr="00573A12">
        <w:rPr>
          <w:rStyle w:val="normaltextrun"/>
          <w:rFonts w:ascii="Arial" w:hAnsi="Arial" w:cs="Arial"/>
          <w:sz w:val="22"/>
          <w:szCs w:val="22"/>
          <w:shd w:val="clear" w:color="auto" w:fill="FFFFFF"/>
        </w:rPr>
        <w:t>(Accessed: 23 November 2023).</w:t>
      </w:r>
      <w:r w:rsidRPr="00573A12">
        <w:rPr>
          <w:rStyle w:val="eop"/>
          <w:rFonts w:ascii="Arial" w:eastAsia="Arial" w:hAnsi="Arial" w:cs="Arial"/>
          <w:sz w:val="22"/>
          <w:szCs w:val="22"/>
        </w:rPr>
        <w:t> </w:t>
      </w:r>
    </w:p>
    <w:p w14:paraId="1404CAAC"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Kirkpatrick, D.D. (2011) ‘Wired and Shrewd, Young Egyptians Guide Revolt’, </w:t>
      </w:r>
      <w:r w:rsidRPr="00573A12">
        <w:rPr>
          <w:rStyle w:val="normaltextrun"/>
          <w:rFonts w:ascii="Arial" w:hAnsi="Arial" w:cs="Arial"/>
          <w:i/>
          <w:iCs/>
          <w:sz w:val="22"/>
          <w:szCs w:val="22"/>
        </w:rPr>
        <w:t xml:space="preserve">The New York Times. </w:t>
      </w:r>
      <w:r w:rsidRPr="00573A12">
        <w:rPr>
          <w:rStyle w:val="normaltextrun"/>
          <w:rFonts w:ascii="Arial" w:hAnsi="Arial" w:cs="Arial"/>
          <w:sz w:val="22"/>
          <w:szCs w:val="22"/>
        </w:rPr>
        <w:t xml:space="preserve">Available at: </w:t>
      </w:r>
      <w:hyperlink r:id="rId26" w:tgtFrame="_blank" w:history="1">
        <w:r w:rsidRPr="00573A12">
          <w:rPr>
            <w:rStyle w:val="normaltextrun"/>
            <w:rFonts w:ascii="Arial" w:hAnsi="Arial" w:cs="Arial"/>
            <w:color w:val="0000FF"/>
            <w:sz w:val="22"/>
            <w:szCs w:val="22"/>
            <w:u w:val="single"/>
          </w:rPr>
          <w:t>https://www.nytimes.com/2011/02/10/world/middleeast/10youth.html</w:t>
        </w:r>
      </w:hyperlink>
      <w:r w:rsidRPr="00573A12">
        <w:rPr>
          <w:rStyle w:val="normaltextrun"/>
          <w:rFonts w:ascii="Arial" w:hAnsi="Arial" w:cs="Arial"/>
          <w:sz w:val="22"/>
          <w:szCs w:val="22"/>
        </w:rPr>
        <w:t xml:space="preserve"> (Accessed: 28 November 2023). </w:t>
      </w:r>
      <w:r w:rsidRPr="00573A12">
        <w:rPr>
          <w:rStyle w:val="eop"/>
          <w:rFonts w:ascii="Arial" w:eastAsia="Arial" w:hAnsi="Arial" w:cs="Arial"/>
          <w:sz w:val="22"/>
          <w:szCs w:val="22"/>
        </w:rPr>
        <w:t> </w:t>
      </w:r>
    </w:p>
    <w:p w14:paraId="16DFF6A3"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M</w:t>
      </w:r>
      <w:r w:rsidRPr="00573A12">
        <w:rPr>
          <w:rStyle w:val="normaltextrun"/>
          <w:rFonts w:ascii="Arial" w:hAnsi="Arial" w:cs="Arial"/>
          <w:color w:val="222222"/>
          <w:sz w:val="22"/>
          <w:szCs w:val="22"/>
          <w:shd w:val="clear" w:color="auto" w:fill="FFFFFF"/>
        </w:rPr>
        <w:t xml:space="preserve">adsen, D.Ø. and </w:t>
      </w:r>
      <w:proofErr w:type="spellStart"/>
      <w:r w:rsidRPr="00573A12">
        <w:rPr>
          <w:rStyle w:val="normaltextrun"/>
          <w:rFonts w:ascii="Arial" w:hAnsi="Arial" w:cs="Arial"/>
          <w:color w:val="222222"/>
          <w:sz w:val="22"/>
          <w:szCs w:val="22"/>
          <w:shd w:val="clear" w:color="auto" w:fill="FFFFFF"/>
        </w:rPr>
        <w:t>Stenheim</w:t>
      </w:r>
      <w:proofErr w:type="spellEnd"/>
      <w:r w:rsidRPr="00573A12">
        <w:rPr>
          <w:rStyle w:val="normaltextrun"/>
          <w:rFonts w:ascii="Arial" w:hAnsi="Arial" w:cs="Arial"/>
          <w:color w:val="222222"/>
          <w:sz w:val="22"/>
          <w:szCs w:val="22"/>
          <w:shd w:val="clear" w:color="auto" w:fill="FFFFFF"/>
        </w:rPr>
        <w:t>, T. (2014), ‘Perceived benefits of balanced scorecard implementation: Some preliminary evidence’, </w:t>
      </w:r>
      <w:r w:rsidRPr="00573A12">
        <w:rPr>
          <w:rStyle w:val="normaltextrun"/>
          <w:rFonts w:ascii="Arial" w:hAnsi="Arial" w:cs="Arial"/>
          <w:i/>
          <w:iCs/>
          <w:color w:val="222222"/>
          <w:sz w:val="22"/>
          <w:szCs w:val="22"/>
          <w:shd w:val="clear" w:color="auto" w:fill="FFFFFF"/>
        </w:rPr>
        <w:t>Problems and Perspectives in management</w:t>
      </w:r>
      <w:r w:rsidRPr="00573A12">
        <w:rPr>
          <w:rStyle w:val="normaltextrun"/>
          <w:rFonts w:ascii="Arial" w:hAnsi="Arial" w:cs="Arial"/>
          <w:color w:val="222222"/>
          <w:sz w:val="22"/>
          <w:szCs w:val="22"/>
          <w:shd w:val="clear" w:color="auto" w:fill="FFFFFF"/>
        </w:rPr>
        <w:t>, </w:t>
      </w:r>
      <w:r w:rsidRPr="00573A12">
        <w:rPr>
          <w:rStyle w:val="normaltextrun"/>
          <w:rFonts w:ascii="Arial" w:hAnsi="Arial" w:cs="Arial"/>
          <w:i/>
          <w:iCs/>
          <w:color w:val="222222"/>
          <w:sz w:val="22"/>
          <w:szCs w:val="22"/>
          <w:shd w:val="clear" w:color="auto" w:fill="FFFFFF"/>
        </w:rPr>
        <w:t>12</w:t>
      </w:r>
      <w:r w:rsidRPr="00573A12">
        <w:rPr>
          <w:rStyle w:val="normaltextrun"/>
          <w:rFonts w:ascii="Arial" w:hAnsi="Arial" w:cs="Arial"/>
          <w:color w:val="222222"/>
          <w:sz w:val="22"/>
          <w:szCs w:val="22"/>
          <w:shd w:val="clear" w:color="auto" w:fill="FFFFFF"/>
        </w:rPr>
        <w:t xml:space="preserve">(3), pp.81-90. Available at: </w:t>
      </w:r>
      <w:hyperlink r:id="rId27" w:tgtFrame="_blank" w:history="1">
        <w:r w:rsidRPr="00573A12">
          <w:rPr>
            <w:rStyle w:val="normaltextrun"/>
            <w:rFonts w:ascii="Arial" w:hAnsi="Arial" w:cs="Arial"/>
            <w:color w:val="0000FF"/>
            <w:sz w:val="22"/>
            <w:szCs w:val="22"/>
            <w:u w:val="single"/>
            <w:shd w:val="clear" w:color="auto" w:fill="FFFFFF"/>
          </w:rPr>
          <w:t>https://papers.ssrn.com/sol3/papers.cfm?abstract_id=2498939</w:t>
        </w:r>
      </w:hyperlink>
      <w:r w:rsidRPr="00573A12">
        <w:rPr>
          <w:rStyle w:val="normaltextrun"/>
          <w:rFonts w:ascii="Arial" w:hAnsi="Arial" w:cs="Arial"/>
          <w:color w:val="222222"/>
          <w:sz w:val="22"/>
          <w:szCs w:val="22"/>
          <w:shd w:val="clear" w:color="auto" w:fill="FFFFFF"/>
        </w:rPr>
        <w:t xml:space="preserve"> (Accessed: 27 November 2023).</w:t>
      </w:r>
      <w:r w:rsidRPr="00573A12">
        <w:rPr>
          <w:rStyle w:val="eop"/>
          <w:rFonts w:ascii="Arial" w:eastAsia="Arial" w:hAnsi="Arial" w:cs="Arial"/>
          <w:color w:val="222222"/>
          <w:sz w:val="22"/>
          <w:szCs w:val="22"/>
        </w:rPr>
        <w:t> </w:t>
      </w:r>
    </w:p>
    <w:p w14:paraId="29059000"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proofErr w:type="spellStart"/>
      <w:r w:rsidRPr="00573A12">
        <w:rPr>
          <w:rStyle w:val="normaltextrun"/>
          <w:rFonts w:ascii="Arial" w:hAnsi="Arial" w:cs="Arial"/>
          <w:sz w:val="22"/>
          <w:szCs w:val="22"/>
        </w:rPr>
        <w:t>Mohobbot</w:t>
      </w:r>
      <w:proofErr w:type="spellEnd"/>
      <w:r w:rsidRPr="00573A12">
        <w:rPr>
          <w:rStyle w:val="normaltextrun"/>
          <w:rFonts w:ascii="Arial" w:hAnsi="Arial" w:cs="Arial"/>
          <w:sz w:val="22"/>
          <w:szCs w:val="22"/>
        </w:rPr>
        <w:t xml:space="preserve">, A. (2004) ‘The Balanced Scorecard (BSC) – A critical analysis’, </w:t>
      </w:r>
      <w:r w:rsidRPr="00573A12">
        <w:rPr>
          <w:rStyle w:val="normaltextrun"/>
          <w:rFonts w:ascii="Arial" w:hAnsi="Arial" w:cs="Arial"/>
          <w:i/>
          <w:iCs/>
          <w:sz w:val="22"/>
          <w:szCs w:val="22"/>
        </w:rPr>
        <w:t>Journal of Humanities and Social,</w:t>
      </w:r>
      <w:r w:rsidRPr="00573A12">
        <w:rPr>
          <w:rStyle w:val="normaltextrun"/>
          <w:rFonts w:ascii="Arial" w:hAnsi="Arial" w:cs="Arial"/>
          <w:sz w:val="22"/>
          <w:szCs w:val="22"/>
        </w:rPr>
        <w:t>18, pp. 219-232.</w:t>
      </w:r>
      <w:r w:rsidRPr="00573A12">
        <w:rPr>
          <w:rStyle w:val="eop"/>
          <w:rFonts w:ascii="Arial" w:eastAsia="Arial" w:hAnsi="Arial" w:cs="Arial"/>
          <w:sz w:val="22"/>
          <w:szCs w:val="22"/>
        </w:rPr>
        <w:t> </w:t>
      </w:r>
    </w:p>
    <w:p w14:paraId="55722019"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Osborn, A.F. (1963) </w:t>
      </w:r>
      <w:r w:rsidRPr="00573A12">
        <w:rPr>
          <w:rStyle w:val="normaltextrun"/>
          <w:rFonts w:ascii="Arial" w:hAnsi="Arial" w:cs="Arial"/>
          <w:i/>
          <w:iCs/>
          <w:sz w:val="22"/>
          <w:szCs w:val="22"/>
        </w:rPr>
        <w:t>Applied imagination</w:t>
      </w:r>
      <w:r w:rsidRPr="00573A12">
        <w:rPr>
          <w:rStyle w:val="normaltextrun"/>
          <w:rFonts w:ascii="Arial" w:hAnsi="Arial" w:cs="Arial"/>
          <w:sz w:val="22"/>
          <w:szCs w:val="22"/>
        </w:rPr>
        <w:t>:</w:t>
      </w:r>
      <w:r w:rsidRPr="00573A12">
        <w:rPr>
          <w:rStyle w:val="normaltextrun"/>
          <w:rFonts w:ascii="Arial" w:hAnsi="Arial" w:cs="Arial"/>
          <w:i/>
          <w:iCs/>
          <w:sz w:val="22"/>
          <w:szCs w:val="22"/>
        </w:rPr>
        <w:t xml:space="preserve"> The Principles and Procedures of Creative Thinking. </w:t>
      </w:r>
      <w:r w:rsidRPr="00573A12">
        <w:rPr>
          <w:rStyle w:val="normaltextrun"/>
          <w:rFonts w:ascii="Arial" w:hAnsi="Arial" w:cs="Arial"/>
          <w:sz w:val="22"/>
          <w:szCs w:val="22"/>
        </w:rPr>
        <w:t>New York: Charles Scribner’s Sons.</w:t>
      </w:r>
      <w:r w:rsidRPr="00573A12">
        <w:rPr>
          <w:rStyle w:val="eop"/>
          <w:rFonts w:ascii="Arial" w:eastAsia="Arial" w:hAnsi="Arial" w:cs="Arial"/>
          <w:sz w:val="22"/>
          <w:szCs w:val="22"/>
        </w:rPr>
        <w:t> </w:t>
      </w:r>
    </w:p>
    <w:p w14:paraId="16463F98"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shd w:val="clear" w:color="auto" w:fill="FFFFFF"/>
        </w:rPr>
        <w:t xml:space="preserve">Pfeffer, J and Sutton, R. I. (2006) ‘Evidence-based management’, </w:t>
      </w:r>
      <w:r w:rsidRPr="00573A12">
        <w:rPr>
          <w:rStyle w:val="normaltextrun"/>
          <w:rFonts w:ascii="Arial" w:hAnsi="Arial" w:cs="Arial"/>
          <w:i/>
          <w:iCs/>
          <w:sz w:val="22"/>
          <w:szCs w:val="22"/>
          <w:shd w:val="clear" w:color="auto" w:fill="FFFFFF"/>
        </w:rPr>
        <w:t>Harvard Business Review,</w:t>
      </w:r>
      <w:r w:rsidRPr="00573A12">
        <w:rPr>
          <w:rStyle w:val="normaltextrun"/>
          <w:rFonts w:ascii="Arial" w:hAnsi="Arial" w:cs="Arial"/>
          <w:sz w:val="22"/>
          <w:szCs w:val="22"/>
          <w:shd w:val="clear" w:color="auto" w:fill="FFFFFF"/>
        </w:rPr>
        <w:t xml:space="preserve"> 84(1), pp. 62-74. Available at: </w:t>
      </w:r>
      <w:hyperlink r:id="rId28" w:tgtFrame="_blank" w:history="1">
        <w:r w:rsidRPr="00573A12">
          <w:rPr>
            <w:rStyle w:val="normaltextrun"/>
            <w:rFonts w:ascii="Arial" w:hAnsi="Arial" w:cs="Arial"/>
            <w:color w:val="0000FF"/>
            <w:sz w:val="22"/>
            <w:szCs w:val="22"/>
            <w:u w:val="single"/>
            <w:shd w:val="clear" w:color="auto" w:fill="FFFFFF"/>
          </w:rPr>
          <w:t>https://d1wqtxts1xzle7.cloudfront.net/38651314/evidence-based_management_-_pfeffer-libre.pdf?1441245182=&amp;response-content-disposition=inline%3B+filename%3Dcopying_or_distributing_is_copyright_inf.pdf&amp;Expires=1701732439&amp;Signature=Qc3bAedDK8GxQmqS72xzqNT5X3tOpElnUsAmH3huILkK7x~zJbyCMz9gTsJxnxJhhhwJC3Urhf3MzBsxWHmOgR2oqyUytY5TDRni64W5iIOSVLkh3G7rmCZFDyT8w-aTjlZrAfy98d5C~F2tRM3J5XeYyYBaNiY34-njSj72ZpF6nlAKnIZwWWwiexS9nou49E4voGfRkyQ7FpfeSuYBvCZ-ISCkWIeV1nsyw8RsSw7GWPwMYE7XNM7hIZPHhgGmxdt1geX2jQVmZFUkYYxpyaRNm4D8rm~xq2xLdr153cDbXt2YZRsq7HqPcPbIWszPQSP5MFYOq5n~dE8f8aZADQ__&amp;Key-Pair-Id=APKAJLOHF5GGSLRBV4ZA</w:t>
        </w:r>
      </w:hyperlink>
      <w:r w:rsidRPr="00573A12">
        <w:rPr>
          <w:rStyle w:val="normaltextrun"/>
          <w:rFonts w:ascii="Arial" w:hAnsi="Arial" w:cs="Arial"/>
          <w:sz w:val="22"/>
          <w:szCs w:val="22"/>
          <w:shd w:val="clear" w:color="auto" w:fill="FFFFFF"/>
        </w:rPr>
        <w:t xml:space="preserve"> (Accessed: November 21 2023).</w:t>
      </w:r>
      <w:r w:rsidRPr="00573A12">
        <w:rPr>
          <w:rStyle w:val="eop"/>
          <w:rFonts w:ascii="Arial" w:eastAsia="Arial" w:hAnsi="Arial" w:cs="Arial"/>
          <w:sz w:val="22"/>
          <w:szCs w:val="22"/>
        </w:rPr>
        <w:t> </w:t>
      </w:r>
    </w:p>
    <w:p w14:paraId="20025BE6"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Ramalingam, B. (2006) ‘</w:t>
      </w:r>
      <w:r w:rsidRPr="00573A12">
        <w:rPr>
          <w:rStyle w:val="normaltextrun"/>
          <w:rFonts w:ascii="Arial" w:hAnsi="Arial" w:cs="Arial"/>
          <w:i/>
          <w:iCs/>
          <w:color w:val="222222"/>
          <w:sz w:val="22"/>
          <w:szCs w:val="22"/>
          <w:shd w:val="clear" w:color="auto" w:fill="FFFFFF"/>
        </w:rPr>
        <w:t>Tools for Knowledge and Learning: A guide for development and humanitarian organisations’,</w:t>
      </w:r>
      <w:r w:rsidRPr="00573A12">
        <w:rPr>
          <w:rStyle w:val="normaltextrun"/>
          <w:rFonts w:ascii="Arial" w:hAnsi="Arial" w:cs="Arial"/>
          <w:color w:val="222222"/>
          <w:sz w:val="22"/>
          <w:szCs w:val="22"/>
          <w:shd w:val="clear" w:color="auto" w:fill="FFFFFF"/>
        </w:rPr>
        <w:t xml:space="preserve"> London: Overseas Development Institute. Available at: </w:t>
      </w:r>
      <w:hyperlink r:id="rId29" w:tgtFrame="_blank" w:history="1">
        <w:r w:rsidRPr="00573A12">
          <w:rPr>
            <w:rStyle w:val="normaltextrun"/>
            <w:rFonts w:ascii="Arial" w:hAnsi="Arial" w:cs="Arial"/>
            <w:color w:val="0000FF"/>
            <w:sz w:val="22"/>
            <w:szCs w:val="22"/>
            <w:u w:val="single"/>
            <w:shd w:val="clear" w:color="auto" w:fill="FFFFFF"/>
          </w:rPr>
          <w:t>https://www.ircwash.org/sites/default/files/Ramalingam-2006-Tools.pdf</w:t>
        </w:r>
      </w:hyperlink>
      <w:r w:rsidRPr="00573A12">
        <w:rPr>
          <w:rStyle w:val="normaltextrun"/>
          <w:rFonts w:ascii="Arial" w:hAnsi="Arial" w:cs="Arial"/>
          <w:color w:val="222222"/>
          <w:sz w:val="22"/>
          <w:szCs w:val="22"/>
          <w:shd w:val="clear" w:color="auto" w:fill="FFFFFF"/>
        </w:rPr>
        <w:t xml:space="preserve"> (Accessed 27 November 2023).</w:t>
      </w:r>
      <w:r w:rsidRPr="00573A12">
        <w:rPr>
          <w:rStyle w:val="eop"/>
          <w:rFonts w:ascii="Arial" w:eastAsia="Arial" w:hAnsi="Arial" w:cs="Arial"/>
          <w:color w:val="222222"/>
          <w:sz w:val="22"/>
          <w:szCs w:val="22"/>
        </w:rPr>
        <w:t> </w:t>
      </w:r>
    </w:p>
    <w:p w14:paraId="158C4A71"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Rousseau, D. (2006) ‘Is There Such a Thing as “Evidence-Based Management”?’, </w:t>
      </w:r>
      <w:r w:rsidRPr="00573A12">
        <w:rPr>
          <w:rStyle w:val="normaltextrun"/>
          <w:rFonts w:ascii="Arial" w:hAnsi="Arial" w:cs="Arial"/>
          <w:i/>
          <w:iCs/>
          <w:sz w:val="22"/>
          <w:szCs w:val="22"/>
        </w:rPr>
        <w:t xml:space="preserve">Academy of Management Review, </w:t>
      </w:r>
      <w:r w:rsidRPr="00573A12">
        <w:rPr>
          <w:rStyle w:val="normaltextrun"/>
          <w:rFonts w:ascii="Arial" w:hAnsi="Arial" w:cs="Arial"/>
          <w:sz w:val="22"/>
          <w:szCs w:val="22"/>
        </w:rPr>
        <w:t xml:space="preserve">31(2), pp. 256-269. Available at: </w:t>
      </w:r>
      <w:hyperlink r:id="rId30" w:tgtFrame="_blank" w:history="1">
        <w:r w:rsidRPr="00573A12">
          <w:rPr>
            <w:rStyle w:val="normaltextrun"/>
            <w:rFonts w:ascii="Arial" w:hAnsi="Arial" w:cs="Arial"/>
            <w:color w:val="0000FF"/>
            <w:sz w:val="22"/>
            <w:szCs w:val="22"/>
            <w:u w:val="single"/>
          </w:rPr>
          <w:t>https://doi.org/10.5465/AMR.2006.20208679</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42109A42"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Rousseau, D.M. (2011) ‘Becoming an Evidence-Based HR Practitioner’, </w:t>
      </w:r>
      <w:r w:rsidRPr="00573A12">
        <w:rPr>
          <w:rStyle w:val="normaltextrun"/>
          <w:rFonts w:ascii="Arial" w:hAnsi="Arial" w:cs="Arial"/>
          <w:i/>
          <w:iCs/>
          <w:sz w:val="22"/>
          <w:szCs w:val="22"/>
        </w:rPr>
        <w:t xml:space="preserve">Human Resource Management Journal, </w:t>
      </w:r>
      <w:r w:rsidRPr="00573A12">
        <w:rPr>
          <w:rStyle w:val="normaltextrun"/>
          <w:rFonts w:ascii="Arial" w:hAnsi="Arial" w:cs="Arial"/>
          <w:sz w:val="22"/>
          <w:szCs w:val="22"/>
        </w:rPr>
        <w:t>21(3), pp.221-235. Available at: https://doi.org/10.1111/j.1748-8583.2011.00173.x</w:t>
      </w:r>
      <w:r w:rsidRPr="00573A12">
        <w:rPr>
          <w:rStyle w:val="eop"/>
          <w:rFonts w:ascii="Arial" w:eastAsia="Arial" w:hAnsi="Arial" w:cs="Arial"/>
          <w:sz w:val="22"/>
          <w:szCs w:val="22"/>
        </w:rPr>
        <w:t> </w:t>
      </w:r>
    </w:p>
    <w:p w14:paraId="11FA9B37"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Russ, F.A., McNeilly, K.M. and Comer, J.M. (1996) ‘Leadership, decision-making and performance of sales managers: a multi-level approach’, </w:t>
      </w:r>
      <w:r w:rsidRPr="00573A12">
        <w:rPr>
          <w:rStyle w:val="normaltextrun"/>
          <w:rFonts w:ascii="Arial" w:hAnsi="Arial" w:cs="Arial"/>
          <w:i/>
          <w:iCs/>
          <w:sz w:val="22"/>
          <w:szCs w:val="22"/>
        </w:rPr>
        <w:t>Journal of Personal Selling &amp; Sales Management,</w:t>
      </w:r>
      <w:r w:rsidRPr="00573A12">
        <w:rPr>
          <w:rStyle w:val="normaltextrun"/>
          <w:rFonts w:ascii="Arial" w:hAnsi="Arial" w:cs="Arial"/>
          <w:sz w:val="22"/>
          <w:szCs w:val="22"/>
        </w:rPr>
        <w:t xml:space="preserve"> 16(3), pp.1-15. Available at: </w:t>
      </w:r>
      <w:hyperlink r:id="rId31" w:tgtFrame="_blank" w:history="1">
        <w:r w:rsidRPr="00573A12">
          <w:rPr>
            <w:rStyle w:val="normaltextrun"/>
            <w:rFonts w:ascii="Arial" w:hAnsi="Arial" w:cs="Arial"/>
            <w:color w:val="0000FF"/>
            <w:sz w:val="22"/>
            <w:szCs w:val="22"/>
            <w:u w:val="single"/>
          </w:rPr>
          <w:t>https://doi.org/10.1080/08853134.1996.10754060</w:t>
        </w:r>
      </w:hyperlink>
      <w:r w:rsidRPr="00573A12">
        <w:rPr>
          <w:rStyle w:val="normaltextrun"/>
          <w:rFonts w:ascii="Arial" w:hAnsi="Arial" w:cs="Arial"/>
          <w:sz w:val="22"/>
          <w:szCs w:val="22"/>
        </w:rPr>
        <w:t> </w:t>
      </w:r>
      <w:r w:rsidRPr="00573A12">
        <w:rPr>
          <w:rStyle w:val="eop"/>
          <w:rFonts w:ascii="Arial" w:eastAsia="Arial" w:hAnsi="Arial" w:cs="Arial"/>
          <w:sz w:val="22"/>
          <w:szCs w:val="22"/>
        </w:rPr>
        <w:t> </w:t>
      </w:r>
    </w:p>
    <w:p w14:paraId="56213A29"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 xml:space="preserve">Sciulli, N., Smith, M. and Ross, P. (2009) ‘Benchmarking the First-Year Accounting Unit: Evidence from Australia’, </w:t>
      </w:r>
      <w:r w:rsidRPr="00573A12">
        <w:rPr>
          <w:rStyle w:val="normaltextrun"/>
          <w:rFonts w:ascii="Arial" w:hAnsi="Arial" w:cs="Arial"/>
          <w:i/>
          <w:iCs/>
          <w:color w:val="222222"/>
          <w:sz w:val="22"/>
          <w:szCs w:val="22"/>
          <w:shd w:val="clear" w:color="auto" w:fill="FFFFFF"/>
        </w:rPr>
        <w:t>Asian Journal of Finance &amp; Accounting</w:t>
      </w:r>
      <w:r w:rsidRPr="00573A12">
        <w:rPr>
          <w:rStyle w:val="normaltextrun"/>
          <w:rFonts w:ascii="Arial" w:hAnsi="Arial" w:cs="Arial"/>
          <w:color w:val="222222"/>
          <w:sz w:val="22"/>
          <w:szCs w:val="22"/>
          <w:shd w:val="clear" w:color="auto" w:fill="FFFFFF"/>
        </w:rPr>
        <w:t>, </w:t>
      </w:r>
      <w:r w:rsidRPr="00573A12">
        <w:rPr>
          <w:rStyle w:val="normaltextrun"/>
          <w:rFonts w:ascii="Arial" w:hAnsi="Arial" w:cs="Arial"/>
          <w:i/>
          <w:iCs/>
          <w:color w:val="222222"/>
          <w:sz w:val="22"/>
          <w:szCs w:val="22"/>
          <w:shd w:val="clear" w:color="auto" w:fill="FFFFFF"/>
        </w:rPr>
        <w:t>1</w:t>
      </w:r>
      <w:r w:rsidRPr="00573A12">
        <w:rPr>
          <w:rStyle w:val="normaltextrun"/>
          <w:rFonts w:ascii="Arial" w:hAnsi="Arial" w:cs="Arial"/>
          <w:color w:val="222222"/>
          <w:sz w:val="22"/>
          <w:szCs w:val="22"/>
          <w:shd w:val="clear" w:color="auto" w:fill="FFFFFF"/>
        </w:rPr>
        <w:t xml:space="preserve">(2), p.E1. Available at: </w:t>
      </w:r>
      <w:hyperlink r:id="rId32" w:tgtFrame="_blank" w:history="1">
        <w:r w:rsidRPr="00573A12">
          <w:rPr>
            <w:rStyle w:val="normaltextrun"/>
            <w:rFonts w:ascii="Arial" w:hAnsi="Arial" w:cs="Arial"/>
            <w:color w:val="0000FF"/>
            <w:sz w:val="22"/>
            <w:szCs w:val="22"/>
            <w:u w:val="single"/>
            <w:shd w:val="clear" w:color="auto" w:fill="FFFFFF"/>
          </w:rPr>
          <w:t>https://www.researchgate.net/profile/Nick-Sciulli/publication/49283988_Benchmarking_the_First_Year_Accounting_Unit_Evidence_from_Australia/links/004635212d50db070f000000/Benchmarking-the-First-Year-Accounting-Unit-Evidence-from-Australia.pdf?_sg%5B0%5D=started_experiment_milestone&amp;origin=journalDetail&amp;_rtd=e30%3D</w:t>
        </w:r>
      </w:hyperlink>
      <w:r w:rsidRPr="00573A12">
        <w:rPr>
          <w:rStyle w:val="normaltextrun"/>
          <w:rFonts w:ascii="Arial" w:hAnsi="Arial" w:cs="Arial"/>
          <w:color w:val="222222"/>
          <w:sz w:val="22"/>
          <w:szCs w:val="22"/>
          <w:shd w:val="clear" w:color="auto" w:fill="FFFFFF"/>
        </w:rPr>
        <w:t xml:space="preserve"> (Accessed: 30 November 2023).</w:t>
      </w:r>
      <w:r w:rsidRPr="00573A12">
        <w:rPr>
          <w:rStyle w:val="eop"/>
          <w:rFonts w:ascii="Arial" w:eastAsia="Arial" w:hAnsi="Arial" w:cs="Arial"/>
          <w:color w:val="222222"/>
          <w:sz w:val="22"/>
          <w:szCs w:val="22"/>
        </w:rPr>
        <w:t> </w:t>
      </w:r>
    </w:p>
    <w:p w14:paraId="53C1250A"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Sigcha, E., Martinez-Moscoso, A., Siguenza-Guzman, L. and Jadan, D. (2020), ‘PESTEL analysis as a Baseline to support decision-making in the local textile industry’,</w:t>
      </w:r>
      <w:r w:rsidRPr="00573A12">
        <w:rPr>
          <w:rStyle w:val="normaltextrun"/>
          <w:rFonts w:ascii="Arial" w:hAnsi="Arial" w:cs="Arial"/>
          <w:i/>
          <w:iCs/>
          <w:sz w:val="22"/>
          <w:szCs w:val="22"/>
        </w:rPr>
        <w:t xml:space="preserve"> International Conference on Systems and Information Sciences,</w:t>
      </w:r>
      <w:r w:rsidRPr="00573A12">
        <w:rPr>
          <w:rStyle w:val="normaltextrun"/>
          <w:rFonts w:ascii="Arial" w:hAnsi="Arial" w:cs="Arial"/>
          <w:sz w:val="22"/>
          <w:szCs w:val="22"/>
        </w:rPr>
        <w:t xml:space="preserve"> Manta: Springer, pp. 144-156. Available at</w:t>
      </w:r>
      <w:r w:rsidRPr="00DE4498">
        <w:rPr>
          <w:rStyle w:val="normaltextrun"/>
          <w:rFonts w:ascii="Arial" w:hAnsi="Arial" w:cs="Arial"/>
          <w:sz w:val="22"/>
          <w:szCs w:val="22"/>
        </w:rPr>
        <w:t xml:space="preserve">: </w:t>
      </w:r>
      <w:hyperlink r:id="rId33" w:tgtFrame="_blank" w:history="1">
        <w:r w:rsidRPr="00DE4498">
          <w:rPr>
            <w:rStyle w:val="normaltextrun"/>
            <w:rFonts w:ascii="Arial" w:hAnsi="Arial" w:cs="Arial"/>
            <w:sz w:val="22"/>
            <w:szCs w:val="22"/>
            <w:u w:val="single"/>
          </w:rPr>
          <w:t>https://doi.org/10.1007/978-3-030-59194-6_13</w:t>
        </w:r>
      </w:hyperlink>
      <w:r w:rsidRPr="00DE4498">
        <w:rPr>
          <w:rStyle w:val="normaltextrun"/>
          <w:rFonts w:ascii="Arial" w:hAnsi="Arial" w:cs="Arial"/>
          <w:sz w:val="22"/>
          <w:szCs w:val="22"/>
        </w:rPr>
        <w:t> </w:t>
      </w:r>
      <w:r w:rsidRPr="00DE4498">
        <w:rPr>
          <w:rStyle w:val="eop"/>
          <w:rFonts w:ascii="Arial" w:eastAsia="Arial" w:hAnsi="Arial" w:cs="Arial"/>
          <w:sz w:val="22"/>
          <w:szCs w:val="22"/>
        </w:rPr>
        <w:t> </w:t>
      </w:r>
    </w:p>
    <w:p w14:paraId="33B6CAEC"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Tahir, U. (2019) </w:t>
      </w:r>
      <w:r w:rsidRPr="00573A12">
        <w:rPr>
          <w:rStyle w:val="normaltextrun"/>
          <w:rFonts w:ascii="Arial" w:hAnsi="Arial" w:cs="Arial"/>
          <w:i/>
          <w:iCs/>
          <w:sz w:val="22"/>
          <w:szCs w:val="22"/>
        </w:rPr>
        <w:t xml:space="preserve">Lewin’s Force Field Analysis (Change Management). </w:t>
      </w:r>
      <w:r w:rsidRPr="00573A12">
        <w:rPr>
          <w:rStyle w:val="normaltextrun"/>
          <w:rFonts w:ascii="Arial" w:hAnsi="Arial" w:cs="Arial"/>
          <w:sz w:val="22"/>
          <w:szCs w:val="22"/>
        </w:rPr>
        <w:t xml:space="preserve">Available at: </w:t>
      </w:r>
      <w:hyperlink r:id="rId34" w:tgtFrame="_blank" w:history="1">
        <w:r w:rsidRPr="00573A12">
          <w:rPr>
            <w:rStyle w:val="normaltextrun"/>
            <w:rFonts w:ascii="Arial" w:hAnsi="Arial" w:cs="Arial"/>
            <w:color w:val="0000FF"/>
            <w:sz w:val="22"/>
            <w:szCs w:val="22"/>
            <w:u w:val="single"/>
          </w:rPr>
          <w:t>https://changemanagementinsight.com/lewins-force-field-analysis-change-management/</w:t>
        </w:r>
      </w:hyperlink>
      <w:r w:rsidRPr="00573A12">
        <w:rPr>
          <w:rStyle w:val="normaltextrun"/>
          <w:rFonts w:ascii="Arial" w:hAnsi="Arial" w:cs="Arial"/>
          <w:sz w:val="22"/>
          <w:szCs w:val="22"/>
        </w:rPr>
        <w:t xml:space="preserve"> (Accessed: 26 November 2023).</w:t>
      </w:r>
      <w:r w:rsidRPr="00573A12">
        <w:rPr>
          <w:rStyle w:val="eop"/>
          <w:rFonts w:ascii="Arial" w:eastAsia="Arial" w:hAnsi="Arial" w:cs="Arial"/>
          <w:sz w:val="22"/>
          <w:szCs w:val="22"/>
        </w:rPr>
        <w:t> </w:t>
      </w:r>
    </w:p>
    <w:p w14:paraId="069394DB"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Waite, K., Beevers, K., Small, N., Tomlinson, K., and Hussain, S. (2021) </w:t>
      </w:r>
      <w:r w:rsidRPr="00573A12">
        <w:rPr>
          <w:rStyle w:val="normaltextrun"/>
          <w:rFonts w:ascii="Arial" w:hAnsi="Arial" w:cs="Arial"/>
          <w:i/>
          <w:iCs/>
          <w:sz w:val="22"/>
          <w:szCs w:val="22"/>
        </w:rPr>
        <w:t xml:space="preserve">People Practice. </w:t>
      </w:r>
      <w:r w:rsidRPr="00573A12">
        <w:rPr>
          <w:rStyle w:val="normaltextrun"/>
          <w:rFonts w:ascii="Arial" w:hAnsi="Arial" w:cs="Arial"/>
          <w:sz w:val="22"/>
          <w:szCs w:val="22"/>
        </w:rPr>
        <w:t>Great Britain: Kogan Page Limited, pp. 47-61.</w:t>
      </w:r>
      <w:r w:rsidRPr="00573A12">
        <w:rPr>
          <w:rStyle w:val="eop"/>
          <w:rFonts w:ascii="Arial" w:eastAsia="Arial" w:hAnsi="Arial" w:cs="Arial"/>
          <w:sz w:val="22"/>
          <w:szCs w:val="22"/>
        </w:rPr>
        <w:t> </w:t>
      </w:r>
    </w:p>
    <w:p w14:paraId="66C25638" w14:textId="77777777" w:rsidR="00573A12" w:rsidRPr="00573A12" w:rsidRDefault="00573A12" w:rsidP="00573A12">
      <w:pPr>
        <w:pStyle w:val="paragraph"/>
        <w:numPr>
          <w:ilvl w:val="0"/>
          <w:numId w:val="14"/>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color w:val="222222"/>
          <w:sz w:val="22"/>
          <w:szCs w:val="22"/>
          <w:shd w:val="clear" w:color="auto" w:fill="FFFFFF"/>
        </w:rPr>
        <w:t>Wegge, J. and Haslam, S.A. (2005) ‘Improving work motivation and performance in brainstorming groups: The effects of three group goal-setting strategies’ </w:t>
      </w:r>
      <w:r w:rsidRPr="00573A12">
        <w:rPr>
          <w:rStyle w:val="normaltextrun"/>
          <w:rFonts w:ascii="Arial" w:hAnsi="Arial" w:cs="Arial"/>
          <w:i/>
          <w:iCs/>
          <w:color w:val="222222"/>
          <w:sz w:val="22"/>
          <w:szCs w:val="22"/>
          <w:shd w:val="clear" w:color="auto" w:fill="FFFFFF"/>
        </w:rPr>
        <w:t>European journal of work and organizational psychology</w:t>
      </w:r>
      <w:r w:rsidRPr="00573A12">
        <w:rPr>
          <w:rStyle w:val="normaltextrun"/>
          <w:rFonts w:ascii="Arial" w:hAnsi="Arial" w:cs="Arial"/>
          <w:color w:val="222222"/>
          <w:sz w:val="22"/>
          <w:szCs w:val="22"/>
          <w:shd w:val="clear" w:color="auto" w:fill="FFFFFF"/>
        </w:rPr>
        <w:t>, </w:t>
      </w:r>
      <w:r w:rsidRPr="00573A12">
        <w:rPr>
          <w:rStyle w:val="normaltextrun"/>
          <w:rFonts w:ascii="Arial" w:hAnsi="Arial" w:cs="Arial"/>
          <w:i/>
          <w:iCs/>
          <w:color w:val="222222"/>
          <w:sz w:val="22"/>
          <w:szCs w:val="22"/>
          <w:shd w:val="clear" w:color="auto" w:fill="FFFFFF"/>
        </w:rPr>
        <w:t>14</w:t>
      </w:r>
      <w:r w:rsidRPr="00573A12">
        <w:rPr>
          <w:rStyle w:val="normaltextrun"/>
          <w:rFonts w:ascii="Arial" w:hAnsi="Arial" w:cs="Arial"/>
          <w:color w:val="222222"/>
          <w:sz w:val="22"/>
          <w:szCs w:val="22"/>
          <w:shd w:val="clear" w:color="auto" w:fill="FFFFFF"/>
        </w:rPr>
        <w:t xml:space="preserve">(4), pp.400-430. Available at: </w:t>
      </w:r>
      <w:hyperlink r:id="rId35" w:tgtFrame="_blank" w:history="1">
        <w:r w:rsidRPr="00573A12">
          <w:rPr>
            <w:rStyle w:val="normaltextrun"/>
            <w:rFonts w:ascii="Arial" w:hAnsi="Arial" w:cs="Arial"/>
            <w:color w:val="0000FF"/>
            <w:sz w:val="22"/>
            <w:szCs w:val="22"/>
            <w:u w:val="single"/>
            <w:shd w:val="clear" w:color="auto" w:fill="FFFFFF"/>
          </w:rPr>
          <w:t>https://doi.org/10.1080/13594320500349961</w:t>
        </w:r>
      </w:hyperlink>
      <w:r w:rsidRPr="00573A12">
        <w:rPr>
          <w:rStyle w:val="normaltextrun"/>
          <w:rFonts w:ascii="Arial" w:hAnsi="Arial" w:cs="Arial"/>
          <w:color w:val="222222"/>
          <w:sz w:val="22"/>
          <w:szCs w:val="22"/>
          <w:shd w:val="clear" w:color="auto" w:fill="FFFFFF"/>
        </w:rPr>
        <w:t> </w:t>
      </w:r>
      <w:r w:rsidRPr="00573A12">
        <w:rPr>
          <w:rStyle w:val="eop"/>
          <w:rFonts w:ascii="Arial" w:eastAsia="Arial" w:hAnsi="Arial" w:cs="Arial"/>
          <w:color w:val="222222"/>
          <w:sz w:val="22"/>
          <w:szCs w:val="22"/>
        </w:rPr>
        <w:t> </w:t>
      </w:r>
    </w:p>
    <w:p w14:paraId="4872992E" w14:textId="77777777" w:rsidR="00573A12" w:rsidRPr="00573A12" w:rsidRDefault="00573A12" w:rsidP="00573A12">
      <w:pPr>
        <w:pStyle w:val="paragraph"/>
        <w:spacing w:before="0" w:beforeAutospacing="0" w:after="0" w:afterAutospacing="0"/>
        <w:ind w:left="720"/>
        <w:textAlignment w:val="baseline"/>
        <w:rPr>
          <w:rFonts w:ascii="Arial" w:hAnsi="Arial" w:cs="Arial"/>
          <w:sz w:val="22"/>
          <w:szCs w:val="22"/>
        </w:rPr>
      </w:pPr>
      <w:r w:rsidRPr="00573A12">
        <w:rPr>
          <w:rStyle w:val="normaltextrun"/>
          <w:rFonts w:ascii="Arial" w:hAnsi="Arial" w:cs="Arial"/>
          <w:sz w:val="22"/>
          <w:szCs w:val="22"/>
          <w:shd w:val="clear" w:color="auto" w:fill="FFFFFF"/>
        </w:rPr>
        <w:t xml:space="preserve">Wu, Y. (2020), ‘The marketing strategies of IKEA in China using tools of PESTEL, five forces model and SWOT analysis’, In </w:t>
      </w:r>
      <w:r w:rsidRPr="00573A12">
        <w:rPr>
          <w:rStyle w:val="normaltextrun"/>
          <w:rFonts w:ascii="Arial" w:hAnsi="Arial" w:cs="Arial"/>
          <w:i/>
          <w:iCs/>
          <w:sz w:val="22"/>
          <w:szCs w:val="22"/>
          <w:shd w:val="clear" w:color="auto" w:fill="FFFFFF"/>
        </w:rPr>
        <w:t xml:space="preserve">International Academic Conference on Frontiers in Social Sciences and Management Innovation (IAFSM 2019). </w:t>
      </w:r>
      <w:r w:rsidRPr="00573A12">
        <w:rPr>
          <w:rStyle w:val="normaltextrun"/>
          <w:rFonts w:ascii="Arial" w:hAnsi="Arial" w:cs="Arial"/>
          <w:sz w:val="22"/>
          <w:szCs w:val="22"/>
          <w:shd w:val="clear" w:color="auto" w:fill="FFFFFF"/>
        </w:rPr>
        <w:t xml:space="preserve"> (pp. 348-355). Atlantis Press. Available at: </w:t>
      </w:r>
      <w:hyperlink r:id="rId36" w:tgtFrame="_blank" w:history="1">
        <w:r w:rsidRPr="00573A12">
          <w:rPr>
            <w:rStyle w:val="normaltextrun"/>
            <w:rFonts w:ascii="Arial" w:hAnsi="Arial" w:cs="Arial"/>
            <w:color w:val="0000FF"/>
            <w:sz w:val="22"/>
            <w:szCs w:val="22"/>
            <w:u w:val="single"/>
            <w:shd w:val="clear" w:color="auto" w:fill="FFFFFF"/>
          </w:rPr>
          <w:t>https://doi.org/10.2991/assehr.k.200207.054</w:t>
        </w:r>
      </w:hyperlink>
      <w:r w:rsidRPr="00573A12">
        <w:rPr>
          <w:rStyle w:val="eop"/>
          <w:rFonts w:ascii="Arial" w:eastAsia="Arial" w:hAnsi="Arial" w:cs="Arial"/>
          <w:color w:val="FF0000"/>
          <w:sz w:val="22"/>
          <w:szCs w:val="22"/>
        </w:rPr>
        <w:t> </w:t>
      </w:r>
    </w:p>
    <w:p w14:paraId="6F6B56B2" w14:textId="77777777" w:rsidR="00573A12" w:rsidRPr="00573A12" w:rsidRDefault="00573A12" w:rsidP="00573A12">
      <w:pPr>
        <w:pStyle w:val="paragraph"/>
        <w:numPr>
          <w:ilvl w:val="0"/>
          <w:numId w:val="15"/>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shd w:val="clear" w:color="auto" w:fill="FFFFFF"/>
        </w:rPr>
        <w:t xml:space="preserve">Zamil, A.M. and </w:t>
      </w:r>
      <w:proofErr w:type="spellStart"/>
      <w:r w:rsidRPr="00573A12">
        <w:rPr>
          <w:rStyle w:val="normaltextrun"/>
          <w:rFonts w:ascii="Arial" w:hAnsi="Arial" w:cs="Arial"/>
          <w:sz w:val="22"/>
          <w:szCs w:val="22"/>
          <w:shd w:val="clear" w:color="auto" w:fill="FFFFFF"/>
        </w:rPr>
        <w:t>Shammot</w:t>
      </w:r>
      <w:proofErr w:type="spellEnd"/>
      <w:r w:rsidRPr="00573A12">
        <w:rPr>
          <w:rStyle w:val="normaltextrun"/>
          <w:rFonts w:ascii="Arial" w:hAnsi="Arial" w:cs="Arial"/>
          <w:sz w:val="22"/>
          <w:szCs w:val="22"/>
          <w:shd w:val="clear" w:color="auto" w:fill="FFFFFF"/>
        </w:rPr>
        <w:t>, M.M. (2011) ‘Role of Measuring Customer Satisfaction in Improving the Performance in the Public Sector Organization’, </w:t>
      </w:r>
      <w:r w:rsidRPr="00573A12">
        <w:rPr>
          <w:rStyle w:val="normaltextrun"/>
          <w:rFonts w:ascii="Arial" w:hAnsi="Arial" w:cs="Arial"/>
          <w:i/>
          <w:iCs/>
          <w:sz w:val="22"/>
          <w:szCs w:val="22"/>
          <w:shd w:val="clear" w:color="auto" w:fill="FFFFFF"/>
        </w:rPr>
        <w:t>Journal of Business Studies Quarterly, </w:t>
      </w:r>
      <w:r w:rsidRPr="00573A12">
        <w:rPr>
          <w:rStyle w:val="normaltextrun"/>
          <w:rFonts w:ascii="Arial" w:hAnsi="Arial" w:cs="Arial"/>
          <w:b/>
          <w:bCs/>
          <w:sz w:val="22"/>
          <w:szCs w:val="22"/>
          <w:shd w:val="clear" w:color="auto" w:fill="FFFFFF"/>
        </w:rPr>
        <w:t>2</w:t>
      </w:r>
      <w:r w:rsidRPr="00573A12">
        <w:rPr>
          <w:rStyle w:val="normaltextrun"/>
          <w:rFonts w:ascii="Arial" w:hAnsi="Arial" w:cs="Arial"/>
          <w:sz w:val="22"/>
          <w:szCs w:val="22"/>
          <w:shd w:val="clear" w:color="auto" w:fill="FFFFFF"/>
        </w:rPr>
        <w:t xml:space="preserve">(3), pp. 32-41. Available </w:t>
      </w:r>
      <w:r w:rsidRPr="00573A12">
        <w:rPr>
          <w:rStyle w:val="normaltextrun"/>
          <w:rFonts w:ascii="Arial" w:hAnsi="Arial" w:cs="Arial"/>
          <w:sz w:val="22"/>
          <w:szCs w:val="22"/>
          <w:shd w:val="clear" w:color="auto" w:fill="FFFFFF"/>
        </w:rPr>
        <w:lastRenderedPageBreak/>
        <w:t xml:space="preserve">at: </w:t>
      </w:r>
      <w:hyperlink r:id="rId37" w:tgtFrame="_blank" w:history="1">
        <w:r w:rsidRPr="00573A12">
          <w:rPr>
            <w:rStyle w:val="normaltextrun"/>
            <w:rFonts w:ascii="Arial" w:hAnsi="Arial" w:cs="Arial"/>
            <w:color w:val="0000FF"/>
            <w:sz w:val="22"/>
            <w:szCs w:val="22"/>
            <w:u w:val="single"/>
            <w:shd w:val="clear" w:color="auto" w:fill="FFFFFF"/>
          </w:rPr>
          <w:t>https://www.proquest.com/docview/1017601887?pq-origsite=gscholar&amp;fromopenview=true</w:t>
        </w:r>
      </w:hyperlink>
      <w:r w:rsidRPr="00573A12">
        <w:rPr>
          <w:rStyle w:val="normaltextrun"/>
          <w:rFonts w:ascii="Arial" w:hAnsi="Arial" w:cs="Arial"/>
          <w:color w:val="555555"/>
          <w:sz w:val="22"/>
          <w:szCs w:val="22"/>
          <w:shd w:val="clear" w:color="auto" w:fill="FFFFFF"/>
        </w:rPr>
        <w:t xml:space="preserve"> </w:t>
      </w:r>
      <w:r w:rsidRPr="00573A12">
        <w:rPr>
          <w:rStyle w:val="normaltextrun"/>
          <w:rFonts w:ascii="Arial" w:hAnsi="Arial" w:cs="Arial"/>
          <w:sz w:val="22"/>
          <w:szCs w:val="22"/>
          <w:shd w:val="clear" w:color="auto" w:fill="FFFFFF"/>
        </w:rPr>
        <w:t>(Accessed: 21 November 2023).</w:t>
      </w:r>
      <w:r w:rsidRPr="00573A12">
        <w:rPr>
          <w:rStyle w:val="eop"/>
          <w:rFonts w:ascii="Arial" w:eastAsia="Arial" w:hAnsi="Arial" w:cs="Arial"/>
          <w:sz w:val="22"/>
          <w:szCs w:val="22"/>
        </w:rPr>
        <w:t> </w:t>
      </w:r>
    </w:p>
    <w:p w14:paraId="03E9D478" w14:textId="77777777" w:rsidR="00573A12" w:rsidRPr="00573A12" w:rsidRDefault="00573A12" w:rsidP="00573A12">
      <w:pPr>
        <w:pStyle w:val="paragraph"/>
        <w:numPr>
          <w:ilvl w:val="0"/>
          <w:numId w:val="15"/>
        </w:numPr>
        <w:spacing w:before="0" w:beforeAutospacing="0" w:after="0" w:afterAutospacing="0"/>
        <w:ind w:left="1080" w:firstLine="0"/>
        <w:textAlignment w:val="baseline"/>
        <w:rPr>
          <w:rFonts w:ascii="Arial" w:hAnsi="Arial" w:cs="Arial"/>
          <w:sz w:val="22"/>
          <w:szCs w:val="22"/>
        </w:rPr>
      </w:pPr>
      <w:r w:rsidRPr="00573A12">
        <w:rPr>
          <w:rStyle w:val="normaltextrun"/>
          <w:rFonts w:ascii="Arial" w:hAnsi="Arial" w:cs="Arial"/>
          <w:sz w:val="22"/>
          <w:szCs w:val="22"/>
        </w:rPr>
        <w:t xml:space="preserve">Zemke, R. and Bell, C.R. (1990), Service Wisdom; Creating and Maintaining the Customer Service Edge, 2nd ed., Lakewood Books: Minneapolis. Available at: </w:t>
      </w:r>
      <w:hyperlink r:id="rId38" w:tgtFrame="_blank" w:history="1">
        <w:r w:rsidRPr="00573A12">
          <w:rPr>
            <w:rStyle w:val="normaltextrun"/>
            <w:rFonts w:ascii="Arial" w:hAnsi="Arial" w:cs="Arial"/>
            <w:color w:val="0000FF"/>
            <w:sz w:val="22"/>
            <w:szCs w:val="22"/>
            <w:u w:val="single"/>
          </w:rPr>
          <w:t>https://cir.nii.ac.jp/crid/1130282270829852416</w:t>
        </w:r>
      </w:hyperlink>
      <w:r w:rsidRPr="00573A12">
        <w:rPr>
          <w:rStyle w:val="normaltextrun"/>
          <w:rFonts w:ascii="Arial" w:hAnsi="Arial" w:cs="Arial"/>
          <w:sz w:val="22"/>
          <w:szCs w:val="22"/>
        </w:rPr>
        <w:t xml:space="preserve"> (Accessed 20 November 2023).</w:t>
      </w:r>
      <w:r w:rsidRPr="00573A12">
        <w:rPr>
          <w:rStyle w:val="eop"/>
          <w:rFonts w:ascii="Arial" w:eastAsia="Arial" w:hAnsi="Arial" w:cs="Arial"/>
          <w:sz w:val="22"/>
          <w:szCs w:val="22"/>
        </w:rPr>
        <w:t> </w:t>
      </w:r>
    </w:p>
    <w:p w14:paraId="5E2CF549" w14:textId="77777777" w:rsidR="001F2340" w:rsidRPr="003D4CAA" w:rsidRDefault="001F2340" w:rsidP="00573A12">
      <w:pPr>
        <w:pStyle w:val="BodyText"/>
        <w:spacing w:before="162" w:line="264" w:lineRule="auto"/>
        <w:ind w:right="283"/>
        <w:jc w:val="both"/>
        <w:rPr>
          <w:i/>
          <w:iCs/>
        </w:rPr>
      </w:pPr>
    </w:p>
    <w:p w14:paraId="6177312B" w14:textId="77777777" w:rsidR="00E90C88" w:rsidRDefault="00E90C88" w:rsidP="00675441">
      <w:pPr>
        <w:pStyle w:val="BodyText"/>
        <w:spacing w:before="162" w:line="264" w:lineRule="auto"/>
        <w:ind w:right="283"/>
        <w:jc w:val="both"/>
        <w:rPr>
          <w:color w:val="222222"/>
          <w:sz w:val="20"/>
          <w:szCs w:val="20"/>
          <w:shd w:val="clear" w:color="auto" w:fill="FFFFFF"/>
        </w:rPr>
      </w:pPr>
    </w:p>
    <w:p w14:paraId="65D997F2" w14:textId="77777777" w:rsidR="00E90C88" w:rsidRDefault="00E90C88" w:rsidP="00675441">
      <w:pPr>
        <w:pStyle w:val="BodyText"/>
        <w:spacing w:before="162" w:line="264" w:lineRule="auto"/>
        <w:ind w:right="283"/>
        <w:jc w:val="both"/>
        <w:rPr>
          <w:color w:val="222222"/>
          <w:sz w:val="20"/>
          <w:szCs w:val="20"/>
          <w:shd w:val="clear" w:color="auto" w:fill="FFFFFF"/>
        </w:rPr>
      </w:pPr>
    </w:p>
    <w:p w14:paraId="10E8D901" w14:textId="77777777" w:rsidR="00E90C88" w:rsidRDefault="00E90C88" w:rsidP="00675441">
      <w:pPr>
        <w:pStyle w:val="BodyText"/>
        <w:spacing w:before="162" w:line="264" w:lineRule="auto"/>
        <w:ind w:right="283"/>
        <w:jc w:val="both"/>
        <w:rPr>
          <w:color w:val="222222"/>
          <w:sz w:val="20"/>
          <w:szCs w:val="20"/>
          <w:shd w:val="clear" w:color="auto" w:fill="FFFFFF"/>
        </w:rPr>
      </w:pPr>
    </w:p>
    <w:p w14:paraId="6FF51EAB" w14:textId="77777777" w:rsidR="00E90C88" w:rsidRDefault="00E90C88" w:rsidP="00675441">
      <w:pPr>
        <w:pStyle w:val="BodyText"/>
        <w:spacing w:before="162" w:line="264" w:lineRule="auto"/>
        <w:ind w:right="283"/>
        <w:jc w:val="both"/>
        <w:rPr>
          <w:color w:val="222222"/>
          <w:sz w:val="20"/>
          <w:szCs w:val="20"/>
          <w:shd w:val="clear" w:color="auto" w:fill="FFFFFF"/>
        </w:rPr>
      </w:pPr>
    </w:p>
    <w:p w14:paraId="718AD1C8" w14:textId="77777777" w:rsidR="00E90C88" w:rsidRDefault="00E90C88" w:rsidP="00675441">
      <w:pPr>
        <w:pStyle w:val="BodyText"/>
        <w:spacing w:before="162" w:line="264" w:lineRule="auto"/>
        <w:ind w:right="283"/>
        <w:jc w:val="both"/>
        <w:rPr>
          <w:color w:val="222222"/>
          <w:sz w:val="20"/>
          <w:szCs w:val="20"/>
          <w:shd w:val="clear" w:color="auto" w:fill="FFFFFF"/>
        </w:rPr>
      </w:pPr>
    </w:p>
    <w:p w14:paraId="67F407FC" w14:textId="77777777" w:rsidR="00E90C88" w:rsidRDefault="00E90C88" w:rsidP="00675441">
      <w:pPr>
        <w:pStyle w:val="BodyText"/>
        <w:spacing w:before="162" w:line="264" w:lineRule="auto"/>
        <w:ind w:right="283"/>
        <w:jc w:val="both"/>
        <w:rPr>
          <w:color w:val="222222"/>
          <w:sz w:val="20"/>
          <w:szCs w:val="20"/>
          <w:shd w:val="clear" w:color="auto" w:fill="FFFFFF"/>
        </w:rPr>
      </w:pPr>
    </w:p>
    <w:p w14:paraId="0490819A" w14:textId="77777777" w:rsidR="00E90C88" w:rsidRDefault="00E90C88" w:rsidP="00675441">
      <w:pPr>
        <w:pStyle w:val="BodyText"/>
        <w:spacing w:before="162" w:line="264" w:lineRule="auto"/>
        <w:ind w:right="283"/>
        <w:jc w:val="both"/>
        <w:rPr>
          <w:color w:val="222222"/>
          <w:sz w:val="20"/>
          <w:szCs w:val="20"/>
          <w:shd w:val="clear" w:color="auto" w:fill="FFFFFF"/>
        </w:rPr>
      </w:pPr>
    </w:p>
    <w:p w14:paraId="48E2E5B8" w14:textId="77777777" w:rsidR="00E90C88" w:rsidRDefault="00E90C88" w:rsidP="00675441">
      <w:pPr>
        <w:pStyle w:val="BodyText"/>
        <w:spacing w:before="162" w:line="264" w:lineRule="auto"/>
        <w:ind w:right="283"/>
        <w:jc w:val="both"/>
        <w:rPr>
          <w:color w:val="222222"/>
          <w:sz w:val="20"/>
          <w:szCs w:val="20"/>
          <w:shd w:val="clear" w:color="auto" w:fill="FFFFFF"/>
        </w:rPr>
      </w:pPr>
    </w:p>
    <w:p w14:paraId="10D0175A" w14:textId="77777777" w:rsidR="00E90C88" w:rsidRDefault="00E90C88" w:rsidP="00675441">
      <w:pPr>
        <w:pStyle w:val="BodyText"/>
        <w:spacing w:before="162" w:line="264" w:lineRule="auto"/>
        <w:ind w:right="283"/>
        <w:jc w:val="both"/>
        <w:rPr>
          <w:color w:val="222222"/>
          <w:sz w:val="20"/>
          <w:szCs w:val="20"/>
          <w:shd w:val="clear" w:color="auto" w:fill="FFFFFF"/>
        </w:rPr>
      </w:pPr>
    </w:p>
    <w:p w14:paraId="57558327" w14:textId="77777777" w:rsidR="00E90C88" w:rsidRDefault="00E90C88" w:rsidP="00675441">
      <w:pPr>
        <w:pStyle w:val="BodyText"/>
        <w:spacing w:before="162" w:line="264" w:lineRule="auto"/>
        <w:ind w:right="283"/>
        <w:jc w:val="both"/>
        <w:rPr>
          <w:color w:val="222222"/>
          <w:sz w:val="20"/>
          <w:szCs w:val="20"/>
          <w:shd w:val="clear" w:color="auto" w:fill="FFFFFF"/>
        </w:rPr>
      </w:pPr>
    </w:p>
    <w:p w14:paraId="272D2E43" w14:textId="77777777" w:rsidR="00E90C88" w:rsidRDefault="00E90C88" w:rsidP="00675441">
      <w:pPr>
        <w:pStyle w:val="BodyText"/>
        <w:spacing w:before="162" w:line="264" w:lineRule="auto"/>
        <w:ind w:right="283"/>
        <w:jc w:val="both"/>
        <w:rPr>
          <w:color w:val="222222"/>
          <w:sz w:val="20"/>
          <w:szCs w:val="20"/>
          <w:shd w:val="clear" w:color="auto" w:fill="FFFFFF"/>
        </w:rPr>
      </w:pPr>
    </w:p>
    <w:p w14:paraId="47BCE79B" w14:textId="77777777" w:rsidR="00E90C88" w:rsidRDefault="00E90C88" w:rsidP="00675441">
      <w:pPr>
        <w:pStyle w:val="BodyText"/>
        <w:spacing w:before="162" w:line="264" w:lineRule="auto"/>
        <w:ind w:right="283"/>
        <w:jc w:val="both"/>
        <w:rPr>
          <w:color w:val="222222"/>
          <w:sz w:val="20"/>
          <w:szCs w:val="20"/>
          <w:shd w:val="clear" w:color="auto" w:fill="FFFFFF"/>
        </w:rPr>
      </w:pPr>
    </w:p>
    <w:p w14:paraId="76FC0FB6" w14:textId="77777777" w:rsidR="00E90C88" w:rsidRDefault="00E90C88" w:rsidP="00675441">
      <w:pPr>
        <w:pStyle w:val="BodyText"/>
        <w:spacing w:before="162" w:line="264" w:lineRule="auto"/>
        <w:ind w:right="283"/>
        <w:jc w:val="both"/>
        <w:rPr>
          <w:color w:val="222222"/>
          <w:sz w:val="20"/>
          <w:szCs w:val="20"/>
          <w:shd w:val="clear" w:color="auto" w:fill="FFFFFF"/>
        </w:rPr>
      </w:pPr>
    </w:p>
    <w:p w14:paraId="27920B1B" w14:textId="77777777" w:rsidR="00E90C88" w:rsidRDefault="00E90C88" w:rsidP="00675441">
      <w:pPr>
        <w:pStyle w:val="BodyText"/>
        <w:spacing w:before="162" w:line="264" w:lineRule="auto"/>
        <w:ind w:right="283"/>
        <w:jc w:val="both"/>
        <w:rPr>
          <w:color w:val="222222"/>
          <w:sz w:val="20"/>
          <w:szCs w:val="20"/>
          <w:shd w:val="clear" w:color="auto" w:fill="FFFFFF"/>
        </w:rPr>
      </w:pPr>
    </w:p>
    <w:p w14:paraId="09197C9D" w14:textId="77777777" w:rsidR="00E90C88" w:rsidRDefault="00E90C88" w:rsidP="00675441">
      <w:pPr>
        <w:pStyle w:val="BodyText"/>
        <w:spacing w:before="162" w:line="264" w:lineRule="auto"/>
        <w:ind w:right="283"/>
        <w:jc w:val="both"/>
        <w:rPr>
          <w:color w:val="222222"/>
          <w:sz w:val="20"/>
          <w:szCs w:val="20"/>
          <w:shd w:val="clear" w:color="auto" w:fill="FFFFFF"/>
        </w:rPr>
      </w:pPr>
    </w:p>
    <w:p w14:paraId="503A8F5C" w14:textId="77777777" w:rsidR="00E90C88" w:rsidRDefault="00E90C88" w:rsidP="00675441">
      <w:pPr>
        <w:pStyle w:val="BodyText"/>
        <w:spacing w:before="162" w:line="264" w:lineRule="auto"/>
        <w:ind w:right="283"/>
        <w:jc w:val="both"/>
        <w:rPr>
          <w:color w:val="222222"/>
          <w:sz w:val="20"/>
          <w:szCs w:val="20"/>
          <w:shd w:val="clear" w:color="auto" w:fill="FFFFFF"/>
        </w:rPr>
      </w:pPr>
    </w:p>
    <w:p w14:paraId="50C5CE0E" w14:textId="77777777" w:rsidR="00E90C88" w:rsidRDefault="00E90C88" w:rsidP="00675441">
      <w:pPr>
        <w:pStyle w:val="BodyText"/>
        <w:spacing w:before="162" w:line="264" w:lineRule="auto"/>
        <w:ind w:right="283"/>
        <w:jc w:val="both"/>
        <w:rPr>
          <w:color w:val="222222"/>
          <w:sz w:val="20"/>
          <w:szCs w:val="20"/>
          <w:shd w:val="clear" w:color="auto" w:fill="FFFFFF"/>
        </w:rPr>
      </w:pPr>
    </w:p>
    <w:p w14:paraId="519DD35A" w14:textId="77777777" w:rsidR="00E90C88" w:rsidRDefault="00E90C88" w:rsidP="00675441">
      <w:pPr>
        <w:pStyle w:val="BodyText"/>
        <w:spacing w:before="162" w:line="264" w:lineRule="auto"/>
        <w:ind w:right="283"/>
        <w:jc w:val="both"/>
        <w:rPr>
          <w:color w:val="222222"/>
          <w:sz w:val="20"/>
          <w:szCs w:val="20"/>
          <w:shd w:val="clear" w:color="auto" w:fill="FFFFFF"/>
        </w:rPr>
      </w:pPr>
    </w:p>
    <w:p w14:paraId="3B9DDFAC" w14:textId="1BFBBC4E" w:rsidR="00675441" w:rsidRDefault="00675441" w:rsidP="005F7A95">
      <w:pPr>
        <w:pStyle w:val="BodyText"/>
        <w:spacing w:before="162" w:line="264" w:lineRule="auto"/>
        <w:ind w:right="283"/>
        <w:rPr>
          <w:b/>
          <w:bCs/>
          <w:color w:val="222222"/>
          <w:u w:val="single"/>
          <w:shd w:val="clear" w:color="auto" w:fill="FFFFFF"/>
        </w:rPr>
      </w:pPr>
    </w:p>
    <w:p w14:paraId="31BB8417" w14:textId="51DFE7E4" w:rsidR="00DE4498" w:rsidRDefault="00DE4498" w:rsidP="005F7A95">
      <w:pPr>
        <w:pStyle w:val="BodyText"/>
        <w:spacing w:before="162" w:line="264" w:lineRule="auto"/>
        <w:ind w:right="283"/>
        <w:rPr>
          <w:b/>
          <w:bCs/>
          <w:color w:val="222222"/>
          <w:u w:val="single"/>
          <w:shd w:val="clear" w:color="auto" w:fill="FFFFFF"/>
        </w:rPr>
      </w:pPr>
    </w:p>
    <w:p w14:paraId="64FC5DDD" w14:textId="77777777" w:rsidR="00DE4498" w:rsidRDefault="00DE4498" w:rsidP="005F7A95">
      <w:pPr>
        <w:pStyle w:val="BodyText"/>
        <w:spacing w:before="162" w:line="264" w:lineRule="auto"/>
        <w:ind w:right="283"/>
        <w:rPr>
          <w:b/>
          <w:bCs/>
          <w:color w:val="222222"/>
          <w:u w:val="single"/>
          <w:shd w:val="clear" w:color="auto" w:fill="FFFFFF"/>
        </w:rPr>
      </w:pPr>
    </w:p>
    <w:p w14:paraId="4E177B21" w14:textId="77777777" w:rsidR="00DE4498" w:rsidRDefault="00DE4498" w:rsidP="005F7A95">
      <w:pPr>
        <w:pStyle w:val="BodyText"/>
        <w:spacing w:before="162" w:line="264" w:lineRule="auto"/>
        <w:ind w:right="283"/>
        <w:rPr>
          <w:b/>
          <w:bCs/>
          <w:color w:val="222222"/>
          <w:u w:val="single"/>
          <w:shd w:val="clear" w:color="auto" w:fill="FFFFFF"/>
        </w:rPr>
      </w:pPr>
    </w:p>
    <w:p w14:paraId="00968219" w14:textId="77777777" w:rsidR="00DE4498" w:rsidRDefault="00DE4498" w:rsidP="005F7A95">
      <w:pPr>
        <w:pStyle w:val="BodyText"/>
        <w:spacing w:before="162" w:line="264" w:lineRule="auto"/>
        <w:ind w:right="283"/>
        <w:rPr>
          <w:b/>
          <w:bCs/>
          <w:color w:val="222222"/>
          <w:u w:val="single"/>
          <w:shd w:val="clear" w:color="auto" w:fill="FFFFFF"/>
        </w:rPr>
      </w:pPr>
    </w:p>
    <w:p w14:paraId="705F1BF3" w14:textId="77777777" w:rsidR="00DE4498" w:rsidRDefault="00DE4498" w:rsidP="005F7A95">
      <w:pPr>
        <w:pStyle w:val="BodyText"/>
        <w:spacing w:before="162" w:line="264" w:lineRule="auto"/>
        <w:ind w:right="283"/>
        <w:rPr>
          <w:b/>
          <w:bCs/>
          <w:color w:val="222222"/>
          <w:u w:val="single"/>
          <w:shd w:val="clear" w:color="auto" w:fill="FFFFFF"/>
        </w:rPr>
      </w:pPr>
    </w:p>
    <w:p w14:paraId="693D3BF6" w14:textId="77777777" w:rsidR="00DE4498" w:rsidRDefault="00DE4498" w:rsidP="005F7A95">
      <w:pPr>
        <w:pStyle w:val="BodyText"/>
        <w:spacing w:before="162" w:line="264" w:lineRule="auto"/>
        <w:ind w:right="283"/>
        <w:rPr>
          <w:b/>
          <w:bCs/>
          <w:color w:val="222222"/>
          <w:u w:val="single"/>
          <w:shd w:val="clear" w:color="auto" w:fill="FFFFFF"/>
        </w:rPr>
      </w:pPr>
    </w:p>
    <w:p w14:paraId="3A0A18BE" w14:textId="77777777" w:rsidR="00DE4498" w:rsidRDefault="00DE4498" w:rsidP="005F7A95">
      <w:pPr>
        <w:pStyle w:val="BodyText"/>
        <w:spacing w:before="162" w:line="264" w:lineRule="auto"/>
        <w:ind w:right="283"/>
        <w:rPr>
          <w:b/>
          <w:bCs/>
          <w:color w:val="222222"/>
          <w:u w:val="single"/>
          <w:shd w:val="clear" w:color="auto" w:fill="FFFFFF"/>
        </w:rPr>
      </w:pPr>
    </w:p>
    <w:p w14:paraId="0871D86D" w14:textId="77777777" w:rsidR="00DE4498" w:rsidRDefault="00DE4498" w:rsidP="005F7A95">
      <w:pPr>
        <w:pStyle w:val="BodyText"/>
        <w:spacing w:before="162" w:line="264" w:lineRule="auto"/>
        <w:ind w:right="283"/>
        <w:rPr>
          <w:b/>
          <w:bCs/>
          <w:color w:val="222222"/>
          <w:u w:val="single"/>
          <w:shd w:val="clear" w:color="auto" w:fill="FFFFFF"/>
        </w:rPr>
      </w:pPr>
    </w:p>
    <w:p w14:paraId="1BDD6FC8" w14:textId="77777777" w:rsidR="00DE4498" w:rsidRDefault="00DE4498" w:rsidP="005F7A95">
      <w:pPr>
        <w:pStyle w:val="BodyText"/>
        <w:spacing w:before="162" w:line="264" w:lineRule="auto"/>
        <w:ind w:right="283"/>
        <w:rPr>
          <w:b/>
          <w:bCs/>
          <w:color w:val="222222"/>
          <w:u w:val="single"/>
          <w:shd w:val="clear" w:color="auto" w:fill="FFFFFF"/>
        </w:rPr>
      </w:pPr>
    </w:p>
    <w:p w14:paraId="7F15FA87" w14:textId="35657748" w:rsidR="00675441" w:rsidRPr="00CA0260" w:rsidRDefault="008947DE" w:rsidP="008947DE">
      <w:pPr>
        <w:pStyle w:val="BodyText"/>
        <w:spacing w:before="162" w:line="264" w:lineRule="auto"/>
        <w:ind w:right="283"/>
        <w:rPr>
          <w:b/>
          <w:bCs/>
          <w:color w:val="222222"/>
          <w:u w:val="single"/>
          <w:shd w:val="clear" w:color="auto" w:fill="FFFFFF"/>
        </w:rPr>
      </w:pPr>
      <w:r w:rsidRPr="00CA0260">
        <w:rPr>
          <w:b/>
          <w:bCs/>
          <w:color w:val="222222"/>
          <w:u w:val="single"/>
          <w:shd w:val="clear" w:color="auto" w:fill="FFFFFF"/>
        </w:rPr>
        <w:lastRenderedPageBreak/>
        <w:t>Name: Chloe Hitchings</w:t>
      </w:r>
    </w:p>
    <w:p w14:paraId="0F3F3F54" w14:textId="0EA634E6" w:rsidR="008947DE" w:rsidRPr="00CA0260" w:rsidRDefault="008947DE" w:rsidP="008947DE">
      <w:pPr>
        <w:pStyle w:val="BodyText"/>
        <w:spacing w:before="162" w:line="264" w:lineRule="auto"/>
        <w:ind w:right="283"/>
        <w:rPr>
          <w:b/>
          <w:bCs/>
          <w:color w:val="222222"/>
          <w:u w:val="single"/>
          <w:shd w:val="clear" w:color="auto" w:fill="FFFFFF"/>
        </w:rPr>
      </w:pPr>
      <w:r w:rsidRPr="00CA0260">
        <w:rPr>
          <w:b/>
          <w:bCs/>
          <w:color w:val="222222"/>
          <w:u w:val="single"/>
          <w:shd w:val="clear" w:color="auto" w:fill="FFFFFF"/>
        </w:rPr>
        <w:t>CIPD Number:</w:t>
      </w:r>
      <w:r w:rsidR="000245F4" w:rsidRPr="00CA0260">
        <w:rPr>
          <w:b/>
          <w:bCs/>
          <w:color w:val="222222"/>
          <w:u w:val="single"/>
          <w:shd w:val="clear" w:color="auto" w:fill="FFFFFF"/>
        </w:rPr>
        <w:t xml:space="preserve"> </w:t>
      </w:r>
      <w:r w:rsidR="000245F4" w:rsidRPr="00CA0260">
        <w:rPr>
          <w:b/>
          <w:bCs/>
          <w:u w:val="single"/>
        </w:rPr>
        <w:t>88554053</w:t>
      </w:r>
    </w:p>
    <w:p w14:paraId="2DA24B63" w14:textId="3CB7B4FD" w:rsidR="008947DE" w:rsidRPr="00CA0260" w:rsidRDefault="008947DE" w:rsidP="008947DE">
      <w:pPr>
        <w:pStyle w:val="BodyText"/>
        <w:spacing w:before="162" w:line="264" w:lineRule="auto"/>
        <w:ind w:right="283"/>
        <w:rPr>
          <w:b/>
          <w:bCs/>
          <w:color w:val="222222"/>
          <w:u w:val="single"/>
          <w:shd w:val="clear" w:color="auto" w:fill="FFFFFF"/>
        </w:rPr>
      </w:pPr>
      <w:r w:rsidRPr="00CA0260">
        <w:rPr>
          <w:b/>
          <w:bCs/>
          <w:color w:val="222222"/>
          <w:u w:val="single"/>
          <w:shd w:val="clear" w:color="auto" w:fill="FFFFFF"/>
        </w:rPr>
        <w:t>Word Count:</w:t>
      </w:r>
      <w:r w:rsidR="00CA0260">
        <w:rPr>
          <w:b/>
          <w:bCs/>
          <w:color w:val="222222"/>
          <w:u w:val="single"/>
          <w:shd w:val="clear" w:color="auto" w:fill="FFFFFF"/>
        </w:rPr>
        <w:t xml:space="preserve"> 1098</w:t>
      </w:r>
    </w:p>
    <w:p w14:paraId="57B29784" w14:textId="77777777" w:rsidR="008947DE" w:rsidRPr="00CA0260" w:rsidRDefault="008947DE" w:rsidP="008947DE">
      <w:pPr>
        <w:pStyle w:val="BodyText"/>
        <w:spacing w:before="162" w:line="264" w:lineRule="auto"/>
        <w:ind w:right="283"/>
        <w:rPr>
          <w:b/>
          <w:bCs/>
          <w:color w:val="222222"/>
          <w:u w:val="single"/>
          <w:shd w:val="clear" w:color="auto" w:fill="FFFFFF"/>
        </w:rPr>
      </w:pPr>
    </w:p>
    <w:p w14:paraId="24FC37F3" w14:textId="782EBEBC" w:rsidR="008F7114" w:rsidRPr="00CA0260" w:rsidRDefault="002C28C6" w:rsidP="002C28C6">
      <w:pPr>
        <w:pStyle w:val="BodyText"/>
        <w:spacing w:before="162" w:line="264" w:lineRule="auto"/>
        <w:ind w:right="283"/>
        <w:jc w:val="center"/>
        <w:rPr>
          <w:b/>
          <w:bCs/>
          <w:color w:val="222222"/>
          <w:u w:val="single"/>
          <w:shd w:val="clear" w:color="auto" w:fill="FFFFFF"/>
        </w:rPr>
      </w:pPr>
      <w:r w:rsidRPr="00CA0260">
        <w:rPr>
          <w:b/>
          <w:bCs/>
          <w:color w:val="222222"/>
          <w:u w:val="single"/>
          <w:shd w:val="clear" w:color="auto" w:fill="FFFFFF"/>
        </w:rPr>
        <w:t>Task Two</w:t>
      </w:r>
    </w:p>
    <w:p w14:paraId="76A58E89" w14:textId="4B1AEA2A" w:rsidR="00725706" w:rsidRPr="00CA0260" w:rsidRDefault="00725706" w:rsidP="00725706">
      <w:pPr>
        <w:pStyle w:val="BodyText"/>
        <w:spacing w:before="162" w:line="264" w:lineRule="auto"/>
        <w:ind w:right="283"/>
        <w:rPr>
          <w:b/>
          <w:bCs/>
          <w:color w:val="222222"/>
          <w:u w:val="single"/>
          <w:shd w:val="clear" w:color="auto" w:fill="FFFFFF"/>
        </w:rPr>
      </w:pPr>
      <w:r w:rsidRPr="00CA0260">
        <w:rPr>
          <w:b/>
          <w:bCs/>
          <w:color w:val="222222"/>
          <w:u w:val="single"/>
          <w:shd w:val="clear" w:color="auto" w:fill="FFFFFF"/>
        </w:rPr>
        <w:t>Introduction</w:t>
      </w:r>
    </w:p>
    <w:p w14:paraId="762DEE40" w14:textId="3260CEEA" w:rsidR="001F06DF" w:rsidRPr="00CA0260" w:rsidRDefault="00CB1121" w:rsidP="00725706">
      <w:pPr>
        <w:pStyle w:val="BodyText"/>
        <w:spacing w:before="162" w:line="264" w:lineRule="auto"/>
        <w:ind w:right="283"/>
        <w:rPr>
          <w:color w:val="222222"/>
          <w:shd w:val="clear" w:color="auto" w:fill="FFFFFF"/>
        </w:rPr>
      </w:pPr>
      <w:r w:rsidRPr="00CA0260">
        <w:rPr>
          <w:color w:val="222222"/>
          <w:shd w:val="clear" w:color="auto" w:fill="FFFFFF"/>
        </w:rPr>
        <w:t xml:space="preserve">This </w:t>
      </w:r>
      <w:r w:rsidR="001F06DF" w:rsidRPr="00CA0260">
        <w:rPr>
          <w:color w:val="222222"/>
          <w:shd w:val="clear" w:color="auto" w:fill="FFFFFF"/>
        </w:rPr>
        <w:t xml:space="preserve">section of the report will be analysing </w:t>
      </w:r>
      <w:r w:rsidR="004B5053" w:rsidRPr="00CA0260">
        <w:rPr>
          <w:color w:val="222222"/>
          <w:shd w:val="clear" w:color="auto" w:fill="FFFFFF"/>
        </w:rPr>
        <w:t xml:space="preserve">quantitative and qualitative </w:t>
      </w:r>
      <w:r w:rsidR="001F06DF" w:rsidRPr="00CA0260">
        <w:rPr>
          <w:color w:val="222222"/>
          <w:shd w:val="clear" w:color="auto" w:fill="FFFFFF"/>
        </w:rPr>
        <w:t xml:space="preserve">organisational data on Diversity and Inclusion and making </w:t>
      </w:r>
      <w:r w:rsidR="000461D6" w:rsidRPr="00CA0260">
        <w:rPr>
          <w:color w:val="222222"/>
          <w:shd w:val="clear" w:color="auto" w:fill="FFFFFF"/>
        </w:rPr>
        <w:t>evidence</w:t>
      </w:r>
      <w:r w:rsidR="005F7A95" w:rsidRPr="00CA0260">
        <w:rPr>
          <w:color w:val="222222"/>
          <w:shd w:val="clear" w:color="auto" w:fill="FFFFFF"/>
        </w:rPr>
        <w:t>-</w:t>
      </w:r>
      <w:r w:rsidR="000461D6" w:rsidRPr="00CA0260">
        <w:rPr>
          <w:color w:val="222222"/>
          <w:shd w:val="clear" w:color="auto" w:fill="FFFFFF"/>
        </w:rPr>
        <w:t xml:space="preserve">based recommendations </w:t>
      </w:r>
      <w:r w:rsidR="009137A2" w:rsidRPr="00CA0260">
        <w:rPr>
          <w:color w:val="222222"/>
          <w:shd w:val="clear" w:color="auto" w:fill="FFFFFF"/>
        </w:rPr>
        <w:t xml:space="preserve">on </w:t>
      </w:r>
      <w:r w:rsidR="00411F4D" w:rsidRPr="00CA0260">
        <w:rPr>
          <w:color w:val="222222"/>
          <w:shd w:val="clear" w:color="auto" w:fill="FFFFFF"/>
        </w:rPr>
        <w:t xml:space="preserve">how to </w:t>
      </w:r>
      <w:r w:rsidR="004B5053" w:rsidRPr="00CA0260">
        <w:rPr>
          <w:color w:val="222222"/>
          <w:shd w:val="clear" w:color="auto" w:fill="FFFFFF"/>
        </w:rPr>
        <w:t>improve upon</w:t>
      </w:r>
      <w:r w:rsidR="005F7A95" w:rsidRPr="00CA0260">
        <w:rPr>
          <w:color w:val="222222"/>
          <w:shd w:val="clear" w:color="auto" w:fill="FFFFFF"/>
        </w:rPr>
        <w:t xml:space="preserve"> the figures</w:t>
      </w:r>
      <w:r w:rsidR="004B5053" w:rsidRPr="00CA0260">
        <w:rPr>
          <w:color w:val="222222"/>
          <w:shd w:val="clear" w:color="auto" w:fill="FFFFFF"/>
        </w:rPr>
        <w:t>. It will also look at the benefits, risks and financial implications of the recommendations</w:t>
      </w:r>
      <w:r w:rsidR="00591D45" w:rsidRPr="00CA0260">
        <w:rPr>
          <w:color w:val="222222"/>
          <w:shd w:val="clear" w:color="auto" w:fill="FFFFFF"/>
        </w:rPr>
        <w:t xml:space="preserve"> shared.</w:t>
      </w:r>
    </w:p>
    <w:p w14:paraId="0977200A" w14:textId="77777777" w:rsidR="0031448D" w:rsidRPr="00CA0260" w:rsidRDefault="0031448D" w:rsidP="00725706">
      <w:pPr>
        <w:pStyle w:val="BodyText"/>
        <w:spacing w:before="162" w:line="264" w:lineRule="auto"/>
        <w:ind w:right="283"/>
        <w:rPr>
          <w:color w:val="222222"/>
          <w:shd w:val="clear" w:color="auto" w:fill="FFFFFF"/>
        </w:rPr>
      </w:pPr>
    </w:p>
    <w:p w14:paraId="4BF0CAF9" w14:textId="5E8FAF7F" w:rsidR="0031448D" w:rsidRPr="00CA0260" w:rsidRDefault="003B7750" w:rsidP="00725706">
      <w:pPr>
        <w:pStyle w:val="BodyText"/>
        <w:spacing w:before="162" w:line="264" w:lineRule="auto"/>
        <w:ind w:right="283"/>
        <w:rPr>
          <w:color w:val="222222"/>
          <w:shd w:val="clear" w:color="auto" w:fill="FFFFFF"/>
        </w:rPr>
      </w:pPr>
      <w:r w:rsidRPr="00CA0260">
        <w:rPr>
          <w:b/>
          <w:bCs/>
          <w:u w:val="single"/>
        </w:rPr>
        <w:t>Finding</w:t>
      </w:r>
      <w:r w:rsidR="002A711A" w:rsidRPr="00CA0260">
        <w:rPr>
          <w:b/>
          <w:bCs/>
          <w:u w:val="single"/>
        </w:rPr>
        <w:t>s (AC 2.1</w:t>
      </w:r>
      <w:r w:rsidR="00216B31" w:rsidRPr="00CA0260">
        <w:rPr>
          <w:b/>
          <w:bCs/>
          <w:u w:val="single"/>
        </w:rPr>
        <w:t xml:space="preserve"> &amp; 2.2)</w:t>
      </w:r>
    </w:p>
    <w:p w14:paraId="4FBCB1B6" w14:textId="4B639993" w:rsidR="006135F7" w:rsidRPr="00CA0260" w:rsidRDefault="001C3C22" w:rsidP="006135F7">
      <w:pPr>
        <w:pStyle w:val="BodyText"/>
        <w:spacing w:before="162" w:line="264" w:lineRule="auto"/>
        <w:ind w:right="283"/>
        <w:jc w:val="both"/>
        <w:rPr>
          <w:b/>
          <w:bCs/>
          <w:u w:val="single"/>
        </w:rPr>
      </w:pPr>
      <w:r w:rsidRPr="00CA0260">
        <w:rPr>
          <w:noProof/>
          <w14:ligatures w14:val="standardContextual"/>
        </w:rPr>
        <w:drawing>
          <wp:anchor distT="0" distB="0" distL="114300" distR="114300" simplePos="0" relativeHeight="251659264" behindDoc="0" locked="0" layoutInCell="1" allowOverlap="1" wp14:anchorId="70D991FF" wp14:editId="5833ED18">
            <wp:simplePos x="0" y="0"/>
            <wp:positionH relativeFrom="margin">
              <wp:posOffset>297180</wp:posOffset>
            </wp:positionH>
            <wp:positionV relativeFrom="paragraph">
              <wp:posOffset>318135</wp:posOffset>
            </wp:positionV>
            <wp:extent cx="4890770" cy="2623820"/>
            <wp:effectExtent l="0" t="0" r="5080" b="5080"/>
            <wp:wrapSquare wrapText="bothSides"/>
            <wp:docPr id="1013064034" name="Chart 1">
              <a:extLst xmlns:a="http://schemas.openxmlformats.org/drawingml/2006/main">
                <a:ext uri="{FF2B5EF4-FFF2-40B4-BE49-F238E27FC236}">
                  <a16:creationId xmlns:a16="http://schemas.microsoft.com/office/drawing/2014/main" id="{D796BF01-70CA-418E-ECEC-A31389F3B2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anchor>
        </w:drawing>
      </w:r>
    </w:p>
    <w:p w14:paraId="1AF88731" w14:textId="1362ABC0" w:rsidR="006135F7" w:rsidRPr="00CA0260" w:rsidRDefault="00D05BAA" w:rsidP="006135F7">
      <w:pPr>
        <w:pStyle w:val="BodyText"/>
        <w:spacing w:before="162" w:line="264" w:lineRule="auto"/>
        <w:ind w:right="283"/>
        <w:jc w:val="both"/>
        <w:rPr>
          <w:i/>
          <w:iCs/>
        </w:rPr>
      </w:pPr>
      <w:r w:rsidRPr="00CA0260">
        <w:rPr>
          <w:i/>
          <w:iCs/>
        </w:rPr>
        <w:t xml:space="preserve">Figure 2 </w:t>
      </w:r>
      <w:r w:rsidR="00907E92" w:rsidRPr="00CA0260">
        <w:rPr>
          <w:i/>
          <w:iCs/>
        </w:rPr>
        <w:t>– Gender Pie Chart</w:t>
      </w:r>
    </w:p>
    <w:p w14:paraId="56C524A2" w14:textId="77777777" w:rsidR="00907E92" w:rsidRPr="00CA0260" w:rsidRDefault="00907E92" w:rsidP="006135F7">
      <w:pPr>
        <w:pStyle w:val="BodyText"/>
        <w:spacing w:before="162" w:line="264" w:lineRule="auto"/>
        <w:ind w:right="283"/>
        <w:jc w:val="both"/>
      </w:pPr>
    </w:p>
    <w:p w14:paraId="330DC171" w14:textId="212CF5D1" w:rsidR="007C0FB9" w:rsidRPr="00CA0260" w:rsidRDefault="00761006" w:rsidP="003826DE">
      <w:pPr>
        <w:pStyle w:val="BodyText"/>
        <w:spacing w:before="162" w:line="264" w:lineRule="auto"/>
        <w:ind w:right="283"/>
        <w:jc w:val="both"/>
      </w:pPr>
      <w:r w:rsidRPr="00CA0260">
        <w:t>F</w:t>
      </w:r>
      <w:r w:rsidR="00F15D64" w:rsidRPr="00CA0260">
        <w:t xml:space="preserve">igure 2 shows a near equal split between </w:t>
      </w:r>
      <w:r w:rsidR="00042F72" w:rsidRPr="00CA0260">
        <w:t>m</w:t>
      </w:r>
      <w:r w:rsidR="00F15D64" w:rsidRPr="00CA0260">
        <w:t xml:space="preserve">ales and </w:t>
      </w:r>
      <w:r w:rsidR="00042F72" w:rsidRPr="00CA0260">
        <w:t>f</w:t>
      </w:r>
      <w:r w:rsidR="00F15D64" w:rsidRPr="00CA0260">
        <w:t xml:space="preserve">emales, whereas only 1% of the organisation identify as </w:t>
      </w:r>
      <w:r w:rsidR="00042F72" w:rsidRPr="00CA0260">
        <w:t>non-binary. This</w:t>
      </w:r>
      <w:r w:rsidR="00823850" w:rsidRPr="00CA0260">
        <w:t xml:space="preserve"> data could suggest that there could be a non-inclusive culture within the business</w:t>
      </w:r>
      <w:r w:rsidR="00B33276" w:rsidRPr="00CA0260">
        <w:t xml:space="preserve">. </w:t>
      </w:r>
      <w:r w:rsidR="00CA0260" w:rsidRPr="00CA0260">
        <w:t>M</w:t>
      </w:r>
      <w:r w:rsidR="00823850" w:rsidRPr="00CA0260">
        <w:t xml:space="preserve">any individuals </w:t>
      </w:r>
      <w:r w:rsidR="00DE2AB1" w:rsidRPr="00CA0260">
        <w:t>hide</w:t>
      </w:r>
      <w:r w:rsidR="00823850" w:rsidRPr="00CA0260">
        <w:t xml:space="preserve"> their gender identity</w:t>
      </w:r>
      <w:r w:rsidR="00327970" w:rsidRPr="00CA0260">
        <w:t xml:space="preserve"> and </w:t>
      </w:r>
      <w:r w:rsidR="00823850" w:rsidRPr="00CA0260">
        <w:t xml:space="preserve">have received negative comments </w:t>
      </w:r>
      <w:r w:rsidR="005A447B" w:rsidRPr="00CA0260">
        <w:t>at work</w:t>
      </w:r>
      <w:r w:rsidR="00CA0260" w:rsidRPr="00CA0260">
        <w:t xml:space="preserve">. </w:t>
      </w:r>
      <w:r w:rsidR="00FD4A00" w:rsidRPr="00CA0260">
        <w:t xml:space="preserve">A Small-Wins method </w:t>
      </w:r>
      <w:r w:rsidR="00716970" w:rsidRPr="00CA0260">
        <w:t>can</w:t>
      </w:r>
      <w:r w:rsidR="007A656D" w:rsidRPr="00CA0260">
        <w:t xml:space="preserve"> be used to set small </w:t>
      </w:r>
      <w:r w:rsidR="008D58B1" w:rsidRPr="00CA0260">
        <w:t xml:space="preserve">achievable goals for </w:t>
      </w:r>
      <w:r w:rsidR="00FD43DE" w:rsidRPr="00CA0260">
        <w:t xml:space="preserve">managers to help to </w:t>
      </w:r>
      <w:r w:rsidR="00AC7050" w:rsidRPr="00CA0260">
        <w:t xml:space="preserve">succeed the bigger goal of being more inclusive. This could include </w:t>
      </w:r>
      <w:r w:rsidR="00746293" w:rsidRPr="00CA0260">
        <w:t>setting the goals of bias education training,</w:t>
      </w:r>
      <w:r w:rsidR="005630BF" w:rsidRPr="00CA0260">
        <w:t xml:space="preserve"> looking at biases in the recruitment process, develop policies to be more inclusive to those that identify as non-binary</w:t>
      </w:r>
    </w:p>
    <w:p w14:paraId="063C53E3" w14:textId="2D94FA05" w:rsidR="00907E92" w:rsidRPr="00CA0260" w:rsidRDefault="00907E92" w:rsidP="00823850">
      <w:pPr>
        <w:pStyle w:val="BodyText"/>
        <w:spacing w:before="162" w:line="264" w:lineRule="auto"/>
        <w:ind w:right="283"/>
        <w:jc w:val="both"/>
      </w:pPr>
      <w:r w:rsidRPr="00CA0260">
        <w:rPr>
          <w:noProof/>
          <w14:ligatures w14:val="standardContextual"/>
        </w:rPr>
        <w:lastRenderedPageBreak/>
        <w:drawing>
          <wp:anchor distT="0" distB="0" distL="114300" distR="114300" simplePos="0" relativeHeight="251661312" behindDoc="0" locked="0" layoutInCell="1" allowOverlap="1" wp14:anchorId="464D001F" wp14:editId="3E25E497">
            <wp:simplePos x="0" y="0"/>
            <wp:positionH relativeFrom="margin">
              <wp:align>center</wp:align>
            </wp:positionH>
            <wp:positionV relativeFrom="paragraph">
              <wp:posOffset>437703</wp:posOffset>
            </wp:positionV>
            <wp:extent cx="7275195" cy="3974465"/>
            <wp:effectExtent l="0" t="0" r="1905" b="6985"/>
            <wp:wrapSquare wrapText="bothSides"/>
            <wp:docPr id="1042590820" name="Chart 1">
              <a:extLst xmlns:a="http://schemas.openxmlformats.org/drawingml/2006/main">
                <a:ext uri="{FF2B5EF4-FFF2-40B4-BE49-F238E27FC236}">
                  <a16:creationId xmlns:a16="http://schemas.microsoft.com/office/drawing/2014/main" id="{711E352E-7E87-ED4D-7A08-B97E4B971A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14:paraId="7260BDDD" w14:textId="5202986A" w:rsidR="00907E92" w:rsidRPr="00CA0260" w:rsidRDefault="00907E92" w:rsidP="00823850">
      <w:pPr>
        <w:pStyle w:val="BodyText"/>
        <w:spacing w:before="162" w:line="264" w:lineRule="auto"/>
        <w:ind w:right="283"/>
        <w:jc w:val="both"/>
        <w:rPr>
          <w:i/>
          <w:iCs/>
        </w:rPr>
      </w:pPr>
      <w:r w:rsidRPr="00CA0260">
        <w:rPr>
          <w:i/>
          <w:iCs/>
        </w:rPr>
        <w:t xml:space="preserve">Figure </w:t>
      </w:r>
      <w:r w:rsidR="003C3506" w:rsidRPr="00CA0260">
        <w:rPr>
          <w:i/>
          <w:iCs/>
        </w:rPr>
        <w:t>3</w:t>
      </w:r>
      <w:r w:rsidRPr="00CA0260">
        <w:rPr>
          <w:i/>
          <w:iCs/>
        </w:rPr>
        <w:t xml:space="preserve"> – Ethnicity Percentage Chart</w:t>
      </w:r>
    </w:p>
    <w:p w14:paraId="1B9066A1" w14:textId="77777777" w:rsidR="00C34E19" w:rsidRPr="00CA0260" w:rsidRDefault="00C34E19" w:rsidP="00823850">
      <w:pPr>
        <w:pStyle w:val="BodyText"/>
        <w:spacing w:before="162" w:line="264" w:lineRule="auto"/>
        <w:ind w:right="283"/>
        <w:jc w:val="both"/>
        <w:rPr>
          <w:i/>
          <w:iCs/>
        </w:rPr>
      </w:pPr>
    </w:p>
    <w:p w14:paraId="6C111E5A" w14:textId="264CA6E8" w:rsidR="00FD2203" w:rsidRPr="00CA0260" w:rsidRDefault="00B33276" w:rsidP="00D05BAA">
      <w:pPr>
        <w:pStyle w:val="BodyText"/>
        <w:spacing w:before="162" w:line="264" w:lineRule="auto"/>
        <w:ind w:right="283"/>
        <w:jc w:val="both"/>
      </w:pPr>
      <w:r w:rsidRPr="00CA0260">
        <w:t>Figure 3</w:t>
      </w:r>
      <w:r w:rsidR="00D05BAA" w:rsidRPr="00CA0260">
        <w:t xml:space="preserve"> shows </w:t>
      </w:r>
      <w:r w:rsidRPr="00CA0260">
        <w:t>that</w:t>
      </w:r>
      <w:r w:rsidR="00AD6DA4" w:rsidRPr="00CA0260">
        <w:t xml:space="preserve"> </w:t>
      </w:r>
      <w:r w:rsidR="00D05BAA" w:rsidRPr="00CA0260">
        <w:t xml:space="preserve">the White British group </w:t>
      </w:r>
      <w:r w:rsidR="003442F2" w:rsidRPr="00CA0260">
        <w:t>portrayed</w:t>
      </w:r>
      <w:r w:rsidR="00D05BAA" w:rsidRPr="00CA0260">
        <w:t xml:space="preserve"> the </w:t>
      </w:r>
      <w:r w:rsidR="00AD6DA4" w:rsidRPr="00CA0260">
        <w:t>largest</w:t>
      </w:r>
      <w:r w:rsidR="00D05BAA" w:rsidRPr="00CA0260">
        <w:t xml:space="preserve"> p</w:t>
      </w:r>
      <w:r w:rsidR="003442F2" w:rsidRPr="00CA0260">
        <w:t>ercentage</w:t>
      </w:r>
      <w:r w:rsidR="00D05BAA" w:rsidRPr="00CA0260">
        <w:t xml:space="preserve"> across every department whereas, Asian – Bangladesh was the least represented ethnic group.</w:t>
      </w:r>
      <w:r w:rsidR="00C526AB" w:rsidRPr="00CA0260">
        <w:t xml:space="preserve"> Out of 18 departments, 8 of them had </w:t>
      </w:r>
      <w:r w:rsidR="00BF7D3E" w:rsidRPr="00CA0260">
        <w:t xml:space="preserve">only White ethnic employees. </w:t>
      </w:r>
      <w:r w:rsidR="00C34E19" w:rsidRPr="00CA0260">
        <w:t>Overall</w:t>
      </w:r>
      <w:r w:rsidR="00BF7D3E" w:rsidRPr="00CA0260">
        <w:t>,</w:t>
      </w:r>
      <w:r w:rsidR="00D05BAA" w:rsidRPr="00CA0260">
        <w:t xml:space="preserve"> </w:t>
      </w:r>
      <w:r w:rsidR="006A7E55" w:rsidRPr="00CA0260">
        <w:t>9</w:t>
      </w:r>
      <w:r w:rsidR="005520A5" w:rsidRPr="00CA0260">
        <w:t>4</w:t>
      </w:r>
      <w:r w:rsidR="006A7E55" w:rsidRPr="00CA0260">
        <w:t xml:space="preserve">% of </w:t>
      </w:r>
      <w:r w:rsidR="00A67368" w:rsidRPr="00CA0260">
        <w:t xml:space="preserve">employee’s ethnicity </w:t>
      </w:r>
      <w:r w:rsidR="00BF7D3E" w:rsidRPr="00CA0260">
        <w:t xml:space="preserve">is </w:t>
      </w:r>
      <w:r w:rsidR="00A67368" w:rsidRPr="00CA0260">
        <w:t xml:space="preserve">White </w:t>
      </w:r>
      <w:r w:rsidR="00BF7D3E" w:rsidRPr="00CA0260">
        <w:t>ethnic groups</w:t>
      </w:r>
      <w:r w:rsidR="00987A59" w:rsidRPr="00CA0260">
        <w:t>.</w:t>
      </w:r>
    </w:p>
    <w:p w14:paraId="16B4F352" w14:textId="20CCD767" w:rsidR="00586318" w:rsidRPr="00CA0260" w:rsidRDefault="00E62CCD" w:rsidP="00D05BAA">
      <w:pPr>
        <w:pStyle w:val="BodyText"/>
        <w:spacing w:before="162" w:line="264" w:lineRule="auto"/>
        <w:ind w:right="283"/>
        <w:jc w:val="both"/>
      </w:pPr>
      <w:r w:rsidRPr="00CA0260">
        <w:t xml:space="preserve">Diagnostic analytics would be useful </w:t>
      </w:r>
      <w:r w:rsidR="00BA29DC" w:rsidRPr="00CA0260">
        <w:t xml:space="preserve">by </w:t>
      </w:r>
      <w:r w:rsidR="00796555" w:rsidRPr="00CA0260">
        <w:t>conducting satisfaction surveys on existing employees</w:t>
      </w:r>
      <w:r w:rsidR="006E1C46" w:rsidRPr="00CA0260">
        <w:t xml:space="preserve">, </w:t>
      </w:r>
      <w:r w:rsidR="00BA29DC" w:rsidRPr="00CA0260">
        <w:t>this could portray trends between job satisfaction</w:t>
      </w:r>
      <w:r w:rsidR="00CF5F17" w:rsidRPr="00CA0260">
        <w:t xml:space="preserve"> and ethnicity wit</w:t>
      </w:r>
      <w:r w:rsidR="006E1C46" w:rsidRPr="00CA0260">
        <w:t>hin</w:t>
      </w:r>
      <w:r w:rsidR="00CF5F17" w:rsidRPr="00CA0260">
        <w:t xml:space="preserve"> departments</w:t>
      </w:r>
      <w:r w:rsidR="006E1C46" w:rsidRPr="00CA0260">
        <w:t xml:space="preserve">. </w:t>
      </w:r>
      <w:r w:rsidR="00DD0509" w:rsidRPr="00CA0260">
        <w:t>It would also be beneficial to look at turnover demographics to see whether there is a pattern</w:t>
      </w:r>
      <w:r w:rsidR="00FD3ADD" w:rsidRPr="00CA0260">
        <w:t xml:space="preserve"> of low retention rates in non-white British ethnic groups</w:t>
      </w:r>
      <w:r w:rsidR="008B33E6" w:rsidRPr="00CA0260">
        <w:t xml:space="preserve"> – this would outline serious problems within certain teams</w:t>
      </w:r>
      <w:r w:rsidR="00383983" w:rsidRPr="00CA0260">
        <w:t>.</w:t>
      </w:r>
    </w:p>
    <w:p w14:paraId="4FEAC135" w14:textId="0F677E7A" w:rsidR="008B1DEE" w:rsidRPr="00CA0260" w:rsidRDefault="002C28C6" w:rsidP="00725706">
      <w:pPr>
        <w:pStyle w:val="BodyText"/>
        <w:spacing w:before="162" w:line="264" w:lineRule="auto"/>
        <w:ind w:right="283"/>
      </w:pPr>
      <w:r w:rsidRPr="00CA0260">
        <w:rPr>
          <w:i/>
          <w:iCs/>
          <w:noProof/>
        </w:rPr>
        <w:lastRenderedPageBreak/>
        <w:drawing>
          <wp:anchor distT="0" distB="0" distL="114300" distR="114300" simplePos="0" relativeHeight="251665408" behindDoc="0" locked="0" layoutInCell="1" allowOverlap="1" wp14:anchorId="6635DEF4" wp14:editId="5343B3DF">
            <wp:simplePos x="0" y="0"/>
            <wp:positionH relativeFrom="column">
              <wp:posOffset>3912235</wp:posOffset>
            </wp:positionH>
            <wp:positionV relativeFrom="paragraph">
              <wp:posOffset>3869690</wp:posOffset>
            </wp:positionV>
            <wp:extent cx="2561590" cy="1966595"/>
            <wp:effectExtent l="0" t="0" r="10160" b="14605"/>
            <wp:wrapSquare wrapText="bothSides"/>
            <wp:docPr id="2075811368" name="Chart 1">
              <a:extLst xmlns:a="http://schemas.openxmlformats.org/drawingml/2006/main">
                <a:ext uri="{FF2B5EF4-FFF2-40B4-BE49-F238E27FC236}">
                  <a16:creationId xmlns:a16="http://schemas.microsoft.com/office/drawing/2014/main" id="{BA10A485-8BB7-9E11-B91B-950D766778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003D34DB" w:rsidRPr="00CA0260">
        <w:rPr>
          <w:noProof/>
        </w:rPr>
        <w:drawing>
          <wp:anchor distT="0" distB="0" distL="114300" distR="114300" simplePos="0" relativeHeight="251663360" behindDoc="0" locked="0" layoutInCell="1" allowOverlap="1" wp14:anchorId="7184B8C6" wp14:editId="132D231B">
            <wp:simplePos x="0" y="0"/>
            <wp:positionH relativeFrom="margin">
              <wp:align>center</wp:align>
            </wp:positionH>
            <wp:positionV relativeFrom="paragraph">
              <wp:posOffset>325120</wp:posOffset>
            </wp:positionV>
            <wp:extent cx="7219315" cy="3582670"/>
            <wp:effectExtent l="0" t="0" r="635" b="17780"/>
            <wp:wrapSquare wrapText="bothSides"/>
            <wp:docPr id="1228775553" name="Chart 1">
              <a:extLst xmlns:a="http://schemas.openxmlformats.org/drawingml/2006/main">
                <a:ext uri="{FF2B5EF4-FFF2-40B4-BE49-F238E27FC236}">
                  <a16:creationId xmlns:a16="http://schemas.microsoft.com/office/drawing/2014/main" id="{CF39AEA1-C864-6370-41A1-DFBBD95072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p>
    <w:p w14:paraId="1E19D7F1" w14:textId="1B3D7F34" w:rsidR="00916591" w:rsidRPr="00CA0260" w:rsidRDefault="003D34DB" w:rsidP="00725706">
      <w:pPr>
        <w:pStyle w:val="BodyText"/>
        <w:spacing w:before="162" w:line="264" w:lineRule="auto"/>
        <w:ind w:right="283"/>
        <w:rPr>
          <w:i/>
          <w:iCs/>
        </w:rPr>
      </w:pPr>
      <w:r w:rsidRPr="00CA0260">
        <w:rPr>
          <w:i/>
          <w:iCs/>
        </w:rPr>
        <w:t>Figures 4 &amp; 5 – Disability Percentage Across the Organisation.</w:t>
      </w:r>
    </w:p>
    <w:p w14:paraId="7A9706FA" w14:textId="01C49BCC" w:rsidR="00697A5C" w:rsidRPr="00CA0260" w:rsidRDefault="006E1C46" w:rsidP="00916591">
      <w:pPr>
        <w:pStyle w:val="NormalWeb"/>
        <w:shd w:val="clear" w:color="auto" w:fill="FFFFFF"/>
        <w:rPr>
          <w:rFonts w:ascii="Arial" w:hAnsi="Arial" w:cs="Arial"/>
          <w:color w:val="202020"/>
          <w:sz w:val="22"/>
          <w:szCs w:val="22"/>
        </w:rPr>
      </w:pPr>
      <w:r w:rsidRPr="00CA0260">
        <w:rPr>
          <w:rFonts w:ascii="Arial" w:hAnsi="Arial" w:cs="Arial"/>
          <w:color w:val="202020"/>
          <w:sz w:val="22"/>
          <w:szCs w:val="22"/>
        </w:rPr>
        <w:t>Figure 4 shows that</w:t>
      </w:r>
      <w:r w:rsidR="00916591" w:rsidRPr="00CA0260">
        <w:rPr>
          <w:rFonts w:ascii="Arial" w:hAnsi="Arial" w:cs="Arial"/>
          <w:color w:val="202020"/>
          <w:sz w:val="22"/>
          <w:szCs w:val="22"/>
        </w:rPr>
        <w:t xml:space="preserve"> 92% of employee</w:t>
      </w:r>
      <w:r w:rsidR="00876DFE" w:rsidRPr="00CA0260">
        <w:rPr>
          <w:rFonts w:ascii="Arial" w:hAnsi="Arial" w:cs="Arial"/>
          <w:color w:val="202020"/>
          <w:sz w:val="22"/>
          <w:szCs w:val="22"/>
        </w:rPr>
        <w:t>s</w:t>
      </w:r>
      <w:r w:rsidR="00916591" w:rsidRPr="00CA0260">
        <w:rPr>
          <w:rFonts w:ascii="Arial" w:hAnsi="Arial" w:cs="Arial"/>
          <w:color w:val="202020"/>
          <w:sz w:val="22"/>
          <w:szCs w:val="22"/>
        </w:rPr>
        <w:t xml:space="preserve"> are not disabled and </w:t>
      </w:r>
      <w:r w:rsidR="003C3506" w:rsidRPr="00CA0260">
        <w:rPr>
          <w:rFonts w:ascii="Arial" w:hAnsi="Arial" w:cs="Arial"/>
          <w:color w:val="202020"/>
          <w:sz w:val="22"/>
          <w:szCs w:val="22"/>
        </w:rPr>
        <w:t>that 8% are</w:t>
      </w:r>
      <w:r w:rsidR="00876DFE" w:rsidRPr="00CA0260">
        <w:rPr>
          <w:rFonts w:ascii="Arial" w:hAnsi="Arial" w:cs="Arial"/>
          <w:color w:val="202020"/>
          <w:sz w:val="22"/>
          <w:szCs w:val="22"/>
        </w:rPr>
        <w:t xml:space="preserve">. </w:t>
      </w:r>
      <w:r w:rsidRPr="00CA0260">
        <w:rPr>
          <w:rFonts w:ascii="Arial" w:hAnsi="Arial" w:cs="Arial"/>
          <w:color w:val="202020"/>
          <w:sz w:val="22"/>
          <w:szCs w:val="22"/>
        </w:rPr>
        <w:t xml:space="preserve">Figure 5 </w:t>
      </w:r>
      <w:r w:rsidR="00916591" w:rsidRPr="00CA0260">
        <w:rPr>
          <w:rFonts w:ascii="Arial" w:hAnsi="Arial" w:cs="Arial"/>
          <w:color w:val="202020"/>
          <w:sz w:val="22"/>
          <w:szCs w:val="22"/>
        </w:rPr>
        <w:t>shows the disability percentage across all teams in the business. The highest percentage of disabled employees are in the IT team</w:t>
      </w:r>
      <w:r w:rsidR="0071607C" w:rsidRPr="00CA0260">
        <w:rPr>
          <w:rFonts w:ascii="Arial" w:hAnsi="Arial" w:cs="Arial"/>
          <w:color w:val="202020"/>
          <w:sz w:val="22"/>
          <w:szCs w:val="22"/>
        </w:rPr>
        <w:t xml:space="preserve"> accounting for </w:t>
      </w:r>
      <w:r w:rsidR="004963CB" w:rsidRPr="00CA0260">
        <w:rPr>
          <w:rFonts w:ascii="Arial" w:hAnsi="Arial" w:cs="Arial"/>
          <w:color w:val="202020"/>
          <w:sz w:val="22"/>
          <w:szCs w:val="22"/>
        </w:rPr>
        <w:t xml:space="preserve">22.2% of the team. </w:t>
      </w:r>
      <w:r w:rsidR="00235E98" w:rsidRPr="00CA0260">
        <w:rPr>
          <w:rFonts w:ascii="Arial" w:hAnsi="Arial" w:cs="Arial"/>
          <w:color w:val="202020"/>
          <w:sz w:val="22"/>
          <w:szCs w:val="22"/>
        </w:rPr>
        <w:t>Six teams</w:t>
      </w:r>
      <w:r w:rsidR="00916591" w:rsidRPr="00CA0260">
        <w:rPr>
          <w:rFonts w:ascii="Arial" w:hAnsi="Arial" w:cs="Arial"/>
          <w:color w:val="202020"/>
          <w:sz w:val="22"/>
          <w:szCs w:val="22"/>
        </w:rPr>
        <w:t xml:space="preserve"> did not have any disabled employees in their teams.</w:t>
      </w:r>
    </w:p>
    <w:p w14:paraId="77E91FC8" w14:textId="1E3B0631" w:rsidR="00374152" w:rsidRPr="00CA0260" w:rsidRDefault="00873CCA" w:rsidP="00916591">
      <w:pPr>
        <w:pStyle w:val="NormalWeb"/>
        <w:shd w:val="clear" w:color="auto" w:fill="FFFFFF"/>
        <w:rPr>
          <w:rFonts w:ascii="Arial" w:hAnsi="Arial" w:cs="Arial"/>
          <w:sz w:val="22"/>
          <w:szCs w:val="22"/>
        </w:rPr>
      </w:pPr>
      <w:r w:rsidRPr="00CA0260">
        <w:rPr>
          <w:rFonts w:ascii="Arial" w:hAnsi="Arial" w:cs="Arial"/>
          <w:color w:val="202020"/>
          <w:sz w:val="22"/>
          <w:szCs w:val="22"/>
        </w:rPr>
        <w:t>The organisation c</w:t>
      </w:r>
      <w:r w:rsidR="00D570BA" w:rsidRPr="00CA0260">
        <w:rPr>
          <w:rFonts w:ascii="Arial" w:hAnsi="Arial" w:cs="Arial"/>
          <w:color w:val="202020"/>
          <w:sz w:val="22"/>
          <w:szCs w:val="22"/>
        </w:rPr>
        <w:t>an</w:t>
      </w:r>
      <w:r w:rsidRPr="00CA0260">
        <w:rPr>
          <w:rFonts w:ascii="Arial" w:hAnsi="Arial" w:cs="Arial"/>
          <w:color w:val="202020"/>
          <w:sz w:val="22"/>
          <w:szCs w:val="22"/>
        </w:rPr>
        <w:t xml:space="preserve"> </w:t>
      </w:r>
      <w:r w:rsidR="00916591" w:rsidRPr="00CA0260">
        <w:rPr>
          <w:rFonts w:ascii="Arial" w:hAnsi="Arial" w:cs="Arial"/>
          <w:sz w:val="22"/>
          <w:szCs w:val="22"/>
        </w:rPr>
        <w:t xml:space="preserve">benchmark with other </w:t>
      </w:r>
      <w:r w:rsidR="009A01D2" w:rsidRPr="00CA0260">
        <w:rPr>
          <w:rFonts w:ascii="Arial" w:hAnsi="Arial" w:cs="Arial"/>
          <w:sz w:val="22"/>
          <w:szCs w:val="22"/>
        </w:rPr>
        <w:t>organisations</w:t>
      </w:r>
      <w:r w:rsidR="00916591" w:rsidRPr="00CA0260">
        <w:rPr>
          <w:rFonts w:ascii="Arial" w:hAnsi="Arial" w:cs="Arial"/>
          <w:sz w:val="22"/>
          <w:szCs w:val="22"/>
        </w:rPr>
        <w:t xml:space="preserve"> that have built a </w:t>
      </w:r>
      <w:r w:rsidR="009262F8" w:rsidRPr="00CA0260">
        <w:rPr>
          <w:rFonts w:ascii="Arial" w:hAnsi="Arial" w:cs="Arial"/>
          <w:sz w:val="22"/>
          <w:szCs w:val="22"/>
        </w:rPr>
        <w:t>good reputation</w:t>
      </w:r>
      <w:r w:rsidR="00916591" w:rsidRPr="00CA0260">
        <w:rPr>
          <w:rFonts w:ascii="Arial" w:hAnsi="Arial" w:cs="Arial"/>
          <w:sz w:val="22"/>
          <w:szCs w:val="22"/>
        </w:rPr>
        <w:t xml:space="preserve"> and successfully adapted their workplace to be more accessible to those who have a disability</w:t>
      </w:r>
      <w:r w:rsidR="006746F4" w:rsidRPr="00CA0260">
        <w:rPr>
          <w:rFonts w:ascii="Arial" w:hAnsi="Arial" w:cs="Arial"/>
          <w:sz w:val="22"/>
          <w:szCs w:val="22"/>
        </w:rPr>
        <w:t xml:space="preserve"> to attract them to the </w:t>
      </w:r>
      <w:r w:rsidR="00FF59D8" w:rsidRPr="00CA0260">
        <w:rPr>
          <w:rFonts w:ascii="Arial" w:hAnsi="Arial" w:cs="Arial"/>
          <w:sz w:val="22"/>
          <w:szCs w:val="22"/>
        </w:rPr>
        <w:t>organisation</w:t>
      </w:r>
      <w:r w:rsidR="00916591" w:rsidRPr="00CA0260">
        <w:rPr>
          <w:rFonts w:ascii="Arial" w:hAnsi="Arial" w:cs="Arial"/>
          <w:sz w:val="22"/>
          <w:szCs w:val="22"/>
        </w:rPr>
        <w:t>.</w:t>
      </w:r>
      <w:r w:rsidR="00396E61" w:rsidRPr="00CA0260">
        <w:rPr>
          <w:rFonts w:ascii="Arial" w:hAnsi="Arial" w:cs="Arial"/>
          <w:sz w:val="22"/>
          <w:szCs w:val="22"/>
        </w:rPr>
        <w:t xml:space="preserve"> </w:t>
      </w:r>
      <w:r w:rsidR="006746F4" w:rsidRPr="00CA0260">
        <w:rPr>
          <w:rFonts w:ascii="Arial" w:hAnsi="Arial" w:cs="Arial"/>
          <w:sz w:val="22"/>
          <w:szCs w:val="22"/>
        </w:rPr>
        <w:t>By b</w:t>
      </w:r>
      <w:r w:rsidR="00406536" w:rsidRPr="00CA0260">
        <w:rPr>
          <w:rFonts w:ascii="Arial" w:hAnsi="Arial" w:cs="Arial"/>
          <w:sz w:val="22"/>
          <w:szCs w:val="22"/>
        </w:rPr>
        <w:t>enchmarking</w:t>
      </w:r>
      <w:r w:rsidR="001427F8" w:rsidRPr="00CA0260">
        <w:rPr>
          <w:rFonts w:ascii="Arial" w:hAnsi="Arial" w:cs="Arial"/>
          <w:sz w:val="22"/>
          <w:szCs w:val="22"/>
        </w:rPr>
        <w:t xml:space="preserve"> against other organisations</w:t>
      </w:r>
      <w:r w:rsidR="006746F4" w:rsidRPr="00CA0260">
        <w:rPr>
          <w:rFonts w:ascii="Arial" w:hAnsi="Arial" w:cs="Arial"/>
          <w:sz w:val="22"/>
          <w:szCs w:val="22"/>
        </w:rPr>
        <w:t xml:space="preserve">, you can see </w:t>
      </w:r>
      <w:r w:rsidR="003E7982" w:rsidRPr="00CA0260">
        <w:rPr>
          <w:rFonts w:ascii="Arial" w:hAnsi="Arial" w:cs="Arial"/>
          <w:sz w:val="22"/>
          <w:szCs w:val="22"/>
        </w:rPr>
        <w:t xml:space="preserve">what people practices </w:t>
      </w:r>
      <w:r w:rsidR="00374152" w:rsidRPr="00CA0260">
        <w:rPr>
          <w:rFonts w:ascii="Arial" w:hAnsi="Arial" w:cs="Arial"/>
          <w:sz w:val="22"/>
          <w:szCs w:val="22"/>
        </w:rPr>
        <w:t>have been implemented successfully and effectively, eliminating those tha</w:t>
      </w:r>
      <w:r w:rsidR="00801CD4" w:rsidRPr="00CA0260">
        <w:rPr>
          <w:rFonts w:ascii="Arial" w:hAnsi="Arial" w:cs="Arial"/>
          <w:sz w:val="22"/>
          <w:szCs w:val="22"/>
        </w:rPr>
        <w:t>t have been ineffective and costly.</w:t>
      </w:r>
    </w:p>
    <w:p w14:paraId="5C21DFB4" w14:textId="4FFDA11C" w:rsidR="00916591" w:rsidRPr="00CA0260" w:rsidRDefault="00D32C2C" w:rsidP="00725706">
      <w:pPr>
        <w:pStyle w:val="BodyText"/>
        <w:spacing w:before="162" w:line="264" w:lineRule="auto"/>
        <w:ind w:right="283"/>
      </w:pPr>
      <w:r w:rsidRPr="00CA0260">
        <w:rPr>
          <w:noProof/>
          <w14:ligatures w14:val="standardContextual"/>
        </w:rPr>
        <w:lastRenderedPageBreak/>
        <w:drawing>
          <wp:inline distT="0" distB="0" distL="0" distR="0" wp14:anchorId="501A87BD" wp14:editId="0935F7FD">
            <wp:extent cx="5731510" cy="3802380"/>
            <wp:effectExtent l="0" t="0" r="2540" b="7620"/>
            <wp:docPr id="1890407337" name="Chart 1">
              <a:extLst xmlns:a="http://schemas.openxmlformats.org/drawingml/2006/main">
                <a:ext uri="{FF2B5EF4-FFF2-40B4-BE49-F238E27FC236}">
                  <a16:creationId xmlns:a16="http://schemas.microsoft.com/office/drawing/2014/main" id="{F623C121-EF03-6AF8-A30C-166CCA3FA8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3A12E0B" w14:textId="3923D2F2" w:rsidR="00D32C2C" w:rsidRPr="00CA0260" w:rsidRDefault="00D32C2C" w:rsidP="00725706">
      <w:pPr>
        <w:pStyle w:val="BodyText"/>
        <w:spacing w:before="162" w:line="264" w:lineRule="auto"/>
        <w:ind w:right="283"/>
        <w:rPr>
          <w:i/>
          <w:iCs/>
        </w:rPr>
      </w:pPr>
      <w:r w:rsidRPr="00CA0260">
        <w:rPr>
          <w:i/>
          <w:iCs/>
        </w:rPr>
        <w:t>Figure 6 – Median Gender Salary</w:t>
      </w:r>
    </w:p>
    <w:p w14:paraId="44FD3753" w14:textId="77777777" w:rsidR="00D32C2C" w:rsidRPr="00CA0260" w:rsidRDefault="00D32C2C" w:rsidP="00725706">
      <w:pPr>
        <w:pStyle w:val="BodyText"/>
        <w:spacing w:before="162" w:line="264" w:lineRule="auto"/>
        <w:ind w:right="283"/>
      </w:pPr>
    </w:p>
    <w:p w14:paraId="0D1A62D5" w14:textId="4A269E0A" w:rsidR="006F0F85" w:rsidRPr="00CA0260" w:rsidRDefault="00436837" w:rsidP="00436837">
      <w:pPr>
        <w:rPr>
          <w:rFonts w:ascii="Arial" w:hAnsi="Arial" w:cs="Arial"/>
        </w:rPr>
      </w:pPr>
      <w:r w:rsidRPr="00CA0260">
        <w:rPr>
          <w:rFonts w:ascii="Arial" w:hAnsi="Arial" w:cs="Arial"/>
        </w:rPr>
        <w:t xml:space="preserve">Figure </w:t>
      </w:r>
      <w:r w:rsidR="00801CD4" w:rsidRPr="00CA0260">
        <w:rPr>
          <w:rFonts w:ascii="Arial" w:hAnsi="Arial" w:cs="Arial"/>
        </w:rPr>
        <w:t>6</w:t>
      </w:r>
      <w:r w:rsidRPr="00CA0260">
        <w:rPr>
          <w:rFonts w:ascii="Arial" w:hAnsi="Arial" w:cs="Arial"/>
        </w:rPr>
        <w:t xml:space="preserve"> </w:t>
      </w:r>
      <w:r w:rsidR="00D570BA" w:rsidRPr="00CA0260">
        <w:rPr>
          <w:rFonts w:ascii="Arial" w:hAnsi="Arial" w:cs="Arial"/>
        </w:rPr>
        <w:t>demonstrate</w:t>
      </w:r>
      <w:r w:rsidR="00D073DF" w:rsidRPr="00CA0260">
        <w:rPr>
          <w:rFonts w:ascii="Arial" w:hAnsi="Arial" w:cs="Arial"/>
        </w:rPr>
        <w:t>s that the</w:t>
      </w:r>
      <w:r w:rsidRPr="00CA0260">
        <w:rPr>
          <w:rFonts w:ascii="Arial" w:hAnsi="Arial" w:cs="Arial"/>
        </w:rPr>
        <w:t xml:space="preserve"> Non-Binary median salary is £19,500, Female is £26,645, Male is £29,500 and the Organisations’ median salary is £29,500. The gender pay gap between Female and Male is 10.71%, Female and Non-Binary is 36.64%, Male and Non-Binary is 51.28%. </w:t>
      </w:r>
    </w:p>
    <w:p w14:paraId="3B95B16C" w14:textId="671BEA12" w:rsidR="00AA20E3" w:rsidRPr="00CA0260" w:rsidRDefault="00745B65" w:rsidP="00436837">
      <w:pPr>
        <w:rPr>
          <w:rFonts w:ascii="Arial" w:hAnsi="Arial" w:cs="Arial"/>
        </w:rPr>
      </w:pPr>
      <w:r w:rsidRPr="00CA0260">
        <w:rPr>
          <w:rFonts w:ascii="Arial" w:hAnsi="Arial" w:cs="Arial"/>
        </w:rPr>
        <w:t>Prescriptive data should be gained</w:t>
      </w:r>
      <w:r w:rsidR="002A3EDC" w:rsidRPr="00CA0260">
        <w:rPr>
          <w:rFonts w:ascii="Arial" w:hAnsi="Arial" w:cs="Arial"/>
        </w:rPr>
        <w:t xml:space="preserve"> through a regression analysis which </w:t>
      </w:r>
      <w:r w:rsidR="00AE48FF" w:rsidRPr="00CA0260">
        <w:rPr>
          <w:rFonts w:ascii="Arial" w:hAnsi="Arial" w:cs="Arial"/>
        </w:rPr>
        <w:t xml:space="preserve">can establish </w:t>
      </w:r>
      <w:r w:rsidR="001F6781" w:rsidRPr="00CA0260">
        <w:rPr>
          <w:rFonts w:ascii="Arial" w:hAnsi="Arial" w:cs="Arial"/>
        </w:rPr>
        <w:t>relationship</w:t>
      </w:r>
      <w:r w:rsidR="00AE48FF" w:rsidRPr="00CA0260">
        <w:rPr>
          <w:rFonts w:ascii="Arial" w:hAnsi="Arial" w:cs="Arial"/>
        </w:rPr>
        <w:t>s</w:t>
      </w:r>
      <w:r w:rsidR="001F6781" w:rsidRPr="00CA0260">
        <w:rPr>
          <w:rFonts w:ascii="Arial" w:hAnsi="Arial" w:cs="Arial"/>
        </w:rPr>
        <w:t xml:space="preserve"> between salary and the variables that determine</w:t>
      </w:r>
      <w:r w:rsidR="00081121" w:rsidRPr="00CA0260">
        <w:rPr>
          <w:rFonts w:ascii="Arial" w:hAnsi="Arial" w:cs="Arial"/>
        </w:rPr>
        <w:t xml:space="preserve"> lower salaries between genders. This analysis </w:t>
      </w:r>
      <w:r w:rsidR="00AA20E3" w:rsidRPr="00CA0260">
        <w:rPr>
          <w:rFonts w:ascii="Arial" w:hAnsi="Arial" w:cs="Arial"/>
        </w:rPr>
        <w:t>can also make future predictions based on historical data from the organisation – if this is readily available.</w:t>
      </w:r>
      <w:r w:rsidR="00D24940" w:rsidRPr="00CA0260">
        <w:rPr>
          <w:rFonts w:ascii="Arial" w:hAnsi="Arial" w:cs="Arial"/>
        </w:rPr>
        <w:t xml:space="preserve"> This can predict whether the organisation is improving</w:t>
      </w:r>
      <w:r w:rsidR="00463B3D" w:rsidRPr="00CA0260">
        <w:rPr>
          <w:rFonts w:ascii="Arial" w:hAnsi="Arial" w:cs="Arial"/>
        </w:rPr>
        <w:t xml:space="preserve"> or moving in the opposite direction to reduce the gender pay gap.</w:t>
      </w:r>
    </w:p>
    <w:p w14:paraId="5C6F55BE" w14:textId="7B2C1CAF" w:rsidR="00D32C2C" w:rsidRPr="00CA0260" w:rsidRDefault="005F10A9" w:rsidP="00725706">
      <w:pPr>
        <w:pStyle w:val="BodyText"/>
        <w:spacing w:before="162" w:line="264" w:lineRule="auto"/>
        <w:ind w:right="283"/>
      </w:pPr>
      <w:r w:rsidRPr="00CA0260">
        <w:rPr>
          <w:noProof/>
          <w14:ligatures w14:val="standardContextual"/>
        </w:rPr>
        <w:lastRenderedPageBreak/>
        <w:drawing>
          <wp:anchor distT="0" distB="0" distL="114300" distR="114300" simplePos="0" relativeHeight="251667456" behindDoc="0" locked="0" layoutInCell="1" allowOverlap="1" wp14:anchorId="61025393" wp14:editId="2DB79646">
            <wp:simplePos x="0" y="0"/>
            <wp:positionH relativeFrom="margin">
              <wp:align>center</wp:align>
            </wp:positionH>
            <wp:positionV relativeFrom="paragraph">
              <wp:posOffset>366395</wp:posOffset>
            </wp:positionV>
            <wp:extent cx="7224395" cy="4083050"/>
            <wp:effectExtent l="0" t="0" r="14605" b="12700"/>
            <wp:wrapSquare wrapText="bothSides"/>
            <wp:docPr id="1843068318" name="Chart 1">
              <a:extLst xmlns:a="http://schemas.openxmlformats.org/drawingml/2006/main">
                <a:ext uri="{FF2B5EF4-FFF2-40B4-BE49-F238E27FC236}">
                  <a16:creationId xmlns:a16="http://schemas.microsoft.com/office/drawing/2014/main" id="{1AF8538B-8A71-3224-9746-60FF6F074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p>
    <w:p w14:paraId="47352B66" w14:textId="24362649" w:rsidR="005F10A9" w:rsidRPr="00CA0260" w:rsidRDefault="005F10A9" w:rsidP="00725706">
      <w:pPr>
        <w:pStyle w:val="BodyText"/>
        <w:spacing w:before="162" w:line="264" w:lineRule="auto"/>
        <w:ind w:right="283"/>
        <w:rPr>
          <w:i/>
          <w:iCs/>
        </w:rPr>
      </w:pPr>
      <w:r w:rsidRPr="00CA0260">
        <w:rPr>
          <w:i/>
          <w:iCs/>
        </w:rPr>
        <w:t>Figure 7 – Average Organisational Wage</w:t>
      </w:r>
    </w:p>
    <w:p w14:paraId="38A6C8A3" w14:textId="77777777" w:rsidR="005F10A9" w:rsidRPr="00CA0260" w:rsidRDefault="005F10A9" w:rsidP="00725706">
      <w:pPr>
        <w:pStyle w:val="BodyText"/>
        <w:spacing w:before="162" w:line="264" w:lineRule="auto"/>
        <w:ind w:right="283"/>
      </w:pPr>
    </w:p>
    <w:p w14:paraId="39A1778F" w14:textId="7B0ED183" w:rsidR="00DD0169" w:rsidRPr="00CA0260" w:rsidRDefault="00DD0169" w:rsidP="00DD0169">
      <w:pPr>
        <w:rPr>
          <w:rFonts w:ascii="Arial" w:eastAsia="Arial" w:hAnsi="Arial" w:cs="Arial"/>
        </w:rPr>
      </w:pPr>
      <w:r w:rsidRPr="00CA0260">
        <w:rPr>
          <w:rFonts w:ascii="Arial" w:eastAsia="Arial" w:hAnsi="Arial" w:cs="Arial"/>
        </w:rPr>
        <w:t xml:space="preserve">Figure </w:t>
      </w:r>
      <w:r w:rsidR="00676F0D" w:rsidRPr="00CA0260">
        <w:rPr>
          <w:rFonts w:ascii="Arial" w:eastAsia="Arial" w:hAnsi="Arial" w:cs="Arial"/>
        </w:rPr>
        <w:t>7</w:t>
      </w:r>
      <w:r w:rsidRPr="00CA0260">
        <w:rPr>
          <w:rFonts w:ascii="Arial" w:eastAsia="Arial" w:hAnsi="Arial" w:cs="Arial"/>
        </w:rPr>
        <w:t xml:space="preserve"> shows the average wage paid by the organisation (£31,757) compared to each department in the organisation. </w:t>
      </w:r>
      <w:r w:rsidR="00676F0D" w:rsidRPr="00CA0260">
        <w:rPr>
          <w:rFonts w:ascii="Arial" w:eastAsia="Arial" w:hAnsi="Arial" w:cs="Arial"/>
        </w:rPr>
        <w:t>It shows that</w:t>
      </w:r>
      <w:r w:rsidRPr="00CA0260">
        <w:rPr>
          <w:rFonts w:ascii="Arial" w:eastAsia="Arial" w:hAnsi="Arial" w:cs="Arial"/>
        </w:rPr>
        <w:t xml:space="preserve"> Business Services, Directors, Facilities, Finance, IT, People Services and Regeneration Teams are paid above the average salary. It also shows that Community Engagement and Partnership, Customer Service, Governance, Green Spacing, Housing, Income Team, Lettings, Market, Property Team Supported Housing and Tenancy Team departments are paid lower that the average wage.</w:t>
      </w:r>
    </w:p>
    <w:p w14:paraId="6138E648" w14:textId="5948526D" w:rsidR="003718DA" w:rsidRPr="00CA0260" w:rsidRDefault="00B921B2" w:rsidP="003C41EC">
      <w:pPr>
        <w:rPr>
          <w:rFonts w:ascii="Arial" w:eastAsia="Arial" w:hAnsi="Arial" w:cs="Arial"/>
        </w:rPr>
      </w:pPr>
      <w:r w:rsidRPr="00CA0260">
        <w:rPr>
          <w:rFonts w:ascii="Arial" w:hAnsi="Arial" w:cs="Arial"/>
        </w:rPr>
        <w:t xml:space="preserve">A </w:t>
      </w:r>
      <w:r w:rsidRPr="00CA0260">
        <w:rPr>
          <w:rFonts w:ascii="Arial" w:hAnsi="Arial" w:cs="Arial"/>
        </w:rPr>
        <w:t>compensation analysi</w:t>
      </w:r>
      <w:r w:rsidRPr="00CA0260">
        <w:rPr>
          <w:rFonts w:ascii="Arial" w:hAnsi="Arial" w:cs="Arial"/>
        </w:rPr>
        <w:t>s can be completed to</w:t>
      </w:r>
      <w:r w:rsidRPr="00CA0260">
        <w:rPr>
          <w:rFonts w:ascii="Arial" w:hAnsi="Arial" w:cs="Arial"/>
        </w:rPr>
        <w:t xml:space="preserve"> enable an organisation to understand how they compare with other businesses </w:t>
      </w:r>
      <w:r w:rsidR="00CA4E63" w:rsidRPr="00CA0260">
        <w:rPr>
          <w:rFonts w:ascii="Arial" w:hAnsi="Arial" w:cs="Arial"/>
        </w:rPr>
        <w:t>regarding</w:t>
      </w:r>
      <w:r w:rsidRPr="00CA0260">
        <w:rPr>
          <w:rFonts w:ascii="Arial" w:hAnsi="Arial" w:cs="Arial"/>
        </w:rPr>
        <w:t xml:space="preserve"> paying their employees</w:t>
      </w:r>
      <w:r w:rsidR="002053CE" w:rsidRPr="00CA0260">
        <w:rPr>
          <w:rFonts w:ascii="Arial" w:hAnsi="Arial" w:cs="Arial"/>
        </w:rPr>
        <w:t xml:space="preserve"> (Indeed, 2022)</w:t>
      </w:r>
      <w:r w:rsidRPr="00CA0260">
        <w:rPr>
          <w:rFonts w:ascii="Arial" w:hAnsi="Arial" w:cs="Arial"/>
        </w:rPr>
        <w:t>.</w:t>
      </w:r>
      <w:r w:rsidR="00CA4E63" w:rsidRPr="00CA0260">
        <w:rPr>
          <w:rFonts w:ascii="Arial" w:hAnsi="Arial" w:cs="Arial"/>
        </w:rPr>
        <w:t xml:space="preserve"> This analysis looks at salary distribution and identifies anomalies</w:t>
      </w:r>
      <w:r w:rsidR="00933634" w:rsidRPr="00CA0260">
        <w:rPr>
          <w:rFonts w:ascii="Arial" w:hAnsi="Arial" w:cs="Arial"/>
        </w:rPr>
        <w:t xml:space="preserve"> of individuals that aren’t be paid fairly in an </w:t>
      </w:r>
      <w:r w:rsidR="003C41EC" w:rsidRPr="00CA0260">
        <w:rPr>
          <w:rFonts w:ascii="Arial" w:hAnsi="Arial" w:cs="Arial"/>
        </w:rPr>
        <w:t>organisation</w:t>
      </w:r>
      <w:r w:rsidR="00933634" w:rsidRPr="00CA0260">
        <w:rPr>
          <w:rFonts w:ascii="Arial" w:hAnsi="Arial" w:cs="Arial"/>
        </w:rPr>
        <w:t>.</w:t>
      </w:r>
    </w:p>
    <w:p w14:paraId="185AD9E2" w14:textId="041ABC1C" w:rsidR="00F21941" w:rsidRPr="00CA0260" w:rsidRDefault="00E32286" w:rsidP="00DD0169">
      <w:pPr>
        <w:tabs>
          <w:tab w:val="left" w:pos="3268"/>
        </w:tabs>
        <w:rPr>
          <w:rFonts w:ascii="Arial" w:hAnsi="Arial" w:cs="Arial"/>
        </w:rPr>
      </w:pPr>
      <w:r w:rsidRPr="00CA0260">
        <w:rPr>
          <w:rFonts w:ascii="Arial" w:hAnsi="Arial" w:cs="Arial"/>
          <w:noProof/>
        </w:rPr>
        <w:lastRenderedPageBreak/>
        <w:drawing>
          <wp:anchor distT="0" distB="0" distL="114300" distR="114300" simplePos="0" relativeHeight="251669504" behindDoc="0" locked="0" layoutInCell="1" allowOverlap="1" wp14:anchorId="61FE7F6C" wp14:editId="4837CDF4">
            <wp:simplePos x="0" y="0"/>
            <wp:positionH relativeFrom="margin">
              <wp:align>center</wp:align>
            </wp:positionH>
            <wp:positionV relativeFrom="paragraph">
              <wp:posOffset>348501</wp:posOffset>
            </wp:positionV>
            <wp:extent cx="7152005" cy="3892550"/>
            <wp:effectExtent l="0" t="0" r="10795" b="12700"/>
            <wp:wrapSquare wrapText="bothSides"/>
            <wp:docPr id="844647556" name="Chart 1">
              <a:extLst xmlns:a="http://schemas.openxmlformats.org/drawingml/2006/main">
                <a:ext uri="{FF2B5EF4-FFF2-40B4-BE49-F238E27FC236}">
                  <a16:creationId xmlns:a16="http://schemas.microsoft.com/office/drawing/2014/main" id="{8A1B41DC-F20D-4E3E-5301-3EA986F509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p>
    <w:p w14:paraId="19C058C1" w14:textId="6C00F502" w:rsidR="00BD0807" w:rsidRPr="00CA0260" w:rsidRDefault="00BD0807" w:rsidP="00DD0169">
      <w:pPr>
        <w:tabs>
          <w:tab w:val="left" w:pos="3268"/>
        </w:tabs>
        <w:rPr>
          <w:rFonts w:ascii="Arial" w:hAnsi="Arial" w:cs="Arial"/>
          <w:i/>
          <w:iCs/>
        </w:rPr>
      </w:pPr>
      <w:r w:rsidRPr="00CA0260">
        <w:rPr>
          <w:rFonts w:ascii="Arial" w:hAnsi="Arial" w:cs="Arial"/>
          <w:i/>
          <w:iCs/>
        </w:rPr>
        <w:t>Figure 8 – Hybrid Working Responses</w:t>
      </w:r>
    </w:p>
    <w:p w14:paraId="338A053F" w14:textId="77777777" w:rsidR="00BD0807" w:rsidRPr="00CA0260" w:rsidRDefault="00BD0807" w:rsidP="00DD0169">
      <w:pPr>
        <w:tabs>
          <w:tab w:val="left" w:pos="3268"/>
        </w:tabs>
        <w:rPr>
          <w:rFonts w:ascii="Arial" w:hAnsi="Arial" w:cs="Arial"/>
          <w:i/>
          <w:iCs/>
        </w:rPr>
      </w:pPr>
    </w:p>
    <w:p w14:paraId="52C16427" w14:textId="71BA8B85" w:rsidR="0037149F" w:rsidRPr="00CA0260" w:rsidRDefault="0037149F" w:rsidP="0037149F">
      <w:pPr>
        <w:tabs>
          <w:tab w:val="left" w:pos="3268"/>
        </w:tabs>
        <w:rPr>
          <w:rFonts w:ascii="Arial" w:hAnsi="Arial" w:cs="Arial"/>
        </w:rPr>
      </w:pPr>
      <w:r w:rsidRPr="00CA0260">
        <w:rPr>
          <w:rFonts w:ascii="Arial" w:hAnsi="Arial" w:cs="Arial"/>
        </w:rPr>
        <w:t xml:space="preserve">Figure </w:t>
      </w:r>
      <w:r w:rsidR="00BD0807" w:rsidRPr="00CA0260">
        <w:rPr>
          <w:rFonts w:ascii="Arial" w:hAnsi="Arial" w:cs="Arial"/>
        </w:rPr>
        <w:t xml:space="preserve">8 </w:t>
      </w:r>
      <w:r w:rsidRPr="00CA0260">
        <w:rPr>
          <w:rFonts w:ascii="Arial" w:hAnsi="Arial" w:cs="Arial"/>
        </w:rPr>
        <w:t>shows the response rates from the organisation regarding a Hybrid Working Practice Survey. The positive reoccurring themes are that more employees enjoy working from home and hybrid working and that they are still able to reach their team and work as a team.</w:t>
      </w:r>
      <w:r w:rsidR="009238E8" w:rsidRPr="00CA0260">
        <w:rPr>
          <w:rFonts w:ascii="Arial" w:hAnsi="Arial" w:cs="Arial"/>
        </w:rPr>
        <w:t xml:space="preserve"> </w:t>
      </w:r>
      <w:r w:rsidRPr="00CA0260">
        <w:rPr>
          <w:rFonts w:ascii="Arial" w:hAnsi="Arial" w:cs="Arial"/>
        </w:rPr>
        <w:t>It also shows that employees feel more connected to company culture and believe that they have a better work-life balance and better wellbeing. The negative themes are that people feel stressed regardless of their working location, they don’t feel supported when working from home and that they find it hard to separate their work and personal life when working from home. It also found that a lot of participants were not sure how to answer the question about finding working remotely a challenge.</w:t>
      </w:r>
    </w:p>
    <w:p w14:paraId="6239669D" w14:textId="78487C64" w:rsidR="009238E8" w:rsidRPr="00CA0260" w:rsidRDefault="009238E8" w:rsidP="009238E8">
      <w:pPr>
        <w:tabs>
          <w:tab w:val="left" w:pos="3268"/>
        </w:tabs>
        <w:rPr>
          <w:rFonts w:ascii="Arial" w:hAnsi="Arial" w:cs="Arial"/>
        </w:rPr>
      </w:pPr>
      <w:r w:rsidRPr="00CA0260">
        <w:rPr>
          <w:rFonts w:ascii="Arial" w:hAnsi="Arial" w:cs="Arial"/>
        </w:rPr>
        <w:t>It would be beneficial to gain further understanding into the reasonings behind why employees are expressing certain answers – especially about not being supported when working from home and about the stress levels of employees whether working from home or in the office. This can be completed using semi-structured interviews where probing questions are asked but the interviewee is allowed to elaborate on their answers (</w:t>
      </w:r>
      <w:r w:rsidRPr="00DE4498">
        <w:rPr>
          <w:rFonts w:ascii="Arial" w:hAnsi="Arial" w:cs="Arial"/>
        </w:rPr>
        <w:t>Armstrong</w:t>
      </w:r>
      <w:r w:rsidR="00DE4498" w:rsidRPr="00DE4498">
        <w:rPr>
          <w:rFonts w:ascii="Arial" w:hAnsi="Arial" w:cs="Arial"/>
        </w:rPr>
        <w:t>,</w:t>
      </w:r>
      <w:r w:rsidR="00DE4498">
        <w:rPr>
          <w:rFonts w:ascii="Arial" w:hAnsi="Arial" w:cs="Arial"/>
        </w:rPr>
        <w:t xml:space="preserve"> 2020).</w:t>
      </w:r>
    </w:p>
    <w:p w14:paraId="0EF22223" w14:textId="77777777" w:rsidR="009238E8" w:rsidRPr="00CA0260" w:rsidRDefault="009238E8" w:rsidP="0037149F">
      <w:pPr>
        <w:tabs>
          <w:tab w:val="left" w:pos="3268"/>
        </w:tabs>
        <w:rPr>
          <w:rFonts w:ascii="Arial" w:hAnsi="Arial" w:cs="Arial"/>
        </w:rPr>
      </w:pPr>
    </w:p>
    <w:p w14:paraId="7A0ECAB3" w14:textId="77777777" w:rsidR="009238E8" w:rsidRPr="00CA0260" w:rsidRDefault="009238E8" w:rsidP="0037149F">
      <w:pPr>
        <w:tabs>
          <w:tab w:val="left" w:pos="3268"/>
        </w:tabs>
        <w:rPr>
          <w:rFonts w:ascii="Arial" w:hAnsi="Arial" w:cs="Arial"/>
        </w:rPr>
      </w:pPr>
    </w:p>
    <w:p w14:paraId="51A56173" w14:textId="77777777" w:rsidR="005F10A9" w:rsidRPr="00CA0260" w:rsidRDefault="005F10A9" w:rsidP="00725706">
      <w:pPr>
        <w:pStyle w:val="BodyText"/>
        <w:spacing w:before="162" w:line="264" w:lineRule="auto"/>
        <w:ind w:right="283"/>
      </w:pPr>
    </w:p>
    <w:p w14:paraId="4043A0A4" w14:textId="77777777" w:rsidR="009238E8" w:rsidRPr="00CA0260" w:rsidRDefault="009238E8" w:rsidP="00725706">
      <w:pPr>
        <w:pStyle w:val="BodyText"/>
        <w:spacing w:before="162" w:line="264" w:lineRule="auto"/>
        <w:ind w:right="283"/>
      </w:pPr>
    </w:p>
    <w:p w14:paraId="1AEE18EE" w14:textId="4D914FD0" w:rsidR="00820478" w:rsidRPr="00CA0260" w:rsidRDefault="002A711A" w:rsidP="00725706">
      <w:pPr>
        <w:pStyle w:val="BodyText"/>
        <w:spacing w:before="162" w:line="264" w:lineRule="auto"/>
        <w:ind w:right="283"/>
        <w:rPr>
          <w:b/>
          <w:bCs/>
          <w:u w:val="single"/>
        </w:rPr>
      </w:pPr>
      <w:r w:rsidRPr="00CA0260">
        <w:rPr>
          <w:b/>
          <w:bCs/>
          <w:u w:val="single"/>
        </w:rPr>
        <w:lastRenderedPageBreak/>
        <w:t>Recommendations (AC 2.3)</w:t>
      </w:r>
    </w:p>
    <w:p w14:paraId="3BDE0025" w14:textId="4EC9ED60" w:rsidR="004B4ED1" w:rsidRPr="00CA0260" w:rsidRDefault="004B4ED1" w:rsidP="004B4ED1">
      <w:pPr>
        <w:pStyle w:val="BodyText"/>
        <w:spacing w:before="162" w:line="264" w:lineRule="auto"/>
        <w:ind w:right="283"/>
      </w:pPr>
      <w:r w:rsidRPr="00CA0260">
        <w:t>Using methods such as benchmarking, policy development, interviews and surveys can be beneficial to a business as they help provide opportunities for the organisation to improve and understand employee needs so that employees feel respected and valued,</w:t>
      </w:r>
      <w:r w:rsidR="00D74A42" w:rsidRPr="00CA0260">
        <w:t xml:space="preserve"> </w:t>
      </w:r>
      <w:r w:rsidRPr="00CA0260">
        <w:t>creating a more inclusive environment. Providing further training to all employees regarding dealing with biases in the workplace can improve relationships in the business (</w:t>
      </w:r>
      <w:r w:rsidR="00E12F61" w:rsidRPr="00CA0260">
        <w:t>CIPD, 2021)</w:t>
      </w:r>
      <w:r w:rsidRPr="00CA0260">
        <w:t xml:space="preserve"> and it could lead to a </w:t>
      </w:r>
      <w:r w:rsidR="006863E2" w:rsidRPr="00CA0260">
        <w:t>fairer opportunity</w:t>
      </w:r>
      <w:r w:rsidRPr="00CA0260">
        <w:t xml:space="preserve"> across the organisation (</w:t>
      </w:r>
      <w:r w:rsidR="00532166" w:rsidRPr="00CA0260">
        <w:t xml:space="preserve">Olsen et al, 2018). </w:t>
      </w:r>
      <w:r w:rsidRPr="00CA0260">
        <w:t>Implications can be avoided if acted upon quickly when they arise and legal counsel and be sought to reduce the impact that these problems have on the business.</w:t>
      </w:r>
    </w:p>
    <w:p w14:paraId="4EB85F96" w14:textId="00F2E9B9" w:rsidR="004B4ED1" w:rsidRPr="00CA0260" w:rsidRDefault="004B4ED1" w:rsidP="004B4ED1">
      <w:pPr>
        <w:pStyle w:val="BodyText"/>
        <w:spacing w:before="162" w:line="264" w:lineRule="auto"/>
        <w:ind w:right="283"/>
      </w:pPr>
      <w:r w:rsidRPr="00CA0260">
        <w:t>If issues arise regarding problems with diversity and inclusion in the workplace it could potentially be going against the law. Discrimination and harassment towards employees with protected characteristics go against The Equality Act (2010), paying employees unequally is also against the law (</w:t>
      </w:r>
      <w:r w:rsidR="005543A5" w:rsidRPr="00CA0260">
        <w:t>ACAS, 2022</w:t>
      </w:r>
      <w:r w:rsidRPr="00CA0260">
        <w:t>). An organisations’ reputation can also be tarnished and its reputation with stakeholders, customer and employees could be affected.</w:t>
      </w:r>
    </w:p>
    <w:p w14:paraId="1237D6A9" w14:textId="40041AFC" w:rsidR="004B4ED1" w:rsidRPr="00CA0260" w:rsidRDefault="004B4ED1" w:rsidP="004B4ED1">
      <w:pPr>
        <w:pStyle w:val="BodyText"/>
        <w:spacing w:before="162" w:line="264" w:lineRule="auto"/>
        <w:ind w:right="283"/>
      </w:pPr>
      <w:r w:rsidRPr="00CA0260">
        <w:t>If the recommendations aren’t followed</w:t>
      </w:r>
      <w:r w:rsidRPr="00CA0260">
        <w:t>,</w:t>
      </w:r>
      <w:r w:rsidRPr="00CA0260">
        <w:t xml:space="preserve"> then it could lead to financial implications for the business. If an employee isn’t treated fairly and given equal </w:t>
      </w:r>
      <w:r w:rsidRPr="00CA0260">
        <w:t>opportunities,</w:t>
      </w:r>
      <w:r w:rsidRPr="00CA0260">
        <w:t xml:space="preserve"> then this could affect the effectiveness of their work which could cost the business’ time and finances. If training cost agreements aren’t implemented then it fails to retain the talent and upskill of the employee and in turn loses its return of investment, again causing a financial implication. Also</w:t>
      </w:r>
      <w:r w:rsidRPr="00CA0260">
        <w:t>,</w:t>
      </w:r>
      <w:r w:rsidRPr="00CA0260">
        <w:t xml:space="preserve"> by failing to react to problem regarding diversity and inclusion, it could lead to employee’s taking the organisation to an employee tribunal causing another financial lost to the organisation.</w:t>
      </w:r>
    </w:p>
    <w:p w14:paraId="6724259D" w14:textId="77777777" w:rsidR="00503E70" w:rsidRPr="00CA0260" w:rsidRDefault="00503E70" w:rsidP="00725706">
      <w:pPr>
        <w:pStyle w:val="BodyText"/>
        <w:spacing w:before="162" w:line="264" w:lineRule="auto"/>
        <w:ind w:right="283"/>
      </w:pPr>
    </w:p>
    <w:p w14:paraId="6C1C1BE5" w14:textId="68EA2C53" w:rsidR="009238E8" w:rsidRPr="00CA0260" w:rsidRDefault="009238E8" w:rsidP="00BD0807">
      <w:pPr>
        <w:tabs>
          <w:tab w:val="left" w:pos="3268"/>
        </w:tabs>
        <w:rPr>
          <w:rFonts w:ascii="Arial" w:hAnsi="Arial" w:cs="Arial"/>
        </w:rPr>
      </w:pPr>
    </w:p>
    <w:p w14:paraId="3198AE57" w14:textId="2E2486B6" w:rsidR="00BD0807" w:rsidRPr="00CA0260" w:rsidRDefault="00BD0807" w:rsidP="00463B3D">
      <w:pPr>
        <w:rPr>
          <w:rFonts w:ascii="Arial" w:hAnsi="Arial" w:cs="Arial"/>
        </w:rPr>
      </w:pPr>
    </w:p>
    <w:p w14:paraId="75FFEB36" w14:textId="77777777" w:rsidR="00463B3D" w:rsidRPr="00CA0260" w:rsidRDefault="00463B3D" w:rsidP="007A4E17">
      <w:pPr>
        <w:rPr>
          <w:rFonts w:ascii="Arial" w:hAnsi="Arial" w:cs="Arial"/>
        </w:rPr>
      </w:pPr>
    </w:p>
    <w:p w14:paraId="4026246A" w14:textId="7EBA1CB7" w:rsidR="007A4E17" w:rsidRPr="00CA0260" w:rsidRDefault="007A4E17" w:rsidP="00B41878">
      <w:pPr>
        <w:pStyle w:val="NormalWeb"/>
        <w:shd w:val="clear" w:color="auto" w:fill="FFFFFF"/>
        <w:rPr>
          <w:rFonts w:ascii="Arial" w:hAnsi="Arial" w:cs="Arial"/>
          <w:sz w:val="22"/>
          <w:szCs w:val="22"/>
        </w:rPr>
      </w:pPr>
    </w:p>
    <w:p w14:paraId="3A564C6E" w14:textId="5F6FED3A" w:rsidR="00B41878" w:rsidRPr="00CA0260" w:rsidRDefault="00B41878" w:rsidP="00586318">
      <w:pPr>
        <w:pStyle w:val="BodyText"/>
        <w:spacing w:before="162" w:line="264" w:lineRule="auto"/>
        <w:ind w:right="283"/>
        <w:jc w:val="both"/>
        <w:rPr>
          <w:rStyle w:val="normaltextrun"/>
        </w:rPr>
      </w:pPr>
    </w:p>
    <w:p w14:paraId="28F74EE2" w14:textId="26F1376D" w:rsidR="00586318" w:rsidRPr="00CA0260" w:rsidRDefault="00586318" w:rsidP="00725706">
      <w:pPr>
        <w:pStyle w:val="BodyText"/>
        <w:spacing w:before="162" w:line="264" w:lineRule="auto"/>
        <w:ind w:right="283"/>
      </w:pPr>
    </w:p>
    <w:p w14:paraId="50E288C9" w14:textId="77777777" w:rsidR="00A25007" w:rsidRPr="00CA0260" w:rsidRDefault="00A25007" w:rsidP="00725706">
      <w:pPr>
        <w:pStyle w:val="BodyText"/>
        <w:spacing w:before="162" w:line="264" w:lineRule="auto"/>
        <w:ind w:right="283"/>
      </w:pPr>
    </w:p>
    <w:p w14:paraId="134624F1" w14:textId="77777777" w:rsidR="00A25007" w:rsidRPr="00CA0260" w:rsidRDefault="00A25007" w:rsidP="00725706">
      <w:pPr>
        <w:pStyle w:val="BodyText"/>
        <w:spacing w:before="162" w:line="264" w:lineRule="auto"/>
        <w:ind w:right="283"/>
      </w:pPr>
    </w:p>
    <w:p w14:paraId="02284733" w14:textId="77777777" w:rsidR="00A25007" w:rsidRPr="00CA0260" w:rsidRDefault="00A25007" w:rsidP="00725706">
      <w:pPr>
        <w:pStyle w:val="BodyText"/>
        <w:spacing w:before="162" w:line="264" w:lineRule="auto"/>
        <w:ind w:right="283"/>
      </w:pPr>
    </w:p>
    <w:p w14:paraId="5F6E994F" w14:textId="77777777" w:rsidR="00A25007" w:rsidRPr="00CA0260" w:rsidRDefault="00A25007" w:rsidP="00725706">
      <w:pPr>
        <w:pStyle w:val="BodyText"/>
        <w:spacing w:before="162" w:line="264" w:lineRule="auto"/>
        <w:ind w:right="283"/>
      </w:pPr>
    </w:p>
    <w:p w14:paraId="5C20CCFB" w14:textId="77777777" w:rsidR="00A25007" w:rsidRPr="00CA0260" w:rsidRDefault="00A25007" w:rsidP="00725706">
      <w:pPr>
        <w:pStyle w:val="BodyText"/>
        <w:spacing w:before="162" w:line="264" w:lineRule="auto"/>
        <w:ind w:right="283"/>
      </w:pPr>
    </w:p>
    <w:p w14:paraId="3BBF2F76" w14:textId="77777777" w:rsidR="00A25007" w:rsidRPr="00CA0260" w:rsidRDefault="00A25007" w:rsidP="00725706">
      <w:pPr>
        <w:pStyle w:val="BodyText"/>
        <w:spacing w:before="162" w:line="264" w:lineRule="auto"/>
        <w:ind w:right="283"/>
      </w:pPr>
    </w:p>
    <w:p w14:paraId="114FE22F" w14:textId="77777777" w:rsidR="00BE4F29" w:rsidRPr="00CA0260" w:rsidRDefault="00BE4F29" w:rsidP="00725706">
      <w:pPr>
        <w:pStyle w:val="BodyText"/>
        <w:spacing w:before="162" w:line="264" w:lineRule="auto"/>
        <w:ind w:right="283"/>
      </w:pPr>
    </w:p>
    <w:p w14:paraId="067A39B5" w14:textId="77777777" w:rsidR="00F5629A" w:rsidRDefault="00F5629A" w:rsidP="00725706">
      <w:pPr>
        <w:pStyle w:val="BodyText"/>
        <w:spacing w:before="162" w:line="264" w:lineRule="auto"/>
        <w:ind w:right="283"/>
      </w:pPr>
    </w:p>
    <w:p w14:paraId="73EDE108" w14:textId="77777777" w:rsidR="00CA0260" w:rsidRPr="00CA0260" w:rsidRDefault="00CA0260" w:rsidP="00725706">
      <w:pPr>
        <w:pStyle w:val="BodyText"/>
        <w:spacing w:before="162" w:line="264" w:lineRule="auto"/>
        <w:ind w:right="283"/>
      </w:pPr>
    </w:p>
    <w:p w14:paraId="537924F1" w14:textId="0F9AF400" w:rsidR="00BE4F29" w:rsidRPr="00CA0260" w:rsidRDefault="00F5629A" w:rsidP="00725706">
      <w:pPr>
        <w:pStyle w:val="BodyText"/>
        <w:spacing w:before="162" w:line="264" w:lineRule="auto"/>
        <w:ind w:right="283"/>
        <w:rPr>
          <w:b/>
          <w:bCs/>
          <w:u w:val="single"/>
        </w:rPr>
      </w:pPr>
      <w:r w:rsidRPr="00CA0260">
        <w:rPr>
          <w:b/>
          <w:bCs/>
          <w:u w:val="single"/>
        </w:rPr>
        <w:lastRenderedPageBreak/>
        <w:t>Bibliography:</w:t>
      </w:r>
    </w:p>
    <w:p w14:paraId="2DF2BF46" w14:textId="77777777" w:rsidR="00156505" w:rsidRPr="00CA0260" w:rsidRDefault="00156505" w:rsidP="00E12F61">
      <w:pPr>
        <w:pStyle w:val="BodyText"/>
        <w:numPr>
          <w:ilvl w:val="0"/>
          <w:numId w:val="8"/>
        </w:numPr>
        <w:spacing w:before="162" w:line="264" w:lineRule="auto"/>
        <w:ind w:right="283"/>
        <w:rPr>
          <w:b/>
          <w:bCs/>
          <w:u w:val="single"/>
        </w:rPr>
      </w:pPr>
      <w:r w:rsidRPr="00CA0260">
        <w:t xml:space="preserve">ACAS (2022), Equal pay and the law. Available at: </w:t>
      </w:r>
      <w:hyperlink r:id="rId46" w:history="1">
        <w:r w:rsidRPr="00CA0260">
          <w:rPr>
            <w:rStyle w:val="Hyperlink"/>
          </w:rPr>
          <w:t>https://www.acas.org.uk/equal-pay/equal-pay-law</w:t>
        </w:r>
      </w:hyperlink>
      <w:r w:rsidRPr="00CA0260">
        <w:t xml:space="preserve"> (Accessed 3 December 2023) </w:t>
      </w:r>
    </w:p>
    <w:p w14:paraId="54A09F4B" w14:textId="77777777" w:rsidR="00156505" w:rsidRPr="00CA0260" w:rsidRDefault="00156505" w:rsidP="00E12F61">
      <w:pPr>
        <w:pStyle w:val="BodyText"/>
        <w:numPr>
          <w:ilvl w:val="0"/>
          <w:numId w:val="8"/>
        </w:numPr>
        <w:spacing w:before="162" w:line="264" w:lineRule="auto"/>
        <w:ind w:right="283"/>
        <w:rPr>
          <w:b/>
          <w:bCs/>
          <w:u w:val="single"/>
        </w:rPr>
      </w:pPr>
      <w:r w:rsidRPr="00CA0260">
        <w:t>Armstrong book page 641</w:t>
      </w:r>
    </w:p>
    <w:p w14:paraId="310BE94C" w14:textId="77777777" w:rsidR="00156505" w:rsidRPr="00CA0260" w:rsidRDefault="00156505" w:rsidP="003826DE">
      <w:pPr>
        <w:pStyle w:val="BodyText"/>
        <w:numPr>
          <w:ilvl w:val="0"/>
          <w:numId w:val="8"/>
        </w:numPr>
        <w:spacing w:before="162" w:line="264" w:lineRule="auto"/>
        <w:ind w:right="283"/>
        <w:rPr>
          <w:b/>
          <w:bCs/>
          <w:u w:val="single"/>
        </w:rPr>
      </w:pPr>
      <w:r w:rsidRPr="00CA0260">
        <w:t xml:space="preserve">Bennedsen, M., Larsen, B. and Wei, J. (2023). Gender wage transparency and the gender pay gap: A survey. </w:t>
      </w:r>
      <w:r w:rsidRPr="00CA0260">
        <w:rPr>
          <w:i/>
          <w:iCs/>
        </w:rPr>
        <w:t>Journal of Economic Surveys,</w:t>
      </w:r>
      <w:r w:rsidRPr="00CA0260">
        <w:t xml:space="preserve"> pp 1743-1777. Available at: </w:t>
      </w:r>
      <w:hyperlink r:id="rId47" w:history="1">
        <w:r w:rsidRPr="00CA0260">
          <w:rPr>
            <w:rStyle w:val="Hyperlink"/>
            <w:b/>
            <w:bCs/>
            <w:shd w:val="clear" w:color="auto" w:fill="FFFFFF"/>
          </w:rPr>
          <w:t>https://doi.org/10.1111/joes.12545</w:t>
        </w:r>
      </w:hyperlink>
    </w:p>
    <w:p w14:paraId="3101D56A" w14:textId="77777777" w:rsidR="00156505" w:rsidRPr="00CA0260" w:rsidRDefault="00156505" w:rsidP="003826DE">
      <w:pPr>
        <w:pStyle w:val="BodyText"/>
        <w:numPr>
          <w:ilvl w:val="0"/>
          <w:numId w:val="8"/>
        </w:numPr>
        <w:spacing w:before="162" w:line="264" w:lineRule="auto"/>
        <w:ind w:right="283"/>
        <w:rPr>
          <w:b/>
          <w:bCs/>
          <w:u w:val="single"/>
        </w:rPr>
      </w:pPr>
      <w:r w:rsidRPr="00CA0260">
        <w:t xml:space="preserve">CIPD (2021) Hybrid Working Practical Guidance. Available at: </w:t>
      </w:r>
      <w:r w:rsidRPr="00CA0260">
        <w:t>https://www.cipd.org/globalassets/media/knowledge/the-people-profession/latest-updates/hybrid-working-practical-guidance-2021_tcm18-103709.pdf</w:t>
      </w:r>
      <w:r w:rsidRPr="00CA0260">
        <w:t xml:space="preserve"> (Accessed: 3 December 2023).</w:t>
      </w:r>
    </w:p>
    <w:p w14:paraId="2E64FDF4" w14:textId="77777777" w:rsidR="00156505" w:rsidRPr="00CA0260" w:rsidRDefault="00156505" w:rsidP="003826DE">
      <w:pPr>
        <w:pStyle w:val="BodyText"/>
        <w:numPr>
          <w:ilvl w:val="0"/>
          <w:numId w:val="8"/>
        </w:numPr>
        <w:spacing w:before="162" w:line="264" w:lineRule="auto"/>
        <w:ind w:right="283"/>
        <w:rPr>
          <w:b/>
          <w:bCs/>
          <w:u w:val="single"/>
        </w:rPr>
      </w:pPr>
      <w:r w:rsidRPr="00CA0260">
        <w:t xml:space="preserve">CIPD (2022) </w:t>
      </w:r>
      <w:r w:rsidRPr="00CA0260">
        <w:rPr>
          <w:i/>
          <w:iCs/>
        </w:rPr>
        <w:t>Equality, diversity and inclusion (EDI) in the workplace</w:t>
      </w:r>
      <w:r w:rsidRPr="00CA0260">
        <w:t xml:space="preserve">. Available at: </w:t>
      </w:r>
      <w:hyperlink r:id="rId48" w:history="1">
        <w:r w:rsidRPr="00CA0260">
          <w:rPr>
            <w:rStyle w:val="Hyperlink"/>
          </w:rPr>
          <w:t>https://www.cipd.org/uk/knowledge/factsheets/diversity-factsheet/#Equality</w:t>
        </w:r>
      </w:hyperlink>
      <w:r w:rsidRPr="00CA0260">
        <w:t xml:space="preserve"> (Accessed: 3 December 2023).</w:t>
      </w:r>
    </w:p>
    <w:p w14:paraId="736F4730" w14:textId="77777777" w:rsidR="00156505" w:rsidRPr="00CA0260" w:rsidRDefault="00156505" w:rsidP="003826DE">
      <w:pPr>
        <w:pStyle w:val="BodyText"/>
        <w:numPr>
          <w:ilvl w:val="0"/>
          <w:numId w:val="8"/>
        </w:numPr>
        <w:spacing w:before="162" w:line="264" w:lineRule="auto"/>
        <w:ind w:right="283"/>
        <w:rPr>
          <w:b/>
          <w:bCs/>
          <w:u w:val="single"/>
        </w:rPr>
      </w:pPr>
      <w:r w:rsidRPr="00CA0260">
        <w:rPr>
          <w:color w:val="222222"/>
          <w:shd w:val="clear" w:color="auto" w:fill="FFFFFF"/>
        </w:rPr>
        <w:t>Correll, S.J.</w:t>
      </w:r>
      <w:r w:rsidRPr="00CA0260">
        <w:rPr>
          <w:color w:val="222222"/>
          <w:shd w:val="clear" w:color="auto" w:fill="FFFFFF"/>
        </w:rPr>
        <w:t xml:space="preserve"> (2017) ‘SWS 2016 Feminist Lecture: Reducing Gender Biases in Modern Workplaces: A Small Wins Approach to Organizational Change’, </w:t>
      </w:r>
      <w:r w:rsidRPr="00CA0260">
        <w:rPr>
          <w:i/>
          <w:iCs/>
          <w:color w:val="222222"/>
          <w:shd w:val="clear" w:color="auto" w:fill="FFFFFF"/>
        </w:rPr>
        <w:t xml:space="preserve">Gender &amp; Society, </w:t>
      </w:r>
      <w:r w:rsidRPr="00CA0260">
        <w:rPr>
          <w:color w:val="222222"/>
          <w:shd w:val="clear" w:color="auto" w:fill="FFFFFF"/>
        </w:rPr>
        <w:t>31(6), pp. 725-750. Available at:</w:t>
      </w:r>
      <w:r w:rsidRPr="00CA0260">
        <w:t xml:space="preserve"> </w:t>
      </w:r>
      <w:hyperlink r:id="rId49" w:history="1">
        <w:r w:rsidRPr="00CA0260">
          <w:rPr>
            <w:rStyle w:val="Hyperlink"/>
            <w:shd w:val="clear" w:color="auto" w:fill="FFFFFF"/>
          </w:rPr>
          <w:t>https://doi.org/10.1177/0891243217738518</w:t>
        </w:r>
      </w:hyperlink>
    </w:p>
    <w:p w14:paraId="0F0AFC91" w14:textId="77777777" w:rsidR="00156505" w:rsidRPr="00CA0260" w:rsidRDefault="00156505" w:rsidP="003826DE">
      <w:pPr>
        <w:pStyle w:val="BodyText"/>
        <w:numPr>
          <w:ilvl w:val="0"/>
          <w:numId w:val="8"/>
        </w:numPr>
        <w:spacing w:before="162" w:line="264" w:lineRule="auto"/>
        <w:ind w:right="283"/>
        <w:rPr>
          <w:b/>
          <w:bCs/>
          <w:u w:val="single"/>
        </w:rPr>
      </w:pPr>
      <w:r w:rsidRPr="00CA0260">
        <w:rPr>
          <w:color w:val="222222"/>
          <w:shd w:val="clear" w:color="auto" w:fill="FFFFFF"/>
        </w:rPr>
        <w:t>GOV.</w:t>
      </w:r>
      <w:r w:rsidRPr="00CA0260">
        <w:t xml:space="preserve">UK (2022) </w:t>
      </w:r>
      <w:r w:rsidRPr="00CA0260">
        <w:rPr>
          <w:i/>
          <w:iCs/>
        </w:rPr>
        <w:t>Employment of Disabled People 2022</w:t>
      </w:r>
      <w:r w:rsidRPr="00CA0260">
        <w:t xml:space="preserve">. Available at </w:t>
      </w:r>
      <w:hyperlink r:id="rId50" w:history="1">
        <w:r w:rsidRPr="00CA0260">
          <w:rPr>
            <w:rStyle w:val="Hyperlink"/>
          </w:rPr>
          <w:t>https://www.gov.uk/government/statistics/the-employment-of-disabled-people-2022/employment-of-disabled-people-2022</w:t>
        </w:r>
      </w:hyperlink>
      <w:r w:rsidRPr="00CA0260">
        <w:t xml:space="preserve"> (Accessed: 3</w:t>
      </w:r>
      <w:r w:rsidRPr="00CA0260">
        <w:rPr>
          <w:vertAlign w:val="superscript"/>
        </w:rPr>
        <w:t xml:space="preserve"> </w:t>
      </w:r>
      <w:r w:rsidRPr="00CA0260">
        <w:t>December 2023).</w:t>
      </w:r>
    </w:p>
    <w:p w14:paraId="33881188" w14:textId="77777777" w:rsidR="00156505" w:rsidRPr="00CA0260" w:rsidRDefault="00156505" w:rsidP="003826DE">
      <w:pPr>
        <w:pStyle w:val="BodyText"/>
        <w:numPr>
          <w:ilvl w:val="0"/>
          <w:numId w:val="8"/>
        </w:numPr>
        <w:spacing w:before="162" w:line="264" w:lineRule="auto"/>
        <w:ind w:right="283"/>
        <w:rPr>
          <w:b/>
          <w:bCs/>
          <w:u w:val="single"/>
        </w:rPr>
      </w:pPr>
      <w:r w:rsidRPr="00CA0260">
        <w:t xml:space="preserve">Indeed (2022) </w:t>
      </w:r>
      <w:r w:rsidRPr="00CA0260">
        <w:rPr>
          <w:i/>
          <w:iCs/>
        </w:rPr>
        <w:t>Everything You Need To Know About Compensation Analysis.</w:t>
      </w:r>
      <w:r w:rsidRPr="00CA0260">
        <w:t xml:space="preserve"> Available at </w:t>
      </w:r>
      <w:hyperlink r:id="rId51" w:history="1">
        <w:r w:rsidRPr="00CA0260">
          <w:rPr>
            <w:rStyle w:val="Hyperlink"/>
          </w:rPr>
          <w:t>https://www.indeed.com/career-advice/career-development/compensation-analysis</w:t>
        </w:r>
      </w:hyperlink>
      <w:r w:rsidRPr="00CA0260">
        <w:t xml:space="preserve"> (Accessed: 2 December 2023).</w:t>
      </w:r>
    </w:p>
    <w:p w14:paraId="0615537E" w14:textId="77777777" w:rsidR="00156505" w:rsidRPr="00CA0260" w:rsidRDefault="00156505" w:rsidP="003826DE">
      <w:pPr>
        <w:pStyle w:val="BodyText"/>
        <w:numPr>
          <w:ilvl w:val="0"/>
          <w:numId w:val="8"/>
        </w:numPr>
        <w:spacing w:before="162" w:line="264" w:lineRule="auto"/>
        <w:ind w:right="283"/>
        <w:rPr>
          <w:b/>
          <w:bCs/>
          <w:u w:val="single"/>
        </w:rPr>
      </w:pPr>
      <w:r w:rsidRPr="00CA0260">
        <w:t>Olsen, W., Gash, V., Sook, K. &amp; Zhang, M. (2018). The gender pay gap in the UK: evidence from the UKHLS (DFE-RR804). London, UK: Department for Education, Government Equalities Office.</w:t>
      </w:r>
    </w:p>
    <w:p w14:paraId="7B30CE61" w14:textId="77777777" w:rsidR="00156505" w:rsidRPr="00DE4498" w:rsidRDefault="00156505" w:rsidP="003826DE">
      <w:pPr>
        <w:pStyle w:val="BodyText"/>
        <w:numPr>
          <w:ilvl w:val="0"/>
          <w:numId w:val="8"/>
        </w:numPr>
        <w:spacing w:before="162" w:line="264" w:lineRule="auto"/>
        <w:ind w:right="283"/>
        <w:rPr>
          <w:b/>
          <w:bCs/>
          <w:u w:val="single"/>
        </w:rPr>
      </w:pPr>
      <w:r w:rsidRPr="00CA0260">
        <w:t xml:space="preserve">Riley, C. A. (2006) </w:t>
      </w:r>
      <w:r w:rsidRPr="00CA0260">
        <w:rPr>
          <w:i/>
          <w:iCs/>
        </w:rPr>
        <w:t xml:space="preserve">Disability and Business: Best Practices and Strategies for Inclusion. </w:t>
      </w:r>
      <w:r w:rsidRPr="00CA0260">
        <w:t>Hanover and London: University Press of New England.</w:t>
      </w:r>
    </w:p>
    <w:p w14:paraId="5BEF7E74" w14:textId="77777777" w:rsidR="00DE4498" w:rsidRPr="00573A12" w:rsidRDefault="00DE4498" w:rsidP="00DE4498">
      <w:pPr>
        <w:pStyle w:val="paragraph"/>
        <w:numPr>
          <w:ilvl w:val="0"/>
          <w:numId w:val="8"/>
        </w:numPr>
        <w:spacing w:before="0" w:beforeAutospacing="0" w:after="0" w:afterAutospacing="0"/>
        <w:textAlignment w:val="baseline"/>
        <w:rPr>
          <w:rFonts w:ascii="Arial" w:hAnsi="Arial" w:cs="Arial"/>
          <w:sz w:val="22"/>
          <w:szCs w:val="22"/>
        </w:rPr>
      </w:pPr>
      <w:r w:rsidRPr="00573A12">
        <w:rPr>
          <w:rStyle w:val="normaltextrun"/>
          <w:rFonts w:ascii="Arial" w:hAnsi="Arial" w:cs="Arial"/>
          <w:sz w:val="22"/>
          <w:szCs w:val="22"/>
        </w:rPr>
        <w:t xml:space="preserve">Armstrong, M. and Taylor, S. (2020) </w:t>
      </w:r>
      <w:r w:rsidRPr="00573A12">
        <w:rPr>
          <w:rStyle w:val="normaltextrun"/>
          <w:rFonts w:ascii="Arial" w:hAnsi="Arial" w:cs="Arial"/>
          <w:i/>
          <w:iCs/>
          <w:sz w:val="22"/>
          <w:szCs w:val="22"/>
        </w:rPr>
        <w:t>Armstrong’s Handbook of Human Resource Management Practice.</w:t>
      </w:r>
      <w:r w:rsidRPr="00573A12">
        <w:rPr>
          <w:rStyle w:val="normaltextrun"/>
          <w:rFonts w:ascii="Arial" w:hAnsi="Arial" w:cs="Arial"/>
          <w:sz w:val="22"/>
          <w:szCs w:val="22"/>
        </w:rPr>
        <w:t xml:space="preserve"> 15</w:t>
      </w:r>
      <w:r w:rsidRPr="00573A12">
        <w:rPr>
          <w:rStyle w:val="normaltextrun"/>
          <w:rFonts w:ascii="Arial" w:hAnsi="Arial" w:cs="Arial"/>
          <w:sz w:val="22"/>
          <w:szCs w:val="22"/>
          <w:vertAlign w:val="superscript"/>
        </w:rPr>
        <w:t>th</w:t>
      </w:r>
      <w:r w:rsidRPr="00573A12">
        <w:rPr>
          <w:rStyle w:val="normaltextrun"/>
          <w:rFonts w:ascii="Arial" w:hAnsi="Arial" w:cs="Arial"/>
          <w:sz w:val="22"/>
          <w:szCs w:val="22"/>
        </w:rPr>
        <w:t xml:space="preserve"> </w:t>
      </w:r>
      <w:proofErr w:type="spellStart"/>
      <w:r w:rsidRPr="00573A12">
        <w:rPr>
          <w:rStyle w:val="normaltextrun"/>
          <w:rFonts w:ascii="Arial" w:hAnsi="Arial" w:cs="Arial"/>
          <w:sz w:val="22"/>
          <w:szCs w:val="22"/>
        </w:rPr>
        <w:t>edn</w:t>
      </w:r>
      <w:proofErr w:type="spellEnd"/>
      <w:r w:rsidRPr="00573A12">
        <w:rPr>
          <w:rStyle w:val="normaltextrun"/>
          <w:rFonts w:ascii="Arial" w:hAnsi="Arial" w:cs="Arial"/>
          <w:sz w:val="22"/>
          <w:szCs w:val="22"/>
        </w:rPr>
        <w:t>. Kogan Page Publishers, pp. 132-133</w:t>
      </w:r>
      <w:r w:rsidRPr="00573A12">
        <w:rPr>
          <w:rStyle w:val="eop"/>
          <w:rFonts w:ascii="Arial" w:eastAsia="Arial" w:hAnsi="Arial" w:cs="Arial"/>
          <w:sz w:val="22"/>
          <w:szCs w:val="22"/>
        </w:rPr>
        <w:t> </w:t>
      </w:r>
    </w:p>
    <w:p w14:paraId="652F201A" w14:textId="77777777" w:rsidR="00DE4498" w:rsidRPr="00CA0260" w:rsidRDefault="00DE4498" w:rsidP="00DE4498">
      <w:pPr>
        <w:pStyle w:val="BodyText"/>
        <w:spacing w:before="162" w:line="264" w:lineRule="auto"/>
        <w:ind w:left="720" w:right="283"/>
        <w:rPr>
          <w:b/>
          <w:bCs/>
          <w:u w:val="single"/>
        </w:rPr>
      </w:pPr>
    </w:p>
    <w:p w14:paraId="110DD24D" w14:textId="77777777" w:rsidR="00E12F61" w:rsidRPr="00CA0260" w:rsidRDefault="00E12F61" w:rsidP="00E12F61">
      <w:pPr>
        <w:pStyle w:val="BodyText"/>
        <w:spacing w:before="162" w:line="264" w:lineRule="auto"/>
        <w:ind w:right="283"/>
        <w:rPr>
          <w:b/>
          <w:bCs/>
          <w:u w:val="single"/>
        </w:rPr>
      </w:pPr>
    </w:p>
    <w:p w14:paraId="29926B16" w14:textId="7DCFA61B" w:rsidR="002053CE" w:rsidRPr="00CA0260" w:rsidRDefault="002053CE" w:rsidP="00126CA6">
      <w:pPr>
        <w:pStyle w:val="BodyText"/>
        <w:spacing w:before="162" w:line="264" w:lineRule="auto"/>
        <w:ind w:right="283"/>
        <w:rPr>
          <w:color w:val="222222"/>
          <w:shd w:val="clear" w:color="auto" w:fill="FFFFFF"/>
        </w:rPr>
      </w:pPr>
    </w:p>
    <w:p w14:paraId="1BE71978" w14:textId="77777777" w:rsidR="00864D28" w:rsidRPr="00CA0260" w:rsidRDefault="00864D28" w:rsidP="00711B99">
      <w:pPr>
        <w:pStyle w:val="BodyText"/>
        <w:spacing w:before="162" w:line="264" w:lineRule="auto"/>
        <w:ind w:right="283"/>
        <w:rPr>
          <w:b/>
          <w:bCs/>
          <w:u w:val="single"/>
        </w:rPr>
      </w:pPr>
    </w:p>
    <w:p w14:paraId="4029F79C" w14:textId="77777777" w:rsidR="00A50E5C" w:rsidRPr="00CA0260" w:rsidRDefault="00A50E5C" w:rsidP="00E90C88">
      <w:pPr>
        <w:pStyle w:val="BodyText"/>
        <w:spacing w:before="162" w:line="264" w:lineRule="auto"/>
        <w:ind w:left="720" w:right="283"/>
        <w:rPr>
          <w:b/>
          <w:bCs/>
          <w:u w:val="single"/>
        </w:rPr>
      </w:pPr>
    </w:p>
    <w:p w14:paraId="7BC384D0" w14:textId="77777777" w:rsidR="00A50E5C" w:rsidRDefault="00A50E5C" w:rsidP="00E90C88">
      <w:pPr>
        <w:pStyle w:val="BodyText"/>
        <w:spacing w:before="162" w:line="264" w:lineRule="auto"/>
        <w:ind w:left="720" w:right="283"/>
        <w:rPr>
          <w:b/>
          <w:bCs/>
          <w:u w:val="single"/>
        </w:rPr>
      </w:pPr>
    </w:p>
    <w:p w14:paraId="0BD66927" w14:textId="3D33E713" w:rsidR="00A50E5C" w:rsidRPr="00B41878" w:rsidRDefault="00A50E5C" w:rsidP="00E90C88">
      <w:pPr>
        <w:pStyle w:val="BodyText"/>
        <w:spacing w:before="162" w:line="264" w:lineRule="auto"/>
        <w:ind w:left="720" w:right="283"/>
        <w:rPr>
          <w:b/>
          <w:bCs/>
          <w:u w:val="single"/>
        </w:rPr>
      </w:pPr>
    </w:p>
    <w:sectPr w:rsidR="00A50E5C" w:rsidRPr="00B41878">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22C57" w14:textId="77777777" w:rsidR="0031188D" w:rsidRDefault="0031188D" w:rsidP="0031188D">
      <w:pPr>
        <w:spacing w:after="0" w:line="240" w:lineRule="auto"/>
      </w:pPr>
      <w:r>
        <w:separator/>
      </w:r>
    </w:p>
  </w:endnote>
  <w:endnote w:type="continuationSeparator" w:id="0">
    <w:p w14:paraId="11DE1A76" w14:textId="77777777" w:rsidR="0031188D" w:rsidRDefault="0031188D" w:rsidP="00311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46130"/>
      <w:docPartObj>
        <w:docPartGallery w:val="Page Numbers (Bottom of Page)"/>
        <w:docPartUnique/>
      </w:docPartObj>
    </w:sdtPr>
    <w:sdtEndPr>
      <w:rPr>
        <w:noProof/>
      </w:rPr>
    </w:sdtEndPr>
    <w:sdtContent>
      <w:p w14:paraId="4D4A0D9D" w14:textId="047AF28C" w:rsidR="0031188D" w:rsidRDefault="0031188D">
        <w:pPr>
          <w:pStyle w:val="Footer"/>
        </w:pPr>
        <w:r>
          <w:fldChar w:fldCharType="begin"/>
        </w:r>
        <w:r>
          <w:instrText xml:space="preserve"> PAGE   \* MERGEFORMAT </w:instrText>
        </w:r>
        <w:r>
          <w:fldChar w:fldCharType="separate"/>
        </w:r>
        <w:r>
          <w:rPr>
            <w:noProof/>
          </w:rPr>
          <w:t>2</w:t>
        </w:r>
        <w:r>
          <w:rPr>
            <w:noProof/>
          </w:rPr>
          <w:fldChar w:fldCharType="end"/>
        </w:r>
      </w:p>
    </w:sdtContent>
  </w:sdt>
  <w:p w14:paraId="7F1810A1" w14:textId="77777777" w:rsidR="0031188D" w:rsidRDefault="0031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1DE88" w14:textId="77777777" w:rsidR="0031188D" w:rsidRDefault="0031188D" w:rsidP="0031188D">
      <w:pPr>
        <w:spacing w:after="0" w:line="240" w:lineRule="auto"/>
      </w:pPr>
      <w:r>
        <w:separator/>
      </w:r>
    </w:p>
  </w:footnote>
  <w:footnote w:type="continuationSeparator" w:id="0">
    <w:p w14:paraId="4381A5EC" w14:textId="77777777" w:rsidR="0031188D" w:rsidRDefault="0031188D" w:rsidP="003118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2784"/>
    <w:multiLevelType w:val="hybridMultilevel"/>
    <w:tmpl w:val="35FA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2A3"/>
    <w:multiLevelType w:val="hybridMultilevel"/>
    <w:tmpl w:val="1FFC6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66BC3"/>
    <w:multiLevelType w:val="multilevel"/>
    <w:tmpl w:val="D752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150F48"/>
    <w:multiLevelType w:val="hybridMultilevel"/>
    <w:tmpl w:val="FE605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5351AF"/>
    <w:multiLevelType w:val="hybridMultilevel"/>
    <w:tmpl w:val="DD96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A3EF4"/>
    <w:multiLevelType w:val="multilevel"/>
    <w:tmpl w:val="AF0E3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3A51D2"/>
    <w:multiLevelType w:val="hybridMultilevel"/>
    <w:tmpl w:val="5B204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A5632"/>
    <w:multiLevelType w:val="hybridMultilevel"/>
    <w:tmpl w:val="F8D8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A6006F"/>
    <w:multiLevelType w:val="hybridMultilevel"/>
    <w:tmpl w:val="9BFE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924864"/>
    <w:multiLevelType w:val="multilevel"/>
    <w:tmpl w:val="E788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D70160"/>
    <w:multiLevelType w:val="hybridMultilevel"/>
    <w:tmpl w:val="26BEA1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026E8C"/>
    <w:multiLevelType w:val="multilevel"/>
    <w:tmpl w:val="7740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655541"/>
    <w:multiLevelType w:val="hybridMultilevel"/>
    <w:tmpl w:val="9EEC4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2722A"/>
    <w:multiLevelType w:val="hybridMultilevel"/>
    <w:tmpl w:val="F9FA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E036EF"/>
    <w:multiLevelType w:val="hybridMultilevel"/>
    <w:tmpl w:val="3C064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59143">
    <w:abstractNumId w:val="4"/>
  </w:num>
  <w:num w:numId="2" w16cid:durableId="2070376024">
    <w:abstractNumId w:val="12"/>
  </w:num>
  <w:num w:numId="3" w16cid:durableId="1455634516">
    <w:abstractNumId w:val="6"/>
  </w:num>
  <w:num w:numId="4" w16cid:durableId="1890340486">
    <w:abstractNumId w:val="5"/>
  </w:num>
  <w:num w:numId="5" w16cid:durableId="1926919486">
    <w:abstractNumId w:val="10"/>
  </w:num>
  <w:num w:numId="6" w16cid:durableId="1859805196">
    <w:abstractNumId w:val="0"/>
  </w:num>
  <w:num w:numId="7" w16cid:durableId="1673023753">
    <w:abstractNumId w:val="14"/>
  </w:num>
  <w:num w:numId="8" w16cid:durableId="1743484450">
    <w:abstractNumId w:val="7"/>
  </w:num>
  <w:num w:numId="9" w16cid:durableId="1320427124">
    <w:abstractNumId w:val="1"/>
  </w:num>
  <w:num w:numId="10" w16cid:durableId="1883403698">
    <w:abstractNumId w:val="13"/>
  </w:num>
  <w:num w:numId="11" w16cid:durableId="77601857">
    <w:abstractNumId w:val="3"/>
  </w:num>
  <w:num w:numId="12" w16cid:durableId="1143543340">
    <w:abstractNumId w:val="8"/>
  </w:num>
  <w:num w:numId="13" w16cid:durableId="1686057801">
    <w:abstractNumId w:val="2"/>
  </w:num>
  <w:num w:numId="14" w16cid:durableId="428549937">
    <w:abstractNumId w:val="11"/>
  </w:num>
  <w:num w:numId="15" w16cid:durableId="626089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3F"/>
    <w:rsid w:val="00001653"/>
    <w:rsid w:val="000029D0"/>
    <w:rsid w:val="0000448B"/>
    <w:rsid w:val="0000575E"/>
    <w:rsid w:val="00007139"/>
    <w:rsid w:val="00010E59"/>
    <w:rsid w:val="000127FB"/>
    <w:rsid w:val="000245F4"/>
    <w:rsid w:val="00042F72"/>
    <w:rsid w:val="000461D6"/>
    <w:rsid w:val="00047D05"/>
    <w:rsid w:val="00055D07"/>
    <w:rsid w:val="00071FA3"/>
    <w:rsid w:val="000747CE"/>
    <w:rsid w:val="00075F30"/>
    <w:rsid w:val="00077E77"/>
    <w:rsid w:val="00081121"/>
    <w:rsid w:val="00091822"/>
    <w:rsid w:val="000A0DBA"/>
    <w:rsid w:val="000A3F7B"/>
    <w:rsid w:val="000A5701"/>
    <w:rsid w:val="000A7C8D"/>
    <w:rsid w:val="000B1845"/>
    <w:rsid w:val="000B51D5"/>
    <w:rsid w:val="000B72A9"/>
    <w:rsid w:val="000C776F"/>
    <w:rsid w:val="000D4A7C"/>
    <w:rsid w:val="000D6E75"/>
    <w:rsid w:val="000E1257"/>
    <w:rsid w:val="000E19E6"/>
    <w:rsid w:val="000E6449"/>
    <w:rsid w:val="000F248A"/>
    <w:rsid w:val="000F2CC6"/>
    <w:rsid w:val="00100C2F"/>
    <w:rsid w:val="00106A4C"/>
    <w:rsid w:val="001120F2"/>
    <w:rsid w:val="00116505"/>
    <w:rsid w:val="00116E8A"/>
    <w:rsid w:val="001232CB"/>
    <w:rsid w:val="00124605"/>
    <w:rsid w:val="00125025"/>
    <w:rsid w:val="00126CA6"/>
    <w:rsid w:val="00127240"/>
    <w:rsid w:val="00132964"/>
    <w:rsid w:val="00135FE9"/>
    <w:rsid w:val="00136233"/>
    <w:rsid w:val="001427F8"/>
    <w:rsid w:val="00143660"/>
    <w:rsid w:val="00146F66"/>
    <w:rsid w:val="001521CD"/>
    <w:rsid w:val="0015387E"/>
    <w:rsid w:val="00155CA1"/>
    <w:rsid w:val="00156505"/>
    <w:rsid w:val="00160039"/>
    <w:rsid w:val="00164B5E"/>
    <w:rsid w:val="00167675"/>
    <w:rsid w:val="00170C62"/>
    <w:rsid w:val="0017257A"/>
    <w:rsid w:val="0018066D"/>
    <w:rsid w:val="00182DB3"/>
    <w:rsid w:val="0018372F"/>
    <w:rsid w:val="00184577"/>
    <w:rsid w:val="00186562"/>
    <w:rsid w:val="00196F65"/>
    <w:rsid w:val="00196F84"/>
    <w:rsid w:val="001A6737"/>
    <w:rsid w:val="001A70B8"/>
    <w:rsid w:val="001C3877"/>
    <w:rsid w:val="001C3C22"/>
    <w:rsid w:val="001C70FE"/>
    <w:rsid w:val="001D61AC"/>
    <w:rsid w:val="001D7780"/>
    <w:rsid w:val="001E14D5"/>
    <w:rsid w:val="001F0356"/>
    <w:rsid w:val="001F06DF"/>
    <w:rsid w:val="001F2340"/>
    <w:rsid w:val="001F6781"/>
    <w:rsid w:val="001F7573"/>
    <w:rsid w:val="00204896"/>
    <w:rsid w:val="0020493F"/>
    <w:rsid w:val="002053CE"/>
    <w:rsid w:val="00216B31"/>
    <w:rsid w:val="002247EA"/>
    <w:rsid w:val="00225E15"/>
    <w:rsid w:val="0023006A"/>
    <w:rsid w:val="00230989"/>
    <w:rsid w:val="00235E98"/>
    <w:rsid w:val="00240558"/>
    <w:rsid w:val="00247D2D"/>
    <w:rsid w:val="002514F6"/>
    <w:rsid w:val="002520CD"/>
    <w:rsid w:val="00256007"/>
    <w:rsid w:val="00257965"/>
    <w:rsid w:val="00261072"/>
    <w:rsid w:val="00267937"/>
    <w:rsid w:val="00274DF1"/>
    <w:rsid w:val="0027645B"/>
    <w:rsid w:val="0028144B"/>
    <w:rsid w:val="002819FC"/>
    <w:rsid w:val="00293879"/>
    <w:rsid w:val="002A3EDC"/>
    <w:rsid w:val="002A5E28"/>
    <w:rsid w:val="002A711A"/>
    <w:rsid w:val="002B1013"/>
    <w:rsid w:val="002B1648"/>
    <w:rsid w:val="002B4BD8"/>
    <w:rsid w:val="002B4D71"/>
    <w:rsid w:val="002C28C6"/>
    <w:rsid w:val="002C7734"/>
    <w:rsid w:val="002D4BE7"/>
    <w:rsid w:val="002D5A54"/>
    <w:rsid w:val="002E0B0E"/>
    <w:rsid w:val="002E0CD6"/>
    <w:rsid w:val="002E2032"/>
    <w:rsid w:val="002E3AA8"/>
    <w:rsid w:val="002E6FC7"/>
    <w:rsid w:val="002E7459"/>
    <w:rsid w:val="002F187B"/>
    <w:rsid w:val="002F1EC7"/>
    <w:rsid w:val="002F7210"/>
    <w:rsid w:val="00300B20"/>
    <w:rsid w:val="003011F5"/>
    <w:rsid w:val="0031188D"/>
    <w:rsid w:val="0031448D"/>
    <w:rsid w:val="00320E2E"/>
    <w:rsid w:val="00325DEB"/>
    <w:rsid w:val="00327970"/>
    <w:rsid w:val="00331986"/>
    <w:rsid w:val="003357F2"/>
    <w:rsid w:val="00340E85"/>
    <w:rsid w:val="003442F2"/>
    <w:rsid w:val="00345251"/>
    <w:rsid w:val="003510EC"/>
    <w:rsid w:val="003553C0"/>
    <w:rsid w:val="003601B8"/>
    <w:rsid w:val="003606C4"/>
    <w:rsid w:val="003612C4"/>
    <w:rsid w:val="00363B7F"/>
    <w:rsid w:val="003657EA"/>
    <w:rsid w:val="003707BD"/>
    <w:rsid w:val="0037149F"/>
    <w:rsid w:val="003718DA"/>
    <w:rsid w:val="00374152"/>
    <w:rsid w:val="0038221A"/>
    <w:rsid w:val="003826DE"/>
    <w:rsid w:val="003833B3"/>
    <w:rsid w:val="00383557"/>
    <w:rsid w:val="00383983"/>
    <w:rsid w:val="00386010"/>
    <w:rsid w:val="0039239E"/>
    <w:rsid w:val="00392B81"/>
    <w:rsid w:val="00396E61"/>
    <w:rsid w:val="003A7D19"/>
    <w:rsid w:val="003B6AEF"/>
    <w:rsid w:val="003B7750"/>
    <w:rsid w:val="003C3506"/>
    <w:rsid w:val="003C41EC"/>
    <w:rsid w:val="003C60E6"/>
    <w:rsid w:val="003C6185"/>
    <w:rsid w:val="003D0E3C"/>
    <w:rsid w:val="003D2CBE"/>
    <w:rsid w:val="003D34DB"/>
    <w:rsid w:val="003D3A3C"/>
    <w:rsid w:val="003D402C"/>
    <w:rsid w:val="003D40F0"/>
    <w:rsid w:val="003D44F3"/>
    <w:rsid w:val="003D4CAA"/>
    <w:rsid w:val="003D4EDD"/>
    <w:rsid w:val="003D730C"/>
    <w:rsid w:val="003E188D"/>
    <w:rsid w:val="003E3D81"/>
    <w:rsid w:val="003E611A"/>
    <w:rsid w:val="003E742A"/>
    <w:rsid w:val="003E7982"/>
    <w:rsid w:val="003F3FBA"/>
    <w:rsid w:val="003F497F"/>
    <w:rsid w:val="00403A02"/>
    <w:rsid w:val="0040546D"/>
    <w:rsid w:val="0040629F"/>
    <w:rsid w:val="00406461"/>
    <w:rsid w:val="00406536"/>
    <w:rsid w:val="004115B2"/>
    <w:rsid w:val="00411F4D"/>
    <w:rsid w:val="004138B6"/>
    <w:rsid w:val="00421331"/>
    <w:rsid w:val="00427415"/>
    <w:rsid w:val="00436837"/>
    <w:rsid w:val="004376CC"/>
    <w:rsid w:val="00437BB4"/>
    <w:rsid w:val="00440D12"/>
    <w:rsid w:val="0044394A"/>
    <w:rsid w:val="0044738F"/>
    <w:rsid w:val="00453117"/>
    <w:rsid w:val="004562EA"/>
    <w:rsid w:val="00456DC4"/>
    <w:rsid w:val="00460417"/>
    <w:rsid w:val="00462BD6"/>
    <w:rsid w:val="00463A0E"/>
    <w:rsid w:val="00463B3D"/>
    <w:rsid w:val="0046417F"/>
    <w:rsid w:val="00485C05"/>
    <w:rsid w:val="00485FCC"/>
    <w:rsid w:val="00487224"/>
    <w:rsid w:val="0049442A"/>
    <w:rsid w:val="004963CB"/>
    <w:rsid w:val="004A06F8"/>
    <w:rsid w:val="004A6FE0"/>
    <w:rsid w:val="004B047F"/>
    <w:rsid w:val="004B4CD6"/>
    <w:rsid w:val="004B4ED1"/>
    <w:rsid w:val="004B5053"/>
    <w:rsid w:val="004B5FDC"/>
    <w:rsid w:val="004B6B46"/>
    <w:rsid w:val="004B7D51"/>
    <w:rsid w:val="004D7DB3"/>
    <w:rsid w:val="004E5F98"/>
    <w:rsid w:val="004F3224"/>
    <w:rsid w:val="004F443D"/>
    <w:rsid w:val="005000DC"/>
    <w:rsid w:val="00501928"/>
    <w:rsid w:val="00502032"/>
    <w:rsid w:val="00502437"/>
    <w:rsid w:val="00503E70"/>
    <w:rsid w:val="00505C86"/>
    <w:rsid w:val="005101D3"/>
    <w:rsid w:val="00516842"/>
    <w:rsid w:val="00516DAE"/>
    <w:rsid w:val="005248BE"/>
    <w:rsid w:val="00532166"/>
    <w:rsid w:val="00535C62"/>
    <w:rsid w:val="005369E2"/>
    <w:rsid w:val="005406C7"/>
    <w:rsid w:val="0054236C"/>
    <w:rsid w:val="005520A5"/>
    <w:rsid w:val="005543A5"/>
    <w:rsid w:val="005561E4"/>
    <w:rsid w:val="005562B4"/>
    <w:rsid w:val="005630BF"/>
    <w:rsid w:val="005730AD"/>
    <w:rsid w:val="00573A12"/>
    <w:rsid w:val="005742C9"/>
    <w:rsid w:val="005804B5"/>
    <w:rsid w:val="00581BE1"/>
    <w:rsid w:val="005832E1"/>
    <w:rsid w:val="00583696"/>
    <w:rsid w:val="00586318"/>
    <w:rsid w:val="00591D45"/>
    <w:rsid w:val="00594E11"/>
    <w:rsid w:val="005A0158"/>
    <w:rsid w:val="005A2E22"/>
    <w:rsid w:val="005A447B"/>
    <w:rsid w:val="005B146C"/>
    <w:rsid w:val="005C063C"/>
    <w:rsid w:val="005C1980"/>
    <w:rsid w:val="005C316C"/>
    <w:rsid w:val="005C5E9C"/>
    <w:rsid w:val="005D1B66"/>
    <w:rsid w:val="005D6721"/>
    <w:rsid w:val="005E106F"/>
    <w:rsid w:val="005E10C8"/>
    <w:rsid w:val="005E4C15"/>
    <w:rsid w:val="005E564E"/>
    <w:rsid w:val="005F10A9"/>
    <w:rsid w:val="005F5060"/>
    <w:rsid w:val="005F725B"/>
    <w:rsid w:val="005F7A95"/>
    <w:rsid w:val="00607F78"/>
    <w:rsid w:val="0061281B"/>
    <w:rsid w:val="006135BC"/>
    <w:rsid w:val="006135F7"/>
    <w:rsid w:val="006138EB"/>
    <w:rsid w:val="00622538"/>
    <w:rsid w:val="00624126"/>
    <w:rsid w:val="0062443F"/>
    <w:rsid w:val="00635BFD"/>
    <w:rsid w:val="0064315A"/>
    <w:rsid w:val="00665274"/>
    <w:rsid w:val="006746F4"/>
    <w:rsid w:val="00675441"/>
    <w:rsid w:val="00676F0D"/>
    <w:rsid w:val="006863E2"/>
    <w:rsid w:val="00687BA2"/>
    <w:rsid w:val="00694C1B"/>
    <w:rsid w:val="00697A5C"/>
    <w:rsid w:val="006A7E55"/>
    <w:rsid w:val="006B0F52"/>
    <w:rsid w:val="006B0FE8"/>
    <w:rsid w:val="006B4166"/>
    <w:rsid w:val="006C777E"/>
    <w:rsid w:val="006D540C"/>
    <w:rsid w:val="006D6A20"/>
    <w:rsid w:val="006E1618"/>
    <w:rsid w:val="006E1C46"/>
    <w:rsid w:val="006E4583"/>
    <w:rsid w:val="006E6A92"/>
    <w:rsid w:val="006F0F85"/>
    <w:rsid w:val="006F3C5B"/>
    <w:rsid w:val="007017A5"/>
    <w:rsid w:val="007026DF"/>
    <w:rsid w:val="00704902"/>
    <w:rsid w:val="00711B99"/>
    <w:rsid w:val="00714633"/>
    <w:rsid w:val="0071607C"/>
    <w:rsid w:val="007163C9"/>
    <w:rsid w:val="00716970"/>
    <w:rsid w:val="0072048D"/>
    <w:rsid w:val="0072105E"/>
    <w:rsid w:val="00725706"/>
    <w:rsid w:val="00740078"/>
    <w:rsid w:val="00740B2F"/>
    <w:rsid w:val="00745B65"/>
    <w:rsid w:val="00746293"/>
    <w:rsid w:val="00750A1B"/>
    <w:rsid w:val="0075187B"/>
    <w:rsid w:val="00757C47"/>
    <w:rsid w:val="00760F70"/>
    <w:rsid w:val="00761006"/>
    <w:rsid w:val="00762870"/>
    <w:rsid w:val="007667AE"/>
    <w:rsid w:val="007778E4"/>
    <w:rsid w:val="00793BB9"/>
    <w:rsid w:val="007943D7"/>
    <w:rsid w:val="00796555"/>
    <w:rsid w:val="00796DBD"/>
    <w:rsid w:val="007A2E53"/>
    <w:rsid w:val="007A4E17"/>
    <w:rsid w:val="007A656D"/>
    <w:rsid w:val="007B2737"/>
    <w:rsid w:val="007B7C09"/>
    <w:rsid w:val="007C0F96"/>
    <w:rsid w:val="007C0FB9"/>
    <w:rsid w:val="007C144F"/>
    <w:rsid w:val="007E2FE7"/>
    <w:rsid w:val="007F00D1"/>
    <w:rsid w:val="007F1307"/>
    <w:rsid w:val="007F4837"/>
    <w:rsid w:val="007F6A1C"/>
    <w:rsid w:val="007F7C90"/>
    <w:rsid w:val="00801CD4"/>
    <w:rsid w:val="00805D4D"/>
    <w:rsid w:val="00806DA4"/>
    <w:rsid w:val="00820341"/>
    <w:rsid w:val="00820478"/>
    <w:rsid w:val="008212F5"/>
    <w:rsid w:val="00823850"/>
    <w:rsid w:val="00830DD0"/>
    <w:rsid w:val="00842D4A"/>
    <w:rsid w:val="0084409B"/>
    <w:rsid w:val="008522F6"/>
    <w:rsid w:val="00857B8D"/>
    <w:rsid w:val="00864D28"/>
    <w:rsid w:val="008651F6"/>
    <w:rsid w:val="00866FFD"/>
    <w:rsid w:val="00870B8A"/>
    <w:rsid w:val="00873CCA"/>
    <w:rsid w:val="00876DFE"/>
    <w:rsid w:val="00877782"/>
    <w:rsid w:val="00882D46"/>
    <w:rsid w:val="008871D0"/>
    <w:rsid w:val="00887CEA"/>
    <w:rsid w:val="008903F6"/>
    <w:rsid w:val="008947DE"/>
    <w:rsid w:val="00896411"/>
    <w:rsid w:val="00896B46"/>
    <w:rsid w:val="008B1840"/>
    <w:rsid w:val="008B1DEE"/>
    <w:rsid w:val="008B33E6"/>
    <w:rsid w:val="008B6D64"/>
    <w:rsid w:val="008C13E4"/>
    <w:rsid w:val="008C65A5"/>
    <w:rsid w:val="008D11EA"/>
    <w:rsid w:val="008D33AD"/>
    <w:rsid w:val="008D58B1"/>
    <w:rsid w:val="008D69B6"/>
    <w:rsid w:val="008F158D"/>
    <w:rsid w:val="008F3043"/>
    <w:rsid w:val="008F530E"/>
    <w:rsid w:val="008F7114"/>
    <w:rsid w:val="008F7995"/>
    <w:rsid w:val="00903EA1"/>
    <w:rsid w:val="00904D3F"/>
    <w:rsid w:val="00907E92"/>
    <w:rsid w:val="009137A2"/>
    <w:rsid w:val="00916086"/>
    <w:rsid w:val="00916591"/>
    <w:rsid w:val="00920143"/>
    <w:rsid w:val="00920939"/>
    <w:rsid w:val="009238E8"/>
    <w:rsid w:val="0092446C"/>
    <w:rsid w:val="009262F8"/>
    <w:rsid w:val="00933634"/>
    <w:rsid w:val="00937E0E"/>
    <w:rsid w:val="00942A84"/>
    <w:rsid w:val="009536BA"/>
    <w:rsid w:val="009544FC"/>
    <w:rsid w:val="00954ED3"/>
    <w:rsid w:val="00961667"/>
    <w:rsid w:val="00967A4D"/>
    <w:rsid w:val="00967D61"/>
    <w:rsid w:val="009835E5"/>
    <w:rsid w:val="00984D05"/>
    <w:rsid w:val="00986568"/>
    <w:rsid w:val="00987A59"/>
    <w:rsid w:val="009A01D2"/>
    <w:rsid w:val="009A0FEC"/>
    <w:rsid w:val="009A63FB"/>
    <w:rsid w:val="009B54FD"/>
    <w:rsid w:val="009B5AE6"/>
    <w:rsid w:val="009C6FB4"/>
    <w:rsid w:val="009D3F9C"/>
    <w:rsid w:val="009D577F"/>
    <w:rsid w:val="009D63E1"/>
    <w:rsid w:val="009E1DD6"/>
    <w:rsid w:val="009E241F"/>
    <w:rsid w:val="009E3B8B"/>
    <w:rsid w:val="009F1384"/>
    <w:rsid w:val="009F6669"/>
    <w:rsid w:val="00A03DAB"/>
    <w:rsid w:val="00A1270C"/>
    <w:rsid w:val="00A14AE7"/>
    <w:rsid w:val="00A169EB"/>
    <w:rsid w:val="00A20933"/>
    <w:rsid w:val="00A25007"/>
    <w:rsid w:val="00A2755C"/>
    <w:rsid w:val="00A311AF"/>
    <w:rsid w:val="00A3200C"/>
    <w:rsid w:val="00A36584"/>
    <w:rsid w:val="00A43459"/>
    <w:rsid w:val="00A44254"/>
    <w:rsid w:val="00A47917"/>
    <w:rsid w:val="00A50E5C"/>
    <w:rsid w:val="00A513BD"/>
    <w:rsid w:val="00A65428"/>
    <w:rsid w:val="00A6626A"/>
    <w:rsid w:val="00A664A8"/>
    <w:rsid w:val="00A67368"/>
    <w:rsid w:val="00A802A8"/>
    <w:rsid w:val="00A808BA"/>
    <w:rsid w:val="00A830B6"/>
    <w:rsid w:val="00A8694B"/>
    <w:rsid w:val="00A93BE9"/>
    <w:rsid w:val="00A94840"/>
    <w:rsid w:val="00AA20E3"/>
    <w:rsid w:val="00AB77C3"/>
    <w:rsid w:val="00AC2643"/>
    <w:rsid w:val="00AC60A6"/>
    <w:rsid w:val="00AC7050"/>
    <w:rsid w:val="00AD659A"/>
    <w:rsid w:val="00AD6DA4"/>
    <w:rsid w:val="00AE368B"/>
    <w:rsid w:val="00AE48FF"/>
    <w:rsid w:val="00AE68BB"/>
    <w:rsid w:val="00AF1CD5"/>
    <w:rsid w:val="00B0205B"/>
    <w:rsid w:val="00B061CE"/>
    <w:rsid w:val="00B12583"/>
    <w:rsid w:val="00B17D4F"/>
    <w:rsid w:val="00B24CC7"/>
    <w:rsid w:val="00B277FF"/>
    <w:rsid w:val="00B3213A"/>
    <w:rsid w:val="00B32929"/>
    <w:rsid w:val="00B33276"/>
    <w:rsid w:val="00B36F3E"/>
    <w:rsid w:val="00B41878"/>
    <w:rsid w:val="00B4212C"/>
    <w:rsid w:val="00B43AA9"/>
    <w:rsid w:val="00B50D07"/>
    <w:rsid w:val="00B56333"/>
    <w:rsid w:val="00B629DB"/>
    <w:rsid w:val="00B67F35"/>
    <w:rsid w:val="00B70957"/>
    <w:rsid w:val="00B710DE"/>
    <w:rsid w:val="00B71CA8"/>
    <w:rsid w:val="00B83DD5"/>
    <w:rsid w:val="00B87ABE"/>
    <w:rsid w:val="00B921B2"/>
    <w:rsid w:val="00B95BB2"/>
    <w:rsid w:val="00BA14D6"/>
    <w:rsid w:val="00BA29DC"/>
    <w:rsid w:val="00BA633A"/>
    <w:rsid w:val="00BB409D"/>
    <w:rsid w:val="00BC6E6E"/>
    <w:rsid w:val="00BD0807"/>
    <w:rsid w:val="00BD18E7"/>
    <w:rsid w:val="00BD2256"/>
    <w:rsid w:val="00BD5D93"/>
    <w:rsid w:val="00BD6493"/>
    <w:rsid w:val="00BE1E4E"/>
    <w:rsid w:val="00BE4F29"/>
    <w:rsid w:val="00BF2EC2"/>
    <w:rsid w:val="00BF7D3E"/>
    <w:rsid w:val="00C00035"/>
    <w:rsid w:val="00C0444D"/>
    <w:rsid w:val="00C04A00"/>
    <w:rsid w:val="00C16523"/>
    <w:rsid w:val="00C24658"/>
    <w:rsid w:val="00C2774C"/>
    <w:rsid w:val="00C31E0F"/>
    <w:rsid w:val="00C34E19"/>
    <w:rsid w:val="00C36A31"/>
    <w:rsid w:val="00C43A58"/>
    <w:rsid w:val="00C51D12"/>
    <w:rsid w:val="00C526AB"/>
    <w:rsid w:val="00C57E69"/>
    <w:rsid w:val="00C7326D"/>
    <w:rsid w:val="00C74D38"/>
    <w:rsid w:val="00C74DA1"/>
    <w:rsid w:val="00C77C36"/>
    <w:rsid w:val="00C814FA"/>
    <w:rsid w:val="00CA0260"/>
    <w:rsid w:val="00CA054F"/>
    <w:rsid w:val="00CA0A46"/>
    <w:rsid w:val="00CA1CD3"/>
    <w:rsid w:val="00CA4D40"/>
    <w:rsid w:val="00CA4E63"/>
    <w:rsid w:val="00CA77B9"/>
    <w:rsid w:val="00CB1121"/>
    <w:rsid w:val="00CB7549"/>
    <w:rsid w:val="00CC101E"/>
    <w:rsid w:val="00CC1F56"/>
    <w:rsid w:val="00CC246B"/>
    <w:rsid w:val="00CD04DB"/>
    <w:rsid w:val="00CD1256"/>
    <w:rsid w:val="00CD69D8"/>
    <w:rsid w:val="00CE00F7"/>
    <w:rsid w:val="00CE373B"/>
    <w:rsid w:val="00CE4A9E"/>
    <w:rsid w:val="00CE581C"/>
    <w:rsid w:val="00CE65ED"/>
    <w:rsid w:val="00CF08BC"/>
    <w:rsid w:val="00CF5F17"/>
    <w:rsid w:val="00D05BAA"/>
    <w:rsid w:val="00D073DF"/>
    <w:rsid w:val="00D11C02"/>
    <w:rsid w:val="00D13922"/>
    <w:rsid w:val="00D20053"/>
    <w:rsid w:val="00D23760"/>
    <w:rsid w:val="00D23ED9"/>
    <w:rsid w:val="00D24940"/>
    <w:rsid w:val="00D25834"/>
    <w:rsid w:val="00D32C2C"/>
    <w:rsid w:val="00D32FB2"/>
    <w:rsid w:val="00D35BCE"/>
    <w:rsid w:val="00D51B7F"/>
    <w:rsid w:val="00D570BA"/>
    <w:rsid w:val="00D60322"/>
    <w:rsid w:val="00D62A93"/>
    <w:rsid w:val="00D67904"/>
    <w:rsid w:val="00D7077C"/>
    <w:rsid w:val="00D72DC6"/>
    <w:rsid w:val="00D74A42"/>
    <w:rsid w:val="00D806B4"/>
    <w:rsid w:val="00D815A3"/>
    <w:rsid w:val="00D820F1"/>
    <w:rsid w:val="00D86511"/>
    <w:rsid w:val="00D87597"/>
    <w:rsid w:val="00D92798"/>
    <w:rsid w:val="00D94B49"/>
    <w:rsid w:val="00DA2680"/>
    <w:rsid w:val="00DA4531"/>
    <w:rsid w:val="00DB0A7B"/>
    <w:rsid w:val="00DB5FC1"/>
    <w:rsid w:val="00DB7CB4"/>
    <w:rsid w:val="00DC07D7"/>
    <w:rsid w:val="00DC2583"/>
    <w:rsid w:val="00DC30AD"/>
    <w:rsid w:val="00DC3543"/>
    <w:rsid w:val="00DC3D14"/>
    <w:rsid w:val="00DD0049"/>
    <w:rsid w:val="00DD0169"/>
    <w:rsid w:val="00DD0509"/>
    <w:rsid w:val="00DD61CD"/>
    <w:rsid w:val="00DE1767"/>
    <w:rsid w:val="00DE2AB1"/>
    <w:rsid w:val="00DE4498"/>
    <w:rsid w:val="00DF2A50"/>
    <w:rsid w:val="00DF4BF5"/>
    <w:rsid w:val="00E027C3"/>
    <w:rsid w:val="00E04FA8"/>
    <w:rsid w:val="00E12F61"/>
    <w:rsid w:val="00E13F3B"/>
    <w:rsid w:val="00E200B7"/>
    <w:rsid w:val="00E200BB"/>
    <w:rsid w:val="00E24873"/>
    <w:rsid w:val="00E2787F"/>
    <w:rsid w:val="00E31DCD"/>
    <w:rsid w:val="00E32286"/>
    <w:rsid w:val="00E35ED6"/>
    <w:rsid w:val="00E424BF"/>
    <w:rsid w:val="00E53000"/>
    <w:rsid w:val="00E5592D"/>
    <w:rsid w:val="00E55F64"/>
    <w:rsid w:val="00E627CC"/>
    <w:rsid w:val="00E62CCD"/>
    <w:rsid w:val="00E70C6E"/>
    <w:rsid w:val="00E71967"/>
    <w:rsid w:val="00E71BEB"/>
    <w:rsid w:val="00E77AD2"/>
    <w:rsid w:val="00E81DCC"/>
    <w:rsid w:val="00E90C88"/>
    <w:rsid w:val="00E92E3B"/>
    <w:rsid w:val="00E94E2C"/>
    <w:rsid w:val="00E96D43"/>
    <w:rsid w:val="00EA0144"/>
    <w:rsid w:val="00EA2EB4"/>
    <w:rsid w:val="00EB4785"/>
    <w:rsid w:val="00ED0201"/>
    <w:rsid w:val="00ED05BF"/>
    <w:rsid w:val="00EE1001"/>
    <w:rsid w:val="00EE55EA"/>
    <w:rsid w:val="00EE62DB"/>
    <w:rsid w:val="00EF0A7E"/>
    <w:rsid w:val="00EF116A"/>
    <w:rsid w:val="00EF2427"/>
    <w:rsid w:val="00EF53F6"/>
    <w:rsid w:val="00EF60C9"/>
    <w:rsid w:val="00F009F0"/>
    <w:rsid w:val="00F021A4"/>
    <w:rsid w:val="00F02C22"/>
    <w:rsid w:val="00F069FA"/>
    <w:rsid w:val="00F12C08"/>
    <w:rsid w:val="00F15D64"/>
    <w:rsid w:val="00F21941"/>
    <w:rsid w:val="00F25B30"/>
    <w:rsid w:val="00F32EEE"/>
    <w:rsid w:val="00F35592"/>
    <w:rsid w:val="00F35A8E"/>
    <w:rsid w:val="00F44032"/>
    <w:rsid w:val="00F456DD"/>
    <w:rsid w:val="00F45FC4"/>
    <w:rsid w:val="00F5629A"/>
    <w:rsid w:val="00F666B2"/>
    <w:rsid w:val="00F70726"/>
    <w:rsid w:val="00F73544"/>
    <w:rsid w:val="00F924EA"/>
    <w:rsid w:val="00F93A64"/>
    <w:rsid w:val="00F93DB9"/>
    <w:rsid w:val="00F95218"/>
    <w:rsid w:val="00FA4551"/>
    <w:rsid w:val="00FC1B13"/>
    <w:rsid w:val="00FC4F72"/>
    <w:rsid w:val="00FD2203"/>
    <w:rsid w:val="00FD3ADD"/>
    <w:rsid w:val="00FD43DE"/>
    <w:rsid w:val="00FD487C"/>
    <w:rsid w:val="00FD4A00"/>
    <w:rsid w:val="00FD5225"/>
    <w:rsid w:val="00FD5D6E"/>
    <w:rsid w:val="00FE06C6"/>
    <w:rsid w:val="00FE0949"/>
    <w:rsid w:val="00FE1340"/>
    <w:rsid w:val="00FE4244"/>
    <w:rsid w:val="00FE4C79"/>
    <w:rsid w:val="00FF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4C28"/>
  <w15:chartTrackingRefBased/>
  <w15:docId w15:val="{DF8F075F-5DD5-4648-A6D1-DAD61CB2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CD6"/>
    <w:pPr>
      <w:ind w:left="720"/>
      <w:contextualSpacing/>
    </w:pPr>
  </w:style>
  <w:style w:type="paragraph" w:styleId="BodyText">
    <w:name w:val="Body Text"/>
    <w:basedOn w:val="Normal"/>
    <w:link w:val="BodyTextChar"/>
    <w:uiPriority w:val="1"/>
    <w:qFormat/>
    <w:rsid w:val="003011F5"/>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3011F5"/>
    <w:rPr>
      <w:rFonts w:ascii="Arial" w:eastAsia="Arial" w:hAnsi="Arial" w:cs="Arial"/>
      <w:kern w:val="0"/>
      <w14:ligatures w14:val="none"/>
    </w:rPr>
  </w:style>
  <w:style w:type="paragraph" w:styleId="Header">
    <w:name w:val="header"/>
    <w:basedOn w:val="Normal"/>
    <w:link w:val="HeaderChar"/>
    <w:uiPriority w:val="99"/>
    <w:unhideWhenUsed/>
    <w:rsid w:val="003118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88D"/>
  </w:style>
  <w:style w:type="paragraph" w:styleId="Footer">
    <w:name w:val="footer"/>
    <w:basedOn w:val="Normal"/>
    <w:link w:val="FooterChar"/>
    <w:uiPriority w:val="99"/>
    <w:unhideWhenUsed/>
    <w:rsid w:val="003118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88D"/>
  </w:style>
  <w:style w:type="character" w:styleId="Hyperlink">
    <w:name w:val="Hyperlink"/>
    <w:basedOn w:val="DefaultParagraphFont"/>
    <w:uiPriority w:val="99"/>
    <w:unhideWhenUsed/>
    <w:rsid w:val="005832E1"/>
    <w:rPr>
      <w:color w:val="0000FF"/>
      <w:u w:val="single"/>
    </w:rPr>
  </w:style>
  <w:style w:type="character" w:styleId="FollowedHyperlink">
    <w:name w:val="FollowedHyperlink"/>
    <w:basedOn w:val="DefaultParagraphFont"/>
    <w:uiPriority w:val="99"/>
    <w:semiHidden/>
    <w:unhideWhenUsed/>
    <w:rsid w:val="009F6669"/>
    <w:rPr>
      <w:color w:val="954F72" w:themeColor="followedHyperlink"/>
      <w:u w:val="single"/>
    </w:rPr>
  </w:style>
  <w:style w:type="paragraph" w:styleId="NormalWeb">
    <w:name w:val="Normal (Web)"/>
    <w:basedOn w:val="Normal"/>
    <w:uiPriority w:val="99"/>
    <w:unhideWhenUsed/>
    <w:rsid w:val="005020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05BAA"/>
  </w:style>
  <w:style w:type="character" w:customStyle="1" w:styleId="author">
    <w:name w:val="author"/>
    <w:basedOn w:val="DefaultParagraphFont"/>
    <w:rsid w:val="00440D12"/>
  </w:style>
  <w:style w:type="character" w:customStyle="1" w:styleId="pubyear">
    <w:name w:val="pubyear"/>
    <w:basedOn w:val="DefaultParagraphFont"/>
    <w:rsid w:val="00440D12"/>
  </w:style>
  <w:style w:type="character" w:customStyle="1" w:styleId="articletitle">
    <w:name w:val="articletitle"/>
    <w:basedOn w:val="DefaultParagraphFont"/>
    <w:rsid w:val="00440D12"/>
  </w:style>
  <w:style w:type="character" w:customStyle="1" w:styleId="vol">
    <w:name w:val="vol"/>
    <w:basedOn w:val="DefaultParagraphFont"/>
    <w:rsid w:val="00440D12"/>
  </w:style>
  <w:style w:type="character" w:customStyle="1" w:styleId="pagefirst">
    <w:name w:val="pagefirst"/>
    <w:basedOn w:val="DefaultParagraphFont"/>
    <w:rsid w:val="00440D12"/>
  </w:style>
  <w:style w:type="character" w:customStyle="1" w:styleId="pagelast">
    <w:name w:val="pagelast"/>
    <w:basedOn w:val="DefaultParagraphFont"/>
    <w:rsid w:val="00440D12"/>
  </w:style>
  <w:style w:type="character" w:styleId="UnresolvedMention">
    <w:name w:val="Unresolved Mention"/>
    <w:basedOn w:val="DefaultParagraphFont"/>
    <w:uiPriority w:val="99"/>
    <w:semiHidden/>
    <w:unhideWhenUsed/>
    <w:rsid w:val="00E71967"/>
    <w:rPr>
      <w:color w:val="605E5C"/>
      <w:shd w:val="clear" w:color="auto" w:fill="E1DFDD"/>
    </w:rPr>
  </w:style>
  <w:style w:type="paragraph" w:customStyle="1" w:styleId="paragraph">
    <w:name w:val="paragraph"/>
    <w:basedOn w:val="Normal"/>
    <w:rsid w:val="001F23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F2340"/>
  </w:style>
  <w:style w:type="character" w:customStyle="1" w:styleId="scxw254498704">
    <w:name w:val="scxw254498704"/>
    <w:basedOn w:val="DefaultParagraphFont"/>
    <w:rsid w:val="001F2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19876">
      <w:bodyDiv w:val="1"/>
      <w:marLeft w:val="0"/>
      <w:marRight w:val="0"/>
      <w:marTop w:val="0"/>
      <w:marBottom w:val="0"/>
      <w:divBdr>
        <w:top w:val="none" w:sz="0" w:space="0" w:color="auto"/>
        <w:left w:val="none" w:sz="0" w:space="0" w:color="auto"/>
        <w:bottom w:val="none" w:sz="0" w:space="0" w:color="auto"/>
        <w:right w:val="none" w:sz="0" w:space="0" w:color="auto"/>
      </w:divBdr>
      <w:divsChild>
        <w:div w:id="1694841945">
          <w:marLeft w:val="0"/>
          <w:marRight w:val="0"/>
          <w:marTop w:val="0"/>
          <w:marBottom w:val="0"/>
          <w:divBdr>
            <w:top w:val="none" w:sz="0" w:space="0" w:color="auto"/>
            <w:left w:val="none" w:sz="0" w:space="0" w:color="auto"/>
            <w:bottom w:val="none" w:sz="0" w:space="0" w:color="auto"/>
            <w:right w:val="none" w:sz="0" w:space="0" w:color="auto"/>
          </w:divBdr>
        </w:div>
        <w:div w:id="1202285613">
          <w:marLeft w:val="0"/>
          <w:marRight w:val="0"/>
          <w:marTop w:val="0"/>
          <w:marBottom w:val="0"/>
          <w:divBdr>
            <w:top w:val="none" w:sz="0" w:space="0" w:color="auto"/>
            <w:left w:val="none" w:sz="0" w:space="0" w:color="auto"/>
            <w:bottom w:val="none" w:sz="0" w:space="0" w:color="auto"/>
            <w:right w:val="none" w:sz="0" w:space="0" w:color="auto"/>
          </w:divBdr>
        </w:div>
        <w:div w:id="721902754">
          <w:marLeft w:val="0"/>
          <w:marRight w:val="0"/>
          <w:marTop w:val="0"/>
          <w:marBottom w:val="0"/>
          <w:divBdr>
            <w:top w:val="none" w:sz="0" w:space="0" w:color="auto"/>
            <w:left w:val="none" w:sz="0" w:space="0" w:color="auto"/>
            <w:bottom w:val="none" w:sz="0" w:space="0" w:color="auto"/>
            <w:right w:val="none" w:sz="0" w:space="0" w:color="auto"/>
          </w:divBdr>
        </w:div>
        <w:div w:id="911503984">
          <w:marLeft w:val="0"/>
          <w:marRight w:val="0"/>
          <w:marTop w:val="0"/>
          <w:marBottom w:val="0"/>
          <w:divBdr>
            <w:top w:val="none" w:sz="0" w:space="0" w:color="auto"/>
            <w:left w:val="none" w:sz="0" w:space="0" w:color="auto"/>
            <w:bottom w:val="none" w:sz="0" w:space="0" w:color="auto"/>
            <w:right w:val="none" w:sz="0" w:space="0" w:color="auto"/>
          </w:divBdr>
        </w:div>
        <w:div w:id="1839805979">
          <w:marLeft w:val="0"/>
          <w:marRight w:val="0"/>
          <w:marTop w:val="0"/>
          <w:marBottom w:val="0"/>
          <w:divBdr>
            <w:top w:val="none" w:sz="0" w:space="0" w:color="auto"/>
            <w:left w:val="none" w:sz="0" w:space="0" w:color="auto"/>
            <w:bottom w:val="none" w:sz="0" w:space="0" w:color="auto"/>
            <w:right w:val="none" w:sz="0" w:space="0" w:color="auto"/>
          </w:divBdr>
        </w:div>
        <w:div w:id="1280331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465/amp.23.4.19" TargetMode="External"/><Relationship Id="rId18" Type="http://schemas.openxmlformats.org/officeDocument/2006/relationships/hyperlink" Target="https://www.cipd.org/uk/knowledge/factsheets/swot-analysis-factsheet/" TargetMode="External"/><Relationship Id="rId26" Type="http://schemas.openxmlformats.org/officeDocument/2006/relationships/hyperlink" Target="https://www.nytimes.com/2011/02/10/world/middleeast/10youth.html" TargetMode="External"/><Relationship Id="rId39" Type="http://schemas.openxmlformats.org/officeDocument/2006/relationships/chart" Target="charts/chart1.xml"/><Relationship Id="rId21" Type="http://schemas.openxmlformats.org/officeDocument/2006/relationships/hyperlink" Target="https://doi.org/10.1016/S0308-521X(97)00006-1" TargetMode="External"/><Relationship Id="rId34" Type="http://schemas.openxmlformats.org/officeDocument/2006/relationships/hyperlink" Target="https://changemanagementinsight.com/lewins-force-field-analysis-change-management/" TargetMode="External"/><Relationship Id="rId42" Type="http://schemas.openxmlformats.org/officeDocument/2006/relationships/chart" Target="charts/chart4.xml"/><Relationship Id="rId47" Type="http://schemas.openxmlformats.org/officeDocument/2006/relationships/hyperlink" Target="https://doi.org/10.1111/joes.12545" TargetMode="External"/><Relationship Id="rId50" Type="http://schemas.openxmlformats.org/officeDocument/2006/relationships/hyperlink" Target="https://www.gov.uk/government/statistics/the-employment-of-disabled-people-2022/employment-of-disabled-people-202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ipd.org/uk/knowledge/guides/analytics-practitioner-guide/" TargetMode="External"/><Relationship Id="rId29" Type="http://schemas.openxmlformats.org/officeDocument/2006/relationships/hyperlink" Target="https://www.ircwash.org/sites/default/files/Ramalingam-2006-Tools.pdf" TargetMode="External"/><Relationship Id="rId11" Type="http://schemas.openxmlformats.org/officeDocument/2006/relationships/hyperlink" Target="https://research.vu.nl/ws/portalfiles/portal/42141986/complete+dissertation.pdf" TargetMode="External"/><Relationship Id="rId24" Type="http://schemas.openxmlformats.org/officeDocument/2006/relationships/hyperlink" Target="https://d1wqtxts1xzle7.cloudfront.net/32320664/Kaplan_Norton_Balanced_Scorecard_-_3_articles-libre.pdf?1391518296=&amp;response-content-disposition=inline%3B+filename%3DPutting_the_Balanced_Scorecard_to_Work.pdf&amp;Expires=1701736681&amp;Signature=Hx2-a2mefRsLdOqluKKhXU5xA644-PXuzW9qlBFIw65LXuE48qpsCmg~-P7lZYEa6ycsmnGiqQdfVnVce9s6UbWGt1c4N7RyrugCmvi9Gvj5Ke8IYMOChv16SDVqGTmPcfkGaEdyDFrB7MAq7lHoU4K8CFvtqZwIq6v4aBHQ3BSTlUZKYRWTSNSFixEp9JoFmTirwAeEUYe0LZvMpI-rFP5LU2Y91oKQhI~ZS3ObztLaj-K3SEmOT9WVS8023QPXrhg~bSPaeL11UvxpbAXF~9v3qKGq4lDJdxdnfuoRajEzBZ0Wt42wKLoheH52TZ3i2im9bi6Dgcqvc3fbuciddw__&amp;Key-Pair-Id=APKAJLOHF5GGSLRBV4ZA" TargetMode="External"/><Relationship Id="rId32" Type="http://schemas.openxmlformats.org/officeDocument/2006/relationships/hyperlink" Target="https://www.researchgate.net/profile/Nick-Sciulli/publication/49283988_Benchmarking_the_First_Year_Accounting_Unit_Evidence_from_Australia/links/004635212d50db070f000000/Benchmarking-the-First-Year-Accounting-Unit-Evidence-from-Australia.pdf?_sg%5B0%5D=started_experiment_milestone&amp;origin=journalDetail&amp;_rtd=e30%3D" TargetMode="External"/><Relationship Id="rId37" Type="http://schemas.openxmlformats.org/officeDocument/2006/relationships/hyperlink" Target="https://www.proquest.com/docview/1017601887?pq-origsite=gscholar&amp;fromopenview=true" TargetMode="External"/><Relationship Id="rId40" Type="http://schemas.openxmlformats.org/officeDocument/2006/relationships/chart" Target="charts/chart2.xml"/><Relationship Id="rId45" Type="http://schemas.openxmlformats.org/officeDocument/2006/relationships/chart" Target="charts/chart7.xm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papers.ssrn.com/sol3/papers.cfm?abstract_id=3069576" TargetMode="External"/><Relationship Id="rId19" Type="http://schemas.openxmlformats.org/officeDocument/2006/relationships/hyperlink" Target="https://books.google.co.uk/books?hl=en&amp;lr=&amp;id=6xRnDAAAQBAJ&amp;oi=fnd&amp;pg=PA160&amp;dq=Dennis,+A.+and+Williams,+M.+(2003)+%E2%80%98Electronic+brainstorming%E2%80%99,+&amp;ots=-UPwliaygf&amp;sig=AUXCH8ijPxaQhDNzHsLXNS51SCo" TargetMode="External"/><Relationship Id="rId31" Type="http://schemas.openxmlformats.org/officeDocument/2006/relationships/hyperlink" Target="https://doi.org/10.1080/08853134.1996.10754060" TargetMode="External"/><Relationship Id="rId44" Type="http://schemas.openxmlformats.org/officeDocument/2006/relationships/chart" Target="charts/chart6.xm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8/02756661211206708" TargetMode="External"/><Relationship Id="rId14" Type="http://schemas.openxmlformats.org/officeDocument/2006/relationships/hyperlink" Target="https://www.cipd.org/globalassets/media/comms/the-people-profession/profession-map-pdfs/ethical-decision-making-2015-eight-perspectives-on-workplace-dilemmas_tcm29-9564.pdf" TargetMode="External"/><Relationship Id="rId22" Type="http://schemas.openxmlformats.org/officeDocument/2006/relationships/hyperlink" Target="https://doi.org/10.1002/jsc.799" TargetMode="External"/><Relationship Id="rId27" Type="http://schemas.openxmlformats.org/officeDocument/2006/relationships/hyperlink" Target="https://papers.ssrn.com/sol3/papers.cfm?abstract_id=2498939" TargetMode="External"/><Relationship Id="rId30" Type="http://schemas.openxmlformats.org/officeDocument/2006/relationships/hyperlink" Target="https://doi.org/10.5465/AMR.2006.20208679" TargetMode="External"/><Relationship Id="rId35" Type="http://schemas.openxmlformats.org/officeDocument/2006/relationships/hyperlink" Target="https://doi.org/10.1080/13594320500349961" TargetMode="External"/><Relationship Id="rId43" Type="http://schemas.openxmlformats.org/officeDocument/2006/relationships/chart" Target="charts/chart5.xml"/><Relationship Id="rId48" Type="http://schemas.openxmlformats.org/officeDocument/2006/relationships/hyperlink" Target="https://www.cipd.org/uk/knowledge/factsheets/diversity-factsheet/#Equality" TargetMode="External"/><Relationship Id="rId8" Type="http://schemas.openxmlformats.org/officeDocument/2006/relationships/hyperlink" Target="https://doi.org/10.1016/j.ssci.2018.02.033" TargetMode="External"/><Relationship Id="rId51" Type="http://schemas.openxmlformats.org/officeDocument/2006/relationships/hyperlink" Target="https://www.indeed.com/career-advice/career-development/compensation-analysis" TargetMode="External"/><Relationship Id="rId3" Type="http://schemas.openxmlformats.org/officeDocument/2006/relationships/settings" Target="settings.xml"/><Relationship Id="rId12" Type="http://schemas.openxmlformats.org/officeDocument/2006/relationships/hyperlink" Target="https://doi.org/10.3390/su12031178" TargetMode="External"/><Relationship Id="rId17" Type="http://schemas.openxmlformats.org/officeDocument/2006/relationships/hyperlink" Target="https://www.cipd.org/uk/knowledge/factsheets/evidence-based-practice-factsheet/" TargetMode="External"/><Relationship Id="rId25" Type="http://schemas.openxmlformats.org/officeDocument/2006/relationships/hyperlink" Target="https://www.ingentaconnect.com/content/hsp/jbcep/2017/00000011/00000001/art00004" TargetMode="External"/><Relationship Id="rId33" Type="http://schemas.openxmlformats.org/officeDocument/2006/relationships/hyperlink" Target="https://doi.org/10.1007/978-3-030-59194-6_13" TargetMode="External"/><Relationship Id="rId38" Type="http://schemas.openxmlformats.org/officeDocument/2006/relationships/hyperlink" Target="https://cir.nii.ac.jp/crid/1130282270829852416" TargetMode="External"/><Relationship Id="rId46" Type="http://schemas.openxmlformats.org/officeDocument/2006/relationships/hyperlink" Target="https://www.acas.org.uk/equal-pay/equal-pay-law" TargetMode="External"/><Relationship Id="rId20" Type="http://schemas.openxmlformats.org/officeDocument/2006/relationships/hyperlink" Target="https://doi.org/10.1016/S0377-2217(03)00062-6" TargetMode="External"/><Relationship Id="rId41" Type="http://schemas.openxmlformats.org/officeDocument/2006/relationships/chart" Target="charts/chart3.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learning/support-for-students/currently-studying/critical-review-writing/" TargetMode="External"/><Relationship Id="rId23" Type="http://schemas.openxmlformats.org/officeDocument/2006/relationships/hyperlink" Target="https://doi.org/10.1108/09684880110411955" TargetMode="External"/><Relationship Id="rId28" Type="http://schemas.openxmlformats.org/officeDocument/2006/relationships/hyperlink" Target="https://d1wqtxts1xzle7.cloudfront.net/38651314/evidence-based_management_-_pfeffer-libre.pdf?1441245182=&amp;response-content-disposition=inline%3B+filename%3Dcopying_or_distributing_is_copyright_inf.pdf&amp;Expires=1701732439&amp;Signature=Qc3bAedDK8GxQmqS72xzqNT5X3tOpElnUsAmH3huILkK7x~zJbyCMz9gTsJxnxJhhhwJC3Urhf3MzBsxWHmOgR2oqyUytY5TDRni64W5iIOSVLkh3G7rmCZFDyT8w-aTjlZrAfy98d5C~F2tRM3J5XeYyYBaNiY34-njSj72ZpF6nlAKnIZwWWwiexS9nou49E4voGfRkyQ7FpfeSuYBvCZ-ISCkWIeV1nsyw8RsSw7GWPwMYE7XNM7hIZPHhgGmxdt1geX2jQVmZFUkYYxpyaRNm4D8rm~xq2xLdr153cDbXt2YZRsq7HqPcPbIWszPQSP5MFYOq5n~dE8f8aZADQ__&amp;Key-Pair-Id=APKAJLOHF5GGSLRBV4ZA" TargetMode="External"/><Relationship Id="rId36" Type="http://schemas.openxmlformats.org/officeDocument/2006/relationships/hyperlink" Target="https://doi.org/10.2991/assehr.k.200207.054" TargetMode="External"/><Relationship Id="rId49" Type="http://schemas.openxmlformats.org/officeDocument/2006/relationships/hyperlink" Target="https://doi.org/10.1177/089124321773851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agcontractors-my.sharepoint.com/personal/chloe_hitchings_alungriffiths_co_uk/Documents/Desktop/CIPD%20Level%205/Evidence%20Based%20Practice%20Assignment/Data%20Worksheet%20EBP.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1.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loe.hitchings\Downloads\Worksheet%20table%202%20Evidence%20Based%20Practice%202023.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r>
              <a:rPr lang="en-GB" sz="1400"/>
              <a:t>Identifying</a:t>
            </a:r>
            <a:r>
              <a:rPr lang="en-GB" sz="1400" baseline="0"/>
              <a:t> </a:t>
            </a:r>
            <a:r>
              <a:rPr lang="en-GB" sz="1400"/>
              <a:t>gender from the Employee population</a:t>
            </a:r>
          </a:p>
        </c:rich>
      </c:tx>
      <c:overlay val="0"/>
      <c:spPr>
        <a:noFill/>
        <a:ln>
          <a:noFill/>
        </a:ln>
        <a:effectLst/>
      </c:spPr>
      <c:txPr>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A005-4F9D-81C5-6C145B717031}"/>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A005-4F9D-81C5-6C145B717031}"/>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A005-4F9D-81C5-6C145B7170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'[Data Worksheet EBP.xlsx]Sheet1'!$M$36:$M$38</c:f>
              <c:strCache>
                <c:ptCount val="3"/>
                <c:pt idx="0">
                  <c:v>Female</c:v>
                </c:pt>
                <c:pt idx="1">
                  <c:v>Male</c:v>
                </c:pt>
                <c:pt idx="2">
                  <c:v>Non-Binary</c:v>
                </c:pt>
              </c:strCache>
            </c:strRef>
          </c:cat>
          <c:val>
            <c:numRef>
              <c:f>'[Data Worksheet EBP.xlsx]Sheet1'!$N$36:$N$38</c:f>
              <c:numCache>
                <c:formatCode>General</c:formatCode>
                <c:ptCount val="3"/>
                <c:pt idx="0">
                  <c:v>118</c:v>
                </c:pt>
                <c:pt idx="1">
                  <c:v>140</c:v>
                </c:pt>
                <c:pt idx="2">
                  <c:v>2</c:v>
                </c:pt>
              </c:numCache>
            </c:numRef>
          </c:val>
          <c:extLst>
            <c:ext xmlns:c16="http://schemas.microsoft.com/office/drawing/2014/chart" uri="{C3380CC4-5D6E-409C-BE32-E72D297353CC}">
              <c16:uniqueId val="{00000006-A005-4F9D-81C5-6C145B71703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Worksheet EBP.xlsx]Sheet1!PivotTable1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Percentage Across Departments</a:t>
            </a:r>
            <a:endParaRPr lang="en-GB"/>
          </a:p>
        </c:rich>
      </c:tx>
      <c:layout>
        <c:manualLayout>
          <c:xMode val="edge"/>
          <c:yMode val="edge"/>
          <c:x val="0.34294750862348017"/>
          <c:y val="1.91723917558715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dLbl>
          <c:idx val="0"/>
          <c:showLegendKey val="0"/>
          <c:showVal val="0"/>
          <c:showCatName val="0"/>
          <c:showSerName val="0"/>
          <c:showPercent val="0"/>
          <c:showBubbleSize val="0"/>
          <c:extLst>
            <c:ext xmlns:c15="http://schemas.microsoft.com/office/drawing/2012/chart" uri="{CE6537A1-D6FC-4f65-9D91-7224C49458BB}"/>
          </c:extLst>
        </c:dLbl>
      </c:pivotFmt>
      <c:pivotFmt>
        <c:idx val="21"/>
        <c:dLbl>
          <c:idx val="0"/>
          <c:showLegendKey val="0"/>
          <c:showVal val="0"/>
          <c:showCatName val="0"/>
          <c:showSerName val="0"/>
          <c:showPercent val="0"/>
          <c:showBubbleSize val="0"/>
          <c:extLst>
            <c:ext xmlns:c15="http://schemas.microsoft.com/office/drawing/2012/chart" uri="{CE6537A1-D6FC-4f65-9D91-7224C49458BB}"/>
          </c:extLst>
        </c:dLbl>
      </c:pivotFmt>
      <c:pivotFmt>
        <c:idx val="22"/>
        <c:dLbl>
          <c:idx val="0"/>
          <c:showLegendKey val="0"/>
          <c:showVal val="0"/>
          <c:showCatName val="0"/>
          <c:showSerName val="0"/>
          <c:showPercent val="0"/>
          <c:showBubbleSize val="0"/>
          <c:extLst>
            <c:ext xmlns:c15="http://schemas.microsoft.com/office/drawing/2012/chart" uri="{CE6537A1-D6FC-4f65-9D91-7224C49458BB}"/>
          </c:extLst>
        </c:dLbl>
      </c:pivotFmt>
      <c:pivotFmt>
        <c:idx val="23"/>
        <c:dLbl>
          <c:idx val="0"/>
          <c:showLegendKey val="0"/>
          <c:showVal val="0"/>
          <c:showCatName val="0"/>
          <c:showSerName val="0"/>
          <c:showPercent val="0"/>
          <c:showBubbleSize val="0"/>
          <c:extLst>
            <c:ext xmlns:c15="http://schemas.microsoft.com/office/drawing/2012/chart" uri="{CE6537A1-D6FC-4f65-9D91-7224C49458BB}"/>
          </c:extLst>
        </c:dLbl>
      </c:pivotFmt>
      <c:pivotFmt>
        <c:idx val="24"/>
        <c:dLbl>
          <c:idx val="0"/>
          <c:showLegendKey val="0"/>
          <c:showVal val="0"/>
          <c:showCatName val="0"/>
          <c:showSerName val="0"/>
          <c:showPercent val="0"/>
          <c:showBubbleSize val="0"/>
          <c:extLst>
            <c:ext xmlns:c15="http://schemas.microsoft.com/office/drawing/2012/chart" uri="{CE6537A1-D6FC-4f65-9D91-7224C49458BB}"/>
          </c:extLst>
        </c:dLbl>
      </c:pivotFmt>
      <c:pivotFmt>
        <c:idx val="25"/>
        <c:dLbl>
          <c:idx val="0"/>
          <c:showLegendKey val="0"/>
          <c:showVal val="0"/>
          <c:showCatName val="0"/>
          <c:showSerName val="0"/>
          <c:showPercent val="0"/>
          <c:showBubbleSize val="0"/>
          <c:extLst>
            <c:ext xmlns:c15="http://schemas.microsoft.com/office/drawing/2012/chart" uri="{CE6537A1-D6FC-4f65-9D91-7224C49458BB}"/>
          </c:extLst>
        </c:dLbl>
      </c:pivotFmt>
      <c:pivotFmt>
        <c:idx val="26"/>
        <c:dLbl>
          <c:idx val="0"/>
          <c:showLegendKey val="0"/>
          <c:showVal val="0"/>
          <c:showCatName val="0"/>
          <c:showSerName val="0"/>
          <c:showPercent val="0"/>
          <c:showBubbleSize val="0"/>
          <c:extLst>
            <c:ext xmlns:c15="http://schemas.microsoft.com/office/drawing/2012/chart" uri="{CE6537A1-D6FC-4f65-9D91-7224C49458BB}"/>
          </c:extLst>
        </c:dLbl>
      </c:pivotFmt>
      <c:pivotFmt>
        <c:idx val="27"/>
        <c:dLbl>
          <c:idx val="0"/>
          <c:showLegendKey val="0"/>
          <c:showVal val="0"/>
          <c:showCatName val="0"/>
          <c:showSerName val="0"/>
          <c:showPercent val="0"/>
          <c:showBubbleSize val="0"/>
          <c:extLst>
            <c:ext xmlns:c15="http://schemas.microsoft.com/office/drawing/2012/chart" uri="{CE6537A1-D6FC-4f65-9D91-7224C49458BB}"/>
          </c:extLst>
        </c:dLbl>
      </c:pivotFmt>
      <c:pivotFmt>
        <c:idx val="28"/>
        <c:dLbl>
          <c:idx val="0"/>
          <c:showLegendKey val="0"/>
          <c:showVal val="0"/>
          <c:showCatName val="0"/>
          <c:showSerName val="0"/>
          <c:showPercent val="0"/>
          <c:showBubbleSize val="0"/>
          <c:extLst>
            <c:ext xmlns:c15="http://schemas.microsoft.com/office/drawing/2012/chart" uri="{CE6537A1-D6FC-4f65-9D91-7224C49458BB}"/>
          </c:extLst>
        </c:dLbl>
      </c:pivotFmt>
      <c:pivotFmt>
        <c:idx val="29"/>
        <c:dLbl>
          <c:idx val="0"/>
          <c:showLegendKey val="0"/>
          <c:showVal val="0"/>
          <c:showCatName val="0"/>
          <c:showSerName val="0"/>
          <c:showPercent val="0"/>
          <c:showBubbleSize val="0"/>
          <c:extLst>
            <c:ext xmlns:c15="http://schemas.microsoft.com/office/drawing/2012/chart" uri="{CE6537A1-D6FC-4f65-9D91-7224C49458BB}"/>
          </c:extLst>
        </c:dLbl>
      </c:pivotFmt>
      <c:pivotFmt>
        <c:idx val="30"/>
        <c:dLbl>
          <c:idx val="0"/>
          <c:showLegendKey val="0"/>
          <c:showVal val="0"/>
          <c:showCatName val="0"/>
          <c:showSerName val="0"/>
          <c:showPercent val="0"/>
          <c:showBubbleSize val="0"/>
          <c:extLst>
            <c:ext xmlns:c15="http://schemas.microsoft.com/office/drawing/2012/chart" uri="{CE6537A1-D6FC-4f65-9D91-7224C49458BB}"/>
          </c:extLst>
        </c:dLbl>
      </c:pivotFmt>
      <c:pivotFmt>
        <c:idx val="31"/>
        <c:dLbl>
          <c:idx val="0"/>
          <c:showLegendKey val="0"/>
          <c:showVal val="0"/>
          <c:showCatName val="0"/>
          <c:showSerName val="0"/>
          <c:showPercent val="0"/>
          <c:showBubbleSize val="0"/>
          <c:extLst>
            <c:ext xmlns:c15="http://schemas.microsoft.com/office/drawing/2012/chart" uri="{CE6537A1-D6FC-4f65-9D91-7224C49458BB}"/>
          </c:extLst>
        </c:dLbl>
      </c:pivotFmt>
      <c:pivotFmt>
        <c:idx val="32"/>
        <c:dLbl>
          <c:idx val="0"/>
          <c:showLegendKey val="0"/>
          <c:showVal val="0"/>
          <c:showCatName val="0"/>
          <c:showSerName val="0"/>
          <c:showPercent val="0"/>
          <c:showBubbleSize val="0"/>
          <c:extLst>
            <c:ext xmlns:c15="http://schemas.microsoft.com/office/drawing/2012/chart" uri="{CE6537A1-D6FC-4f65-9D91-7224C49458BB}"/>
          </c:extLst>
        </c:dLbl>
      </c:pivotFmt>
      <c:pivotFmt>
        <c:idx val="33"/>
        <c:dLbl>
          <c:idx val="0"/>
          <c:showLegendKey val="0"/>
          <c:showVal val="0"/>
          <c:showCatName val="0"/>
          <c:showSerName val="0"/>
          <c:showPercent val="0"/>
          <c:showBubbleSize val="0"/>
          <c:extLst>
            <c:ext xmlns:c15="http://schemas.microsoft.com/office/drawing/2012/chart" uri="{CE6537A1-D6FC-4f65-9D91-7224C49458BB}"/>
          </c:extLst>
        </c:dLbl>
      </c:pivotFmt>
      <c:pivotFmt>
        <c:idx val="34"/>
        <c:dLbl>
          <c:idx val="0"/>
          <c:showLegendKey val="0"/>
          <c:showVal val="0"/>
          <c:showCatName val="0"/>
          <c:showSerName val="0"/>
          <c:showPercent val="0"/>
          <c:showBubbleSize val="0"/>
          <c:extLst>
            <c:ext xmlns:c15="http://schemas.microsoft.com/office/drawing/2012/chart" uri="{CE6537A1-D6FC-4f65-9D91-7224C49458BB}"/>
          </c:extLst>
        </c:dLbl>
      </c:pivotFmt>
      <c:pivotFmt>
        <c:idx val="35"/>
        <c:dLbl>
          <c:idx val="0"/>
          <c:showLegendKey val="0"/>
          <c:showVal val="0"/>
          <c:showCatName val="0"/>
          <c:showSerName val="0"/>
          <c:showPercent val="0"/>
          <c:showBubbleSize val="0"/>
          <c:extLst>
            <c:ext xmlns:c15="http://schemas.microsoft.com/office/drawing/2012/chart" uri="{CE6537A1-D6FC-4f65-9D91-7224C49458BB}"/>
          </c:extLst>
        </c:dLbl>
      </c:pivotFmt>
      <c:pivotFmt>
        <c:idx val="36"/>
        <c:dLbl>
          <c:idx val="0"/>
          <c:showLegendKey val="0"/>
          <c:showVal val="0"/>
          <c:showCatName val="0"/>
          <c:showSerName val="0"/>
          <c:showPercent val="0"/>
          <c:showBubbleSize val="0"/>
          <c:extLst>
            <c:ext xmlns:c15="http://schemas.microsoft.com/office/drawing/2012/chart" uri="{CE6537A1-D6FC-4f65-9D91-7224C49458BB}"/>
          </c:extLst>
        </c:dLbl>
      </c:pivotFmt>
      <c:pivotFmt>
        <c:idx val="37"/>
        <c:dLbl>
          <c:idx val="0"/>
          <c:showLegendKey val="0"/>
          <c:showVal val="0"/>
          <c:showCatName val="0"/>
          <c:showSerName val="0"/>
          <c:showPercent val="0"/>
          <c:showBubbleSize val="0"/>
          <c:extLst>
            <c:ext xmlns:c15="http://schemas.microsoft.com/office/drawing/2012/chart" uri="{CE6537A1-D6FC-4f65-9D91-7224C49458BB}"/>
          </c:extLst>
        </c:dLbl>
      </c:pivotFmt>
      <c:pivotFmt>
        <c:idx val="38"/>
        <c:dLbl>
          <c:idx val="0"/>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a:noFill/>
          </a:ln>
          <a:effectLst/>
          <a:sp3d/>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252476136969661"/>
          <c:y val="0.12318166722019262"/>
          <c:w val="0.86937504099564522"/>
          <c:h val="0.40289332813803458"/>
        </c:manualLayout>
      </c:layout>
      <c:bar3DChart>
        <c:barDir val="col"/>
        <c:grouping val="percentStacked"/>
        <c:varyColors val="0"/>
        <c:ser>
          <c:idx val="0"/>
          <c:order val="0"/>
          <c:tx>
            <c:strRef>
              <c:f>Sheet1!$N$65:$N$66</c:f>
              <c:strCache>
                <c:ptCount val="1"/>
                <c:pt idx="0">
                  <c:v>Asian - Bangladesh</c:v>
                </c:pt>
              </c:strCache>
            </c:strRef>
          </c:tx>
          <c:spPr>
            <a:solidFill>
              <a:schemeClr val="accent1"/>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Sheet1!$N$67:$N$85</c:f>
              <c:numCache>
                <c:formatCode>0%</c:formatCode>
                <c:ptCount val="18"/>
                <c:pt idx="0">
                  <c:v>0</c:v>
                </c:pt>
                <c:pt idx="1">
                  <c:v>0</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045E-4BBA-97C2-599621DBAE93}"/>
            </c:ext>
          </c:extLst>
        </c:ser>
        <c:ser>
          <c:idx val="1"/>
          <c:order val="1"/>
          <c:tx>
            <c:strRef>
              <c:f>Sheet1!$O$65:$O$66</c:f>
              <c:strCache>
                <c:ptCount val="1"/>
                <c:pt idx="0">
                  <c:v>Black - Other</c:v>
                </c:pt>
              </c:strCache>
            </c:strRef>
          </c:tx>
          <c:spPr>
            <a:solidFill>
              <a:schemeClr val="accent2"/>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Sheet1!$O$67:$O$85</c:f>
              <c:numCache>
                <c:formatCode>0%</c:formatCode>
                <c:ptCount val="18"/>
                <c:pt idx="0">
                  <c:v>0</c:v>
                </c:pt>
                <c:pt idx="1">
                  <c:v>0</c:v>
                </c:pt>
                <c:pt idx="2">
                  <c:v>0</c:v>
                </c:pt>
                <c:pt idx="3">
                  <c:v>0</c:v>
                </c:pt>
                <c:pt idx="4">
                  <c:v>0</c:v>
                </c:pt>
                <c:pt idx="5">
                  <c:v>3.8461538461538464E-3</c:v>
                </c:pt>
                <c:pt idx="6">
                  <c:v>0</c:v>
                </c:pt>
                <c:pt idx="7">
                  <c:v>0</c:v>
                </c:pt>
                <c:pt idx="8">
                  <c:v>0</c:v>
                </c:pt>
                <c:pt idx="9">
                  <c:v>0</c:v>
                </c:pt>
                <c:pt idx="10">
                  <c:v>3.8461538461538464E-3</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045E-4BBA-97C2-599621DBAE93}"/>
            </c:ext>
          </c:extLst>
        </c:ser>
        <c:ser>
          <c:idx val="2"/>
          <c:order val="2"/>
          <c:tx>
            <c:strRef>
              <c:f>Sheet1!$P$65:$P$66</c:f>
              <c:strCache>
                <c:ptCount val="1"/>
                <c:pt idx="0">
                  <c:v>Chinese</c:v>
                </c:pt>
              </c:strCache>
            </c:strRef>
          </c:tx>
          <c:spPr>
            <a:solidFill>
              <a:schemeClr val="accent3"/>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Sheet1!$P$67:$P$85</c:f>
              <c:numCache>
                <c:formatCode>0%</c:formatCode>
                <c:ptCount val="18"/>
                <c:pt idx="0">
                  <c:v>0</c:v>
                </c:pt>
                <c:pt idx="1">
                  <c:v>0</c:v>
                </c:pt>
                <c:pt idx="2">
                  <c:v>3.8461538461538464E-3</c:v>
                </c:pt>
                <c:pt idx="3">
                  <c:v>0</c:v>
                </c:pt>
                <c:pt idx="4">
                  <c:v>0</c:v>
                </c:pt>
                <c:pt idx="5">
                  <c:v>0</c:v>
                </c:pt>
                <c:pt idx="6">
                  <c:v>0</c:v>
                </c:pt>
                <c:pt idx="7">
                  <c:v>0</c:v>
                </c:pt>
                <c:pt idx="8">
                  <c:v>0</c:v>
                </c:pt>
                <c:pt idx="9">
                  <c:v>0</c:v>
                </c:pt>
                <c:pt idx="10">
                  <c:v>0</c:v>
                </c:pt>
                <c:pt idx="11">
                  <c:v>0</c:v>
                </c:pt>
                <c:pt idx="12">
                  <c:v>0</c:v>
                </c:pt>
                <c:pt idx="13">
                  <c:v>3.8461538461538464E-3</c:v>
                </c:pt>
                <c:pt idx="14">
                  <c:v>0</c:v>
                </c:pt>
                <c:pt idx="15">
                  <c:v>0</c:v>
                </c:pt>
                <c:pt idx="16">
                  <c:v>0</c:v>
                </c:pt>
                <c:pt idx="17">
                  <c:v>0</c:v>
                </c:pt>
              </c:numCache>
            </c:numRef>
          </c:val>
          <c:extLst>
            <c:ext xmlns:c16="http://schemas.microsoft.com/office/drawing/2014/chart" uri="{C3380CC4-5D6E-409C-BE32-E72D297353CC}">
              <c16:uniqueId val="{00000002-045E-4BBA-97C2-599621DBAE93}"/>
            </c:ext>
          </c:extLst>
        </c:ser>
        <c:ser>
          <c:idx val="3"/>
          <c:order val="3"/>
          <c:tx>
            <c:strRef>
              <c:f>Sheet1!$Q$65:$Q$66</c:f>
              <c:strCache>
                <c:ptCount val="1"/>
                <c:pt idx="0">
                  <c:v>Indian</c:v>
                </c:pt>
              </c:strCache>
            </c:strRef>
          </c:tx>
          <c:spPr>
            <a:solidFill>
              <a:schemeClr val="accent4"/>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Sheet1!$Q$67:$Q$85</c:f>
              <c:numCache>
                <c:formatCode>0%</c:formatCode>
                <c:ptCount val="18"/>
                <c:pt idx="0">
                  <c:v>0</c:v>
                </c:pt>
                <c:pt idx="1">
                  <c:v>3.8461538461538464E-3</c:v>
                </c:pt>
                <c:pt idx="2">
                  <c:v>0</c:v>
                </c:pt>
                <c:pt idx="3">
                  <c:v>3.8461538461538464E-3</c:v>
                </c:pt>
                <c:pt idx="4">
                  <c:v>0</c:v>
                </c:pt>
                <c:pt idx="5">
                  <c:v>3.8461538461538464E-3</c:v>
                </c:pt>
                <c:pt idx="6">
                  <c:v>3.8461538461538464E-3</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045E-4BBA-97C2-599621DBAE93}"/>
            </c:ext>
          </c:extLst>
        </c:ser>
        <c:ser>
          <c:idx val="4"/>
          <c:order val="4"/>
          <c:tx>
            <c:strRef>
              <c:f>Sheet1!$R$65:$R$66</c:f>
              <c:strCache>
                <c:ptCount val="1"/>
                <c:pt idx="0">
                  <c:v>Mixed - Other</c:v>
                </c:pt>
              </c:strCache>
            </c:strRef>
          </c:tx>
          <c:spPr>
            <a:solidFill>
              <a:schemeClr val="accent5"/>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Sheet1!$R$67:$R$85</c:f>
              <c:numCache>
                <c:formatCode>0%</c:formatCode>
                <c:ptCount val="18"/>
                <c:pt idx="0">
                  <c:v>0</c:v>
                </c:pt>
                <c:pt idx="1">
                  <c:v>3.8461538461538464E-3</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045E-4BBA-97C2-599621DBAE93}"/>
            </c:ext>
          </c:extLst>
        </c:ser>
        <c:ser>
          <c:idx val="5"/>
          <c:order val="5"/>
          <c:tx>
            <c:strRef>
              <c:f>Sheet1!$S$65:$S$66</c:f>
              <c:strCache>
                <c:ptCount val="1"/>
                <c:pt idx="0">
                  <c:v>Pakistani</c:v>
                </c:pt>
              </c:strCache>
            </c:strRef>
          </c:tx>
          <c:spPr>
            <a:solidFill>
              <a:schemeClr val="accent6"/>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Sheet1!$S$67:$S$85</c:f>
              <c:numCache>
                <c:formatCode>0%</c:formatCode>
                <c:ptCount val="18"/>
                <c:pt idx="0">
                  <c:v>0</c:v>
                </c:pt>
                <c:pt idx="1">
                  <c:v>0</c:v>
                </c:pt>
                <c:pt idx="2">
                  <c:v>7.6923076923076927E-3</c:v>
                </c:pt>
                <c:pt idx="3">
                  <c:v>0</c:v>
                </c:pt>
                <c:pt idx="4">
                  <c:v>0</c:v>
                </c:pt>
                <c:pt idx="5">
                  <c:v>0</c:v>
                </c:pt>
                <c:pt idx="6">
                  <c:v>0</c:v>
                </c:pt>
                <c:pt idx="7">
                  <c:v>0</c:v>
                </c:pt>
                <c:pt idx="8">
                  <c:v>0</c:v>
                </c:pt>
                <c:pt idx="9">
                  <c:v>0</c:v>
                </c:pt>
                <c:pt idx="10">
                  <c:v>0</c:v>
                </c:pt>
                <c:pt idx="11">
                  <c:v>0</c:v>
                </c:pt>
                <c:pt idx="12">
                  <c:v>0</c:v>
                </c:pt>
                <c:pt idx="13">
                  <c:v>0</c:v>
                </c:pt>
                <c:pt idx="14">
                  <c:v>3.8461538461538464E-3</c:v>
                </c:pt>
                <c:pt idx="15">
                  <c:v>0</c:v>
                </c:pt>
                <c:pt idx="16">
                  <c:v>0</c:v>
                </c:pt>
                <c:pt idx="17">
                  <c:v>0</c:v>
                </c:pt>
              </c:numCache>
            </c:numRef>
          </c:val>
          <c:extLst>
            <c:ext xmlns:c16="http://schemas.microsoft.com/office/drawing/2014/chart" uri="{C3380CC4-5D6E-409C-BE32-E72D297353CC}">
              <c16:uniqueId val="{00000005-045E-4BBA-97C2-599621DBAE93}"/>
            </c:ext>
          </c:extLst>
        </c:ser>
        <c:ser>
          <c:idx val="6"/>
          <c:order val="6"/>
          <c:tx>
            <c:strRef>
              <c:f>Sheet1!$T$65:$T$66</c:f>
              <c:strCache>
                <c:ptCount val="1"/>
                <c:pt idx="0">
                  <c:v>White and Black Caribbean</c:v>
                </c:pt>
              </c:strCache>
            </c:strRef>
          </c:tx>
          <c:spPr>
            <a:solidFill>
              <a:schemeClr val="accent1">
                <a:lumMod val="60000"/>
              </a:schemeClr>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Sheet1!$T$67:$T$85</c:f>
              <c:numCache>
                <c:formatCode>0%</c:formatCode>
                <c:ptCount val="18"/>
                <c:pt idx="0">
                  <c:v>0</c:v>
                </c:pt>
                <c:pt idx="1">
                  <c:v>3.8461538461538464E-3</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3.8461538461538464E-3</c:v>
                </c:pt>
                <c:pt idx="17">
                  <c:v>0</c:v>
                </c:pt>
              </c:numCache>
            </c:numRef>
          </c:val>
          <c:extLst>
            <c:ext xmlns:c16="http://schemas.microsoft.com/office/drawing/2014/chart" uri="{C3380CC4-5D6E-409C-BE32-E72D297353CC}">
              <c16:uniqueId val="{00000006-045E-4BBA-97C2-599621DBAE93}"/>
            </c:ext>
          </c:extLst>
        </c:ser>
        <c:ser>
          <c:idx val="7"/>
          <c:order val="7"/>
          <c:tx>
            <c:strRef>
              <c:f>Sheet1!$U$65:$U$66</c:f>
              <c:strCache>
                <c:ptCount val="1"/>
                <c:pt idx="0">
                  <c:v>White British</c:v>
                </c:pt>
              </c:strCache>
            </c:strRef>
          </c:tx>
          <c:spPr>
            <a:solidFill>
              <a:schemeClr val="accent2">
                <a:lumMod val="60000"/>
              </a:schemeClr>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Sheet1!$U$67:$U$85</c:f>
              <c:numCache>
                <c:formatCode>0%</c:formatCode>
                <c:ptCount val="18"/>
                <c:pt idx="0">
                  <c:v>2.6923076923076925E-2</c:v>
                </c:pt>
                <c:pt idx="1">
                  <c:v>1.5384615384615385E-2</c:v>
                </c:pt>
                <c:pt idx="2">
                  <c:v>4.6153846153846156E-2</c:v>
                </c:pt>
                <c:pt idx="3">
                  <c:v>1.5384615384615385E-2</c:v>
                </c:pt>
                <c:pt idx="4">
                  <c:v>7.6923076923076927E-3</c:v>
                </c:pt>
                <c:pt idx="5">
                  <c:v>3.0769230769230771E-2</c:v>
                </c:pt>
                <c:pt idx="6">
                  <c:v>7.6923076923076927E-3</c:v>
                </c:pt>
                <c:pt idx="7">
                  <c:v>4.230769230769231E-2</c:v>
                </c:pt>
                <c:pt idx="8">
                  <c:v>6.1538461538461542E-2</c:v>
                </c:pt>
                <c:pt idx="9">
                  <c:v>6.5384615384615388E-2</c:v>
                </c:pt>
                <c:pt idx="10">
                  <c:v>3.0769230769230771E-2</c:v>
                </c:pt>
                <c:pt idx="11">
                  <c:v>3.8461538461538464E-2</c:v>
                </c:pt>
                <c:pt idx="12">
                  <c:v>1.5384615384615385E-2</c:v>
                </c:pt>
                <c:pt idx="13">
                  <c:v>3.8461538461538464E-2</c:v>
                </c:pt>
                <c:pt idx="14">
                  <c:v>0.37692307692307692</c:v>
                </c:pt>
                <c:pt idx="15">
                  <c:v>1.9230769230769232E-2</c:v>
                </c:pt>
                <c:pt idx="16">
                  <c:v>3.8461538461538464E-2</c:v>
                </c:pt>
                <c:pt idx="17">
                  <c:v>3.4615384615384617E-2</c:v>
                </c:pt>
              </c:numCache>
            </c:numRef>
          </c:val>
          <c:extLst>
            <c:ext xmlns:c16="http://schemas.microsoft.com/office/drawing/2014/chart" uri="{C3380CC4-5D6E-409C-BE32-E72D297353CC}">
              <c16:uniqueId val="{00000007-045E-4BBA-97C2-599621DBAE93}"/>
            </c:ext>
          </c:extLst>
        </c:ser>
        <c:ser>
          <c:idx val="8"/>
          <c:order val="8"/>
          <c:tx>
            <c:strRef>
              <c:f>Sheet1!$V$65:$V$66</c:f>
              <c:strCache>
                <c:ptCount val="1"/>
                <c:pt idx="0">
                  <c:v>White Irish</c:v>
                </c:pt>
              </c:strCache>
            </c:strRef>
          </c:tx>
          <c:spPr>
            <a:solidFill>
              <a:schemeClr val="accent3">
                <a:lumMod val="60000"/>
              </a:schemeClr>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Sheet1!$V$67:$V$85</c:f>
              <c:numCache>
                <c:formatCode>0%</c:formatCode>
                <c:ptCount val="18"/>
                <c:pt idx="0">
                  <c:v>3.8461538461538464E-3</c:v>
                </c:pt>
                <c:pt idx="1">
                  <c:v>0</c:v>
                </c:pt>
                <c:pt idx="2">
                  <c:v>0</c:v>
                </c:pt>
                <c:pt idx="3">
                  <c:v>0</c:v>
                </c:pt>
                <c:pt idx="4">
                  <c:v>0</c:v>
                </c:pt>
                <c:pt idx="5">
                  <c:v>0</c:v>
                </c:pt>
                <c:pt idx="6">
                  <c:v>0</c:v>
                </c:pt>
                <c:pt idx="7">
                  <c:v>0</c:v>
                </c:pt>
                <c:pt idx="8">
                  <c:v>0</c:v>
                </c:pt>
                <c:pt idx="9">
                  <c:v>3.8461538461538464E-3</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045E-4BBA-97C2-599621DBAE93}"/>
            </c:ext>
          </c:extLst>
        </c:ser>
        <c:ser>
          <c:idx val="9"/>
          <c:order val="9"/>
          <c:tx>
            <c:strRef>
              <c:f>Sheet1!$W$65:$W$66</c:f>
              <c:strCache>
                <c:ptCount val="1"/>
                <c:pt idx="0">
                  <c:v>White Other</c:v>
                </c:pt>
              </c:strCache>
            </c:strRef>
          </c:tx>
          <c:spPr>
            <a:solidFill>
              <a:schemeClr val="accent4">
                <a:lumMod val="60000"/>
              </a:schemeClr>
            </a:solidFill>
            <a:ln>
              <a:noFill/>
            </a:ln>
            <a:effectLst/>
            <a:sp3d/>
          </c:spPr>
          <c:invertIfNegative val="0"/>
          <c:cat>
            <c:strRef>
              <c:f>Sheet1!$M$67:$M$85</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Sheet1!$W$67:$W$85</c:f>
              <c:numCache>
                <c:formatCode>0%</c:formatCode>
                <c:ptCount val="18"/>
                <c:pt idx="0">
                  <c:v>3.8461538461538464E-3</c:v>
                </c:pt>
                <c:pt idx="1">
                  <c:v>0</c:v>
                </c:pt>
                <c:pt idx="2">
                  <c:v>0</c:v>
                </c:pt>
                <c:pt idx="3">
                  <c:v>0</c:v>
                </c:pt>
                <c:pt idx="4">
                  <c:v>0</c:v>
                </c:pt>
                <c:pt idx="5">
                  <c:v>0</c:v>
                </c:pt>
                <c:pt idx="6">
                  <c:v>0</c:v>
                </c:pt>
                <c:pt idx="7">
                  <c:v>3.8461538461538464E-3</c:v>
                </c:pt>
                <c:pt idx="8">
                  <c:v>0</c:v>
                </c:pt>
                <c:pt idx="9">
                  <c:v>3.8461538461538464E-3</c:v>
                </c:pt>
                <c:pt idx="10">
                  <c:v>0</c:v>
                </c:pt>
                <c:pt idx="11">
                  <c:v>0</c:v>
                </c:pt>
                <c:pt idx="12">
                  <c:v>0</c:v>
                </c:pt>
                <c:pt idx="13">
                  <c:v>0</c:v>
                </c:pt>
                <c:pt idx="14">
                  <c:v>0</c:v>
                </c:pt>
                <c:pt idx="15">
                  <c:v>0</c:v>
                </c:pt>
                <c:pt idx="16">
                  <c:v>0</c:v>
                </c:pt>
                <c:pt idx="17">
                  <c:v>7.6923076923076927E-3</c:v>
                </c:pt>
              </c:numCache>
            </c:numRef>
          </c:val>
          <c:extLst>
            <c:ext xmlns:c16="http://schemas.microsoft.com/office/drawing/2014/chart" uri="{C3380CC4-5D6E-409C-BE32-E72D297353CC}">
              <c16:uniqueId val="{00000009-045E-4BBA-97C2-599621DBAE93}"/>
            </c:ext>
          </c:extLst>
        </c:ser>
        <c:dLbls>
          <c:showLegendKey val="0"/>
          <c:showVal val="0"/>
          <c:showCatName val="0"/>
          <c:showSerName val="0"/>
          <c:showPercent val="0"/>
          <c:showBubbleSize val="0"/>
        </c:dLbls>
        <c:gapWidth val="150"/>
        <c:shape val="box"/>
        <c:axId val="1958883311"/>
        <c:axId val="1836476751"/>
        <c:axId val="0"/>
      </c:bar3DChart>
      <c:catAx>
        <c:axId val="19588833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Department</a:t>
                </a:r>
                <a:endParaRPr lang="en-GB" sz="1600"/>
              </a:p>
            </c:rich>
          </c:tx>
          <c:layout>
            <c:manualLayout>
              <c:xMode val="edge"/>
              <c:yMode val="edge"/>
              <c:x val="0.44324377507864032"/>
              <c:y val="0.7000044456415714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6476751"/>
        <c:crosses val="autoZero"/>
        <c:auto val="1"/>
        <c:lblAlgn val="ctr"/>
        <c:lblOffset val="100"/>
        <c:noMultiLvlLbl val="0"/>
      </c:catAx>
      <c:valAx>
        <c:axId val="183647675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Ethnicity</a:t>
                </a:r>
                <a:r>
                  <a:rPr lang="en-GB" sz="1200" baseline="0"/>
                  <a:t> Percentage</a:t>
                </a:r>
                <a:endParaRPr lang="en-GB" sz="12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883311"/>
        <c:crosses val="autoZero"/>
        <c:crossBetween val="between"/>
      </c:valAx>
      <c:spPr>
        <a:noFill/>
        <a:ln>
          <a:noFill/>
        </a:ln>
        <a:effectLst/>
      </c:spPr>
    </c:plotArea>
    <c:legend>
      <c:legendPos val="r"/>
      <c:layout>
        <c:manualLayout>
          <c:xMode val="edge"/>
          <c:yMode val="edge"/>
          <c:x val="0.44609182296831906"/>
          <c:y val="0.74949760533807697"/>
          <c:w val="0.53942059285008848"/>
          <c:h val="0.2235030375157411"/>
        </c:manualLayout>
      </c:layout>
      <c:overlay val="0"/>
      <c:spPr>
        <a:noFill/>
        <a:ln w="9525">
          <a:solidFill>
            <a:schemeClr val="tx1">
              <a:lumMod val="75000"/>
              <a:lumOff val="25000"/>
            </a:schemeClr>
          </a:solidFill>
        </a:ln>
        <a:effectLst/>
      </c:spPr>
      <c:txPr>
        <a:bodyPr rot="0" spcFirstLastPara="1" vertOverflow="ellipsis" vert="horz" wrap="square" anchor="ctr" anchorCtr="1"/>
        <a:lstStyle/>
        <a:p>
          <a:pPr>
            <a:defRPr sz="1200" b="0" i="0" u="none" strike="noStrike" kern="1200" baseline="0">
              <a:ln>
                <a:noFill/>
              </a:ln>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900" b="1"/>
              <a:t>Organisation</a:t>
            </a:r>
            <a:r>
              <a:rPr lang="en-GB" sz="900" b="1" baseline="0"/>
              <a:t> Disability Percentage</a:t>
            </a:r>
            <a:endParaRPr lang="en-GB" sz="900" b="1"/>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6B9-4E17-B6D7-558F35FB7451}"/>
              </c:ext>
            </c:extLst>
          </c:dPt>
          <c:dPt>
            <c:idx val="1"/>
            <c:bubble3D val="0"/>
            <c:spPr>
              <a:solidFill>
                <a:schemeClr val="accent6">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6B9-4E17-B6D7-558F35FB7451}"/>
              </c:ext>
            </c:extLst>
          </c:dPt>
          <c:dLbls>
            <c:dLbl>
              <c:idx val="1"/>
              <c:tx>
                <c:rich>
                  <a:bodyPr/>
                  <a:lstStyle/>
                  <a:p>
                    <a:fld id="{ACAC00F2-7845-406D-BBC8-3D97F4F92649}" type="CATEGORYNAME">
                      <a:rPr lang="en-US"/>
                      <a:pPr/>
                      <a:t>[CATEGORY NAME]</a:t>
                    </a:fld>
                    <a:r>
                      <a:rPr lang="en-US"/>
                      <a:t>
</a:t>
                    </a:r>
                    <a:fld id="{EC278FF5-7FF9-47C6-AB93-718D04F3B688}" type="PERCENTAGE">
                      <a:rPr lang="en-US"/>
                      <a:pPr/>
                      <a:t>[PERCENTAGE]</a:t>
                    </a:fld>
                    <a:endParaRPr lang="en-US"/>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6B9-4E17-B6D7-558F35FB74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'[Data Worksheet EBP.xlsx]Sheet1'!$AA$121:$AB$121</c:f>
              <c:strCache>
                <c:ptCount val="2"/>
                <c:pt idx="0">
                  <c:v>Not Disabled</c:v>
                </c:pt>
                <c:pt idx="1">
                  <c:v>Disabled</c:v>
                </c:pt>
              </c:strCache>
            </c:strRef>
          </c:cat>
          <c:val>
            <c:numRef>
              <c:f>'[Data Worksheet EBP.xlsx]Sheet1'!$AA$122:$AB$122</c:f>
              <c:numCache>
                <c:formatCode>General</c:formatCode>
                <c:ptCount val="2"/>
                <c:pt idx="0">
                  <c:v>92</c:v>
                </c:pt>
                <c:pt idx="1">
                  <c:v>8</c:v>
                </c:pt>
              </c:numCache>
            </c:numRef>
          </c:val>
          <c:extLst>
            <c:ext xmlns:c16="http://schemas.microsoft.com/office/drawing/2014/chart" uri="{C3380CC4-5D6E-409C-BE32-E72D297353CC}">
              <c16:uniqueId val="{00000004-26B9-4E17-B6D7-558F35FB7451}"/>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Worksheet EBP.xlsx]Sheet1!PivotTable4</c:name>
    <c:fmtId val="-1"/>
  </c:pivotSource>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Disability</a:t>
            </a:r>
            <a:r>
              <a:rPr lang="en-GB" baseline="0"/>
              <a:t> Percentages Across Departments</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ivotFmts>
      <c:pivotFmt>
        <c:idx val="0"/>
        <c:spPr>
          <a:solidFill>
            <a:schemeClr val="accent1"/>
          </a:solidFill>
          <a:ln>
            <a:noFill/>
          </a:ln>
          <a:effectLst/>
        </c:spPr>
        <c:marker>
          <c:symbol val="circle"/>
          <c:size val="6"/>
          <c:spPr>
            <a:solidFill>
              <a:schemeClr val="lt1"/>
            </a:solidFill>
            <a:ln w="15875">
              <a:solidFill>
                <a:schemeClr val="accen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circle"/>
          <c:size val="6"/>
          <c:spPr>
            <a:solidFill>
              <a:schemeClr val="lt1"/>
            </a:solidFill>
            <a:ln w="15875">
              <a:solidFill>
                <a:schemeClr val="accent2"/>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Sheet1!$U$118:$U$119</c:f>
              <c:strCache>
                <c:ptCount val="1"/>
                <c:pt idx="0">
                  <c:v>Disabled</c:v>
                </c:pt>
              </c:strCache>
            </c:strRef>
          </c:tx>
          <c:spPr>
            <a:solidFill>
              <a:schemeClr val="accent1"/>
            </a:solidFill>
            <a:ln>
              <a:noFill/>
            </a:ln>
            <a:effectLst/>
          </c:spPr>
          <c:invertIfNegative val="0"/>
          <c:cat>
            <c:strRef>
              <c:f>Sheet1!$T$120:$T$138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Sheet1!$U$120:$U$138</c:f>
              <c:numCache>
                <c:formatCode>0%</c:formatCode>
                <c:ptCount val="18"/>
                <c:pt idx="0">
                  <c:v>0</c:v>
                </c:pt>
                <c:pt idx="1">
                  <c:v>3.8461538461538464E-3</c:v>
                </c:pt>
                <c:pt idx="2">
                  <c:v>1.1538461538461539E-2</c:v>
                </c:pt>
                <c:pt idx="3">
                  <c:v>0</c:v>
                </c:pt>
                <c:pt idx="4">
                  <c:v>0</c:v>
                </c:pt>
                <c:pt idx="5">
                  <c:v>7.6923076923076927E-3</c:v>
                </c:pt>
                <c:pt idx="6">
                  <c:v>0</c:v>
                </c:pt>
                <c:pt idx="7">
                  <c:v>3.8461538461538464E-3</c:v>
                </c:pt>
                <c:pt idx="8">
                  <c:v>7.6923076923076927E-3</c:v>
                </c:pt>
                <c:pt idx="9">
                  <c:v>3.8461538461538464E-3</c:v>
                </c:pt>
                <c:pt idx="10">
                  <c:v>7.6923076923076927E-3</c:v>
                </c:pt>
                <c:pt idx="11">
                  <c:v>3.8461538461538464E-3</c:v>
                </c:pt>
                <c:pt idx="12">
                  <c:v>0</c:v>
                </c:pt>
                <c:pt idx="13">
                  <c:v>7.6923076923076927E-3</c:v>
                </c:pt>
                <c:pt idx="14">
                  <c:v>1.9230769230769232E-2</c:v>
                </c:pt>
                <c:pt idx="15">
                  <c:v>0</c:v>
                </c:pt>
                <c:pt idx="16">
                  <c:v>0</c:v>
                </c:pt>
                <c:pt idx="17">
                  <c:v>3.8461538461538464E-3</c:v>
                </c:pt>
              </c:numCache>
            </c:numRef>
          </c:val>
          <c:extLst>
            <c:ext xmlns:c16="http://schemas.microsoft.com/office/drawing/2014/chart" uri="{C3380CC4-5D6E-409C-BE32-E72D297353CC}">
              <c16:uniqueId val="{00000000-B676-4C17-8758-843AB6AD2D2A}"/>
            </c:ext>
          </c:extLst>
        </c:ser>
        <c:ser>
          <c:idx val="1"/>
          <c:order val="1"/>
          <c:tx>
            <c:strRef>
              <c:f>Sheet1!$V$118:$V$119</c:f>
              <c:strCache>
                <c:ptCount val="1"/>
                <c:pt idx="0">
                  <c:v>Not disabled</c:v>
                </c:pt>
              </c:strCache>
            </c:strRef>
          </c:tx>
          <c:spPr>
            <a:solidFill>
              <a:schemeClr val="accent2"/>
            </a:solidFill>
            <a:ln>
              <a:noFill/>
            </a:ln>
            <a:effectLst/>
          </c:spPr>
          <c:invertIfNegative val="0"/>
          <c:cat>
            <c:strRef>
              <c:f>Sheet1!$T$120:$T$138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Sheet1!$V$120:$V$138</c:f>
              <c:numCache>
                <c:formatCode>0%</c:formatCode>
                <c:ptCount val="18"/>
                <c:pt idx="0">
                  <c:v>3.4615384615384617E-2</c:v>
                </c:pt>
                <c:pt idx="1">
                  <c:v>2.3076923076923078E-2</c:v>
                </c:pt>
                <c:pt idx="2">
                  <c:v>4.6153846153846156E-2</c:v>
                </c:pt>
                <c:pt idx="3">
                  <c:v>1.9230769230769232E-2</c:v>
                </c:pt>
                <c:pt idx="4">
                  <c:v>7.6923076923076927E-3</c:v>
                </c:pt>
                <c:pt idx="5">
                  <c:v>3.0769230769230771E-2</c:v>
                </c:pt>
                <c:pt idx="6">
                  <c:v>1.1538461538461539E-2</c:v>
                </c:pt>
                <c:pt idx="7">
                  <c:v>4.230769230769231E-2</c:v>
                </c:pt>
                <c:pt idx="8">
                  <c:v>6.1538461538461542E-2</c:v>
                </c:pt>
                <c:pt idx="9">
                  <c:v>6.9230769230769235E-2</c:v>
                </c:pt>
                <c:pt idx="10">
                  <c:v>2.6923076923076925E-2</c:v>
                </c:pt>
                <c:pt idx="11">
                  <c:v>3.4615384615384617E-2</c:v>
                </c:pt>
                <c:pt idx="12">
                  <c:v>1.5384615384615385E-2</c:v>
                </c:pt>
                <c:pt idx="13">
                  <c:v>3.4615384615384617E-2</c:v>
                </c:pt>
                <c:pt idx="14">
                  <c:v>0.36153846153846153</c:v>
                </c:pt>
                <c:pt idx="15">
                  <c:v>1.9230769230769232E-2</c:v>
                </c:pt>
                <c:pt idx="16">
                  <c:v>4.230769230769231E-2</c:v>
                </c:pt>
                <c:pt idx="17">
                  <c:v>3.8461538461538464E-2</c:v>
                </c:pt>
              </c:numCache>
            </c:numRef>
          </c:val>
          <c:extLst>
            <c:ext xmlns:c16="http://schemas.microsoft.com/office/drawing/2014/chart" uri="{C3380CC4-5D6E-409C-BE32-E72D297353CC}">
              <c16:uniqueId val="{00000001-B676-4C17-8758-843AB6AD2D2A}"/>
            </c:ext>
          </c:extLst>
        </c:ser>
        <c:dLbls>
          <c:showLegendKey val="0"/>
          <c:showVal val="0"/>
          <c:showCatName val="0"/>
          <c:showSerName val="0"/>
          <c:showPercent val="0"/>
          <c:showBubbleSize val="0"/>
        </c:dLbls>
        <c:gapWidth val="150"/>
        <c:overlap val="100"/>
        <c:axId val="401708767"/>
        <c:axId val="390669647"/>
      </c:barChart>
      <c:catAx>
        <c:axId val="401708767"/>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Departments</a:t>
                </a:r>
              </a:p>
            </c:rich>
          </c:tx>
          <c:layout>
            <c:manualLayout>
              <c:xMode val="edge"/>
              <c:yMode val="edge"/>
              <c:x val="0.41084299549195458"/>
              <c:y val="0.8015418668199974"/>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90669647"/>
        <c:crosses val="autoZero"/>
        <c:auto val="1"/>
        <c:lblAlgn val="ctr"/>
        <c:lblOffset val="100"/>
        <c:noMultiLvlLbl val="0"/>
      </c:catAx>
      <c:valAx>
        <c:axId val="3906696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Disability Percentage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01708767"/>
        <c:crosses val="autoZero"/>
        <c:crossBetween val="between"/>
      </c:valAx>
      <c:spPr>
        <a:pattFill prst="ltDnDiag">
          <a:fgClr>
            <a:schemeClr val="dk1">
              <a:lumMod val="15000"/>
              <a:lumOff val="85000"/>
            </a:schemeClr>
          </a:fgClr>
          <a:bgClr>
            <a:schemeClr val="lt1"/>
          </a:bgClr>
        </a:pattFill>
        <a:ln>
          <a:noFill/>
        </a:ln>
        <a:effectLst/>
      </c:spPr>
    </c:plotArea>
    <c:legend>
      <c:legendPos val="r"/>
      <c:layout>
        <c:manualLayout>
          <c:xMode val="edge"/>
          <c:yMode val="edge"/>
          <c:x val="0.85377476948990316"/>
          <c:y val="0.75306573030728474"/>
          <c:w val="0.13215187313477803"/>
          <c:h val="0.1940809507992642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Median Salary Across 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'[Data Worksheet EBP.xlsx]Sheet1'!$N$305</c:f>
              <c:strCache>
                <c:ptCount val="1"/>
                <c:pt idx="0">
                  <c:v>Median Salary</c:v>
                </c:pt>
              </c:strCache>
            </c:strRef>
          </c:tx>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F7A3-4634-8715-72D9D2A7F423}"/>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F7A3-4634-8715-72D9D2A7F423}"/>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F7A3-4634-8715-72D9D2A7F423}"/>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F7A3-4634-8715-72D9D2A7F42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Worksheet EBP.xlsx]Sheet1'!$M$306:$M$309</c:f>
              <c:strCache>
                <c:ptCount val="4"/>
                <c:pt idx="0">
                  <c:v>Male</c:v>
                </c:pt>
                <c:pt idx="1">
                  <c:v>Female</c:v>
                </c:pt>
                <c:pt idx="2">
                  <c:v>Non-Binary</c:v>
                </c:pt>
                <c:pt idx="3">
                  <c:v>Organisation</c:v>
                </c:pt>
              </c:strCache>
            </c:strRef>
          </c:cat>
          <c:val>
            <c:numRef>
              <c:f>'[Data Worksheet EBP.xlsx]Sheet1'!$N$306:$N$309</c:f>
              <c:numCache>
                <c:formatCode>"£"#,##0</c:formatCode>
                <c:ptCount val="4"/>
                <c:pt idx="0">
                  <c:v>29500</c:v>
                </c:pt>
                <c:pt idx="1">
                  <c:v>26645</c:v>
                </c:pt>
                <c:pt idx="2">
                  <c:v>19500</c:v>
                </c:pt>
                <c:pt idx="3">
                  <c:v>29500</c:v>
                </c:pt>
              </c:numCache>
            </c:numRef>
          </c:val>
          <c:extLst>
            <c:ext xmlns:c16="http://schemas.microsoft.com/office/drawing/2014/chart" uri="{C3380CC4-5D6E-409C-BE32-E72D297353CC}">
              <c16:uniqueId val="{00000008-F7A3-4634-8715-72D9D2A7F423}"/>
            </c:ext>
          </c:extLst>
        </c:ser>
        <c:dLbls>
          <c:dLblPos val="inEnd"/>
          <c:showLegendKey val="0"/>
          <c:showVal val="1"/>
          <c:showCatName val="0"/>
          <c:showSerName val="0"/>
          <c:showPercent val="0"/>
          <c:showBubbleSize val="0"/>
        </c:dLbls>
        <c:gapWidth val="182"/>
        <c:axId val="1941876623"/>
        <c:axId val="397505247"/>
      </c:barChart>
      <c:catAx>
        <c:axId val="194187662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505247"/>
        <c:crosses val="autoZero"/>
        <c:auto val="1"/>
        <c:lblAlgn val="ctr"/>
        <c:lblOffset val="100"/>
        <c:noMultiLvlLbl val="0"/>
      </c:catAx>
      <c:valAx>
        <c:axId val="3975052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1876623"/>
        <c:crosses val="autoZero"/>
        <c:crossBetween val="between"/>
      </c:valAx>
      <c:spPr>
        <a:noFill/>
        <a:ln>
          <a:solidFill>
            <a:schemeClr val="accent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bg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Organisational</a:t>
            </a:r>
            <a:r>
              <a:rPr lang="en-GB" baseline="0"/>
              <a:t> Average Salaries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'[Data Worksheet EBP.xlsx]Sheet1'!$I$352</c:f>
              <c:strCache>
                <c:ptCount val="1"/>
                <c:pt idx="0">
                  <c:v>Average Wage</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'[Data Worksheet EBP.xlsx]Sheet1'!$H$353:$H$370</c:f>
              <c:strCache>
                <c:ptCount val="18"/>
                <c:pt idx="0">
                  <c:v>Business Services</c:v>
                </c:pt>
                <c:pt idx="1">
                  <c:v>Community Engagement and Partnerships</c:v>
                </c:pt>
                <c:pt idx="2">
                  <c:v>Customer Service</c:v>
                </c:pt>
                <c:pt idx="3">
                  <c:v>Directors </c:v>
                </c:pt>
                <c:pt idx="4">
                  <c:v>Facilites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'[Data Worksheet EBP.xlsx]Sheet1'!$I$353:$I$370</c:f>
              <c:numCache>
                <c:formatCode>"£"#,##0_);[Red]\("£"#,##0\)</c:formatCode>
                <c:ptCount val="18"/>
                <c:pt idx="0">
                  <c:v>35491</c:v>
                </c:pt>
                <c:pt idx="1">
                  <c:v>27329</c:v>
                </c:pt>
                <c:pt idx="2">
                  <c:v>27494</c:v>
                </c:pt>
                <c:pt idx="3">
                  <c:v>93791</c:v>
                </c:pt>
                <c:pt idx="4">
                  <c:v>33578</c:v>
                </c:pt>
                <c:pt idx="5">
                  <c:v>35759</c:v>
                </c:pt>
                <c:pt idx="6">
                  <c:v>31667</c:v>
                </c:pt>
                <c:pt idx="7">
                  <c:v>21030</c:v>
                </c:pt>
                <c:pt idx="8">
                  <c:v>30194</c:v>
                </c:pt>
                <c:pt idx="9">
                  <c:v>30364</c:v>
                </c:pt>
                <c:pt idx="10">
                  <c:v>39767</c:v>
                </c:pt>
                <c:pt idx="11">
                  <c:v>27665</c:v>
                </c:pt>
                <c:pt idx="12">
                  <c:v>28038</c:v>
                </c:pt>
                <c:pt idx="13">
                  <c:v>38126</c:v>
                </c:pt>
                <c:pt idx="14">
                  <c:v>30614</c:v>
                </c:pt>
                <c:pt idx="15">
                  <c:v>36118</c:v>
                </c:pt>
                <c:pt idx="16">
                  <c:v>22864</c:v>
                </c:pt>
                <c:pt idx="17">
                  <c:v>31214</c:v>
                </c:pt>
              </c:numCache>
            </c:numRef>
          </c:val>
          <c:smooth val="0"/>
          <c:extLst>
            <c:ext xmlns:c16="http://schemas.microsoft.com/office/drawing/2014/chart" uri="{C3380CC4-5D6E-409C-BE32-E72D297353CC}">
              <c16:uniqueId val="{00000000-8208-4261-8728-A0F60C01CBAB}"/>
            </c:ext>
          </c:extLst>
        </c:ser>
        <c:dLbls>
          <c:showLegendKey val="0"/>
          <c:showVal val="0"/>
          <c:showCatName val="0"/>
          <c:showSerName val="0"/>
          <c:showPercent val="0"/>
          <c:showBubbleSize val="0"/>
        </c:dLbls>
        <c:marker val="1"/>
        <c:smooth val="0"/>
        <c:axId val="114804128"/>
        <c:axId val="1997020911"/>
      </c:lineChart>
      <c:catAx>
        <c:axId val="114804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Department</a:t>
                </a:r>
              </a:p>
            </c:rich>
          </c:tx>
          <c:layout>
            <c:manualLayout>
              <c:xMode val="edge"/>
              <c:yMode val="edge"/>
              <c:x val="0.46974272586147359"/>
              <c:y val="0.749543845899511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7020911"/>
        <c:crosses val="autoZero"/>
        <c:auto val="1"/>
        <c:lblAlgn val="ctr"/>
        <c:lblOffset val="100"/>
        <c:noMultiLvlLbl val="0"/>
      </c:catAx>
      <c:valAx>
        <c:axId val="1997020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Wage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8041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Hybrid Working Survey Responses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3"/>
          <c:order val="3"/>
          <c:tx>
            <c:strRef>
              <c:f>'Transformed Data'!$G$41</c:f>
              <c:strCache>
                <c:ptCount val="1"/>
                <c:pt idx="0">
                  <c:v>Agree</c:v>
                </c:pt>
              </c:strCache>
            </c:strRef>
          </c:tx>
          <c:spPr>
            <a:solidFill>
              <a:schemeClr val="accent4"/>
            </a:solidFill>
            <a:ln>
              <a:noFill/>
            </a:ln>
            <a:effectLst/>
            <a:sp3d/>
          </c:spPr>
          <c:invertIfNegative val="0"/>
          <c:cat>
            <c:strRef>
              <c:f>'Transformed Data'!$C$42:$C$55</c:f>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f>'Transformed Data'!$G$42:$G$55</c:f>
              <c:numCache>
                <c:formatCode>0.00%</c:formatCode>
                <c:ptCount val="14"/>
                <c:pt idx="0">
                  <c:v>0.56330000000000002</c:v>
                </c:pt>
                <c:pt idx="1">
                  <c:v>0.82330000000000003</c:v>
                </c:pt>
                <c:pt idx="2">
                  <c:v>7.0000000000000007E-2</c:v>
                </c:pt>
                <c:pt idx="3">
                  <c:v>0.14000000000000001</c:v>
                </c:pt>
                <c:pt idx="4">
                  <c:v>0.24329999999999999</c:v>
                </c:pt>
                <c:pt idx="5">
                  <c:v>0.64329999999999998</c:v>
                </c:pt>
                <c:pt idx="6">
                  <c:v>0.49330000000000002</c:v>
                </c:pt>
                <c:pt idx="7">
                  <c:v>0.38669999999999999</c:v>
                </c:pt>
                <c:pt idx="8">
                  <c:v>0.62</c:v>
                </c:pt>
                <c:pt idx="9">
                  <c:v>0.33329999999999999</c:v>
                </c:pt>
                <c:pt idx="10">
                  <c:v>0.49</c:v>
                </c:pt>
                <c:pt idx="11">
                  <c:v>0.59</c:v>
                </c:pt>
                <c:pt idx="12">
                  <c:v>0.15</c:v>
                </c:pt>
                <c:pt idx="13">
                  <c:v>0.46329999999999999</c:v>
                </c:pt>
              </c:numCache>
            </c:numRef>
          </c:val>
          <c:extLst>
            <c:ext xmlns:c16="http://schemas.microsoft.com/office/drawing/2014/chart" uri="{C3380CC4-5D6E-409C-BE32-E72D297353CC}">
              <c16:uniqueId val="{00000000-E3EA-4B5E-A0A1-78A164094C76}"/>
            </c:ext>
          </c:extLst>
        </c:ser>
        <c:ser>
          <c:idx val="4"/>
          <c:order val="4"/>
          <c:tx>
            <c:strRef>
              <c:f>'Transformed Data'!$H$41</c:f>
              <c:strCache>
                <c:ptCount val="1"/>
                <c:pt idx="0">
                  <c:v>Not Sure</c:v>
                </c:pt>
              </c:strCache>
            </c:strRef>
          </c:tx>
          <c:spPr>
            <a:solidFill>
              <a:schemeClr val="accent5"/>
            </a:solidFill>
            <a:ln>
              <a:noFill/>
            </a:ln>
            <a:effectLst/>
            <a:sp3d/>
          </c:spPr>
          <c:invertIfNegative val="0"/>
          <c:cat>
            <c:strRef>
              <c:f>'Transformed Data'!$C$42:$C$55</c:f>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f>'Transformed Data'!$H$42:$H$55</c:f>
              <c:numCache>
                <c:formatCode>0.00%</c:formatCode>
                <c:ptCount val="14"/>
                <c:pt idx="0">
                  <c:v>6.3333333333333339E-2</c:v>
                </c:pt>
                <c:pt idx="1">
                  <c:v>3.6666666666666667E-2</c:v>
                </c:pt>
                <c:pt idx="2">
                  <c:v>0.1</c:v>
                </c:pt>
                <c:pt idx="3">
                  <c:v>0.06</c:v>
                </c:pt>
                <c:pt idx="4">
                  <c:v>0.33666666666666667</c:v>
                </c:pt>
                <c:pt idx="5">
                  <c:v>7.6666666666666661E-2</c:v>
                </c:pt>
                <c:pt idx="6">
                  <c:v>1.6666666666666666E-2</c:v>
                </c:pt>
                <c:pt idx="7">
                  <c:v>1.6666666666666666E-2</c:v>
                </c:pt>
                <c:pt idx="8">
                  <c:v>0.01</c:v>
                </c:pt>
                <c:pt idx="9">
                  <c:v>3.3333333333333335E-3</c:v>
                </c:pt>
                <c:pt idx="10">
                  <c:v>0.02</c:v>
                </c:pt>
                <c:pt idx="11">
                  <c:v>2.3333333333333334E-2</c:v>
                </c:pt>
                <c:pt idx="12">
                  <c:v>0</c:v>
                </c:pt>
                <c:pt idx="13">
                  <c:v>6.6666666666666671E-3</c:v>
                </c:pt>
              </c:numCache>
            </c:numRef>
          </c:val>
          <c:extLst>
            <c:ext xmlns:c16="http://schemas.microsoft.com/office/drawing/2014/chart" uri="{C3380CC4-5D6E-409C-BE32-E72D297353CC}">
              <c16:uniqueId val="{00000001-E3EA-4B5E-A0A1-78A164094C76}"/>
            </c:ext>
          </c:extLst>
        </c:ser>
        <c:ser>
          <c:idx val="5"/>
          <c:order val="5"/>
          <c:tx>
            <c:strRef>
              <c:f>'Transformed Data'!$I$41</c:f>
              <c:strCache>
                <c:ptCount val="1"/>
                <c:pt idx="0">
                  <c:v>Disagree</c:v>
                </c:pt>
              </c:strCache>
            </c:strRef>
          </c:tx>
          <c:spPr>
            <a:solidFill>
              <a:schemeClr val="accent6"/>
            </a:solidFill>
            <a:ln>
              <a:noFill/>
            </a:ln>
            <a:effectLst/>
            <a:sp3d/>
          </c:spPr>
          <c:invertIfNegative val="0"/>
          <c:cat>
            <c:strRef>
              <c:f>'Transformed Data'!$C$42:$C$55</c:f>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f>'Transformed Data'!$I$42:$I$55</c:f>
              <c:numCache>
                <c:formatCode>0.00%</c:formatCode>
                <c:ptCount val="14"/>
                <c:pt idx="0">
                  <c:v>0.37330000000000002</c:v>
                </c:pt>
                <c:pt idx="1">
                  <c:v>0.14000000000000001</c:v>
                </c:pt>
                <c:pt idx="2">
                  <c:v>0.83</c:v>
                </c:pt>
                <c:pt idx="3">
                  <c:v>0.8</c:v>
                </c:pt>
                <c:pt idx="4">
                  <c:v>0.42</c:v>
                </c:pt>
                <c:pt idx="5">
                  <c:v>0.28000000000000003</c:v>
                </c:pt>
                <c:pt idx="6">
                  <c:v>0.49</c:v>
                </c:pt>
                <c:pt idx="7">
                  <c:v>0.59670000000000001</c:v>
                </c:pt>
                <c:pt idx="8">
                  <c:v>0.37</c:v>
                </c:pt>
                <c:pt idx="9">
                  <c:v>0.6633</c:v>
                </c:pt>
                <c:pt idx="10">
                  <c:v>0.49</c:v>
                </c:pt>
                <c:pt idx="11">
                  <c:v>0.38669999999999999</c:v>
                </c:pt>
                <c:pt idx="12">
                  <c:v>0.85</c:v>
                </c:pt>
                <c:pt idx="13">
                  <c:v>0.53</c:v>
                </c:pt>
              </c:numCache>
            </c:numRef>
          </c:val>
          <c:extLst>
            <c:ext xmlns:c16="http://schemas.microsoft.com/office/drawing/2014/chart" uri="{C3380CC4-5D6E-409C-BE32-E72D297353CC}">
              <c16:uniqueId val="{00000002-E3EA-4B5E-A0A1-78A164094C76}"/>
            </c:ext>
          </c:extLst>
        </c:ser>
        <c:dLbls>
          <c:showLegendKey val="0"/>
          <c:showVal val="0"/>
          <c:showCatName val="0"/>
          <c:showSerName val="0"/>
          <c:showPercent val="0"/>
          <c:showBubbleSize val="0"/>
        </c:dLbls>
        <c:gapWidth val="150"/>
        <c:shape val="box"/>
        <c:axId val="1998901423"/>
        <c:axId val="4022368"/>
        <c:axId val="0"/>
        <c:extLst>
          <c:ext xmlns:c15="http://schemas.microsoft.com/office/drawing/2012/chart" uri="{02D57815-91ED-43cb-92C2-25804820EDAC}">
            <c15:filteredBarSeries>
              <c15:ser>
                <c:idx val="0"/>
                <c:order val="0"/>
                <c:tx>
                  <c:strRef>
                    <c:extLst>
                      <c:ext uri="{02D57815-91ED-43cb-92C2-25804820EDAC}">
                        <c15:formulaRef>
                          <c15:sqref>'Transformed Data'!$D$41</c15:sqref>
                        </c15:formulaRef>
                      </c:ext>
                    </c:extLst>
                    <c:strCache>
                      <c:ptCount val="1"/>
                    </c:strCache>
                  </c:strRef>
                </c:tx>
                <c:spPr>
                  <a:solidFill>
                    <a:schemeClr val="accent1"/>
                  </a:solidFill>
                  <a:ln>
                    <a:noFill/>
                  </a:ln>
                  <a:effectLst/>
                  <a:sp3d/>
                </c:spPr>
                <c:invertIfNegative val="0"/>
                <c:cat>
                  <c:strRef>
                    <c:extLst>
                      <c:ext uri="{02D57815-91ED-43cb-92C2-25804820EDAC}">
                        <c15:formulaRef>
                          <c15:sqref>'Transformed Data'!$C$42:$C$55</c15:sqref>
                        </c15:formulaRef>
                      </c:ext>
                    </c:extLst>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extLst>
                      <c:ext uri="{02D57815-91ED-43cb-92C2-25804820EDAC}">
                        <c15:formulaRef>
                          <c15:sqref>'Transformed Data'!$D$42:$D$55</c15:sqref>
                        </c15:formulaRef>
                      </c:ext>
                    </c:extLst>
                    <c:numCache>
                      <c:formatCode>General</c:formatCode>
                      <c:ptCount val="14"/>
                    </c:numCache>
                  </c:numRef>
                </c:val>
                <c:extLst>
                  <c:ext xmlns:c16="http://schemas.microsoft.com/office/drawing/2014/chart" uri="{C3380CC4-5D6E-409C-BE32-E72D297353CC}">
                    <c16:uniqueId val="{00000003-E3EA-4B5E-A0A1-78A164094C7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'Transformed Data'!$E$41</c15:sqref>
                        </c15:formulaRef>
                      </c:ext>
                    </c:extLst>
                    <c:strCache>
                      <c:ptCount val="1"/>
                    </c:strCache>
                  </c:strRef>
                </c:tx>
                <c:spPr>
                  <a:solidFill>
                    <a:schemeClr val="accent2"/>
                  </a:solidFill>
                  <a:ln>
                    <a:noFill/>
                  </a:ln>
                  <a:effectLst/>
                  <a:sp3d/>
                </c:spPr>
                <c:invertIfNegative val="0"/>
                <c:cat>
                  <c:strRef>
                    <c:extLst xmlns:c15="http://schemas.microsoft.com/office/drawing/2012/chart">
                      <c:ext xmlns:c15="http://schemas.microsoft.com/office/drawing/2012/chart" uri="{02D57815-91ED-43cb-92C2-25804820EDAC}">
                        <c15:formulaRef>
                          <c15:sqref>'Transformed Data'!$C$42:$C$55</c15:sqref>
                        </c15:formulaRef>
                      </c:ext>
                    </c:extLst>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extLst xmlns:c15="http://schemas.microsoft.com/office/drawing/2012/chart">
                      <c:ext xmlns:c15="http://schemas.microsoft.com/office/drawing/2012/chart" uri="{02D57815-91ED-43cb-92C2-25804820EDAC}">
                        <c15:formulaRef>
                          <c15:sqref>'Transformed Data'!$E$42:$E$55</c15:sqref>
                        </c15:formulaRef>
                      </c:ext>
                    </c:extLst>
                    <c:numCache>
                      <c:formatCode>General</c:formatCode>
                      <c:ptCount val="14"/>
                    </c:numCache>
                  </c:numRef>
                </c:val>
                <c:extLst>
                  <c:ext xmlns:c16="http://schemas.microsoft.com/office/drawing/2014/chart" uri="{C3380CC4-5D6E-409C-BE32-E72D297353CC}">
                    <c16:uniqueId val="{00000004-E3EA-4B5E-A0A1-78A164094C76}"/>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'Transformed Data'!$F$41</c15:sqref>
                        </c15:formulaRef>
                      </c:ext>
                    </c:extLst>
                    <c:strCache>
                      <c:ptCount val="1"/>
                    </c:strCache>
                  </c:strRef>
                </c:tx>
                <c:spPr>
                  <a:solidFill>
                    <a:schemeClr val="accent3"/>
                  </a:solidFill>
                  <a:ln>
                    <a:noFill/>
                  </a:ln>
                  <a:effectLst/>
                  <a:sp3d/>
                </c:spPr>
                <c:invertIfNegative val="0"/>
                <c:cat>
                  <c:strRef>
                    <c:extLst xmlns:c15="http://schemas.microsoft.com/office/drawing/2012/chart">
                      <c:ext xmlns:c15="http://schemas.microsoft.com/office/drawing/2012/chart" uri="{02D57815-91ED-43cb-92C2-25804820EDAC}">
                        <c15:formulaRef>
                          <c15:sqref>'Transformed Data'!$C$42:$C$55</c15:sqref>
                        </c15:formulaRef>
                      </c:ext>
                    </c:extLst>
                    <c:strCache>
                      <c:ptCount val="14"/>
                      <c:pt idx="0">
                        <c:v>I enjoy WFH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WFH does not affect cross functional communication and collaboration with my team</c:v>
                      </c:pt>
                      <c:pt idx="8">
                        <c:v>Since hybrid working has been in place, I feel more connected to our company culture</c:v>
                      </c:pt>
                      <c:pt idx="9">
                        <c:v>WFH allows me to meet my targets</c:v>
                      </c:pt>
                      <c:pt idx="10">
                        <c:v>I can easily access resources at home</c:v>
                      </c:pt>
                      <c:pt idx="11">
                        <c:v>WFH removes conflict</c:v>
                      </c:pt>
                      <c:pt idx="12">
                        <c:v>I feel less stressed when away from the workplace</c:v>
                      </c:pt>
                      <c:pt idx="13">
                        <c:v>I get the same amount of recognition about my work when WFH</c:v>
                      </c:pt>
                    </c:strCache>
                  </c:strRef>
                </c:cat>
                <c:val>
                  <c:numRef>
                    <c:extLst xmlns:c15="http://schemas.microsoft.com/office/drawing/2012/chart">
                      <c:ext xmlns:c15="http://schemas.microsoft.com/office/drawing/2012/chart" uri="{02D57815-91ED-43cb-92C2-25804820EDAC}">
                        <c15:formulaRef>
                          <c15:sqref>'Transformed Data'!$F$42:$F$55</c15:sqref>
                        </c15:formulaRef>
                      </c:ext>
                    </c:extLst>
                    <c:numCache>
                      <c:formatCode>General</c:formatCode>
                      <c:ptCount val="14"/>
                    </c:numCache>
                  </c:numRef>
                </c:val>
                <c:extLst>
                  <c:ext xmlns:c16="http://schemas.microsoft.com/office/drawing/2014/chart" uri="{C3380CC4-5D6E-409C-BE32-E72D297353CC}">
                    <c16:uniqueId val="{00000005-E3EA-4B5E-A0A1-78A164094C76}"/>
                  </c:ext>
                </c:extLst>
              </c15:ser>
            </c15:filteredBarSeries>
          </c:ext>
        </c:extLst>
      </c:bar3DChart>
      <c:catAx>
        <c:axId val="199890142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022368"/>
        <c:crosses val="autoZero"/>
        <c:auto val="1"/>
        <c:lblAlgn val="ctr"/>
        <c:lblOffset val="100"/>
        <c:noMultiLvlLbl val="0"/>
      </c:catAx>
      <c:valAx>
        <c:axId val="40223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8901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0.12657</cdr:x>
      <cdr:y>0.39025</cdr:y>
    </cdr:from>
    <cdr:to>
      <cdr:x>0.97909</cdr:x>
      <cdr:y>0.39431</cdr:y>
    </cdr:to>
    <cdr:cxnSp macro="">
      <cdr:nvCxnSpPr>
        <cdr:cNvPr id="3" name="Straight Connector 2">
          <a:extLst xmlns:a="http://schemas.openxmlformats.org/drawingml/2006/main">
            <a:ext uri="{FF2B5EF4-FFF2-40B4-BE49-F238E27FC236}">
              <a16:creationId xmlns:a16="http://schemas.microsoft.com/office/drawing/2014/main" id="{C638E763-1979-B0C3-B02E-C2050B74F458}"/>
            </a:ext>
          </a:extLst>
        </cdr:cNvPr>
        <cdr:cNvCxnSpPr/>
      </cdr:nvCxnSpPr>
      <cdr:spPr>
        <a:xfrm xmlns:a="http://schemas.openxmlformats.org/drawingml/2006/main" flipH="1" flipV="1">
          <a:off x="914400" y="1593410"/>
          <a:ext cx="6158907" cy="16565"/>
        </a:xfrm>
        <a:prstGeom xmlns:a="http://schemas.openxmlformats.org/drawingml/2006/main" prst="line">
          <a:avLst/>
        </a:prstGeom>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cxnSp>
  </cdr:relSizeAnchor>
  <cdr:relSizeAnchor xmlns:cdr="http://schemas.openxmlformats.org/drawingml/2006/chartDrawing">
    <cdr:from>
      <cdr:x>0.7027</cdr:x>
      <cdr:y>0.81877</cdr:y>
    </cdr:from>
    <cdr:to>
      <cdr:x>0.886</cdr:x>
      <cdr:y>1</cdr:y>
    </cdr:to>
    <cdr:sp macro="" textlink="">
      <cdr:nvSpPr>
        <cdr:cNvPr id="10" name="TextBox 9">
          <a:extLst xmlns:a="http://schemas.openxmlformats.org/drawingml/2006/main">
            <a:ext uri="{FF2B5EF4-FFF2-40B4-BE49-F238E27FC236}">
              <a16:creationId xmlns:a16="http://schemas.microsoft.com/office/drawing/2014/main" id="{FD6847A4-651A-A252-59E1-652EEC5A61E8}"/>
            </a:ext>
          </a:extLst>
        </cdr:cNvPr>
        <cdr:cNvSpPr txBox="1"/>
      </cdr:nvSpPr>
      <cdr:spPr>
        <a:xfrm xmlns:a="http://schemas.openxmlformats.org/drawingml/2006/main">
          <a:off x="5076607" y="3343086"/>
          <a:ext cx="1324194" cy="73996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t>Average Organisational Wage £31,757</a:t>
          </a:r>
        </a:p>
      </cdr:txBody>
    </cdr:sp>
  </cdr:relSizeAnchor>
  <cdr:relSizeAnchor xmlns:cdr="http://schemas.openxmlformats.org/drawingml/2006/chartDrawing">
    <cdr:from>
      <cdr:x>0.88406</cdr:x>
      <cdr:y>0.8888</cdr:y>
    </cdr:from>
    <cdr:to>
      <cdr:x>0.91482</cdr:x>
      <cdr:y>0.8888</cdr:y>
    </cdr:to>
    <cdr:cxnSp macro="">
      <cdr:nvCxnSpPr>
        <cdr:cNvPr id="12" name="Straight Connector 11">
          <a:extLst xmlns:a="http://schemas.openxmlformats.org/drawingml/2006/main">
            <a:ext uri="{FF2B5EF4-FFF2-40B4-BE49-F238E27FC236}">
              <a16:creationId xmlns:a16="http://schemas.microsoft.com/office/drawing/2014/main" id="{3BEEC7D1-E717-94F5-B5CE-79919E07DD6E}"/>
            </a:ext>
          </a:extLst>
        </cdr:cNvPr>
        <cdr:cNvCxnSpPr/>
      </cdr:nvCxnSpPr>
      <cdr:spPr>
        <a:xfrm xmlns:a="http://schemas.openxmlformats.org/drawingml/2006/main">
          <a:off x="6386763" y="3629009"/>
          <a:ext cx="222294" cy="0"/>
        </a:xfrm>
        <a:prstGeom xmlns:a="http://schemas.openxmlformats.org/drawingml/2006/main" prst="line">
          <a:avLst/>
        </a:prstGeom>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1020</TotalTime>
  <Pages>18</Pages>
  <Words>6275</Words>
  <Characters>35205</Characters>
  <Application>Microsoft Office Word</Application>
  <DocSecurity>0</DocSecurity>
  <Lines>651</Lines>
  <Paragraphs>180</Paragraphs>
  <ScaleCrop>false</ScaleCrop>
  <Company/>
  <LinksUpToDate>false</LinksUpToDate>
  <CharactersWithSpaces>41300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Chloe</dc:creator>
  <cp:keywords/>
  <dc:description/>
  <cp:lastModifiedBy>Hitchings, Chloe</cp:lastModifiedBy>
  <cp:revision>656</cp:revision>
  <dcterms:created xsi:type="dcterms:W3CDTF">2023-12-04T00:18:00Z</dcterms:created>
  <dcterms:modified xsi:type="dcterms:W3CDTF">2023-12-04T23:53:00Z</dcterms:modified>
</cp:coreProperties>
</file>