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D106CE" w14:textId="77777777" w:rsidR="003E12E3" w:rsidRDefault="003E12E3" w:rsidP="003E12E3">
      <w:pPr>
        <w:rPr>
          <w:b/>
          <w:bCs/>
        </w:rPr>
      </w:pPr>
      <w:r>
        <w:rPr>
          <w:b/>
          <w:bCs/>
        </w:rPr>
        <w:t xml:space="preserve">Table of Contents </w:t>
      </w:r>
    </w:p>
    <w:p w14:paraId="625BCC2E" w14:textId="700EC277" w:rsidR="002E307B" w:rsidRDefault="009C2272">
      <w:pPr>
        <w:pStyle w:val="TOC1"/>
        <w:tabs>
          <w:tab w:val="right" w:pos="9016"/>
        </w:tabs>
        <w:rPr>
          <w:rFonts w:asciiTheme="minorHAnsi" w:eastAsiaTheme="minorEastAsia" w:hAnsiTheme="minorHAnsi"/>
          <w:noProof/>
          <w:color w:val="auto"/>
          <w:szCs w:val="24"/>
          <w:lang w:eastAsia="en-NG"/>
        </w:rPr>
      </w:pPr>
      <w:r>
        <w:rPr>
          <w:b/>
          <w:bCs/>
        </w:rPr>
        <w:fldChar w:fldCharType="begin"/>
      </w:r>
      <w:r>
        <w:rPr>
          <w:b/>
          <w:bCs/>
        </w:rPr>
        <w:instrText xml:space="preserve"> TOC \o "1-1" \h \z \u </w:instrText>
      </w:r>
      <w:r>
        <w:rPr>
          <w:b/>
          <w:bCs/>
        </w:rPr>
        <w:fldChar w:fldCharType="separate"/>
      </w:r>
      <w:hyperlink w:anchor="_Toc214401655" w:history="1">
        <w:r w:rsidR="002E307B" w:rsidRPr="00802153">
          <w:rPr>
            <w:rStyle w:val="Hyperlink"/>
            <w:noProof/>
          </w:rPr>
          <w:t>Introduction</w:t>
        </w:r>
        <w:r w:rsidR="002E307B">
          <w:rPr>
            <w:noProof/>
            <w:webHidden/>
          </w:rPr>
          <w:tab/>
        </w:r>
        <w:r w:rsidR="002E307B">
          <w:rPr>
            <w:noProof/>
            <w:webHidden/>
          </w:rPr>
          <w:fldChar w:fldCharType="begin"/>
        </w:r>
        <w:r w:rsidR="002E307B">
          <w:rPr>
            <w:noProof/>
            <w:webHidden/>
          </w:rPr>
          <w:instrText xml:space="preserve"> PAGEREF _Toc214401655 \h </w:instrText>
        </w:r>
        <w:r w:rsidR="002E307B">
          <w:rPr>
            <w:noProof/>
            <w:webHidden/>
          </w:rPr>
        </w:r>
        <w:r w:rsidR="002E307B">
          <w:rPr>
            <w:noProof/>
            <w:webHidden/>
          </w:rPr>
          <w:fldChar w:fldCharType="separate"/>
        </w:r>
        <w:r w:rsidR="002E307B">
          <w:rPr>
            <w:noProof/>
            <w:webHidden/>
          </w:rPr>
          <w:t>2</w:t>
        </w:r>
        <w:r w:rsidR="002E307B">
          <w:rPr>
            <w:noProof/>
            <w:webHidden/>
          </w:rPr>
          <w:fldChar w:fldCharType="end"/>
        </w:r>
      </w:hyperlink>
    </w:p>
    <w:p w14:paraId="76B4DBAC" w14:textId="24890C0F" w:rsidR="002E307B" w:rsidRDefault="002E307B">
      <w:pPr>
        <w:pStyle w:val="TOC1"/>
        <w:tabs>
          <w:tab w:val="right" w:pos="9016"/>
        </w:tabs>
        <w:rPr>
          <w:rFonts w:asciiTheme="minorHAnsi" w:eastAsiaTheme="minorEastAsia" w:hAnsiTheme="minorHAnsi"/>
          <w:noProof/>
          <w:color w:val="auto"/>
          <w:szCs w:val="24"/>
          <w:lang w:eastAsia="en-NG"/>
        </w:rPr>
      </w:pPr>
      <w:hyperlink w:anchor="_Toc214401656" w:history="1">
        <w:r w:rsidRPr="00802153">
          <w:rPr>
            <w:rStyle w:val="Hyperlink"/>
            <w:noProof/>
          </w:rPr>
          <w:t>Task 1 Importance of Principles of Health and Social Care</w:t>
        </w:r>
        <w:r>
          <w:rPr>
            <w:noProof/>
            <w:webHidden/>
          </w:rPr>
          <w:tab/>
        </w:r>
        <w:r>
          <w:rPr>
            <w:noProof/>
            <w:webHidden/>
          </w:rPr>
          <w:fldChar w:fldCharType="begin"/>
        </w:r>
        <w:r>
          <w:rPr>
            <w:noProof/>
            <w:webHidden/>
          </w:rPr>
          <w:instrText xml:space="preserve"> PAGEREF _Toc214401656 \h </w:instrText>
        </w:r>
        <w:r>
          <w:rPr>
            <w:noProof/>
            <w:webHidden/>
          </w:rPr>
        </w:r>
        <w:r>
          <w:rPr>
            <w:noProof/>
            <w:webHidden/>
          </w:rPr>
          <w:fldChar w:fldCharType="separate"/>
        </w:r>
        <w:r>
          <w:rPr>
            <w:noProof/>
            <w:webHidden/>
          </w:rPr>
          <w:t>2</w:t>
        </w:r>
        <w:r>
          <w:rPr>
            <w:noProof/>
            <w:webHidden/>
          </w:rPr>
          <w:fldChar w:fldCharType="end"/>
        </w:r>
      </w:hyperlink>
    </w:p>
    <w:p w14:paraId="135C42F5" w14:textId="7E225C2A" w:rsidR="002E307B" w:rsidRDefault="002E307B">
      <w:pPr>
        <w:pStyle w:val="TOC1"/>
        <w:tabs>
          <w:tab w:val="right" w:pos="9016"/>
        </w:tabs>
        <w:rPr>
          <w:rFonts w:asciiTheme="minorHAnsi" w:eastAsiaTheme="minorEastAsia" w:hAnsiTheme="minorHAnsi"/>
          <w:noProof/>
          <w:color w:val="auto"/>
          <w:szCs w:val="24"/>
          <w:lang w:eastAsia="en-NG"/>
        </w:rPr>
      </w:pPr>
      <w:hyperlink w:anchor="_Toc214401657" w:history="1">
        <w:r w:rsidRPr="00802153">
          <w:rPr>
            <w:rStyle w:val="Hyperlink"/>
            <w:noProof/>
          </w:rPr>
          <w:t>Task 2: Practical Example of Concepts in Practice</w:t>
        </w:r>
        <w:r>
          <w:rPr>
            <w:noProof/>
            <w:webHidden/>
          </w:rPr>
          <w:tab/>
        </w:r>
        <w:r>
          <w:rPr>
            <w:noProof/>
            <w:webHidden/>
          </w:rPr>
          <w:fldChar w:fldCharType="begin"/>
        </w:r>
        <w:r>
          <w:rPr>
            <w:noProof/>
            <w:webHidden/>
          </w:rPr>
          <w:instrText xml:space="preserve"> PAGEREF _Toc214401657 \h </w:instrText>
        </w:r>
        <w:r>
          <w:rPr>
            <w:noProof/>
            <w:webHidden/>
          </w:rPr>
        </w:r>
        <w:r>
          <w:rPr>
            <w:noProof/>
            <w:webHidden/>
          </w:rPr>
          <w:fldChar w:fldCharType="separate"/>
        </w:r>
        <w:r>
          <w:rPr>
            <w:noProof/>
            <w:webHidden/>
          </w:rPr>
          <w:t>4</w:t>
        </w:r>
        <w:r>
          <w:rPr>
            <w:noProof/>
            <w:webHidden/>
          </w:rPr>
          <w:fldChar w:fldCharType="end"/>
        </w:r>
      </w:hyperlink>
    </w:p>
    <w:p w14:paraId="55817304" w14:textId="5AC40932" w:rsidR="002E307B" w:rsidRDefault="002E307B">
      <w:pPr>
        <w:pStyle w:val="TOC1"/>
        <w:tabs>
          <w:tab w:val="right" w:pos="9016"/>
        </w:tabs>
        <w:rPr>
          <w:rFonts w:asciiTheme="minorHAnsi" w:eastAsiaTheme="minorEastAsia" w:hAnsiTheme="minorHAnsi"/>
          <w:noProof/>
          <w:color w:val="auto"/>
          <w:szCs w:val="24"/>
          <w:lang w:eastAsia="en-NG"/>
        </w:rPr>
      </w:pPr>
      <w:hyperlink w:anchor="_Toc214401658" w:history="1">
        <w:r w:rsidRPr="00802153">
          <w:rPr>
            <w:rStyle w:val="Hyperlink"/>
            <w:noProof/>
          </w:rPr>
          <w:t>Task 3: Self-Reflection as a Health and Social Care Professional</w:t>
        </w:r>
        <w:r>
          <w:rPr>
            <w:noProof/>
            <w:webHidden/>
          </w:rPr>
          <w:tab/>
        </w:r>
        <w:r>
          <w:rPr>
            <w:noProof/>
            <w:webHidden/>
          </w:rPr>
          <w:fldChar w:fldCharType="begin"/>
        </w:r>
        <w:r>
          <w:rPr>
            <w:noProof/>
            <w:webHidden/>
          </w:rPr>
          <w:instrText xml:space="preserve"> PAGEREF _Toc214401658 \h </w:instrText>
        </w:r>
        <w:r>
          <w:rPr>
            <w:noProof/>
            <w:webHidden/>
          </w:rPr>
        </w:r>
        <w:r>
          <w:rPr>
            <w:noProof/>
            <w:webHidden/>
          </w:rPr>
          <w:fldChar w:fldCharType="separate"/>
        </w:r>
        <w:r>
          <w:rPr>
            <w:noProof/>
            <w:webHidden/>
          </w:rPr>
          <w:t>5</w:t>
        </w:r>
        <w:r>
          <w:rPr>
            <w:noProof/>
            <w:webHidden/>
          </w:rPr>
          <w:fldChar w:fldCharType="end"/>
        </w:r>
      </w:hyperlink>
    </w:p>
    <w:p w14:paraId="62263B44" w14:textId="2C02A1AF" w:rsidR="002E307B" w:rsidRDefault="002E307B">
      <w:pPr>
        <w:pStyle w:val="TOC1"/>
        <w:tabs>
          <w:tab w:val="right" w:pos="9016"/>
        </w:tabs>
        <w:rPr>
          <w:rFonts w:asciiTheme="minorHAnsi" w:eastAsiaTheme="minorEastAsia" w:hAnsiTheme="minorHAnsi"/>
          <w:noProof/>
          <w:color w:val="auto"/>
          <w:szCs w:val="24"/>
          <w:lang w:eastAsia="en-NG"/>
        </w:rPr>
      </w:pPr>
      <w:hyperlink w:anchor="_Toc214401659" w:history="1">
        <w:r w:rsidRPr="00802153">
          <w:rPr>
            <w:rStyle w:val="Hyperlink"/>
            <w:noProof/>
          </w:rPr>
          <w:t>Conclusion</w:t>
        </w:r>
        <w:r>
          <w:rPr>
            <w:noProof/>
            <w:webHidden/>
          </w:rPr>
          <w:tab/>
        </w:r>
        <w:r>
          <w:rPr>
            <w:noProof/>
            <w:webHidden/>
          </w:rPr>
          <w:fldChar w:fldCharType="begin"/>
        </w:r>
        <w:r>
          <w:rPr>
            <w:noProof/>
            <w:webHidden/>
          </w:rPr>
          <w:instrText xml:space="preserve"> PAGEREF _Toc214401659 \h </w:instrText>
        </w:r>
        <w:r>
          <w:rPr>
            <w:noProof/>
            <w:webHidden/>
          </w:rPr>
        </w:r>
        <w:r>
          <w:rPr>
            <w:noProof/>
            <w:webHidden/>
          </w:rPr>
          <w:fldChar w:fldCharType="separate"/>
        </w:r>
        <w:r>
          <w:rPr>
            <w:noProof/>
            <w:webHidden/>
          </w:rPr>
          <w:t>7</w:t>
        </w:r>
        <w:r>
          <w:rPr>
            <w:noProof/>
            <w:webHidden/>
          </w:rPr>
          <w:fldChar w:fldCharType="end"/>
        </w:r>
      </w:hyperlink>
    </w:p>
    <w:p w14:paraId="6FBC7F3C" w14:textId="6053839B" w:rsidR="002E307B" w:rsidRDefault="002E307B">
      <w:pPr>
        <w:pStyle w:val="TOC1"/>
        <w:tabs>
          <w:tab w:val="right" w:pos="9016"/>
        </w:tabs>
        <w:rPr>
          <w:rFonts w:asciiTheme="minorHAnsi" w:eastAsiaTheme="minorEastAsia" w:hAnsiTheme="minorHAnsi"/>
          <w:noProof/>
          <w:color w:val="auto"/>
          <w:szCs w:val="24"/>
          <w:lang w:eastAsia="en-NG"/>
        </w:rPr>
      </w:pPr>
      <w:hyperlink w:anchor="_Toc214401660" w:history="1">
        <w:r w:rsidRPr="00802153">
          <w:rPr>
            <w:rStyle w:val="Hyperlink"/>
            <w:noProof/>
          </w:rPr>
          <w:t>References</w:t>
        </w:r>
        <w:r>
          <w:rPr>
            <w:noProof/>
            <w:webHidden/>
          </w:rPr>
          <w:tab/>
        </w:r>
        <w:r>
          <w:rPr>
            <w:noProof/>
            <w:webHidden/>
          </w:rPr>
          <w:fldChar w:fldCharType="begin"/>
        </w:r>
        <w:r>
          <w:rPr>
            <w:noProof/>
            <w:webHidden/>
          </w:rPr>
          <w:instrText xml:space="preserve"> PAGEREF _Toc214401660 \h </w:instrText>
        </w:r>
        <w:r>
          <w:rPr>
            <w:noProof/>
            <w:webHidden/>
          </w:rPr>
        </w:r>
        <w:r>
          <w:rPr>
            <w:noProof/>
            <w:webHidden/>
          </w:rPr>
          <w:fldChar w:fldCharType="separate"/>
        </w:r>
        <w:r>
          <w:rPr>
            <w:noProof/>
            <w:webHidden/>
          </w:rPr>
          <w:t>9</w:t>
        </w:r>
        <w:r>
          <w:rPr>
            <w:noProof/>
            <w:webHidden/>
          </w:rPr>
          <w:fldChar w:fldCharType="end"/>
        </w:r>
      </w:hyperlink>
    </w:p>
    <w:p w14:paraId="47CD7501" w14:textId="2D6A1157" w:rsidR="009C2272" w:rsidRDefault="009C2272" w:rsidP="003E12E3">
      <w:pPr>
        <w:rPr>
          <w:b/>
          <w:bCs/>
        </w:rPr>
      </w:pPr>
      <w:r>
        <w:rPr>
          <w:b/>
          <w:bCs/>
        </w:rPr>
        <w:fldChar w:fldCharType="end"/>
      </w:r>
    </w:p>
    <w:p w14:paraId="3ED2EB9E" w14:textId="77777777" w:rsidR="009C2272" w:rsidRDefault="009C2272">
      <w:pPr>
        <w:spacing w:line="259" w:lineRule="auto"/>
        <w:jc w:val="left"/>
        <w:rPr>
          <w:b/>
          <w:bCs/>
        </w:rPr>
      </w:pPr>
      <w:r>
        <w:rPr>
          <w:b/>
          <w:bCs/>
        </w:rPr>
        <w:br w:type="page"/>
      </w:r>
    </w:p>
    <w:p w14:paraId="36FE3C80" w14:textId="3CA5D4DB" w:rsidR="003E12E3" w:rsidRDefault="003E12E3" w:rsidP="003E12E3">
      <w:pPr>
        <w:rPr>
          <w:b/>
          <w:bCs/>
        </w:rPr>
      </w:pPr>
      <w:r w:rsidRPr="003E12E3">
        <w:rPr>
          <w:b/>
          <w:bCs/>
        </w:rPr>
        <w:lastRenderedPageBreak/>
        <w:t>PRINCIPLES OF HEALTH AND SOCIAL CARE PRACTICE – REFLECTIVE REPORT</w:t>
      </w:r>
    </w:p>
    <w:p w14:paraId="5D3DF5C7" w14:textId="2D0AA87D" w:rsidR="003E12E3" w:rsidRPr="003E12E3" w:rsidRDefault="003E12E3" w:rsidP="003E12E3">
      <w:pPr>
        <w:pStyle w:val="Heading1"/>
      </w:pPr>
      <w:bookmarkStart w:id="0" w:name="_Toc214401655"/>
      <w:r>
        <w:t>Introduction</w:t>
      </w:r>
      <w:bookmarkEnd w:id="0"/>
    </w:p>
    <w:p w14:paraId="2569823A" w14:textId="77777777" w:rsidR="009C2272" w:rsidRPr="006606AA" w:rsidRDefault="009C2272" w:rsidP="009C2272">
      <w:r w:rsidRPr="006606AA">
        <w:t>Person-centred care, partnership working, and ethical principles are key to compassionate and collaborative practice in UK health and social care. These ideas guide professional behaviour, quality improvement, and service delivery. In this report, I will show how theoretical models, current laws, and professional guidelines like the Nursing and Midwifery Council (NMC) Code (2018) and the Health and Care Act (2022) shape daily practice. Through critical analysis and self-reflection, I will explore how these principles support safety, dignity, and teamwork. The report includes a practical example from real practice and a personal reflection on how these principles affect my professional growth. By linking theory to experience, I aim to show how reflective practice improves knowledge, accountability, and the quality of care in the UK.</w:t>
      </w:r>
    </w:p>
    <w:p w14:paraId="642D1594" w14:textId="5B30D741" w:rsidR="003E12E3" w:rsidRPr="003E12E3" w:rsidRDefault="003E12E3" w:rsidP="003E12E3">
      <w:pPr>
        <w:pStyle w:val="Heading1"/>
        <w:rPr>
          <w:lang w:val="en-NG"/>
        </w:rPr>
      </w:pPr>
      <w:bookmarkStart w:id="1" w:name="_Toc214401656"/>
      <w:r>
        <w:t>Task 1</w:t>
      </w:r>
      <w:r w:rsidR="005B501D">
        <w:t>:</w:t>
      </w:r>
      <w:r>
        <w:t xml:space="preserve"> </w:t>
      </w:r>
      <w:r w:rsidRPr="003E12E3">
        <w:t>Importance of Principles of Health and Social Care</w:t>
      </w:r>
      <w:bookmarkEnd w:id="1"/>
    </w:p>
    <w:p w14:paraId="5DF025AE" w14:textId="77777777" w:rsidR="009C2272" w:rsidRPr="006606AA" w:rsidRDefault="009C2272" w:rsidP="009C2272">
      <w:r w:rsidRPr="006606AA">
        <w:t>Person-centred care, partnership working, and ethics are three main principles that guide health and social care in the UK. Each one helps make care compassionate, respectful, and suited to each person. Person-centred care means treating people as active partners in their care, not just as patients (NICE, 2021). Partnership working is about professionals, service users, and families working together for coordinated care (Glasby &amp; Dickinson, 2022). Ethics gives a moral base for practice, making sure decisions respect autonomy, do good, avoid harm, and are fair (Beauchamp &amp; Childress, 2019).</w:t>
      </w:r>
    </w:p>
    <w:p w14:paraId="60E27E6B" w14:textId="77777777" w:rsidR="009C2272" w:rsidRPr="006606AA" w:rsidRDefault="009C2272" w:rsidP="009C2272">
      <w:r w:rsidRPr="006606AA">
        <w:t xml:space="preserve">Person-centred care enhances the quality of health outcomes by promoting respect, choice, and dignity. According to McCormack and McCance’s (2017) Person-Centred Practice Framework, genuine care requires understanding the individual’s preferences, values, and social context. This approach aligns with Maslow’s Hierarchy of Needs, where basic physical and </w:t>
      </w:r>
      <w:r w:rsidRPr="006606AA">
        <w:lastRenderedPageBreak/>
        <w:t>psychological needs must be met before individuals can achieve a sense of belonging, esteem, and self-actualisation. In the UK, the Care Quality Commission (CQC, 2022) reinforces this approach by requiring that services respect each person’s individuality and promote independence. When care is truly person-</w:t>
      </w:r>
      <w:proofErr w:type="spellStart"/>
      <w:proofErr w:type="gramStart"/>
      <w:r w:rsidRPr="006606AA">
        <w:t>centred,there</w:t>
      </w:r>
      <w:proofErr w:type="spellEnd"/>
      <w:proofErr w:type="gramEnd"/>
      <w:r w:rsidRPr="006606AA">
        <w:t xml:space="preserve"> is more adherence to care plans this is because individuals feel empowered and </w:t>
      </w:r>
      <w:proofErr w:type="spellStart"/>
      <w:r w:rsidRPr="006606AA">
        <w:t>respectedand</w:t>
      </w:r>
      <w:proofErr w:type="spellEnd"/>
      <w:r w:rsidRPr="006606AA">
        <w:t xml:space="preserve"> </w:t>
      </w:r>
      <w:proofErr w:type="gramStart"/>
      <w:r w:rsidRPr="006606AA">
        <w:t>it  leads</w:t>
      </w:r>
      <w:proofErr w:type="gramEnd"/>
      <w:r w:rsidRPr="006606AA">
        <w:t xml:space="preserve"> to improved satisfaction.</w:t>
      </w:r>
    </w:p>
    <w:p w14:paraId="6C18B286" w14:textId="77777777" w:rsidR="009C2272" w:rsidRPr="006606AA" w:rsidRDefault="009C2272" w:rsidP="009C2272">
      <w:r w:rsidRPr="006606AA">
        <w:t>Partnership working is also as essential in maintaining effective, safe, and coordinated care delivery. It involves collaboration between multidisciplinary teams, including nurses, doctors, social workers, and allied health professionals, as well as patients and their families. The Health and Care Act (2022) through systems such as Integrated Care Boards (</w:t>
      </w:r>
      <w:proofErr w:type="spellStart"/>
      <w:r w:rsidRPr="006606AA">
        <w:t>ICBs</w:t>
      </w:r>
      <w:proofErr w:type="spellEnd"/>
      <w:r w:rsidRPr="006606AA">
        <w:t>) encourages integrated working to ensure continuity of care across sectors. Tuckman’s (1965) model of team development emphasises how effective communication and mutual respect enhance group performance. When partnership working is strong, information flows smoothly, roles are clearly defined, and decisions shows different expertise resulting in improving care outcomes and reducing wasted effort.</w:t>
      </w:r>
    </w:p>
    <w:p w14:paraId="0A85AEDA" w14:textId="77777777" w:rsidR="009C2272" w:rsidRPr="006606AA" w:rsidRDefault="009C2272" w:rsidP="009C2272">
      <w:r w:rsidRPr="006606AA">
        <w:t>Ethics supports both person-centred care and partnership working by guiding how professionals handle dilemmas involving autonomy, consent, and confidentiality. The Nursing and Midwifery Council (NMC, 2018) Code requires practitioners to “prioritise people,” “practise effectively,” and “preserve safety.” For example, respecting autonomy ensures that patients’ choices are central to decision-making, even when their preferences differ from clinical opinions. Ethical practice also upholds fairness and equality, aligning with the principles of social justice embedded in UK healthcare policy.</w:t>
      </w:r>
    </w:p>
    <w:p w14:paraId="34AB54FB" w14:textId="741F6D7D" w:rsidR="003E12E3" w:rsidRPr="003E12E3" w:rsidRDefault="009C2272" w:rsidP="003E12E3">
      <w:r w:rsidRPr="006606AA">
        <w:t xml:space="preserve">These three principles are deeply interconnected. Person-centred care cannot exist without ethical reflection and effective partnership working, as decisions </w:t>
      </w:r>
      <w:r>
        <w:t>about these</w:t>
      </w:r>
      <w:r w:rsidRPr="006606AA">
        <w:t xml:space="preserve"> three principles are closely linked. Person-centred care needs both ethical thinking and good partnership </w:t>
      </w:r>
      <w:r w:rsidRPr="006606AA">
        <w:lastRenderedPageBreak/>
        <w:t xml:space="preserve">working, since care decisions often need moral judgment and teamwork. Together, they build a culture of compassion, accountability, and respect that helps both service users and staff. Knowing and using these principles keeps health and social care </w:t>
      </w:r>
      <w:r>
        <w:t>professionals fair</w:t>
      </w:r>
      <w:r w:rsidRPr="006606AA">
        <w:t xml:space="preserve"> and able to meet the different needs of the </w:t>
      </w:r>
      <w:proofErr w:type="gramStart"/>
      <w:r w:rsidRPr="006606AA">
        <w:t>population.</w:t>
      </w:r>
      <w:r w:rsidR="003E12E3" w:rsidRPr="003E12E3">
        <w:t>.</w:t>
      </w:r>
      <w:proofErr w:type="gramEnd"/>
    </w:p>
    <w:p w14:paraId="2BE7FC5F" w14:textId="77777777" w:rsidR="003E12E3" w:rsidRPr="003E12E3" w:rsidRDefault="003E12E3" w:rsidP="003E12E3">
      <w:pPr>
        <w:pStyle w:val="Heading1"/>
      </w:pPr>
      <w:bookmarkStart w:id="2" w:name="_Toc214401657"/>
      <w:r w:rsidRPr="003E12E3">
        <w:t>Task 2: Practical Example of Concepts in Practice</w:t>
      </w:r>
      <w:bookmarkEnd w:id="2"/>
    </w:p>
    <w:p w14:paraId="748C2FE9" w14:textId="77777777" w:rsidR="009C2272" w:rsidRPr="006606AA" w:rsidRDefault="003E12E3" w:rsidP="009C2272">
      <w:r w:rsidRPr="003E12E3">
        <w:t>While on placement in a community health setting, I saw person-centred care, partnership working, and ethical practice in action with an elderly patient</w:t>
      </w:r>
      <w:proofErr w:type="gramStart"/>
      <w:r w:rsidRPr="003E12E3">
        <w:t xml:space="preserve">, </w:t>
      </w:r>
      <w:r w:rsidR="009C2272" w:rsidRPr="006606AA">
        <w:t>,</w:t>
      </w:r>
      <w:proofErr w:type="gramEnd"/>
      <w:r w:rsidR="009C2272" w:rsidRPr="006606AA">
        <w:t xml:space="preserve"> Mrs. A, who was recovering from a hip fracture. She lived alone and required assistance with mobility, pain management, and daily activities. The multidisciplinary team consisted of nurses, physiotherapists, occupational therapists, and a social worker, all working collaboratively to facilitate her rehabilitation and maintain her independence at home.</w:t>
      </w:r>
    </w:p>
    <w:p w14:paraId="4116F42E" w14:textId="77777777" w:rsidR="009C2272" w:rsidRPr="006606AA" w:rsidRDefault="009C2272" w:rsidP="009C2272">
      <w:r w:rsidRPr="006606AA">
        <w:t xml:space="preserve">Person-centred care was shown during the assessment and care planning. Mrs. A took part in all decisions about her treatment goals and daily routines, instead of following a set schedule. This approach followed NICE (2021) guidelines, which stress shared decision-making and respect for each person’s choices. Because Mrs. A was anxious about losing her independence, we encouraged her to move more often so she felt in control of her recovery. McCormack and McCance’s (2017) model </w:t>
      </w:r>
      <w:proofErr w:type="gramStart"/>
      <w:r w:rsidRPr="006606AA">
        <w:t>supports</w:t>
      </w:r>
      <w:proofErr w:type="gramEnd"/>
      <w:r w:rsidRPr="006606AA">
        <w:t xml:space="preserve"> this by promoting real involvement and respect for the patient’s values. This led to a plan that met both her physical and emotional needs, improving her motivation and trust in the care team.</w:t>
      </w:r>
    </w:p>
    <w:p w14:paraId="28A27057" w14:textId="77777777" w:rsidR="009C2272" w:rsidRPr="006606AA" w:rsidRDefault="009C2272" w:rsidP="009C2272">
      <w:r w:rsidRPr="006606AA">
        <w:t xml:space="preserve">Partnership working played an important role in coordinating support across different professionals and services. The physiotherapist focused on mobility exercises, while the occupational therapist adapted Mrs. A’s home environment by installing grab rails and suggesting assistive devices. The social worker </w:t>
      </w:r>
      <w:proofErr w:type="gramStart"/>
      <w:r w:rsidRPr="006606AA">
        <w:t>worked  with</w:t>
      </w:r>
      <w:proofErr w:type="gramEnd"/>
      <w:r w:rsidRPr="006606AA">
        <w:t xml:space="preserve"> local services to arrange home care visits and ensure her medication was regularly delivered. The frequent team meetings </w:t>
      </w:r>
      <w:r w:rsidRPr="006606AA">
        <w:lastRenderedPageBreak/>
        <w:t>allowed members to share progress updates and adjust plans collectively, aligning with Tuckman’s (1965) model of team development, especially the performing stage where communication and cooperation drive effective outcomes.</w:t>
      </w:r>
    </w:p>
    <w:p w14:paraId="7ABC7518" w14:textId="77777777" w:rsidR="009C2272" w:rsidRPr="006606AA" w:rsidRDefault="009C2272" w:rsidP="009C2272">
      <w:r w:rsidRPr="006606AA">
        <w:t>Ethical principles were key to the decision-making process. The team ensured that Mrs. A provided informed consent for all interventions, respecting her autonomy under the Mental Capacity Act (2005). Confidentiality was maintained by securely handling her records in compliance with data protection regulations. Ethical dilemmas occasionally arose, such as balancing her desire for independence with concerns about safety. Through open discussion and reflection, the team upheld beneficence and non-maleficence (Beauchamp &amp; Childress, 2019). These decisions were also consistent with the Nursing and Midwifery Council’s (NMC, 2018) Code, which requires practitioners to prioritise people and preserve safety.</w:t>
      </w:r>
    </w:p>
    <w:p w14:paraId="2AE52277" w14:textId="77777777" w:rsidR="009C2272" w:rsidRPr="006606AA" w:rsidRDefault="009C2272" w:rsidP="009C2272">
      <w:r w:rsidRPr="006606AA">
        <w:t>Using all these principles together led to a good result. Mrs. A regained her mobility and confidence, saying she felt “heard and respected” during her care. Working together improved communication among professionals, and following ethical standards kept her dignity and trust. This experience showed how important it is to use person-centred values, teamwork, and ethics every day to give compassionate care that meets each person’s needs.</w:t>
      </w:r>
    </w:p>
    <w:p w14:paraId="0D51B962" w14:textId="2110E758" w:rsidR="003E12E3" w:rsidRPr="003E12E3" w:rsidRDefault="003E12E3" w:rsidP="002E307B">
      <w:pPr>
        <w:pStyle w:val="Heading1"/>
        <w:rPr>
          <w:lang w:val="en-NG"/>
        </w:rPr>
      </w:pPr>
      <w:bookmarkStart w:id="3" w:name="_Toc214401658"/>
      <w:r w:rsidRPr="003E12E3">
        <w:t>Task 3: Self-Reflection as a Health and Social Care Professional</w:t>
      </w:r>
      <w:bookmarkEnd w:id="3"/>
    </w:p>
    <w:p w14:paraId="640CDE82" w14:textId="0F6EB7C3" w:rsidR="005B501D" w:rsidRDefault="002E307B" w:rsidP="002E307B">
      <w:r w:rsidRPr="006606AA">
        <w:t>As a developing professional in health and social care, I have come to recognise that person-centred care, partnership working, and ethical practice are key values for good service and my own development. Reflecting on my experiences has helped me see how these principles shape my daily work, affect how I interact with service users, and support ongoing learning. I will use Gibbs’ Reflective Cycle (1988) to organise this reflection.</w:t>
      </w:r>
      <w:r w:rsidR="005B501D">
        <w:t xml:space="preserve"> </w:t>
      </w:r>
      <w:r w:rsidR="005B501D" w:rsidRPr="005B501D">
        <w:t xml:space="preserve">Using this model also helps me slow down and think more deeply about situations that, at the time, felt routine, but in hindsight </w:t>
      </w:r>
      <w:r w:rsidR="005B501D" w:rsidRPr="005B501D">
        <w:lastRenderedPageBreak/>
        <w:t xml:space="preserve">carry important lessons about </w:t>
      </w:r>
      <w:r w:rsidR="005B501D">
        <w:t>judgment</w:t>
      </w:r>
      <w:r w:rsidR="005B501D" w:rsidRPr="005B501D">
        <w:t>, communication, and confidence. This deeper reflection makes me more aware of my strengths and the areas where I still need development.</w:t>
      </w:r>
    </w:p>
    <w:p w14:paraId="2023A320" w14:textId="7C6D15A2" w:rsidR="005B501D" w:rsidRPr="005B501D" w:rsidRDefault="005B501D" w:rsidP="002E307B">
      <w:pPr>
        <w:rPr>
          <w:b/>
          <w:bCs/>
        </w:rPr>
      </w:pPr>
      <w:r w:rsidRPr="005B501D">
        <w:rPr>
          <w:b/>
          <w:bCs/>
        </w:rPr>
        <w:t>Description</w:t>
      </w:r>
    </w:p>
    <w:p w14:paraId="17028043" w14:textId="7EC47C92" w:rsidR="002E307B" w:rsidRPr="006606AA" w:rsidRDefault="005B501D" w:rsidP="002E307B">
      <w:r w:rsidRPr="005B501D">
        <w:t xml:space="preserve">During my placement in a community health team, I was involved in supporting an older adult, </w:t>
      </w:r>
      <w:r w:rsidR="002E307B" w:rsidRPr="006606AA">
        <w:t>Mr. J, who had recently been diagnosed with chronic obstructive pulmonary disease (COPD). My role included observing care delivery, communicating with him about his treatment plan, and assisting with health education regarding lifestyle management. This experience provided an opportunity to apply the principles of person-centred care, partnership working, and ethical decision-making in a real practice setting.</w:t>
      </w:r>
    </w:p>
    <w:p w14:paraId="55FF3B58" w14:textId="77777777" w:rsidR="002E307B" w:rsidRPr="006606AA" w:rsidRDefault="002E307B" w:rsidP="002E307B">
      <w:r w:rsidRPr="006606AA">
        <w:rPr>
          <w:b/>
          <w:bCs/>
        </w:rPr>
        <w:t>Feelings</w:t>
      </w:r>
    </w:p>
    <w:p w14:paraId="3B9470DE" w14:textId="40EE357F" w:rsidR="002E307B" w:rsidRPr="006606AA" w:rsidRDefault="002E307B" w:rsidP="002E307B">
      <w:r w:rsidRPr="006606AA">
        <w:t>At first, I felt both eager and unsure. I wanted to help Mr. J well but was not sure how to balance clinical rules with what he wanted. I also felt responsible for communicating respectfully and ethically, especially when he was frustrated about his diagnosis and the changes he needed to make. These feelings made me think more about the human side of care and how important empathy, listening, and teamwork are for building trust</w:t>
      </w:r>
      <w:r w:rsidR="005B2484" w:rsidRPr="005B2484">
        <w:t>.</w:t>
      </w:r>
    </w:p>
    <w:p w14:paraId="48BABC94" w14:textId="77777777" w:rsidR="002E307B" w:rsidRPr="006606AA" w:rsidRDefault="002E307B" w:rsidP="002E307B">
      <w:r w:rsidRPr="006606AA">
        <w:rPr>
          <w:b/>
          <w:bCs/>
        </w:rPr>
        <w:t>Evaluation</w:t>
      </w:r>
    </w:p>
    <w:p w14:paraId="3EE161FE" w14:textId="01283F29" w:rsidR="002E307B" w:rsidRPr="006606AA" w:rsidRDefault="002E307B" w:rsidP="002E307B">
      <w:r w:rsidRPr="006606AA">
        <w:t xml:space="preserve">A positive part of this experience was practicing person-centred communication. I made sure Mr. J’s preferences were at the centre of care discussions. For example, when he did not want to go to pulmonary rehab because of transport issues, the team arranged a home exercise plan. This showed respect for his autonomy and dignity, as NICE (2021) recommends. I also saw that I need to be more confident in team communication. Sometimes I held back my thoughts in meetings, which meant I did not fully take part in group </w:t>
      </w:r>
      <w:r w:rsidR="005B2484" w:rsidRPr="006606AA">
        <w:t>decisions</w:t>
      </w:r>
      <w:proofErr w:type="gramStart"/>
      <w:r w:rsidR="005B2484" w:rsidRPr="006606AA">
        <w:t>.</w:t>
      </w:r>
      <w:r w:rsidR="005B2484" w:rsidRPr="005B2484">
        <w:t xml:space="preserve"> </w:t>
      </w:r>
      <w:r w:rsidR="005B2484" w:rsidRPr="005B2484">
        <w:t>.</w:t>
      </w:r>
      <w:proofErr w:type="gramEnd"/>
    </w:p>
    <w:p w14:paraId="67791A26" w14:textId="77777777" w:rsidR="002E307B" w:rsidRPr="006606AA" w:rsidRDefault="002E307B" w:rsidP="002E307B">
      <w:r w:rsidRPr="006606AA">
        <w:rPr>
          <w:b/>
          <w:bCs/>
        </w:rPr>
        <w:t>Analysis</w:t>
      </w:r>
    </w:p>
    <w:p w14:paraId="2EB9A5EF" w14:textId="77777777" w:rsidR="005B2484" w:rsidRDefault="002E307B" w:rsidP="002E307B">
      <w:r w:rsidRPr="006606AA">
        <w:lastRenderedPageBreak/>
        <w:t xml:space="preserve">Person-centred care means seeing people as partners in their care, not just as patients. McCormack and McCance (2017) say real person-centred practice </w:t>
      </w:r>
      <w:proofErr w:type="gramStart"/>
      <w:r w:rsidRPr="006606AA">
        <w:t>is</w:t>
      </w:r>
      <w:proofErr w:type="gramEnd"/>
      <w:r w:rsidRPr="006606AA">
        <w:t xml:space="preserve"> about respecting values, offering choices, and understanding each person’s situation. When I worked with Mr. J, I found that listening and showing empathy helped him take part in his own care. This fits with Maslow’s Hierarchy of Needs, which says emotional support and belonging help people stay motivated and well.</w:t>
      </w:r>
      <w:r w:rsidR="005B2484">
        <w:t xml:space="preserve"> </w:t>
      </w:r>
    </w:p>
    <w:p w14:paraId="3FE21C8F" w14:textId="1087399B" w:rsidR="002E307B" w:rsidRPr="006606AA" w:rsidRDefault="002E307B" w:rsidP="002E307B">
      <w:r w:rsidRPr="006606AA">
        <w:t xml:space="preserve">In terms of partnership working, I observed how collaboration between nurses, physiotherapists, and the general practitioner improved continuity of care. The Health and Care Act (2022) </w:t>
      </w:r>
      <w:proofErr w:type="gramStart"/>
      <w:r w:rsidRPr="006606AA">
        <w:t>encourages</w:t>
      </w:r>
      <w:proofErr w:type="gramEnd"/>
      <w:r w:rsidRPr="006606AA">
        <w:t xml:space="preserve"> such integrated practice to avoid fragmented services. Using Tuckman’s (1965) model, I identified that our team was in the “norming” stage, where members developed trust and shared understanding. However, I recognised that stronger communication and assertiveness on my part would enhance my ability to contribute effectively to group decisions. This experience showed me that partnership working not only benefits patients but also strengthens professional relationships and shared accountability.</w:t>
      </w:r>
      <w:r w:rsidR="005B2484">
        <w:t xml:space="preserve"> </w:t>
      </w:r>
    </w:p>
    <w:p w14:paraId="606E7416" w14:textId="493053F0" w:rsidR="002E307B" w:rsidRPr="006606AA" w:rsidRDefault="002E307B" w:rsidP="002E307B">
      <w:r w:rsidRPr="006606AA">
        <w:t>Ethical practice guided our choices throughout. We made sure Mr. J gave informed consent for every part of his treatment, following the Mental Capacity Act (2005). Respecting his right to decide about his care matched the ethical ideas of autonomy and beneficence (Beauchamp &amp; Childress, 2019). Once, Mr. J refused to use his inhaler regularly, even after we explained the risks. Instead of pushing him, the nurse and I gave him clear information so he could decide for himself. This fits with the NMC (2018) Code, which focuses on patient empowerment and respect.</w:t>
      </w:r>
      <w:r w:rsidR="005B2484">
        <w:t xml:space="preserve"> </w:t>
      </w:r>
      <w:r w:rsidR="005B2484" w:rsidRPr="005B2484">
        <w:t>This experience also showed me how challenging ethical practice can be in real situations. It is one thing to learn the principles, but another to remain calm and supportive when a patient makes a choice that increases their risk. It taught me the importance of patience, clarity, and non-judgment when supporting someone’s autonomy.</w:t>
      </w:r>
    </w:p>
    <w:p w14:paraId="08685D8B" w14:textId="77777777" w:rsidR="002E307B" w:rsidRPr="006606AA" w:rsidRDefault="002E307B" w:rsidP="002E307B">
      <w:pPr>
        <w:pStyle w:val="Heading1"/>
      </w:pPr>
      <w:bookmarkStart w:id="4" w:name="_Toc214401659"/>
      <w:r w:rsidRPr="006606AA">
        <w:lastRenderedPageBreak/>
        <w:t>Conclusion</w:t>
      </w:r>
      <w:bookmarkEnd w:id="4"/>
    </w:p>
    <w:p w14:paraId="26D9400A" w14:textId="771B850C" w:rsidR="002E307B" w:rsidRPr="006606AA" w:rsidRDefault="002E307B" w:rsidP="002E307B">
      <w:r w:rsidRPr="006606AA">
        <w:t>Through this experience, I learned that effective care depends on understanding the individual behind the illness. Applying person-centred care allowed me to support Mr. J’s emotional and physical needs holistically. Partnership working helped me appreciate how multidisciplinary collaboration creates a seamless and supportive care environment. Most importantly, engaging with ethical decision-making strengthened my understanding of professional accountability and respect for autonomy. I also recognised areas for improvement, particularly in assertive communication and confidence when contributing to team discussions. Developing these skills will enable me to collaborate more effectively and uphold professional standards in future practice.</w:t>
      </w:r>
      <w:r w:rsidR="005B2484">
        <w:t xml:space="preserve"> </w:t>
      </w:r>
      <w:r w:rsidR="005B2484" w:rsidRPr="005B2484">
        <w:t>I now understand that growth in health and social care is a gradual process, and every experience adds something new to my confidence and professional identity.</w:t>
      </w:r>
    </w:p>
    <w:p w14:paraId="33DA7A17" w14:textId="3D210436" w:rsidR="002E307B" w:rsidRPr="005B2484" w:rsidRDefault="002E307B" w:rsidP="002E307B">
      <w:r w:rsidRPr="006606AA">
        <w:t>Going forward, I plan to take several steps to strengthen my practice. Firstly, I will engage in continuing professional development (CPD) by attending workshops focused on communication and interprofessional collaboration. This aligns with the HCPC (2016) Standards of Proficiency, which encourage ongoing learning and reflective practice. Secondly, I intend to participate in peer reflection sessions or seek mentorship from experienced practitioners to enhance my confidence in expressing clinical opinions during teamwork. Thirdly, I will continue to read up on familiarise myself with key policies and legislation, including the Care Act (2014) and Health and Care Act (2022), to make sure that my actions remain ethically and legally sound. Finally, I aim to maintain a reflective journal to regularly evaluate my progress in applying person-centred and ethical approaches in practice.</w:t>
      </w:r>
      <w:r w:rsidR="005B2484">
        <w:t xml:space="preserve"> </w:t>
      </w:r>
      <w:r w:rsidR="005B2484" w:rsidRPr="005B2484">
        <w:t>By doing this, I hope to develop more consistent habits of reflection and self-awareness, which will support better decision-making and improve the quality of care I deliver.</w:t>
      </w:r>
    </w:p>
    <w:p w14:paraId="5F8A8AB6" w14:textId="77777777" w:rsidR="002E307B" w:rsidRPr="006606AA" w:rsidRDefault="002E307B" w:rsidP="002E307B">
      <w:r w:rsidRPr="006606AA">
        <w:t xml:space="preserve">Reflecting with Gibbs’ model has helped me understand myself better and commit to growing as a professional. I have learned that good health and social care needs compassion, teamwork, </w:t>
      </w:r>
      <w:r w:rsidRPr="006606AA">
        <w:lastRenderedPageBreak/>
        <w:t>and strong ethics. By using these principles, I will improve the care I give and become a more reflective and ethical practitioner who values each person’s dignity, autonomy, and well-being.</w:t>
      </w:r>
    </w:p>
    <w:p w14:paraId="703B2623" w14:textId="18412A5A" w:rsidR="003E12E3" w:rsidRPr="003E12E3" w:rsidRDefault="003E12E3" w:rsidP="003E12E3">
      <w:r w:rsidRPr="003E12E3">
        <w:t>.</w:t>
      </w:r>
    </w:p>
    <w:p w14:paraId="28330294" w14:textId="5069546D" w:rsidR="003E12E3" w:rsidRDefault="003E12E3">
      <w:pPr>
        <w:spacing w:line="259" w:lineRule="auto"/>
        <w:jc w:val="left"/>
      </w:pPr>
      <w:r>
        <w:br w:type="page"/>
      </w:r>
    </w:p>
    <w:p w14:paraId="47F6B6F7" w14:textId="6F726E3B" w:rsidR="003E12E3" w:rsidRPr="003E12E3" w:rsidRDefault="009C2272" w:rsidP="009C2272">
      <w:pPr>
        <w:pStyle w:val="Heading1"/>
      </w:pPr>
      <w:bookmarkStart w:id="5" w:name="_Toc214401660"/>
      <w:r w:rsidRPr="003E12E3">
        <w:lastRenderedPageBreak/>
        <w:t>References</w:t>
      </w:r>
      <w:bookmarkEnd w:id="5"/>
    </w:p>
    <w:p w14:paraId="5ED5FB58" w14:textId="77777777" w:rsidR="003E12E3" w:rsidRPr="003E12E3" w:rsidRDefault="003E12E3" w:rsidP="003E12E3">
      <w:r w:rsidRPr="003E12E3">
        <w:t xml:space="preserve">Beauchamp, T. L., &amp; Childress, J. F. (2019). </w:t>
      </w:r>
      <w:r w:rsidRPr="003E12E3">
        <w:rPr>
          <w:i/>
          <w:iCs/>
        </w:rPr>
        <w:t>Principles of biomedical ethics</w:t>
      </w:r>
      <w:r w:rsidRPr="003E12E3">
        <w:t xml:space="preserve"> (8th ed.). Oxford University Press.</w:t>
      </w:r>
    </w:p>
    <w:p w14:paraId="52184219" w14:textId="77777777" w:rsidR="003E12E3" w:rsidRPr="003E12E3" w:rsidRDefault="003E12E3" w:rsidP="003E12E3">
      <w:r w:rsidRPr="003E12E3">
        <w:t xml:space="preserve">Care Act. (2014). </w:t>
      </w:r>
      <w:r w:rsidRPr="003E12E3">
        <w:rPr>
          <w:i/>
          <w:iCs/>
        </w:rPr>
        <w:t>Chapter 23</w:t>
      </w:r>
      <w:r w:rsidRPr="003E12E3">
        <w:t>. The Stationery Office.</w:t>
      </w:r>
    </w:p>
    <w:p w14:paraId="07AC9ED7" w14:textId="77777777" w:rsidR="003E12E3" w:rsidRPr="003E12E3" w:rsidRDefault="003E12E3" w:rsidP="003E12E3">
      <w:r w:rsidRPr="003E12E3">
        <w:t xml:space="preserve">Care Quality Commission (CQC). (2022). </w:t>
      </w:r>
      <w:r w:rsidRPr="003E12E3">
        <w:rPr>
          <w:i/>
          <w:iCs/>
        </w:rPr>
        <w:t>Person-centred care: Key lines of enquiry</w:t>
      </w:r>
      <w:r w:rsidRPr="003E12E3">
        <w:t xml:space="preserve">. Retrieved from </w:t>
      </w:r>
      <w:hyperlink r:id="rId5" w:history="1">
        <w:r w:rsidRPr="003E12E3">
          <w:rPr>
            <w:rStyle w:val="Hyperlink"/>
          </w:rPr>
          <w:t>https://www.cqc.org.uk</w:t>
        </w:r>
      </w:hyperlink>
    </w:p>
    <w:p w14:paraId="045644D9" w14:textId="77777777" w:rsidR="003E12E3" w:rsidRPr="003E12E3" w:rsidRDefault="003E12E3" w:rsidP="003E12E3">
      <w:r w:rsidRPr="003E12E3">
        <w:t xml:space="preserve">Gibbs, G. (1988). </w:t>
      </w:r>
      <w:r w:rsidRPr="003E12E3">
        <w:rPr>
          <w:i/>
          <w:iCs/>
        </w:rPr>
        <w:t>Learning by doing: A guide to teaching and learning methods</w:t>
      </w:r>
      <w:r w:rsidRPr="003E12E3">
        <w:t>. Oxford Polytechnic.</w:t>
      </w:r>
    </w:p>
    <w:p w14:paraId="7C9BE8C8" w14:textId="77777777" w:rsidR="003E12E3" w:rsidRPr="003E12E3" w:rsidRDefault="003E12E3" w:rsidP="003E12E3">
      <w:r w:rsidRPr="003E12E3">
        <w:t xml:space="preserve">Glasby, J., &amp; Dickinson, H. (2022). </w:t>
      </w:r>
      <w:r w:rsidRPr="003E12E3">
        <w:rPr>
          <w:i/>
          <w:iCs/>
        </w:rPr>
        <w:t>Partnership working in health and social care</w:t>
      </w:r>
      <w:r w:rsidRPr="003E12E3">
        <w:t xml:space="preserve"> (3rd ed.). Policy Press.</w:t>
      </w:r>
    </w:p>
    <w:p w14:paraId="043E4A74" w14:textId="77777777" w:rsidR="003E12E3" w:rsidRPr="003E12E3" w:rsidRDefault="003E12E3" w:rsidP="003E12E3">
      <w:r w:rsidRPr="003E12E3">
        <w:t xml:space="preserve">Health and Care Act. (2022). </w:t>
      </w:r>
      <w:r w:rsidRPr="003E12E3">
        <w:rPr>
          <w:i/>
          <w:iCs/>
        </w:rPr>
        <w:t>Chapter 31</w:t>
      </w:r>
      <w:r w:rsidRPr="003E12E3">
        <w:t>. The Stationery Office.</w:t>
      </w:r>
    </w:p>
    <w:p w14:paraId="64BAF91D" w14:textId="77777777" w:rsidR="003E12E3" w:rsidRPr="003E12E3" w:rsidRDefault="003E12E3" w:rsidP="003E12E3">
      <w:r w:rsidRPr="003E12E3">
        <w:t xml:space="preserve">Health and Care Professions Council (HCPC). (2016). </w:t>
      </w:r>
      <w:r w:rsidRPr="003E12E3">
        <w:rPr>
          <w:i/>
          <w:iCs/>
        </w:rPr>
        <w:t>Standards of proficiency</w:t>
      </w:r>
      <w:r w:rsidRPr="003E12E3">
        <w:t>. HCPC.</w:t>
      </w:r>
    </w:p>
    <w:p w14:paraId="73F3B77B" w14:textId="77777777" w:rsidR="003E12E3" w:rsidRPr="003E12E3" w:rsidRDefault="003E12E3" w:rsidP="003E12E3">
      <w:r w:rsidRPr="003E12E3">
        <w:t xml:space="preserve">Maslow, A. H. (1943). A theory of human motivation. </w:t>
      </w:r>
      <w:r w:rsidRPr="003E12E3">
        <w:rPr>
          <w:i/>
          <w:iCs/>
        </w:rPr>
        <w:t>Psychological Review</w:t>
      </w:r>
      <w:r w:rsidRPr="003E12E3">
        <w:t>, 50(4), 370–396.</w:t>
      </w:r>
    </w:p>
    <w:p w14:paraId="67D2E3BD" w14:textId="77777777" w:rsidR="003E12E3" w:rsidRPr="003E12E3" w:rsidRDefault="003E12E3" w:rsidP="003E12E3">
      <w:r w:rsidRPr="003E12E3">
        <w:t xml:space="preserve">McCormack, B., &amp; McCance, T. (2017). </w:t>
      </w:r>
      <w:r w:rsidRPr="003E12E3">
        <w:rPr>
          <w:i/>
          <w:iCs/>
        </w:rPr>
        <w:t>Person-centred practice in nursing and health care: Theory and practice</w:t>
      </w:r>
      <w:r w:rsidRPr="003E12E3">
        <w:t xml:space="preserve"> (2nd ed.). Wiley-Blackwell.</w:t>
      </w:r>
    </w:p>
    <w:p w14:paraId="2077C5D2" w14:textId="77777777" w:rsidR="003E12E3" w:rsidRPr="003E12E3" w:rsidRDefault="003E12E3" w:rsidP="003E12E3">
      <w:r w:rsidRPr="003E12E3">
        <w:t xml:space="preserve">Mental Capacity Act. (2005). </w:t>
      </w:r>
      <w:r w:rsidRPr="003E12E3">
        <w:rPr>
          <w:i/>
          <w:iCs/>
        </w:rPr>
        <w:t>Chapter 9</w:t>
      </w:r>
      <w:r w:rsidRPr="003E12E3">
        <w:t>. The Stationery Office.</w:t>
      </w:r>
    </w:p>
    <w:p w14:paraId="2DECBBF1" w14:textId="77777777" w:rsidR="003E12E3" w:rsidRPr="003E12E3" w:rsidRDefault="003E12E3" w:rsidP="003E12E3">
      <w:r w:rsidRPr="003E12E3">
        <w:rPr>
          <w:i/>
          <w:iCs/>
        </w:rPr>
        <w:t>overview</w:t>
      </w:r>
      <w:r w:rsidRPr="003E12E3">
        <w:t xml:space="preserve">. Retrieved from </w:t>
      </w:r>
      <w:hyperlink r:id="rId6" w:history="1">
        <w:r w:rsidRPr="003E12E3">
          <w:rPr>
            <w:rStyle w:val="Hyperlink"/>
          </w:rPr>
          <w:t>https://www.nice.org.uk</w:t>
        </w:r>
      </w:hyperlink>
    </w:p>
    <w:p w14:paraId="6DF2DE4C" w14:textId="77777777" w:rsidR="003E12E3" w:rsidRPr="003E12E3" w:rsidRDefault="003E12E3" w:rsidP="003E12E3">
      <w:r w:rsidRPr="003E12E3">
        <w:t xml:space="preserve">Nursing and Midwifery Council (NMC). (2018). </w:t>
      </w:r>
      <w:r w:rsidRPr="003E12E3">
        <w:rPr>
          <w:i/>
          <w:iCs/>
        </w:rPr>
        <w:t>The Code: Professional standards of practice and behaviour for nurses, midwives and nursing associates</w:t>
      </w:r>
      <w:r w:rsidRPr="003E12E3">
        <w:t>. NMC.</w:t>
      </w:r>
    </w:p>
    <w:p w14:paraId="1946E9F8" w14:textId="77777777" w:rsidR="003E12E3" w:rsidRPr="003E12E3" w:rsidRDefault="003E12E3" w:rsidP="003E12E3">
      <w:r w:rsidRPr="003E12E3">
        <w:t xml:space="preserve">Nursing and Midwifery Council (NMC). (2018). </w:t>
      </w:r>
      <w:r w:rsidRPr="003E12E3">
        <w:rPr>
          <w:i/>
          <w:iCs/>
        </w:rPr>
        <w:t>The Code: Professional standards of practice and behaviour for nurses, midwives and nursing associates</w:t>
      </w:r>
      <w:r w:rsidRPr="003E12E3">
        <w:t>. NMC.</w:t>
      </w:r>
    </w:p>
    <w:p w14:paraId="508A9959" w14:textId="77777777" w:rsidR="003E12E3" w:rsidRPr="003E12E3" w:rsidRDefault="003E12E3" w:rsidP="003E12E3">
      <w:r w:rsidRPr="003E12E3">
        <w:lastRenderedPageBreak/>
        <w:t xml:space="preserve">Tuckman, B. W. (1965). Developmental sequence in small groups. </w:t>
      </w:r>
      <w:r w:rsidRPr="003E12E3">
        <w:rPr>
          <w:i/>
          <w:iCs/>
        </w:rPr>
        <w:t>Psychological Bulletin</w:t>
      </w:r>
      <w:r w:rsidRPr="003E12E3">
        <w:t>, 63(6), 384–399.</w:t>
      </w:r>
    </w:p>
    <w:p w14:paraId="42F9EA00" w14:textId="77777777" w:rsidR="00AE457B" w:rsidRDefault="00AE457B"/>
    <w:sectPr w:rsidR="00AE45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D6F"/>
    <w:rsid w:val="00114ECA"/>
    <w:rsid w:val="00147EDF"/>
    <w:rsid w:val="00196E59"/>
    <w:rsid w:val="001B6054"/>
    <w:rsid w:val="00230D4A"/>
    <w:rsid w:val="002825DA"/>
    <w:rsid w:val="002E307B"/>
    <w:rsid w:val="00316471"/>
    <w:rsid w:val="0032492B"/>
    <w:rsid w:val="0035784D"/>
    <w:rsid w:val="003A78D4"/>
    <w:rsid w:val="003C7787"/>
    <w:rsid w:val="003E12E3"/>
    <w:rsid w:val="003F0C6D"/>
    <w:rsid w:val="004338DF"/>
    <w:rsid w:val="00463594"/>
    <w:rsid w:val="004A1DB6"/>
    <w:rsid w:val="004C0691"/>
    <w:rsid w:val="004D79B9"/>
    <w:rsid w:val="004F0FA2"/>
    <w:rsid w:val="004F6CB5"/>
    <w:rsid w:val="005057F1"/>
    <w:rsid w:val="00554C89"/>
    <w:rsid w:val="005618B4"/>
    <w:rsid w:val="005B2484"/>
    <w:rsid w:val="005B3BE0"/>
    <w:rsid w:val="005B501D"/>
    <w:rsid w:val="005F639B"/>
    <w:rsid w:val="00600AAF"/>
    <w:rsid w:val="00601923"/>
    <w:rsid w:val="006A07BF"/>
    <w:rsid w:val="006B2B81"/>
    <w:rsid w:val="006E0CDB"/>
    <w:rsid w:val="00717BBA"/>
    <w:rsid w:val="00796023"/>
    <w:rsid w:val="007D2014"/>
    <w:rsid w:val="008143A7"/>
    <w:rsid w:val="00894454"/>
    <w:rsid w:val="008A3021"/>
    <w:rsid w:val="008C361B"/>
    <w:rsid w:val="0090296D"/>
    <w:rsid w:val="00903BE7"/>
    <w:rsid w:val="00934EB5"/>
    <w:rsid w:val="00940F47"/>
    <w:rsid w:val="00973706"/>
    <w:rsid w:val="009C2272"/>
    <w:rsid w:val="009D2AC3"/>
    <w:rsid w:val="00A062FA"/>
    <w:rsid w:val="00A11C28"/>
    <w:rsid w:val="00A42AD0"/>
    <w:rsid w:val="00A64EC6"/>
    <w:rsid w:val="00A74E8F"/>
    <w:rsid w:val="00A9546B"/>
    <w:rsid w:val="00AD0D18"/>
    <w:rsid w:val="00AE457B"/>
    <w:rsid w:val="00B6243B"/>
    <w:rsid w:val="00B67EA1"/>
    <w:rsid w:val="00B86B8E"/>
    <w:rsid w:val="00BB3C58"/>
    <w:rsid w:val="00BB5902"/>
    <w:rsid w:val="00BB609F"/>
    <w:rsid w:val="00BE11C8"/>
    <w:rsid w:val="00C26951"/>
    <w:rsid w:val="00C9189D"/>
    <w:rsid w:val="00CE58B8"/>
    <w:rsid w:val="00CF5A1A"/>
    <w:rsid w:val="00D53610"/>
    <w:rsid w:val="00D56F1E"/>
    <w:rsid w:val="00D83A32"/>
    <w:rsid w:val="00DE619D"/>
    <w:rsid w:val="00DF4B7F"/>
    <w:rsid w:val="00E24A25"/>
    <w:rsid w:val="00E63D6F"/>
    <w:rsid w:val="00EB4EB0"/>
    <w:rsid w:val="00EE06B7"/>
    <w:rsid w:val="00F70DC1"/>
  </w:rsids>
  <m:mathPr>
    <m:mathFont m:val="Cambria Math"/>
    <m:brkBin m:val="before"/>
    <m:brkBinSub m:val="--"/>
    <m:smallFrac m:val="0"/>
    <m:dispDef/>
    <m:lMargin m:val="0"/>
    <m:rMargin m:val="0"/>
    <m:defJc m:val="centerGroup"/>
    <m:wrapIndent m:val="1440"/>
    <m:intLim m:val="subSup"/>
    <m:naryLim m:val="undOvr"/>
  </m:mathPr>
  <w:themeFontLang w:val="en-N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C140E9"/>
  <w15:chartTrackingRefBased/>
  <w15:docId w15:val="{54B230DA-4E77-43CA-A41D-5BF9733FD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N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4A25"/>
    <w:pPr>
      <w:spacing w:line="48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3E12E3"/>
    <w:pPr>
      <w:keepNext/>
      <w:keepLines/>
      <w:spacing w:before="400" w:after="120" w:line="276" w:lineRule="auto"/>
      <w:jc w:val="left"/>
      <w:outlineLvl w:val="0"/>
    </w:pPr>
    <w:rPr>
      <w:rFonts w:eastAsia="Arial" w:cs="Arial"/>
      <w:b/>
      <w:color w:val="auto"/>
      <w:kern w:val="0"/>
      <w:szCs w:val="40"/>
      <w:lang w:val="en"/>
      <w14:ligatures w14:val="none"/>
    </w:rPr>
  </w:style>
  <w:style w:type="paragraph" w:styleId="Heading2">
    <w:name w:val="heading 2"/>
    <w:basedOn w:val="Normal"/>
    <w:next w:val="Normal"/>
    <w:link w:val="Heading2Char"/>
    <w:uiPriority w:val="9"/>
    <w:unhideWhenUsed/>
    <w:qFormat/>
    <w:rsid w:val="00DF4B7F"/>
    <w:pPr>
      <w:keepNext/>
      <w:keepLines/>
      <w:spacing w:before="360" w:after="120" w:line="276" w:lineRule="auto"/>
      <w:jc w:val="left"/>
      <w:outlineLvl w:val="1"/>
    </w:pPr>
    <w:rPr>
      <w:rFonts w:eastAsia="Arial" w:cs="Arial"/>
      <w:b/>
      <w:color w:val="auto"/>
      <w:kern w:val="0"/>
      <w:szCs w:val="32"/>
      <w:lang w:val="en"/>
      <w14:ligatures w14:val="none"/>
    </w:rPr>
  </w:style>
  <w:style w:type="paragraph" w:styleId="Heading3">
    <w:name w:val="heading 3"/>
    <w:basedOn w:val="Normal"/>
    <w:next w:val="Normal"/>
    <w:link w:val="Heading3Char"/>
    <w:uiPriority w:val="9"/>
    <w:unhideWhenUsed/>
    <w:qFormat/>
    <w:rsid w:val="004C0691"/>
    <w:pPr>
      <w:keepNext/>
      <w:keepLines/>
      <w:spacing w:before="40" w:after="0"/>
      <w:jc w:val="left"/>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B6243B"/>
    <w:pPr>
      <w:keepNext/>
      <w:keepLines/>
      <w:spacing w:before="80" w:after="40"/>
      <w:outlineLvl w:val="3"/>
    </w:pPr>
    <w:rPr>
      <w:rFonts w:eastAsiaTheme="majorEastAsia" w:cstheme="majorBidi"/>
      <w:i/>
      <w:iCs/>
    </w:rPr>
  </w:style>
  <w:style w:type="paragraph" w:styleId="Heading5">
    <w:name w:val="heading 5"/>
    <w:basedOn w:val="Normal"/>
    <w:next w:val="Normal"/>
    <w:link w:val="Heading5Char"/>
    <w:uiPriority w:val="9"/>
    <w:semiHidden/>
    <w:unhideWhenUsed/>
    <w:qFormat/>
    <w:rsid w:val="00E63D6F"/>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E63D6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63D6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63D6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63D6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12E3"/>
    <w:rPr>
      <w:rFonts w:ascii="Times New Roman" w:eastAsia="Arial" w:hAnsi="Times New Roman" w:cs="Arial"/>
      <w:b/>
      <w:kern w:val="0"/>
      <w:sz w:val="24"/>
      <w:szCs w:val="40"/>
      <w:lang w:val="en"/>
      <w14:ligatures w14:val="none"/>
    </w:rPr>
  </w:style>
  <w:style w:type="character" w:customStyle="1" w:styleId="Heading2Char">
    <w:name w:val="Heading 2 Char"/>
    <w:basedOn w:val="DefaultParagraphFont"/>
    <w:link w:val="Heading2"/>
    <w:uiPriority w:val="9"/>
    <w:rsid w:val="00DF4B7F"/>
    <w:rPr>
      <w:rFonts w:ascii="Times New Roman" w:eastAsia="Arial" w:hAnsi="Times New Roman" w:cs="Arial"/>
      <w:b/>
      <w:kern w:val="0"/>
      <w:sz w:val="24"/>
      <w:szCs w:val="32"/>
      <w:lang w:val="en"/>
      <w14:ligatures w14:val="none"/>
    </w:rPr>
  </w:style>
  <w:style w:type="character" w:customStyle="1" w:styleId="Heading3Char">
    <w:name w:val="Heading 3 Char"/>
    <w:basedOn w:val="DefaultParagraphFont"/>
    <w:link w:val="Heading3"/>
    <w:uiPriority w:val="9"/>
    <w:rsid w:val="004C0691"/>
    <w:rPr>
      <w:rFonts w:ascii="Times New Roman" w:eastAsiaTheme="majorEastAsia" w:hAnsi="Times New Roman" w:cstheme="majorBidi"/>
      <w:b/>
      <w:color w:val="000000" w:themeColor="text1"/>
      <w:sz w:val="24"/>
      <w:szCs w:val="24"/>
    </w:rPr>
  </w:style>
  <w:style w:type="character" w:customStyle="1" w:styleId="Heading4Char">
    <w:name w:val="Heading 4 Char"/>
    <w:basedOn w:val="DefaultParagraphFont"/>
    <w:link w:val="Heading4"/>
    <w:uiPriority w:val="9"/>
    <w:rsid w:val="00B6243B"/>
    <w:rPr>
      <w:rFonts w:ascii="Times New Roman" w:eastAsiaTheme="majorEastAsia" w:hAnsi="Times New Roman" w:cstheme="majorBidi"/>
      <w:i/>
      <w:iCs/>
      <w:color w:val="000000" w:themeColor="text1"/>
      <w:sz w:val="24"/>
    </w:rPr>
  </w:style>
  <w:style w:type="paragraph" w:styleId="TOC1">
    <w:name w:val="toc 1"/>
    <w:basedOn w:val="Normal"/>
    <w:next w:val="Normal"/>
    <w:autoRedefine/>
    <w:uiPriority w:val="39"/>
    <w:unhideWhenUsed/>
    <w:rsid w:val="00EB4EB0"/>
    <w:pPr>
      <w:spacing w:after="100"/>
      <w:jc w:val="left"/>
    </w:pPr>
  </w:style>
  <w:style w:type="character" w:customStyle="1" w:styleId="Heading5Char">
    <w:name w:val="Heading 5 Char"/>
    <w:basedOn w:val="DefaultParagraphFont"/>
    <w:link w:val="Heading5"/>
    <w:uiPriority w:val="9"/>
    <w:semiHidden/>
    <w:rsid w:val="00E63D6F"/>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E63D6F"/>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E63D6F"/>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E63D6F"/>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E63D6F"/>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E63D6F"/>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E63D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3D6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3D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3D6F"/>
    <w:pPr>
      <w:spacing w:before="160"/>
      <w:jc w:val="center"/>
    </w:pPr>
    <w:rPr>
      <w:i/>
      <w:iCs/>
      <w:color w:val="404040" w:themeColor="text1" w:themeTint="BF"/>
    </w:rPr>
  </w:style>
  <w:style w:type="character" w:customStyle="1" w:styleId="QuoteChar">
    <w:name w:val="Quote Char"/>
    <w:basedOn w:val="DefaultParagraphFont"/>
    <w:link w:val="Quote"/>
    <w:uiPriority w:val="29"/>
    <w:rsid w:val="00E63D6F"/>
    <w:rPr>
      <w:rFonts w:ascii="Times New Roman" w:hAnsi="Times New Roman"/>
      <w:i/>
      <w:iCs/>
      <w:color w:val="404040" w:themeColor="text1" w:themeTint="BF"/>
      <w:sz w:val="24"/>
    </w:rPr>
  </w:style>
  <w:style w:type="paragraph" w:styleId="ListParagraph">
    <w:name w:val="List Paragraph"/>
    <w:basedOn w:val="Normal"/>
    <w:uiPriority w:val="34"/>
    <w:qFormat/>
    <w:rsid w:val="00E63D6F"/>
    <w:pPr>
      <w:ind w:left="720"/>
      <w:contextualSpacing/>
    </w:pPr>
  </w:style>
  <w:style w:type="character" w:styleId="IntenseEmphasis">
    <w:name w:val="Intense Emphasis"/>
    <w:basedOn w:val="DefaultParagraphFont"/>
    <w:uiPriority w:val="21"/>
    <w:qFormat/>
    <w:rsid w:val="00E63D6F"/>
    <w:rPr>
      <w:i/>
      <w:iCs/>
      <w:color w:val="2F5496" w:themeColor="accent1" w:themeShade="BF"/>
    </w:rPr>
  </w:style>
  <w:style w:type="paragraph" w:styleId="IntenseQuote">
    <w:name w:val="Intense Quote"/>
    <w:basedOn w:val="Normal"/>
    <w:next w:val="Normal"/>
    <w:link w:val="IntenseQuoteChar"/>
    <w:uiPriority w:val="30"/>
    <w:qFormat/>
    <w:rsid w:val="00E63D6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63D6F"/>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E63D6F"/>
    <w:rPr>
      <w:b/>
      <w:bCs/>
      <w:smallCaps/>
      <w:color w:val="2F5496" w:themeColor="accent1" w:themeShade="BF"/>
      <w:spacing w:val="5"/>
    </w:rPr>
  </w:style>
  <w:style w:type="character" w:styleId="Hyperlink">
    <w:name w:val="Hyperlink"/>
    <w:basedOn w:val="DefaultParagraphFont"/>
    <w:uiPriority w:val="99"/>
    <w:unhideWhenUsed/>
    <w:rsid w:val="00AE457B"/>
    <w:rPr>
      <w:color w:val="0563C1" w:themeColor="hyperlink"/>
      <w:u w:val="single"/>
    </w:rPr>
  </w:style>
  <w:style w:type="character" w:styleId="UnresolvedMention">
    <w:name w:val="Unresolved Mention"/>
    <w:basedOn w:val="DefaultParagraphFont"/>
    <w:uiPriority w:val="99"/>
    <w:semiHidden/>
    <w:unhideWhenUsed/>
    <w:rsid w:val="003E12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nice.org.uk" TargetMode="External"/><Relationship Id="rId5" Type="http://schemas.openxmlformats.org/officeDocument/2006/relationships/hyperlink" Target="https://www.cqc.org.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6D41A4-039C-46E8-8279-17AE9AF17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844</TotalTime>
  <Pages>11</Pages>
  <Words>2380</Words>
  <Characters>13900</Characters>
  <Application>Microsoft Office Word</Application>
  <DocSecurity>0</DocSecurity>
  <Lines>210</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chike osuala</dc:creator>
  <cp:keywords/>
  <dc:description/>
  <cp:lastModifiedBy>chike osuala</cp:lastModifiedBy>
  <cp:revision>3</cp:revision>
  <dcterms:created xsi:type="dcterms:W3CDTF">2025-10-25T19:54:00Z</dcterms:created>
  <dcterms:modified xsi:type="dcterms:W3CDTF">2025-11-19T10:20:00Z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28d56f5e-4592-409f-876d-6eff73fa1300</vt:lpwstr>
  </property>
</Properties>
</file>