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252C11" w14:textId="78EC95DF" w:rsidR="007114DD" w:rsidRPr="007114DD" w:rsidRDefault="007114DD" w:rsidP="007114DD">
      <w:r w:rsidRPr="007114DD">
        <w:rPr>
          <w:b/>
          <w:noProof/>
        </w:rPr>
        <w:drawing>
          <wp:inline distT="0" distB="0" distL="0" distR="0" wp14:anchorId="590D37DE" wp14:editId="32977EEA">
            <wp:extent cx="2209800" cy="739140"/>
            <wp:effectExtent l="0" t="0" r="0" b="3810"/>
            <wp:docPr id="1099773369" name="Picture 2"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209800" cy="739140"/>
                    </a:xfrm>
                    <a:prstGeom prst="rect">
                      <a:avLst/>
                    </a:prstGeom>
                    <a:noFill/>
                    <a:ln>
                      <a:noFill/>
                    </a:ln>
                  </pic:spPr>
                </pic:pic>
              </a:graphicData>
            </a:graphic>
          </wp:inline>
        </w:drawing>
      </w:r>
    </w:p>
    <w:p w14:paraId="0C188203" w14:textId="77777777" w:rsidR="007114DD" w:rsidRPr="007114DD" w:rsidRDefault="007114DD" w:rsidP="007114DD">
      <w:pPr>
        <w:rPr>
          <w:b/>
          <w:bCs/>
        </w:rPr>
      </w:pPr>
      <w:r w:rsidRPr="007114DD">
        <w:rPr>
          <w:b/>
          <w:bCs/>
        </w:rPr>
        <w:t>Applied Leadership and Management in the Workplace</w:t>
      </w:r>
      <w:r w:rsidRPr="007114DD">
        <w:rPr>
          <w:b/>
          <w:bCs/>
        </w:rPr>
        <w:br/>
        <w:t xml:space="preserve">Module Assignment Submission </w:t>
      </w:r>
      <w:r w:rsidRPr="007114DD">
        <w:rPr>
          <w:b/>
          <w:bCs/>
        </w:rPr>
        <w:br/>
      </w:r>
    </w:p>
    <w:tbl>
      <w:tblPr>
        <w:tblW w:w="1006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3440"/>
        <w:gridCol w:w="6625"/>
      </w:tblGrid>
      <w:tr w:rsidR="007114DD" w:rsidRPr="007114DD" w14:paraId="755CE00A"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23406E0E" w14:textId="77777777" w:rsidR="007114DD" w:rsidRPr="007114DD" w:rsidRDefault="007114DD" w:rsidP="007114DD">
            <w:r w:rsidRPr="007114DD">
              <w:t>Student Name:</w:t>
            </w:r>
          </w:p>
        </w:tc>
        <w:tc>
          <w:tcPr>
            <w:tcW w:w="6622" w:type="dxa"/>
            <w:tcBorders>
              <w:top w:val="single" w:sz="4" w:space="0" w:color="000000"/>
              <w:left w:val="single" w:sz="4" w:space="0" w:color="000000"/>
              <w:bottom w:val="single" w:sz="4" w:space="0" w:color="000000"/>
              <w:right w:val="single" w:sz="4" w:space="0" w:color="000000"/>
            </w:tcBorders>
            <w:hideMark/>
          </w:tcPr>
          <w:p w14:paraId="79CAD511" w14:textId="77777777" w:rsidR="007114DD" w:rsidRPr="007114DD" w:rsidRDefault="007114DD" w:rsidP="007114DD">
            <w:r w:rsidRPr="007114DD">
              <w:t>Natalie O’Sullivan</w:t>
            </w:r>
          </w:p>
        </w:tc>
      </w:tr>
      <w:tr w:rsidR="007114DD" w:rsidRPr="007114DD" w14:paraId="109E2C2B"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070BCB02" w14:textId="77777777" w:rsidR="007114DD" w:rsidRPr="007114DD" w:rsidRDefault="007114DD" w:rsidP="007114DD">
            <w:r w:rsidRPr="007114DD">
              <w:t>Student Number:</w:t>
            </w:r>
          </w:p>
        </w:tc>
        <w:tc>
          <w:tcPr>
            <w:tcW w:w="6622" w:type="dxa"/>
            <w:tcBorders>
              <w:top w:val="single" w:sz="4" w:space="0" w:color="000000"/>
              <w:left w:val="single" w:sz="4" w:space="0" w:color="000000"/>
              <w:bottom w:val="single" w:sz="4" w:space="0" w:color="000000"/>
              <w:right w:val="single" w:sz="4" w:space="0" w:color="000000"/>
            </w:tcBorders>
            <w:hideMark/>
          </w:tcPr>
          <w:p w14:paraId="6A77CA70" w14:textId="77777777" w:rsidR="007114DD" w:rsidRPr="007114DD" w:rsidRDefault="007114DD" w:rsidP="007114DD">
            <w:r w:rsidRPr="007114DD">
              <w:t>2328789</w:t>
            </w:r>
          </w:p>
        </w:tc>
      </w:tr>
      <w:tr w:rsidR="007114DD" w:rsidRPr="007114DD" w14:paraId="7CC3857F" w14:textId="77777777">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1F111C4E" w14:textId="77777777" w:rsidR="007114DD" w:rsidRPr="007114DD" w:rsidRDefault="007114DD" w:rsidP="007114DD">
            <w:r w:rsidRPr="007114DD">
              <w:t>Module No:</w:t>
            </w:r>
          </w:p>
        </w:tc>
        <w:tc>
          <w:tcPr>
            <w:tcW w:w="6622" w:type="dxa"/>
            <w:tcBorders>
              <w:top w:val="single" w:sz="4" w:space="0" w:color="000000"/>
              <w:left w:val="single" w:sz="4" w:space="0" w:color="000000"/>
              <w:bottom w:val="single" w:sz="4" w:space="0" w:color="000000"/>
              <w:right w:val="single" w:sz="4" w:space="0" w:color="000000"/>
            </w:tcBorders>
            <w:hideMark/>
          </w:tcPr>
          <w:p w14:paraId="6E779607" w14:textId="202497AD" w:rsidR="007114DD" w:rsidRPr="007114DD" w:rsidRDefault="007114DD" w:rsidP="007114DD">
            <w:r w:rsidRPr="007114DD">
              <w:t>BMSK6012</w:t>
            </w:r>
          </w:p>
        </w:tc>
      </w:tr>
      <w:tr w:rsidR="007114DD" w:rsidRPr="007114DD" w14:paraId="613C84F9" w14:textId="77777777">
        <w:trPr>
          <w:trHeight w:val="413"/>
        </w:trPr>
        <w:tc>
          <w:tcPr>
            <w:tcW w:w="3438" w:type="dxa"/>
            <w:tcBorders>
              <w:top w:val="single" w:sz="4" w:space="0" w:color="000000"/>
              <w:left w:val="single" w:sz="4" w:space="0" w:color="000000"/>
              <w:bottom w:val="single" w:sz="4" w:space="0" w:color="000000"/>
              <w:right w:val="single" w:sz="4" w:space="0" w:color="000000"/>
            </w:tcBorders>
            <w:shd w:val="clear" w:color="auto" w:fill="D9D9D9"/>
            <w:hideMark/>
          </w:tcPr>
          <w:p w14:paraId="73E55C2F" w14:textId="77777777" w:rsidR="007114DD" w:rsidRPr="007114DD" w:rsidRDefault="007114DD" w:rsidP="007114DD">
            <w:r w:rsidRPr="007114DD">
              <w:t>Module Title:</w:t>
            </w:r>
          </w:p>
        </w:tc>
        <w:tc>
          <w:tcPr>
            <w:tcW w:w="6622" w:type="dxa"/>
            <w:tcBorders>
              <w:top w:val="single" w:sz="4" w:space="0" w:color="000000"/>
              <w:left w:val="single" w:sz="4" w:space="0" w:color="000000"/>
              <w:bottom w:val="single" w:sz="4" w:space="0" w:color="000000"/>
              <w:right w:val="single" w:sz="4" w:space="0" w:color="000000"/>
            </w:tcBorders>
            <w:hideMark/>
          </w:tcPr>
          <w:p w14:paraId="410E6B70" w14:textId="19BD75FA" w:rsidR="007114DD" w:rsidRPr="007114DD" w:rsidRDefault="007114DD" w:rsidP="007114DD">
            <w:r w:rsidRPr="007114DD">
              <w:t>Developing Creativity and Innovation for Competitive Advantage</w:t>
            </w:r>
          </w:p>
        </w:tc>
      </w:tr>
    </w:tbl>
    <w:p w14:paraId="69C623C3" w14:textId="77777777" w:rsidR="007114DD" w:rsidRPr="007114DD" w:rsidRDefault="007114DD" w:rsidP="007114DD"/>
    <w:p w14:paraId="7156F1D6" w14:textId="77777777" w:rsidR="007114DD" w:rsidRPr="007114DD" w:rsidRDefault="007114DD" w:rsidP="007114DD">
      <w:pPr>
        <w:rPr>
          <w:b/>
        </w:rPr>
      </w:pPr>
      <w:r w:rsidRPr="007114DD">
        <w:rPr>
          <w:b/>
        </w:rPr>
        <w:t>Statement of Confirmation of Authenticity</w:t>
      </w:r>
    </w:p>
    <w:p w14:paraId="2F88A491" w14:textId="77777777" w:rsidR="007114DD" w:rsidRPr="007114DD" w:rsidRDefault="007114DD" w:rsidP="007114DD">
      <w:r w:rsidRPr="007114DD">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1E120A" w14:textId="77777777" w:rsidR="007114DD" w:rsidRPr="007114DD" w:rsidRDefault="007114DD" w:rsidP="007114DD">
      <w:r w:rsidRPr="007114DD">
        <w:t>Attention is drawn to the plagiarism and unfair practice policies of both the University and of ILM.</w:t>
      </w:r>
    </w:p>
    <w:p w14:paraId="24A6C86D" w14:textId="77777777" w:rsidR="007114DD" w:rsidRPr="007114DD" w:rsidRDefault="007114DD" w:rsidP="007114DD">
      <w:r w:rsidRPr="007114DD">
        <w:br w:type="page"/>
      </w:r>
    </w:p>
    <w:sdt>
      <w:sdtPr>
        <w:id w:val="621817305"/>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1A9E2AEC" w14:textId="76B04CCB" w:rsidR="00715892" w:rsidRDefault="00715892">
          <w:pPr>
            <w:pStyle w:val="TOCHeading"/>
          </w:pPr>
          <w:r>
            <w:t>Contents</w:t>
          </w:r>
        </w:p>
        <w:p w14:paraId="6A55F452" w14:textId="3001400B" w:rsidR="009D54FA" w:rsidRDefault="00715892">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8908743" w:history="1">
            <w:r w:rsidR="009D54FA" w:rsidRPr="00C4491D">
              <w:rPr>
                <w:rStyle w:val="Hyperlink"/>
                <w:noProof/>
              </w:rPr>
              <w:t>Introduction</w:t>
            </w:r>
            <w:r w:rsidR="009D54FA">
              <w:rPr>
                <w:noProof/>
                <w:webHidden/>
              </w:rPr>
              <w:tab/>
            </w:r>
            <w:r w:rsidR="009D54FA">
              <w:rPr>
                <w:noProof/>
                <w:webHidden/>
              </w:rPr>
              <w:fldChar w:fldCharType="begin"/>
            </w:r>
            <w:r w:rsidR="009D54FA">
              <w:rPr>
                <w:noProof/>
                <w:webHidden/>
              </w:rPr>
              <w:instrText xml:space="preserve"> PAGEREF _Toc238908743 \h </w:instrText>
            </w:r>
            <w:r w:rsidR="009D54FA">
              <w:rPr>
                <w:noProof/>
                <w:webHidden/>
              </w:rPr>
            </w:r>
            <w:r w:rsidR="009D54FA">
              <w:rPr>
                <w:noProof/>
                <w:webHidden/>
              </w:rPr>
              <w:fldChar w:fldCharType="separate"/>
            </w:r>
            <w:r w:rsidR="009D54FA">
              <w:rPr>
                <w:noProof/>
                <w:webHidden/>
              </w:rPr>
              <w:t>3</w:t>
            </w:r>
            <w:r w:rsidR="009D54FA">
              <w:rPr>
                <w:noProof/>
                <w:webHidden/>
              </w:rPr>
              <w:fldChar w:fldCharType="end"/>
            </w:r>
          </w:hyperlink>
        </w:p>
        <w:p w14:paraId="7E8AD6C3" w14:textId="6FBAB220" w:rsidR="009D54FA" w:rsidRDefault="009D54FA">
          <w:pPr>
            <w:pStyle w:val="TOC1"/>
            <w:tabs>
              <w:tab w:val="left" w:pos="440"/>
              <w:tab w:val="right" w:leader="dot" w:pos="9016"/>
            </w:tabs>
            <w:rPr>
              <w:rFonts w:eastAsiaTheme="minorEastAsia"/>
              <w:noProof/>
              <w:sz w:val="24"/>
              <w:szCs w:val="24"/>
              <w:lang w:eastAsia="en-GB"/>
            </w:rPr>
          </w:pPr>
          <w:hyperlink w:anchor="_Toc238908744" w:history="1">
            <w:r w:rsidRPr="00C4491D">
              <w:rPr>
                <w:rStyle w:val="Hyperlink"/>
                <w:noProof/>
              </w:rPr>
              <w:t>1.</w:t>
            </w:r>
            <w:r>
              <w:rPr>
                <w:rFonts w:eastAsiaTheme="minorEastAsia"/>
                <w:noProof/>
                <w:sz w:val="24"/>
                <w:szCs w:val="24"/>
                <w:lang w:eastAsia="en-GB"/>
              </w:rPr>
              <w:tab/>
            </w:r>
            <w:r w:rsidRPr="00C4491D">
              <w:rPr>
                <w:rStyle w:val="Hyperlink"/>
                <w:noProof/>
              </w:rPr>
              <w:t>Using</w:t>
            </w:r>
            <w:r w:rsidRPr="00C4491D">
              <w:rPr>
                <w:rStyle w:val="Hyperlink"/>
                <w:i/>
                <w:iCs/>
                <w:noProof/>
              </w:rPr>
              <w:t xml:space="preserve"> </w:t>
            </w:r>
            <w:r w:rsidRPr="00C4491D">
              <w:rPr>
                <w:rStyle w:val="Hyperlink"/>
                <w:noProof/>
              </w:rPr>
              <w:t>two recognised models of innovation, critically examine the ability of the organisation to innovate effectively.</w:t>
            </w:r>
            <w:r>
              <w:rPr>
                <w:noProof/>
                <w:webHidden/>
              </w:rPr>
              <w:tab/>
            </w:r>
            <w:r>
              <w:rPr>
                <w:noProof/>
                <w:webHidden/>
              </w:rPr>
              <w:fldChar w:fldCharType="begin"/>
            </w:r>
            <w:r>
              <w:rPr>
                <w:noProof/>
                <w:webHidden/>
              </w:rPr>
              <w:instrText xml:space="preserve"> PAGEREF _Toc238908744 \h </w:instrText>
            </w:r>
            <w:r>
              <w:rPr>
                <w:noProof/>
                <w:webHidden/>
              </w:rPr>
            </w:r>
            <w:r>
              <w:rPr>
                <w:noProof/>
                <w:webHidden/>
              </w:rPr>
              <w:fldChar w:fldCharType="separate"/>
            </w:r>
            <w:r>
              <w:rPr>
                <w:noProof/>
                <w:webHidden/>
              </w:rPr>
              <w:t>4</w:t>
            </w:r>
            <w:r>
              <w:rPr>
                <w:noProof/>
                <w:webHidden/>
              </w:rPr>
              <w:fldChar w:fldCharType="end"/>
            </w:r>
          </w:hyperlink>
        </w:p>
        <w:p w14:paraId="2F5DE30A" w14:textId="6DBA4651" w:rsidR="009D54FA" w:rsidRDefault="009D54FA">
          <w:pPr>
            <w:pStyle w:val="TOC2"/>
            <w:tabs>
              <w:tab w:val="right" w:leader="dot" w:pos="9016"/>
            </w:tabs>
            <w:rPr>
              <w:rFonts w:eastAsiaTheme="minorEastAsia"/>
              <w:noProof/>
              <w:sz w:val="24"/>
              <w:szCs w:val="24"/>
              <w:lang w:eastAsia="en-GB"/>
            </w:rPr>
          </w:pPr>
          <w:hyperlink w:anchor="_Toc238908745" w:history="1">
            <w:r w:rsidRPr="00C4491D">
              <w:rPr>
                <w:rStyle w:val="Hyperlink"/>
                <w:noProof/>
              </w:rPr>
              <w:t>Stage-Gate Model</w:t>
            </w:r>
            <w:r>
              <w:rPr>
                <w:noProof/>
                <w:webHidden/>
              </w:rPr>
              <w:tab/>
            </w:r>
            <w:r>
              <w:rPr>
                <w:noProof/>
                <w:webHidden/>
              </w:rPr>
              <w:fldChar w:fldCharType="begin"/>
            </w:r>
            <w:r>
              <w:rPr>
                <w:noProof/>
                <w:webHidden/>
              </w:rPr>
              <w:instrText xml:space="preserve"> PAGEREF _Toc238908745 \h </w:instrText>
            </w:r>
            <w:r>
              <w:rPr>
                <w:noProof/>
                <w:webHidden/>
              </w:rPr>
            </w:r>
            <w:r>
              <w:rPr>
                <w:noProof/>
                <w:webHidden/>
              </w:rPr>
              <w:fldChar w:fldCharType="separate"/>
            </w:r>
            <w:r>
              <w:rPr>
                <w:noProof/>
                <w:webHidden/>
              </w:rPr>
              <w:t>4</w:t>
            </w:r>
            <w:r>
              <w:rPr>
                <w:noProof/>
                <w:webHidden/>
              </w:rPr>
              <w:fldChar w:fldCharType="end"/>
            </w:r>
          </w:hyperlink>
        </w:p>
        <w:p w14:paraId="3FDBB533" w14:textId="147EC9CA" w:rsidR="009D54FA" w:rsidRDefault="009D54FA">
          <w:pPr>
            <w:pStyle w:val="TOC2"/>
            <w:tabs>
              <w:tab w:val="right" w:leader="dot" w:pos="9016"/>
            </w:tabs>
            <w:rPr>
              <w:rFonts w:eastAsiaTheme="minorEastAsia"/>
              <w:noProof/>
              <w:sz w:val="24"/>
              <w:szCs w:val="24"/>
              <w:lang w:eastAsia="en-GB"/>
            </w:rPr>
          </w:pPr>
          <w:hyperlink w:anchor="_Toc238908746" w:history="1">
            <w:r w:rsidRPr="00C4491D">
              <w:rPr>
                <w:rStyle w:val="Hyperlink"/>
                <w:noProof/>
              </w:rPr>
              <w:t>Innovation Pipeline</w:t>
            </w:r>
            <w:r>
              <w:rPr>
                <w:noProof/>
                <w:webHidden/>
              </w:rPr>
              <w:tab/>
            </w:r>
            <w:r>
              <w:rPr>
                <w:noProof/>
                <w:webHidden/>
              </w:rPr>
              <w:fldChar w:fldCharType="begin"/>
            </w:r>
            <w:r>
              <w:rPr>
                <w:noProof/>
                <w:webHidden/>
              </w:rPr>
              <w:instrText xml:space="preserve"> PAGEREF _Toc238908746 \h </w:instrText>
            </w:r>
            <w:r>
              <w:rPr>
                <w:noProof/>
                <w:webHidden/>
              </w:rPr>
            </w:r>
            <w:r>
              <w:rPr>
                <w:noProof/>
                <w:webHidden/>
              </w:rPr>
              <w:fldChar w:fldCharType="separate"/>
            </w:r>
            <w:r>
              <w:rPr>
                <w:noProof/>
                <w:webHidden/>
              </w:rPr>
              <w:t>5</w:t>
            </w:r>
            <w:r>
              <w:rPr>
                <w:noProof/>
                <w:webHidden/>
              </w:rPr>
              <w:fldChar w:fldCharType="end"/>
            </w:r>
          </w:hyperlink>
        </w:p>
        <w:p w14:paraId="6AC332B4" w14:textId="03D84F1B" w:rsidR="009D54FA" w:rsidRDefault="009D54FA">
          <w:pPr>
            <w:pStyle w:val="TOC1"/>
            <w:tabs>
              <w:tab w:val="right" w:leader="dot" w:pos="9016"/>
            </w:tabs>
            <w:rPr>
              <w:rFonts w:eastAsiaTheme="minorEastAsia"/>
              <w:noProof/>
              <w:sz w:val="24"/>
              <w:szCs w:val="24"/>
              <w:lang w:eastAsia="en-GB"/>
            </w:rPr>
          </w:pPr>
          <w:hyperlink w:anchor="_Toc238908747" w:history="1">
            <w:r w:rsidRPr="00C4491D">
              <w:rPr>
                <w:rStyle w:val="Hyperlink"/>
                <w:noProof/>
              </w:rPr>
              <w:t>Critical Examination of Government Property Agency's Ability towards Effective Innovation</w:t>
            </w:r>
            <w:r>
              <w:rPr>
                <w:noProof/>
                <w:webHidden/>
              </w:rPr>
              <w:tab/>
            </w:r>
            <w:r>
              <w:rPr>
                <w:noProof/>
                <w:webHidden/>
              </w:rPr>
              <w:fldChar w:fldCharType="begin"/>
            </w:r>
            <w:r>
              <w:rPr>
                <w:noProof/>
                <w:webHidden/>
              </w:rPr>
              <w:instrText xml:space="preserve"> PAGEREF _Toc238908747 \h </w:instrText>
            </w:r>
            <w:r>
              <w:rPr>
                <w:noProof/>
                <w:webHidden/>
              </w:rPr>
            </w:r>
            <w:r>
              <w:rPr>
                <w:noProof/>
                <w:webHidden/>
              </w:rPr>
              <w:fldChar w:fldCharType="separate"/>
            </w:r>
            <w:r>
              <w:rPr>
                <w:noProof/>
                <w:webHidden/>
              </w:rPr>
              <w:t>7</w:t>
            </w:r>
            <w:r>
              <w:rPr>
                <w:noProof/>
                <w:webHidden/>
              </w:rPr>
              <w:fldChar w:fldCharType="end"/>
            </w:r>
          </w:hyperlink>
        </w:p>
        <w:p w14:paraId="5D7D00AD" w14:textId="15318660" w:rsidR="009D54FA" w:rsidRDefault="009D54FA">
          <w:pPr>
            <w:pStyle w:val="TOC3"/>
            <w:tabs>
              <w:tab w:val="right" w:leader="dot" w:pos="9016"/>
            </w:tabs>
            <w:rPr>
              <w:rFonts w:eastAsiaTheme="minorEastAsia"/>
              <w:noProof/>
              <w:sz w:val="24"/>
              <w:szCs w:val="24"/>
              <w:lang w:eastAsia="en-GB"/>
            </w:rPr>
          </w:pPr>
          <w:hyperlink w:anchor="_Toc238908748" w:history="1">
            <w:r w:rsidRPr="00C4491D">
              <w:rPr>
                <w:rStyle w:val="Hyperlink"/>
                <w:noProof/>
              </w:rPr>
              <w:t>Strategic alignment:</w:t>
            </w:r>
            <w:r>
              <w:rPr>
                <w:noProof/>
                <w:webHidden/>
              </w:rPr>
              <w:tab/>
            </w:r>
            <w:r>
              <w:rPr>
                <w:noProof/>
                <w:webHidden/>
              </w:rPr>
              <w:fldChar w:fldCharType="begin"/>
            </w:r>
            <w:r>
              <w:rPr>
                <w:noProof/>
                <w:webHidden/>
              </w:rPr>
              <w:instrText xml:space="preserve"> PAGEREF _Toc238908748 \h </w:instrText>
            </w:r>
            <w:r>
              <w:rPr>
                <w:noProof/>
                <w:webHidden/>
              </w:rPr>
            </w:r>
            <w:r>
              <w:rPr>
                <w:noProof/>
                <w:webHidden/>
              </w:rPr>
              <w:fldChar w:fldCharType="separate"/>
            </w:r>
            <w:r>
              <w:rPr>
                <w:noProof/>
                <w:webHidden/>
              </w:rPr>
              <w:t>7</w:t>
            </w:r>
            <w:r>
              <w:rPr>
                <w:noProof/>
                <w:webHidden/>
              </w:rPr>
              <w:fldChar w:fldCharType="end"/>
            </w:r>
          </w:hyperlink>
        </w:p>
        <w:p w14:paraId="1F8FCC29" w14:textId="27E89827" w:rsidR="009D54FA" w:rsidRDefault="009D54FA">
          <w:pPr>
            <w:pStyle w:val="TOC3"/>
            <w:tabs>
              <w:tab w:val="right" w:leader="dot" w:pos="9016"/>
            </w:tabs>
            <w:rPr>
              <w:rFonts w:eastAsiaTheme="minorEastAsia"/>
              <w:noProof/>
              <w:sz w:val="24"/>
              <w:szCs w:val="24"/>
              <w:lang w:eastAsia="en-GB"/>
            </w:rPr>
          </w:pPr>
          <w:hyperlink w:anchor="_Toc238908749" w:history="1">
            <w:r w:rsidRPr="00C4491D">
              <w:rPr>
                <w:rStyle w:val="Hyperlink"/>
                <w:noProof/>
              </w:rPr>
              <w:t>Technology:</w:t>
            </w:r>
            <w:r>
              <w:rPr>
                <w:noProof/>
                <w:webHidden/>
              </w:rPr>
              <w:tab/>
            </w:r>
            <w:r>
              <w:rPr>
                <w:noProof/>
                <w:webHidden/>
              </w:rPr>
              <w:fldChar w:fldCharType="begin"/>
            </w:r>
            <w:r>
              <w:rPr>
                <w:noProof/>
                <w:webHidden/>
              </w:rPr>
              <w:instrText xml:space="preserve"> PAGEREF _Toc238908749 \h </w:instrText>
            </w:r>
            <w:r>
              <w:rPr>
                <w:noProof/>
                <w:webHidden/>
              </w:rPr>
            </w:r>
            <w:r>
              <w:rPr>
                <w:noProof/>
                <w:webHidden/>
              </w:rPr>
              <w:fldChar w:fldCharType="separate"/>
            </w:r>
            <w:r>
              <w:rPr>
                <w:noProof/>
                <w:webHidden/>
              </w:rPr>
              <w:t>7</w:t>
            </w:r>
            <w:r>
              <w:rPr>
                <w:noProof/>
                <w:webHidden/>
              </w:rPr>
              <w:fldChar w:fldCharType="end"/>
            </w:r>
          </w:hyperlink>
        </w:p>
        <w:p w14:paraId="6A97F62B" w14:textId="2A3E2161" w:rsidR="009D54FA" w:rsidRDefault="009D54FA">
          <w:pPr>
            <w:pStyle w:val="TOC3"/>
            <w:tabs>
              <w:tab w:val="right" w:leader="dot" w:pos="9016"/>
            </w:tabs>
            <w:rPr>
              <w:rFonts w:eastAsiaTheme="minorEastAsia"/>
              <w:noProof/>
              <w:sz w:val="24"/>
              <w:szCs w:val="24"/>
              <w:lang w:eastAsia="en-GB"/>
            </w:rPr>
          </w:pPr>
          <w:hyperlink w:anchor="_Toc238908750" w:history="1">
            <w:r w:rsidRPr="00C4491D">
              <w:rPr>
                <w:rStyle w:val="Hyperlink"/>
                <w:noProof/>
              </w:rPr>
              <w:t>Cross-government collaboration:</w:t>
            </w:r>
            <w:r>
              <w:rPr>
                <w:noProof/>
                <w:webHidden/>
              </w:rPr>
              <w:tab/>
            </w:r>
            <w:r>
              <w:rPr>
                <w:noProof/>
                <w:webHidden/>
              </w:rPr>
              <w:fldChar w:fldCharType="begin"/>
            </w:r>
            <w:r>
              <w:rPr>
                <w:noProof/>
                <w:webHidden/>
              </w:rPr>
              <w:instrText xml:space="preserve"> PAGEREF _Toc238908750 \h </w:instrText>
            </w:r>
            <w:r>
              <w:rPr>
                <w:noProof/>
                <w:webHidden/>
              </w:rPr>
            </w:r>
            <w:r>
              <w:rPr>
                <w:noProof/>
                <w:webHidden/>
              </w:rPr>
              <w:fldChar w:fldCharType="separate"/>
            </w:r>
            <w:r>
              <w:rPr>
                <w:noProof/>
                <w:webHidden/>
              </w:rPr>
              <w:t>7</w:t>
            </w:r>
            <w:r>
              <w:rPr>
                <w:noProof/>
                <w:webHidden/>
              </w:rPr>
              <w:fldChar w:fldCharType="end"/>
            </w:r>
          </w:hyperlink>
        </w:p>
        <w:p w14:paraId="62CBAF14" w14:textId="294A79EF" w:rsidR="009D54FA" w:rsidRDefault="009D54FA">
          <w:pPr>
            <w:pStyle w:val="TOC3"/>
            <w:tabs>
              <w:tab w:val="right" w:leader="dot" w:pos="9016"/>
            </w:tabs>
            <w:rPr>
              <w:rFonts w:eastAsiaTheme="minorEastAsia"/>
              <w:noProof/>
              <w:sz w:val="24"/>
              <w:szCs w:val="24"/>
              <w:lang w:eastAsia="en-GB"/>
            </w:rPr>
          </w:pPr>
          <w:hyperlink w:anchor="_Toc238908751" w:history="1">
            <w:r w:rsidRPr="00C4491D">
              <w:rPr>
                <w:rStyle w:val="Hyperlink"/>
                <w:noProof/>
              </w:rPr>
              <w:t>Testing and experimentation:</w:t>
            </w:r>
            <w:r>
              <w:rPr>
                <w:noProof/>
                <w:webHidden/>
              </w:rPr>
              <w:tab/>
            </w:r>
            <w:r>
              <w:rPr>
                <w:noProof/>
                <w:webHidden/>
              </w:rPr>
              <w:fldChar w:fldCharType="begin"/>
            </w:r>
            <w:r>
              <w:rPr>
                <w:noProof/>
                <w:webHidden/>
              </w:rPr>
              <w:instrText xml:space="preserve"> PAGEREF _Toc238908751 \h </w:instrText>
            </w:r>
            <w:r>
              <w:rPr>
                <w:noProof/>
                <w:webHidden/>
              </w:rPr>
            </w:r>
            <w:r>
              <w:rPr>
                <w:noProof/>
                <w:webHidden/>
              </w:rPr>
              <w:fldChar w:fldCharType="separate"/>
            </w:r>
            <w:r>
              <w:rPr>
                <w:noProof/>
                <w:webHidden/>
              </w:rPr>
              <w:t>7</w:t>
            </w:r>
            <w:r>
              <w:rPr>
                <w:noProof/>
                <w:webHidden/>
              </w:rPr>
              <w:fldChar w:fldCharType="end"/>
            </w:r>
          </w:hyperlink>
        </w:p>
        <w:p w14:paraId="3B087BD7" w14:textId="631A6BB6" w:rsidR="009D54FA" w:rsidRDefault="009D54FA">
          <w:pPr>
            <w:pStyle w:val="TOC2"/>
            <w:tabs>
              <w:tab w:val="right" w:leader="dot" w:pos="9016"/>
            </w:tabs>
            <w:rPr>
              <w:rFonts w:eastAsiaTheme="minorEastAsia"/>
              <w:noProof/>
              <w:sz w:val="24"/>
              <w:szCs w:val="24"/>
              <w:lang w:eastAsia="en-GB"/>
            </w:rPr>
          </w:pPr>
          <w:hyperlink w:anchor="_Toc238908752" w:history="1">
            <w:r w:rsidRPr="00C4491D">
              <w:rPr>
                <w:rStyle w:val="Hyperlink"/>
                <w:noProof/>
              </w:rPr>
              <w:t>Major constraints</w:t>
            </w:r>
            <w:r>
              <w:rPr>
                <w:noProof/>
                <w:webHidden/>
              </w:rPr>
              <w:tab/>
            </w:r>
            <w:r>
              <w:rPr>
                <w:noProof/>
                <w:webHidden/>
              </w:rPr>
              <w:fldChar w:fldCharType="begin"/>
            </w:r>
            <w:r>
              <w:rPr>
                <w:noProof/>
                <w:webHidden/>
              </w:rPr>
              <w:instrText xml:space="preserve"> PAGEREF _Toc238908752 \h </w:instrText>
            </w:r>
            <w:r>
              <w:rPr>
                <w:noProof/>
                <w:webHidden/>
              </w:rPr>
            </w:r>
            <w:r>
              <w:rPr>
                <w:noProof/>
                <w:webHidden/>
              </w:rPr>
              <w:fldChar w:fldCharType="separate"/>
            </w:r>
            <w:r>
              <w:rPr>
                <w:noProof/>
                <w:webHidden/>
              </w:rPr>
              <w:t>8</w:t>
            </w:r>
            <w:r>
              <w:rPr>
                <w:noProof/>
                <w:webHidden/>
              </w:rPr>
              <w:fldChar w:fldCharType="end"/>
            </w:r>
          </w:hyperlink>
        </w:p>
        <w:p w14:paraId="4F83BE52" w14:textId="1751BE2E" w:rsidR="009D54FA" w:rsidRDefault="009D54FA">
          <w:pPr>
            <w:pStyle w:val="TOC3"/>
            <w:tabs>
              <w:tab w:val="right" w:leader="dot" w:pos="9016"/>
            </w:tabs>
            <w:rPr>
              <w:rFonts w:eastAsiaTheme="minorEastAsia"/>
              <w:noProof/>
              <w:sz w:val="24"/>
              <w:szCs w:val="24"/>
              <w:lang w:eastAsia="en-GB"/>
            </w:rPr>
          </w:pPr>
          <w:hyperlink w:anchor="_Toc238908753" w:history="1">
            <w:r w:rsidRPr="00C4491D">
              <w:rPr>
                <w:rStyle w:val="Hyperlink"/>
                <w:noProof/>
              </w:rPr>
              <w:t>Governance and risk:</w:t>
            </w:r>
            <w:r>
              <w:rPr>
                <w:noProof/>
                <w:webHidden/>
              </w:rPr>
              <w:tab/>
            </w:r>
            <w:r>
              <w:rPr>
                <w:noProof/>
                <w:webHidden/>
              </w:rPr>
              <w:fldChar w:fldCharType="begin"/>
            </w:r>
            <w:r>
              <w:rPr>
                <w:noProof/>
                <w:webHidden/>
              </w:rPr>
              <w:instrText xml:space="preserve"> PAGEREF _Toc238908753 \h </w:instrText>
            </w:r>
            <w:r>
              <w:rPr>
                <w:noProof/>
                <w:webHidden/>
              </w:rPr>
            </w:r>
            <w:r>
              <w:rPr>
                <w:noProof/>
                <w:webHidden/>
              </w:rPr>
              <w:fldChar w:fldCharType="separate"/>
            </w:r>
            <w:r>
              <w:rPr>
                <w:noProof/>
                <w:webHidden/>
              </w:rPr>
              <w:t>8</w:t>
            </w:r>
            <w:r>
              <w:rPr>
                <w:noProof/>
                <w:webHidden/>
              </w:rPr>
              <w:fldChar w:fldCharType="end"/>
            </w:r>
          </w:hyperlink>
        </w:p>
        <w:p w14:paraId="0C293A1E" w14:textId="48441A6C" w:rsidR="009D54FA" w:rsidRDefault="009D54FA">
          <w:pPr>
            <w:pStyle w:val="TOC3"/>
            <w:tabs>
              <w:tab w:val="right" w:leader="dot" w:pos="9016"/>
            </w:tabs>
            <w:rPr>
              <w:rFonts w:eastAsiaTheme="minorEastAsia"/>
              <w:noProof/>
              <w:sz w:val="24"/>
              <w:szCs w:val="24"/>
              <w:lang w:eastAsia="en-GB"/>
            </w:rPr>
          </w:pPr>
          <w:hyperlink w:anchor="_Toc238908754" w:history="1">
            <w:r w:rsidRPr="00C4491D">
              <w:rPr>
                <w:rStyle w:val="Hyperlink"/>
                <w:noProof/>
              </w:rPr>
              <w:t>Stakeholder Complexity:</w:t>
            </w:r>
            <w:r>
              <w:rPr>
                <w:noProof/>
                <w:webHidden/>
              </w:rPr>
              <w:tab/>
            </w:r>
            <w:r>
              <w:rPr>
                <w:noProof/>
                <w:webHidden/>
              </w:rPr>
              <w:fldChar w:fldCharType="begin"/>
            </w:r>
            <w:r>
              <w:rPr>
                <w:noProof/>
                <w:webHidden/>
              </w:rPr>
              <w:instrText xml:space="preserve"> PAGEREF _Toc238908754 \h </w:instrText>
            </w:r>
            <w:r>
              <w:rPr>
                <w:noProof/>
                <w:webHidden/>
              </w:rPr>
            </w:r>
            <w:r>
              <w:rPr>
                <w:noProof/>
                <w:webHidden/>
              </w:rPr>
              <w:fldChar w:fldCharType="separate"/>
            </w:r>
            <w:r>
              <w:rPr>
                <w:noProof/>
                <w:webHidden/>
              </w:rPr>
              <w:t>8</w:t>
            </w:r>
            <w:r>
              <w:rPr>
                <w:noProof/>
                <w:webHidden/>
              </w:rPr>
              <w:fldChar w:fldCharType="end"/>
            </w:r>
          </w:hyperlink>
        </w:p>
        <w:p w14:paraId="24A73AB6" w14:textId="2FCFEBBD" w:rsidR="009D54FA" w:rsidRDefault="009D54FA">
          <w:pPr>
            <w:pStyle w:val="TOC3"/>
            <w:tabs>
              <w:tab w:val="right" w:leader="dot" w:pos="9016"/>
            </w:tabs>
            <w:rPr>
              <w:rFonts w:eastAsiaTheme="minorEastAsia"/>
              <w:noProof/>
              <w:sz w:val="24"/>
              <w:szCs w:val="24"/>
              <w:lang w:eastAsia="en-GB"/>
            </w:rPr>
          </w:pPr>
          <w:hyperlink w:anchor="_Toc238908755" w:history="1">
            <w:r w:rsidRPr="00C4491D">
              <w:rPr>
                <w:rStyle w:val="Hyperlink"/>
                <w:noProof/>
              </w:rPr>
              <w:t>Legacy technology and organisational readiness:</w:t>
            </w:r>
            <w:r>
              <w:rPr>
                <w:noProof/>
                <w:webHidden/>
              </w:rPr>
              <w:tab/>
            </w:r>
            <w:r>
              <w:rPr>
                <w:noProof/>
                <w:webHidden/>
              </w:rPr>
              <w:fldChar w:fldCharType="begin"/>
            </w:r>
            <w:r>
              <w:rPr>
                <w:noProof/>
                <w:webHidden/>
              </w:rPr>
              <w:instrText xml:space="preserve"> PAGEREF _Toc238908755 \h </w:instrText>
            </w:r>
            <w:r>
              <w:rPr>
                <w:noProof/>
                <w:webHidden/>
              </w:rPr>
            </w:r>
            <w:r>
              <w:rPr>
                <w:noProof/>
                <w:webHidden/>
              </w:rPr>
              <w:fldChar w:fldCharType="separate"/>
            </w:r>
            <w:r>
              <w:rPr>
                <w:noProof/>
                <w:webHidden/>
              </w:rPr>
              <w:t>8</w:t>
            </w:r>
            <w:r>
              <w:rPr>
                <w:noProof/>
                <w:webHidden/>
              </w:rPr>
              <w:fldChar w:fldCharType="end"/>
            </w:r>
          </w:hyperlink>
        </w:p>
        <w:p w14:paraId="3E84193B" w14:textId="7275E089" w:rsidR="009D54FA" w:rsidRDefault="009D54FA">
          <w:pPr>
            <w:pStyle w:val="TOC3"/>
            <w:tabs>
              <w:tab w:val="right" w:leader="dot" w:pos="9016"/>
            </w:tabs>
            <w:rPr>
              <w:rFonts w:eastAsiaTheme="minorEastAsia"/>
              <w:noProof/>
              <w:sz w:val="24"/>
              <w:szCs w:val="24"/>
              <w:lang w:eastAsia="en-GB"/>
            </w:rPr>
          </w:pPr>
          <w:hyperlink w:anchor="_Toc238908756" w:history="1">
            <w:r w:rsidRPr="00C4491D">
              <w:rPr>
                <w:rStyle w:val="Hyperlink"/>
                <w:noProof/>
              </w:rPr>
              <w:t>People and culture:</w:t>
            </w:r>
            <w:r>
              <w:rPr>
                <w:noProof/>
                <w:webHidden/>
              </w:rPr>
              <w:tab/>
            </w:r>
            <w:r>
              <w:rPr>
                <w:noProof/>
                <w:webHidden/>
              </w:rPr>
              <w:fldChar w:fldCharType="begin"/>
            </w:r>
            <w:r>
              <w:rPr>
                <w:noProof/>
                <w:webHidden/>
              </w:rPr>
              <w:instrText xml:space="preserve"> PAGEREF _Toc238908756 \h </w:instrText>
            </w:r>
            <w:r>
              <w:rPr>
                <w:noProof/>
                <w:webHidden/>
              </w:rPr>
            </w:r>
            <w:r>
              <w:rPr>
                <w:noProof/>
                <w:webHidden/>
              </w:rPr>
              <w:fldChar w:fldCharType="separate"/>
            </w:r>
            <w:r>
              <w:rPr>
                <w:noProof/>
                <w:webHidden/>
              </w:rPr>
              <w:t>8</w:t>
            </w:r>
            <w:r>
              <w:rPr>
                <w:noProof/>
                <w:webHidden/>
              </w:rPr>
              <w:fldChar w:fldCharType="end"/>
            </w:r>
          </w:hyperlink>
        </w:p>
        <w:p w14:paraId="6CC8C05A" w14:textId="73A220DC" w:rsidR="009D54FA" w:rsidRDefault="009D54FA">
          <w:pPr>
            <w:pStyle w:val="TOC3"/>
            <w:tabs>
              <w:tab w:val="right" w:leader="dot" w:pos="9016"/>
            </w:tabs>
            <w:rPr>
              <w:rFonts w:eastAsiaTheme="minorEastAsia"/>
              <w:noProof/>
              <w:sz w:val="24"/>
              <w:szCs w:val="24"/>
              <w:lang w:eastAsia="en-GB"/>
            </w:rPr>
          </w:pPr>
          <w:hyperlink w:anchor="_Toc238908757" w:history="1">
            <w:r w:rsidRPr="00C4491D">
              <w:rPr>
                <w:rStyle w:val="Hyperlink"/>
                <w:noProof/>
              </w:rPr>
              <w:t>Benefits realisation and sustainable embedding:</w:t>
            </w:r>
            <w:r>
              <w:rPr>
                <w:noProof/>
                <w:webHidden/>
              </w:rPr>
              <w:tab/>
            </w:r>
            <w:r>
              <w:rPr>
                <w:noProof/>
                <w:webHidden/>
              </w:rPr>
              <w:fldChar w:fldCharType="begin"/>
            </w:r>
            <w:r>
              <w:rPr>
                <w:noProof/>
                <w:webHidden/>
              </w:rPr>
              <w:instrText xml:space="preserve"> PAGEREF _Toc238908757 \h </w:instrText>
            </w:r>
            <w:r>
              <w:rPr>
                <w:noProof/>
                <w:webHidden/>
              </w:rPr>
            </w:r>
            <w:r>
              <w:rPr>
                <w:noProof/>
                <w:webHidden/>
              </w:rPr>
              <w:fldChar w:fldCharType="separate"/>
            </w:r>
            <w:r>
              <w:rPr>
                <w:noProof/>
                <w:webHidden/>
              </w:rPr>
              <w:t>8</w:t>
            </w:r>
            <w:r>
              <w:rPr>
                <w:noProof/>
                <w:webHidden/>
              </w:rPr>
              <w:fldChar w:fldCharType="end"/>
            </w:r>
          </w:hyperlink>
        </w:p>
        <w:p w14:paraId="6C882751" w14:textId="269D16AF" w:rsidR="009D54FA" w:rsidRDefault="009D54FA">
          <w:pPr>
            <w:pStyle w:val="TOC1"/>
            <w:tabs>
              <w:tab w:val="right" w:leader="dot" w:pos="9016"/>
            </w:tabs>
            <w:rPr>
              <w:rFonts w:eastAsiaTheme="minorEastAsia"/>
              <w:noProof/>
              <w:sz w:val="24"/>
              <w:szCs w:val="24"/>
              <w:lang w:eastAsia="en-GB"/>
            </w:rPr>
          </w:pPr>
          <w:hyperlink w:anchor="_Toc238908758" w:history="1">
            <w:r w:rsidRPr="00C4491D">
              <w:rPr>
                <w:rStyle w:val="Hyperlink"/>
                <w:noProof/>
              </w:rPr>
              <w:t>Summary</w:t>
            </w:r>
            <w:r>
              <w:rPr>
                <w:noProof/>
                <w:webHidden/>
              </w:rPr>
              <w:tab/>
            </w:r>
            <w:r>
              <w:rPr>
                <w:noProof/>
                <w:webHidden/>
              </w:rPr>
              <w:fldChar w:fldCharType="begin"/>
            </w:r>
            <w:r>
              <w:rPr>
                <w:noProof/>
                <w:webHidden/>
              </w:rPr>
              <w:instrText xml:space="preserve"> PAGEREF _Toc238908758 \h </w:instrText>
            </w:r>
            <w:r>
              <w:rPr>
                <w:noProof/>
                <w:webHidden/>
              </w:rPr>
            </w:r>
            <w:r>
              <w:rPr>
                <w:noProof/>
                <w:webHidden/>
              </w:rPr>
              <w:fldChar w:fldCharType="separate"/>
            </w:r>
            <w:r>
              <w:rPr>
                <w:noProof/>
                <w:webHidden/>
              </w:rPr>
              <w:t>9</w:t>
            </w:r>
            <w:r>
              <w:rPr>
                <w:noProof/>
                <w:webHidden/>
              </w:rPr>
              <w:fldChar w:fldCharType="end"/>
            </w:r>
          </w:hyperlink>
        </w:p>
        <w:p w14:paraId="3E593A8C" w14:textId="797883E4" w:rsidR="009D54FA" w:rsidRDefault="009D54FA">
          <w:pPr>
            <w:pStyle w:val="TOC1"/>
            <w:tabs>
              <w:tab w:val="left" w:pos="440"/>
              <w:tab w:val="right" w:leader="dot" w:pos="9016"/>
            </w:tabs>
            <w:rPr>
              <w:rFonts w:eastAsiaTheme="minorEastAsia"/>
              <w:noProof/>
              <w:sz w:val="24"/>
              <w:szCs w:val="24"/>
              <w:lang w:eastAsia="en-GB"/>
            </w:rPr>
          </w:pPr>
          <w:hyperlink w:anchor="_Toc238908759" w:history="1">
            <w:r w:rsidRPr="00C4491D">
              <w:rPr>
                <w:rStyle w:val="Hyperlink"/>
                <w:noProof/>
              </w:rPr>
              <w:t>2.</w:t>
            </w:r>
            <w:r>
              <w:rPr>
                <w:rFonts w:eastAsiaTheme="minorEastAsia"/>
                <w:noProof/>
                <w:sz w:val="24"/>
                <w:szCs w:val="24"/>
                <w:lang w:eastAsia="en-GB"/>
              </w:rPr>
              <w:tab/>
            </w:r>
            <w:r w:rsidRPr="00C4491D">
              <w:rPr>
                <w:rStyle w:val="Hyperlink"/>
                <w:noProof/>
              </w:rPr>
              <w:t>Evaluate the Government Property Agency’s</w:t>
            </w:r>
            <w:r w:rsidRPr="00C4491D">
              <w:rPr>
                <w:rStyle w:val="Hyperlink"/>
                <w:b/>
                <w:bCs/>
                <w:noProof/>
              </w:rPr>
              <w:t xml:space="preserve"> </w:t>
            </w:r>
            <w:r w:rsidRPr="00C4491D">
              <w:rPr>
                <w:rStyle w:val="Hyperlink"/>
                <w:noProof/>
              </w:rPr>
              <w:t>ability to harness creativity and foster a creative culture in the workplace</w:t>
            </w:r>
            <w:r>
              <w:rPr>
                <w:noProof/>
                <w:webHidden/>
              </w:rPr>
              <w:tab/>
            </w:r>
            <w:r>
              <w:rPr>
                <w:noProof/>
                <w:webHidden/>
              </w:rPr>
              <w:fldChar w:fldCharType="begin"/>
            </w:r>
            <w:r>
              <w:rPr>
                <w:noProof/>
                <w:webHidden/>
              </w:rPr>
              <w:instrText xml:space="preserve"> PAGEREF _Toc238908759 \h </w:instrText>
            </w:r>
            <w:r>
              <w:rPr>
                <w:noProof/>
                <w:webHidden/>
              </w:rPr>
            </w:r>
            <w:r>
              <w:rPr>
                <w:noProof/>
                <w:webHidden/>
              </w:rPr>
              <w:fldChar w:fldCharType="separate"/>
            </w:r>
            <w:r>
              <w:rPr>
                <w:noProof/>
                <w:webHidden/>
              </w:rPr>
              <w:t>10</w:t>
            </w:r>
            <w:r>
              <w:rPr>
                <w:noProof/>
                <w:webHidden/>
              </w:rPr>
              <w:fldChar w:fldCharType="end"/>
            </w:r>
          </w:hyperlink>
        </w:p>
        <w:p w14:paraId="0027EAE6" w14:textId="1252AE5C" w:rsidR="009D54FA" w:rsidRDefault="009D54FA">
          <w:pPr>
            <w:pStyle w:val="TOC2"/>
            <w:tabs>
              <w:tab w:val="right" w:leader="dot" w:pos="9016"/>
            </w:tabs>
            <w:rPr>
              <w:rFonts w:eastAsiaTheme="minorEastAsia"/>
              <w:noProof/>
              <w:sz w:val="24"/>
              <w:szCs w:val="24"/>
              <w:lang w:eastAsia="en-GB"/>
            </w:rPr>
          </w:pPr>
          <w:hyperlink w:anchor="_Toc238908760" w:history="1">
            <w:r w:rsidRPr="00C4491D">
              <w:rPr>
                <w:rStyle w:val="Hyperlink"/>
                <w:noProof/>
              </w:rPr>
              <w:t>Theoretical foundations of creativity</w:t>
            </w:r>
            <w:r>
              <w:rPr>
                <w:noProof/>
                <w:webHidden/>
              </w:rPr>
              <w:tab/>
            </w:r>
            <w:r>
              <w:rPr>
                <w:noProof/>
                <w:webHidden/>
              </w:rPr>
              <w:fldChar w:fldCharType="begin"/>
            </w:r>
            <w:r>
              <w:rPr>
                <w:noProof/>
                <w:webHidden/>
              </w:rPr>
              <w:instrText xml:space="preserve"> PAGEREF _Toc238908760 \h </w:instrText>
            </w:r>
            <w:r>
              <w:rPr>
                <w:noProof/>
                <w:webHidden/>
              </w:rPr>
            </w:r>
            <w:r>
              <w:rPr>
                <w:noProof/>
                <w:webHidden/>
              </w:rPr>
              <w:fldChar w:fldCharType="separate"/>
            </w:r>
            <w:r>
              <w:rPr>
                <w:noProof/>
                <w:webHidden/>
              </w:rPr>
              <w:t>10</w:t>
            </w:r>
            <w:r>
              <w:rPr>
                <w:noProof/>
                <w:webHidden/>
              </w:rPr>
              <w:fldChar w:fldCharType="end"/>
            </w:r>
          </w:hyperlink>
        </w:p>
        <w:p w14:paraId="166B2B76" w14:textId="253D2933" w:rsidR="009D54FA" w:rsidRDefault="009D54FA">
          <w:pPr>
            <w:pStyle w:val="TOC2"/>
            <w:tabs>
              <w:tab w:val="right" w:leader="dot" w:pos="9016"/>
            </w:tabs>
            <w:rPr>
              <w:rFonts w:eastAsiaTheme="minorEastAsia"/>
              <w:noProof/>
              <w:sz w:val="24"/>
              <w:szCs w:val="24"/>
              <w:lang w:eastAsia="en-GB"/>
            </w:rPr>
          </w:pPr>
          <w:hyperlink w:anchor="_Toc238908761" w:history="1">
            <w:r w:rsidRPr="00C4491D">
              <w:rPr>
                <w:rStyle w:val="Hyperlink"/>
                <w:noProof/>
              </w:rPr>
              <w:t>Divergent and convergent thinking</w:t>
            </w:r>
            <w:r>
              <w:rPr>
                <w:noProof/>
                <w:webHidden/>
              </w:rPr>
              <w:tab/>
            </w:r>
            <w:r>
              <w:rPr>
                <w:noProof/>
                <w:webHidden/>
              </w:rPr>
              <w:fldChar w:fldCharType="begin"/>
            </w:r>
            <w:r>
              <w:rPr>
                <w:noProof/>
                <w:webHidden/>
              </w:rPr>
              <w:instrText xml:space="preserve"> PAGEREF _Toc238908761 \h </w:instrText>
            </w:r>
            <w:r>
              <w:rPr>
                <w:noProof/>
                <w:webHidden/>
              </w:rPr>
            </w:r>
            <w:r>
              <w:rPr>
                <w:noProof/>
                <w:webHidden/>
              </w:rPr>
              <w:fldChar w:fldCharType="separate"/>
            </w:r>
            <w:r>
              <w:rPr>
                <w:noProof/>
                <w:webHidden/>
              </w:rPr>
              <w:t>11</w:t>
            </w:r>
            <w:r>
              <w:rPr>
                <w:noProof/>
                <w:webHidden/>
              </w:rPr>
              <w:fldChar w:fldCharType="end"/>
            </w:r>
          </w:hyperlink>
        </w:p>
        <w:p w14:paraId="286F004C" w14:textId="723B3BFD" w:rsidR="009D54FA" w:rsidRDefault="009D54FA">
          <w:pPr>
            <w:pStyle w:val="TOC2"/>
            <w:tabs>
              <w:tab w:val="right" w:leader="dot" w:pos="9016"/>
            </w:tabs>
            <w:rPr>
              <w:rFonts w:eastAsiaTheme="minorEastAsia"/>
              <w:noProof/>
              <w:sz w:val="24"/>
              <w:szCs w:val="24"/>
              <w:lang w:eastAsia="en-GB"/>
            </w:rPr>
          </w:pPr>
          <w:hyperlink w:anchor="_Toc238908762" w:history="1">
            <w:r w:rsidRPr="00C4491D">
              <w:rPr>
                <w:rStyle w:val="Hyperlink"/>
                <w:noProof/>
              </w:rPr>
              <w:t>Six Thinking Hats and structured creative thinking</w:t>
            </w:r>
            <w:r>
              <w:rPr>
                <w:noProof/>
                <w:webHidden/>
              </w:rPr>
              <w:tab/>
            </w:r>
            <w:r>
              <w:rPr>
                <w:noProof/>
                <w:webHidden/>
              </w:rPr>
              <w:fldChar w:fldCharType="begin"/>
            </w:r>
            <w:r>
              <w:rPr>
                <w:noProof/>
                <w:webHidden/>
              </w:rPr>
              <w:instrText xml:space="preserve"> PAGEREF _Toc238908762 \h </w:instrText>
            </w:r>
            <w:r>
              <w:rPr>
                <w:noProof/>
                <w:webHidden/>
              </w:rPr>
            </w:r>
            <w:r>
              <w:rPr>
                <w:noProof/>
                <w:webHidden/>
              </w:rPr>
              <w:fldChar w:fldCharType="separate"/>
            </w:r>
            <w:r>
              <w:rPr>
                <w:noProof/>
                <w:webHidden/>
              </w:rPr>
              <w:t>12</w:t>
            </w:r>
            <w:r>
              <w:rPr>
                <w:noProof/>
                <w:webHidden/>
              </w:rPr>
              <w:fldChar w:fldCharType="end"/>
            </w:r>
          </w:hyperlink>
        </w:p>
        <w:p w14:paraId="456B2ED2" w14:textId="7A346C86" w:rsidR="009D54FA" w:rsidRDefault="009D54FA">
          <w:pPr>
            <w:pStyle w:val="TOC2"/>
            <w:tabs>
              <w:tab w:val="right" w:leader="dot" w:pos="9016"/>
            </w:tabs>
            <w:rPr>
              <w:rFonts w:eastAsiaTheme="minorEastAsia"/>
              <w:noProof/>
              <w:sz w:val="24"/>
              <w:szCs w:val="24"/>
              <w:lang w:eastAsia="en-GB"/>
            </w:rPr>
          </w:pPr>
          <w:hyperlink w:anchor="_Toc238908763" w:history="1">
            <w:r w:rsidRPr="00C4491D">
              <w:rPr>
                <w:rStyle w:val="Hyperlink"/>
                <w:noProof/>
              </w:rPr>
              <w:t>Fostering a creative culture</w:t>
            </w:r>
            <w:r>
              <w:rPr>
                <w:noProof/>
                <w:webHidden/>
              </w:rPr>
              <w:tab/>
            </w:r>
            <w:r>
              <w:rPr>
                <w:noProof/>
                <w:webHidden/>
              </w:rPr>
              <w:fldChar w:fldCharType="begin"/>
            </w:r>
            <w:r>
              <w:rPr>
                <w:noProof/>
                <w:webHidden/>
              </w:rPr>
              <w:instrText xml:space="preserve"> PAGEREF _Toc238908763 \h </w:instrText>
            </w:r>
            <w:r>
              <w:rPr>
                <w:noProof/>
                <w:webHidden/>
              </w:rPr>
            </w:r>
            <w:r>
              <w:rPr>
                <w:noProof/>
                <w:webHidden/>
              </w:rPr>
              <w:fldChar w:fldCharType="separate"/>
            </w:r>
            <w:r>
              <w:rPr>
                <w:noProof/>
                <w:webHidden/>
              </w:rPr>
              <w:t>12</w:t>
            </w:r>
            <w:r>
              <w:rPr>
                <w:noProof/>
                <w:webHidden/>
              </w:rPr>
              <w:fldChar w:fldCharType="end"/>
            </w:r>
          </w:hyperlink>
        </w:p>
        <w:p w14:paraId="3BEFF7B8" w14:textId="1A5D5C6F" w:rsidR="009D54FA" w:rsidRDefault="009D54FA">
          <w:pPr>
            <w:pStyle w:val="TOC2"/>
            <w:tabs>
              <w:tab w:val="right" w:leader="dot" w:pos="9016"/>
            </w:tabs>
            <w:rPr>
              <w:rFonts w:eastAsiaTheme="minorEastAsia"/>
              <w:noProof/>
              <w:sz w:val="24"/>
              <w:szCs w:val="24"/>
              <w:lang w:eastAsia="en-GB"/>
            </w:rPr>
          </w:pPr>
          <w:hyperlink w:anchor="_Toc238908764" w:history="1">
            <w:r w:rsidRPr="00C4491D">
              <w:rPr>
                <w:rStyle w:val="Hyperlink"/>
                <w:noProof/>
              </w:rPr>
              <w:t>Organisational culture and values</w:t>
            </w:r>
            <w:r>
              <w:rPr>
                <w:noProof/>
                <w:webHidden/>
              </w:rPr>
              <w:tab/>
            </w:r>
            <w:r>
              <w:rPr>
                <w:noProof/>
                <w:webHidden/>
              </w:rPr>
              <w:fldChar w:fldCharType="begin"/>
            </w:r>
            <w:r>
              <w:rPr>
                <w:noProof/>
                <w:webHidden/>
              </w:rPr>
              <w:instrText xml:space="preserve"> PAGEREF _Toc238908764 \h </w:instrText>
            </w:r>
            <w:r>
              <w:rPr>
                <w:noProof/>
                <w:webHidden/>
              </w:rPr>
            </w:r>
            <w:r>
              <w:rPr>
                <w:noProof/>
                <w:webHidden/>
              </w:rPr>
              <w:fldChar w:fldCharType="separate"/>
            </w:r>
            <w:r>
              <w:rPr>
                <w:noProof/>
                <w:webHidden/>
              </w:rPr>
              <w:t>12</w:t>
            </w:r>
            <w:r>
              <w:rPr>
                <w:noProof/>
                <w:webHidden/>
              </w:rPr>
              <w:fldChar w:fldCharType="end"/>
            </w:r>
          </w:hyperlink>
        </w:p>
        <w:p w14:paraId="7FFF27FB" w14:textId="1642A946" w:rsidR="009D54FA" w:rsidRDefault="009D54FA">
          <w:pPr>
            <w:pStyle w:val="TOC2"/>
            <w:tabs>
              <w:tab w:val="right" w:leader="dot" w:pos="9016"/>
            </w:tabs>
            <w:rPr>
              <w:rFonts w:eastAsiaTheme="minorEastAsia"/>
              <w:noProof/>
              <w:sz w:val="24"/>
              <w:szCs w:val="24"/>
              <w:lang w:eastAsia="en-GB"/>
            </w:rPr>
          </w:pPr>
          <w:hyperlink w:anchor="_Toc238908765" w:history="1">
            <w:r w:rsidRPr="00C4491D">
              <w:rPr>
                <w:rStyle w:val="Hyperlink"/>
                <w:noProof/>
              </w:rPr>
              <w:t>Leadership and psychological safety</w:t>
            </w:r>
            <w:r>
              <w:rPr>
                <w:noProof/>
                <w:webHidden/>
              </w:rPr>
              <w:tab/>
            </w:r>
            <w:r>
              <w:rPr>
                <w:noProof/>
                <w:webHidden/>
              </w:rPr>
              <w:fldChar w:fldCharType="begin"/>
            </w:r>
            <w:r>
              <w:rPr>
                <w:noProof/>
                <w:webHidden/>
              </w:rPr>
              <w:instrText xml:space="preserve"> PAGEREF _Toc238908765 \h </w:instrText>
            </w:r>
            <w:r>
              <w:rPr>
                <w:noProof/>
                <w:webHidden/>
              </w:rPr>
            </w:r>
            <w:r>
              <w:rPr>
                <w:noProof/>
                <w:webHidden/>
              </w:rPr>
              <w:fldChar w:fldCharType="separate"/>
            </w:r>
            <w:r>
              <w:rPr>
                <w:noProof/>
                <w:webHidden/>
              </w:rPr>
              <w:t>13</w:t>
            </w:r>
            <w:r>
              <w:rPr>
                <w:noProof/>
                <w:webHidden/>
              </w:rPr>
              <w:fldChar w:fldCharType="end"/>
            </w:r>
          </w:hyperlink>
        </w:p>
        <w:p w14:paraId="7AADB5BA" w14:textId="2CD78B72" w:rsidR="009D54FA" w:rsidRDefault="009D54FA">
          <w:pPr>
            <w:pStyle w:val="TOC2"/>
            <w:tabs>
              <w:tab w:val="right" w:leader="dot" w:pos="9016"/>
            </w:tabs>
            <w:rPr>
              <w:rFonts w:eastAsiaTheme="minorEastAsia"/>
              <w:noProof/>
              <w:sz w:val="24"/>
              <w:szCs w:val="24"/>
              <w:lang w:eastAsia="en-GB"/>
            </w:rPr>
          </w:pPr>
          <w:hyperlink w:anchor="_Toc238908766" w:history="1">
            <w:r w:rsidRPr="00C4491D">
              <w:rPr>
                <w:rStyle w:val="Hyperlink"/>
                <w:noProof/>
              </w:rPr>
              <w:t>Creativity, governance, and risk</w:t>
            </w:r>
            <w:r>
              <w:rPr>
                <w:noProof/>
                <w:webHidden/>
              </w:rPr>
              <w:tab/>
            </w:r>
            <w:r>
              <w:rPr>
                <w:noProof/>
                <w:webHidden/>
              </w:rPr>
              <w:fldChar w:fldCharType="begin"/>
            </w:r>
            <w:r>
              <w:rPr>
                <w:noProof/>
                <w:webHidden/>
              </w:rPr>
              <w:instrText xml:space="preserve"> PAGEREF _Toc238908766 \h </w:instrText>
            </w:r>
            <w:r>
              <w:rPr>
                <w:noProof/>
                <w:webHidden/>
              </w:rPr>
            </w:r>
            <w:r>
              <w:rPr>
                <w:noProof/>
                <w:webHidden/>
              </w:rPr>
              <w:fldChar w:fldCharType="separate"/>
            </w:r>
            <w:r>
              <w:rPr>
                <w:noProof/>
                <w:webHidden/>
              </w:rPr>
              <w:t>13</w:t>
            </w:r>
            <w:r>
              <w:rPr>
                <w:noProof/>
                <w:webHidden/>
              </w:rPr>
              <w:fldChar w:fldCharType="end"/>
            </w:r>
          </w:hyperlink>
        </w:p>
        <w:p w14:paraId="75218FFC" w14:textId="6F014B2D" w:rsidR="009D54FA" w:rsidRDefault="009D54FA">
          <w:pPr>
            <w:pStyle w:val="TOC2"/>
            <w:tabs>
              <w:tab w:val="right" w:leader="dot" w:pos="9016"/>
            </w:tabs>
            <w:rPr>
              <w:rFonts w:eastAsiaTheme="minorEastAsia"/>
              <w:noProof/>
              <w:sz w:val="24"/>
              <w:szCs w:val="24"/>
              <w:lang w:eastAsia="en-GB"/>
            </w:rPr>
          </w:pPr>
          <w:hyperlink w:anchor="_Toc238908767" w:history="1">
            <w:r w:rsidRPr="00C4491D">
              <w:rPr>
                <w:rStyle w:val="Hyperlink"/>
                <w:noProof/>
              </w:rPr>
              <w:t>Summary</w:t>
            </w:r>
            <w:r>
              <w:rPr>
                <w:noProof/>
                <w:webHidden/>
              </w:rPr>
              <w:tab/>
            </w:r>
            <w:r>
              <w:rPr>
                <w:noProof/>
                <w:webHidden/>
              </w:rPr>
              <w:fldChar w:fldCharType="begin"/>
            </w:r>
            <w:r>
              <w:rPr>
                <w:noProof/>
                <w:webHidden/>
              </w:rPr>
              <w:instrText xml:space="preserve"> PAGEREF _Toc238908767 \h </w:instrText>
            </w:r>
            <w:r>
              <w:rPr>
                <w:noProof/>
                <w:webHidden/>
              </w:rPr>
            </w:r>
            <w:r>
              <w:rPr>
                <w:noProof/>
                <w:webHidden/>
              </w:rPr>
              <w:fldChar w:fldCharType="separate"/>
            </w:r>
            <w:r>
              <w:rPr>
                <w:noProof/>
                <w:webHidden/>
              </w:rPr>
              <w:t>13</w:t>
            </w:r>
            <w:r>
              <w:rPr>
                <w:noProof/>
                <w:webHidden/>
              </w:rPr>
              <w:fldChar w:fldCharType="end"/>
            </w:r>
          </w:hyperlink>
        </w:p>
        <w:p w14:paraId="239DBAA6" w14:textId="6DCE5F75" w:rsidR="009D54FA" w:rsidRDefault="009D54FA">
          <w:pPr>
            <w:pStyle w:val="TOC1"/>
            <w:tabs>
              <w:tab w:val="right" w:leader="dot" w:pos="9016"/>
            </w:tabs>
            <w:rPr>
              <w:rFonts w:eastAsiaTheme="minorEastAsia"/>
              <w:noProof/>
              <w:sz w:val="24"/>
              <w:szCs w:val="24"/>
              <w:lang w:eastAsia="en-GB"/>
            </w:rPr>
          </w:pPr>
          <w:hyperlink w:anchor="_Toc238908768" w:history="1">
            <w:r w:rsidRPr="00C4491D">
              <w:rPr>
                <w:rStyle w:val="Hyperlink"/>
                <w:noProof/>
              </w:rPr>
              <w:t>Conclusion</w:t>
            </w:r>
            <w:r>
              <w:rPr>
                <w:noProof/>
                <w:webHidden/>
              </w:rPr>
              <w:tab/>
            </w:r>
            <w:r>
              <w:rPr>
                <w:noProof/>
                <w:webHidden/>
              </w:rPr>
              <w:fldChar w:fldCharType="begin"/>
            </w:r>
            <w:r>
              <w:rPr>
                <w:noProof/>
                <w:webHidden/>
              </w:rPr>
              <w:instrText xml:space="preserve"> PAGEREF _Toc238908768 \h </w:instrText>
            </w:r>
            <w:r>
              <w:rPr>
                <w:noProof/>
                <w:webHidden/>
              </w:rPr>
            </w:r>
            <w:r>
              <w:rPr>
                <w:noProof/>
                <w:webHidden/>
              </w:rPr>
              <w:fldChar w:fldCharType="separate"/>
            </w:r>
            <w:r>
              <w:rPr>
                <w:noProof/>
                <w:webHidden/>
              </w:rPr>
              <w:t>14</w:t>
            </w:r>
            <w:r>
              <w:rPr>
                <w:noProof/>
                <w:webHidden/>
              </w:rPr>
              <w:fldChar w:fldCharType="end"/>
            </w:r>
          </w:hyperlink>
        </w:p>
        <w:p w14:paraId="750E2EC5" w14:textId="6EE62FBE" w:rsidR="009D54FA" w:rsidRDefault="009D54FA">
          <w:pPr>
            <w:pStyle w:val="TOC1"/>
            <w:tabs>
              <w:tab w:val="right" w:leader="dot" w:pos="9016"/>
            </w:tabs>
            <w:rPr>
              <w:rFonts w:eastAsiaTheme="minorEastAsia"/>
              <w:noProof/>
              <w:sz w:val="24"/>
              <w:szCs w:val="24"/>
              <w:lang w:eastAsia="en-GB"/>
            </w:rPr>
          </w:pPr>
          <w:hyperlink w:anchor="_Toc238908769" w:history="1">
            <w:r w:rsidRPr="00C4491D">
              <w:rPr>
                <w:rStyle w:val="Hyperlink"/>
                <w:noProof/>
              </w:rPr>
              <w:t>References</w:t>
            </w:r>
            <w:r>
              <w:rPr>
                <w:noProof/>
                <w:webHidden/>
              </w:rPr>
              <w:tab/>
            </w:r>
            <w:r>
              <w:rPr>
                <w:noProof/>
                <w:webHidden/>
              </w:rPr>
              <w:fldChar w:fldCharType="begin"/>
            </w:r>
            <w:r>
              <w:rPr>
                <w:noProof/>
                <w:webHidden/>
              </w:rPr>
              <w:instrText xml:space="preserve"> PAGEREF _Toc238908769 \h </w:instrText>
            </w:r>
            <w:r>
              <w:rPr>
                <w:noProof/>
                <w:webHidden/>
              </w:rPr>
            </w:r>
            <w:r>
              <w:rPr>
                <w:noProof/>
                <w:webHidden/>
              </w:rPr>
              <w:fldChar w:fldCharType="separate"/>
            </w:r>
            <w:r>
              <w:rPr>
                <w:noProof/>
                <w:webHidden/>
              </w:rPr>
              <w:t>15</w:t>
            </w:r>
            <w:r>
              <w:rPr>
                <w:noProof/>
                <w:webHidden/>
              </w:rPr>
              <w:fldChar w:fldCharType="end"/>
            </w:r>
          </w:hyperlink>
        </w:p>
        <w:p w14:paraId="40E1644B" w14:textId="3C252BCF" w:rsidR="00715892" w:rsidRDefault="00715892">
          <w:r>
            <w:rPr>
              <w:b/>
              <w:bCs/>
            </w:rPr>
            <w:fldChar w:fldCharType="end"/>
          </w:r>
        </w:p>
      </w:sdtContent>
    </w:sdt>
    <w:p w14:paraId="68505B19" w14:textId="77777777" w:rsidR="007E66A1" w:rsidRDefault="007E66A1"/>
    <w:p w14:paraId="08AE7C26" w14:textId="77777777" w:rsidR="007E66A1" w:rsidRDefault="007E66A1"/>
    <w:p w14:paraId="7C258D2A" w14:textId="77777777" w:rsidR="00715892" w:rsidRDefault="00715892"/>
    <w:p w14:paraId="556551C2" w14:textId="308722E9" w:rsidR="00715892" w:rsidRDefault="00715892"/>
    <w:p w14:paraId="7C423699" w14:textId="7007636C" w:rsidR="007E66A1" w:rsidRDefault="007E66A1" w:rsidP="007E66A1">
      <w:pPr>
        <w:pStyle w:val="Heading1"/>
      </w:pPr>
      <w:bookmarkStart w:id="0" w:name="_Toc238908743"/>
      <w:r>
        <w:lastRenderedPageBreak/>
        <w:t>Introduction</w:t>
      </w:r>
      <w:bookmarkEnd w:id="0"/>
      <w:r>
        <w:tab/>
      </w:r>
    </w:p>
    <w:p w14:paraId="59CB5A3C" w14:textId="1FEDB11D" w:rsidR="005F6353" w:rsidRPr="005F6353" w:rsidRDefault="005F6353" w:rsidP="005F6353">
      <w:r w:rsidRPr="005F6353">
        <w:br/>
        <w:t xml:space="preserve">For public sector organisations looking to enhance services, adapt to changing demands, whilst maximising the value of public resources, innovation and creativity have become crucial. </w:t>
      </w:r>
      <w:r w:rsidR="001A02C9">
        <w:t>I</w:t>
      </w:r>
      <w:r w:rsidRPr="005F6353">
        <w:t xml:space="preserve">nnovation requires more than generating new concepts; businesses also need to manage risk, governance, and organisational constraints while establishing a framework for assessing, developing, implementing, and </w:t>
      </w:r>
      <w:r w:rsidRPr="00492A03">
        <w:rPr>
          <w:color w:val="000000" w:themeColor="text1"/>
        </w:rPr>
        <w:t>maintaining ideas (De Vries et al., 2016).</w:t>
      </w:r>
      <w:r w:rsidRPr="005F6353">
        <w:br/>
      </w:r>
      <w:r w:rsidRPr="005F6353">
        <w:br/>
        <w:t xml:space="preserve">The Government Property Agency's (GPA) potential to innovate successfully, harness creativity, and cultivate a creative working culture is critically examined in this report. The </w:t>
      </w:r>
      <w:r w:rsidRPr="005F6353">
        <w:t>GPA Interoperability</w:t>
      </w:r>
      <w:r w:rsidRPr="005F6353">
        <w:t xml:space="preserve"> Portfolio integrates technology, process improvement, cross-government coordination, and organisational change to enhance workplace access and service delivery; GPA provides a suitable framework</w:t>
      </w:r>
      <w:r w:rsidR="001A02C9">
        <w:t xml:space="preserve"> for this</w:t>
      </w:r>
      <w:r w:rsidRPr="005F6353">
        <w:t>. The analysis assesses how innovation can be advanced from ideas through evaluation and implementation while managing governance, risk, and organisational complexity</w:t>
      </w:r>
      <w:r>
        <w:t>,</w:t>
      </w:r>
      <w:r w:rsidRPr="005F6353">
        <w:t xml:space="preserve"> applying Cooper's Stage-Gate model and the Innovation Pipeline.</w:t>
      </w:r>
      <w:r w:rsidRPr="005F6353">
        <w:br/>
      </w:r>
      <w:r w:rsidRPr="005F6353">
        <w:br/>
        <w:t xml:space="preserve">The report also assesses GPA's capacity to apply de Bono's Six Thinking Hats, divergent and convergent thinking, and Amabile's Componential Theory of Creativity. Leadership, psychological safety, organisational culture, collaboration, autonomy, and proportionate governance are given </w:t>
      </w:r>
      <w:r w:rsidRPr="005F6353">
        <w:t>consideration</w:t>
      </w:r>
      <w:r w:rsidRPr="005F6353">
        <w:t xml:space="preserve">. The report evaluates </w:t>
      </w:r>
      <w:r>
        <w:t>whether</w:t>
      </w:r>
      <w:r w:rsidRPr="005F6353">
        <w:t xml:space="preserve"> GPA provides the organisational framework and competencies required to transform innovation and creativity into long-term value.</w:t>
      </w:r>
    </w:p>
    <w:p w14:paraId="5BD3DAAC" w14:textId="77777777" w:rsidR="005F6353" w:rsidRDefault="005F6353" w:rsidP="005F6353"/>
    <w:p w14:paraId="49CEC24B" w14:textId="77777777" w:rsidR="00715892" w:rsidRDefault="00715892" w:rsidP="005F6353"/>
    <w:p w14:paraId="58C99873" w14:textId="77777777" w:rsidR="00715892" w:rsidRDefault="00715892" w:rsidP="005F6353"/>
    <w:p w14:paraId="55A23B95" w14:textId="77777777" w:rsidR="00715892" w:rsidRDefault="00715892" w:rsidP="005F6353"/>
    <w:p w14:paraId="5504A6E1" w14:textId="77777777" w:rsidR="00715892" w:rsidRDefault="00715892" w:rsidP="005F6353"/>
    <w:p w14:paraId="13EC71D4" w14:textId="77777777" w:rsidR="00715892" w:rsidRDefault="00715892" w:rsidP="005F6353"/>
    <w:p w14:paraId="2FC9D151" w14:textId="77777777" w:rsidR="00715892" w:rsidRDefault="00715892" w:rsidP="005F6353"/>
    <w:p w14:paraId="30AFEFA2" w14:textId="77777777" w:rsidR="00715892" w:rsidRDefault="00715892" w:rsidP="005F6353"/>
    <w:p w14:paraId="5C2B8871" w14:textId="77777777" w:rsidR="00715892" w:rsidRDefault="00715892" w:rsidP="005F6353"/>
    <w:p w14:paraId="3CEE872E" w14:textId="77777777" w:rsidR="00715892" w:rsidRPr="005F6353" w:rsidRDefault="00715892" w:rsidP="005F6353"/>
    <w:p w14:paraId="13358AE3" w14:textId="7C3209B8" w:rsidR="007E66A1" w:rsidRPr="007E66A1" w:rsidRDefault="007E66A1" w:rsidP="00753D31">
      <w:pPr>
        <w:pStyle w:val="Heading1"/>
        <w:numPr>
          <w:ilvl w:val="0"/>
          <w:numId w:val="3"/>
        </w:numPr>
      </w:pPr>
      <w:bookmarkStart w:id="1" w:name="_Toc238908744"/>
      <w:r w:rsidRPr="007E66A1">
        <w:lastRenderedPageBreak/>
        <w:t>Using</w:t>
      </w:r>
      <w:r w:rsidRPr="007E66A1">
        <w:rPr>
          <w:i/>
          <w:iCs/>
          <w:u w:val="single"/>
        </w:rPr>
        <w:t xml:space="preserve"> </w:t>
      </w:r>
      <w:r w:rsidRPr="007E66A1">
        <w:t>two recognised models of innovation, critically examine the ability of the organisation to innovate effectively.</w:t>
      </w:r>
      <w:bookmarkEnd w:id="1"/>
      <w:r w:rsidRPr="007E66A1">
        <w:t xml:space="preserve"> </w:t>
      </w:r>
    </w:p>
    <w:p w14:paraId="2C6D682C" w14:textId="1A1DC99E" w:rsidR="007E66A1" w:rsidRDefault="00AF5435">
      <w:r w:rsidRPr="00AF5435">
        <w:t xml:space="preserve">Innovation is becoming increasingly vital for public-sector organisations that aim to improve services, respond to changing demands, and generate more value from public </w:t>
      </w:r>
      <w:r w:rsidRPr="00334D55">
        <w:rPr>
          <w:color w:val="000000" w:themeColor="text1"/>
        </w:rPr>
        <w:t>resources</w:t>
      </w:r>
      <w:r w:rsidR="00256770" w:rsidRPr="00334D55">
        <w:rPr>
          <w:color w:val="000000" w:themeColor="text1"/>
        </w:rPr>
        <w:t xml:space="preserve"> (De Vries et al., 2016)</w:t>
      </w:r>
      <w:r w:rsidRPr="00334D55">
        <w:rPr>
          <w:color w:val="000000" w:themeColor="text1"/>
        </w:rPr>
        <w:t xml:space="preserve">. However, effective innovation entails more than just generating </w:t>
      </w:r>
      <w:r w:rsidR="00030173" w:rsidRPr="00334D55">
        <w:rPr>
          <w:color w:val="000000" w:themeColor="text1"/>
        </w:rPr>
        <w:t>innovative ideas</w:t>
      </w:r>
      <w:r w:rsidRPr="00334D55">
        <w:rPr>
          <w:color w:val="000000" w:themeColor="text1"/>
        </w:rPr>
        <w:t xml:space="preserve">; </w:t>
      </w:r>
      <w:r w:rsidRPr="00AF5435">
        <w:t xml:space="preserve">businesses must be able to create, test, deploy, and embed innovations while managing risk and organisational constraints. This is especially important for the Government Property Agency (GPA), where the Interoperability Program is utilising technology, process redesign, and cross-government collaboration to create innovative ways to improve workplace access and service delivery. </w:t>
      </w:r>
      <w:r w:rsidR="00BE193E" w:rsidRPr="00BE193E">
        <w:t>This section critically explores GPA's ability to innovate using Cooper's Stage-Gate model and the Innovation Pipeline</w:t>
      </w:r>
      <w:r w:rsidR="00BE193E">
        <w:t xml:space="preserve">. </w:t>
      </w:r>
      <w:r w:rsidRPr="00AF5435">
        <w:t>Culture, creativity, leadership, cooperation, governance, risk, and organisational readiness are considered organisational elements that either support or hinder innovation.</w:t>
      </w:r>
    </w:p>
    <w:p w14:paraId="3E16E01F" w14:textId="77777777" w:rsidR="00715892" w:rsidRDefault="00715892"/>
    <w:p w14:paraId="2C1C2EFD" w14:textId="77777777" w:rsidR="00AF5435" w:rsidRDefault="00AF5435" w:rsidP="00AF5435">
      <w:pPr>
        <w:pStyle w:val="Heading2"/>
      </w:pPr>
      <w:bookmarkStart w:id="2" w:name="_Toc238908745"/>
      <w:r w:rsidRPr="005066E9">
        <w:t>Stage-Gate Model</w:t>
      </w:r>
      <w:bookmarkEnd w:id="2"/>
    </w:p>
    <w:p w14:paraId="2BC0B8F8" w14:textId="7CCA1D96" w:rsidR="00AF5435" w:rsidRPr="00AF5435" w:rsidRDefault="00826D85" w:rsidP="00AF5435">
      <w:r w:rsidRPr="00826D85">
        <w:t xml:space="preserve">Robert G. Cooper established the Stage-Gate model, which provides a structured approach for managing innovation from inception to implementation. Cooper's concept separates innovation into stages, each divided by "gates" for decision-making. At each gate, decision-makers evaluate the available evidence and decide whether an initiative should proceed, stop, be held, or be re-examined. The typical process consists of discovery, scoping, business case development, testing, and validation, followed by </w:t>
      </w:r>
      <w:r w:rsidRPr="00334D55">
        <w:rPr>
          <w:color w:val="000000" w:themeColor="text1"/>
        </w:rPr>
        <w:t>launch</w:t>
      </w:r>
      <w:r w:rsidR="00256770" w:rsidRPr="00334D55">
        <w:rPr>
          <w:color w:val="000000" w:themeColor="text1"/>
        </w:rPr>
        <w:t xml:space="preserve"> (Cooper, 2008)</w:t>
      </w:r>
      <w:r w:rsidRPr="00334D55">
        <w:rPr>
          <w:color w:val="000000" w:themeColor="text1"/>
        </w:rPr>
        <w:t>.</w:t>
      </w:r>
    </w:p>
    <w:p w14:paraId="3A0BBE7E" w14:textId="1FF909FC" w:rsidR="00AF5435" w:rsidRDefault="00826D85">
      <w:r w:rsidRPr="00826D85">
        <w:t xml:space="preserve">One of the model's key strengths is its recognition of uncertainty and risk as fundamental to innovation. Cooper claims that each stage should gather knowledge to reduce technical and business uncertainty before making the next investment </w:t>
      </w:r>
      <w:r w:rsidRPr="00334D55">
        <w:rPr>
          <w:color w:val="000000" w:themeColor="text1"/>
        </w:rPr>
        <w:t>decision</w:t>
      </w:r>
      <w:r w:rsidR="00256770" w:rsidRPr="00334D55">
        <w:rPr>
          <w:color w:val="000000" w:themeColor="text1"/>
        </w:rPr>
        <w:t xml:space="preserve"> (Cooper, 2008)</w:t>
      </w:r>
      <w:r w:rsidRPr="00334D55">
        <w:rPr>
          <w:color w:val="000000" w:themeColor="text1"/>
        </w:rPr>
        <w:t xml:space="preserve">. </w:t>
      </w:r>
      <w:r w:rsidRPr="00826D85">
        <w:t xml:space="preserve">This is important in the public sector, where innovation must demonstrate benefit while simultaneously addressing security, governance, accountability, and responsible public resource </w:t>
      </w:r>
      <w:r w:rsidRPr="00334D55">
        <w:rPr>
          <w:color w:val="000000" w:themeColor="text1"/>
        </w:rPr>
        <w:t>management</w:t>
      </w:r>
      <w:r w:rsidR="00256770" w:rsidRPr="00334D55">
        <w:rPr>
          <w:color w:val="000000" w:themeColor="text1"/>
        </w:rPr>
        <w:t xml:space="preserve"> (De Vries et al., 2016)</w:t>
      </w:r>
      <w:r w:rsidRPr="00334D55">
        <w:rPr>
          <w:color w:val="000000" w:themeColor="text1"/>
        </w:rPr>
        <w:t>.</w:t>
      </w:r>
    </w:p>
    <w:p w14:paraId="6EF8156D" w14:textId="5A9AE82A" w:rsidR="002943FC" w:rsidRDefault="002943FC">
      <w:r w:rsidRPr="002943FC">
        <w:t>When applied to GPA, Stage-Gate provides a helpful perspective on how innovations like GovPass can move from an identified requirement to an operational solution. The underlying issue was the inconsistent process for accessing government buildings across departments. GovPass is a single authorised access card used at all participating government buildings, promoting interoperability and collaboration. According to GPA, GovPass can be integrated into both legacy and replacement access-control systems, highlighting a crucial feature of innovation: the ability to deliver a new solution while operating within an existing, complex environment.</w:t>
      </w:r>
    </w:p>
    <w:p w14:paraId="50046784" w14:textId="43883388" w:rsidR="001E45AD" w:rsidRDefault="002A639A" w:rsidP="001E45AD">
      <w:r w:rsidRPr="002A639A">
        <w:t xml:space="preserve">GovPass </w:t>
      </w:r>
      <w:r>
        <w:t xml:space="preserve">progress </w:t>
      </w:r>
      <w:r w:rsidRPr="002A639A">
        <w:t>can be viewed from a Stage-Gate vantage point</w:t>
      </w:r>
      <w:r>
        <w:t xml:space="preserve">. </w:t>
      </w:r>
      <w:r w:rsidR="001E45AD">
        <w:t xml:space="preserve">An opportunity was recognised, technical and security requirements were investigated, the approach was evaluated, and its deployment was gradually increased. </w:t>
      </w:r>
      <w:r w:rsidR="00AE1F96">
        <w:t>GPA reporting</w:t>
      </w:r>
      <w:r w:rsidR="001E45AD">
        <w:t xml:space="preserve"> </w:t>
      </w:r>
      <w:r w:rsidR="00BE193E">
        <w:t xml:space="preserve">indicates </w:t>
      </w:r>
      <w:r w:rsidR="001E45AD">
        <w:t xml:space="preserve">that over 166,000 public servants have been granted GovPasses across more than </w:t>
      </w:r>
      <w:r w:rsidR="00030173">
        <w:t>seventy</w:t>
      </w:r>
      <w:r w:rsidR="001E45AD">
        <w:t xml:space="preserve"> buildings</w:t>
      </w:r>
      <w:r w:rsidR="00AE1F96">
        <w:t xml:space="preserve"> </w:t>
      </w:r>
      <w:r w:rsidR="00AE1F96" w:rsidRPr="00E45C57">
        <w:t>(GPA, 2026</w:t>
      </w:r>
      <w:r w:rsidR="0009576F">
        <w:t>b</w:t>
      </w:r>
      <w:r w:rsidR="00AE1F96" w:rsidRPr="00E45C57">
        <w:t>)</w:t>
      </w:r>
      <w:r w:rsidR="001E45AD">
        <w:t>.</w:t>
      </w:r>
    </w:p>
    <w:p w14:paraId="793ED37A" w14:textId="74BB1227" w:rsidR="001C68C0" w:rsidRDefault="001E45AD" w:rsidP="001E45AD">
      <w:r>
        <w:lastRenderedPageBreak/>
        <w:t xml:space="preserve">However, the model does have constraints. A potential issue is that formal stages and gates might become bureaucratic, stifling innovation. Cooper acknowledges concerns about administrative overload and contends that Stage-Gate should not be viewed as a rigid or strictly linear procedure. Later versions of the </w:t>
      </w:r>
      <w:r w:rsidRPr="00334D55">
        <w:rPr>
          <w:color w:val="000000" w:themeColor="text1"/>
        </w:rPr>
        <w:t>model include increased flexibility, iterative development, and scalable methodologies</w:t>
      </w:r>
      <w:r w:rsidR="002A639A" w:rsidRPr="00334D55">
        <w:rPr>
          <w:color w:val="000000" w:themeColor="text1"/>
        </w:rPr>
        <w:t xml:space="preserve"> (Cooper, 1994; Cooper, 2008)</w:t>
      </w:r>
      <w:r w:rsidRPr="00334D55">
        <w:rPr>
          <w:color w:val="000000" w:themeColor="text1"/>
        </w:rPr>
        <w:t>.</w:t>
      </w:r>
    </w:p>
    <w:p w14:paraId="7F1A451C" w14:textId="5BFA199B" w:rsidR="001A3584" w:rsidRDefault="000D30ED" w:rsidP="000D30ED">
      <w:pPr>
        <w:rPr>
          <w:color w:val="000000" w:themeColor="text1"/>
        </w:rPr>
      </w:pPr>
      <w:r>
        <w:t>Interoperability encompasses numerous government departments, technology, security needs, and stakeholder groups. A rigorous Stage-Gate strategy can prevent experimentation or lead to </w:t>
      </w:r>
      <w:r w:rsidR="00030173">
        <w:t>insignificant</w:t>
      </w:r>
      <w:r>
        <w:t xml:space="preserve"> breakthroughs that are disproportionately governed. Therefore, the effectiveness of Stage-Gate within GPA depends on whether governance is appropriate in relation to </w:t>
      </w:r>
      <w:r w:rsidRPr="00334D55">
        <w:rPr>
          <w:color w:val="000000" w:themeColor="text1"/>
        </w:rPr>
        <w:t>risk</w:t>
      </w:r>
      <w:r w:rsidR="002A639A" w:rsidRPr="00334D55">
        <w:rPr>
          <w:color w:val="000000" w:themeColor="text1"/>
        </w:rPr>
        <w:t xml:space="preserve"> (Cooper &amp; Sommer, 2016)</w:t>
      </w:r>
      <w:r w:rsidRPr="00334D55">
        <w:rPr>
          <w:color w:val="000000" w:themeColor="text1"/>
        </w:rPr>
        <w:t>.</w:t>
      </w:r>
    </w:p>
    <w:p w14:paraId="566311A8" w14:textId="77777777" w:rsidR="008F7B47" w:rsidRPr="008F7B47" w:rsidRDefault="000D30ED" w:rsidP="008F7B47">
      <w:r>
        <w:t xml:space="preserve">Overall, Stage-Gate provides GPA with an effective tool for balancing innovation and accountability. Its primary strength is its </w:t>
      </w:r>
      <w:r w:rsidR="002632F7">
        <w:t>ability to ensure that creative ideas are validated against evidence, risk, and strategic value before major resources are allocated</w:t>
      </w:r>
      <w:r>
        <w:t xml:space="preserve">. </w:t>
      </w:r>
      <w:r w:rsidR="008F7B47" w:rsidRPr="008F7B47">
        <w:t>Its efficacy, however, depends on decision-makers' ability to identify when uncertainty calls for additional testing rather than abruptly rejecting an idea.</w:t>
      </w:r>
    </w:p>
    <w:p w14:paraId="458F071B" w14:textId="31A9366B" w:rsidR="00C9073B" w:rsidRPr="008F7B47" w:rsidRDefault="00C9073B" w:rsidP="000D30ED">
      <w:pPr>
        <w:rPr>
          <w:b/>
          <w:bCs/>
        </w:rPr>
      </w:pPr>
    </w:p>
    <w:p w14:paraId="33673C38" w14:textId="77777777" w:rsidR="00C9073B" w:rsidRPr="005066E9" w:rsidRDefault="00C9073B" w:rsidP="00C9073B">
      <w:pPr>
        <w:pStyle w:val="Heading2"/>
      </w:pPr>
      <w:bookmarkStart w:id="3" w:name="_Toc238908746"/>
      <w:r w:rsidRPr="005066E9">
        <w:t>Innovation Pipeline</w:t>
      </w:r>
      <w:bookmarkEnd w:id="3"/>
    </w:p>
    <w:p w14:paraId="1C1A8FEA" w14:textId="67F88B61" w:rsidR="001C68C0" w:rsidRPr="00B9099B" w:rsidRDefault="00B9099B">
      <w:pPr>
        <w:rPr>
          <w:color w:val="000000" w:themeColor="text1"/>
        </w:rPr>
      </w:pPr>
      <w:r w:rsidRPr="00B9099B">
        <w:t>An Innovation Pipeline is a process that moves tested ideas from initial concepts through evidence creation and development to implementation and integration into established operational procedures.</w:t>
      </w:r>
      <w:r w:rsidR="002A639A" w:rsidRPr="00334D55">
        <w:rPr>
          <w:color w:val="000000" w:themeColor="text1"/>
        </w:rPr>
        <w:t xml:space="preserve"> (De Broe et al., 2021; Gjaltema, 2022).</w:t>
      </w:r>
      <w:r w:rsidR="001A3584">
        <w:rPr>
          <w:color w:val="000000" w:themeColor="text1"/>
        </w:rPr>
        <w:t xml:space="preserve"> </w:t>
      </w:r>
      <w:r w:rsidRPr="00B9099B">
        <w:rPr>
          <w:color w:val="000000" w:themeColor="text1"/>
        </w:rPr>
        <w:t xml:space="preserve">Unlike Stage-Gate, which focuses on formal decision points to evaluate if an idea should proceed, the </w:t>
      </w:r>
      <w:r w:rsidR="001A3584">
        <w:rPr>
          <w:color w:val="000000" w:themeColor="text1"/>
        </w:rPr>
        <w:t>Innovation</w:t>
      </w:r>
      <w:r w:rsidRPr="00B9099B">
        <w:rPr>
          <w:color w:val="000000" w:themeColor="text1"/>
        </w:rPr>
        <w:t xml:space="preserve"> Pipeline offers a more </w:t>
      </w:r>
      <w:r w:rsidR="00030173" w:rsidRPr="00B9099B">
        <w:rPr>
          <w:color w:val="000000" w:themeColor="text1"/>
        </w:rPr>
        <w:t>comprehensive approach</w:t>
      </w:r>
      <w:r w:rsidRPr="00B9099B">
        <w:rPr>
          <w:color w:val="000000" w:themeColor="text1"/>
        </w:rPr>
        <w:t xml:space="preserve"> by examining the flow of ideas through development, testing, implementation, and benefits realisation.</w:t>
      </w:r>
    </w:p>
    <w:p w14:paraId="2AADF722" w14:textId="6EEE8DDE" w:rsidR="00BE193E" w:rsidRPr="00BE193E" w:rsidRDefault="00BE193E" w:rsidP="00A35EBE">
      <w:r w:rsidRPr="00BE193E">
        <w:t>The Innovation Pipeline can be depicted as follows</w:t>
      </w:r>
      <w:r w:rsidRPr="00BE193E">
        <w:t>:</w:t>
      </w:r>
    </w:p>
    <w:p w14:paraId="29BBBE4A" w14:textId="29C5F753" w:rsidR="00A35EBE" w:rsidRPr="00334D55" w:rsidRDefault="002632F7" w:rsidP="00A35EBE">
      <w:pPr>
        <w:rPr>
          <w:color w:val="000000" w:themeColor="text1"/>
        </w:rPr>
      </w:pPr>
      <w:r w:rsidRPr="00A35EBE">
        <w:rPr>
          <w:b/>
          <w:bCs/>
        </w:rPr>
        <w:t xml:space="preserve">Generating opportunities and ideas → assessing and prioritising → developing → testing → implementing → </w:t>
      </w:r>
      <w:r w:rsidR="00A35EBE" w:rsidRPr="00A35EBE">
        <w:rPr>
          <w:b/>
          <w:bCs/>
        </w:rPr>
        <w:t>scaling →</w:t>
      </w:r>
      <w:r w:rsidRPr="00A35EBE">
        <w:rPr>
          <w:b/>
          <w:bCs/>
        </w:rPr>
        <w:t xml:space="preserve"> benefits</w:t>
      </w:r>
      <w:r w:rsidR="00A35EBE" w:rsidRPr="00A35EBE">
        <w:rPr>
          <w:b/>
          <w:bCs/>
        </w:rPr>
        <w:t xml:space="preserve"> realisation</w:t>
      </w:r>
      <w:r w:rsidR="00A35EBE">
        <w:rPr>
          <w:b/>
          <w:bCs/>
        </w:rPr>
        <w:t xml:space="preserve"> </w:t>
      </w:r>
      <w:r w:rsidR="00A35EBE" w:rsidRPr="00A35EBE">
        <w:rPr>
          <w:b/>
          <w:bCs/>
        </w:rPr>
        <w:t>→</w:t>
      </w:r>
      <w:r w:rsidR="00A35EBE">
        <w:rPr>
          <w:b/>
          <w:bCs/>
        </w:rPr>
        <w:t xml:space="preserve"> </w:t>
      </w:r>
      <w:r w:rsidR="00A35EBE" w:rsidRPr="00334D55">
        <w:rPr>
          <w:b/>
          <w:bCs/>
          <w:color w:val="000000" w:themeColor="text1"/>
        </w:rPr>
        <w:t>embedding</w:t>
      </w:r>
      <w:r w:rsidR="002A639A" w:rsidRPr="00334D55">
        <w:rPr>
          <w:color w:val="000000" w:themeColor="text1"/>
        </w:rPr>
        <w:t xml:space="preserve"> (De Broe et al., 2021; Gjaltema, 2022).</w:t>
      </w:r>
    </w:p>
    <w:p w14:paraId="55AE3A02" w14:textId="75D25787" w:rsidR="00BE193E" w:rsidRDefault="00BE193E">
      <w:r w:rsidRPr="00BE193E">
        <w:t xml:space="preserve">The advantage is that it emphasises a continuous flow of </w:t>
      </w:r>
      <w:r w:rsidRPr="00BE193E">
        <w:t>innovation.</w:t>
      </w:r>
    </w:p>
    <w:p w14:paraId="61C6292B" w14:textId="066B1917" w:rsidR="005F6353" w:rsidRDefault="004C679E">
      <w:r w:rsidRPr="004C679E">
        <w:t xml:space="preserve">This is essential for GPA. Its current Property Technology Services demonstrate that innovation is not limited to </w:t>
      </w:r>
      <w:r w:rsidR="00030173" w:rsidRPr="004C679E">
        <w:t>a specific product</w:t>
      </w:r>
      <w:r w:rsidRPr="004C679E">
        <w:t>. GPA defines interoperable technology as a strategic capability that promotes cooperation, productivity, and flexible working across locations</w:t>
      </w:r>
      <w:r w:rsidR="007F33D7">
        <w:t xml:space="preserve"> </w:t>
      </w:r>
      <w:r w:rsidR="007F33D7" w:rsidRPr="007F33D7">
        <w:t>(GPA, 2026</w:t>
      </w:r>
      <w:r w:rsidR="0009576F">
        <w:t>d</w:t>
      </w:r>
      <w:r w:rsidR="007F33D7" w:rsidRPr="007F33D7">
        <w:t>; De Vries et al., 2016)</w:t>
      </w:r>
      <w:r w:rsidRPr="004C679E">
        <w:t xml:space="preserve">. Its products include GovPass, GovPrint, shared networks, interoperable audio-visual technology, and digital workplace services. </w:t>
      </w:r>
      <w:r w:rsidR="000A449D" w:rsidRPr="000A449D">
        <w:t xml:space="preserve">GPA's own reporting acknowledges that its products are at various levels of maturity, with implementation followed by continuous improvement and benefit review (GPA, 2024). </w:t>
      </w:r>
    </w:p>
    <w:p w14:paraId="11A845EC" w14:textId="71D05E7F" w:rsidR="004C679E" w:rsidRDefault="004C679E">
      <w:pPr>
        <w:rPr>
          <w:color w:val="000000" w:themeColor="text1"/>
        </w:rPr>
      </w:pPr>
      <w:r w:rsidRPr="004C679E">
        <w:t xml:space="preserve">The Innovation Pipeline also serves as an effective framework for evaluating creativity and organisational culture. Ideas must enter the pipeline before they can be evaluated and developed. As a result, an organisation's potential to innovate is determined by whether employees and stakeholders are encouraged to discover problems, question established methods and propose alternative </w:t>
      </w:r>
      <w:r w:rsidRPr="00334D55">
        <w:rPr>
          <w:color w:val="000000" w:themeColor="text1"/>
        </w:rPr>
        <w:t>solutions</w:t>
      </w:r>
      <w:r w:rsidR="00F7796E" w:rsidRPr="00334D55">
        <w:rPr>
          <w:color w:val="000000" w:themeColor="text1"/>
        </w:rPr>
        <w:t xml:space="preserve"> (Amabile et al., 1996; McLean, 2005).</w:t>
      </w:r>
    </w:p>
    <w:p w14:paraId="19E3133E" w14:textId="65DE8139" w:rsidR="00A3225A" w:rsidRPr="0060217D" w:rsidRDefault="00A3225A">
      <w:r w:rsidRPr="00A3225A">
        <w:lastRenderedPageBreak/>
        <w:t xml:space="preserve">A culture that supports innovation must allow for some experimentation and a willingness to fail. When employees believe that failing ideas will be ridiculed, rejected, or exposed to closer scrutiny, they are less likely to propose or </w:t>
      </w:r>
      <w:r w:rsidR="00030173" w:rsidRPr="00A3225A">
        <w:t>evaluate</w:t>
      </w:r>
      <w:r w:rsidRPr="00A3225A">
        <w:t xml:space="preserve"> unconventional ideas. This generates a conflict between organisational governance and creativity, especially in highly regulated or risk-sensitive situations. While governance is essential for assessing feasibility, risk, and alignment with organisational goals, excessive control can unintentionally impair psychological safety and limit creative conduct. As a result, organisations must strike a balance between adequate governance and giving individuals the freedom to experiment, learn, and refine ideas. This emphasises the importance of linking the creative environment to a successful innovation pipeline, ensuring that ideas are not only generated but also constructively reviewed and developed.</w:t>
      </w:r>
    </w:p>
    <w:p w14:paraId="4C446B68" w14:textId="01C0C114" w:rsidR="00A35EBE" w:rsidRDefault="004C679E">
      <w:r w:rsidRPr="004C679E">
        <w:t xml:space="preserve">GPA's cross-government operational setting can be advantageous in this situation. </w:t>
      </w:r>
      <w:r w:rsidRPr="00F7796E">
        <w:t xml:space="preserve">Interoperability requires cross-departmental collaboration and knowledge sharing, expertise, and </w:t>
      </w:r>
      <w:r w:rsidRPr="00334D55">
        <w:rPr>
          <w:color w:val="000000" w:themeColor="text1"/>
        </w:rPr>
        <w:t>standards</w:t>
      </w:r>
      <w:r w:rsidR="00F7796E" w:rsidRPr="00334D55">
        <w:rPr>
          <w:color w:val="000000" w:themeColor="text1"/>
        </w:rPr>
        <w:t xml:space="preserve"> (De Vries et al., 2016</w:t>
      </w:r>
      <w:r w:rsidR="00F7796E" w:rsidRPr="00215705">
        <w:rPr>
          <w:color w:val="000000" w:themeColor="text1"/>
        </w:rPr>
        <w:t>; Mu &amp; Wang, 2022)</w:t>
      </w:r>
      <w:r w:rsidRPr="00215705">
        <w:rPr>
          <w:color w:val="000000" w:themeColor="text1"/>
        </w:rPr>
        <w:t xml:space="preserve">. </w:t>
      </w:r>
      <w:r w:rsidRPr="004C679E">
        <w:t>GPA defines its work as facilitating cross-governmental collaboration while increasing inclusion, productivity, and well-being. This collaborative environment allows ideas and lessons to circulate across businesses rather than being contained within individual areas.</w:t>
      </w:r>
    </w:p>
    <w:p w14:paraId="2A36C01A" w14:textId="54D7AD82" w:rsidR="004C679E" w:rsidRDefault="00E5292D">
      <w:r w:rsidRPr="00E5292D">
        <w:t>However, a pipeline could become congested. Excessive ideas, insufficient resources, competing objectives, or risk aversion can impede potential innovations from advancing</w:t>
      </w:r>
      <w:r w:rsidR="00F7796E">
        <w:t xml:space="preserve"> </w:t>
      </w:r>
      <w:r w:rsidR="00F7796E" w:rsidRPr="00334D55">
        <w:rPr>
          <w:color w:val="000000" w:themeColor="text1"/>
        </w:rPr>
        <w:t>(Cinar et al., 2019; Cinar et al., 2021)</w:t>
      </w:r>
      <w:r w:rsidRPr="00334D55">
        <w:rPr>
          <w:color w:val="000000" w:themeColor="text1"/>
        </w:rPr>
        <w:t xml:space="preserve">. </w:t>
      </w:r>
      <w:r w:rsidRPr="00E5292D">
        <w:t xml:space="preserve">The existence of </w:t>
      </w:r>
      <w:r w:rsidR="00030173" w:rsidRPr="00E5292D">
        <w:t>innovative ideas</w:t>
      </w:r>
      <w:r w:rsidRPr="00E5292D">
        <w:t xml:space="preserve"> does not always imply inventive capability. The key issue is whether the organisation can consistently translate ideas into demonstrable organisational value.</w:t>
      </w:r>
    </w:p>
    <w:p w14:paraId="3B831F7B" w14:textId="34FBE392" w:rsidR="00E5292D" w:rsidRDefault="00E5292D">
      <w:r w:rsidRPr="00E5292D">
        <w:t>This poses </w:t>
      </w:r>
      <w:r w:rsidR="00030173" w:rsidRPr="00E5292D">
        <w:t>a significant issue</w:t>
      </w:r>
      <w:r w:rsidRPr="00E5292D">
        <w:t> for GPA.</w:t>
      </w:r>
      <w:r>
        <w:t xml:space="preserve"> Technology integration, security assurance, procurement,</w:t>
      </w:r>
      <w:r w:rsidRPr="00E5292D">
        <w:t xml:space="preserve"> stakeholder agreement, behavioural change, and operational implementation can</w:t>
      </w:r>
      <w:r>
        <w:t xml:space="preserve"> </w:t>
      </w:r>
      <w:r w:rsidRPr="00E5292D">
        <w:t>be</w:t>
      </w:r>
      <w:r>
        <w:t xml:space="preserve"> n</w:t>
      </w:r>
      <w:r w:rsidRPr="00E5292D">
        <w:t>ecessary</w:t>
      </w:r>
      <w:r>
        <w:t xml:space="preserve"> f</w:t>
      </w:r>
      <w:r w:rsidRPr="00E5292D">
        <w:t>or innovation involving government property.</w:t>
      </w:r>
      <w:r>
        <w:t xml:space="preserve"> </w:t>
      </w:r>
      <w:r w:rsidRPr="00E5292D">
        <w:t xml:space="preserve">As a result, the pipeline could </w:t>
      </w:r>
      <w:r>
        <w:t>be</w:t>
      </w:r>
      <w:r w:rsidRPr="00E5292D">
        <w:t xml:space="preserve"> longer and more complicated than it first </w:t>
      </w:r>
      <w:r w:rsidRPr="00334D55">
        <w:rPr>
          <w:color w:val="000000" w:themeColor="text1"/>
        </w:rPr>
        <w:t>seems</w:t>
      </w:r>
      <w:r w:rsidR="00F7796E" w:rsidRPr="00334D55">
        <w:rPr>
          <w:color w:val="000000" w:themeColor="text1"/>
        </w:rPr>
        <w:t xml:space="preserve"> (Cinar et al., 2019).</w:t>
      </w:r>
      <w:r w:rsidRPr="00334D55">
        <w:rPr>
          <w:color w:val="000000" w:themeColor="text1"/>
        </w:rPr>
        <w:t xml:space="preserve"> </w:t>
      </w:r>
      <w:r w:rsidRPr="00E5292D">
        <w:t>Even though a concept is technically feasible, it may not advance because departments are not prepared to implement it, because legacy technology poses obstacles, or because the advantages are not strong enough.</w:t>
      </w:r>
    </w:p>
    <w:p w14:paraId="7FEAE0D4" w14:textId="7DE46DB5" w:rsidR="008F7B47" w:rsidRPr="008F7B47" w:rsidRDefault="00363679" w:rsidP="008F7B47">
      <w:r w:rsidRPr="00363679">
        <w:t xml:space="preserve">A crucial distinction between innovation potential and innovation efficacy is highlighted by the Innovation Pipeline. Although GPA has </w:t>
      </w:r>
      <w:r w:rsidR="00030173">
        <w:t>immense potential</w:t>
      </w:r>
      <w:r>
        <w:t xml:space="preserve"> for innovation, its efficacy depends on how well it integrates </w:t>
      </w:r>
      <w:r w:rsidR="00030173">
        <w:t>innovative ideas</w:t>
      </w:r>
      <w:r>
        <w:t xml:space="preserve"> into routine operations and drives</w:t>
      </w:r>
      <w:r w:rsidRPr="00363679">
        <w:t xml:space="preserve"> them through the full pipeline.</w:t>
      </w:r>
      <w:r w:rsidR="008F7B47">
        <w:t xml:space="preserve"> </w:t>
      </w:r>
      <w:r w:rsidR="008F7B47" w:rsidRPr="008F7B47">
        <w:t>Therefore, the organisation's ability to choose, resource, and incorporate valuable ideas is more important than simply generating many ideas.</w:t>
      </w:r>
    </w:p>
    <w:p w14:paraId="4F2ABA93" w14:textId="70C00EF6" w:rsidR="00E5292D" w:rsidRDefault="00E5292D"/>
    <w:p w14:paraId="48D99BA4" w14:textId="77777777" w:rsidR="00715892" w:rsidRDefault="00715892"/>
    <w:p w14:paraId="0F1EACF9" w14:textId="77777777" w:rsidR="00715892" w:rsidRDefault="00715892"/>
    <w:p w14:paraId="26E3B9F5" w14:textId="77777777" w:rsidR="00715892" w:rsidRDefault="00715892"/>
    <w:p w14:paraId="2D52173D" w14:textId="162F0ABA" w:rsidR="00666DDF" w:rsidRPr="001A5403" w:rsidRDefault="00666DDF" w:rsidP="001A5403">
      <w:pPr>
        <w:pStyle w:val="Heading1"/>
        <w:rPr>
          <w:color w:val="156082" w:themeColor="accent1"/>
        </w:rPr>
      </w:pPr>
      <w:bookmarkStart w:id="4" w:name="_Toc238908747"/>
      <w:r w:rsidRPr="00666DDF">
        <w:rPr>
          <w:color w:val="156082" w:themeColor="accent1"/>
        </w:rPr>
        <w:lastRenderedPageBreak/>
        <w:t>Critical Examination of G</w:t>
      </w:r>
      <w:r w:rsidR="00753D31">
        <w:rPr>
          <w:color w:val="156082" w:themeColor="accent1"/>
        </w:rPr>
        <w:t xml:space="preserve">overnment </w:t>
      </w:r>
      <w:r w:rsidRPr="00666DDF">
        <w:rPr>
          <w:color w:val="156082" w:themeColor="accent1"/>
        </w:rPr>
        <w:t>P</w:t>
      </w:r>
      <w:r w:rsidR="00753D31">
        <w:rPr>
          <w:color w:val="156082" w:themeColor="accent1"/>
        </w:rPr>
        <w:t xml:space="preserve">roperty </w:t>
      </w:r>
      <w:r w:rsidR="00067AA5">
        <w:rPr>
          <w:color w:val="156082" w:themeColor="accent1"/>
        </w:rPr>
        <w:t xml:space="preserve">Agency's </w:t>
      </w:r>
      <w:r w:rsidRPr="00666DDF">
        <w:rPr>
          <w:color w:val="156082" w:themeColor="accent1"/>
        </w:rPr>
        <w:t>Ability towards Effective Innovation</w:t>
      </w:r>
      <w:bookmarkEnd w:id="4"/>
    </w:p>
    <w:p w14:paraId="407AC23C" w14:textId="733A36CB" w:rsidR="00666DDF" w:rsidRPr="00666DDF" w:rsidRDefault="00666DDF" w:rsidP="00666DDF">
      <w:r w:rsidRPr="00666DDF">
        <w:t xml:space="preserve">Utilising both models reveals several organisational elements that facilitate </w:t>
      </w:r>
      <w:r w:rsidR="00067AA5">
        <w:t>the Government Property Agency’s (</w:t>
      </w:r>
      <w:r w:rsidRPr="00666DDF">
        <w:t>GPA's</w:t>
      </w:r>
      <w:r w:rsidR="00067AA5">
        <w:t>)</w:t>
      </w:r>
      <w:r w:rsidRPr="00666DDF">
        <w:t xml:space="preserve"> successful innovation.</w:t>
      </w:r>
    </w:p>
    <w:p w14:paraId="7C3AF8A7" w14:textId="368F569F" w:rsidR="0055156B" w:rsidRDefault="0055156B" w:rsidP="00715892">
      <w:pPr>
        <w:pStyle w:val="Heading3"/>
      </w:pPr>
      <w:bookmarkStart w:id="5" w:name="_Toc238908748"/>
      <w:r w:rsidRPr="0055156B">
        <w:t>Strategic alignment:</w:t>
      </w:r>
      <w:bookmarkEnd w:id="5"/>
    </w:p>
    <w:p w14:paraId="3A080EC4" w14:textId="10D8287F" w:rsidR="00E45C57" w:rsidRPr="00E45C57" w:rsidRDefault="00E45C57" w:rsidP="00E45C57">
      <w:r w:rsidRPr="00E45C57">
        <w:t>GPA's strategic goal is to transform public services through smarter working, interoperability, productivity, and improved workplace experiences (GPA, 2026</w:t>
      </w:r>
      <w:r w:rsidR="0009576F">
        <w:t>e</w:t>
      </w:r>
      <w:r w:rsidRPr="00E45C57">
        <w:t>). This connection of innovation and organisational strategy serves as a solid foundation for GPA's ability to innovate effectively.</w:t>
      </w:r>
      <w:r>
        <w:t xml:space="preserve"> </w:t>
      </w:r>
      <w:r w:rsidRPr="00E45C57">
        <w:t>According to research, organisational and contextual elements, such as strategic and organisational conditions, impact public-sector innovation</w:t>
      </w:r>
      <w:r>
        <w:t xml:space="preserve"> </w:t>
      </w:r>
      <w:r w:rsidRPr="00334D55">
        <w:rPr>
          <w:color w:val="000000" w:themeColor="text1"/>
        </w:rPr>
        <w:t xml:space="preserve">(De Vries et al., 2016). </w:t>
      </w:r>
    </w:p>
    <w:p w14:paraId="7C64C657" w14:textId="31FA30E0" w:rsidR="0055156B" w:rsidRPr="0055156B" w:rsidRDefault="0055156B" w:rsidP="00715892">
      <w:pPr>
        <w:pStyle w:val="Heading3"/>
      </w:pPr>
      <w:bookmarkStart w:id="6" w:name="_Toc238908749"/>
      <w:r w:rsidRPr="0055156B">
        <w:t>Technology:</w:t>
      </w:r>
      <w:bookmarkEnd w:id="6"/>
    </w:p>
    <w:p w14:paraId="651C7653" w14:textId="05B0D81E" w:rsidR="00030173" w:rsidRPr="00030173" w:rsidRDefault="00931336" w:rsidP="00030173">
      <w:r w:rsidRPr="00931336">
        <w:t xml:space="preserve">Technology offers a substantial platform for innovation. </w:t>
      </w:r>
      <w:r w:rsidR="00030173" w:rsidRPr="00030173">
        <w:t xml:space="preserve">However, organisational readiness, user adoption, governance, and the ability to </w:t>
      </w:r>
      <w:r w:rsidR="00030173">
        <w:t>integrate technology into existing systems and procedures determine its value; technology alone</w:t>
      </w:r>
      <w:r w:rsidR="00030173" w:rsidRPr="00030173">
        <w:t xml:space="preserve"> does not generate innovative capabilities.</w:t>
      </w:r>
    </w:p>
    <w:p w14:paraId="31EAF6FE" w14:textId="0FF441B2" w:rsidR="00931336" w:rsidRDefault="00931336" w:rsidP="00433DC2">
      <w:r>
        <w:t>GovPass serves as an example of how technology can both support strategic goals and solve real-world organisational issues</w:t>
      </w:r>
      <w:r w:rsidR="00AE1F96">
        <w:t xml:space="preserve"> </w:t>
      </w:r>
      <w:r w:rsidR="00AE1F96" w:rsidRPr="00E45C57">
        <w:t>(GPA, 2026</w:t>
      </w:r>
      <w:r w:rsidR="0009576F">
        <w:t>d)</w:t>
      </w:r>
      <w:r w:rsidR="00CA7A6A">
        <w:t xml:space="preserve">. </w:t>
      </w:r>
      <w:r w:rsidR="00AE1F96">
        <w:t>By offering a uniform access solution across participating locations, it transforms the experience of accessing government offices rather</w:t>
      </w:r>
      <w:r w:rsidRPr="00931336">
        <w:t> than only digitising an existing process. This encourages </w:t>
      </w:r>
      <w:r>
        <w:t xml:space="preserve">greater cooperation and facilitates cross-departmental work among civil servants. </w:t>
      </w:r>
    </w:p>
    <w:p w14:paraId="46D4D367" w14:textId="2F46716A" w:rsidR="0055156B" w:rsidRPr="0055156B" w:rsidRDefault="0055156B" w:rsidP="00DA2BB9">
      <w:pPr>
        <w:pStyle w:val="Heading3"/>
      </w:pPr>
      <w:bookmarkStart w:id="7" w:name="_Toc238908750"/>
      <w:r w:rsidRPr="0055156B">
        <w:t>C</w:t>
      </w:r>
      <w:r w:rsidR="00871B58" w:rsidRPr="0055156B">
        <w:t>ross-government co</w:t>
      </w:r>
      <w:r w:rsidRPr="0055156B">
        <w:t>llaboration</w:t>
      </w:r>
      <w:r w:rsidR="00DA2BB9">
        <w:t>:</w:t>
      </w:r>
      <w:bookmarkEnd w:id="7"/>
    </w:p>
    <w:p w14:paraId="2C576A02" w14:textId="0688BD5A" w:rsidR="00871B58" w:rsidRPr="00871B58" w:rsidRDefault="00871B58" w:rsidP="00871B58">
      <w:r w:rsidRPr="00871B58">
        <w:t xml:space="preserve"> One team operating alone cannot successfully accomplish innovation within GPA. Common standards, departmental consensus, and coordination between technology, security, property, and operational responsibilities are all necessary for interoperability. Although this creates complexity, it also offers opportunities for sharing information and collaborative problem-solving.</w:t>
      </w:r>
    </w:p>
    <w:p w14:paraId="1C4AC492" w14:textId="3B6D01F8" w:rsidR="003A5B6D" w:rsidRPr="003A5B6D" w:rsidRDefault="003A5B6D" w:rsidP="003A5B6D">
      <w:r w:rsidRPr="003A5B6D">
        <w:t xml:space="preserve">An example of how this capacity can be expanded beyond technology into service and organisational innovation is the Permanent Secretary Pathfinder. Through GovPass and digital technologies, the Pathfinder allows Permanent Secretaries and their Private Offices immediate, authorised access to government buildings. It demonstrates how a new service offering for a particular user group can be created by rebuilding current capabilities. The innovation lies </w:t>
      </w:r>
      <w:r>
        <w:t>not only in the technology</w:t>
      </w:r>
      <w:r w:rsidRPr="003A5B6D">
        <w:t xml:space="preserve"> but also in the </w:t>
      </w:r>
      <w:r>
        <w:t>remodelled</w:t>
      </w:r>
      <w:r w:rsidRPr="003A5B6D">
        <w:t xml:space="preserve"> process and customer experience.</w:t>
      </w:r>
    </w:p>
    <w:p w14:paraId="4FEEB2D7" w14:textId="4A220077" w:rsidR="0055156B" w:rsidRDefault="003A5B6D" w:rsidP="00DA2BB9">
      <w:pPr>
        <w:pStyle w:val="Heading3"/>
      </w:pPr>
      <w:bookmarkStart w:id="8" w:name="_Toc238908751"/>
      <w:r w:rsidRPr="0055156B">
        <w:t>Testing and experimentation</w:t>
      </w:r>
      <w:r w:rsidR="0055156B">
        <w:t>:</w:t>
      </w:r>
      <w:bookmarkEnd w:id="8"/>
    </w:p>
    <w:p w14:paraId="26D63CD7" w14:textId="77777777" w:rsidR="00DA2BB9" w:rsidRDefault="003A5B6D" w:rsidP="00DA2BB9">
      <w:r w:rsidRPr="003A5B6D">
        <w:t xml:space="preserve">This aligns both models well. While the Innovation Pipeline acknowledges experimenting as a means of producing evidence and learning, Stage-Gate emphasises more focus on testing and validation prior to broader implementation. The importance of evaluating solutions in operational situations before scaling </w:t>
      </w:r>
      <w:r w:rsidRPr="00334D55">
        <w:rPr>
          <w:color w:val="000000" w:themeColor="text1"/>
        </w:rPr>
        <w:t xml:space="preserve">them </w:t>
      </w:r>
      <w:r w:rsidR="00F7796E" w:rsidRPr="00334D55">
        <w:rPr>
          <w:color w:val="000000" w:themeColor="text1"/>
        </w:rPr>
        <w:t xml:space="preserve">(Cooper, 2008; De Broe et al., 2021) </w:t>
      </w:r>
      <w:r w:rsidRPr="003A5B6D">
        <w:t>is demonstrated by GPA's history of piloting and gradually developing interoperable technology.</w:t>
      </w:r>
    </w:p>
    <w:p w14:paraId="0C5C1D19" w14:textId="065FDE0D" w:rsidR="00426860" w:rsidRPr="00DA2BB9" w:rsidRDefault="0055156B" w:rsidP="00DA2BB9">
      <w:pPr>
        <w:pStyle w:val="Heading2"/>
      </w:pPr>
      <w:bookmarkStart w:id="9" w:name="_Toc238908752"/>
      <w:r w:rsidRPr="00DA2BB9">
        <w:lastRenderedPageBreak/>
        <w:t>M</w:t>
      </w:r>
      <w:r w:rsidR="00426860" w:rsidRPr="00DA2BB9">
        <w:t>ajor constraints</w:t>
      </w:r>
      <w:bookmarkEnd w:id="9"/>
    </w:p>
    <w:p w14:paraId="4128E29A" w14:textId="77777777" w:rsidR="00E45C57" w:rsidRDefault="00C4254F" w:rsidP="00DA2BB9">
      <w:pPr>
        <w:pStyle w:val="Heading3"/>
      </w:pPr>
      <w:bookmarkStart w:id="10" w:name="_Toc238908753"/>
      <w:r w:rsidRPr="002403FE">
        <w:t>Governance and risk:</w:t>
      </w:r>
      <w:bookmarkEnd w:id="10"/>
      <w:r w:rsidRPr="00C4254F">
        <w:t xml:space="preserve"> </w:t>
      </w:r>
    </w:p>
    <w:p w14:paraId="12EB5BD4" w14:textId="21A5C99D" w:rsidR="002403FE" w:rsidRPr="00E45C57" w:rsidRDefault="00E45C57" w:rsidP="00C4254F">
      <w:pPr>
        <w:rPr>
          <w:color w:val="000000" w:themeColor="text1"/>
        </w:rPr>
      </w:pPr>
      <w:r w:rsidRPr="00E45C57">
        <w:rPr>
          <w:color w:val="000000" w:themeColor="text1"/>
        </w:rPr>
        <w:t xml:space="preserve">GPA's approach to GovPass </w:t>
      </w:r>
      <w:r w:rsidR="00595115" w:rsidRPr="00E45C57">
        <w:rPr>
          <w:color w:val="000000" w:themeColor="text1"/>
        </w:rPr>
        <w:t>demonstrates</w:t>
      </w:r>
      <w:r w:rsidRPr="00E45C57">
        <w:rPr>
          <w:color w:val="000000" w:themeColor="text1"/>
        </w:rPr>
        <w:t xml:space="preserve"> a balance, with the program including security standards, authentication, risk management, delivery controls, and training while introducing an access solution</w:t>
      </w:r>
      <w:r w:rsidR="00595115">
        <w:rPr>
          <w:color w:val="000000" w:themeColor="text1"/>
        </w:rPr>
        <w:t xml:space="preserve"> </w:t>
      </w:r>
      <w:r w:rsidR="00595115" w:rsidRPr="00595115">
        <w:rPr>
          <w:color w:val="000000" w:themeColor="text1"/>
        </w:rPr>
        <w:t>(GPA, 2026</w:t>
      </w:r>
      <w:r w:rsidR="0009576F">
        <w:rPr>
          <w:color w:val="000000" w:themeColor="text1"/>
        </w:rPr>
        <w:t>b</w:t>
      </w:r>
      <w:r w:rsidR="00595115" w:rsidRPr="00595115">
        <w:rPr>
          <w:color w:val="000000" w:themeColor="text1"/>
        </w:rPr>
        <w:t>; Cinar et al., 2019)</w:t>
      </w:r>
      <w:r w:rsidR="00C4254F" w:rsidRPr="00334D55">
        <w:rPr>
          <w:color w:val="000000" w:themeColor="text1"/>
        </w:rPr>
        <w:t xml:space="preserve">. For instance, GovPass controls physical entry to government </w:t>
      </w:r>
      <w:r w:rsidR="00C4254F">
        <w:t>buildings; therefore, security is crucial. As part of the GovPass</w:t>
      </w:r>
      <w:r w:rsidR="00C4254F" w:rsidRPr="00C4254F">
        <w:t xml:space="preserve"> strategy, GPA emphasises the application of uniform security standards, </w:t>
      </w:r>
      <w:r w:rsidR="00030173" w:rsidRPr="00C4254F">
        <w:t>authentication,</w:t>
      </w:r>
      <w:r w:rsidR="00C4254F" w:rsidRPr="00C4254F">
        <w:t xml:space="preserve"> and risk management.</w:t>
      </w:r>
      <w:r w:rsidR="00C4254F">
        <w:t xml:space="preserve"> As a result, </w:t>
      </w:r>
      <w:r w:rsidR="00C4254F" w:rsidRPr="00C4254F">
        <w:t xml:space="preserve">several procedures that might seem laborious are essential </w:t>
      </w:r>
      <w:r w:rsidR="00C4254F">
        <w:t xml:space="preserve">protections. </w:t>
      </w:r>
    </w:p>
    <w:p w14:paraId="698C9EC2" w14:textId="58624129" w:rsidR="002403FE" w:rsidRPr="002403FE" w:rsidRDefault="002403FE" w:rsidP="002403FE">
      <w:r w:rsidRPr="002403FE">
        <w:t>Finding the right balance is the challenge. A culture of risk aversion created by excessive governance may make employees unwilling to suggest or test novel ideas</w:t>
      </w:r>
      <w:r w:rsidR="009340DD">
        <w:t xml:space="preserve"> </w:t>
      </w:r>
      <w:r w:rsidR="009340DD" w:rsidRPr="00334D55">
        <w:rPr>
          <w:color w:val="000000" w:themeColor="text1"/>
        </w:rPr>
        <w:t>(Amabile et al., 1996; McLean, 2005).</w:t>
      </w:r>
      <w:r w:rsidRPr="00334D55">
        <w:rPr>
          <w:color w:val="000000" w:themeColor="text1"/>
        </w:rPr>
        <w:t xml:space="preserve"> This indicates a </w:t>
      </w:r>
      <w:r w:rsidR="00030173" w:rsidRPr="00334D55">
        <w:rPr>
          <w:color w:val="000000" w:themeColor="text1"/>
        </w:rPr>
        <w:t>conflict</w:t>
      </w:r>
      <w:r w:rsidRPr="00334D55">
        <w:rPr>
          <w:color w:val="000000" w:themeColor="text1"/>
        </w:rPr>
        <w:t xml:space="preserve"> between the control advantages </w:t>
      </w:r>
      <w:r w:rsidRPr="002403FE">
        <w:t xml:space="preserve">of Stage-Gate and the </w:t>
      </w:r>
      <w:r w:rsidR="0055156B">
        <w:t>creativity</w:t>
      </w:r>
      <w:r w:rsidRPr="002403FE">
        <w:t xml:space="preserve"> needed at the start of an Innovation Pipeline.</w:t>
      </w:r>
    </w:p>
    <w:p w14:paraId="6A54FBFB" w14:textId="3080B3C9" w:rsidR="00931336" w:rsidRDefault="00C4254F" w:rsidP="00DA2BB9">
      <w:pPr>
        <w:pStyle w:val="Heading3"/>
      </w:pPr>
      <w:r>
        <w:t xml:space="preserve"> </w:t>
      </w:r>
      <w:bookmarkStart w:id="11" w:name="_Toc238908754"/>
      <w:r w:rsidR="002403FE" w:rsidRPr="002403FE">
        <w:t>Stakeholder Complexity:</w:t>
      </w:r>
      <w:bookmarkEnd w:id="11"/>
    </w:p>
    <w:p w14:paraId="534A0ECB" w14:textId="1B628A5D" w:rsidR="006C317C" w:rsidRPr="006C317C" w:rsidRDefault="006C317C" w:rsidP="006C317C">
      <w:r w:rsidRPr="006C317C">
        <w:t xml:space="preserve">GPA provides services to </w:t>
      </w:r>
      <w:r w:rsidR="006C462A">
        <w:t>government</w:t>
      </w:r>
      <w:r w:rsidRPr="006C317C">
        <w:t xml:space="preserve"> departments, each with specific demands, processes, goals, and cultures. Therefore, consensus beyond GPA is vital for innovation. Decision-making can decline as a result, and dependencies outside the organisation's direct control may arise</w:t>
      </w:r>
      <w:r w:rsidR="009340DD">
        <w:t xml:space="preserve"> </w:t>
      </w:r>
      <w:r w:rsidR="009340DD" w:rsidRPr="00215705">
        <w:rPr>
          <w:color w:val="000000" w:themeColor="text1"/>
        </w:rPr>
        <w:t>(Cinar et al., 2019; Mu &amp; Wang, 2022)</w:t>
      </w:r>
      <w:r w:rsidRPr="00215705">
        <w:rPr>
          <w:color w:val="000000" w:themeColor="text1"/>
        </w:rPr>
        <w:t xml:space="preserve">. </w:t>
      </w:r>
      <w:r w:rsidRPr="006C317C">
        <w:t>The likelihood of differing opinions of value and risk increases with the number of stakeholders engaged.</w:t>
      </w:r>
    </w:p>
    <w:p w14:paraId="7E3C9A24" w14:textId="0FD81896" w:rsidR="002403FE" w:rsidRDefault="006C317C" w:rsidP="00DA2BB9">
      <w:pPr>
        <w:pStyle w:val="Heading3"/>
      </w:pPr>
      <w:bookmarkStart w:id="12" w:name="_Toc238908755"/>
      <w:r>
        <w:t>L</w:t>
      </w:r>
      <w:r w:rsidRPr="005066E9">
        <w:t>egacy technology and organisational readiness</w:t>
      </w:r>
      <w:r w:rsidR="0055156B">
        <w:t>:</w:t>
      </w:r>
      <w:bookmarkEnd w:id="12"/>
    </w:p>
    <w:p w14:paraId="7366BBB2" w14:textId="356B355F" w:rsidR="006C317C" w:rsidRPr="006C317C" w:rsidRDefault="006C317C" w:rsidP="006C317C">
      <w:r w:rsidRPr="006C317C">
        <w:t>Although GPA's ability to connect GovPass with current access-control systems indicates that interoperability is technically achievable, it also highlights the difficulty of changing an established estate</w:t>
      </w:r>
      <w:r w:rsidR="009340DD">
        <w:t xml:space="preserve"> </w:t>
      </w:r>
      <w:r w:rsidR="009340DD" w:rsidRPr="00215705">
        <w:rPr>
          <w:color w:val="000000" w:themeColor="text1"/>
        </w:rPr>
        <w:t>(Cinar et al., 2019)</w:t>
      </w:r>
      <w:r w:rsidRPr="00215705">
        <w:rPr>
          <w:color w:val="000000" w:themeColor="text1"/>
        </w:rPr>
        <w:t xml:space="preserve">. </w:t>
      </w:r>
      <w:r w:rsidRPr="006C317C">
        <w:t>Rather than introducing innovation solely, it must complement existing infrastructure.</w:t>
      </w:r>
    </w:p>
    <w:p w14:paraId="5409D9F4" w14:textId="3898488A" w:rsidR="006C317C" w:rsidRDefault="006C317C" w:rsidP="00DA2BB9">
      <w:pPr>
        <w:pStyle w:val="Heading3"/>
      </w:pPr>
      <w:bookmarkStart w:id="13" w:name="_Toc238908756"/>
      <w:r>
        <w:t>People</w:t>
      </w:r>
      <w:r w:rsidRPr="006C317C">
        <w:t xml:space="preserve"> and culture</w:t>
      </w:r>
      <w:r w:rsidR="0055156B">
        <w:t>:</w:t>
      </w:r>
      <w:bookmarkEnd w:id="13"/>
    </w:p>
    <w:p w14:paraId="6FE360E1" w14:textId="358A737E" w:rsidR="000C67E2" w:rsidRPr="000C67E2" w:rsidRDefault="000C67E2" w:rsidP="000C67E2">
      <w:r w:rsidRPr="000C67E2">
        <w:t xml:space="preserve">Leadership is crucial to maintaining an environment conducive to innovation. Leaders within GPA must provide adequate direction to maintain strategic alignment while allowing teams to challenge established </w:t>
      </w:r>
      <w:r w:rsidR="007631C1">
        <w:t>approaches</w:t>
      </w:r>
      <w:r w:rsidRPr="000C67E2">
        <w:t xml:space="preserve"> and find solutions. This is important in a cross-government environment, where competing departmental goals can make collaborative innovation more challenging. Effective leadership can help integrate individual creativity with organisational goals, ensuring that creative ideas are implemented rather than remain isolated within teams (Amabile et al., 2004).</w:t>
      </w:r>
    </w:p>
    <w:p w14:paraId="5B4F0117" w14:textId="4523A2C9" w:rsidR="006C317C" w:rsidRDefault="006C317C" w:rsidP="00DA2BB9">
      <w:pPr>
        <w:pStyle w:val="Heading3"/>
      </w:pPr>
      <w:bookmarkStart w:id="14" w:name="_Toc238908757"/>
      <w:r>
        <w:t>Benefits</w:t>
      </w:r>
      <w:r w:rsidRPr="005066E9">
        <w:t xml:space="preserve"> realisation and sustainable embedding</w:t>
      </w:r>
      <w:r w:rsidR="0055156B">
        <w:t>:</w:t>
      </w:r>
      <w:bookmarkEnd w:id="14"/>
    </w:p>
    <w:p w14:paraId="270492B1" w14:textId="757C6065" w:rsidR="00DA2BB9" w:rsidRDefault="0055156B" w:rsidP="00DA2BB9">
      <w:r w:rsidRPr="0055156B">
        <w:t xml:space="preserve">The delivery of a new </w:t>
      </w:r>
      <w:r>
        <w:t>product</w:t>
      </w:r>
      <w:r w:rsidRPr="0055156B">
        <w:t xml:space="preserve"> or service should not be the only measure for evaluating </w:t>
      </w:r>
      <w:r w:rsidRPr="00334D55">
        <w:rPr>
          <w:color w:val="000000" w:themeColor="text1"/>
        </w:rPr>
        <w:t>innovation</w:t>
      </w:r>
      <w:r w:rsidR="009340DD" w:rsidRPr="00334D55">
        <w:rPr>
          <w:color w:val="000000" w:themeColor="text1"/>
        </w:rPr>
        <w:t xml:space="preserve"> (De Broe et al., 2021)</w:t>
      </w:r>
      <w:r w:rsidRPr="00334D55">
        <w:rPr>
          <w:color w:val="000000" w:themeColor="text1"/>
        </w:rPr>
        <w:t xml:space="preserve">. </w:t>
      </w:r>
      <w:r>
        <w:t>Producing</w:t>
      </w:r>
      <w:r w:rsidRPr="0055156B">
        <w:t xml:space="preserve"> long-lasting benefits is the key question. GPA lists several advantages of GovPass, including enhanced cooperation, uniform access, improved estate administration, and better data to assist with estate decisions. Ensuring these advantages are monitored, sustained, and created as adoption develops is a challenge.</w:t>
      </w:r>
    </w:p>
    <w:p w14:paraId="75E9AEB2" w14:textId="11D15708" w:rsidR="00F865DC" w:rsidRDefault="00753D31" w:rsidP="00615B42">
      <w:pPr>
        <w:pStyle w:val="Heading1"/>
      </w:pPr>
      <w:bookmarkStart w:id="15" w:name="_Toc238908758"/>
      <w:r>
        <w:lastRenderedPageBreak/>
        <w:t>Summary</w:t>
      </w:r>
      <w:bookmarkEnd w:id="15"/>
    </w:p>
    <w:p w14:paraId="10E84118" w14:textId="54081B0C" w:rsidR="00F865DC" w:rsidRPr="00F865DC" w:rsidRDefault="00F865DC" w:rsidP="00F865DC">
      <w:r w:rsidRPr="00F865DC">
        <w:t xml:space="preserve">According to the analysis, </w:t>
      </w:r>
      <w:r w:rsidR="00666DDF" w:rsidRPr="00666DDF">
        <w:t xml:space="preserve">GPA </w:t>
      </w:r>
      <w:r w:rsidR="00666DDF">
        <w:t>demonstrates a strong capacity for innovation, particularly through</w:t>
      </w:r>
      <w:r w:rsidRPr="00F865DC">
        <w:t xml:space="preserve"> its Interoperability Program. While the Innovation Pipeline </w:t>
      </w:r>
      <w:r>
        <w:t>underscores the importance of generating, testing, and advancing</w:t>
      </w:r>
      <w:r w:rsidRPr="00F865DC">
        <w:t xml:space="preserve"> ideas toward implementation and long-term benefits, the Stage-Gate approach emphasises the value of organised decision-making, evidence-based progression, and appropriate risk management.</w:t>
      </w:r>
    </w:p>
    <w:p w14:paraId="4423FD9B" w14:textId="3EF01CEB" w:rsidR="00F865DC" w:rsidRPr="00F865DC" w:rsidRDefault="00F865DC" w:rsidP="00F865DC">
      <w:r w:rsidRPr="00F865DC">
        <w:t xml:space="preserve">For example, GovPass shows how technological and </w:t>
      </w:r>
      <w:r w:rsidR="00615B42">
        <w:t xml:space="preserve">service </w:t>
      </w:r>
      <w:r w:rsidRPr="00F865DC">
        <w:t>innovation can solve an organisational issue. However, the speed and efficacy of</w:t>
      </w:r>
      <w:r w:rsidR="00615B42">
        <w:t xml:space="preserve"> </w:t>
      </w:r>
      <w:r w:rsidRPr="00F865DC">
        <w:t>innovation could be limited by governance, stakeholder complexity, legacy systems,</w:t>
      </w:r>
      <w:r w:rsidR="00615B42">
        <w:t xml:space="preserve"> </w:t>
      </w:r>
      <w:r w:rsidRPr="00F865DC">
        <w:t>organisational readiness, and cultural considerations.</w:t>
      </w:r>
    </w:p>
    <w:p w14:paraId="6CFCD682" w14:textId="77777777" w:rsidR="00615B42" w:rsidRDefault="00615B42" w:rsidP="00615B42">
      <w:pPr>
        <w:rPr>
          <w:color w:val="000000" w:themeColor="text1"/>
        </w:rPr>
      </w:pPr>
      <w:r w:rsidRPr="00615B42">
        <w:rPr>
          <w:color w:val="000000" w:themeColor="text1"/>
        </w:rPr>
        <w:t>GPA's capacity to innovate successfully relies on maintaining a suitable balance between control and creativity, innovation and sustainable implementation, and governance and agility.</w:t>
      </w:r>
    </w:p>
    <w:p w14:paraId="3882A53B" w14:textId="77777777" w:rsidR="00753D31" w:rsidRDefault="00753D31" w:rsidP="00615B42">
      <w:pPr>
        <w:rPr>
          <w:color w:val="000000" w:themeColor="text1"/>
        </w:rPr>
      </w:pPr>
    </w:p>
    <w:p w14:paraId="4DE2717F" w14:textId="77777777" w:rsidR="00DA2BB9" w:rsidRDefault="00DA2BB9" w:rsidP="00615B42">
      <w:pPr>
        <w:rPr>
          <w:color w:val="000000" w:themeColor="text1"/>
        </w:rPr>
      </w:pPr>
    </w:p>
    <w:p w14:paraId="5686E5EB" w14:textId="77777777" w:rsidR="00DA2BB9" w:rsidRDefault="00DA2BB9" w:rsidP="00615B42">
      <w:pPr>
        <w:rPr>
          <w:color w:val="000000" w:themeColor="text1"/>
        </w:rPr>
      </w:pPr>
    </w:p>
    <w:p w14:paraId="236CE43B" w14:textId="77777777" w:rsidR="00DA2BB9" w:rsidRDefault="00DA2BB9" w:rsidP="00615B42">
      <w:pPr>
        <w:rPr>
          <w:color w:val="000000" w:themeColor="text1"/>
        </w:rPr>
      </w:pPr>
    </w:p>
    <w:p w14:paraId="1AB8EB2B" w14:textId="77777777" w:rsidR="00DA2BB9" w:rsidRDefault="00DA2BB9" w:rsidP="00615B42">
      <w:pPr>
        <w:rPr>
          <w:color w:val="000000" w:themeColor="text1"/>
        </w:rPr>
      </w:pPr>
    </w:p>
    <w:p w14:paraId="37EE8D81" w14:textId="77777777" w:rsidR="00DA2BB9" w:rsidRDefault="00DA2BB9" w:rsidP="00615B42">
      <w:pPr>
        <w:rPr>
          <w:color w:val="000000" w:themeColor="text1"/>
        </w:rPr>
      </w:pPr>
    </w:p>
    <w:p w14:paraId="15FEC7ED" w14:textId="77777777" w:rsidR="00DA2BB9" w:rsidRDefault="00DA2BB9" w:rsidP="00615B42">
      <w:pPr>
        <w:rPr>
          <w:color w:val="000000" w:themeColor="text1"/>
        </w:rPr>
      </w:pPr>
    </w:p>
    <w:p w14:paraId="193566DE" w14:textId="77777777" w:rsidR="00DA2BB9" w:rsidRDefault="00DA2BB9" w:rsidP="00615B42">
      <w:pPr>
        <w:rPr>
          <w:color w:val="000000" w:themeColor="text1"/>
        </w:rPr>
      </w:pPr>
    </w:p>
    <w:p w14:paraId="209BC9EE" w14:textId="77777777" w:rsidR="00DA2BB9" w:rsidRDefault="00DA2BB9" w:rsidP="00615B42">
      <w:pPr>
        <w:rPr>
          <w:color w:val="000000" w:themeColor="text1"/>
        </w:rPr>
      </w:pPr>
    </w:p>
    <w:p w14:paraId="6523352D" w14:textId="77777777" w:rsidR="00DA2BB9" w:rsidRDefault="00DA2BB9" w:rsidP="00615B42">
      <w:pPr>
        <w:rPr>
          <w:color w:val="000000" w:themeColor="text1"/>
        </w:rPr>
      </w:pPr>
    </w:p>
    <w:p w14:paraId="4077620D" w14:textId="77777777" w:rsidR="00DA2BB9" w:rsidRDefault="00DA2BB9" w:rsidP="00615B42">
      <w:pPr>
        <w:rPr>
          <w:color w:val="000000" w:themeColor="text1"/>
        </w:rPr>
      </w:pPr>
    </w:p>
    <w:p w14:paraId="7D18955A" w14:textId="77777777" w:rsidR="00DA2BB9" w:rsidRDefault="00DA2BB9" w:rsidP="00615B42">
      <w:pPr>
        <w:rPr>
          <w:color w:val="000000" w:themeColor="text1"/>
        </w:rPr>
      </w:pPr>
    </w:p>
    <w:p w14:paraId="7189A891" w14:textId="77777777" w:rsidR="00DA2BB9" w:rsidRDefault="00DA2BB9" w:rsidP="00615B42">
      <w:pPr>
        <w:rPr>
          <w:color w:val="000000" w:themeColor="text1"/>
        </w:rPr>
      </w:pPr>
    </w:p>
    <w:p w14:paraId="6C7E260F" w14:textId="77777777" w:rsidR="00DA2BB9" w:rsidRDefault="00DA2BB9" w:rsidP="00615B42">
      <w:pPr>
        <w:rPr>
          <w:color w:val="000000" w:themeColor="text1"/>
        </w:rPr>
      </w:pPr>
    </w:p>
    <w:p w14:paraId="61980CEF" w14:textId="77777777" w:rsidR="00DA2BB9" w:rsidRDefault="00DA2BB9" w:rsidP="00615B42">
      <w:pPr>
        <w:rPr>
          <w:color w:val="000000" w:themeColor="text1"/>
        </w:rPr>
      </w:pPr>
    </w:p>
    <w:p w14:paraId="1C1874CE" w14:textId="77777777" w:rsidR="00DA2BB9" w:rsidRDefault="00DA2BB9" w:rsidP="00615B42">
      <w:pPr>
        <w:rPr>
          <w:color w:val="000000" w:themeColor="text1"/>
        </w:rPr>
      </w:pPr>
    </w:p>
    <w:p w14:paraId="125736EF" w14:textId="77777777" w:rsidR="00DA2BB9" w:rsidRDefault="00DA2BB9" w:rsidP="00615B42">
      <w:pPr>
        <w:rPr>
          <w:color w:val="000000" w:themeColor="text1"/>
        </w:rPr>
      </w:pPr>
    </w:p>
    <w:p w14:paraId="53FAB15A" w14:textId="77777777" w:rsidR="00DA2BB9" w:rsidRDefault="00DA2BB9" w:rsidP="00615B42">
      <w:pPr>
        <w:rPr>
          <w:color w:val="000000" w:themeColor="text1"/>
        </w:rPr>
      </w:pPr>
    </w:p>
    <w:p w14:paraId="0054154A" w14:textId="77777777" w:rsidR="00DA2BB9" w:rsidRDefault="00DA2BB9" w:rsidP="00615B42">
      <w:pPr>
        <w:rPr>
          <w:color w:val="000000" w:themeColor="text1"/>
        </w:rPr>
      </w:pPr>
    </w:p>
    <w:p w14:paraId="1A87C82D" w14:textId="0DC06FC9" w:rsidR="00753D31" w:rsidRDefault="00753D31" w:rsidP="00753D31">
      <w:pPr>
        <w:pStyle w:val="Heading1"/>
        <w:numPr>
          <w:ilvl w:val="0"/>
          <w:numId w:val="3"/>
        </w:numPr>
      </w:pPr>
      <w:bookmarkStart w:id="16" w:name="_Toc238908759"/>
      <w:r w:rsidRPr="003D72E3">
        <w:lastRenderedPageBreak/>
        <w:t xml:space="preserve">Evaluate </w:t>
      </w:r>
      <w:r w:rsidR="00B87E99">
        <w:t xml:space="preserve">the </w:t>
      </w:r>
      <w:r w:rsidR="00B87E99" w:rsidRPr="00B87E99">
        <w:t>Government Property Agency’s</w:t>
      </w:r>
      <w:r w:rsidR="00B87E99" w:rsidRPr="00A01228">
        <w:rPr>
          <w:b/>
          <w:bCs/>
        </w:rPr>
        <w:t xml:space="preserve"> </w:t>
      </w:r>
      <w:r w:rsidR="00B87E99" w:rsidRPr="003D72E3">
        <w:t>ability</w:t>
      </w:r>
      <w:r w:rsidRPr="003D72E3">
        <w:t xml:space="preserve"> to harness creativity and foster a creative culture in the workplace</w:t>
      </w:r>
      <w:bookmarkEnd w:id="16"/>
    </w:p>
    <w:p w14:paraId="031A62BA" w14:textId="6A1F259B" w:rsidR="003E2205" w:rsidRDefault="00733CC8" w:rsidP="00733CC8">
      <w:pPr>
        <w:spacing w:after="0" w:line="240" w:lineRule="auto"/>
        <w:rPr>
          <w:rFonts w:eastAsia="Times New Roman" w:cs="Times New Roman"/>
          <w:kern w:val="0"/>
          <w:lang w:eastAsia="en-GB"/>
          <w14:ligatures w14:val="none"/>
        </w:rPr>
      </w:pPr>
      <w:r w:rsidRPr="00733CC8">
        <w:rPr>
          <w:rFonts w:eastAsia="Times New Roman" w:cs="Times New Roman"/>
          <w:kern w:val="0"/>
          <w:lang w:eastAsia="en-GB"/>
          <w14:ligatures w14:val="none"/>
        </w:rPr>
        <w:t xml:space="preserve">Creativity is a valuable organisational asset, as it encourages individuals and teams to generate innovative, useful ideas. Creativity and innovation are closely related, but they are distinct concepts. Creativity is the invention of fresh and beneficial ideas, whereas innovation is the development and application of these </w:t>
      </w:r>
      <w:r w:rsidRPr="00532758">
        <w:rPr>
          <w:rFonts w:eastAsia="Times New Roman" w:cs="Times New Roman"/>
          <w:color w:val="000000" w:themeColor="text1"/>
          <w:kern w:val="0"/>
          <w:lang w:eastAsia="en-GB"/>
          <w14:ligatures w14:val="none"/>
        </w:rPr>
        <w:t xml:space="preserve">concepts (Anderson et al., 2014). </w:t>
      </w:r>
      <w:r w:rsidRPr="00733CC8">
        <w:rPr>
          <w:rFonts w:eastAsia="Times New Roman" w:cs="Times New Roman"/>
          <w:kern w:val="0"/>
          <w:lang w:eastAsia="en-GB"/>
          <w14:ligatures w14:val="none"/>
        </w:rPr>
        <w:t xml:space="preserve">The Government Property Agency (GPA) values creativity because it operates in a complex public-sector environment where traditional approaches may not always deliver the most effective solutions to evolving government requirements. GPA recognises innovation and growth as critical components of its organisational strategy and encourages curiosity, self-improvement, and lifelong </w:t>
      </w:r>
      <w:r w:rsidRPr="00AD2E4A">
        <w:rPr>
          <w:rFonts w:eastAsia="Times New Roman" w:cs="Times New Roman"/>
          <w:color w:val="000000" w:themeColor="text1"/>
          <w:kern w:val="0"/>
          <w:lang w:eastAsia="en-GB"/>
          <w14:ligatures w14:val="none"/>
        </w:rPr>
        <w:t>learning (Government Property Agency [GPA], 2026</w:t>
      </w:r>
      <w:r w:rsidR="0009576F">
        <w:rPr>
          <w:rFonts w:eastAsia="Times New Roman" w:cs="Times New Roman"/>
          <w:color w:val="000000" w:themeColor="text1"/>
          <w:kern w:val="0"/>
          <w:lang w:eastAsia="en-GB"/>
          <w14:ligatures w14:val="none"/>
        </w:rPr>
        <w:t>a</w:t>
      </w:r>
      <w:r w:rsidRPr="00AD2E4A">
        <w:rPr>
          <w:rFonts w:eastAsia="Times New Roman" w:cs="Times New Roman"/>
          <w:color w:val="000000" w:themeColor="text1"/>
          <w:kern w:val="0"/>
          <w:lang w:eastAsia="en-GB"/>
          <w14:ligatures w14:val="none"/>
        </w:rPr>
        <w:t xml:space="preserve">). </w:t>
      </w:r>
      <w:r w:rsidRPr="00733CC8">
        <w:rPr>
          <w:rFonts w:eastAsia="Times New Roman" w:cs="Times New Roman"/>
          <w:kern w:val="0"/>
          <w:lang w:eastAsia="en-GB"/>
          <w14:ligatures w14:val="none"/>
        </w:rPr>
        <w:t>However, an organisation's declared commitment to innovation does not guarantee that creativity is constantly applied in practice.</w:t>
      </w:r>
    </w:p>
    <w:p w14:paraId="11E0943D" w14:textId="77777777" w:rsidR="00733CC8" w:rsidRPr="00733CC8" w:rsidRDefault="00733CC8" w:rsidP="00733CC8">
      <w:pPr>
        <w:spacing w:after="0" w:line="240" w:lineRule="auto"/>
        <w:rPr>
          <w:rFonts w:eastAsia="Times New Roman" w:cs="Times New Roman"/>
          <w:kern w:val="0"/>
          <w:lang w:eastAsia="en-GB"/>
          <w14:ligatures w14:val="none"/>
        </w:rPr>
      </w:pPr>
    </w:p>
    <w:p w14:paraId="4CEDF3A7" w14:textId="0CA66C30" w:rsidR="00894E60" w:rsidRDefault="00BE193E" w:rsidP="00733CC8">
      <w:pPr>
        <w:spacing w:after="0" w:line="240" w:lineRule="auto"/>
        <w:rPr>
          <w:rFonts w:eastAsia="Times New Roman" w:cs="Times New Roman"/>
          <w:kern w:val="0"/>
          <w:lang w:eastAsia="en-GB"/>
          <w14:ligatures w14:val="none"/>
        </w:rPr>
      </w:pPr>
      <w:r w:rsidRPr="00BE193E">
        <w:rPr>
          <w:rFonts w:eastAsia="Times New Roman" w:cs="Times New Roman"/>
          <w:color w:val="000000" w:themeColor="text1"/>
          <w:kern w:val="0"/>
          <w:lang w:eastAsia="en-GB"/>
          <w14:ligatures w14:val="none"/>
        </w:rPr>
        <w:t>This section assesses GPA's ability to harness creativity using three approaches:</w:t>
      </w:r>
      <w:r>
        <w:rPr>
          <w:rFonts w:eastAsia="Times New Roman" w:cs="Times New Roman"/>
          <w:color w:val="000000" w:themeColor="text1"/>
          <w:kern w:val="0"/>
          <w:lang w:eastAsia="en-GB"/>
          <w14:ligatures w14:val="none"/>
        </w:rPr>
        <w:t xml:space="preserve"> </w:t>
      </w:r>
      <w:r w:rsidR="00733CC8" w:rsidRPr="001A02C9">
        <w:rPr>
          <w:rFonts w:eastAsia="Times New Roman" w:cs="Times New Roman"/>
          <w:color w:val="000000" w:themeColor="text1"/>
          <w:kern w:val="0"/>
          <w:lang w:eastAsia="en-GB"/>
          <w14:ligatures w14:val="none"/>
        </w:rPr>
        <w:t xml:space="preserve">Amabile's (1983) </w:t>
      </w:r>
      <w:r w:rsidR="00733CC8" w:rsidRPr="00733CC8">
        <w:rPr>
          <w:rFonts w:eastAsia="Times New Roman" w:cs="Times New Roman"/>
          <w:kern w:val="0"/>
          <w:lang w:eastAsia="en-GB"/>
          <w14:ligatures w14:val="none"/>
        </w:rPr>
        <w:t xml:space="preserve">Componential Theory of Creativity, divergent and convergent thinking, </w:t>
      </w:r>
      <w:r w:rsidR="00733CC8" w:rsidRPr="00492A03">
        <w:rPr>
          <w:rFonts w:eastAsia="Times New Roman" w:cs="Times New Roman"/>
          <w:color w:val="000000" w:themeColor="text1"/>
          <w:kern w:val="0"/>
          <w:lang w:eastAsia="en-GB"/>
          <w14:ligatures w14:val="none"/>
        </w:rPr>
        <w:t xml:space="preserve">and de Bono's (1985) </w:t>
      </w:r>
      <w:r w:rsidR="00733CC8" w:rsidRPr="00733CC8">
        <w:rPr>
          <w:rFonts w:eastAsia="Times New Roman" w:cs="Times New Roman"/>
          <w:kern w:val="0"/>
          <w:lang w:eastAsia="en-GB"/>
          <w14:ligatures w14:val="none"/>
        </w:rPr>
        <w:t xml:space="preserve">Six Thinking Hats. These approaches </w:t>
      </w:r>
      <w:r w:rsidR="00894E60" w:rsidRPr="00733CC8">
        <w:rPr>
          <w:rFonts w:eastAsia="Times New Roman" w:cs="Times New Roman"/>
          <w:kern w:val="0"/>
          <w:lang w:eastAsia="en-GB"/>
          <w14:ligatures w14:val="none"/>
        </w:rPr>
        <w:t>consider</w:t>
      </w:r>
      <w:r w:rsidR="00733CC8" w:rsidRPr="00733CC8">
        <w:rPr>
          <w:rFonts w:eastAsia="Times New Roman" w:cs="Times New Roman"/>
          <w:kern w:val="0"/>
          <w:lang w:eastAsia="en-GB"/>
          <w14:ligatures w14:val="none"/>
        </w:rPr>
        <w:t xml:space="preserve"> the conditions that foster creativity, the processes by which ideas are developed and assessed, and the ways in which organisations can encourage diverse perspectives and constructive challenge.</w:t>
      </w:r>
    </w:p>
    <w:p w14:paraId="12C815C3" w14:textId="77777777" w:rsidR="00733CC8" w:rsidRDefault="00733CC8" w:rsidP="00733CC8">
      <w:pPr>
        <w:spacing w:after="0" w:line="240" w:lineRule="auto"/>
        <w:rPr>
          <w:rFonts w:eastAsia="Times New Roman" w:cs="Times New Roman"/>
          <w:kern w:val="0"/>
          <w:lang w:eastAsia="en-GB"/>
          <w14:ligatures w14:val="none"/>
        </w:rPr>
      </w:pPr>
    </w:p>
    <w:p w14:paraId="2F110D4A" w14:textId="77777777" w:rsidR="00733CC8" w:rsidRDefault="00733CC8" w:rsidP="00733CC8">
      <w:pPr>
        <w:pStyle w:val="Heading2"/>
      </w:pPr>
      <w:bookmarkStart w:id="17" w:name="_Toc238908760"/>
      <w:r w:rsidRPr="00E31D7F">
        <w:t>Theoretical foundations of creativity</w:t>
      </w:r>
      <w:bookmarkEnd w:id="17"/>
    </w:p>
    <w:p w14:paraId="3A66B057" w14:textId="349ACCC6" w:rsidR="00733CC8" w:rsidRPr="000800D2" w:rsidRDefault="00FC603B" w:rsidP="00733CC8">
      <w:r>
        <w:rPr>
          <w:color w:val="000000" w:themeColor="text1"/>
        </w:rPr>
        <w:t xml:space="preserve">The </w:t>
      </w:r>
      <w:r w:rsidR="00733CC8" w:rsidRPr="000800D2">
        <w:t>Componential Theory of Creativity is a solid platform for assessing how GPA influences individuals' creativity</w:t>
      </w:r>
      <w:r>
        <w:t xml:space="preserve"> </w:t>
      </w:r>
      <w:r w:rsidRPr="00FC603B">
        <w:t>(Amabile, 1983).</w:t>
      </w:r>
      <w:r w:rsidR="00733CC8" w:rsidRPr="000800D2">
        <w:t xml:space="preserve"> The model identifies three key components: domain-relevant skills, creativity-relevant processes, and task motivation. Domain-relevant skills provide the knowledge and experience needed to solve an issue; creativity-relevant processes enable people to approach problems in a variety of ways and generate new possibilities; and task motivation determines how much people engage in creative activities. </w:t>
      </w:r>
      <w:r w:rsidR="00733CC8" w:rsidRPr="00532758">
        <w:rPr>
          <w:color w:val="000000" w:themeColor="text1"/>
        </w:rPr>
        <w:t xml:space="preserve">Amabile et al. (1996) </w:t>
      </w:r>
      <w:r w:rsidR="00733CC8" w:rsidRPr="000800D2">
        <w:t>later established that the organisational environment can either stimulate or restrain these components via factors such as organisational encouragement, supervisory support, autonomy, resources, and hard work.</w:t>
      </w:r>
    </w:p>
    <w:p w14:paraId="4C650E64" w14:textId="75E9CF16" w:rsidR="00894E60" w:rsidRPr="00894E60" w:rsidRDefault="00894E60" w:rsidP="00894E60">
      <w:pPr>
        <w:spacing w:after="0" w:line="240" w:lineRule="auto"/>
        <w:rPr>
          <w:rFonts w:eastAsia="Times New Roman" w:cs="Times New Roman"/>
          <w:kern w:val="0"/>
          <w:lang w:eastAsia="en-GB"/>
          <w14:ligatures w14:val="none"/>
        </w:rPr>
      </w:pPr>
      <w:r w:rsidRPr="00894E60">
        <w:rPr>
          <w:rFonts w:eastAsia="Times New Roman" w:cs="Times New Roman"/>
          <w:kern w:val="0"/>
          <w:lang w:eastAsia="en-GB"/>
          <w14:ligatures w14:val="none"/>
        </w:rPr>
        <w:t>This is pertinent to GPA because it involves not only innovative thinking but also determining whether the organisational climate allows employees to use that expertise creatively. GPA's staff combines competence in property, commercial, digital, technology, corporate transformation, and government operations</w:t>
      </w:r>
      <w:r w:rsidR="00ED0BD9">
        <w:rPr>
          <w:rFonts w:eastAsia="Times New Roman" w:cs="Times New Roman"/>
          <w:kern w:val="0"/>
          <w:lang w:eastAsia="en-GB"/>
          <w14:ligatures w14:val="none"/>
        </w:rPr>
        <w:t xml:space="preserve">. </w:t>
      </w:r>
      <w:r w:rsidRPr="00894E60">
        <w:rPr>
          <w:rFonts w:eastAsia="Times New Roman" w:cs="Times New Roman"/>
          <w:kern w:val="0"/>
          <w:lang w:eastAsia="en-GB"/>
          <w14:ligatures w14:val="none"/>
        </w:rPr>
        <w:t>This establishes a solid knowledge platform from which innovative ideas can arise. GPA's Interoperability Portfolio demonstrates the value of diversity by bringing together diverse professional perspectives to address complex cross-government requirements.</w:t>
      </w:r>
    </w:p>
    <w:p w14:paraId="54E6A33C" w14:textId="77777777" w:rsidR="00733CC8" w:rsidRDefault="00733CC8" w:rsidP="00733CC8">
      <w:pPr>
        <w:spacing w:after="0" w:line="240" w:lineRule="auto"/>
        <w:rPr>
          <w:rFonts w:eastAsia="Times New Roman" w:cs="Times New Roman"/>
          <w:kern w:val="0"/>
          <w:lang w:eastAsia="en-GB"/>
          <w14:ligatures w14:val="none"/>
        </w:rPr>
      </w:pPr>
    </w:p>
    <w:p w14:paraId="727ACC74" w14:textId="77777777" w:rsidR="00894E60" w:rsidRPr="00894E60" w:rsidRDefault="00894E60" w:rsidP="00894E60">
      <w:pPr>
        <w:spacing w:after="0" w:line="240" w:lineRule="auto"/>
        <w:rPr>
          <w:rFonts w:eastAsia="Times New Roman" w:cs="Times New Roman"/>
          <w:kern w:val="0"/>
          <w:lang w:eastAsia="en-GB"/>
          <w14:ligatures w14:val="none"/>
        </w:rPr>
      </w:pPr>
      <w:r w:rsidRPr="00894E60">
        <w:rPr>
          <w:rFonts w:eastAsia="Times New Roman" w:cs="Times New Roman"/>
          <w:kern w:val="0"/>
          <w:lang w:eastAsia="en-GB"/>
          <w14:ligatures w14:val="none"/>
        </w:rPr>
        <w:t xml:space="preserve">However, expertise does not ensure inventiveness. Employees also require opportunities to question existing practices, experiment with alternatives, and generate ideas. GPA's emphasis on empowerment, curiosity, and lifelong learning aligns with </w:t>
      </w:r>
      <w:r w:rsidRPr="00532758">
        <w:rPr>
          <w:rFonts w:eastAsia="Times New Roman" w:cs="Times New Roman"/>
          <w:color w:val="000000" w:themeColor="text1"/>
          <w:kern w:val="0"/>
          <w:lang w:eastAsia="en-GB"/>
          <w14:ligatures w14:val="none"/>
        </w:rPr>
        <w:t xml:space="preserve">Amabile's (1983) </w:t>
      </w:r>
      <w:r w:rsidRPr="00894E60">
        <w:rPr>
          <w:rFonts w:eastAsia="Times New Roman" w:cs="Times New Roman"/>
          <w:kern w:val="0"/>
          <w:lang w:eastAsia="en-GB"/>
          <w14:ligatures w14:val="none"/>
        </w:rPr>
        <w:t xml:space="preserve">approach. Learning can improve employees' domain-specific skills, whereas empowerment can provide more freedom to explore and build solutions. </w:t>
      </w:r>
      <w:r w:rsidRPr="00AD2E4A">
        <w:rPr>
          <w:rFonts w:eastAsia="Times New Roman" w:cs="Times New Roman"/>
          <w:color w:val="000000" w:themeColor="text1"/>
          <w:kern w:val="0"/>
          <w:lang w:eastAsia="en-GB"/>
          <w14:ligatures w14:val="none"/>
        </w:rPr>
        <w:t xml:space="preserve">Ryan and Deci (2000) </w:t>
      </w:r>
      <w:r w:rsidRPr="00894E60">
        <w:rPr>
          <w:rFonts w:eastAsia="Times New Roman" w:cs="Times New Roman"/>
          <w:kern w:val="0"/>
          <w:lang w:eastAsia="en-GB"/>
          <w14:ligatures w14:val="none"/>
        </w:rPr>
        <w:t xml:space="preserve">contend that autonomy and competence can boost intrinsic motivation, </w:t>
      </w:r>
      <w:r w:rsidRPr="00AD2E4A">
        <w:rPr>
          <w:rFonts w:eastAsia="Times New Roman" w:cs="Times New Roman"/>
          <w:color w:val="000000" w:themeColor="text1"/>
          <w:kern w:val="0"/>
          <w:lang w:eastAsia="en-GB"/>
          <w14:ligatures w14:val="none"/>
        </w:rPr>
        <w:t xml:space="preserve">while Tierney and Farmer (2002) </w:t>
      </w:r>
      <w:r w:rsidRPr="00894E60">
        <w:rPr>
          <w:rFonts w:eastAsia="Times New Roman" w:cs="Times New Roman"/>
          <w:kern w:val="0"/>
          <w:lang w:eastAsia="en-GB"/>
          <w14:ligatures w14:val="none"/>
        </w:rPr>
        <w:t xml:space="preserve">discovered that creative self-efficacy corresponds with creative performance. GPA cannot </w:t>
      </w:r>
      <w:r w:rsidRPr="00894E60">
        <w:rPr>
          <w:rFonts w:eastAsia="Times New Roman" w:cs="Times New Roman"/>
          <w:kern w:val="0"/>
          <w:lang w:eastAsia="en-GB"/>
          <w14:ligatures w14:val="none"/>
        </w:rPr>
        <w:lastRenderedPageBreak/>
        <w:t>encourage people to be creative; it must establish conditions in which individuals are motivated, confident, and given the opportunity to contribute creatively.</w:t>
      </w:r>
    </w:p>
    <w:p w14:paraId="33E046D4" w14:textId="77777777" w:rsidR="00894E60" w:rsidRDefault="00894E60" w:rsidP="00733CC8">
      <w:pPr>
        <w:spacing w:after="0" w:line="240" w:lineRule="auto"/>
        <w:rPr>
          <w:rFonts w:eastAsia="Times New Roman" w:cs="Times New Roman"/>
          <w:kern w:val="0"/>
          <w:lang w:eastAsia="en-GB"/>
          <w14:ligatures w14:val="none"/>
        </w:rPr>
      </w:pPr>
    </w:p>
    <w:p w14:paraId="787A918E" w14:textId="049F3EA3" w:rsidR="00894E60" w:rsidRPr="00894E60" w:rsidRDefault="00894E60" w:rsidP="00894E60">
      <w:pPr>
        <w:spacing w:after="0" w:line="240" w:lineRule="auto"/>
        <w:rPr>
          <w:rFonts w:eastAsia="Times New Roman" w:cs="Times New Roman"/>
          <w:kern w:val="0"/>
          <w:lang w:eastAsia="en-GB"/>
          <w14:ligatures w14:val="none"/>
        </w:rPr>
      </w:pPr>
      <w:r w:rsidRPr="00894E60">
        <w:rPr>
          <w:rFonts w:eastAsia="Times New Roman" w:cs="Times New Roman"/>
          <w:kern w:val="0"/>
          <w:lang w:eastAsia="en-GB"/>
          <w14:ligatures w14:val="none"/>
        </w:rPr>
        <w:t xml:space="preserve">Leadership is crucial in creating these situations. </w:t>
      </w:r>
      <w:r w:rsidRPr="00AC588C">
        <w:rPr>
          <w:rFonts w:eastAsia="Times New Roman" w:cs="Times New Roman"/>
          <w:color w:val="000000" w:themeColor="text1"/>
          <w:kern w:val="0"/>
          <w:lang w:eastAsia="en-GB"/>
          <w14:ligatures w14:val="none"/>
        </w:rPr>
        <w:t xml:space="preserve">Oldham and Cummings (1996) </w:t>
      </w:r>
      <w:r w:rsidRPr="00894E60">
        <w:rPr>
          <w:rFonts w:eastAsia="Times New Roman" w:cs="Times New Roman"/>
          <w:kern w:val="0"/>
          <w:lang w:eastAsia="en-GB"/>
          <w14:ligatures w14:val="none"/>
        </w:rPr>
        <w:t xml:space="preserve">discovered that employees were more creative when given demanding tasks under supportive rather than controlling management. </w:t>
      </w:r>
      <w:r w:rsidRPr="00532758">
        <w:rPr>
          <w:rFonts w:eastAsia="Times New Roman" w:cs="Times New Roman"/>
          <w:color w:val="000000" w:themeColor="text1"/>
          <w:kern w:val="0"/>
          <w:lang w:eastAsia="en-GB"/>
          <w14:ligatures w14:val="none"/>
        </w:rPr>
        <w:t xml:space="preserve">Amabile et al. (2004) </w:t>
      </w:r>
      <w:r w:rsidRPr="00894E60">
        <w:rPr>
          <w:rFonts w:eastAsia="Times New Roman" w:cs="Times New Roman"/>
          <w:kern w:val="0"/>
          <w:lang w:eastAsia="en-GB"/>
          <w14:ligatures w14:val="none"/>
        </w:rPr>
        <w:t xml:space="preserve">discovered that leader support is a key feature of a creative work environment. GPA's dedication to empowerment must consequently be mirrored in its everyday leadership actions. Leaders must provide autonomy and encouragement while </w:t>
      </w:r>
      <w:r>
        <w:rPr>
          <w:rFonts w:eastAsia="Times New Roman" w:cs="Times New Roman"/>
          <w:kern w:val="0"/>
          <w:lang w:eastAsia="en-GB"/>
          <w14:ligatures w14:val="none"/>
        </w:rPr>
        <w:t>ensuring people have sufficient</w:t>
      </w:r>
      <w:r w:rsidRPr="00894E60">
        <w:rPr>
          <w:rFonts w:eastAsia="Times New Roman" w:cs="Times New Roman"/>
          <w:kern w:val="0"/>
          <w:lang w:eastAsia="en-GB"/>
          <w14:ligatures w14:val="none"/>
        </w:rPr>
        <w:t xml:space="preserve"> time and resources to pursue </w:t>
      </w:r>
      <w:r w:rsidR="00030173" w:rsidRPr="00894E60">
        <w:rPr>
          <w:rFonts w:eastAsia="Times New Roman" w:cs="Times New Roman"/>
          <w:kern w:val="0"/>
          <w:lang w:eastAsia="en-GB"/>
          <w14:ligatures w14:val="none"/>
        </w:rPr>
        <w:t>innovative ideas</w:t>
      </w:r>
      <w:r w:rsidRPr="00894E60">
        <w:rPr>
          <w:rFonts w:eastAsia="Times New Roman" w:cs="Times New Roman"/>
          <w:kern w:val="0"/>
          <w:lang w:eastAsia="en-GB"/>
          <w14:ligatures w14:val="none"/>
        </w:rPr>
        <w:t>. If empowerment exists solely as an organisational statement but people are still confined in practice, GPA's potential to harness creativity will be restricted.</w:t>
      </w:r>
    </w:p>
    <w:p w14:paraId="1447AF55" w14:textId="77777777" w:rsidR="00894E60" w:rsidRDefault="00894E60" w:rsidP="00733CC8">
      <w:pPr>
        <w:spacing w:after="0" w:line="240" w:lineRule="auto"/>
        <w:rPr>
          <w:rFonts w:eastAsia="Times New Roman" w:cs="Times New Roman"/>
          <w:kern w:val="0"/>
          <w:lang w:eastAsia="en-GB"/>
          <w14:ligatures w14:val="none"/>
        </w:rPr>
      </w:pPr>
    </w:p>
    <w:p w14:paraId="5FDF1E46" w14:textId="77777777" w:rsidR="00894E60" w:rsidRDefault="00894E60" w:rsidP="00894E60">
      <w:pPr>
        <w:pStyle w:val="Heading2"/>
      </w:pPr>
      <w:bookmarkStart w:id="18" w:name="_Toc238908761"/>
      <w:r w:rsidRPr="00363596">
        <w:t>Divergent and convergent thinking</w:t>
      </w:r>
      <w:bookmarkEnd w:id="18"/>
    </w:p>
    <w:p w14:paraId="7D545A2C" w14:textId="0A263A5B" w:rsidR="00671D49" w:rsidRPr="00671D49" w:rsidRDefault="00671D49" w:rsidP="00671D49">
      <w:r w:rsidRPr="00671D49">
        <w:t xml:space="preserve">While Amabile's model illustrates the conditions that foster creativity, divergent and convergent thinking are essential for understanding how creative ideas emerge and develop. Divergent thinking involves looking at a problem from various angles and generating numerous potential solutions, whereas convergent thinking entails analysing, refining, and selecting the most effective possibilities. </w:t>
      </w:r>
    </w:p>
    <w:p w14:paraId="2FBB5CE9" w14:textId="32CDF6FC" w:rsidR="00671D49" w:rsidRDefault="00671D49" w:rsidP="00671D49">
      <w:r w:rsidRPr="00671D49">
        <w:t xml:space="preserve">This distinction is especially related to GPA's Interoperability Portfolio, where complicated cross-government issues may not have an obvious answer. A divergent approach might inspire individuals with diverse professional backgrounds to question assumptions and generate a variety of </w:t>
      </w:r>
      <w:r w:rsidR="00030173" w:rsidRPr="00671D49">
        <w:t>replies</w:t>
      </w:r>
      <w:r w:rsidRPr="00671D49">
        <w:t xml:space="preserve">. GPA's blend of property, technological, operational, and business change skills </w:t>
      </w:r>
      <w:r w:rsidR="00030173">
        <w:t>allow</w:t>
      </w:r>
      <w:r w:rsidRPr="00671D49">
        <w:t xml:space="preserve"> multiple viewpoints to be brought together</w:t>
      </w:r>
      <w:r w:rsidRPr="00ED0BD9">
        <w:rPr>
          <w:color w:val="000000" w:themeColor="text1"/>
        </w:rPr>
        <w:t xml:space="preserve">. </w:t>
      </w:r>
      <w:r w:rsidR="008F7B47" w:rsidRPr="008F7B47">
        <w:rPr>
          <w:color w:val="000000" w:themeColor="text1"/>
        </w:rPr>
        <w:t>A broader organisational perspective recognises that organisational innovation emerges from the interaction of individual, group, and organisational elements (Woodman et al., 1993).</w:t>
      </w:r>
    </w:p>
    <w:p w14:paraId="436B2B31" w14:textId="6FBE5420" w:rsidR="00671D49" w:rsidRDefault="00671D49" w:rsidP="00671D49">
      <w:r w:rsidRPr="00671D49">
        <w:t xml:space="preserve">Divergent thinking could produce several ideas while adding little value to the organisation. Convergent thinking is then required to evaluate ideas against practical criteria such as feasibility, cost, risk, user needs, and strategic alignment. This is </w:t>
      </w:r>
      <w:r w:rsidR="00030173" w:rsidRPr="00671D49">
        <w:t>related</w:t>
      </w:r>
      <w:r w:rsidRPr="00671D49">
        <w:t xml:space="preserve"> to Part 1 of this </w:t>
      </w:r>
      <w:r w:rsidR="001A02C9">
        <w:t>report</w:t>
      </w:r>
      <w:r w:rsidRPr="00671D49">
        <w:t xml:space="preserve">, where the Stage-Gate model and Innovation Pipeline emphasised the significance of screening, analysing, and prioritising ideas. Creativity should not be defined solely as the generation of ideas. </w:t>
      </w:r>
      <w:r>
        <w:t xml:space="preserve">The value of GPA </w:t>
      </w:r>
      <w:r w:rsidRPr="00671D49">
        <w:t>is determined by whether creative ideas can be analysed and developed into practical technologies.</w:t>
      </w:r>
    </w:p>
    <w:p w14:paraId="173028BC" w14:textId="101CA03A" w:rsidR="00030173" w:rsidRPr="00030173" w:rsidRDefault="00AE2CE9" w:rsidP="00030173">
      <w:r w:rsidRPr="00AE2CE9">
        <w:t xml:space="preserve">There is a </w:t>
      </w:r>
      <w:r w:rsidR="00030173" w:rsidRPr="00AE2CE9">
        <w:t>conflict</w:t>
      </w:r>
      <w:r w:rsidRPr="00AE2CE9">
        <w:t xml:space="preserve"> between the two approaches to thinking. Early evaluation can limit creativity by rejecting ideas before they have been thoroughly investigated, and lengthy divergence can prevent conclusions from being reached. </w:t>
      </w:r>
      <w:r w:rsidR="00030173" w:rsidRPr="00030173">
        <w:t xml:space="preserve">Therefore, GPA must </w:t>
      </w:r>
      <w:r w:rsidR="00030173" w:rsidRPr="00030173">
        <w:t>consider</w:t>
      </w:r>
      <w:r w:rsidR="00030173" w:rsidRPr="00030173">
        <w:t xml:space="preserve"> both activities while acknowledging that extended divergence may </w:t>
      </w:r>
      <w:r w:rsidR="00030173">
        <w:t xml:space="preserve">delay useful decision-making, and that </w:t>
      </w:r>
      <w:r w:rsidR="00030173" w:rsidRPr="00030173">
        <w:t>applying convergence too soon may stifle potentially useful ideas.</w:t>
      </w:r>
    </w:p>
    <w:p w14:paraId="521248B7" w14:textId="30169512" w:rsidR="00AE2CE9" w:rsidRDefault="00AE2CE9" w:rsidP="00AE2CE9">
      <w:r w:rsidRPr="00AE2CE9">
        <w:t xml:space="preserve">Employees should be encouraged to question assumptions and explore alternatives during the </w:t>
      </w:r>
      <w:r w:rsidR="00030173" w:rsidRPr="00AE2CE9">
        <w:t>initial stages</w:t>
      </w:r>
      <w:r w:rsidRPr="00AE2CE9">
        <w:t xml:space="preserve"> of research, without being overly critical. Once enough alternatives are generated, a suitable evaluation can be conducted. This balance is critical in the public sector, where creative ideas must coexist with responsibility and the appropriate use of public resources.</w:t>
      </w:r>
    </w:p>
    <w:p w14:paraId="45ED4E35" w14:textId="77777777" w:rsidR="00AE2CE9" w:rsidRPr="00AE2CE9" w:rsidRDefault="00AE2CE9" w:rsidP="00AE2CE9"/>
    <w:p w14:paraId="21702D32" w14:textId="77777777" w:rsidR="00AE2CE9" w:rsidRPr="00363596" w:rsidRDefault="00AE2CE9" w:rsidP="00AE2CE9">
      <w:pPr>
        <w:pStyle w:val="Heading2"/>
      </w:pPr>
      <w:bookmarkStart w:id="19" w:name="_Toc238908762"/>
      <w:r w:rsidRPr="00363596">
        <w:lastRenderedPageBreak/>
        <w:t>Six Thinking Hats and structured creative thinking</w:t>
      </w:r>
      <w:bookmarkEnd w:id="19"/>
    </w:p>
    <w:p w14:paraId="0B63B8C0" w14:textId="6B362DF7" w:rsidR="005F6353" w:rsidRDefault="00FC603B" w:rsidP="00B16249">
      <w:r>
        <w:rPr>
          <w:color w:val="000000" w:themeColor="text1"/>
        </w:rPr>
        <w:t xml:space="preserve">The </w:t>
      </w:r>
      <w:r w:rsidR="00DE1BDF" w:rsidRPr="00DE1BDF">
        <w:t>Six Thinking Hats provide a practical method for structuring creative thinking and encourage people to examine a problem from multiple perspectives</w:t>
      </w:r>
      <w:r>
        <w:t xml:space="preserve"> </w:t>
      </w:r>
      <w:r w:rsidRPr="00FC603B">
        <w:t>(de Bono, 1985)</w:t>
      </w:r>
      <w:r w:rsidR="00DE1BDF" w:rsidRPr="00DE1BDF">
        <w:t xml:space="preserve">. The technique divides thinking into six categories: factual knowledge, emotions, critical judgement, positive outcomes, creativity, and process. </w:t>
      </w:r>
    </w:p>
    <w:p w14:paraId="6CCEAF58" w14:textId="51F05117" w:rsidR="00B16249" w:rsidRPr="00B16249" w:rsidRDefault="00B16249" w:rsidP="00B16249">
      <w:r w:rsidRPr="00B16249">
        <w:t xml:space="preserve">This method could be especially effective in GPA's collaborative and cross-government environment. Interoperability issues involve conflicting demands and differing opinions across professional and organisational boundaries. Six Thinking Hats helps teams move beyond established assumptions and consider creative alternatives, potential risks, stakeholder perspectives, and practical concerns. This could help GPA's collaboration strategy by </w:t>
      </w:r>
      <w:r w:rsidR="003D0DED">
        <w:t>providing a formal framework that enables</w:t>
      </w:r>
      <w:r w:rsidRPr="00B16249">
        <w:t xml:space="preserve"> professionals with varied backgrounds to participate </w:t>
      </w:r>
      <w:r w:rsidR="003D0DED">
        <w:t>in</w:t>
      </w:r>
      <w:r w:rsidRPr="00B16249">
        <w:t xml:space="preserve"> </w:t>
      </w:r>
      <w:r w:rsidR="003D0DED">
        <w:t>problem-solving</w:t>
      </w:r>
      <w:r w:rsidRPr="00B16249">
        <w:t>.</w:t>
      </w:r>
    </w:p>
    <w:p w14:paraId="45C126D6" w14:textId="47A00393" w:rsidR="00AE2CE9" w:rsidRDefault="003D0DED" w:rsidP="00671D49">
      <w:r w:rsidRPr="003D0DED">
        <w:t xml:space="preserve">However, the approach is not without problems. If Six Thinking Hats are employed too strictly, they become a procedural exercise rather than genuinely creative thinking. Creativity cannot be guaranteed simply by adopting a planned approach, especially when employees do not feel psychologically safe challenging established </w:t>
      </w:r>
      <w:r w:rsidRPr="00ED0BD9">
        <w:rPr>
          <w:color w:val="000000" w:themeColor="text1"/>
        </w:rPr>
        <w:t xml:space="preserve">beliefs. Edmondson (1999) </w:t>
      </w:r>
      <w:r w:rsidRPr="003D0DED">
        <w:t>discovered that psychological safety promotes learning through enabling individuals to take interpersonal risks. This is significant since creative thought involves uncertainty and the potential that ideas may not succeed. Employees must therefore feel empowered to express creative concepts without fear of criticism or negative implications.</w:t>
      </w:r>
      <w:r w:rsidRPr="003D0DED">
        <w:br/>
      </w:r>
      <w:r w:rsidRPr="003D0DED">
        <w:br/>
      </w:r>
      <w:r w:rsidR="00BE193E" w:rsidRPr="00BE193E">
        <w:t>Six Thinking Hats can aid creativity but cannot replace a creative culture</w:t>
      </w:r>
      <w:r w:rsidR="00BE193E">
        <w:t>. P</w:t>
      </w:r>
      <w:r w:rsidRPr="003D0DED">
        <w:t xml:space="preserve">erformance at GPA would be determined by how leaders use the strategy and whether employees are encouraged to </w:t>
      </w:r>
      <w:r w:rsidRPr="00FC603B">
        <w:t xml:space="preserve">contribute honestly and constructively. </w:t>
      </w:r>
      <w:r w:rsidR="00FC603B" w:rsidRPr="00FC603B">
        <w:t>Leadership support is a key component of a creative workplace (Amabile et al., 2004).</w:t>
      </w:r>
    </w:p>
    <w:p w14:paraId="2ADEAEF4" w14:textId="77777777" w:rsidR="00DA2BB9" w:rsidRPr="00671D49" w:rsidRDefault="00DA2BB9" w:rsidP="00671D49"/>
    <w:p w14:paraId="45AF255D" w14:textId="77777777" w:rsidR="003D0DED" w:rsidRPr="00DA2BB9" w:rsidRDefault="003D0DED" w:rsidP="00DA2BB9">
      <w:pPr>
        <w:pStyle w:val="Heading2"/>
      </w:pPr>
      <w:bookmarkStart w:id="20" w:name="_Toc238908763"/>
      <w:r w:rsidRPr="00DA2BB9">
        <w:t>Fostering a creative culture</w:t>
      </w:r>
      <w:bookmarkEnd w:id="20"/>
    </w:p>
    <w:p w14:paraId="523A2B1F" w14:textId="32079B92" w:rsidR="000E3CA1" w:rsidRDefault="000E3CA1" w:rsidP="000E3CA1">
      <w:r w:rsidRPr="000E3CA1">
        <w:t>The three approaches indicate that creativity requires more than just individual talent or the application of creative-thinking skills. GPA must also foster an environment in which people feel capable and ready to apply creative techniques. Schein's approach offers a useful viewpoint by distinguishing between artefacts, espoused values, and underlying assumptions</w:t>
      </w:r>
      <w:r w:rsidR="00FC603B">
        <w:t xml:space="preserve"> </w:t>
      </w:r>
      <w:r w:rsidR="00FC603B" w:rsidRPr="00FC603B">
        <w:t>(Schein, 2010)</w:t>
      </w:r>
      <w:r w:rsidRPr="000E3CA1">
        <w:t xml:space="preserve">. </w:t>
      </w:r>
    </w:p>
    <w:p w14:paraId="32945D70" w14:textId="77777777" w:rsidR="00DA2BB9" w:rsidRPr="000E3CA1" w:rsidRDefault="00DA2BB9" w:rsidP="000E3CA1"/>
    <w:p w14:paraId="16121333" w14:textId="77777777" w:rsidR="000E3CA1" w:rsidRPr="00363596" w:rsidRDefault="000E3CA1" w:rsidP="000E3CA1">
      <w:pPr>
        <w:pStyle w:val="Heading2"/>
      </w:pPr>
      <w:bookmarkStart w:id="21" w:name="_Toc238908764"/>
      <w:r w:rsidRPr="00363596">
        <w:t>Organisational culture and values</w:t>
      </w:r>
      <w:bookmarkEnd w:id="21"/>
    </w:p>
    <w:p w14:paraId="7999B65F" w14:textId="0067747D" w:rsidR="00540EE4" w:rsidRDefault="00540EE4" w:rsidP="00540EE4">
      <w:r w:rsidRPr="00540EE4">
        <w:t xml:space="preserve">GPA creates a constructive foundation to foster a creative culture. "Striving for excellence," "empowering through respect," "acting with integrity," and "succeeding together" are GPA's core </w:t>
      </w:r>
      <w:r w:rsidRPr="00ED0BD9">
        <w:rPr>
          <w:color w:val="000000" w:themeColor="text1"/>
        </w:rPr>
        <w:t>values (GPA, 2026</w:t>
      </w:r>
      <w:r w:rsidR="0009576F">
        <w:rPr>
          <w:color w:val="000000" w:themeColor="text1"/>
        </w:rPr>
        <w:t>a</w:t>
      </w:r>
      <w:r w:rsidRPr="00ED0BD9">
        <w:rPr>
          <w:color w:val="000000" w:themeColor="text1"/>
        </w:rPr>
        <w:t>). </w:t>
      </w:r>
      <w:r w:rsidRPr="00540EE4">
        <w:t xml:space="preserve">GPA encourages continuous learning, curiosity, and self-improvement. These concepts reinforce the claim made by Martins and Terblanche (2003) that organisational values, structures, support systems, and behaviours influence innovation and creativity. </w:t>
      </w:r>
      <w:r w:rsidRPr="00540EE4">
        <w:br/>
      </w:r>
      <w:r w:rsidRPr="00540EE4">
        <w:br/>
        <w:t xml:space="preserve">GPA's collaboration strategy is also important. Collaboration across organisational and professional boundaries introduces individuals to diverse perspectives while encouraging knowledge </w:t>
      </w:r>
      <w:r w:rsidRPr="00ED0BD9">
        <w:rPr>
          <w:color w:val="000000" w:themeColor="text1"/>
        </w:rPr>
        <w:t>sharing (GPA, 2026</w:t>
      </w:r>
      <w:r w:rsidR="0009576F">
        <w:rPr>
          <w:color w:val="000000" w:themeColor="text1"/>
        </w:rPr>
        <w:t>c</w:t>
      </w:r>
      <w:r w:rsidRPr="00ED0BD9">
        <w:rPr>
          <w:color w:val="000000" w:themeColor="text1"/>
        </w:rPr>
        <w:t xml:space="preserve">). </w:t>
      </w:r>
      <w:r w:rsidRPr="00540EE4">
        <w:t xml:space="preserve">Psychological safety and encouragement for innovation are </w:t>
      </w:r>
      <w:r w:rsidRPr="00540EE4">
        <w:lastRenderedPageBreak/>
        <w:t xml:space="preserve">key elements of an innovative team environment, according to </w:t>
      </w:r>
      <w:r w:rsidRPr="00AC588C">
        <w:rPr>
          <w:color w:val="000000" w:themeColor="text1"/>
        </w:rPr>
        <w:t>Anderson and West (1998). </w:t>
      </w:r>
      <w:r w:rsidRPr="00540EE4">
        <w:t>GPA's collaborative environment provides conditions for creative work. Collaboration, however, does not always result in creativity. If respectful debate is discouraged or consensus is valued more than constructive disagreement, groups may maintain established beliefs. Leadership must foster an atmosphere in which opposing viewpoints are considered.</w:t>
      </w:r>
    </w:p>
    <w:p w14:paraId="7E0DBE5E" w14:textId="77777777" w:rsidR="00540EE4" w:rsidRPr="00540EE4" w:rsidRDefault="00540EE4" w:rsidP="00540EE4"/>
    <w:p w14:paraId="55ECAB57" w14:textId="77777777" w:rsidR="00540EE4" w:rsidRPr="00363596" w:rsidRDefault="00540EE4" w:rsidP="00540EE4">
      <w:pPr>
        <w:pStyle w:val="Heading2"/>
      </w:pPr>
      <w:bookmarkStart w:id="22" w:name="_Toc238908765"/>
      <w:r w:rsidRPr="00363596">
        <w:t>Leadership and psychological safety</w:t>
      </w:r>
      <w:bookmarkEnd w:id="22"/>
    </w:p>
    <w:p w14:paraId="33ECAD68" w14:textId="2440BF0B" w:rsidR="005F6353" w:rsidRDefault="001A2A93" w:rsidP="001A2A93">
      <w:r w:rsidRPr="001A2A93">
        <w:t>It is crucial for the GPA to distinguish between defined values and underlying presumptions. Although GPA claims to value innovation and empowerment, employees could consider questioning conventional wisdom as harmful. Whether or not creative methods are embedded depends on how much GPA's values are reflected in regular leadership and decision-making.</w:t>
      </w:r>
      <w:r w:rsidRPr="001A2A93">
        <w:br/>
      </w:r>
      <w:r w:rsidRPr="001A2A93">
        <w:br/>
        <w:t>Employees are more likely to experiment, challenge procedures, and suggest new approaches when they feel that doing so won't have negative effects</w:t>
      </w:r>
      <w:r>
        <w:t>;</w:t>
      </w:r>
      <w:r w:rsidRPr="001A2A93">
        <w:t xml:space="preserve"> psychological safety is essential to this </w:t>
      </w:r>
      <w:r w:rsidRPr="00ED0BD9">
        <w:rPr>
          <w:color w:val="000000" w:themeColor="text1"/>
        </w:rPr>
        <w:t>process (Edmondson, 1999)</w:t>
      </w:r>
      <w:r w:rsidR="00030173" w:rsidRPr="00ED0BD9">
        <w:rPr>
          <w:color w:val="000000" w:themeColor="text1"/>
        </w:rPr>
        <w:t xml:space="preserve">. </w:t>
      </w:r>
    </w:p>
    <w:p w14:paraId="55595303" w14:textId="276A4BDA" w:rsidR="001A2A93" w:rsidRDefault="001A2A93" w:rsidP="001A2A93">
      <w:r w:rsidRPr="001A2A93">
        <w:t xml:space="preserve">As a result, leadership plays a crucial role in adopting GPA's principles into the working environment. Employees are more inclined to offer suggestions when managers welcome challenges, promote experimentation, and view failed attempts as learning curves. Despite the organisation's dedication to empowerment, individuals may become risk-averse if failure is associated with blame or if decision-making remains hierarchical. </w:t>
      </w:r>
      <w:r w:rsidRPr="00532758">
        <w:rPr>
          <w:color w:val="000000" w:themeColor="text1"/>
        </w:rPr>
        <w:t xml:space="preserve">Amabile et al. (2004) </w:t>
      </w:r>
      <w:r w:rsidRPr="001A2A93">
        <w:t xml:space="preserve">and </w:t>
      </w:r>
      <w:r w:rsidRPr="00AC588C">
        <w:rPr>
          <w:color w:val="000000" w:themeColor="text1"/>
        </w:rPr>
        <w:t xml:space="preserve">Oldham and Cummings (1996) </w:t>
      </w:r>
      <w:r w:rsidRPr="001A2A93">
        <w:t>both highlight the significance of supportive leadership in fostering an environment that encourages employee creativity.</w:t>
      </w:r>
    </w:p>
    <w:p w14:paraId="2F6F3E7D" w14:textId="77777777" w:rsidR="001A2A93" w:rsidRDefault="001A2A93" w:rsidP="001A2A93"/>
    <w:p w14:paraId="1F96BBCC" w14:textId="36F7821A" w:rsidR="001A2A93" w:rsidRDefault="001A2A93" w:rsidP="001A2A93">
      <w:pPr>
        <w:pStyle w:val="Heading2"/>
      </w:pPr>
      <w:bookmarkStart w:id="23" w:name="_Toc238908766"/>
      <w:r w:rsidRPr="00363596">
        <w:t xml:space="preserve">Creativity, </w:t>
      </w:r>
      <w:r w:rsidR="00030173" w:rsidRPr="00363596">
        <w:t>governance,</w:t>
      </w:r>
      <w:r w:rsidRPr="00363596">
        <w:t xml:space="preserve"> and risk</w:t>
      </w:r>
      <w:bookmarkEnd w:id="23"/>
    </w:p>
    <w:p w14:paraId="475AD47C" w14:textId="7BAF41EC" w:rsidR="00131141" w:rsidRDefault="00131141" w:rsidP="00131141">
      <w:r w:rsidRPr="00131141">
        <w:t>In GPA's setting, the connection between creativity and governance is especially important; while public-sector companies must uphold proper governance, assurance, and responsibility, creativity necessitates experimentation and a tolerance for uncertainty. These regulations are essential for the proper management of public resources, as overly stringent regulations may deter staff members from thinking of </w:t>
      </w:r>
      <w:r w:rsidR="00030173" w:rsidRPr="00131141">
        <w:t>innovative ideas</w:t>
      </w:r>
      <w:r w:rsidRPr="00131141">
        <w:t xml:space="preserve">. </w:t>
      </w:r>
      <w:r w:rsidR="00FC603B" w:rsidRPr="00FC603B">
        <w:t>Contextual variables can either promote or hinder creativity (Shalley et al., 2004).</w:t>
      </w:r>
      <w:r w:rsidRPr="00131141">
        <w:br/>
      </w:r>
      <w:r w:rsidRPr="00131141">
        <w:br/>
        <w:t xml:space="preserve">GPA's objective is to make governance appropriate with the degree of risk and uncertainty involved rather than to eliminate it. Individuals must understand which risks can be investigated safely, and which require official assurance. In this situation, proportionate governance may foster creativity by offering enough assurance to explore ideas while maintaining responsibility. Therefore, the question is whether governance </w:t>
      </w:r>
      <w:r>
        <w:t>provides sufficient flexibility for responsible experimentation,</w:t>
      </w:r>
      <w:r w:rsidRPr="00131141">
        <w:t xml:space="preserve"> rather than whether it should exist at all.</w:t>
      </w:r>
    </w:p>
    <w:p w14:paraId="090D5962" w14:textId="77777777" w:rsidR="00131141" w:rsidRPr="00131141" w:rsidRDefault="00131141" w:rsidP="00131141"/>
    <w:p w14:paraId="19669A8F" w14:textId="77777777" w:rsidR="00131141" w:rsidRPr="00363596" w:rsidRDefault="00131141" w:rsidP="00131141">
      <w:pPr>
        <w:pStyle w:val="Heading2"/>
      </w:pPr>
      <w:bookmarkStart w:id="24" w:name="_Toc238908767"/>
      <w:r>
        <w:t>Summary</w:t>
      </w:r>
      <w:bookmarkEnd w:id="24"/>
    </w:p>
    <w:p w14:paraId="0628D211" w14:textId="50250BFD" w:rsidR="00A56392" w:rsidRPr="00A56392" w:rsidRDefault="00A56392" w:rsidP="00A56392">
      <w:r w:rsidRPr="00A56392">
        <w:t xml:space="preserve">GPA demonstrates a strong, though conditional, ability to harness creativity and cultivate a creative culture. According to </w:t>
      </w:r>
      <w:r w:rsidRPr="00532758">
        <w:rPr>
          <w:color w:val="000000" w:themeColor="text1"/>
        </w:rPr>
        <w:t xml:space="preserve">Amabile's (1983) </w:t>
      </w:r>
      <w:r w:rsidRPr="00A56392">
        <w:t xml:space="preserve">Componential Theory, GPA has significant foundations, as it emphasises empowerment, learning opportunities, and specialised </w:t>
      </w:r>
      <w:r w:rsidRPr="00A56392">
        <w:lastRenderedPageBreak/>
        <w:t>knowledge. While Six Thinking Hats is a useful method for promoting diverse viewpoints and constructive challenge, divergent and convergent thinking emphasise the importance of giving employees space to generate alternative ideas before applying sound judgement.</w:t>
      </w:r>
      <w:r w:rsidRPr="00A56392">
        <w:br/>
      </w:r>
      <w:r w:rsidRPr="00A56392">
        <w:br/>
        <w:t>However, these strategies are not viable unless the larger organisational environment supports them. If individuals are to contribute creatively, they need supportive leadership, psychological safety, autonomy, and an organisational culture that allows challenge. As GPA operates in the public sector</w:t>
      </w:r>
      <w:r>
        <w:t>,</w:t>
      </w:r>
      <w:r w:rsidRPr="00A56392">
        <w:t xml:space="preserve"> experimentation must also adhere to adequate accountability and governance. The challenge is not to eliminate governance, but to ensure that it is appropriate to the risks involved and does not hinder exploration.</w:t>
      </w:r>
      <w:r w:rsidRPr="00A56392">
        <w:br/>
      </w:r>
      <w:r w:rsidRPr="00A56392">
        <w:br/>
        <w:t xml:space="preserve">GPA is well positioned to leverage creativity, but its effectiveness depends on how well people, leadership, culture, and creative-thinking processes align. When teams can </w:t>
      </w:r>
      <w:r w:rsidR="00030173" w:rsidRPr="00A56392">
        <w:t>evaluate</w:t>
      </w:r>
      <w:r w:rsidRPr="00A56392">
        <w:t xml:space="preserve"> and assess options, employees have the knowledge, drive, and self-assurance to generate ideas, and governance provides the structure to transform viable suggestions into responsible innovation, thereby producing the most value for the organisation.</w:t>
      </w:r>
    </w:p>
    <w:p w14:paraId="5B8BCBE8" w14:textId="77777777" w:rsidR="001A2A93" w:rsidRPr="001A2A93" w:rsidRDefault="001A2A93" w:rsidP="001A2A93"/>
    <w:p w14:paraId="75202D24" w14:textId="77777777" w:rsidR="00A56392" w:rsidRDefault="00A56392" w:rsidP="00A56392">
      <w:pPr>
        <w:pStyle w:val="Heading1"/>
      </w:pPr>
      <w:bookmarkStart w:id="25" w:name="_Toc238908768"/>
      <w:r w:rsidRPr="00363596">
        <w:t>Conclusion</w:t>
      </w:r>
      <w:bookmarkEnd w:id="25"/>
    </w:p>
    <w:p w14:paraId="5FCD1268" w14:textId="0BA54C7E" w:rsidR="00A56392" w:rsidRDefault="00A56392" w:rsidP="00A56392">
      <w:r w:rsidRPr="00A56392">
        <w:t>The ability of GPA to oversee innovation and foster an environment where creativity adds value to an organisation has been assessed in this report. The Stage-Gate model and Innovation Pipeline offer helpful frameworks for generating, evaluating, developing, and implementing ideas, as Part 1 demonstrated. However, the degree of structure and governance must be adjusted to the risk, uncertainty, and complexity of individual innovations to be effective in GPA's public-sector environment.</w:t>
      </w:r>
      <w:r w:rsidRPr="00A56392">
        <w:br/>
      </w:r>
      <w:r w:rsidRPr="00A56392">
        <w:br/>
        <w:t>Effective innovation also depends on the people and culture that surround these processes, as Part 2 revealed. Divergent and convergent thinking, Amabile's (1983) Componential Theory, and the Six Thinking Hats emphasise the significance of knowledge, drive, innovative thinking, various viewpoints, and suitable assessment. Additionally, the study showed that organisational culture, psychological safety, and leadership all affect employees' willingness to question conventional wisdom and offer original ideas.</w:t>
      </w:r>
    </w:p>
    <w:p w14:paraId="01215EDE" w14:textId="7236E993" w:rsidR="005F6353" w:rsidRDefault="0052264D" w:rsidP="00A12B70">
      <w:r w:rsidRPr="0052264D">
        <w:t xml:space="preserve">GPA has a </w:t>
      </w:r>
      <w:r w:rsidR="001A02C9">
        <w:t xml:space="preserve">solid </w:t>
      </w:r>
      <w:r w:rsidRPr="0052264D">
        <w:t xml:space="preserve">basis for innovation, bolstered by specialised knowledge, teamwork, empowerment, and institutional methods of managing innovation. However, maintaining the right balance between organisational control and creative freedom is necessary for these capabilities to fully realise their potential. </w:t>
      </w:r>
    </w:p>
    <w:p w14:paraId="3AB3C872" w14:textId="78411E0C" w:rsidR="00A57E8A" w:rsidRDefault="0052264D" w:rsidP="00A12B70">
      <w:r w:rsidRPr="0052264D">
        <w:t>The main discovery is that GPA's innovation is not reliant on any one framework or method of creative thinking. It is an organisational skill that requires effective interactions among people, culture, leadership, and procedures. While proportionate governance provides the framework to assess risk and translate promising ideas into responsible, sustainable innovation, GPA is best positioned to innovate when individuals are empowered and psychologically safe to produce and criticise ideas.</w:t>
      </w:r>
    </w:p>
    <w:p w14:paraId="2530D8C4" w14:textId="77777777" w:rsidR="00DA2BB9" w:rsidRPr="00A12B70" w:rsidRDefault="00DA2BB9" w:rsidP="00A12B70"/>
    <w:p w14:paraId="354F21F5" w14:textId="38727185" w:rsidR="00532758" w:rsidRPr="00532758" w:rsidRDefault="00334D55" w:rsidP="00532758">
      <w:pPr>
        <w:pStyle w:val="Heading1"/>
      </w:pPr>
      <w:bookmarkStart w:id="26" w:name="_Toc238908769"/>
      <w:r w:rsidRPr="00334D55">
        <w:lastRenderedPageBreak/>
        <w:t>References</w:t>
      </w:r>
      <w:bookmarkEnd w:id="26"/>
    </w:p>
    <w:p w14:paraId="29DFD6EF" w14:textId="03E1DD0F" w:rsidR="00334D55" w:rsidRDefault="001A02C9" w:rsidP="00334D55">
      <w:pPr>
        <w:rPr>
          <w:color w:val="000000" w:themeColor="text1"/>
        </w:rPr>
      </w:pPr>
      <w:r w:rsidRPr="001A02C9">
        <w:rPr>
          <w:color w:val="000000" w:themeColor="text1"/>
        </w:rPr>
        <w:t xml:space="preserve">Amabile, T. M. (1983). The social psychology of creativity: A componential conceptualization. </w:t>
      </w:r>
      <w:r w:rsidRPr="001A02C9">
        <w:rPr>
          <w:i/>
          <w:iCs/>
          <w:color w:val="000000" w:themeColor="text1"/>
        </w:rPr>
        <w:t>Journal of Personality and Social Psychology, 45</w:t>
      </w:r>
      <w:r w:rsidRPr="001A02C9">
        <w:rPr>
          <w:color w:val="000000" w:themeColor="text1"/>
        </w:rPr>
        <w:t xml:space="preserve">(2), 357–376. </w:t>
      </w:r>
    </w:p>
    <w:p w14:paraId="64C77310" w14:textId="37E474A2" w:rsidR="00AC588C" w:rsidRPr="00532758" w:rsidRDefault="00334D55" w:rsidP="00334D55">
      <w:r w:rsidRPr="00334D55">
        <w:rPr>
          <w:color w:val="000000" w:themeColor="text1"/>
        </w:rPr>
        <w:t xml:space="preserve">Amabile, T. M., Conti, R., Coon, H., Lazenby, J., &amp; Herron, M. (1996). Assessing the work environment for creativity. </w:t>
      </w:r>
      <w:r w:rsidRPr="00334D55">
        <w:rPr>
          <w:i/>
          <w:iCs/>
          <w:color w:val="000000" w:themeColor="text1"/>
        </w:rPr>
        <w:t>Academy of Management Journal, 39</w:t>
      </w:r>
      <w:r w:rsidRPr="00334D55">
        <w:rPr>
          <w:color w:val="000000" w:themeColor="text1"/>
        </w:rPr>
        <w:t xml:space="preserve">(5), 1154–1184. </w:t>
      </w:r>
      <w:hyperlink r:id="rId8" w:history="1">
        <w:r w:rsidR="00AC588C" w:rsidRPr="00AC588C">
          <w:rPr>
            <w:rStyle w:val="Hyperlink"/>
          </w:rPr>
          <w:t>Assessing the Work Environment for Creativity | JSTOR</w:t>
        </w:r>
      </w:hyperlink>
    </w:p>
    <w:p w14:paraId="47DBB960" w14:textId="65FB70C0" w:rsidR="00AC588C" w:rsidRDefault="00334D55" w:rsidP="00334D55">
      <w:r w:rsidRPr="00334D55">
        <w:rPr>
          <w:color w:val="000000" w:themeColor="text1"/>
        </w:rPr>
        <w:t xml:space="preserve">Amabile, T. M., Schatzel, E. A., Moneta, G. B., &amp; Kramer, S. J. (2004). Leader </w:t>
      </w:r>
      <w:r w:rsidR="00AE2CE9">
        <w:rPr>
          <w:color w:val="000000" w:themeColor="text1"/>
        </w:rPr>
        <w:t>behaviours</w:t>
      </w:r>
      <w:r w:rsidRPr="00334D55">
        <w:rPr>
          <w:color w:val="000000" w:themeColor="text1"/>
        </w:rPr>
        <w:t xml:space="preserve"> and the work environment for creativity: Perceived leader support. </w:t>
      </w:r>
      <w:r w:rsidRPr="00334D55">
        <w:rPr>
          <w:i/>
          <w:iCs/>
          <w:color w:val="000000" w:themeColor="text1"/>
        </w:rPr>
        <w:t>The Leadership Quarterly, 15</w:t>
      </w:r>
      <w:r w:rsidRPr="00334D55">
        <w:rPr>
          <w:color w:val="000000" w:themeColor="text1"/>
        </w:rPr>
        <w:t xml:space="preserve">(1), 5–32. </w:t>
      </w:r>
      <w:hyperlink r:id="rId9" w:history="1">
        <w:r w:rsidR="00AC588C" w:rsidRPr="00AC588C">
          <w:rPr>
            <w:rStyle w:val="Hyperlink"/>
          </w:rPr>
          <w:t>Leader behaviors and the work environment for creativity: Perceived leader support - ScienceDirect</w:t>
        </w:r>
      </w:hyperlink>
    </w:p>
    <w:p w14:paraId="022AE2DB" w14:textId="358D7CF2" w:rsidR="00AC588C" w:rsidRPr="00AC588C" w:rsidRDefault="00AC588C" w:rsidP="00334D55">
      <w:pPr>
        <w:rPr>
          <w:color w:val="000000" w:themeColor="text1"/>
        </w:rPr>
      </w:pPr>
      <w:r w:rsidRPr="00AC588C">
        <w:rPr>
          <w:color w:val="000000" w:themeColor="text1"/>
        </w:rPr>
        <w:t xml:space="preserve">Anderson, N. R., &amp; West, M. A. (1998). Measuring climate for work group innovation: Development and validation of the Team Climate Inventory. </w:t>
      </w:r>
      <w:r w:rsidRPr="00AC588C">
        <w:rPr>
          <w:i/>
          <w:iCs/>
          <w:color w:val="000000" w:themeColor="text1"/>
        </w:rPr>
        <w:t>Journal of Organizational Behavior, 19</w:t>
      </w:r>
      <w:r w:rsidRPr="00AC588C">
        <w:rPr>
          <w:color w:val="000000" w:themeColor="text1"/>
        </w:rPr>
        <w:t xml:space="preserve">(3), 235–258. </w:t>
      </w:r>
    </w:p>
    <w:p w14:paraId="410AA4E8" w14:textId="0EF294E1" w:rsidR="00AC588C" w:rsidRPr="00334D55" w:rsidRDefault="00532758" w:rsidP="00334D55">
      <w:pPr>
        <w:rPr>
          <w:color w:val="000000" w:themeColor="text1"/>
        </w:rPr>
      </w:pPr>
      <w:r w:rsidRPr="00532758">
        <w:rPr>
          <w:color w:val="000000" w:themeColor="text1"/>
        </w:rPr>
        <w:t xml:space="preserve">Anderson, N., Potočnik, K., &amp; Zhou, J. (2014). Innovation and creativity in organizations: A state-of-the-science review, prospective commentary, and guiding framework. </w:t>
      </w:r>
      <w:r w:rsidRPr="00532758">
        <w:rPr>
          <w:i/>
          <w:iCs/>
          <w:color w:val="000000" w:themeColor="text1"/>
        </w:rPr>
        <w:t>Journal of Management, 40</w:t>
      </w:r>
      <w:r w:rsidRPr="00532758">
        <w:rPr>
          <w:color w:val="000000" w:themeColor="text1"/>
        </w:rPr>
        <w:t xml:space="preserve">(5), 1297–1333. </w:t>
      </w:r>
    </w:p>
    <w:p w14:paraId="6476B6FF" w14:textId="18B81136" w:rsidR="00334D55" w:rsidRPr="00334D55" w:rsidRDefault="00334D55" w:rsidP="00334D55">
      <w:pPr>
        <w:rPr>
          <w:color w:val="000000" w:themeColor="text1"/>
        </w:rPr>
      </w:pPr>
      <w:r w:rsidRPr="00334D55">
        <w:rPr>
          <w:color w:val="000000" w:themeColor="text1"/>
        </w:rPr>
        <w:t xml:space="preserve">Cinar, E., Trott, P., &amp; Simms, C. (2019). A systematic review of barriers to public sector innovation process. </w:t>
      </w:r>
      <w:r w:rsidRPr="00334D55">
        <w:rPr>
          <w:i/>
          <w:iCs/>
          <w:color w:val="000000" w:themeColor="text1"/>
        </w:rPr>
        <w:t>Public Management Review, 21</w:t>
      </w:r>
      <w:r w:rsidRPr="00334D55">
        <w:rPr>
          <w:color w:val="000000" w:themeColor="text1"/>
        </w:rPr>
        <w:t xml:space="preserve">(2), 264–290. </w:t>
      </w:r>
    </w:p>
    <w:p w14:paraId="39573658" w14:textId="77777777" w:rsidR="00334D55" w:rsidRDefault="00334D55" w:rsidP="00334D55">
      <w:pPr>
        <w:rPr>
          <w:color w:val="000000" w:themeColor="text1"/>
        </w:rPr>
      </w:pPr>
      <w:r w:rsidRPr="00334D55">
        <w:rPr>
          <w:color w:val="000000" w:themeColor="text1"/>
        </w:rPr>
        <w:t xml:space="preserve">Cinar, E., Trott, P., &amp; Simms, C. (2021). An international exploration of barriers and tactics in the public sector innovation process. </w:t>
      </w:r>
      <w:r w:rsidRPr="00334D55">
        <w:rPr>
          <w:i/>
          <w:iCs/>
          <w:color w:val="000000" w:themeColor="text1"/>
        </w:rPr>
        <w:t>Public Management Review, 23</w:t>
      </w:r>
      <w:r w:rsidRPr="00334D55">
        <w:rPr>
          <w:color w:val="000000" w:themeColor="text1"/>
        </w:rPr>
        <w:t xml:space="preserve">(3), 326–353. </w:t>
      </w:r>
      <w:hyperlink r:id="rId10" w:tgtFrame="_new" w:history="1">
        <w:r w:rsidRPr="00334D55">
          <w:rPr>
            <w:rStyle w:val="Hyperlink"/>
            <w:color w:val="000000" w:themeColor="text1"/>
          </w:rPr>
          <w:t>https://doi.org/10.1080/14719037.2019.1668470</w:t>
        </w:r>
      </w:hyperlink>
    </w:p>
    <w:p w14:paraId="57906B3F" w14:textId="4BF49858" w:rsidR="00334D55" w:rsidRPr="00334D55" w:rsidRDefault="00334D55" w:rsidP="00334D55">
      <w:pPr>
        <w:rPr>
          <w:color w:val="000000" w:themeColor="text1"/>
        </w:rPr>
      </w:pPr>
      <w:r w:rsidRPr="00334D55">
        <w:rPr>
          <w:color w:val="000000" w:themeColor="text1"/>
        </w:rPr>
        <w:t xml:space="preserve">Cooper, R. G. (1994). Third-generation new product processes. </w:t>
      </w:r>
      <w:r w:rsidRPr="00334D55">
        <w:rPr>
          <w:i/>
          <w:iCs/>
          <w:color w:val="000000" w:themeColor="text1"/>
        </w:rPr>
        <w:t>Journal of Product Innovation Management, 11</w:t>
      </w:r>
      <w:r w:rsidRPr="00334D55">
        <w:rPr>
          <w:color w:val="000000" w:themeColor="text1"/>
        </w:rPr>
        <w:t xml:space="preserve">(1), 3–14. </w:t>
      </w:r>
      <w:hyperlink r:id="rId11" w:history="1">
        <w:r w:rsidR="00AC588C" w:rsidRPr="00AC588C">
          <w:rPr>
            <w:rStyle w:val="Hyperlink"/>
          </w:rPr>
          <w:t>Third</w:t>
        </w:r>
        <w:r w:rsidR="00AC588C" w:rsidRPr="00AC588C">
          <w:rPr>
            <w:rStyle w:val="Hyperlink"/>
            <w:rFonts w:ascii="Cambria Math" w:hAnsi="Cambria Math" w:cs="Cambria Math"/>
          </w:rPr>
          <w:t>‐</w:t>
        </w:r>
        <w:r w:rsidR="00AC588C" w:rsidRPr="00AC588C">
          <w:rPr>
            <w:rStyle w:val="Hyperlink"/>
          </w:rPr>
          <w:t>Generation New Product Processes - Cooper - 1994 - Journal of Product Innovation Management - Wiley Online Library</w:t>
        </w:r>
      </w:hyperlink>
    </w:p>
    <w:p w14:paraId="5A6F3497" w14:textId="77777777" w:rsidR="00334D55" w:rsidRPr="00334D55" w:rsidRDefault="00334D55" w:rsidP="00334D55">
      <w:pPr>
        <w:rPr>
          <w:color w:val="000000" w:themeColor="text1"/>
        </w:rPr>
      </w:pPr>
      <w:r w:rsidRPr="00334D55">
        <w:rPr>
          <w:color w:val="000000" w:themeColor="text1"/>
        </w:rPr>
        <w:t xml:space="preserve">Cooper, R. G. (2008). Perspective: The Stage-Gate® idea-to-launch process—Update, what's new, and NexGen systems. </w:t>
      </w:r>
      <w:r w:rsidRPr="00334D55">
        <w:rPr>
          <w:i/>
          <w:iCs/>
          <w:color w:val="000000" w:themeColor="text1"/>
        </w:rPr>
        <w:t>Journal of Product Innovation Management, 25</w:t>
      </w:r>
      <w:r w:rsidRPr="00334D55">
        <w:rPr>
          <w:color w:val="000000" w:themeColor="text1"/>
        </w:rPr>
        <w:t xml:space="preserve">(3), 213–232. </w:t>
      </w:r>
      <w:hyperlink r:id="rId12" w:tgtFrame="_new" w:history="1">
        <w:r w:rsidRPr="00334D55">
          <w:rPr>
            <w:rStyle w:val="Hyperlink"/>
            <w:color w:val="000000" w:themeColor="text1"/>
          </w:rPr>
          <w:t>https://doi.org/10.1111/j.1540-5885.2008.00296.x</w:t>
        </w:r>
      </w:hyperlink>
    </w:p>
    <w:p w14:paraId="7741637D" w14:textId="6879158A" w:rsidR="00334D55" w:rsidRDefault="00334D55" w:rsidP="00334D55">
      <w:pPr>
        <w:rPr>
          <w:color w:val="000000" w:themeColor="text1"/>
        </w:rPr>
      </w:pPr>
      <w:r w:rsidRPr="00DA0615">
        <w:t xml:space="preserve">Cooper, R. G., &amp; Sommer, A. F. (2016). The Agile–Stage-Gate hybrid model: A promising new approach and a new research opportunity. </w:t>
      </w:r>
      <w:r w:rsidRPr="00DA0615">
        <w:rPr>
          <w:i/>
          <w:iCs/>
        </w:rPr>
        <w:t>Journal of Product Innovation Management, 33</w:t>
      </w:r>
      <w:r w:rsidRPr="00DA0615">
        <w:t>(5), 513–</w:t>
      </w:r>
      <w:r w:rsidRPr="00334D55">
        <w:rPr>
          <w:color w:val="000000" w:themeColor="text1"/>
        </w:rPr>
        <w:t>526.</w:t>
      </w:r>
    </w:p>
    <w:p w14:paraId="5088F5DA" w14:textId="611AC04B" w:rsidR="00492A03" w:rsidRDefault="00492A03" w:rsidP="00334D55">
      <w:pPr>
        <w:rPr>
          <w:color w:val="000000" w:themeColor="text1"/>
        </w:rPr>
      </w:pPr>
      <w:r w:rsidRPr="00492A03">
        <w:rPr>
          <w:color w:val="000000" w:themeColor="text1"/>
        </w:rPr>
        <w:t xml:space="preserve">de Bono, E. (1985). </w:t>
      </w:r>
      <w:r w:rsidRPr="00492A03">
        <w:rPr>
          <w:i/>
          <w:iCs/>
          <w:color w:val="000000" w:themeColor="text1"/>
        </w:rPr>
        <w:t>Six thinking hats</w:t>
      </w:r>
      <w:r w:rsidRPr="00492A03">
        <w:rPr>
          <w:color w:val="000000" w:themeColor="text1"/>
        </w:rPr>
        <w:t>. Little, Brown and Company.</w:t>
      </w:r>
    </w:p>
    <w:p w14:paraId="52FF4911" w14:textId="0580C94A" w:rsidR="00334D55" w:rsidRDefault="00334D55" w:rsidP="00334D55">
      <w:pPr>
        <w:rPr>
          <w:color w:val="000000" w:themeColor="text1"/>
        </w:rPr>
      </w:pPr>
      <w:r w:rsidRPr="00334D55">
        <w:rPr>
          <w:color w:val="000000" w:themeColor="text1"/>
        </w:rPr>
        <w:t xml:space="preserve">De Broe, S., ten Bosch, O., Daas, P., Buiten, G., &amp; Laevens, B. (2021). The need for timely official statistics: The COVID-19 pandemic as a driver for innovation. </w:t>
      </w:r>
      <w:r w:rsidRPr="00334D55">
        <w:rPr>
          <w:i/>
          <w:iCs/>
          <w:color w:val="000000" w:themeColor="text1"/>
        </w:rPr>
        <w:t>Statistical Journal of the IAOS, 37</w:t>
      </w:r>
      <w:r w:rsidRPr="00334D55">
        <w:rPr>
          <w:color w:val="000000" w:themeColor="text1"/>
        </w:rPr>
        <w:t xml:space="preserve">(4), 1239–1248. </w:t>
      </w:r>
      <w:hyperlink r:id="rId13" w:history="1">
        <w:r w:rsidR="00AC588C" w:rsidRPr="00AC588C">
          <w:rPr>
            <w:rStyle w:val="Hyperlink"/>
          </w:rPr>
          <w:t>The need for timely official statistics. The COVID-19 pandemic as a driver for innovation - Sofie De Broe, Olav ten Bosch, Piet Daas, Gert Buiten, Ben Laevens, Bert Kroese, 2021</w:t>
        </w:r>
      </w:hyperlink>
    </w:p>
    <w:p w14:paraId="66F7770C" w14:textId="3A57927E" w:rsidR="00334D55" w:rsidRDefault="00334D55" w:rsidP="00334D55">
      <w:r w:rsidRPr="00DA0615">
        <w:t xml:space="preserve">De Vries, H., Bekkers, V., &amp; Tummers, L. (2016). Innovation in the public sector: A systematic review and future research agenda. </w:t>
      </w:r>
      <w:r w:rsidRPr="00DA0615">
        <w:rPr>
          <w:i/>
          <w:iCs/>
        </w:rPr>
        <w:t>Public Administration, 94</w:t>
      </w:r>
      <w:r w:rsidRPr="00DA0615">
        <w:t xml:space="preserve">(1), 146–166. </w:t>
      </w:r>
    </w:p>
    <w:p w14:paraId="4B45C50B" w14:textId="2DC2F092" w:rsidR="00AC588C" w:rsidRPr="00AC588C" w:rsidRDefault="00AC588C" w:rsidP="00334D55">
      <w:pPr>
        <w:rPr>
          <w:color w:val="000000" w:themeColor="text1"/>
        </w:rPr>
      </w:pPr>
      <w:r w:rsidRPr="00AC588C">
        <w:rPr>
          <w:color w:val="000000" w:themeColor="text1"/>
        </w:rPr>
        <w:lastRenderedPageBreak/>
        <w:t xml:space="preserve">Edmondson, A. (1999). Psychological safety and learning behavior in work teams. </w:t>
      </w:r>
      <w:r w:rsidRPr="00AC588C">
        <w:rPr>
          <w:i/>
          <w:iCs/>
          <w:color w:val="000000" w:themeColor="text1"/>
        </w:rPr>
        <w:t>Administrative Science Quarterly, 44</w:t>
      </w:r>
      <w:r w:rsidRPr="00AC588C">
        <w:rPr>
          <w:color w:val="000000" w:themeColor="text1"/>
        </w:rPr>
        <w:t>(2), 350–383.</w:t>
      </w:r>
      <w:hyperlink r:id="rId14" w:history="1">
        <w:r w:rsidRPr="00AC588C">
          <w:rPr>
            <w:rStyle w:val="Hyperlink"/>
            <w:color w:val="000000" w:themeColor="text1"/>
          </w:rPr>
          <w:t>Psychological Safety and Learning Behavior in Work Teams - Amy Edmondson, 1999</w:t>
        </w:r>
      </w:hyperlink>
    </w:p>
    <w:p w14:paraId="5A0B2135" w14:textId="0B46C73C" w:rsidR="00215705" w:rsidRDefault="00215705" w:rsidP="00215705">
      <w:r w:rsidRPr="00DA0615">
        <w:t xml:space="preserve">Gjaltema, T. (2022). High-Level Group for the Modernisation of Official Statistics (HLG-MOS) of the United Nations Economic Commission for Europe. Statistical Journal of the IAOS, 38(3), 819–825. </w:t>
      </w:r>
      <w:hyperlink r:id="rId15" w:history="1">
        <w:r w:rsidRPr="004C3CE6">
          <w:rPr>
            <w:rStyle w:val="Hyperlink"/>
          </w:rPr>
          <w:t>https://doi.org/10.3233/SJI-220059</w:t>
        </w:r>
      </w:hyperlink>
    </w:p>
    <w:p w14:paraId="727AEE9D" w14:textId="192FC3E1" w:rsidR="000A449D" w:rsidRDefault="000A449D" w:rsidP="00215705">
      <w:pPr>
        <w:rPr>
          <w:color w:val="000000" w:themeColor="text1"/>
        </w:rPr>
      </w:pPr>
      <w:r w:rsidRPr="0009576F">
        <w:rPr>
          <w:color w:val="000000" w:themeColor="text1"/>
        </w:rPr>
        <w:t xml:space="preserve">Government Property Agency. (2024). </w:t>
      </w:r>
      <w:r w:rsidRPr="0009576F">
        <w:rPr>
          <w:i/>
          <w:iCs/>
          <w:color w:val="000000" w:themeColor="text1"/>
        </w:rPr>
        <w:t>How technology enhances the customer experience</w:t>
      </w:r>
      <w:r w:rsidRPr="0009576F">
        <w:rPr>
          <w:color w:val="000000" w:themeColor="text1"/>
        </w:rPr>
        <w:t xml:space="preserve">. </w:t>
      </w:r>
      <w:hyperlink r:id="rId16" w:history="1">
        <w:r w:rsidRPr="0009576F">
          <w:rPr>
            <w:rStyle w:val="Hyperlink"/>
            <w:color w:val="000000" w:themeColor="text1"/>
          </w:rPr>
          <w:t>How technology enhances the customer experience - The Government Property Agency</w:t>
        </w:r>
      </w:hyperlink>
    </w:p>
    <w:p w14:paraId="488BBFDF" w14:textId="0C249AA8" w:rsidR="0009576F" w:rsidRPr="0009576F" w:rsidRDefault="0009576F" w:rsidP="00215705">
      <w:pPr>
        <w:rPr>
          <w:color w:val="000000" w:themeColor="text1"/>
        </w:rPr>
      </w:pPr>
      <w:r w:rsidRPr="0009576F">
        <w:rPr>
          <w:color w:val="000000" w:themeColor="text1"/>
        </w:rPr>
        <w:t xml:space="preserve">Government Property Agency. (2026a). </w:t>
      </w:r>
      <w:r w:rsidRPr="0009576F">
        <w:rPr>
          <w:i/>
          <w:iCs/>
          <w:color w:val="000000" w:themeColor="text1"/>
        </w:rPr>
        <w:t>Careers</w:t>
      </w:r>
      <w:r w:rsidRPr="0009576F">
        <w:rPr>
          <w:color w:val="000000" w:themeColor="text1"/>
        </w:rPr>
        <w:t xml:space="preserve">. </w:t>
      </w:r>
      <w:hyperlink r:id="rId17" w:history="1">
        <w:r w:rsidRPr="0009576F">
          <w:rPr>
            <w:rStyle w:val="Hyperlink"/>
            <w:color w:val="000000" w:themeColor="text1"/>
          </w:rPr>
          <w:t>https://www1.gpa.gov.uk/careers/</w:t>
        </w:r>
      </w:hyperlink>
    </w:p>
    <w:p w14:paraId="0E2EC181" w14:textId="309765CD" w:rsidR="00595115" w:rsidRDefault="00595115" w:rsidP="00215705">
      <w:pPr>
        <w:rPr>
          <w:color w:val="000000" w:themeColor="text1"/>
        </w:rPr>
      </w:pPr>
      <w:r w:rsidRPr="0009576F">
        <w:rPr>
          <w:color w:val="000000" w:themeColor="text1"/>
        </w:rPr>
        <w:t>Government Property Agency. (2026</w:t>
      </w:r>
      <w:r w:rsidR="0009576F" w:rsidRPr="0009576F">
        <w:rPr>
          <w:color w:val="000000" w:themeColor="text1"/>
        </w:rPr>
        <w:t>b</w:t>
      </w:r>
      <w:r w:rsidRPr="0009576F">
        <w:rPr>
          <w:color w:val="000000" w:themeColor="text1"/>
        </w:rPr>
        <w:t xml:space="preserve">). </w:t>
      </w:r>
      <w:r w:rsidRPr="0009576F">
        <w:rPr>
          <w:i/>
          <w:iCs/>
          <w:color w:val="000000" w:themeColor="text1"/>
        </w:rPr>
        <w:t>GovPass</w:t>
      </w:r>
      <w:r w:rsidRPr="0009576F">
        <w:rPr>
          <w:color w:val="000000" w:themeColor="text1"/>
        </w:rPr>
        <w:t xml:space="preserve">. </w:t>
      </w:r>
      <w:hyperlink r:id="rId18" w:history="1">
        <w:r w:rsidRPr="0009576F">
          <w:rPr>
            <w:rStyle w:val="Hyperlink"/>
            <w:color w:val="000000" w:themeColor="text1"/>
          </w:rPr>
          <w:t>GovPass - The Government Property Agency</w:t>
        </w:r>
      </w:hyperlink>
    </w:p>
    <w:p w14:paraId="399A7D6D" w14:textId="5B92B9BE" w:rsidR="0009576F" w:rsidRPr="0009576F" w:rsidRDefault="0009576F" w:rsidP="00215705">
      <w:pPr>
        <w:rPr>
          <w:color w:val="000000" w:themeColor="text1"/>
        </w:rPr>
      </w:pPr>
      <w:r w:rsidRPr="0009576F">
        <w:rPr>
          <w:color w:val="000000" w:themeColor="text1"/>
        </w:rPr>
        <w:t>Government Property Agency. (2026</w:t>
      </w:r>
      <w:r w:rsidRPr="0009576F">
        <w:rPr>
          <w:color w:val="000000" w:themeColor="text1"/>
        </w:rPr>
        <w:t>c</w:t>
      </w:r>
      <w:r w:rsidRPr="0009576F">
        <w:rPr>
          <w:color w:val="000000" w:themeColor="text1"/>
        </w:rPr>
        <w:t xml:space="preserve">). </w:t>
      </w:r>
      <w:r w:rsidRPr="0009576F">
        <w:rPr>
          <w:i/>
          <w:iCs/>
          <w:color w:val="000000" w:themeColor="text1"/>
        </w:rPr>
        <w:t>Partnership charter</w:t>
      </w:r>
      <w:r w:rsidRPr="0009576F">
        <w:rPr>
          <w:color w:val="000000" w:themeColor="text1"/>
        </w:rPr>
        <w:t xml:space="preserve">. </w:t>
      </w:r>
      <w:hyperlink r:id="rId19" w:history="1">
        <w:r w:rsidRPr="0009576F">
          <w:rPr>
            <w:rStyle w:val="Hyperlink"/>
            <w:color w:val="000000" w:themeColor="text1"/>
          </w:rPr>
          <w:t>https://gpa.gov.uk/departmental_partners/partnership-charter/</w:t>
        </w:r>
      </w:hyperlink>
    </w:p>
    <w:p w14:paraId="33710699" w14:textId="5EC8510E" w:rsidR="00595115" w:rsidRPr="0009576F" w:rsidRDefault="007F33D7" w:rsidP="00595115">
      <w:pPr>
        <w:rPr>
          <w:color w:val="000000" w:themeColor="text1"/>
        </w:rPr>
      </w:pPr>
      <w:r w:rsidRPr="0009576F">
        <w:rPr>
          <w:color w:val="000000" w:themeColor="text1"/>
        </w:rPr>
        <w:t>Government Property Agency. (2026</w:t>
      </w:r>
      <w:r w:rsidR="0009576F" w:rsidRPr="0009576F">
        <w:rPr>
          <w:color w:val="000000" w:themeColor="text1"/>
        </w:rPr>
        <w:t>d</w:t>
      </w:r>
      <w:r w:rsidRPr="0009576F">
        <w:rPr>
          <w:color w:val="000000" w:themeColor="text1"/>
        </w:rPr>
        <w:t xml:space="preserve">). </w:t>
      </w:r>
      <w:r w:rsidRPr="0009576F">
        <w:rPr>
          <w:i/>
          <w:iCs/>
          <w:color w:val="000000" w:themeColor="text1"/>
        </w:rPr>
        <w:t>Property technology services</w:t>
      </w:r>
      <w:r w:rsidRPr="0009576F">
        <w:rPr>
          <w:color w:val="000000" w:themeColor="text1"/>
        </w:rPr>
        <w:t xml:space="preserve">. </w:t>
      </w:r>
      <w:hyperlink r:id="rId20" w:history="1">
        <w:r w:rsidRPr="0009576F">
          <w:rPr>
            <w:rStyle w:val="Hyperlink"/>
            <w:color w:val="000000" w:themeColor="text1"/>
          </w:rPr>
          <w:t>Property Technology Services - Government Property Agency</w:t>
        </w:r>
      </w:hyperlink>
    </w:p>
    <w:p w14:paraId="211395C3" w14:textId="0B46222E" w:rsidR="00ED0BD9" w:rsidRPr="00AD2E4A" w:rsidRDefault="00595115" w:rsidP="00215705">
      <w:pPr>
        <w:rPr>
          <w:color w:val="000000" w:themeColor="text1"/>
        </w:rPr>
      </w:pPr>
      <w:r w:rsidRPr="0009576F">
        <w:rPr>
          <w:color w:val="000000" w:themeColor="text1"/>
        </w:rPr>
        <w:t>Government Property Agency. (2026</w:t>
      </w:r>
      <w:r w:rsidR="0009576F" w:rsidRPr="0009576F">
        <w:rPr>
          <w:color w:val="000000" w:themeColor="text1"/>
        </w:rPr>
        <w:t>e</w:t>
      </w:r>
      <w:r w:rsidRPr="0009576F">
        <w:rPr>
          <w:color w:val="000000" w:themeColor="text1"/>
        </w:rPr>
        <w:t xml:space="preserve">). </w:t>
      </w:r>
      <w:r w:rsidRPr="0009576F">
        <w:rPr>
          <w:i/>
          <w:iCs/>
          <w:color w:val="000000" w:themeColor="text1"/>
        </w:rPr>
        <w:t>Public service transformation</w:t>
      </w:r>
      <w:r w:rsidRPr="0009576F">
        <w:rPr>
          <w:color w:val="000000" w:themeColor="text1"/>
        </w:rPr>
        <w:t xml:space="preserve">. </w:t>
      </w:r>
      <w:hyperlink r:id="rId21" w:history="1">
        <w:r w:rsidRPr="0009576F">
          <w:rPr>
            <w:rStyle w:val="Hyperlink"/>
            <w:color w:val="000000" w:themeColor="text1"/>
          </w:rPr>
          <w:t>Transforming The Civil Service - Government Property Agency</w:t>
        </w:r>
      </w:hyperlink>
    </w:p>
    <w:p w14:paraId="2295CA55" w14:textId="779AA8B3" w:rsidR="00AD2E4A" w:rsidRPr="007F33D7" w:rsidRDefault="00AD2E4A" w:rsidP="00215705">
      <w:pPr>
        <w:rPr>
          <w:color w:val="000000" w:themeColor="text1"/>
        </w:rPr>
      </w:pPr>
      <w:r w:rsidRPr="00AD2E4A">
        <w:rPr>
          <w:color w:val="000000" w:themeColor="text1"/>
        </w:rPr>
        <w:t xml:space="preserve">Martins, E. C., &amp; Terblanche, F. (2003). Building organisational culture that stimulates creativity and innovation. </w:t>
      </w:r>
      <w:r w:rsidRPr="00AD2E4A">
        <w:rPr>
          <w:i/>
          <w:iCs/>
          <w:color w:val="000000" w:themeColor="text1"/>
        </w:rPr>
        <w:t>European Journal of Innovation Management, 6</w:t>
      </w:r>
      <w:r w:rsidRPr="00AD2E4A">
        <w:rPr>
          <w:color w:val="000000" w:themeColor="text1"/>
        </w:rPr>
        <w:t xml:space="preserve">(1), 64–74. </w:t>
      </w:r>
      <w:hyperlink r:id="rId22" w:history="1">
        <w:r w:rsidRPr="00AD2E4A">
          <w:rPr>
            <w:rStyle w:val="Hyperlink"/>
            <w:color w:val="000000" w:themeColor="text1"/>
          </w:rPr>
          <w:t>Building organisational culture that stimulates creativity and innovation | European Journal of Innovation Management | Emerald Publishing</w:t>
        </w:r>
      </w:hyperlink>
    </w:p>
    <w:p w14:paraId="261CC565" w14:textId="083C2F92" w:rsidR="00215705" w:rsidRDefault="00215705" w:rsidP="00215705">
      <w:r w:rsidRPr="00DA0615">
        <w:t xml:space="preserve">McLean, L. D. (2005). Organizational culture's influence on creativity and innovation: A review of the literature and implications for human resource development. </w:t>
      </w:r>
      <w:r w:rsidRPr="00DA0615">
        <w:rPr>
          <w:i/>
          <w:iCs/>
        </w:rPr>
        <w:t>Advances in Developing Human Resources, 7</w:t>
      </w:r>
      <w:r w:rsidRPr="00DA0615">
        <w:t xml:space="preserve">(2), 226–246. </w:t>
      </w:r>
    </w:p>
    <w:p w14:paraId="7F21AA6B" w14:textId="77777777" w:rsidR="00215705" w:rsidRPr="00AC588C" w:rsidRDefault="00215705" w:rsidP="00215705">
      <w:pPr>
        <w:rPr>
          <w:color w:val="000000" w:themeColor="text1"/>
        </w:rPr>
      </w:pPr>
      <w:r w:rsidRPr="00DA0615">
        <w:t xml:space="preserve">Mu, R., &amp; Wang, H. (2022). A systematic literature review of open innovation in the public sector: Comparing barriers and governance strategies of digital and non-digital open innovation. </w:t>
      </w:r>
      <w:r w:rsidRPr="00DA0615">
        <w:rPr>
          <w:i/>
          <w:iCs/>
        </w:rPr>
        <w:t xml:space="preserve">Public </w:t>
      </w:r>
      <w:r w:rsidRPr="00AC588C">
        <w:rPr>
          <w:i/>
          <w:iCs/>
          <w:color w:val="000000" w:themeColor="text1"/>
        </w:rPr>
        <w:t>Management Review, 24</w:t>
      </w:r>
      <w:r w:rsidRPr="00AC588C">
        <w:rPr>
          <w:color w:val="000000" w:themeColor="text1"/>
        </w:rPr>
        <w:t xml:space="preserve">(4), 489–511. </w:t>
      </w:r>
      <w:hyperlink r:id="rId23" w:tgtFrame="_new" w:history="1">
        <w:r w:rsidRPr="00AC588C">
          <w:rPr>
            <w:rStyle w:val="Hyperlink"/>
            <w:color w:val="000000" w:themeColor="text1"/>
          </w:rPr>
          <w:t>https://doi.org/10.1080/14719037.2020.1838787</w:t>
        </w:r>
      </w:hyperlink>
    </w:p>
    <w:p w14:paraId="1F2F7794" w14:textId="77777777" w:rsidR="00AC588C" w:rsidRDefault="00AC588C" w:rsidP="00AC588C">
      <w:pPr>
        <w:rPr>
          <w:color w:val="000000" w:themeColor="text1"/>
        </w:rPr>
      </w:pPr>
      <w:r w:rsidRPr="00AC588C">
        <w:rPr>
          <w:color w:val="000000" w:themeColor="text1"/>
        </w:rPr>
        <w:t xml:space="preserve">Oldham, G. R., &amp; Cummings, A. (1996). Employee creativity: Personal and contextual factors at work. </w:t>
      </w:r>
      <w:r w:rsidRPr="00AC588C">
        <w:rPr>
          <w:i/>
          <w:iCs/>
          <w:color w:val="000000" w:themeColor="text1"/>
        </w:rPr>
        <w:t>Academy of Management Journal, 39</w:t>
      </w:r>
      <w:r w:rsidRPr="00AC588C">
        <w:rPr>
          <w:color w:val="000000" w:themeColor="text1"/>
        </w:rPr>
        <w:t xml:space="preserve">(3), 607–634. </w:t>
      </w:r>
      <w:hyperlink r:id="rId24" w:history="1">
        <w:r w:rsidRPr="00AC588C">
          <w:rPr>
            <w:rStyle w:val="Hyperlink"/>
            <w:color w:val="000000" w:themeColor="text1"/>
          </w:rPr>
          <w:t>Employee Creativity: Personal and Contextual Factors at Work | Academy of Management Journal</w:t>
        </w:r>
      </w:hyperlink>
    </w:p>
    <w:p w14:paraId="0D9F8D38" w14:textId="42B8644F" w:rsidR="00AD2E4A" w:rsidRDefault="00AD2E4A" w:rsidP="00AC588C">
      <w:pPr>
        <w:rPr>
          <w:color w:val="000000" w:themeColor="text1"/>
        </w:rPr>
      </w:pPr>
      <w:r w:rsidRPr="00AD2E4A">
        <w:rPr>
          <w:color w:val="000000" w:themeColor="text1"/>
        </w:rPr>
        <w:t xml:space="preserve">Ryan, R. M., &amp; Deci, E. L. (2000). Self-determination theory and the facilitation of intrinsic motivation, social development, and well-being. </w:t>
      </w:r>
      <w:r w:rsidRPr="00AD2E4A">
        <w:rPr>
          <w:i/>
          <w:iCs/>
          <w:color w:val="000000" w:themeColor="text1"/>
        </w:rPr>
        <w:t>American Psychologist, 55</w:t>
      </w:r>
      <w:r w:rsidRPr="00AD2E4A">
        <w:rPr>
          <w:color w:val="000000" w:themeColor="text1"/>
        </w:rPr>
        <w:t xml:space="preserve">(1), 68–78. </w:t>
      </w:r>
      <w:hyperlink r:id="rId25" w:history="1">
        <w:r w:rsidRPr="00AD2E4A">
          <w:rPr>
            <w:rStyle w:val="Hyperlink"/>
            <w:color w:val="000000" w:themeColor="text1"/>
          </w:rPr>
          <w:t>Self-determination theory and the facilitation of intrinsic motivation, social development, and well-being.</w:t>
        </w:r>
      </w:hyperlink>
    </w:p>
    <w:p w14:paraId="5DE554F1" w14:textId="77517E17" w:rsidR="00492A03" w:rsidRDefault="00492A03" w:rsidP="00AC588C">
      <w:pPr>
        <w:rPr>
          <w:color w:val="000000" w:themeColor="text1"/>
        </w:rPr>
      </w:pPr>
      <w:r w:rsidRPr="00492A03">
        <w:rPr>
          <w:color w:val="000000" w:themeColor="text1"/>
        </w:rPr>
        <w:t xml:space="preserve">Schein, E. H. (2010). </w:t>
      </w:r>
      <w:r w:rsidRPr="00492A03">
        <w:rPr>
          <w:i/>
          <w:iCs/>
          <w:color w:val="000000" w:themeColor="text1"/>
        </w:rPr>
        <w:t>Organizational culture and leadership</w:t>
      </w:r>
      <w:r w:rsidRPr="00492A03">
        <w:rPr>
          <w:color w:val="000000" w:themeColor="text1"/>
        </w:rPr>
        <w:t xml:space="preserve"> (4th ed.). Jossey-Bass.</w:t>
      </w:r>
    </w:p>
    <w:p w14:paraId="36158518" w14:textId="73D0D121" w:rsidR="00AD2E4A" w:rsidRDefault="00AD2E4A" w:rsidP="00AC588C">
      <w:pPr>
        <w:rPr>
          <w:color w:val="000000" w:themeColor="text1"/>
        </w:rPr>
      </w:pPr>
      <w:r w:rsidRPr="00AD2E4A">
        <w:rPr>
          <w:color w:val="000000" w:themeColor="text1"/>
        </w:rPr>
        <w:t xml:space="preserve">Shalley, C. E., Zhou, J., &amp; Oldham, G. R. (2004). The effects of personal and contextual characteristics on creativity: Where should we go from here? </w:t>
      </w:r>
      <w:r w:rsidRPr="00AD2E4A">
        <w:rPr>
          <w:i/>
          <w:iCs/>
          <w:color w:val="000000" w:themeColor="text1"/>
        </w:rPr>
        <w:t>Journal of Management, 30</w:t>
      </w:r>
      <w:r w:rsidRPr="00AD2E4A">
        <w:rPr>
          <w:color w:val="000000" w:themeColor="text1"/>
        </w:rPr>
        <w:t xml:space="preserve">(6), 933–958. </w:t>
      </w:r>
    </w:p>
    <w:p w14:paraId="305FBE6A" w14:textId="69395A11" w:rsidR="00AD2E4A" w:rsidRPr="00AC588C" w:rsidRDefault="00AD2E4A" w:rsidP="00AC588C">
      <w:pPr>
        <w:rPr>
          <w:color w:val="000000" w:themeColor="text1"/>
        </w:rPr>
      </w:pPr>
      <w:r w:rsidRPr="00AD2E4A">
        <w:rPr>
          <w:color w:val="000000" w:themeColor="text1"/>
        </w:rPr>
        <w:t xml:space="preserve">Tierney, P., &amp; Farmer, S. M. (2002). Creative self-efficacy: Its potential antecedents and relationship to creative performance. </w:t>
      </w:r>
      <w:r w:rsidRPr="00AD2E4A">
        <w:rPr>
          <w:i/>
          <w:iCs/>
          <w:color w:val="000000" w:themeColor="text1"/>
        </w:rPr>
        <w:t>Academy of Management Journal, 45</w:t>
      </w:r>
      <w:r w:rsidRPr="00AD2E4A">
        <w:rPr>
          <w:color w:val="000000" w:themeColor="text1"/>
        </w:rPr>
        <w:t xml:space="preserve">(6), 1137–1148. </w:t>
      </w:r>
      <w:hyperlink r:id="rId26" w:history="1">
        <w:r w:rsidRPr="00AD2E4A">
          <w:rPr>
            <w:rStyle w:val="Hyperlink"/>
            <w:color w:val="000000" w:themeColor="text1"/>
          </w:rPr>
          <w:t>Creative Self-Efficacy: Its Potential Antecedents and Relationship to Creative Performance | Academy of Management Journal</w:t>
        </w:r>
      </w:hyperlink>
    </w:p>
    <w:p w14:paraId="41FB6FC4" w14:textId="77777777" w:rsidR="00AD2E4A" w:rsidRPr="00AD2E4A" w:rsidRDefault="00AD2E4A" w:rsidP="00AD2E4A">
      <w:pPr>
        <w:rPr>
          <w:color w:val="000000" w:themeColor="text1"/>
        </w:rPr>
      </w:pPr>
      <w:r w:rsidRPr="00AD2E4A">
        <w:rPr>
          <w:color w:val="000000" w:themeColor="text1"/>
        </w:rPr>
        <w:t xml:space="preserve">Woodman, R. W., Sawyer, J. E., &amp; Griffin, R. W. (1993). Toward a theory of organizational creativity. </w:t>
      </w:r>
      <w:r w:rsidRPr="00AD2E4A">
        <w:rPr>
          <w:i/>
          <w:iCs/>
          <w:color w:val="000000" w:themeColor="text1"/>
        </w:rPr>
        <w:t>Academy of Management Review, 18</w:t>
      </w:r>
      <w:r w:rsidRPr="00AD2E4A">
        <w:rPr>
          <w:color w:val="000000" w:themeColor="text1"/>
        </w:rPr>
        <w:t xml:space="preserve">(2), 293–321. </w:t>
      </w:r>
    </w:p>
    <w:p w14:paraId="6E990354" w14:textId="77777777" w:rsidR="00215705" w:rsidRDefault="00215705" w:rsidP="00215705"/>
    <w:p w14:paraId="4D7418E6" w14:textId="77777777" w:rsidR="00215705" w:rsidRPr="00146A73" w:rsidRDefault="00215705" w:rsidP="00215705">
      <w:pPr>
        <w:rPr>
          <w:b/>
          <w:bCs/>
          <w:color w:val="4EA72E" w:themeColor="accent6"/>
        </w:rPr>
      </w:pPr>
    </w:p>
    <w:p w14:paraId="57BB1D3E" w14:textId="77777777" w:rsidR="007F33D7" w:rsidRPr="008017D8" w:rsidRDefault="007F33D7" w:rsidP="00334D55">
      <w:pPr>
        <w:rPr>
          <w:color w:val="4EA72E" w:themeColor="accent6"/>
        </w:rPr>
      </w:pPr>
    </w:p>
    <w:p w14:paraId="6373970D" w14:textId="77777777" w:rsidR="00334D55" w:rsidRPr="00334D55" w:rsidRDefault="00334D55" w:rsidP="00334D55"/>
    <w:sectPr w:rsidR="00334D55" w:rsidRPr="00334D55">
      <w:head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6BD69A" w14:textId="77777777" w:rsidR="003057B9" w:rsidRDefault="003057B9" w:rsidP="00715892">
      <w:pPr>
        <w:spacing w:after="0" w:line="240" w:lineRule="auto"/>
      </w:pPr>
      <w:r>
        <w:separator/>
      </w:r>
    </w:p>
  </w:endnote>
  <w:endnote w:type="continuationSeparator" w:id="0">
    <w:p w14:paraId="0FBB30FD" w14:textId="77777777" w:rsidR="003057B9" w:rsidRDefault="003057B9" w:rsidP="007158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8C57CC" w14:textId="77777777" w:rsidR="003057B9" w:rsidRDefault="003057B9" w:rsidP="00715892">
      <w:pPr>
        <w:spacing w:after="0" w:line="240" w:lineRule="auto"/>
      </w:pPr>
      <w:r>
        <w:separator/>
      </w:r>
    </w:p>
  </w:footnote>
  <w:footnote w:type="continuationSeparator" w:id="0">
    <w:p w14:paraId="32317B6D" w14:textId="77777777" w:rsidR="003057B9" w:rsidRDefault="003057B9" w:rsidP="007158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6124397"/>
      <w:docPartObj>
        <w:docPartGallery w:val="Page Numbers (Top of Page)"/>
        <w:docPartUnique/>
      </w:docPartObj>
    </w:sdtPr>
    <w:sdtContent>
      <w:p w14:paraId="7A4CE521" w14:textId="420F93E0" w:rsidR="00715892" w:rsidRDefault="00715892">
        <w:pPr>
          <w:pStyle w:val="Header"/>
          <w:jc w:val="right"/>
        </w:pPr>
        <w:r>
          <w:fldChar w:fldCharType="begin"/>
        </w:r>
        <w:r>
          <w:instrText>PAGE   \* MERGEFORMAT</w:instrText>
        </w:r>
        <w:r>
          <w:fldChar w:fldCharType="separate"/>
        </w:r>
        <w:r>
          <w:t>2</w:t>
        </w:r>
        <w:r>
          <w:fldChar w:fldCharType="end"/>
        </w:r>
      </w:p>
    </w:sdtContent>
  </w:sdt>
  <w:p w14:paraId="60C08E9E" w14:textId="77777777" w:rsidR="00715892" w:rsidRDefault="0071589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808B6"/>
    <w:multiLevelType w:val="hybridMultilevel"/>
    <w:tmpl w:val="2AB6D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F257D8E"/>
    <w:multiLevelType w:val="hybridMultilevel"/>
    <w:tmpl w:val="E7CC36BC"/>
    <w:lvl w:ilvl="0" w:tplc="2C2E5020">
      <w:start w:val="1"/>
      <w:numFmt w:val="bullet"/>
      <w:lvlText w:val="•"/>
      <w:lvlJc w:val="left"/>
      <w:pPr>
        <w:tabs>
          <w:tab w:val="num" w:pos="720"/>
        </w:tabs>
        <w:ind w:left="720" w:hanging="360"/>
      </w:pPr>
      <w:rPr>
        <w:rFonts w:ascii="Arial" w:hAnsi="Arial" w:hint="default"/>
      </w:rPr>
    </w:lvl>
    <w:lvl w:ilvl="1" w:tplc="3F6EE63A" w:tentative="1">
      <w:start w:val="1"/>
      <w:numFmt w:val="bullet"/>
      <w:lvlText w:val="•"/>
      <w:lvlJc w:val="left"/>
      <w:pPr>
        <w:tabs>
          <w:tab w:val="num" w:pos="1440"/>
        </w:tabs>
        <w:ind w:left="1440" w:hanging="360"/>
      </w:pPr>
      <w:rPr>
        <w:rFonts w:ascii="Arial" w:hAnsi="Arial" w:hint="default"/>
      </w:rPr>
    </w:lvl>
    <w:lvl w:ilvl="2" w:tplc="D2547892" w:tentative="1">
      <w:start w:val="1"/>
      <w:numFmt w:val="bullet"/>
      <w:lvlText w:val="•"/>
      <w:lvlJc w:val="left"/>
      <w:pPr>
        <w:tabs>
          <w:tab w:val="num" w:pos="2160"/>
        </w:tabs>
        <w:ind w:left="2160" w:hanging="360"/>
      </w:pPr>
      <w:rPr>
        <w:rFonts w:ascii="Arial" w:hAnsi="Arial" w:hint="default"/>
      </w:rPr>
    </w:lvl>
    <w:lvl w:ilvl="3" w:tplc="F386F524" w:tentative="1">
      <w:start w:val="1"/>
      <w:numFmt w:val="bullet"/>
      <w:lvlText w:val="•"/>
      <w:lvlJc w:val="left"/>
      <w:pPr>
        <w:tabs>
          <w:tab w:val="num" w:pos="2880"/>
        </w:tabs>
        <w:ind w:left="2880" w:hanging="360"/>
      </w:pPr>
      <w:rPr>
        <w:rFonts w:ascii="Arial" w:hAnsi="Arial" w:hint="default"/>
      </w:rPr>
    </w:lvl>
    <w:lvl w:ilvl="4" w:tplc="F1C46D70" w:tentative="1">
      <w:start w:val="1"/>
      <w:numFmt w:val="bullet"/>
      <w:lvlText w:val="•"/>
      <w:lvlJc w:val="left"/>
      <w:pPr>
        <w:tabs>
          <w:tab w:val="num" w:pos="3600"/>
        </w:tabs>
        <w:ind w:left="3600" w:hanging="360"/>
      </w:pPr>
      <w:rPr>
        <w:rFonts w:ascii="Arial" w:hAnsi="Arial" w:hint="default"/>
      </w:rPr>
    </w:lvl>
    <w:lvl w:ilvl="5" w:tplc="C936A770" w:tentative="1">
      <w:start w:val="1"/>
      <w:numFmt w:val="bullet"/>
      <w:lvlText w:val="•"/>
      <w:lvlJc w:val="left"/>
      <w:pPr>
        <w:tabs>
          <w:tab w:val="num" w:pos="4320"/>
        </w:tabs>
        <w:ind w:left="4320" w:hanging="360"/>
      </w:pPr>
      <w:rPr>
        <w:rFonts w:ascii="Arial" w:hAnsi="Arial" w:hint="default"/>
      </w:rPr>
    </w:lvl>
    <w:lvl w:ilvl="6" w:tplc="FB269A6C" w:tentative="1">
      <w:start w:val="1"/>
      <w:numFmt w:val="bullet"/>
      <w:lvlText w:val="•"/>
      <w:lvlJc w:val="left"/>
      <w:pPr>
        <w:tabs>
          <w:tab w:val="num" w:pos="5040"/>
        </w:tabs>
        <w:ind w:left="5040" w:hanging="360"/>
      </w:pPr>
      <w:rPr>
        <w:rFonts w:ascii="Arial" w:hAnsi="Arial" w:hint="default"/>
      </w:rPr>
    </w:lvl>
    <w:lvl w:ilvl="7" w:tplc="9B8A83A8" w:tentative="1">
      <w:start w:val="1"/>
      <w:numFmt w:val="bullet"/>
      <w:lvlText w:val="•"/>
      <w:lvlJc w:val="left"/>
      <w:pPr>
        <w:tabs>
          <w:tab w:val="num" w:pos="5760"/>
        </w:tabs>
        <w:ind w:left="5760" w:hanging="360"/>
      </w:pPr>
      <w:rPr>
        <w:rFonts w:ascii="Arial" w:hAnsi="Arial" w:hint="default"/>
      </w:rPr>
    </w:lvl>
    <w:lvl w:ilvl="8" w:tplc="62D0476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C474DC"/>
    <w:multiLevelType w:val="hybridMultilevel"/>
    <w:tmpl w:val="EC36942E"/>
    <w:lvl w:ilvl="0" w:tplc="1570DEA2">
      <w:start w:val="1"/>
      <w:numFmt w:val="bullet"/>
      <w:lvlText w:val="•"/>
      <w:lvlJc w:val="left"/>
      <w:pPr>
        <w:tabs>
          <w:tab w:val="num" w:pos="720"/>
        </w:tabs>
        <w:ind w:left="720" w:hanging="360"/>
      </w:pPr>
      <w:rPr>
        <w:rFonts w:ascii="Arial" w:hAnsi="Arial" w:hint="default"/>
      </w:rPr>
    </w:lvl>
    <w:lvl w:ilvl="1" w:tplc="AC42E23C" w:tentative="1">
      <w:start w:val="1"/>
      <w:numFmt w:val="bullet"/>
      <w:lvlText w:val="•"/>
      <w:lvlJc w:val="left"/>
      <w:pPr>
        <w:tabs>
          <w:tab w:val="num" w:pos="1440"/>
        </w:tabs>
        <w:ind w:left="1440" w:hanging="360"/>
      </w:pPr>
      <w:rPr>
        <w:rFonts w:ascii="Arial" w:hAnsi="Arial" w:hint="default"/>
      </w:rPr>
    </w:lvl>
    <w:lvl w:ilvl="2" w:tplc="9D16CAB2" w:tentative="1">
      <w:start w:val="1"/>
      <w:numFmt w:val="bullet"/>
      <w:lvlText w:val="•"/>
      <w:lvlJc w:val="left"/>
      <w:pPr>
        <w:tabs>
          <w:tab w:val="num" w:pos="2160"/>
        </w:tabs>
        <w:ind w:left="2160" w:hanging="360"/>
      </w:pPr>
      <w:rPr>
        <w:rFonts w:ascii="Arial" w:hAnsi="Arial" w:hint="default"/>
      </w:rPr>
    </w:lvl>
    <w:lvl w:ilvl="3" w:tplc="9A9E16FE" w:tentative="1">
      <w:start w:val="1"/>
      <w:numFmt w:val="bullet"/>
      <w:lvlText w:val="•"/>
      <w:lvlJc w:val="left"/>
      <w:pPr>
        <w:tabs>
          <w:tab w:val="num" w:pos="2880"/>
        </w:tabs>
        <w:ind w:left="2880" w:hanging="360"/>
      </w:pPr>
      <w:rPr>
        <w:rFonts w:ascii="Arial" w:hAnsi="Arial" w:hint="default"/>
      </w:rPr>
    </w:lvl>
    <w:lvl w:ilvl="4" w:tplc="5B8A58BA" w:tentative="1">
      <w:start w:val="1"/>
      <w:numFmt w:val="bullet"/>
      <w:lvlText w:val="•"/>
      <w:lvlJc w:val="left"/>
      <w:pPr>
        <w:tabs>
          <w:tab w:val="num" w:pos="3600"/>
        </w:tabs>
        <w:ind w:left="3600" w:hanging="360"/>
      </w:pPr>
      <w:rPr>
        <w:rFonts w:ascii="Arial" w:hAnsi="Arial" w:hint="default"/>
      </w:rPr>
    </w:lvl>
    <w:lvl w:ilvl="5" w:tplc="3DE4E012" w:tentative="1">
      <w:start w:val="1"/>
      <w:numFmt w:val="bullet"/>
      <w:lvlText w:val="•"/>
      <w:lvlJc w:val="left"/>
      <w:pPr>
        <w:tabs>
          <w:tab w:val="num" w:pos="4320"/>
        </w:tabs>
        <w:ind w:left="4320" w:hanging="360"/>
      </w:pPr>
      <w:rPr>
        <w:rFonts w:ascii="Arial" w:hAnsi="Arial" w:hint="default"/>
      </w:rPr>
    </w:lvl>
    <w:lvl w:ilvl="6" w:tplc="B868F274" w:tentative="1">
      <w:start w:val="1"/>
      <w:numFmt w:val="bullet"/>
      <w:lvlText w:val="•"/>
      <w:lvlJc w:val="left"/>
      <w:pPr>
        <w:tabs>
          <w:tab w:val="num" w:pos="5040"/>
        </w:tabs>
        <w:ind w:left="5040" w:hanging="360"/>
      </w:pPr>
      <w:rPr>
        <w:rFonts w:ascii="Arial" w:hAnsi="Arial" w:hint="default"/>
      </w:rPr>
    </w:lvl>
    <w:lvl w:ilvl="7" w:tplc="D9067D56" w:tentative="1">
      <w:start w:val="1"/>
      <w:numFmt w:val="bullet"/>
      <w:lvlText w:val="•"/>
      <w:lvlJc w:val="left"/>
      <w:pPr>
        <w:tabs>
          <w:tab w:val="num" w:pos="5760"/>
        </w:tabs>
        <w:ind w:left="5760" w:hanging="360"/>
      </w:pPr>
      <w:rPr>
        <w:rFonts w:ascii="Arial" w:hAnsi="Arial" w:hint="default"/>
      </w:rPr>
    </w:lvl>
    <w:lvl w:ilvl="8" w:tplc="E0D6203E" w:tentative="1">
      <w:start w:val="1"/>
      <w:numFmt w:val="bullet"/>
      <w:lvlText w:val="•"/>
      <w:lvlJc w:val="left"/>
      <w:pPr>
        <w:tabs>
          <w:tab w:val="num" w:pos="6480"/>
        </w:tabs>
        <w:ind w:left="6480" w:hanging="360"/>
      </w:pPr>
      <w:rPr>
        <w:rFonts w:ascii="Arial" w:hAnsi="Arial" w:hint="default"/>
      </w:rPr>
    </w:lvl>
  </w:abstractNum>
  <w:num w:numId="1" w16cid:durableId="974676555">
    <w:abstractNumId w:val="1"/>
  </w:num>
  <w:num w:numId="2" w16cid:durableId="589699582">
    <w:abstractNumId w:val="2"/>
  </w:num>
  <w:num w:numId="3" w16cid:durableId="4098683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14DD"/>
    <w:rsid w:val="00030173"/>
    <w:rsid w:val="00067AA5"/>
    <w:rsid w:val="000800D2"/>
    <w:rsid w:val="0009576F"/>
    <w:rsid w:val="000A449D"/>
    <w:rsid w:val="000C67E2"/>
    <w:rsid w:val="000D30ED"/>
    <w:rsid w:val="000E1B6C"/>
    <w:rsid w:val="000E3CA1"/>
    <w:rsid w:val="00124EB4"/>
    <w:rsid w:val="00131141"/>
    <w:rsid w:val="00146A73"/>
    <w:rsid w:val="0017540F"/>
    <w:rsid w:val="001A02C9"/>
    <w:rsid w:val="001A2A93"/>
    <w:rsid w:val="001A3584"/>
    <w:rsid w:val="001A5403"/>
    <w:rsid w:val="001C68C0"/>
    <w:rsid w:val="001E45AD"/>
    <w:rsid w:val="00215705"/>
    <w:rsid w:val="002403FE"/>
    <w:rsid w:val="00256770"/>
    <w:rsid w:val="002632F7"/>
    <w:rsid w:val="00283352"/>
    <w:rsid w:val="002943FC"/>
    <w:rsid w:val="002A639A"/>
    <w:rsid w:val="002B2729"/>
    <w:rsid w:val="003057B9"/>
    <w:rsid w:val="00334D55"/>
    <w:rsid w:val="00363679"/>
    <w:rsid w:val="003A5B6D"/>
    <w:rsid w:val="003D0DED"/>
    <w:rsid w:val="003E2205"/>
    <w:rsid w:val="00426860"/>
    <w:rsid w:val="00433DC2"/>
    <w:rsid w:val="00466DEF"/>
    <w:rsid w:val="00492A03"/>
    <w:rsid w:val="004C679E"/>
    <w:rsid w:val="0052264D"/>
    <w:rsid w:val="00532758"/>
    <w:rsid w:val="0053763E"/>
    <w:rsid w:val="00540EE4"/>
    <w:rsid w:val="0055156B"/>
    <w:rsid w:val="00595115"/>
    <w:rsid w:val="005F6353"/>
    <w:rsid w:val="0060217D"/>
    <w:rsid w:val="00603243"/>
    <w:rsid w:val="00615B42"/>
    <w:rsid w:val="00666DDF"/>
    <w:rsid w:val="00671D49"/>
    <w:rsid w:val="006B27DA"/>
    <w:rsid w:val="006C317C"/>
    <w:rsid w:val="006C462A"/>
    <w:rsid w:val="007114DD"/>
    <w:rsid w:val="00715892"/>
    <w:rsid w:val="00733CC8"/>
    <w:rsid w:val="00753D31"/>
    <w:rsid w:val="007631C1"/>
    <w:rsid w:val="007662EB"/>
    <w:rsid w:val="007E66A1"/>
    <w:rsid w:val="007F33D7"/>
    <w:rsid w:val="008017D8"/>
    <w:rsid w:val="00817577"/>
    <w:rsid w:val="00826D85"/>
    <w:rsid w:val="00871B58"/>
    <w:rsid w:val="00894E60"/>
    <w:rsid w:val="008D0801"/>
    <w:rsid w:val="008F7B47"/>
    <w:rsid w:val="00931336"/>
    <w:rsid w:val="009340DD"/>
    <w:rsid w:val="009D54FA"/>
    <w:rsid w:val="00A12B70"/>
    <w:rsid w:val="00A22E1F"/>
    <w:rsid w:val="00A3225A"/>
    <w:rsid w:val="00A35EBE"/>
    <w:rsid w:val="00A56392"/>
    <w:rsid w:val="00A57E8A"/>
    <w:rsid w:val="00AC588C"/>
    <w:rsid w:val="00AD2E4A"/>
    <w:rsid w:val="00AE1F96"/>
    <w:rsid w:val="00AE2CE9"/>
    <w:rsid w:val="00AF5435"/>
    <w:rsid w:val="00B16249"/>
    <w:rsid w:val="00B41ABB"/>
    <w:rsid w:val="00B87E99"/>
    <w:rsid w:val="00B9099B"/>
    <w:rsid w:val="00BE193E"/>
    <w:rsid w:val="00C4254F"/>
    <w:rsid w:val="00C7646D"/>
    <w:rsid w:val="00C9073B"/>
    <w:rsid w:val="00CA126C"/>
    <w:rsid w:val="00CA7A6A"/>
    <w:rsid w:val="00CF378A"/>
    <w:rsid w:val="00D137AF"/>
    <w:rsid w:val="00D31C73"/>
    <w:rsid w:val="00DA2BB9"/>
    <w:rsid w:val="00DE1BDF"/>
    <w:rsid w:val="00E45C57"/>
    <w:rsid w:val="00E5292D"/>
    <w:rsid w:val="00E614E3"/>
    <w:rsid w:val="00ED0BD9"/>
    <w:rsid w:val="00F77511"/>
    <w:rsid w:val="00F7796E"/>
    <w:rsid w:val="00F865DC"/>
    <w:rsid w:val="00FC60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0D4D6"/>
  <w15:chartTrackingRefBased/>
  <w15:docId w15:val="{6A9D1945-7BC6-4227-8796-95A24D68E3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14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114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114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114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114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114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114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114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114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14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114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114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114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114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114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114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114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114DD"/>
    <w:rPr>
      <w:rFonts w:eastAsiaTheme="majorEastAsia" w:cstheme="majorBidi"/>
      <w:color w:val="272727" w:themeColor="text1" w:themeTint="D8"/>
    </w:rPr>
  </w:style>
  <w:style w:type="paragraph" w:styleId="Title">
    <w:name w:val="Title"/>
    <w:basedOn w:val="Normal"/>
    <w:next w:val="Normal"/>
    <w:link w:val="TitleChar"/>
    <w:uiPriority w:val="10"/>
    <w:qFormat/>
    <w:rsid w:val="007114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114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114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114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114DD"/>
    <w:pPr>
      <w:spacing w:before="160"/>
      <w:jc w:val="center"/>
    </w:pPr>
    <w:rPr>
      <w:i/>
      <w:iCs/>
      <w:color w:val="404040" w:themeColor="text1" w:themeTint="BF"/>
    </w:rPr>
  </w:style>
  <w:style w:type="character" w:customStyle="1" w:styleId="QuoteChar">
    <w:name w:val="Quote Char"/>
    <w:basedOn w:val="DefaultParagraphFont"/>
    <w:link w:val="Quote"/>
    <w:uiPriority w:val="29"/>
    <w:rsid w:val="007114DD"/>
    <w:rPr>
      <w:i/>
      <w:iCs/>
      <w:color w:val="404040" w:themeColor="text1" w:themeTint="BF"/>
    </w:rPr>
  </w:style>
  <w:style w:type="paragraph" w:styleId="ListParagraph">
    <w:name w:val="List Paragraph"/>
    <w:basedOn w:val="Normal"/>
    <w:uiPriority w:val="34"/>
    <w:qFormat/>
    <w:rsid w:val="007114DD"/>
    <w:pPr>
      <w:ind w:left="720"/>
      <w:contextualSpacing/>
    </w:pPr>
  </w:style>
  <w:style w:type="character" w:styleId="IntenseEmphasis">
    <w:name w:val="Intense Emphasis"/>
    <w:basedOn w:val="DefaultParagraphFont"/>
    <w:uiPriority w:val="21"/>
    <w:qFormat/>
    <w:rsid w:val="007114DD"/>
    <w:rPr>
      <w:i/>
      <w:iCs/>
      <w:color w:val="0F4761" w:themeColor="accent1" w:themeShade="BF"/>
    </w:rPr>
  </w:style>
  <w:style w:type="paragraph" w:styleId="IntenseQuote">
    <w:name w:val="Intense Quote"/>
    <w:basedOn w:val="Normal"/>
    <w:next w:val="Normal"/>
    <w:link w:val="IntenseQuoteChar"/>
    <w:uiPriority w:val="30"/>
    <w:qFormat/>
    <w:rsid w:val="007114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114DD"/>
    <w:rPr>
      <w:i/>
      <w:iCs/>
      <w:color w:val="0F4761" w:themeColor="accent1" w:themeShade="BF"/>
    </w:rPr>
  </w:style>
  <w:style w:type="character" w:styleId="IntenseReference">
    <w:name w:val="Intense Reference"/>
    <w:basedOn w:val="DefaultParagraphFont"/>
    <w:uiPriority w:val="32"/>
    <w:qFormat/>
    <w:rsid w:val="007114DD"/>
    <w:rPr>
      <w:b/>
      <w:bCs/>
      <w:smallCaps/>
      <w:color w:val="0F4761" w:themeColor="accent1" w:themeShade="BF"/>
      <w:spacing w:val="5"/>
    </w:rPr>
  </w:style>
  <w:style w:type="character" w:styleId="Hyperlink">
    <w:name w:val="Hyperlink"/>
    <w:basedOn w:val="DefaultParagraphFont"/>
    <w:uiPriority w:val="99"/>
    <w:unhideWhenUsed/>
    <w:rsid w:val="00334D55"/>
    <w:rPr>
      <w:color w:val="467886" w:themeColor="hyperlink"/>
      <w:u w:val="single"/>
    </w:rPr>
  </w:style>
  <w:style w:type="character" w:styleId="UnresolvedMention">
    <w:name w:val="Unresolved Mention"/>
    <w:basedOn w:val="DefaultParagraphFont"/>
    <w:uiPriority w:val="99"/>
    <w:semiHidden/>
    <w:unhideWhenUsed/>
    <w:rsid w:val="00334D55"/>
    <w:rPr>
      <w:color w:val="605E5C"/>
      <w:shd w:val="clear" w:color="auto" w:fill="E1DFDD"/>
    </w:rPr>
  </w:style>
  <w:style w:type="paragraph" w:styleId="TOCHeading">
    <w:name w:val="TOC Heading"/>
    <w:basedOn w:val="Heading1"/>
    <w:next w:val="Normal"/>
    <w:uiPriority w:val="39"/>
    <w:unhideWhenUsed/>
    <w:qFormat/>
    <w:rsid w:val="00715892"/>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715892"/>
    <w:pPr>
      <w:spacing w:after="100"/>
    </w:pPr>
  </w:style>
  <w:style w:type="paragraph" w:styleId="TOC2">
    <w:name w:val="toc 2"/>
    <w:basedOn w:val="Normal"/>
    <w:next w:val="Normal"/>
    <w:autoRedefine/>
    <w:uiPriority w:val="39"/>
    <w:unhideWhenUsed/>
    <w:rsid w:val="00715892"/>
    <w:pPr>
      <w:spacing w:after="100"/>
      <w:ind w:left="220"/>
    </w:pPr>
  </w:style>
  <w:style w:type="paragraph" w:styleId="Header">
    <w:name w:val="header"/>
    <w:basedOn w:val="Normal"/>
    <w:link w:val="HeaderChar"/>
    <w:uiPriority w:val="99"/>
    <w:unhideWhenUsed/>
    <w:rsid w:val="007158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15892"/>
  </w:style>
  <w:style w:type="paragraph" w:styleId="Footer">
    <w:name w:val="footer"/>
    <w:basedOn w:val="Normal"/>
    <w:link w:val="FooterChar"/>
    <w:uiPriority w:val="99"/>
    <w:unhideWhenUsed/>
    <w:rsid w:val="007158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15892"/>
  </w:style>
  <w:style w:type="paragraph" w:styleId="TOC3">
    <w:name w:val="toc 3"/>
    <w:basedOn w:val="Normal"/>
    <w:next w:val="Normal"/>
    <w:autoRedefine/>
    <w:uiPriority w:val="39"/>
    <w:unhideWhenUsed/>
    <w:rsid w:val="00DA2BB9"/>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256995" TargetMode="External"/><Relationship Id="rId13" Type="http://schemas.openxmlformats.org/officeDocument/2006/relationships/hyperlink" Target="https://journals.sagepub.com/doi/10.3233/SJI-210825" TargetMode="External"/><Relationship Id="rId18" Type="http://schemas.openxmlformats.org/officeDocument/2006/relationships/hyperlink" Target="https://gpa.gov.uk/services/govpass/" TargetMode="External"/><Relationship Id="rId26" Type="http://schemas.openxmlformats.org/officeDocument/2006/relationships/hyperlink" Target="https://journals.aom.org/doi/10.5465/3069429" TargetMode="External"/><Relationship Id="rId3" Type="http://schemas.openxmlformats.org/officeDocument/2006/relationships/settings" Target="settings.xml"/><Relationship Id="rId21" Type="http://schemas.openxmlformats.org/officeDocument/2006/relationships/hyperlink" Target="https://account.gpa.gov.uk/about-us/public-service-transformation/" TargetMode="External"/><Relationship Id="rId7" Type="http://schemas.openxmlformats.org/officeDocument/2006/relationships/image" Target="media/image1.png"/><Relationship Id="rId12" Type="http://schemas.openxmlformats.org/officeDocument/2006/relationships/hyperlink" Target="https://doi.org/10.1111/j.1540-5885.2008.00296.x" TargetMode="External"/><Relationship Id="rId17" Type="http://schemas.openxmlformats.org/officeDocument/2006/relationships/hyperlink" Target="https://www1.gpa.gov.uk/careers/" TargetMode="External"/><Relationship Id="rId25" Type="http://schemas.openxmlformats.org/officeDocument/2006/relationships/hyperlink" Target="https://psycnet.apa.org/doiLanding?doi=10.1037%2F0003-066X.55.1.68" TargetMode="External"/><Relationship Id="rId2" Type="http://schemas.openxmlformats.org/officeDocument/2006/relationships/styles" Target="styles.xml"/><Relationship Id="rId16" Type="http://schemas.openxmlformats.org/officeDocument/2006/relationships/hyperlink" Target="https://222.gpa.gov.uk/how-technology-enhances-the-customer-experience/" TargetMode="External"/><Relationship Id="rId20" Type="http://schemas.openxmlformats.org/officeDocument/2006/relationships/hyperlink" Target="https://t.gpa.gov.uk/our-services/property-technology/"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onlinelibrary.wiley.com/doi/10.1111/1540-5885.1110003?msockid=2fab20a37cc46340086434e37de362b3" TargetMode="External"/><Relationship Id="rId24" Type="http://schemas.openxmlformats.org/officeDocument/2006/relationships/hyperlink" Target="https://journals.aom.org/doi/10.5465/256657" TargetMode="External"/><Relationship Id="rId5" Type="http://schemas.openxmlformats.org/officeDocument/2006/relationships/footnotes" Target="footnotes.xml"/><Relationship Id="rId15" Type="http://schemas.openxmlformats.org/officeDocument/2006/relationships/hyperlink" Target="https://doi.org/10.3233/SJI-220059" TargetMode="External"/><Relationship Id="rId23" Type="http://schemas.openxmlformats.org/officeDocument/2006/relationships/hyperlink" Target="https://doi.org/10.1080/14719037.2020.1838787?utm_source=chatgpt.com" TargetMode="External"/><Relationship Id="rId28" Type="http://schemas.openxmlformats.org/officeDocument/2006/relationships/fontTable" Target="fontTable.xml"/><Relationship Id="rId10" Type="http://schemas.openxmlformats.org/officeDocument/2006/relationships/hyperlink" Target="https://doi.org/10.1080/14719037.2019.1668470" TargetMode="External"/><Relationship Id="rId19" Type="http://schemas.openxmlformats.org/officeDocument/2006/relationships/hyperlink" Target="https://gpa.gov.uk/departmental_partners/partnership-charter/" TargetMode="External"/><Relationship Id="rId4" Type="http://schemas.openxmlformats.org/officeDocument/2006/relationships/webSettings" Target="webSettings.xml"/><Relationship Id="rId9" Type="http://schemas.openxmlformats.org/officeDocument/2006/relationships/hyperlink" Target="https://www.sciencedirect.com/science/article/abs/pii/S1048984303001000" TargetMode="External"/><Relationship Id="rId14" Type="http://schemas.openxmlformats.org/officeDocument/2006/relationships/hyperlink" Target="https://journals.sagepub.com/doi/10.2307/2666999" TargetMode="External"/><Relationship Id="rId22" Type="http://schemas.openxmlformats.org/officeDocument/2006/relationships/hyperlink" Target="https://www.emerald.com/ejim/article-abstract/6/1/64/44437/Building-organisational-culture-that-stimulates?redirectedFrom=fulltext" TargetMode="External"/><Relationship Id="rId27"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863</TotalTime>
  <Pages>17</Pages>
  <Words>6591</Words>
  <Characters>37574</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o'sullivan</dc:creator>
  <cp:keywords/>
  <dc:description/>
  <cp:lastModifiedBy>natalie o'sullivan</cp:lastModifiedBy>
  <cp:revision>28</cp:revision>
  <dcterms:created xsi:type="dcterms:W3CDTF">2026-08-22T21:50:00Z</dcterms:created>
  <dcterms:modified xsi:type="dcterms:W3CDTF">2026-08-29T14:13:00Z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dc55f83b-768b-4369-a1c4-457718dacae4</vt:lpwstr>
  </property>
</Properties>
</file>