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D4CF8" w14:textId="1BBFA106" w:rsidR="00701C63" w:rsidRDefault="00780E31" w:rsidP="00701C63">
      <w:pPr>
        <w:pStyle w:val="Heading1"/>
        <w:rPr>
          <w:rFonts w:eastAsiaTheme="minorEastAsia"/>
        </w:rPr>
      </w:pPr>
      <w:r>
        <w:rPr>
          <w:rFonts w:cstheme="minorHAnsi"/>
          <w:noProof/>
        </w:rPr>
        <w:drawing>
          <wp:inline distT="0" distB="0" distL="0" distR="0" wp14:anchorId="21911D2D" wp14:editId="57191173">
            <wp:extent cx="5730875" cy="2554605"/>
            <wp:effectExtent l="0" t="0" r="3175" b="0"/>
            <wp:docPr id="1307166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554605"/>
                    </a:xfrm>
                    <a:prstGeom prst="rect">
                      <a:avLst/>
                    </a:prstGeom>
                    <a:noFill/>
                  </pic:spPr>
                </pic:pic>
              </a:graphicData>
            </a:graphic>
          </wp:inline>
        </w:drawing>
      </w:r>
    </w:p>
    <w:p w14:paraId="143B74F6" w14:textId="77777777" w:rsidR="00701C63" w:rsidRDefault="00701C63" w:rsidP="00701C63">
      <w:pPr>
        <w:pStyle w:val="Heading1"/>
        <w:rPr>
          <w:rFonts w:eastAsiaTheme="minorEastAsia"/>
        </w:rPr>
      </w:pPr>
    </w:p>
    <w:p w14:paraId="41719E9A" w14:textId="77777777" w:rsidR="00701C63" w:rsidRDefault="00701C63" w:rsidP="00701C63">
      <w:pPr>
        <w:pStyle w:val="Heading1"/>
        <w:rPr>
          <w:rFonts w:eastAsiaTheme="minorEastAsia"/>
        </w:rPr>
      </w:pPr>
    </w:p>
    <w:p w14:paraId="0F11FD56" w14:textId="286192FC" w:rsidR="00237FFA" w:rsidRPr="00780E31" w:rsidRDefault="00000000" w:rsidP="005D556E">
      <w:pPr>
        <w:rPr>
          <w:sz w:val="40"/>
          <w:szCs w:val="40"/>
        </w:rPr>
      </w:pPr>
      <w:r>
        <w:t xml:space="preserve">                                      </w:t>
      </w:r>
      <w:r w:rsidRPr="00780E31">
        <w:rPr>
          <w:sz w:val="40"/>
          <w:szCs w:val="40"/>
        </w:rPr>
        <w:t>BANKING AND FINANCE ECONOMICS</w:t>
      </w:r>
    </w:p>
    <w:p w14:paraId="4DF5352F" w14:textId="15302851" w:rsidR="00237FFA" w:rsidRPr="00780E31" w:rsidRDefault="00000000" w:rsidP="005D556E">
      <w:pPr>
        <w:rPr>
          <w:sz w:val="40"/>
          <w:szCs w:val="40"/>
        </w:rPr>
      </w:pPr>
      <w:r w:rsidRPr="00780E31">
        <w:rPr>
          <w:sz w:val="40"/>
          <w:szCs w:val="40"/>
        </w:rPr>
        <w:t xml:space="preserve">                                            (LCMB7032)</w:t>
      </w:r>
    </w:p>
    <w:p w14:paraId="700B3A41" w14:textId="1324FB0F" w:rsidR="00237FFA" w:rsidRPr="00780E31" w:rsidRDefault="00000000" w:rsidP="005D556E">
      <w:pPr>
        <w:rPr>
          <w:sz w:val="40"/>
          <w:szCs w:val="40"/>
        </w:rPr>
      </w:pPr>
      <w:r w:rsidRPr="00780E31">
        <w:rPr>
          <w:sz w:val="40"/>
          <w:szCs w:val="40"/>
        </w:rPr>
        <w:t xml:space="preserve">                              COMPANY NAME: T-MOBILES </w:t>
      </w:r>
    </w:p>
    <w:p w14:paraId="73C5263B" w14:textId="75EEEEC6" w:rsidR="00701C63" w:rsidRPr="00780E31" w:rsidRDefault="00000000" w:rsidP="005D556E">
      <w:pPr>
        <w:rPr>
          <w:sz w:val="40"/>
          <w:szCs w:val="40"/>
        </w:rPr>
      </w:pPr>
      <w:r w:rsidRPr="00780E31">
        <w:rPr>
          <w:sz w:val="40"/>
          <w:szCs w:val="40"/>
        </w:rPr>
        <w:t xml:space="preserve">                                    STUDENT ID:2313893</w:t>
      </w:r>
    </w:p>
    <w:p w14:paraId="79E331E5" w14:textId="77777777" w:rsidR="00701C63" w:rsidRPr="00237FFA" w:rsidRDefault="00701C63" w:rsidP="00701C63">
      <w:pPr>
        <w:pStyle w:val="Heading1"/>
        <w:rPr>
          <w:rFonts w:eastAsiaTheme="minorEastAsia"/>
          <w:b/>
          <w:bCs/>
          <w:sz w:val="40"/>
          <w:szCs w:val="40"/>
        </w:rPr>
      </w:pPr>
    </w:p>
    <w:p w14:paraId="00454A68" w14:textId="33C84FDF" w:rsidR="00701C63" w:rsidRDefault="00701C63" w:rsidP="00701C63">
      <w:pPr>
        <w:pStyle w:val="Heading1"/>
        <w:rPr>
          <w:rFonts w:eastAsiaTheme="minorEastAsia"/>
        </w:rPr>
      </w:pPr>
    </w:p>
    <w:p w14:paraId="3A5EFE9C" w14:textId="77777777" w:rsidR="00701C63" w:rsidRDefault="00701C63" w:rsidP="00701C63">
      <w:pPr>
        <w:pStyle w:val="Heading1"/>
        <w:rPr>
          <w:rFonts w:eastAsiaTheme="minorEastAsia"/>
        </w:rPr>
      </w:pPr>
    </w:p>
    <w:p w14:paraId="53732550" w14:textId="77777777" w:rsidR="005D556E" w:rsidRDefault="005D556E" w:rsidP="005D556E"/>
    <w:p w14:paraId="4644D3FE" w14:textId="77777777" w:rsidR="005D556E" w:rsidRDefault="005D556E" w:rsidP="005D556E"/>
    <w:p w14:paraId="121E9C5D" w14:textId="77777777" w:rsidR="005D556E" w:rsidRDefault="005D556E" w:rsidP="005D556E"/>
    <w:p w14:paraId="222FCC3A" w14:textId="77777777" w:rsidR="005D556E" w:rsidRDefault="005D556E" w:rsidP="005D556E"/>
    <w:p w14:paraId="74696673" w14:textId="77777777" w:rsidR="005D556E" w:rsidRDefault="005D556E" w:rsidP="005D556E"/>
    <w:p w14:paraId="42A5D7DD" w14:textId="77777777" w:rsidR="005D556E" w:rsidRDefault="005D556E" w:rsidP="005D556E"/>
    <w:p w14:paraId="7C5A0F37" w14:textId="77777777" w:rsidR="005D556E" w:rsidRDefault="005D556E" w:rsidP="005D556E"/>
    <w:p w14:paraId="66CB8C38" w14:textId="77777777" w:rsidR="005D556E" w:rsidRDefault="005D556E" w:rsidP="005D556E"/>
    <w:p w14:paraId="0D737D7A" w14:textId="77777777" w:rsidR="005D556E" w:rsidRDefault="005D556E" w:rsidP="005D556E"/>
    <w:p w14:paraId="24FDD3C6" w14:textId="77777777" w:rsidR="005D556E" w:rsidRDefault="005D556E" w:rsidP="005D556E"/>
    <w:p w14:paraId="247549DF" w14:textId="77777777" w:rsidR="005D556E" w:rsidRDefault="005D556E" w:rsidP="005D556E"/>
    <w:p w14:paraId="05D62FF8" w14:textId="77777777" w:rsidR="005D556E" w:rsidRDefault="005D556E" w:rsidP="005D556E"/>
    <w:p w14:paraId="282E56C2" w14:textId="77777777" w:rsidR="005D556E" w:rsidRDefault="005D556E" w:rsidP="005D556E"/>
    <w:p w14:paraId="1C276F07" w14:textId="77777777" w:rsidR="005D556E" w:rsidRDefault="005D556E" w:rsidP="005D556E"/>
    <w:p w14:paraId="01A961AD" w14:textId="77777777" w:rsidR="005D556E" w:rsidRDefault="005D556E" w:rsidP="005D556E"/>
    <w:p w14:paraId="6B45444D" w14:textId="77777777" w:rsidR="005D556E" w:rsidRDefault="005D556E" w:rsidP="005D556E"/>
    <w:p w14:paraId="2CE57A91" w14:textId="77777777" w:rsidR="005D556E" w:rsidRDefault="005D556E" w:rsidP="005D556E"/>
    <w:p w14:paraId="46D0AB31" w14:textId="77777777" w:rsidR="005D556E" w:rsidRPr="005D556E" w:rsidRDefault="005D556E" w:rsidP="005D556E"/>
    <w:p w14:paraId="73AB6535" w14:textId="77777777" w:rsidR="00701C63" w:rsidRDefault="00701C63" w:rsidP="00701C63">
      <w:pPr>
        <w:pStyle w:val="Heading1"/>
        <w:rPr>
          <w:rFonts w:eastAsiaTheme="minorEastAsia"/>
        </w:rPr>
      </w:pPr>
    </w:p>
    <w:p w14:paraId="164E0132" w14:textId="77777777" w:rsidR="00701C63" w:rsidRDefault="00701C63" w:rsidP="00701C63">
      <w:pPr>
        <w:pStyle w:val="Heading1"/>
        <w:rPr>
          <w:rFonts w:eastAsiaTheme="minorEastAsia"/>
        </w:rPr>
      </w:pPr>
    </w:p>
    <w:p w14:paraId="4E0429FA" w14:textId="77777777" w:rsidR="00701C63" w:rsidRDefault="00701C63" w:rsidP="00701C63">
      <w:pPr>
        <w:pStyle w:val="Heading1"/>
        <w:rPr>
          <w:rFonts w:eastAsiaTheme="minorEastAsia"/>
        </w:rPr>
      </w:pPr>
    </w:p>
    <w:sdt>
      <w:sdtPr>
        <w:rPr>
          <w:rFonts w:asciiTheme="minorHAnsi" w:eastAsiaTheme="minorHAnsi" w:hAnsiTheme="minorHAnsi" w:cstheme="minorBidi"/>
          <w:color w:val="auto"/>
          <w:kern w:val="2"/>
          <w:sz w:val="22"/>
          <w:szCs w:val="22"/>
          <w:lang w:val="en-GB" w:eastAsia="en-US"/>
          <w14:ligatures w14:val="standardContextual"/>
        </w:rPr>
        <w:id w:val="779141652"/>
        <w:docPartObj>
          <w:docPartGallery w:val="Table of Contents"/>
          <w:docPartUnique/>
        </w:docPartObj>
      </w:sdtPr>
      <w:sdtEndPr>
        <w:rPr>
          <w:b/>
          <w:bCs/>
        </w:rPr>
      </w:sdtEndPr>
      <w:sdtContent>
        <w:p w14:paraId="025A6AE8" w14:textId="60DDB6AF" w:rsidR="005D556E" w:rsidRPr="005D556E" w:rsidRDefault="00000000" w:rsidP="005D556E">
          <w:pPr>
            <w:pStyle w:val="TOCHeading"/>
            <w:rPr>
              <w:lang w:val="en-GB"/>
            </w:rPr>
          </w:pPr>
          <w:r>
            <w:rPr>
              <w:lang w:val="en-GB"/>
            </w:rPr>
            <w:t>Table of Contents</w:t>
          </w:r>
          <w:r>
            <w:fldChar w:fldCharType="begin"/>
          </w:r>
          <w:r>
            <w:instrText xml:space="preserve"> TOC \o "1-3" \h \z \u </w:instrText>
          </w:r>
          <w:r>
            <w:fldChar w:fldCharType="separate"/>
          </w:r>
        </w:p>
        <w:p w14:paraId="61C3F569" w14:textId="339968EF" w:rsidR="005D556E" w:rsidRDefault="00000000">
          <w:pPr>
            <w:pStyle w:val="TOC1"/>
            <w:tabs>
              <w:tab w:val="right" w:leader="dot" w:pos="9016"/>
            </w:tabs>
            <w:rPr>
              <w:rFonts w:eastAsiaTheme="minorEastAsia"/>
              <w:noProof/>
              <w:lang w:eastAsia="en-IN"/>
            </w:rPr>
          </w:pPr>
          <w:hyperlink w:anchor="_Toc175720665" w:history="1">
            <w:r w:rsidRPr="007D32A4">
              <w:rPr>
                <w:rStyle w:val="Hyperlink"/>
                <w:noProof/>
              </w:rPr>
              <w:t>Overview of T-Mobile US, Inc.</w:t>
            </w:r>
            <w:r>
              <w:rPr>
                <w:noProof/>
                <w:webHidden/>
              </w:rPr>
              <w:tab/>
            </w:r>
            <w:r>
              <w:rPr>
                <w:noProof/>
                <w:webHidden/>
              </w:rPr>
              <w:fldChar w:fldCharType="begin"/>
            </w:r>
            <w:r>
              <w:rPr>
                <w:noProof/>
                <w:webHidden/>
              </w:rPr>
              <w:instrText xml:space="preserve"> PAGEREF _Toc175720665 \h </w:instrText>
            </w:r>
            <w:r>
              <w:rPr>
                <w:noProof/>
                <w:webHidden/>
              </w:rPr>
            </w:r>
            <w:r>
              <w:rPr>
                <w:noProof/>
                <w:webHidden/>
              </w:rPr>
              <w:fldChar w:fldCharType="separate"/>
            </w:r>
            <w:r>
              <w:rPr>
                <w:noProof/>
                <w:webHidden/>
              </w:rPr>
              <w:t>3</w:t>
            </w:r>
            <w:r>
              <w:rPr>
                <w:noProof/>
                <w:webHidden/>
              </w:rPr>
              <w:fldChar w:fldCharType="end"/>
            </w:r>
          </w:hyperlink>
        </w:p>
        <w:p w14:paraId="35AAA0A7" w14:textId="38537E02" w:rsidR="005D556E" w:rsidRDefault="00000000">
          <w:pPr>
            <w:pStyle w:val="TOC1"/>
            <w:tabs>
              <w:tab w:val="right" w:leader="dot" w:pos="9016"/>
            </w:tabs>
            <w:rPr>
              <w:rFonts w:eastAsiaTheme="minorEastAsia"/>
              <w:noProof/>
              <w:lang w:eastAsia="en-IN"/>
            </w:rPr>
          </w:pPr>
          <w:hyperlink w:anchor="_Toc175720666" w:history="1">
            <w:r w:rsidRPr="007D32A4">
              <w:rPr>
                <w:rStyle w:val="Hyperlink"/>
                <w:noProof/>
              </w:rPr>
              <w:t>Business Model</w:t>
            </w:r>
            <w:r>
              <w:rPr>
                <w:noProof/>
                <w:webHidden/>
              </w:rPr>
              <w:tab/>
            </w:r>
            <w:r>
              <w:rPr>
                <w:noProof/>
                <w:webHidden/>
              </w:rPr>
              <w:fldChar w:fldCharType="begin"/>
            </w:r>
            <w:r>
              <w:rPr>
                <w:noProof/>
                <w:webHidden/>
              </w:rPr>
              <w:instrText xml:space="preserve"> PAGEREF _Toc175720666 \h </w:instrText>
            </w:r>
            <w:r>
              <w:rPr>
                <w:noProof/>
                <w:webHidden/>
              </w:rPr>
            </w:r>
            <w:r>
              <w:rPr>
                <w:noProof/>
                <w:webHidden/>
              </w:rPr>
              <w:fldChar w:fldCharType="separate"/>
            </w:r>
            <w:r>
              <w:rPr>
                <w:noProof/>
                <w:webHidden/>
              </w:rPr>
              <w:t>3</w:t>
            </w:r>
            <w:r>
              <w:rPr>
                <w:noProof/>
                <w:webHidden/>
              </w:rPr>
              <w:fldChar w:fldCharType="end"/>
            </w:r>
          </w:hyperlink>
        </w:p>
        <w:p w14:paraId="6DE1F989" w14:textId="6694612E" w:rsidR="005D556E" w:rsidRDefault="00000000">
          <w:pPr>
            <w:pStyle w:val="TOC1"/>
            <w:tabs>
              <w:tab w:val="right" w:leader="dot" w:pos="9016"/>
            </w:tabs>
            <w:rPr>
              <w:rFonts w:eastAsiaTheme="minorEastAsia"/>
              <w:noProof/>
              <w:lang w:eastAsia="en-IN"/>
            </w:rPr>
          </w:pPr>
          <w:hyperlink w:anchor="_Toc175720667" w:history="1">
            <w:r w:rsidRPr="007D32A4">
              <w:rPr>
                <w:rStyle w:val="Hyperlink"/>
                <w:noProof/>
              </w:rPr>
              <w:t>Target Market:</w:t>
            </w:r>
            <w:r>
              <w:rPr>
                <w:noProof/>
                <w:webHidden/>
              </w:rPr>
              <w:tab/>
            </w:r>
            <w:r>
              <w:rPr>
                <w:noProof/>
                <w:webHidden/>
              </w:rPr>
              <w:fldChar w:fldCharType="begin"/>
            </w:r>
            <w:r>
              <w:rPr>
                <w:noProof/>
                <w:webHidden/>
              </w:rPr>
              <w:instrText xml:space="preserve"> PAGEREF _Toc175720667 \h </w:instrText>
            </w:r>
            <w:r>
              <w:rPr>
                <w:noProof/>
                <w:webHidden/>
              </w:rPr>
            </w:r>
            <w:r>
              <w:rPr>
                <w:noProof/>
                <w:webHidden/>
              </w:rPr>
              <w:fldChar w:fldCharType="separate"/>
            </w:r>
            <w:r>
              <w:rPr>
                <w:noProof/>
                <w:webHidden/>
              </w:rPr>
              <w:t>4</w:t>
            </w:r>
            <w:r>
              <w:rPr>
                <w:noProof/>
                <w:webHidden/>
              </w:rPr>
              <w:fldChar w:fldCharType="end"/>
            </w:r>
          </w:hyperlink>
        </w:p>
        <w:p w14:paraId="112EF8EE" w14:textId="06BDF0C6" w:rsidR="005D556E" w:rsidRDefault="00000000">
          <w:pPr>
            <w:pStyle w:val="TOC1"/>
            <w:tabs>
              <w:tab w:val="right" w:leader="dot" w:pos="9016"/>
            </w:tabs>
            <w:rPr>
              <w:rFonts w:eastAsiaTheme="minorEastAsia"/>
              <w:noProof/>
              <w:lang w:eastAsia="en-IN"/>
            </w:rPr>
          </w:pPr>
          <w:hyperlink w:anchor="_Toc175720668" w:history="1">
            <w:r w:rsidRPr="007D32A4">
              <w:rPr>
                <w:rStyle w:val="Hyperlink"/>
                <w:noProof/>
              </w:rPr>
              <w:t>Unique Selling Proposition (USP):</w:t>
            </w:r>
            <w:r>
              <w:rPr>
                <w:noProof/>
                <w:webHidden/>
              </w:rPr>
              <w:tab/>
            </w:r>
            <w:r>
              <w:rPr>
                <w:noProof/>
                <w:webHidden/>
              </w:rPr>
              <w:fldChar w:fldCharType="begin"/>
            </w:r>
            <w:r>
              <w:rPr>
                <w:noProof/>
                <w:webHidden/>
              </w:rPr>
              <w:instrText xml:space="preserve"> PAGEREF _Toc175720668 \h </w:instrText>
            </w:r>
            <w:r>
              <w:rPr>
                <w:noProof/>
                <w:webHidden/>
              </w:rPr>
            </w:r>
            <w:r>
              <w:rPr>
                <w:noProof/>
                <w:webHidden/>
              </w:rPr>
              <w:fldChar w:fldCharType="separate"/>
            </w:r>
            <w:r>
              <w:rPr>
                <w:noProof/>
                <w:webHidden/>
              </w:rPr>
              <w:t>5</w:t>
            </w:r>
            <w:r>
              <w:rPr>
                <w:noProof/>
                <w:webHidden/>
              </w:rPr>
              <w:fldChar w:fldCharType="end"/>
            </w:r>
          </w:hyperlink>
        </w:p>
        <w:p w14:paraId="52107530" w14:textId="50A69E5A" w:rsidR="005D556E" w:rsidRDefault="00000000">
          <w:pPr>
            <w:pStyle w:val="TOC1"/>
            <w:tabs>
              <w:tab w:val="right" w:leader="dot" w:pos="9016"/>
            </w:tabs>
            <w:rPr>
              <w:rFonts w:eastAsiaTheme="minorEastAsia"/>
              <w:noProof/>
              <w:lang w:eastAsia="en-IN"/>
            </w:rPr>
          </w:pPr>
          <w:hyperlink w:anchor="_Toc175720669" w:history="1">
            <w:r w:rsidRPr="007D32A4">
              <w:rPr>
                <w:rStyle w:val="Hyperlink"/>
                <w:noProof/>
              </w:rPr>
              <w:t>Key Reasons Why T-Mobile Went Public</w:t>
            </w:r>
            <w:r>
              <w:rPr>
                <w:noProof/>
                <w:webHidden/>
              </w:rPr>
              <w:tab/>
            </w:r>
            <w:r>
              <w:rPr>
                <w:noProof/>
                <w:webHidden/>
              </w:rPr>
              <w:fldChar w:fldCharType="begin"/>
            </w:r>
            <w:r>
              <w:rPr>
                <w:noProof/>
                <w:webHidden/>
              </w:rPr>
              <w:instrText xml:space="preserve"> PAGEREF _Toc175720669 \h </w:instrText>
            </w:r>
            <w:r>
              <w:rPr>
                <w:noProof/>
                <w:webHidden/>
              </w:rPr>
            </w:r>
            <w:r>
              <w:rPr>
                <w:noProof/>
                <w:webHidden/>
              </w:rPr>
              <w:fldChar w:fldCharType="separate"/>
            </w:r>
            <w:r>
              <w:rPr>
                <w:noProof/>
                <w:webHidden/>
              </w:rPr>
              <w:t>5</w:t>
            </w:r>
            <w:r>
              <w:rPr>
                <w:noProof/>
                <w:webHidden/>
              </w:rPr>
              <w:fldChar w:fldCharType="end"/>
            </w:r>
          </w:hyperlink>
        </w:p>
        <w:p w14:paraId="5C6C8B27" w14:textId="02928075" w:rsidR="005D556E" w:rsidRDefault="00000000">
          <w:pPr>
            <w:pStyle w:val="TOC1"/>
            <w:tabs>
              <w:tab w:val="right" w:leader="dot" w:pos="9016"/>
            </w:tabs>
            <w:rPr>
              <w:rFonts w:eastAsiaTheme="minorEastAsia"/>
              <w:noProof/>
              <w:lang w:eastAsia="en-IN"/>
            </w:rPr>
          </w:pPr>
          <w:hyperlink w:anchor="_Toc175720670" w:history="1">
            <w:r w:rsidRPr="007D32A4">
              <w:rPr>
                <w:rStyle w:val="Hyperlink"/>
                <w:noProof/>
              </w:rPr>
              <w:t>C) Review of T-Mobile’s S-1: Key Risks and Valuation Considerations</w:t>
            </w:r>
            <w:r>
              <w:rPr>
                <w:noProof/>
                <w:webHidden/>
              </w:rPr>
              <w:tab/>
            </w:r>
            <w:r>
              <w:rPr>
                <w:noProof/>
                <w:webHidden/>
              </w:rPr>
              <w:fldChar w:fldCharType="begin"/>
            </w:r>
            <w:r>
              <w:rPr>
                <w:noProof/>
                <w:webHidden/>
              </w:rPr>
              <w:instrText xml:space="preserve"> PAGEREF _Toc175720670 \h </w:instrText>
            </w:r>
            <w:r>
              <w:rPr>
                <w:noProof/>
                <w:webHidden/>
              </w:rPr>
            </w:r>
            <w:r>
              <w:rPr>
                <w:noProof/>
                <w:webHidden/>
              </w:rPr>
              <w:fldChar w:fldCharType="separate"/>
            </w:r>
            <w:r>
              <w:rPr>
                <w:noProof/>
                <w:webHidden/>
              </w:rPr>
              <w:t>6</w:t>
            </w:r>
            <w:r>
              <w:rPr>
                <w:noProof/>
                <w:webHidden/>
              </w:rPr>
              <w:fldChar w:fldCharType="end"/>
            </w:r>
          </w:hyperlink>
        </w:p>
        <w:p w14:paraId="4B233368" w14:textId="158518FA" w:rsidR="005D556E" w:rsidRDefault="00000000">
          <w:pPr>
            <w:pStyle w:val="TOC1"/>
            <w:tabs>
              <w:tab w:val="right" w:leader="dot" w:pos="9016"/>
            </w:tabs>
            <w:rPr>
              <w:rFonts w:eastAsiaTheme="minorEastAsia"/>
              <w:noProof/>
              <w:lang w:eastAsia="en-IN"/>
            </w:rPr>
          </w:pPr>
          <w:hyperlink w:anchor="_Toc175720671" w:history="1">
            <w:r w:rsidRPr="007D32A4">
              <w:rPr>
                <w:rStyle w:val="Hyperlink"/>
                <w:noProof/>
              </w:rPr>
              <w:t>Valuation in the Context of These Risks</w:t>
            </w:r>
            <w:r>
              <w:rPr>
                <w:noProof/>
                <w:webHidden/>
              </w:rPr>
              <w:tab/>
            </w:r>
            <w:r>
              <w:rPr>
                <w:noProof/>
                <w:webHidden/>
              </w:rPr>
              <w:fldChar w:fldCharType="begin"/>
            </w:r>
            <w:r>
              <w:rPr>
                <w:noProof/>
                <w:webHidden/>
              </w:rPr>
              <w:instrText xml:space="preserve"> PAGEREF _Toc175720671 \h </w:instrText>
            </w:r>
            <w:r>
              <w:rPr>
                <w:noProof/>
                <w:webHidden/>
              </w:rPr>
            </w:r>
            <w:r>
              <w:rPr>
                <w:noProof/>
                <w:webHidden/>
              </w:rPr>
              <w:fldChar w:fldCharType="separate"/>
            </w:r>
            <w:r>
              <w:rPr>
                <w:noProof/>
                <w:webHidden/>
              </w:rPr>
              <w:t>7</w:t>
            </w:r>
            <w:r>
              <w:rPr>
                <w:noProof/>
                <w:webHidden/>
              </w:rPr>
              <w:fldChar w:fldCharType="end"/>
            </w:r>
          </w:hyperlink>
        </w:p>
        <w:p w14:paraId="2077E743" w14:textId="19C04AE5" w:rsidR="005D556E" w:rsidRDefault="00000000">
          <w:pPr>
            <w:pStyle w:val="TOC1"/>
            <w:tabs>
              <w:tab w:val="right" w:leader="dot" w:pos="9016"/>
            </w:tabs>
            <w:rPr>
              <w:rFonts w:eastAsiaTheme="minorEastAsia"/>
              <w:noProof/>
              <w:lang w:eastAsia="en-IN"/>
            </w:rPr>
          </w:pPr>
          <w:hyperlink w:anchor="_Toc175720672" w:history="1">
            <w:r w:rsidRPr="007D32A4">
              <w:rPr>
                <w:rStyle w:val="Hyperlink"/>
                <w:noProof/>
              </w:rPr>
              <w:t>To determine T Mobile US performance, we can assess indicators across various periods. Here are some key details regarding T-Mobile's return</w:t>
            </w:r>
            <w:r>
              <w:rPr>
                <w:noProof/>
                <w:webHidden/>
              </w:rPr>
              <w:tab/>
            </w:r>
            <w:r>
              <w:rPr>
                <w:noProof/>
                <w:webHidden/>
              </w:rPr>
              <w:fldChar w:fldCharType="begin"/>
            </w:r>
            <w:r>
              <w:rPr>
                <w:noProof/>
                <w:webHidden/>
              </w:rPr>
              <w:instrText xml:space="preserve"> PAGEREF _Toc175720672 \h </w:instrText>
            </w:r>
            <w:r>
              <w:rPr>
                <w:noProof/>
                <w:webHidden/>
              </w:rPr>
            </w:r>
            <w:r>
              <w:rPr>
                <w:noProof/>
                <w:webHidden/>
              </w:rPr>
              <w:fldChar w:fldCharType="separate"/>
            </w:r>
            <w:r>
              <w:rPr>
                <w:noProof/>
                <w:webHidden/>
              </w:rPr>
              <w:t>8</w:t>
            </w:r>
            <w:r>
              <w:rPr>
                <w:noProof/>
                <w:webHidden/>
              </w:rPr>
              <w:fldChar w:fldCharType="end"/>
            </w:r>
          </w:hyperlink>
        </w:p>
        <w:p w14:paraId="32EFBDF2" w14:textId="5D40FAB5" w:rsidR="005D556E" w:rsidRDefault="00000000">
          <w:pPr>
            <w:pStyle w:val="TOC1"/>
            <w:tabs>
              <w:tab w:val="right" w:leader="dot" w:pos="9016"/>
            </w:tabs>
            <w:rPr>
              <w:rFonts w:eastAsiaTheme="minorEastAsia"/>
              <w:noProof/>
              <w:lang w:eastAsia="en-IN"/>
            </w:rPr>
          </w:pPr>
          <w:hyperlink w:anchor="_Toc175720673" w:history="1">
            <w:r w:rsidRPr="007D32A4">
              <w:rPr>
                <w:rStyle w:val="Hyperlink"/>
                <w:noProof/>
              </w:rPr>
              <w:t>The Compound Annual Growth Rate (CAGR) for T-Mobile US, Inc.</w:t>
            </w:r>
            <w:r>
              <w:rPr>
                <w:noProof/>
                <w:webHidden/>
              </w:rPr>
              <w:tab/>
            </w:r>
            <w:r>
              <w:rPr>
                <w:noProof/>
                <w:webHidden/>
              </w:rPr>
              <w:fldChar w:fldCharType="begin"/>
            </w:r>
            <w:r>
              <w:rPr>
                <w:noProof/>
                <w:webHidden/>
              </w:rPr>
              <w:instrText xml:space="preserve"> PAGEREF _Toc175720673 \h </w:instrText>
            </w:r>
            <w:r>
              <w:rPr>
                <w:noProof/>
                <w:webHidden/>
              </w:rPr>
            </w:r>
            <w:r>
              <w:rPr>
                <w:noProof/>
                <w:webHidden/>
              </w:rPr>
              <w:fldChar w:fldCharType="separate"/>
            </w:r>
            <w:r>
              <w:rPr>
                <w:noProof/>
                <w:webHidden/>
              </w:rPr>
              <w:t>9</w:t>
            </w:r>
            <w:r>
              <w:rPr>
                <w:noProof/>
                <w:webHidden/>
              </w:rPr>
              <w:fldChar w:fldCharType="end"/>
            </w:r>
          </w:hyperlink>
        </w:p>
        <w:p w14:paraId="3256C721" w14:textId="4C23BE24" w:rsidR="005D556E" w:rsidRDefault="00000000">
          <w:pPr>
            <w:pStyle w:val="TOC2"/>
            <w:tabs>
              <w:tab w:val="right" w:leader="dot" w:pos="9016"/>
            </w:tabs>
            <w:rPr>
              <w:rFonts w:eastAsiaTheme="minorEastAsia"/>
              <w:noProof/>
              <w:lang w:eastAsia="en-IN"/>
            </w:rPr>
          </w:pPr>
          <w:hyperlink w:anchor="_Toc175720674" w:history="1">
            <w:r w:rsidRPr="007D32A4">
              <w:rPr>
                <w:rStyle w:val="Hyperlink"/>
                <w:noProof/>
              </w:rPr>
              <w:t>Sharpe Ratio:</w:t>
            </w:r>
            <w:r>
              <w:rPr>
                <w:noProof/>
                <w:webHidden/>
              </w:rPr>
              <w:tab/>
            </w:r>
            <w:r>
              <w:rPr>
                <w:noProof/>
                <w:webHidden/>
              </w:rPr>
              <w:fldChar w:fldCharType="begin"/>
            </w:r>
            <w:r>
              <w:rPr>
                <w:noProof/>
                <w:webHidden/>
              </w:rPr>
              <w:instrText xml:space="preserve"> PAGEREF _Toc175720674 \h </w:instrText>
            </w:r>
            <w:r>
              <w:rPr>
                <w:noProof/>
                <w:webHidden/>
              </w:rPr>
            </w:r>
            <w:r>
              <w:rPr>
                <w:noProof/>
                <w:webHidden/>
              </w:rPr>
              <w:fldChar w:fldCharType="separate"/>
            </w:r>
            <w:r>
              <w:rPr>
                <w:noProof/>
                <w:webHidden/>
              </w:rPr>
              <w:t>10</w:t>
            </w:r>
            <w:r>
              <w:rPr>
                <w:noProof/>
                <w:webHidden/>
              </w:rPr>
              <w:fldChar w:fldCharType="end"/>
            </w:r>
          </w:hyperlink>
        </w:p>
        <w:p w14:paraId="46220B23" w14:textId="4E443EA8" w:rsidR="005D556E" w:rsidRDefault="00000000">
          <w:pPr>
            <w:pStyle w:val="TOC1"/>
            <w:tabs>
              <w:tab w:val="right" w:leader="dot" w:pos="9016"/>
            </w:tabs>
            <w:rPr>
              <w:rFonts w:eastAsiaTheme="minorEastAsia"/>
              <w:noProof/>
              <w:lang w:eastAsia="en-IN"/>
            </w:rPr>
          </w:pPr>
          <w:hyperlink w:anchor="_Toc175720675" w:history="1">
            <w:r w:rsidRPr="007D32A4">
              <w:rPr>
                <w:rStyle w:val="Hyperlink"/>
                <w:noProof/>
              </w:rPr>
              <w:t xml:space="preserve"> Charter Communications (CHTR)</w:t>
            </w:r>
            <w:r>
              <w:rPr>
                <w:noProof/>
                <w:webHidden/>
              </w:rPr>
              <w:tab/>
            </w:r>
            <w:r>
              <w:rPr>
                <w:noProof/>
                <w:webHidden/>
              </w:rPr>
              <w:fldChar w:fldCharType="begin"/>
            </w:r>
            <w:r>
              <w:rPr>
                <w:noProof/>
                <w:webHidden/>
              </w:rPr>
              <w:instrText xml:space="preserve"> PAGEREF _Toc175720675 \h </w:instrText>
            </w:r>
            <w:r>
              <w:rPr>
                <w:noProof/>
                <w:webHidden/>
              </w:rPr>
            </w:r>
            <w:r>
              <w:rPr>
                <w:noProof/>
                <w:webHidden/>
              </w:rPr>
              <w:fldChar w:fldCharType="separate"/>
            </w:r>
            <w:r>
              <w:rPr>
                <w:noProof/>
                <w:webHidden/>
              </w:rPr>
              <w:t>12</w:t>
            </w:r>
            <w:r>
              <w:rPr>
                <w:noProof/>
                <w:webHidden/>
              </w:rPr>
              <w:fldChar w:fldCharType="end"/>
            </w:r>
          </w:hyperlink>
        </w:p>
        <w:p w14:paraId="231228DD" w14:textId="03C40332" w:rsidR="005D556E" w:rsidRDefault="00000000">
          <w:pPr>
            <w:pStyle w:val="TOC1"/>
            <w:tabs>
              <w:tab w:val="right" w:leader="dot" w:pos="9016"/>
            </w:tabs>
            <w:rPr>
              <w:rFonts w:eastAsiaTheme="minorEastAsia"/>
              <w:noProof/>
              <w:lang w:eastAsia="en-IN"/>
            </w:rPr>
          </w:pPr>
          <w:hyperlink w:anchor="_Toc175720676" w:history="1">
            <w:r w:rsidRPr="007D32A4">
              <w:rPr>
                <w:rStyle w:val="Hyperlink"/>
                <w:noProof/>
              </w:rPr>
              <w:t>The construction option strategies: the Straddle.</w:t>
            </w:r>
            <w:r>
              <w:rPr>
                <w:noProof/>
                <w:webHidden/>
              </w:rPr>
              <w:tab/>
            </w:r>
            <w:r>
              <w:rPr>
                <w:noProof/>
                <w:webHidden/>
              </w:rPr>
              <w:fldChar w:fldCharType="begin"/>
            </w:r>
            <w:r>
              <w:rPr>
                <w:noProof/>
                <w:webHidden/>
              </w:rPr>
              <w:instrText xml:space="preserve"> PAGEREF _Toc175720676 \h </w:instrText>
            </w:r>
            <w:r>
              <w:rPr>
                <w:noProof/>
                <w:webHidden/>
              </w:rPr>
            </w:r>
            <w:r>
              <w:rPr>
                <w:noProof/>
                <w:webHidden/>
              </w:rPr>
              <w:fldChar w:fldCharType="separate"/>
            </w:r>
            <w:r>
              <w:rPr>
                <w:noProof/>
                <w:webHidden/>
              </w:rPr>
              <w:t>15</w:t>
            </w:r>
            <w:r>
              <w:rPr>
                <w:noProof/>
                <w:webHidden/>
              </w:rPr>
              <w:fldChar w:fldCharType="end"/>
            </w:r>
          </w:hyperlink>
        </w:p>
        <w:p w14:paraId="0AB67663" w14:textId="3A37559E" w:rsidR="005D556E" w:rsidRDefault="00000000">
          <w:pPr>
            <w:pStyle w:val="TOC1"/>
            <w:tabs>
              <w:tab w:val="right" w:leader="dot" w:pos="9016"/>
            </w:tabs>
            <w:rPr>
              <w:rFonts w:eastAsiaTheme="minorEastAsia"/>
              <w:noProof/>
              <w:lang w:eastAsia="en-IN"/>
            </w:rPr>
          </w:pPr>
          <w:hyperlink w:anchor="_Toc175720677" w:history="1">
            <w:r w:rsidRPr="007D32A4">
              <w:rPr>
                <w:rStyle w:val="Hyperlink"/>
                <w:noProof/>
              </w:rPr>
              <w:t>Performance of the 10-Year Treasury Note (January - December 2023)</w:t>
            </w:r>
            <w:r>
              <w:rPr>
                <w:noProof/>
                <w:webHidden/>
              </w:rPr>
              <w:tab/>
            </w:r>
            <w:r>
              <w:rPr>
                <w:noProof/>
                <w:webHidden/>
              </w:rPr>
              <w:fldChar w:fldCharType="begin"/>
            </w:r>
            <w:r>
              <w:rPr>
                <w:noProof/>
                <w:webHidden/>
              </w:rPr>
              <w:instrText xml:space="preserve"> PAGEREF _Toc175720677 \h </w:instrText>
            </w:r>
            <w:r>
              <w:rPr>
                <w:noProof/>
                <w:webHidden/>
              </w:rPr>
            </w:r>
            <w:r>
              <w:rPr>
                <w:noProof/>
                <w:webHidden/>
              </w:rPr>
              <w:fldChar w:fldCharType="separate"/>
            </w:r>
            <w:r>
              <w:rPr>
                <w:noProof/>
                <w:webHidden/>
              </w:rPr>
              <w:t>17</w:t>
            </w:r>
            <w:r>
              <w:rPr>
                <w:noProof/>
                <w:webHidden/>
              </w:rPr>
              <w:fldChar w:fldCharType="end"/>
            </w:r>
          </w:hyperlink>
        </w:p>
        <w:p w14:paraId="14E86E1D" w14:textId="375E4082" w:rsidR="005D556E" w:rsidRDefault="00000000">
          <w:pPr>
            <w:pStyle w:val="TOC1"/>
            <w:tabs>
              <w:tab w:val="right" w:leader="dot" w:pos="9016"/>
            </w:tabs>
            <w:rPr>
              <w:rFonts w:eastAsiaTheme="minorEastAsia"/>
              <w:noProof/>
              <w:lang w:eastAsia="en-IN"/>
            </w:rPr>
          </w:pPr>
          <w:hyperlink w:anchor="_Toc175720678" w:history="1">
            <w:r w:rsidRPr="007D32A4">
              <w:rPr>
                <w:rStyle w:val="Hyperlink"/>
                <w:noProof/>
              </w:rPr>
              <w:t>Impact of Changes in the 10-Year Treasury Yield on Consumer Debt</w:t>
            </w:r>
            <w:r>
              <w:rPr>
                <w:noProof/>
                <w:webHidden/>
              </w:rPr>
              <w:tab/>
            </w:r>
            <w:r>
              <w:rPr>
                <w:noProof/>
                <w:webHidden/>
              </w:rPr>
              <w:fldChar w:fldCharType="begin"/>
            </w:r>
            <w:r>
              <w:rPr>
                <w:noProof/>
                <w:webHidden/>
              </w:rPr>
              <w:instrText xml:space="preserve"> PAGEREF _Toc175720678 \h </w:instrText>
            </w:r>
            <w:r>
              <w:rPr>
                <w:noProof/>
                <w:webHidden/>
              </w:rPr>
            </w:r>
            <w:r>
              <w:rPr>
                <w:noProof/>
                <w:webHidden/>
              </w:rPr>
              <w:fldChar w:fldCharType="separate"/>
            </w:r>
            <w:r>
              <w:rPr>
                <w:noProof/>
                <w:webHidden/>
              </w:rPr>
              <w:t>19</w:t>
            </w:r>
            <w:r>
              <w:rPr>
                <w:noProof/>
                <w:webHidden/>
              </w:rPr>
              <w:fldChar w:fldCharType="end"/>
            </w:r>
          </w:hyperlink>
        </w:p>
        <w:p w14:paraId="269C80C0" w14:textId="35DD9657" w:rsidR="005D556E" w:rsidRDefault="00000000">
          <w:r>
            <w:rPr>
              <w:b/>
              <w:bCs/>
              <w:lang w:val="en-GB"/>
            </w:rPr>
            <w:fldChar w:fldCharType="end"/>
          </w:r>
        </w:p>
      </w:sdtContent>
    </w:sdt>
    <w:p w14:paraId="5F2F820E" w14:textId="77777777" w:rsidR="00701C63" w:rsidRDefault="00701C63" w:rsidP="00701C63">
      <w:pPr>
        <w:pStyle w:val="Heading1"/>
        <w:rPr>
          <w:rFonts w:eastAsiaTheme="minorEastAsia"/>
        </w:rPr>
      </w:pPr>
    </w:p>
    <w:p w14:paraId="789A062F" w14:textId="77777777" w:rsidR="00701C63" w:rsidRDefault="00701C63" w:rsidP="00701C63">
      <w:pPr>
        <w:pStyle w:val="Heading1"/>
        <w:rPr>
          <w:rFonts w:eastAsiaTheme="minorEastAsia"/>
        </w:rPr>
      </w:pPr>
    </w:p>
    <w:p w14:paraId="491D7FAB" w14:textId="77777777" w:rsidR="00701C63" w:rsidRDefault="00701C63" w:rsidP="00701C63">
      <w:pPr>
        <w:pStyle w:val="Heading1"/>
        <w:rPr>
          <w:rFonts w:eastAsiaTheme="minorEastAsia"/>
        </w:rPr>
      </w:pPr>
    </w:p>
    <w:p w14:paraId="3C190A18" w14:textId="77777777" w:rsidR="00A97928" w:rsidRPr="00A97928" w:rsidRDefault="00A97928" w:rsidP="00A97928"/>
    <w:p w14:paraId="1C1651AC" w14:textId="77777777" w:rsidR="00701C63" w:rsidRDefault="00701C63" w:rsidP="00701C63">
      <w:pPr>
        <w:pStyle w:val="Heading1"/>
        <w:rPr>
          <w:rFonts w:eastAsiaTheme="minorEastAsia"/>
        </w:rPr>
      </w:pPr>
    </w:p>
    <w:p w14:paraId="4FC915B5" w14:textId="77777777" w:rsidR="005D556E" w:rsidRDefault="005D556E" w:rsidP="00A97928">
      <w:bookmarkStart w:id="0" w:name="_Toc175720665"/>
    </w:p>
    <w:p w14:paraId="21B95878" w14:textId="77777777" w:rsidR="00A97928" w:rsidRDefault="00A97928" w:rsidP="00A97928"/>
    <w:p w14:paraId="2AF3570D" w14:textId="77777777" w:rsidR="005D556E" w:rsidRDefault="005D556E" w:rsidP="00701C63">
      <w:pPr>
        <w:pStyle w:val="Heading1"/>
        <w:rPr>
          <w:rFonts w:eastAsiaTheme="minorEastAsia"/>
        </w:rPr>
      </w:pPr>
    </w:p>
    <w:p w14:paraId="02EBF41E" w14:textId="7052938C" w:rsidR="62001D51" w:rsidRDefault="00000000" w:rsidP="00701C63">
      <w:pPr>
        <w:pStyle w:val="Heading1"/>
        <w:rPr>
          <w:rFonts w:eastAsiaTheme="minorEastAsia"/>
        </w:rPr>
      </w:pPr>
      <w:r w:rsidRPr="5CCDA024">
        <w:rPr>
          <w:rFonts w:eastAsiaTheme="minorEastAsia"/>
        </w:rPr>
        <w:t>Overview of T-Mobile US, Inc.</w:t>
      </w:r>
      <w:bookmarkEnd w:id="0"/>
    </w:p>
    <w:p w14:paraId="0E302FE9" w14:textId="77777777" w:rsidR="00701C63" w:rsidRPr="00701C63" w:rsidRDefault="00701C63" w:rsidP="00701C63"/>
    <w:p w14:paraId="73807D74" w14:textId="2637D987" w:rsidR="55A722E3" w:rsidRDefault="00000000" w:rsidP="5CCDA024">
      <w:pPr>
        <w:rPr>
          <w:rFonts w:eastAsiaTheme="minorEastAsia"/>
          <w:sz w:val="24"/>
          <w:szCs w:val="24"/>
        </w:rPr>
      </w:pPr>
      <w:r w:rsidRPr="5CCDA024">
        <w:rPr>
          <w:rFonts w:eastAsiaTheme="minorEastAsia"/>
          <w:sz w:val="24"/>
          <w:szCs w:val="24"/>
        </w:rPr>
        <w:t xml:space="preserve">T Mobile is having a day, as a brand. Reaching this point was not an overnight success story. It all started back in 1994 when </w:t>
      </w:r>
      <w:proofErr w:type="spellStart"/>
      <w:r w:rsidRPr="5CCDA024">
        <w:rPr>
          <w:rFonts w:eastAsiaTheme="minorEastAsia"/>
          <w:sz w:val="24"/>
          <w:szCs w:val="24"/>
        </w:rPr>
        <w:t>VoiceStream</w:t>
      </w:r>
      <w:proofErr w:type="spellEnd"/>
      <w:r w:rsidRPr="5CCDA024">
        <w:rPr>
          <w:rFonts w:eastAsiaTheme="minorEastAsia"/>
          <w:sz w:val="24"/>
          <w:szCs w:val="24"/>
        </w:rPr>
        <w:t xml:space="preserve"> Wireless PCS was founded as part of Western Wireless Corporation. By 1999 </w:t>
      </w:r>
      <w:proofErr w:type="spellStart"/>
      <w:r w:rsidRPr="5CCDA024">
        <w:rPr>
          <w:rFonts w:eastAsiaTheme="minorEastAsia"/>
          <w:sz w:val="24"/>
          <w:szCs w:val="24"/>
        </w:rPr>
        <w:t>VoiceStream</w:t>
      </w:r>
      <w:proofErr w:type="spellEnd"/>
      <w:r w:rsidRPr="5CCDA024">
        <w:rPr>
          <w:rFonts w:eastAsiaTheme="minorEastAsia"/>
          <w:sz w:val="24"/>
          <w:szCs w:val="24"/>
        </w:rPr>
        <w:t xml:space="preserve"> had branched out from its parent company and in 2001 Deutsche Telekom acquired </w:t>
      </w:r>
      <w:proofErr w:type="spellStart"/>
      <w:r w:rsidRPr="5CCDA024">
        <w:rPr>
          <w:rFonts w:eastAsiaTheme="minorEastAsia"/>
          <w:sz w:val="24"/>
          <w:szCs w:val="24"/>
        </w:rPr>
        <w:t>VoiceStream</w:t>
      </w:r>
      <w:proofErr w:type="spellEnd"/>
      <w:r w:rsidRPr="5CCDA024">
        <w:rPr>
          <w:rFonts w:eastAsiaTheme="minorEastAsia"/>
          <w:sz w:val="24"/>
          <w:szCs w:val="24"/>
        </w:rPr>
        <w:t xml:space="preserve"> leading to the birth of the T Mobile brand on September 4, 2002.</w:t>
      </w:r>
    </w:p>
    <w:p w14:paraId="03B2A6DD" w14:textId="4B4B0746" w:rsidR="55A722E3" w:rsidRDefault="00000000" w:rsidP="5CCDA024">
      <w:pPr>
        <w:rPr>
          <w:rFonts w:eastAsiaTheme="minorEastAsia"/>
          <w:sz w:val="24"/>
          <w:szCs w:val="24"/>
        </w:rPr>
      </w:pPr>
      <w:r w:rsidRPr="5CCDA024">
        <w:rPr>
          <w:rFonts w:eastAsiaTheme="minorEastAsia"/>
          <w:sz w:val="24"/>
          <w:szCs w:val="24"/>
        </w:rPr>
        <w:t>Back in my college days</w:t>
      </w:r>
      <w:r w:rsidR="00701C63">
        <w:rPr>
          <w:rFonts w:eastAsiaTheme="minorEastAsia"/>
          <w:sz w:val="24"/>
          <w:szCs w:val="24"/>
        </w:rPr>
        <w:t>,</w:t>
      </w:r>
      <w:r w:rsidRPr="5CCDA024">
        <w:rPr>
          <w:rFonts w:eastAsiaTheme="minorEastAsia"/>
          <w:sz w:val="24"/>
          <w:szCs w:val="24"/>
        </w:rPr>
        <w:t xml:space="preserve"> I worked at a Circuit City store in Colorado selling services when I was approached by a representative from </w:t>
      </w:r>
      <w:proofErr w:type="spellStart"/>
      <w:r w:rsidRPr="5CCDA024">
        <w:rPr>
          <w:rFonts w:eastAsiaTheme="minorEastAsia"/>
          <w:sz w:val="24"/>
          <w:szCs w:val="24"/>
        </w:rPr>
        <w:t>VoiceStream</w:t>
      </w:r>
      <w:proofErr w:type="spellEnd"/>
      <w:r w:rsidRPr="5CCDA024">
        <w:rPr>
          <w:rFonts w:eastAsiaTheme="minorEastAsia"/>
          <w:sz w:val="24"/>
          <w:szCs w:val="24"/>
        </w:rPr>
        <w:t xml:space="preserve"> who recruited me to join the company. Since then, I've been part of the journey from </w:t>
      </w:r>
      <w:proofErr w:type="spellStart"/>
      <w:r w:rsidRPr="5CCDA024">
        <w:rPr>
          <w:rFonts w:eastAsiaTheme="minorEastAsia"/>
          <w:sz w:val="24"/>
          <w:szCs w:val="24"/>
        </w:rPr>
        <w:t>VoiceStream</w:t>
      </w:r>
      <w:proofErr w:type="spellEnd"/>
      <w:r w:rsidRPr="5CCDA024">
        <w:rPr>
          <w:rFonts w:eastAsiaTheme="minorEastAsia"/>
          <w:sz w:val="24"/>
          <w:szCs w:val="24"/>
        </w:rPr>
        <w:t xml:space="preserve"> to T Mobile. Witnessed the transformation into a powerful T Mobile after merging with Sprint in 2020. Along the way, there have been obstacles. I've come to understand the importance of taking risks and seizing opportunities. Both brands and individuals experience growth when they step out of their comfort zones and embrace challenges, for their </w:t>
      </w:r>
      <w:r w:rsidR="00701C63">
        <w:rPr>
          <w:rFonts w:eastAsiaTheme="minorEastAsia"/>
          <w:sz w:val="24"/>
          <w:szCs w:val="24"/>
        </w:rPr>
        <w:t>customer's</w:t>
      </w:r>
      <w:r w:rsidRPr="5CCDA024">
        <w:rPr>
          <w:rFonts w:eastAsiaTheme="minorEastAsia"/>
          <w:sz w:val="24"/>
          <w:szCs w:val="24"/>
        </w:rPr>
        <w:t xml:space="preserve"> sake.</w:t>
      </w:r>
      <w:r w:rsidR="674268D8" w:rsidRPr="5CCDA024">
        <w:rPr>
          <w:rFonts w:eastAsiaTheme="minorEastAsia"/>
          <w:sz w:val="24"/>
          <w:szCs w:val="24"/>
        </w:rPr>
        <w:t xml:space="preserve"> (Katz, 2022)</w:t>
      </w:r>
    </w:p>
    <w:p w14:paraId="376CE7D5" w14:textId="5453488C" w:rsidR="2A5F0A12" w:rsidRDefault="2A5F0A12" w:rsidP="5CCDA024">
      <w:pPr>
        <w:rPr>
          <w:rFonts w:eastAsiaTheme="minorEastAsia"/>
          <w:b/>
          <w:bCs/>
          <w:sz w:val="24"/>
          <w:szCs w:val="24"/>
        </w:rPr>
      </w:pPr>
    </w:p>
    <w:p w14:paraId="7BF0B1B7" w14:textId="278D2ADA" w:rsidR="604B1E19" w:rsidRDefault="604B1E19" w:rsidP="5CCDA024">
      <w:pPr>
        <w:rPr>
          <w:rFonts w:eastAsiaTheme="minorEastAsia"/>
          <w:sz w:val="24"/>
          <w:szCs w:val="24"/>
        </w:rPr>
      </w:pPr>
    </w:p>
    <w:p w14:paraId="0F03AD2A" w14:textId="40BF1CE3" w:rsidR="2D8F74EC" w:rsidRDefault="00000000" w:rsidP="5CCDA024">
      <w:pPr>
        <w:rPr>
          <w:rFonts w:eastAsiaTheme="minorEastAsia"/>
          <w:sz w:val="24"/>
          <w:szCs w:val="24"/>
        </w:rPr>
      </w:pPr>
      <w:bookmarkStart w:id="1" w:name="_Toc175720666"/>
      <w:r w:rsidRPr="00701C63">
        <w:rPr>
          <w:rStyle w:val="Heading1Char"/>
        </w:rPr>
        <w:t>Business Model</w:t>
      </w:r>
      <w:bookmarkEnd w:id="1"/>
      <w:r w:rsidRPr="5CCDA024">
        <w:rPr>
          <w:rFonts w:eastAsiaTheme="minorEastAsia"/>
          <w:sz w:val="24"/>
          <w:szCs w:val="24"/>
        </w:rPr>
        <w:t>:</w:t>
      </w:r>
    </w:p>
    <w:p w14:paraId="0720CFEF" w14:textId="1F021FB5" w:rsidR="2D8F74EC" w:rsidRDefault="00000000" w:rsidP="5CCDA024">
      <w:pPr>
        <w:rPr>
          <w:rFonts w:eastAsiaTheme="minorEastAsia"/>
          <w:sz w:val="24"/>
          <w:szCs w:val="24"/>
        </w:rPr>
      </w:pPr>
      <w:r w:rsidRPr="5CCDA024">
        <w:rPr>
          <w:rFonts w:eastAsiaTheme="minorEastAsia"/>
          <w:sz w:val="24"/>
          <w:szCs w:val="24"/>
        </w:rPr>
        <w:t xml:space="preserve"> </w:t>
      </w:r>
      <w:r w:rsidR="0BC35D1C" w:rsidRPr="5CCDA024">
        <w:rPr>
          <w:rFonts w:eastAsiaTheme="minorEastAsia"/>
          <w:sz w:val="24"/>
          <w:szCs w:val="24"/>
        </w:rPr>
        <w:t>T</w:t>
      </w:r>
      <w:r w:rsidR="37DF1843" w:rsidRPr="5CCDA024">
        <w:rPr>
          <w:rFonts w:eastAsiaTheme="minorEastAsia"/>
          <w:sz w:val="24"/>
          <w:szCs w:val="24"/>
        </w:rPr>
        <w:t>-</w:t>
      </w:r>
      <w:r w:rsidR="0BC35D1C" w:rsidRPr="5CCDA024">
        <w:rPr>
          <w:rFonts w:eastAsiaTheme="minorEastAsia"/>
          <w:sz w:val="24"/>
          <w:szCs w:val="24"/>
        </w:rPr>
        <w:t xml:space="preserve">Mobile follows a business strategy </w:t>
      </w:r>
      <w:proofErr w:type="spellStart"/>
      <w:r w:rsidR="00A97928">
        <w:rPr>
          <w:rFonts w:eastAsiaTheme="minorEastAsia"/>
          <w:sz w:val="24"/>
          <w:szCs w:val="24"/>
        </w:rPr>
        <w:t>centered</w:t>
      </w:r>
      <w:proofErr w:type="spellEnd"/>
      <w:r w:rsidR="0BC35D1C" w:rsidRPr="5CCDA024">
        <w:rPr>
          <w:rFonts w:eastAsiaTheme="minorEastAsia"/>
          <w:sz w:val="24"/>
          <w:szCs w:val="24"/>
        </w:rPr>
        <w:t xml:space="preserve"> on offering budget services with clear pricing dependable network reach and top-notch customer care. They make money through service subscriptions selling devices and additional services. Their focus is, on serving individuals, families</w:t>
      </w:r>
      <w:r w:rsidR="004B5E47">
        <w:rPr>
          <w:rFonts w:eastAsiaTheme="minorEastAsia"/>
          <w:sz w:val="24"/>
          <w:szCs w:val="24"/>
        </w:rPr>
        <w:t>,</w:t>
      </w:r>
      <w:r w:rsidR="0BC35D1C" w:rsidRPr="5CCDA024">
        <w:rPr>
          <w:rFonts w:eastAsiaTheme="minorEastAsia"/>
          <w:sz w:val="24"/>
          <w:szCs w:val="24"/>
        </w:rPr>
        <w:t xml:space="preserve"> and small businesses. Important tasks involve maintaining network infrastructure assisting customers and creating products. </w:t>
      </w:r>
      <w:r w:rsidR="00A97928">
        <w:rPr>
          <w:rFonts w:eastAsiaTheme="minorEastAsia"/>
          <w:sz w:val="24"/>
          <w:szCs w:val="24"/>
        </w:rPr>
        <w:t>T-Mobile's</w:t>
      </w:r>
      <w:r w:rsidR="0BC35D1C" w:rsidRPr="5CCDA024">
        <w:rPr>
          <w:rFonts w:eastAsiaTheme="minorEastAsia"/>
          <w:sz w:val="24"/>
          <w:szCs w:val="24"/>
        </w:rPr>
        <w:t xml:space="preserve"> triumph stems from providing </w:t>
      </w:r>
      <w:r w:rsidR="004B5E47">
        <w:rPr>
          <w:rFonts w:eastAsiaTheme="minorEastAsia"/>
          <w:sz w:val="24"/>
          <w:szCs w:val="24"/>
        </w:rPr>
        <w:t>cost-customer-oriented</w:t>
      </w:r>
      <w:r w:rsidR="0BC35D1C" w:rsidRPr="5CCDA024">
        <w:rPr>
          <w:rFonts w:eastAsiaTheme="minorEastAsia"/>
          <w:sz w:val="24"/>
          <w:szCs w:val="24"/>
        </w:rPr>
        <w:t xml:space="preserve"> options.</w:t>
      </w:r>
      <w:r w:rsidR="79E34527" w:rsidRPr="5CCDA024">
        <w:rPr>
          <w:rFonts w:eastAsiaTheme="minorEastAsia"/>
          <w:sz w:val="24"/>
          <w:szCs w:val="24"/>
        </w:rPr>
        <w:t xml:space="preserve"> (</w:t>
      </w:r>
      <w:bookmarkStart w:id="2" w:name="_Int_2LgrmqdE"/>
      <w:proofErr w:type="spellStart"/>
      <w:r w:rsidR="79E34527" w:rsidRPr="5CCDA024">
        <w:rPr>
          <w:rFonts w:eastAsiaTheme="minorEastAsia"/>
          <w:sz w:val="24"/>
          <w:szCs w:val="24"/>
        </w:rPr>
        <w:t>Cuofano</w:t>
      </w:r>
      <w:bookmarkEnd w:id="2"/>
      <w:proofErr w:type="spellEnd"/>
      <w:r w:rsidR="79E34527" w:rsidRPr="5CCDA024">
        <w:rPr>
          <w:rFonts w:eastAsiaTheme="minorEastAsia"/>
          <w:sz w:val="24"/>
          <w:szCs w:val="24"/>
        </w:rPr>
        <w:t>, 2023)</w:t>
      </w:r>
      <w:r w:rsidR="00A97928">
        <w:rPr>
          <w:rFonts w:eastAsiaTheme="minorEastAsia"/>
          <w:sz w:val="24"/>
          <w:szCs w:val="24"/>
        </w:rPr>
        <w:t xml:space="preserve"> </w:t>
      </w:r>
    </w:p>
    <w:p w14:paraId="52897809" w14:textId="0834F846" w:rsidR="6B1C89DC" w:rsidRDefault="00000000" w:rsidP="5CCDA024">
      <w:pPr>
        <w:rPr>
          <w:rFonts w:eastAsiaTheme="minorEastAsia"/>
          <w:sz w:val="24"/>
          <w:szCs w:val="24"/>
        </w:rPr>
      </w:pPr>
      <w:r>
        <w:rPr>
          <w:noProof/>
        </w:rPr>
        <w:lastRenderedPageBreak/>
        <w:drawing>
          <wp:inline distT="0" distB="0" distL="0" distR="0" wp14:anchorId="5A152165" wp14:editId="77AEFFF9">
            <wp:extent cx="5724524" cy="4391025"/>
            <wp:effectExtent l="0" t="0" r="0" b="0"/>
            <wp:docPr id="248073996" name="Picture 24807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73996"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4391025"/>
                    </a:xfrm>
                    <a:prstGeom prst="rect">
                      <a:avLst/>
                    </a:prstGeom>
                  </pic:spPr>
                </pic:pic>
              </a:graphicData>
            </a:graphic>
          </wp:inline>
        </w:drawing>
      </w:r>
    </w:p>
    <w:p w14:paraId="694F4F59" w14:textId="63DB5E14" w:rsidR="6B1C89DC" w:rsidRDefault="00000000" w:rsidP="5CCDA024">
      <w:pPr>
        <w:rPr>
          <w:rFonts w:eastAsiaTheme="minorEastAsia"/>
          <w:sz w:val="24"/>
          <w:szCs w:val="24"/>
        </w:rPr>
      </w:pPr>
      <w:r w:rsidRPr="5CCDA024">
        <w:rPr>
          <w:rFonts w:eastAsiaTheme="minorEastAsia"/>
          <w:sz w:val="24"/>
          <w:szCs w:val="24"/>
        </w:rPr>
        <w:t xml:space="preserve">Sources- </w:t>
      </w:r>
      <w:hyperlink r:id="rId10">
        <w:r w:rsidRPr="5CCDA024">
          <w:rPr>
            <w:rStyle w:val="Hyperlink"/>
            <w:rFonts w:eastAsiaTheme="minorEastAsia"/>
            <w:sz w:val="24"/>
            <w:szCs w:val="24"/>
          </w:rPr>
          <w:t>https://fourweekmba.com/t-mobile-business-model/</w:t>
        </w:r>
      </w:hyperlink>
    </w:p>
    <w:p w14:paraId="6FC4443E" w14:textId="33E27475" w:rsidR="604B1E19" w:rsidRDefault="604B1E19" w:rsidP="5CCDA024">
      <w:pPr>
        <w:rPr>
          <w:rFonts w:eastAsiaTheme="minorEastAsia"/>
          <w:sz w:val="24"/>
          <w:szCs w:val="24"/>
        </w:rPr>
      </w:pPr>
    </w:p>
    <w:p w14:paraId="6998F40D" w14:textId="2AD19C51" w:rsidR="604B1E19" w:rsidRDefault="00000000" w:rsidP="00701C63">
      <w:pPr>
        <w:pStyle w:val="Heading1"/>
        <w:rPr>
          <w:rFonts w:eastAsiaTheme="minorEastAsia"/>
        </w:rPr>
      </w:pPr>
      <w:bookmarkStart w:id="3" w:name="_Toc175720667"/>
      <w:r w:rsidRPr="5CCDA024">
        <w:rPr>
          <w:rFonts w:eastAsiaTheme="minorEastAsia"/>
        </w:rPr>
        <w:t>Target Market:</w:t>
      </w:r>
      <w:bookmarkEnd w:id="3"/>
    </w:p>
    <w:p w14:paraId="09AF7FB5" w14:textId="01932641" w:rsidR="2D26A750" w:rsidRDefault="00000000" w:rsidP="5CCDA024">
      <w:pPr>
        <w:rPr>
          <w:rFonts w:eastAsiaTheme="minorEastAsia"/>
          <w:sz w:val="24"/>
          <w:szCs w:val="24"/>
        </w:rPr>
      </w:pPr>
      <w:r w:rsidRPr="5CCDA024">
        <w:rPr>
          <w:rFonts w:eastAsiaTheme="minorEastAsia"/>
          <w:sz w:val="24"/>
          <w:szCs w:val="24"/>
        </w:rPr>
        <w:t xml:space="preserve">T Mobile aims to reach an audience, in the mobile service market. Their marketing approach is mainly geared towards a specific group. Millennials are a focus for T-Mobile as they are typically </w:t>
      </w:r>
      <w:r w:rsidR="00701C63">
        <w:rPr>
          <w:rFonts w:eastAsiaTheme="minorEastAsia"/>
          <w:sz w:val="24"/>
          <w:szCs w:val="24"/>
        </w:rPr>
        <w:t>tech-savvy</w:t>
      </w:r>
      <w:r w:rsidRPr="5CCDA024">
        <w:rPr>
          <w:rFonts w:eastAsiaTheme="minorEastAsia"/>
          <w:sz w:val="24"/>
          <w:szCs w:val="24"/>
        </w:rPr>
        <w:t xml:space="preserve"> and mindful of their budget. The company resonates with this demographic through its branding emphasis on data plans and competitive pricing. </w:t>
      </w:r>
      <w:r w:rsidR="3B90C3D2" w:rsidRPr="5CCDA024">
        <w:rPr>
          <w:rFonts w:eastAsiaTheme="minorEastAsia"/>
          <w:sz w:val="24"/>
          <w:szCs w:val="24"/>
        </w:rPr>
        <w:t>Moreover,</w:t>
      </w:r>
      <w:r w:rsidRPr="5CCDA024">
        <w:rPr>
          <w:rFonts w:eastAsiaTheme="minorEastAsia"/>
          <w:sz w:val="24"/>
          <w:szCs w:val="24"/>
        </w:rPr>
        <w:t xml:space="preserve"> T Mobile uses references from culture and social media trends to engage with the generation.</w:t>
      </w:r>
    </w:p>
    <w:p w14:paraId="54807FE8" w14:textId="4443E66E" w:rsidR="604B1E19" w:rsidRDefault="00000000" w:rsidP="5CCDA024">
      <w:pPr>
        <w:rPr>
          <w:rFonts w:eastAsiaTheme="minorEastAsia"/>
          <w:sz w:val="24"/>
          <w:szCs w:val="24"/>
        </w:rPr>
      </w:pPr>
      <w:r w:rsidRPr="5CCDA024">
        <w:rPr>
          <w:rFonts w:eastAsiaTheme="minorEastAsia"/>
          <w:sz w:val="24"/>
          <w:szCs w:val="24"/>
        </w:rPr>
        <w:t>It's worth mentioning that T Mobiles' appeal extends beyond millennials. Their emphasis on affordability and network coverage also attracts cost customers of all age groups as well as families seeking budget-friendly plans, for multiple lines.</w:t>
      </w:r>
      <w:r w:rsidR="6CC6D897" w:rsidRPr="5CCDA024">
        <w:rPr>
          <w:rFonts w:eastAsiaTheme="minorEastAsia"/>
          <w:sz w:val="24"/>
          <w:szCs w:val="24"/>
        </w:rPr>
        <w:t xml:space="preserve"> (TBH, 2024)</w:t>
      </w:r>
    </w:p>
    <w:p w14:paraId="7A29772D" w14:textId="110F1FF0" w:rsidR="604B1E19" w:rsidRDefault="604B1E19" w:rsidP="5CCDA024">
      <w:pPr>
        <w:rPr>
          <w:rFonts w:eastAsiaTheme="minorEastAsia"/>
          <w:b/>
          <w:bCs/>
          <w:sz w:val="24"/>
          <w:szCs w:val="24"/>
        </w:rPr>
      </w:pPr>
    </w:p>
    <w:p w14:paraId="0739C3D7" w14:textId="6AEA944C" w:rsidR="00467C24" w:rsidRDefault="00000000" w:rsidP="00701C63">
      <w:pPr>
        <w:pStyle w:val="Heading1"/>
        <w:rPr>
          <w:rFonts w:eastAsiaTheme="minorEastAsia"/>
        </w:rPr>
      </w:pPr>
      <w:bookmarkStart w:id="4" w:name="_Toc175720668"/>
      <w:r w:rsidRPr="5CCDA024">
        <w:rPr>
          <w:rFonts w:eastAsiaTheme="minorEastAsia"/>
        </w:rPr>
        <w:t>Unique Selling Proposition (USP):</w:t>
      </w:r>
      <w:bookmarkEnd w:id="4"/>
    </w:p>
    <w:p w14:paraId="00879F2B" w14:textId="2BEA21CE" w:rsidR="00467C24" w:rsidRDefault="00000000" w:rsidP="5CCDA024">
      <w:pPr>
        <w:rPr>
          <w:rFonts w:eastAsiaTheme="minorEastAsia"/>
          <w:sz w:val="24"/>
          <w:szCs w:val="24"/>
        </w:rPr>
      </w:pPr>
      <w:r w:rsidRPr="5CCDA024">
        <w:rPr>
          <w:rFonts w:eastAsiaTheme="minorEastAsia"/>
          <w:sz w:val="24"/>
          <w:szCs w:val="24"/>
        </w:rPr>
        <w:t>T-Mobile customers enjoy the blend of affordability and excellence along, with a focus on providing top-notch service and a commitment to driving innovation in the wireless industry and, beyond.</w:t>
      </w:r>
      <w:r w:rsidR="3DF7074F" w:rsidRPr="5CCDA024">
        <w:rPr>
          <w:rFonts w:eastAsiaTheme="minorEastAsia"/>
          <w:sz w:val="24"/>
          <w:szCs w:val="24"/>
        </w:rPr>
        <w:t xml:space="preserve"> (T-Mobiles Inc., 2022)</w:t>
      </w:r>
    </w:p>
    <w:p w14:paraId="24FE5BB3" w14:textId="4B27D3DE" w:rsidR="001A6E71" w:rsidRPr="001A6E71" w:rsidRDefault="00000000" w:rsidP="00701C63">
      <w:pPr>
        <w:pStyle w:val="Heading1"/>
        <w:rPr>
          <w:rFonts w:eastAsiaTheme="minorEastAsia"/>
        </w:rPr>
      </w:pPr>
      <w:bookmarkStart w:id="5" w:name="_Toc175720669"/>
      <w:r w:rsidRPr="5CCDA024">
        <w:rPr>
          <w:rFonts w:eastAsiaTheme="minorEastAsia"/>
        </w:rPr>
        <w:lastRenderedPageBreak/>
        <w:t>Key Reasons Why T-Mobile Went Public</w:t>
      </w:r>
      <w:bookmarkEnd w:id="5"/>
    </w:p>
    <w:p w14:paraId="51151995" w14:textId="695D74F0" w:rsidR="004A4CD1" w:rsidRDefault="00000000" w:rsidP="5CCDA024">
      <w:pPr>
        <w:rPr>
          <w:rFonts w:eastAsiaTheme="minorEastAsia"/>
          <w:sz w:val="24"/>
          <w:szCs w:val="24"/>
        </w:rPr>
      </w:pPr>
      <w:r w:rsidRPr="5CCDA024">
        <w:rPr>
          <w:rFonts w:eastAsiaTheme="minorEastAsia"/>
          <w:sz w:val="24"/>
          <w:szCs w:val="24"/>
        </w:rPr>
        <w:t>T Mobile US Inc. (NYSE; TMUS) made an announcement today about starting a sale of 66,150,000 shares of its stock through a registered offering. The company plans to use the money raised for purposes such, as investing in its operations strengthening its financial position, and potentially buying more wireless spectrum, through private deals or government auctions. T Mobile also plans to give the underwriters the option to buy 6,615,000 shares of its stock in this offering.</w:t>
      </w:r>
      <w:r w:rsidR="1EBB1E3F" w:rsidRPr="5CCDA024">
        <w:rPr>
          <w:rFonts w:eastAsiaTheme="minorEastAsia"/>
          <w:sz w:val="24"/>
          <w:szCs w:val="24"/>
        </w:rPr>
        <w:t xml:space="preserve"> (T-Mobiles Inc., 2013)</w:t>
      </w:r>
    </w:p>
    <w:p w14:paraId="23E6F974" w14:textId="68A71084" w:rsidR="004A4CD1" w:rsidRDefault="004A4CD1" w:rsidP="5CCDA024">
      <w:pPr>
        <w:rPr>
          <w:rFonts w:eastAsiaTheme="minorEastAsia"/>
          <w:sz w:val="24"/>
          <w:szCs w:val="24"/>
        </w:rPr>
      </w:pPr>
    </w:p>
    <w:p w14:paraId="04FA8D22" w14:textId="403F9DDA" w:rsidR="004A4CD1" w:rsidRDefault="00000000" w:rsidP="5CCDA024">
      <w:pPr>
        <w:pStyle w:val="ListParagraph"/>
        <w:numPr>
          <w:ilvl w:val="0"/>
          <w:numId w:val="2"/>
        </w:numPr>
        <w:rPr>
          <w:rFonts w:eastAsiaTheme="minorEastAsia"/>
          <w:sz w:val="24"/>
          <w:szCs w:val="24"/>
        </w:rPr>
      </w:pPr>
      <w:r w:rsidRPr="5CCDA024">
        <w:rPr>
          <w:rFonts w:eastAsiaTheme="minorEastAsia"/>
          <w:sz w:val="24"/>
          <w:szCs w:val="24"/>
        </w:rPr>
        <w:t xml:space="preserve">Access, to </w:t>
      </w:r>
      <w:r w:rsidR="15B5FA9A" w:rsidRPr="5CCDA024">
        <w:rPr>
          <w:rFonts w:eastAsiaTheme="minorEastAsia"/>
          <w:sz w:val="24"/>
          <w:szCs w:val="24"/>
        </w:rPr>
        <w:t>Funding: -</w:t>
      </w:r>
    </w:p>
    <w:p w14:paraId="59899D4E" w14:textId="5BCC7C0D" w:rsidR="004A4CD1" w:rsidRDefault="00000000" w:rsidP="5CCDA024">
      <w:pPr>
        <w:rPr>
          <w:rFonts w:eastAsiaTheme="minorEastAsia"/>
          <w:sz w:val="24"/>
          <w:szCs w:val="24"/>
        </w:rPr>
      </w:pPr>
      <w:r w:rsidRPr="5CCDA024">
        <w:rPr>
          <w:rFonts w:eastAsiaTheme="minorEastAsia"/>
          <w:sz w:val="24"/>
          <w:szCs w:val="24"/>
        </w:rPr>
        <w:t>By going public T Mobile can raise an amount of funds by selling shares. This money can be utilized for expanding networks enhancing technology and upgrading infrastructure.</w:t>
      </w:r>
      <w:r w:rsidR="7FBFB5B2" w:rsidRPr="5CCDA024">
        <w:rPr>
          <w:rFonts w:eastAsiaTheme="minorEastAsia"/>
          <w:sz w:val="24"/>
          <w:szCs w:val="24"/>
        </w:rPr>
        <w:t xml:space="preserve"> (T-Mobiles Inc., 2013)</w:t>
      </w:r>
    </w:p>
    <w:p w14:paraId="6B294722" w14:textId="7307E2CC" w:rsidR="004A4CD1" w:rsidRDefault="00000000" w:rsidP="5CCDA024">
      <w:pPr>
        <w:pStyle w:val="ListParagraph"/>
        <w:numPr>
          <w:ilvl w:val="0"/>
          <w:numId w:val="2"/>
        </w:numPr>
        <w:rPr>
          <w:rFonts w:eastAsiaTheme="minorEastAsia"/>
          <w:sz w:val="24"/>
          <w:szCs w:val="24"/>
        </w:rPr>
      </w:pPr>
      <w:r w:rsidRPr="5CCDA024">
        <w:rPr>
          <w:rFonts w:eastAsiaTheme="minorEastAsia"/>
          <w:sz w:val="24"/>
          <w:szCs w:val="24"/>
        </w:rPr>
        <w:t xml:space="preserve">Reducing Debt </w:t>
      </w:r>
      <w:r w:rsidR="391FF323" w:rsidRPr="5CCDA024">
        <w:rPr>
          <w:rFonts w:eastAsiaTheme="minorEastAsia"/>
          <w:sz w:val="24"/>
          <w:szCs w:val="24"/>
        </w:rPr>
        <w:t>Burden: -</w:t>
      </w:r>
    </w:p>
    <w:p w14:paraId="60A13CCC" w14:textId="18828632" w:rsidR="004A4CD1" w:rsidRDefault="00000000" w:rsidP="5CCDA024">
      <w:pPr>
        <w:rPr>
          <w:rFonts w:eastAsiaTheme="minorEastAsia"/>
          <w:sz w:val="24"/>
          <w:szCs w:val="24"/>
        </w:rPr>
      </w:pPr>
      <w:r w:rsidRPr="5CCDA024">
        <w:rPr>
          <w:rFonts w:eastAsiaTheme="minorEastAsia"/>
          <w:sz w:val="24"/>
          <w:szCs w:val="24"/>
        </w:rPr>
        <w:t xml:space="preserve">Public offerings can supply the capital to pay off existing debts. A healthier financial position is appealing to investors. Can enhance the </w:t>
      </w:r>
      <w:r w:rsidR="4117A12E" w:rsidRPr="5CCDA024">
        <w:rPr>
          <w:rFonts w:eastAsiaTheme="minorEastAsia"/>
          <w:sz w:val="24"/>
          <w:szCs w:val="24"/>
        </w:rPr>
        <w:t>company's</w:t>
      </w:r>
      <w:r w:rsidRPr="5CCDA024">
        <w:rPr>
          <w:rFonts w:eastAsiaTheme="minorEastAsia"/>
          <w:sz w:val="24"/>
          <w:szCs w:val="24"/>
        </w:rPr>
        <w:t xml:space="preserve"> </w:t>
      </w:r>
      <w:r w:rsidR="79985282" w:rsidRPr="5CCDA024">
        <w:rPr>
          <w:rFonts w:eastAsiaTheme="minorEastAsia"/>
          <w:sz w:val="24"/>
          <w:szCs w:val="24"/>
        </w:rPr>
        <w:t>wellbeing</w:t>
      </w:r>
      <w:r w:rsidRPr="5CCDA024">
        <w:rPr>
          <w:rFonts w:eastAsiaTheme="minorEastAsia"/>
          <w:sz w:val="24"/>
          <w:szCs w:val="24"/>
        </w:rPr>
        <w:t>.</w:t>
      </w:r>
      <w:r w:rsidR="6038BC61" w:rsidRPr="5CCDA024">
        <w:rPr>
          <w:rFonts w:eastAsiaTheme="minorEastAsia"/>
          <w:sz w:val="24"/>
          <w:szCs w:val="24"/>
        </w:rPr>
        <w:t xml:space="preserve"> (T-Mobiles Inc., 2013)</w:t>
      </w:r>
    </w:p>
    <w:p w14:paraId="47F378E3" w14:textId="5014FF7E" w:rsidR="004A4CD1" w:rsidRDefault="00000000" w:rsidP="5CCDA024">
      <w:pPr>
        <w:pStyle w:val="ListParagraph"/>
        <w:numPr>
          <w:ilvl w:val="0"/>
          <w:numId w:val="2"/>
        </w:numPr>
        <w:rPr>
          <w:rFonts w:eastAsiaTheme="minorEastAsia"/>
          <w:sz w:val="24"/>
          <w:szCs w:val="24"/>
        </w:rPr>
      </w:pPr>
      <w:r w:rsidRPr="5CCDA024">
        <w:rPr>
          <w:rFonts w:eastAsiaTheme="minorEastAsia"/>
          <w:sz w:val="24"/>
          <w:szCs w:val="24"/>
        </w:rPr>
        <w:t xml:space="preserve">Enhanced Visibility and </w:t>
      </w:r>
      <w:r w:rsidR="5E3547CA" w:rsidRPr="5CCDA024">
        <w:rPr>
          <w:rFonts w:eastAsiaTheme="minorEastAsia"/>
          <w:sz w:val="24"/>
          <w:szCs w:val="24"/>
        </w:rPr>
        <w:t>Trustworthiness: -</w:t>
      </w:r>
    </w:p>
    <w:p w14:paraId="669D0038" w14:textId="331FB276" w:rsidR="004A4CD1" w:rsidRDefault="00000000" w:rsidP="5CCDA024">
      <w:pPr>
        <w:rPr>
          <w:rFonts w:eastAsiaTheme="minorEastAsia"/>
          <w:sz w:val="24"/>
          <w:szCs w:val="24"/>
        </w:rPr>
      </w:pPr>
      <w:r w:rsidRPr="5CCDA024">
        <w:rPr>
          <w:rFonts w:eastAsiaTheme="minorEastAsia"/>
          <w:sz w:val="24"/>
          <w:szCs w:val="24"/>
        </w:rPr>
        <w:t>As a traded entity T Mobiles' presence in the market is boosted, attracting customers and potential partners. It also boosts credibility among investors and stakeholders.</w:t>
      </w:r>
      <w:r w:rsidR="787D6ED1" w:rsidRPr="5CCDA024">
        <w:rPr>
          <w:rFonts w:eastAsiaTheme="minorEastAsia"/>
          <w:sz w:val="24"/>
          <w:szCs w:val="24"/>
        </w:rPr>
        <w:t xml:space="preserve"> (T-Mobiles Inc., 2013)</w:t>
      </w:r>
    </w:p>
    <w:p w14:paraId="155D8BC1" w14:textId="040276B7" w:rsidR="004A4CD1" w:rsidRDefault="00000000" w:rsidP="5CCDA024">
      <w:pPr>
        <w:pStyle w:val="ListParagraph"/>
        <w:numPr>
          <w:ilvl w:val="0"/>
          <w:numId w:val="2"/>
        </w:numPr>
        <w:rPr>
          <w:rFonts w:eastAsiaTheme="minorEastAsia"/>
          <w:sz w:val="24"/>
          <w:szCs w:val="24"/>
        </w:rPr>
      </w:pPr>
      <w:r w:rsidRPr="5CCDA024">
        <w:rPr>
          <w:rFonts w:eastAsiaTheme="minorEastAsia"/>
          <w:sz w:val="24"/>
          <w:szCs w:val="24"/>
        </w:rPr>
        <w:t xml:space="preserve">Employee </w:t>
      </w:r>
      <w:r w:rsidR="67793508" w:rsidRPr="5CCDA024">
        <w:rPr>
          <w:rFonts w:eastAsiaTheme="minorEastAsia"/>
          <w:sz w:val="24"/>
          <w:szCs w:val="24"/>
        </w:rPr>
        <w:t>Motivation: -</w:t>
      </w:r>
    </w:p>
    <w:p w14:paraId="20AB2B38" w14:textId="37B37744" w:rsidR="004A4CD1" w:rsidRDefault="00000000" w:rsidP="5CCDA024">
      <w:pPr>
        <w:rPr>
          <w:rFonts w:eastAsiaTheme="minorEastAsia"/>
          <w:sz w:val="24"/>
          <w:szCs w:val="24"/>
        </w:rPr>
      </w:pPr>
      <w:r w:rsidRPr="5CCDA024">
        <w:rPr>
          <w:rFonts w:eastAsiaTheme="minorEastAsia"/>
          <w:sz w:val="24"/>
          <w:szCs w:val="24"/>
        </w:rPr>
        <w:t>The decision to go public empowers T Mobile to provide employees with stock options and equity compensation. This strategy helps in attracting and retaining talent by aligning employee interests with company success.</w:t>
      </w:r>
      <w:r w:rsidR="1E87860F" w:rsidRPr="5CCDA024">
        <w:rPr>
          <w:rFonts w:eastAsiaTheme="minorEastAsia"/>
          <w:sz w:val="24"/>
          <w:szCs w:val="24"/>
        </w:rPr>
        <w:t xml:space="preserve"> (T-Mobiles Inc., 2013)</w:t>
      </w:r>
    </w:p>
    <w:p w14:paraId="5FCFE8F1" w14:textId="07B28745" w:rsidR="004A4CD1" w:rsidRDefault="00000000" w:rsidP="5CCDA024">
      <w:pPr>
        <w:pStyle w:val="ListParagraph"/>
        <w:numPr>
          <w:ilvl w:val="0"/>
          <w:numId w:val="2"/>
        </w:numPr>
        <w:rPr>
          <w:rFonts w:eastAsiaTheme="minorEastAsia"/>
          <w:sz w:val="24"/>
          <w:szCs w:val="24"/>
        </w:rPr>
      </w:pPr>
      <w:r w:rsidRPr="5CCDA024">
        <w:rPr>
          <w:rFonts w:eastAsiaTheme="minorEastAsia"/>
          <w:sz w:val="24"/>
          <w:szCs w:val="24"/>
        </w:rPr>
        <w:t xml:space="preserve">Market </w:t>
      </w:r>
      <w:r w:rsidR="4DAC725A" w:rsidRPr="5CCDA024">
        <w:rPr>
          <w:rFonts w:eastAsiaTheme="minorEastAsia"/>
          <w:sz w:val="24"/>
          <w:szCs w:val="24"/>
        </w:rPr>
        <w:t>Assessment: -</w:t>
      </w:r>
    </w:p>
    <w:p w14:paraId="4CA9B71D" w14:textId="5F15D0D9" w:rsidR="004A4CD1" w:rsidRDefault="00000000" w:rsidP="5CCDA024">
      <w:pPr>
        <w:rPr>
          <w:rFonts w:eastAsiaTheme="minorEastAsia"/>
          <w:sz w:val="24"/>
          <w:szCs w:val="24"/>
        </w:rPr>
      </w:pPr>
      <w:r w:rsidRPr="5CCDA024">
        <w:rPr>
          <w:rFonts w:eastAsiaTheme="minorEastAsia"/>
          <w:sz w:val="24"/>
          <w:szCs w:val="24"/>
        </w:rPr>
        <w:t>Through a listing, T-Mobile can determine its market value. This information aids in planning. Serves as a performance benchmark.</w:t>
      </w:r>
      <w:r w:rsidR="01452DE0" w:rsidRPr="5CCDA024">
        <w:rPr>
          <w:rFonts w:eastAsiaTheme="minorEastAsia"/>
          <w:sz w:val="24"/>
          <w:szCs w:val="24"/>
        </w:rPr>
        <w:t xml:space="preserve"> (T-Mobiles Inc., 2013)</w:t>
      </w:r>
    </w:p>
    <w:p w14:paraId="1B8AD12D" w14:textId="5989417D" w:rsidR="004A4CD1" w:rsidRDefault="00000000" w:rsidP="5CCDA024">
      <w:pPr>
        <w:pStyle w:val="ListParagraph"/>
        <w:numPr>
          <w:ilvl w:val="0"/>
          <w:numId w:val="2"/>
        </w:numPr>
        <w:rPr>
          <w:rFonts w:eastAsiaTheme="minorEastAsia"/>
          <w:sz w:val="24"/>
          <w:szCs w:val="24"/>
        </w:rPr>
      </w:pPr>
      <w:r w:rsidRPr="5CCDA024">
        <w:rPr>
          <w:rFonts w:eastAsiaTheme="minorEastAsia"/>
          <w:sz w:val="24"/>
          <w:szCs w:val="24"/>
        </w:rPr>
        <w:t xml:space="preserve">Flexible Strategic </w:t>
      </w:r>
      <w:r w:rsidR="273432A0" w:rsidRPr="5CCDA024">
        <w:rPr>
          <w:rFonts w:eastAsiaTheme="minorEastAsia"/>
          <w:sz w:val="24"/>
          <w:szCs w:val="24"/>
        </w:rPr>
        <w:t>Approach: -</w:t>
      </w:r>
      <w:r w:rsidRPr="5CCDA024">
        <w:rPr>
          <w:rFonts w:eastAsiaTheme="minorEastAsia"/>
          <w:sz w:val="24"/>
          <w:szCs w:val="24"/>
        </w:rPr>
        <w:t xml:space="preserve"> </w:t>
      </w:r>
    </w:p>
    <w:p w14:paraId="09A8674D" w14:textId="37BB411A" w:rsidR="004A4CD1" w:rsidRDefault="00000000" w:rsidP="5CCDA024">
      <w:pPr>
        <w:rPr>
          <w:rFonts w:eastAsiaTheme="minorEastAsia"/>
          <w:sz w:val="24"/>
          <w:szCs w:val="24"/>
        </w:rPr>
      </w:pPr>
      <w:r w:rsidRPr="5CCDA024">
        <w:rPr>
          <w:rFonts w:eastAsiaTheme="minorEastAsia"/>
          <w:sz w:val="24"/>
          <w:szCs w:val="24"/>
        </w:rPr>
        <w:t xml:space="preserve">With increased capital and resources at hand, T Mobile can actively pursue </w:t>
      </w:r>
      <w:proofErr w:type="spellStart"/>
      <w:r w:rsidR="693F56FB" w:rsidRPr="5CCDA024">
        <w:rPr>
          <w:rFonts w:eastAsiaTheme="minorEastAsia"/>
          <w:sz w:val="24"/>
          <w:szCs w:val="24"/>
        </w:rPr>
        <w:t>endeavors</w:t>
      </w:r>
      <w:proofErr w:type="spellEnd"/>
      <w:r w:rsidRPr="5CCDA024">
        <w:rPr>
          <w:rFonts w:eastAsiaTheme="minorEastAsia"/>
          <w:sz w:val="24"/>
          <w:szCs w:val="24"/>
        </w:rPr>
        <w:t xml:space="preserve"> like acquisitions or partnerships. Such flexibility is crucial, in an industry landscape.</w:t>
      </w:r>
      <w:r w:rsidR="0ACA3941" w:rsidRPr="5CCDA024">
        <w:rPr>
          <w:rFonts w:eastAsiaTheme="minorEastAsia"/>
          <w:sz w:val="24"/>
          <w:szCs w:val="24"/>
        </w:rPr>
        <w:t xml:space="preserve"> (T-Mobiles Inc., 2013)</w:t>
      </w:r>
    </w:p>
    <w:p w14:paraId="4900251C" w14:textId="61682751" w:rsidR="004A4CD1" w:rsidRDefault="004A4CD1" w:rsidP="5CCDA024">
      <w:pPr>
        <w:rPr>
          <w:rFonts w:eastAsiaTheme="minorEastAsia"/>
          <w:b/>
          <w:bCs/>
          <w:sz w:val="24"/>
          <w:szCs w:val="24"/>
        </w:rPr>
      </w:pPr>
    </w:p>
    <w:p w14:paraId="190BE4D6" w14:textId="313B3F82" w:rsidR="001A6E71" w:rsidRPr="001A6E71" w:rsidRDefault="00000000" w:rsidP="00701C63">
      <w:pPr>
        <w:pStyle w:val="Heading1"/>
        <w:rPr>
          <w:rFonts w:eastAsiaTheme="minorEastAsia"/>
        </w:rPr>
      </w:pPr>
      <w:bookmarkStart w:id="6" w:name="_Toc175720670"/>
      <w:r w:rsidRPr="5CCDA024">
        <w:rPr>
          <w:rFonts w:eastAsiaTheme="minorEastAsia"/>
        </w:rPr>
        <w:t>C) Review of T-Mobile’s S-1: Key Risks and Valuation Considerations</w:t>
      </w:r>
      <w:bookmarkEnd w:id="6"/>
    </w:p>
    <w:p w14:paraId="7AAE1763" w14:textId="2B04D7A1" w:rsidR="437E380B" w:rsidRDefault="00000000" w:rsidP="5CCDA024">
      <w:pPr>
        <w:rPr>
          <w:rFonts w:eastAsiaTheme="minorEastAsia"/>
          <w:sz w:val="24"/>
          <w:szCs w:val="24"/>
        </w:rPr>
      </w:pPr>
      <w:r w:rsidRPr="5CCDA024">
        <w:rPr>
          <w:rFonts w:eastAsiaTheme="minorEastAsia"/>
          <w:sz w:val="24"/>
          <w:szCs w:val="24"/>
        </w:rPr>
        <w:t>T-Mobiles' recent submission of the 10 K form, to the SEC outlines challenges that the company may encounter in the coming year. Let's delve into three risks and evaluate how likely they are to materialize.</w:t>
      </w:r>
    </w:p>
    <w:p w14:paraId="2EF2D4FF" w14:textId="7D6E1743" w:rsidR="732105ED" w:rsidRDefault="00000000" w:rsidP="5CCDA024">
      <w:pPr>
        <w:pStyle w:val="ListParagraph"/>
        <w:numPr>
          <w:ilvl w:val="0"/>
          <w:numId w:val="7"/>
        </w:numPr>
        <w:rPr>
          <w:rFonts w:eastAsiaTheme="minorEastAsia"/>
          <w:sz w:val="24"/>
          <w:szCs w:val="24"/>
        </w:rPr>
      </w:pPr>
      <w:r w:rsidRPr="5CCDA024">
        <w:rPr>
          <w:rFonts w:eastAsiaTheme="minorEastAsia"/>
          <w:b/>
          <w:bCs/>
          <w:sz w:val="24"/>
          <w:szCs w:val="24"/>
        </w:rPr>
        <w:lastRenderedPageBreak/>
        <w:t>Competition and Industry Consolidation</w:t>
      </w:r>
      <w:r w:rsidRPr="5CCDA024">
        <w:rPr>
          <w:rFonts w:eastAsiaTheme="minorEastAsia"/>
          <w:sz w:val="24"/>
          <w:szCs w:val="24"/>
        </w:rPr>
        <w:t xml:space="preserve">- </w:t>
      </w:r>
      <w:r w:rsidR="7B691E5D" w:rsidRPr="5CCDA024">
        <w:rPr>
          <w:rFonts w:eastAsiaTheme="minorEastAsia"/>
          <w:sz w:val="24"/>
          <w:szCs w:val="24"/>
        </w:rPr>
        <w:t>T</w:t>
      </w:r>
      <w:r w:rsidR="740D9A98" w:rsidRPr="5CCDA024">
        <w:rPr>
          <w:rFonts w:eastAsiaTheme="minorEastAsia"/>
          <w:sz w:val="24"/>
          <w:szCs w:val="24"/>
        </w:rPr>
        <w:t>-</w:t>
      </w:r>
      <w:r w:rsidR="7B691E5D" w:rsidRPr="5CCDA024">
        <w:rPr>
          <w:rFonts w:eastAsiaTheme="minorEastAsia"/>
          <w:sz w:val="24"/>
          <w:szCs w:val="24"/>
        </w:rPr>
        <w:t>Mobile is up, against competition from wireless carriers, cable companies, and new entrants in the connectivity industry. They strive to stand out in areas like network performance, customer support, pricing strategies, and technological advancements. The ongoing industry mergers, like the union of Dish and DirecTV, may heighten the landscape.</w:t>
      </w:r>
      <w:r w:rsidR="35115932" w:rsidRPr="5CCDA024">
        <w:rPr>
          <w:rFonts w:eastAsiaTheme="minorEastAsia"/>
          <w:sz w:val="24"/>
          <w:szCs w:val="24"/>
        </w:rPr>
        <w:t xml:space="preserve"> (T-Mobile, 2023)</w:t>
      </w:r>
    </w:p>
    <w:p w14:paraId="761514E4" w14:textId="395FD14D" w:rsidR="604B1E19" w:rsidRDefault="604B1E19" w:rsidP="5CCDA024">
      <w:pPr>
        <w:pStyle w:val="ListParagraph"/>
        <w:rPr>
          <w:rFonts w:eastAsiaTheme="minorEastAsia"/>
          <w:sz w:val="24"/>
          <w:szCs w:val="24"/>
        </w:rPr>
      </w:pPr>
    </w:p>
    <w:p w14:paraId="09F38621" w14:textId="431C8373" w:rsidR="0FDBC4C8" w:rsidRDefault="00000000" w:rsidP="5CCDA024">
      <w:pPr>
        <w:pStyle w:val="ListParagraph"/>
        <w:rPr>
          <w:rFonts w:eastAsiaTheme="minorEastAsia"/>
          <w:sz w:val="24"/>
          <w:szCs w:val="24"/>
        </w:rPr>
      </w:pPr>
      <w:r w:rsidRPr="5CCDA024">
        <w:rPr>
          <w:rFonts w:eastAsiaTheme="minorEastAsia"/>
          <w:sz w:val="24"/>
          <w:szCs w:val="24"/>
        </w:rPr>
        <w:t>Probability Of Occurrence- The wireless sector is quite competitive with T Mobile expected to encounter rivalry from both existing companies and newcomers. The trend of industry consolidation might further escalate the competition.</w:t>
      </w:r>
    </w:p>
    <w:p w14:paraId="35581EA2" w14:textId="3CBBA2D5" w:rsidR="604B1E19" w:rsidRDefault="604B1E19" w:rsidP="5CCDA024">
      <w:pPr>
        <w:pStyle w:val="ListParagraph"/>
        <w:rPr>
          <w:rFonts w:eastAsiaTheme="minorEastAsia"/>
          <w:sz w:val="24"/>
          <w:szCs w:val="24"/>
        </w:rPr>
      </w:pPr>
    </w:p>
    <w:p w14:paraId="622D1FD1" w14:textId="4AEA7777" w:rsidR="2494C9FD" w:rsidRDefault="00000000" w:rsidP="5CCDA024">
      <w:pPr>
        <w:pStyle w:val="ListParagraph"/>
        <w:numPr>
          <w:ilvl w:val="0"/>
          <w:numId w:val="7"/>
        </w:numPr>
        <w:rPr>
          <w:rFonts w:eastAsiaTheme="minorEastAsia"/>
          <w:sz w:val="24"/>
          <w:szCs w:val="24"/>
        </w:rPr>
      </w:pPr>
      <w:r w:rsidRPr="5CCDA024">
        <w:rPr>
          <w:rFonts w:eastAsiaTheme="minorEastAsia"/>
          <w:b/>
          <w:bCs/>
          <w:sz w:val="24"/>
          <w:szCs w:val="24"/>
        </w:rPr>
        <w:t>Cybersecurity Breaches and Unauthorized Access</w:t>
      </w:r>
      <w:r w:rsidRPr="5CCDA024">
        <w:rPr>
          <w:rFonts w:eastAsiaTheme="minorEastAsia"/>
          <w:sz w:val="24"/>
          <w:szCs w:val="24"/>
        </w:rPr>
        <w:t xml:space="preserve">- </w:t>
      </w:r>
      <w:r w:rsidR="5055D24B" w:rsidRPr="5CCDA024">
        <w:rPr>
          <w:rFonts w:eastAsiaTheme="minorEastAsia"/>
          <w:sz w:val="24"/>
          <w:szCs w:val="24"/>
        </w:rPr>
        <w:t>T</w:t>
      </w:r>
      <w:r w:rsidR="7D0FAC44" w:rsidRPr="5CCDA024">
        <w:rPr>
          <w:rFonts w:eastAsiaTheme="minorEastAsia"/>
          <w:sz w:val="24"/>
          <w:szCs w:val="24"/>
        </w:rPr>
        <w:t>-</w:t>
      </w:r>
      <w:r w:rsidR="5055D24B" w:rsidRPr="5CCDA024">
        <w:rPr>
          <w:rFonts w:eastAsiaTheme="minorEastAsia"/>
          <w:sz w:val="24"/>
          <w:szCs w:val="24"/>
        </w:rPr>
        <w:t>Mobile has faced several cybersecurity breaches and instances of individuals gaining access, to customer information and valuable intellectual property. These occurrences can result in expenses harm, to reputation and financial consequences that insurance might not entirely mitigate.</w:t>
      </w:r>
      <w:r w:rsidR="32276F2A" w:rsidRPr="5CCDA024">
        <w:rPr>
          <w:rFonts w:eastAsiaTheme="minorEastAsia"/>
          <w:sz w:val="24"/>
          <w:szCs w:val="24"/>
        </w:rPr>
        <w:t xml:space="preserve"> (T-Mobile, 2023)</w:t>
      </w:r>
    </w:p>
    <w:p w14:paraId="1AB92D57" w14:textId="20F0CE84" w:rsidR="604B1E19" w:rsidRDefault="604B1E19" w:rsidP="5CCDA024">
      <w:pPr>
        <w:pStyle w:val="ListParagraph"/>
        <w:rPr>
          <w:rFonts w:eastAsiaTheme="minorEastAsia"/>
          <w:sz w:val="24"/>
          <w:szCs w:val="24"/>
        </w:rPr>
      </w:pPr>
    </w:p>
    <w:p w14:paraId="1FBE1DAC" w14:textId="51949EF6" w:rsidR="409D92FA" w:rsidRDefault="00000000" w:rsidP="5CCDA024">
      <w:pPr>
        <w:pStyle w:val="ListParagraph"/>
        <w:rPr>
          <w:rFonts w:eastAsiaTheme="minorEastAsia"/>
          <w:sz w:val="24"/>
          <w:szCs w:val="24"/>
        </w:rPr>
      </w:pPr>
      <w:r w:rsidRPr="5CCDA024">
        <w:rPr>
          <w:rFonts w:eastAsiaTheme="minorEastAsia"/>
          <w:sz w:val="24"/>
          <w:szCs w:val="24"/>
        </w:rPr>
        <w:t>Probability Of Occurrence</w:t>
      </w:r>
      <w:r w:rsidR="2E87E8D0" w:rsidRPr="5CCDA024">
        <w:rPr>
          <w:rFonts w:eastAsiaTheme="minorEastAsia"/>
          <w:sz w:val="24"/>
          <w:szCs w:val="24"/>
        </w:rPr>
        <w:t>-</w:t>
      </w:r>
      <w:r w:rsidR="5AFD8797" w:rsidRPr="5CCDA024">
        <w:rPr>
          <w:rFonts w:eastAsiaTheme="minorEastAsia"/>
          <w:sz w:val="24"/>
          <w:szCs w:val="24"/>
        </w:rPr>
        <w:t xml:space="preserve"> The level of risk ranges from, high to high. Companies in the technology and telecommunications industries remain vigilant about cybersecurity threats. Despite T</w:t>
      </w:r>
      <w:r w:rsidR="00A97928">
        <w:rPr>
          <w:rFonts w:eastAsiaTheme="minorEastAsia"/>
          <w:sz w:val="24"/>
          <w:szCs w:val="24"/>
        </w:rPr>
        <w:t>-Mobiles'</w:t>
      </w:r>
      <w:r w:rsidR="5AFD8797" w:rsidRPr="5CCDA024">
        <w:rPr>
          <w:rFonts w:eastAsiaTheme="minorEastAsia"/>
          <w:sz w:val="24"/>
          <w:szCs w:val="24"/>
        </w:rPr>
        <w:t xml:space="preserve"> efforts to implement strategies</w:t>
      </w:r>
      <w:r w:rsidR="00A97928">
        <w:rPr>
          <w:rFonts w:eastAsiaTheme="minorEastAsia"/>
          <w:sz w:val="24"/>
          <w:szCs w:val="24"/>
        </w:rPr>
        <w:t>,</w:t>
      </w:r>
      <w:r w:rsidR="5AFD8797" w:rsidRPr="5CCDA024">
        <w:rPr>
          <w:rFonts w:eastAsiaTheme="minorEastAsia"/>
          <w:sz w:val="24"/>
          <w:szCs w:val="24"/>
        </w:rPr>
        <w:t xml:space="preserve"> the changing threat environment leaves room for potential incidents, in the future.</w:t>
      </w:r>
    </w:p>
    <w:p w14:paraId="12E72894" w14:textId="21C702B7" w:rsidR="604B1E19" w:rsidRDefault="604B1E19" w:rsidP="5CCDA024">
      <w:pPr>
        <w:pStyle w:val="ListParagraph"/>
        <w:rPr>
          <w:rFonts w:eastAsiaTheme="minorEastAsia"/>
          <w:sz w:val="24"/>
          <w:szCs w:val="24"/>
        </w:rPr>
      </w:pPr>
    </w:p>
    <w:p w14:paraId="3492BAAA" w14:textId="6AA4FFDF" w:rsidR="604B1E19" w:rsidRPr="00A97928" w:rsidRDefault="00000000" w:rsidP="00A97928">
      <w:pPr>
        <w:pStyle w:val="ListParagraph"/>
        <w:numPr>
          <w:ilvl w:val="0"/>
          <w:numId w:val="7"/>
        </w:numPr>
        <w:rPr>
          <w:rFonts w:eastAsiaTheme="minorEastAsia"/>
          <w:sz w:val="24"/>
          <w:szCs w:val="24"/>
        </w:rPr>
      </w:pPr>
      <w:r w:rsidRPr="5CCDA024">
        <w:rPr>
          <w:rFonts w:eastAsiaTheme="minorEastAsia"/>
          <w:b/>
          <w:bCs/>
          <w:sz w:val="24"/>
          <w:szCs w:val="24"/>
        </w:rPr>
        <w:t>Challenges Related to the Sprint Merger-</w:t>
      </w:r>
      <w:r w:rsidRPr="5CCDA024">
        <w:rPr>
          <w:rFonts w:eastAsiaTheme="minorEastAsia"/>
          <w:sz w:val="24"/>
          <w:szCs w:val="24"/>
        </w:rPr>
        <w:t xml:space="preserve"> T</w:t>
      </w:r>
      <w:r w:rsidR="041B79DB" w:rsidRPr="5CCDA024">
        <w:rPr>
          <w:rFonts w:eastAsiaTheme="minorEastAsia"/>
          <w:sz w:val="24"/>
          <w:szCs w:val="24"/>
        </w:rPr>
        <w:t>-</w:t>
      </w:r>
      <w:r w:rsidRPr="5CCDA024">
        <w:rPr>
          <w:rFonts w:eastAsiaTheme="minorEastAsia"/>
          <w:sz w:val="24"/>
          <w:szCs w:val="24"/>
        </w:rPr>
        <w:t xml:space="preserve">Mobile is currently transferring </w:t>
      </w:r>
      <w:r w:rsidR="00A97928">
        <w:rPr>
          <w:rFonts w:eastAsiaTheme="minorEastAsia"/>
          <w:sz w:val="24"/>
          <w:szCs w:val="24"/>
        </w:rPr>
        <w:t>Sprint's</w:t>
      </w:r>
      <w:r w:rsidRPr="5CCDA024">
        <w:rPr>
          <w:rFonts w:eastAsiaTheme="minorEastAsia"/>
          <w:sz w:val="24"/>
          <w:szCs w:val="24"/>
        </w:rPr>
        <w:t xml:space="preserve"> long-time customers to its billing systems. This transition may encounter challenges leading to delays that could impact </w:t>
      </w:r>
      <w:r w:rsidR="00A97928">
        <w:rPr>
          <w:rFonts w:eastAsiaTheme="minorEastAsia"/>
          <w:sz w:val="24"/>
          <w:szCs w:val="24"/>
        </w:rPr>
        <w:t>T-Mobile's</w:t>
      </w:r>
      <w:r w:rsidRPr="5CCDA024">
        <w:rPr>
          <w:rFonts w:eastAsiaTheme="minorEastAsia"/>
          <w:sz w:val="24"/>
          <w:szCs w:val="24"/>
        </w:rPr>
        <w:t xml:space="preserve"> business, image</w:t>
      </w:r>
      <w:r w:rsidR="00A97928">
        <w:rPr>
          <w:rFonts w:eastAsiaTheme="minorEastAsia"/>
          <w:sz w:val="24"/>
          <w:szCs w:val="24"/>
        </w:rPr>
        <w:t>,</w:t>
      </w:r>
      <w:r w:rsidRPr="5CCDA024">
        <w:rPr>
          <w:rFonts w:eastAsiaTheme="minorEastAsia"/>
          <w:sz w:val="24"/>
          <w:szCs w:val="24"/>
        </w:rPr>
        <w:t xml:space="preserve"> and financial health.</w:t>
      </w:r>
      <w:r w:rsidR="00A97928" w:rsidRPr="00A97928">
        <w:rPr>
          <w:rFonts w:ascii="Times New Roman" w:eastAsia="Times New Roman" w:hAnsi="Times New Roman" w:cs="Times New Roman"/>
          <w:kern w:val="0"/>
          <w:sz w:val="24"/>
          <w:szCs w:val="24"/>
          <w:lang w:eastAsia="en-IN"/>
          <w14:ligatures w14:val="none"/>
        </w:rPr>
        <w:t xml:space="preserve"> </w:t>
      </w:r>
      <w:r w:rsidR="00A97928" w:rsidRPr="00A97928">
        <w:rPr>
          <w:rFonts w:eastAsiaTheme="minorEastAsia"/>
          <w:sz w:val="24"/>
          <w:szCs w:val="24"/>
        </w:rPr>
        <w:t>(T-Mobile, 2023)</w:t>
      </w:r>
    </w:p>
    <w:p w14:paraId="3A3FF46E" w14:textId="3D5337ED" w:rsidR="0C81E028" w:rsidRDefault="00000000" w:rsidP="5CCDA024">
      <w:pPr>
        <w:ind w:left="720"/>
        <w:rPr>
          <w:rFonts w:eastAsiaTheme="minorEastAsia"/>
          <w:sz w:val="24"/>
          <w:szCs w:val="24"/>
        </w:rPr>
      </w:pPr>
      <w:r w:rsidRPr="5CCDA024">
        <w:rPr>
          <w:rFonts w:eastAsiaTheme="minorEastAsia"/>
          <w:sz w:val="24"/>
          <w:szCs w:val="24"/>
        </w:rPr>
        <w:t>Probability Of Occurrence-</w:t>
      </w:r>
      <w:r w:rsidR="5F1D8636" w:rsidRPr="5CCDA024">
        <w:rPr>
          <w:rFonts w:eastAsiaTheme="minorEastAsia"/>
          <w:sz w:val="24"/>
          <w:szCs w:val="24"/>
        </w:rPr>
        <w:t xml:space="preserve"> </w:t>
      </w:r>
      <w:r w:rsidR="180BBF78" w:rsidRPr="5CCDA024">
        <w:rPr>
          <w:rFonts w:eastAsiaTheme="minorEastAsia"/>
          <w:sz w:val="24"/>
          <w:szCs w:val="24"/>
        </w:rPr>
        <w:t xml:space="preserve">The level of risk ranges from, </w:t>
      </w:r>
      <w:r w:rsidR="00A97928">
        <w:rPr>
          <w:rFonts w:eastAsiaTheme="minorEastAsia"/>
          <w:sz w:val="24"/>
          <w:szCs w:val="24"/>
        </w:rPr>
        <w:t xml:space="preserve">high </w:t>
      </w:r>
      <w:r w:rsidR="180BBF78" w:rsidRPr="5CCDA024">
        <w:rPr>
          <w:rFonts w:eastAsiaTheme="minorEastAsia"/>
          <w:sz w:val="24"/>
          <w:szCs w:val="24"/>
        </w:rPr>
        <w:t>to high. Companies in the technology and telecommunications industries remain vigilant about cybersecurity threats. Despite T-Mobiles efforts to implement strategies</w:t>
      </w:r>
      <w:r w:rsidR="00A97928">
        <w:rPr>
          <w:rFonts w:eastAsiaTheme="minorEastAsia"/>
          <w:sz w:val="24"/>
          <w:szCs w:val="24"/>
        </w:rPr>
        <w:t>,</w:t>
      </w:r>
      <w:r w:rsidR="180BBF78" w:rsidRPr="5CCDA024">
        <w:rPr>
          <w:rFonts w:eastAsiaTheme="minorEastAsia"/>
          <w:sz w:val="24"/>
          <w:szCs w:val="24"/>
        </w:rPr>
        <w:t xml:space="preserve"> the changing threat environment leaves room for potential incidents, in the future.</w:t>
      </w:r>
      <w:r w:rsidR="512C156C" w:rsidRPr="5CCDA024">
        <w:rPr>
          <w:rFonts w:eastAsiaTheme="minorEastAsia"/>
          <w:sz w:val="24"/>
          <w:szCs w:val="24"/>
        </w:rPr>
        <w:t xml:space="preserve"> </w:t>
      </w:r>
    </w:p>
    <w:p w14:paraId="7D17BF5A" w14:textId="3C955770" w:rsidR="732C4F14" w:rsidRDefault="00000000" w:rsidP="5CCDA024">
      <w:pPr>
        <w:ind w:left="720"/>
        <w:rPr>
          <w:rFonts w:eastAsiaTheme="minorEastAsia"/>
          <w:sz w:val="24"/>
          <w:szCs w:val="24"/>
        </w:rPr>
      </w:pPr>
      <w:r w:rsidRPr="5CCDA024">
        <w:rPr>
          <w:rFonts w:eastAsiaTheme="minorEastAsia"/>
          <w:sz w:val="24"/>
          <w:szCs w:val="24"/>
        </w:rPr>
        <w:t>Conclusion- In a nutshell</w:t>
      </w:r>
      <w:r w:rsidR="00A97928">
        <w:rPr>
          <w:rFonts w:eastAsiaTheme="minorEastAsia"/>
          <w:sz w:val="24"/>
          <w:szCs w:val="24"/>
        </w:rPr>
        <w:t>,</w:t>
      </w:r>
      <w:r w:rsidRPr="5CCDA024">
        <w:rPr>
          <w:rFonts w:eastAsiaTheme="minorEastAsia"/>
          <w:sz w:val="24"/>
          <w:szCs w:val="24"/>
        </w:rPr>
        <w:t xml:space="preserve"> T-Mobile is dealing with challenges posed by rivals, cybersecurity risks</w:t>
      </w:r>
      <w:r w:rsidR="00A97928">
        <w:rPr>
          <w:rFonts w:eastAsiaTheme="minorEastAsia"/>
          <w:sz w:val="24"/>
          <w:szCs w:val="24"/>
        </w:rPr>
        <w:t>,</w:t>
      </w:r>
      <w:r w:rsidRPr="5CCDA024">
        <w:rPr>
          <w:rFonts w:eastAsiaTheme="minorEastAsia"/>
          <w:sz w:val="24"/>
          <w:szCs w:val="24"/>
        </w:rPr>
        <w:t xml:space="preserve"> and the complexities of merging. Despite efforts to address these issues they still pose worries that could affect the company's operations and financial results.</w:t>
      </w:r>
    </w:p>
    <w:p w14:paraId="29035D01" w14:textId="77777777" w:rsidR="001A6E71" w:rsidRPr="001A6E71" w:rsidRDefault="001A6E71" w:rsidP="5CCDA024">
      <w:pPr>
        <w:rPr>
          <w:rFonts w:eastAsiaTheme="minorEastAsia"/>
          <w:sz w:val="24"/>
          <w:szCs w:val="24"/>
        </w:rPr>
      </w:pPr>
    </w:p>
    <w:p w14:paraId="67D85CC3" w14:textId="0FD89A5E" w:rsidR="001A6E71" w:rsidRDefault="00000000" w:rsidP="00701C63">
      <w:pPr>
        <w:pStyle w:val="Heading1"/>
        <w:rPr>
          <w:rFonts w:eastAsiaTheme="minorEastAsia"/>
        </w:rPr>
      </w:pPr>
      <w:bookmarkStart w:id="7" w:name="_Toc175720671"/>
      <w:r w:rsidRPr="5CCDA024">
        <w:rPr>
          <w:rFonts w:eastAsiaTheme="minorEastAsia"/>
        </w:rPr>
        <w:t>Valuation in the Context of These Risks</w:t>
      </w:r>
      <w:bookmarkEnd w:id="7"/>
    </w:p>
    <w:p w14:paraId="6C8B3F0C" w14:textId="5D10DC84" w:rsidR="001A6E71" w:rsidRPr="001A6E71" w:rsidRDefault="00000000" w:rsidP="5CCDA024">
      <w:pPr>
        <w:rPr>
          <w:rFonts w:eastAsiaTheme="minorEastAsia"/>
          <w:sz w:val="24"/>
          <w:szCs w:val="24"/>
        </w:rPr>
      </w:pPr>
      <w:r w:rsidRPr="5CCDA024">
        <w:rPr>
          <w:rFonts w:eastAsiaTheme="minorEastAsia"/>
          <w:sz w:val="24"/>
          <w:szCs w:val="24"/>
        </w:rPr>
        <w:t>In T</w:t>
      </w:r>
      <w:r w:rsidR="76B077E5" w:rsidRPr="5CCDA024">
        <w:rPr>
          <w:rFonts w:eastAsiaTheme="minorEastAsia"/>
          <w:sz w:val="24"/>
          <w:szCs w:val="24"/>
        </w:rPr>
        <w:t>-</w:t>
      </w:r>
      <w:r w:rsidRPr="5CCDA024">
        <w:rPr>
          <w:rFonts w:eastAsiaTheme="minorEastAsia"/>
          <w:sz w:val="24"/>
          <w:szCs w:val="24"/>
        </w:rPr>
        <w:t xml:space="preserve">Mobiles submission, to the SEC, for 2022 they outlined a few challenges that could impact the company.  </w:t>
      </w:r>
      <w:r w:rsidR="45E00259" w:rsidRPr="5CCDA024">
        <w:rPr>
          <w:rFonts w:eastAsiaTheme="minorEastAsia"/>
          <w:sz w:val="24"/>
          <w:szCs w:val="24"/>
        </w:rPr>
        <w:t>D</w:t>
      </w:r>
      <w:r w:rsidRPr="5CCDA024">
        <w:rPr>
          <w:rFonts w:eastAsiaTheme="minorEastAsia"/>
          <w:sz w:val="24"/>
          <w:szCs w:val="24"/>
        </w:rPr>
        <w:t>elve into three risks and evaluate how likely they are to happe</w:t>
      </w:r>
      <w:r w:rsidR="291758B8" w:rsidRPr="5CCDA024">
        <w:rPr>
          <w:rFonts w:eastAsiaTheme="minorEastAsia"/>
          <w:sz w:val="24"/>
          <w:szCs w:val="24"/>
        </w:rPr>
        <w:t>n:</w:t>
      </w:r>
    </w:p>
    <w:p w14:paraId="7E277DF4" w14:textId="716907AE" w:rsidR="001A6E71" w:rsidRPr="001A6E71" w:rsidRDefault="00000000" w:rsidP="5CCDA024">
      <w:pPr>
        <w:pStyle w:val="ListParagraph"/>
        <w:numPr>
          <w:ilvl w:val="0"/>
          <w:numId w:val="8"/>
        </w:numPr>
        <w:rPr>
          <w:rFonts w:eastAsiaTheme="minorEastAsia"/>
          <w:sz w:val="24"/>
          <w:szCs w:val="24"/>
        </w:rPr>
      </w:pPr>
      <w:r w:rsidRPr="5CCDA024">
        <w:rPr>
          <w:rFonts w:eastAsiaTheme="minorEastAsia"/>
          <w:sz w:val="24"/>
          <w:szCs w:val="24"/>
        </w:rPr>
        <w:t>The potential effect, on T</w:t>
      </w:r>
      <w:r w:rsidR="18EF04D5" w:rsidRPr="5CCDA024">
        <w:rPr>
          <w:rFonts w:eastAsiaTheme="minorEastAsia"/>
          <w:sz w:val="24"/>
          <w:szCs w:val="24"/>
        </w:rPr>
        <w:t>-</w:t>
      </w:r>
      <w:r w:rsidRPr="5CCDA024">
        <w:rPr>
          <w:rFonts w:eastAsiaTheme="minorEastAsia"/>
          <w:sz w:val="24"/>
          <w:szCs w:val="24"/>
        </w:rPr>
        <w:t>Mobile's value is substantial. With heightened competition</w:t>
      </w:r>
      <w:r w:rsidR="00701C63">
        <w:rPr>
          <w:rFonts w:eastAsiaTheme="minorEastAsia"/>
          <w:sz w:val="24"/>
          <w:szCs w:val="24"/>
        </w:rPr>
        <w:t>,</w:t>
      </w:r>
      <w:r w:rsidRPr="5CCDA024">
        <w:rPr>
          <w:rFonts w:eastAsiaTheme="minorEastAsia"/>
          <w:sz w:val="24"/>
          <w:szCs w:val="24"/>
        </w:rPr>
        <w:t xml:space="preserve"> there is a risk of impact, on market share and profits potentially resulting in a valuation.</w:t>
      </w:r>
    </w:p>
    <w:p w14:paraId="6F714A32" w14:textId="1D275140" w:rsidR="001A6E71" w:rsidRPr="001A6E71" w:rsidRDefault="001A6E71" w:rsidP="5CCDA024">
      <w:pPr>
        <w:pStyle w:val="ListParagraph"/>
        <w:ind w:left="1080"/>
        <w:rPr>
          <w:rFonts w:eastAsiaTheme="minorEastAsia"/>
          <w:sz w:val="24"/>
          <w:szCs w:val="24"/>
        </w:rPr>
      </w:pPr>
    </w:p>
    <w:p w14:paraId="25C9B4C1" w14:textId="4F39F0B4" w:rsidR="001A6E71" w:rsidRPr="001A6E71" w:rsidRDefault="00000000" w:rsidP="5CCDA024">
      <w:pPr>
        <w:pStyle w:val="ListParagraph"/>
        <w:numPr>
          <w:ilvl w:val="0"/>
          <w:numId w:val="8"/>
        </w:numPr>
        <w:rPr>
          <w:rFonts w:eastAsiaTheme="minorEastAsia"/>
          <w:sz w:val="24"/>
          <w:szCs w:val="24"/>
        </w:rPr>
      </w:pPr>
      <w:r w:rsidRPr="5CCDA024">
        <w:rPr>
          <w:rFonts w:eastAsiaTheme="minorEastAsia"/>
          <w:sz w:val="24"/>
          <w:szCs w:val="24"/>
        </w:rPr>
        <w:lastRenderedPageBreak/>
        <w:t>The effect, on T</w:t>
      </w:r>
      <w:r w:rsidR="75231F1D" w:rsidRPr="5CCDA024">
        <w:rPr>
          <w:rFonts w:eastAsiaTheme="minorEastAsia"/>
          <w:sz w:val="24"/>
          <w:szCs w:val="24"/>
        </w:rPr>
        <w:t>-</w:t>
      </w:r>
      <w:r w:rsidRPr="5CCDA024">
        <w:rPr>
          <w:rFonts w:eastAsiaTheme="minorEastAsia"/>
          <w:sz w:val="24"/>
          <w:szCs w:val="24"/>
        </w:rPr>
        <w:t>Mobile's value could be moderate due to cybersecurity incidents.</w:t>
      </w:r>
    </w:p>
    <w:p w14:paraId="50C3172C" w14:textId="357EF10A" w:rsidR="001A6E71" w:rsidRPr="001A6E71" w:rsidRDefault="00000000" w:rsidP="5CCDA024">
      <w:pPr>
        <w:pStyle w:val="ListParagraph"/>
        <w:ind w:left="1080"/>
        <w:rPr>
          <w:rFonts w:eastAsiaTheme="minorEastAsia"/>
          <w:sz w:val="24"/>
          <w:szCs w:val="24"/>
        </w:rPr>
      </w:pPr>
      <w:r w:rsidRPr="5CCDA024">
        <w:rPr>
          <w:rFonts w:eastAsiaTheme="minorEastAsia"/>
          <w:sz w:val="24"/>
          <w:szCs w:val="24"/>
        </w:rPr>
        <w:t xml:space="preserve"> However, if the company can uphold customer trust and steer clear of fines the financial consequences might be manageable.</w:t>
      </w:r>
    </w:p>
    <w:p w14:paraId="29664B0A" w14:textId="01375402" w:rsidR="001A6E71" w:rsidRPr="001A6E71" w:rsidRDefault="001A6E71" w:rsidP="5CCDA024">
      <w:pPr>
        <w:pStyle w:val="ListParagraph"/>
        <w:ind w:left="1080"/>
        <w:rPr>
          <w:rFonts w:eastAsiaTheme="minorEastAsia"/>
          <w:sz w:val="24"/>
          <w:szCs w:val="24"/>
        </w:rPr>
      </w:pPr>
    </w:p>
    <w:p w14:paraId="54D82CBA" w14:textId="7AF75668" w:rsidR="001A6E71" w:rsidRPr="001A6E71" w:rsidRDefault="00000000" w:rsidP="5CCDA024">
      <w:pPr>
        <w:pStyle w:val="ListParagraph"/>
        <w:numPr>
          <w:ilvl w:val="0"/>
          <w:numId w:val="8"/>
        </w:numPr>
        <w:rPr>
          <w:rFonts w:eastAsiaTheme="minorEastAsia"/>
          <w:sz w:val="24"/>
          <w:szCs w:val="24"/>
        </w:rPr>
      </w:pPr>
      <w:r w:rsidRPr="5CCDA024">
        <w:rPr>
          <w:rFonts w:eastAsiaTheme="minorEastAsia"/>
          <w:sz w:val="24"/>
          <w:szCs w:val="24"/>
        </w:rPr>
        <w:t>T Mobile has a history of completing mergers but if there are any delays or problems, during the integration process it might affect the company's value temporarily until those issues are sorted out.</w:t>
      </w:r>
    </w:p>
    <w:p w14:paraId="0BB3C9F6" w14:textId="5A60DBAD" w:rsidR="001A6E71" w:rsidRPr="001A6E71" w:rsidRDefault="001A6E71" w:rsidP="5CCDA024">
      <w:pPr>
        <w:pStyle w:val="ListParagraph"/>
        <w:ind w:left="1080"/>
        <w:rPr>
          <w:rFonts w:eastAsiaTheme="minorEastAsia"/>
          <w:sz w:val="24"/>
          <w:szCs w:val="24"/>
        </w:rPr>
      </w:pPr>
    </w:p>
    <w:p w14:paraId="0CF56554" w14:textId="1541730D" w:rsidR="001A6E71" w:rsidRPr="001A6E71" w:rsidRDefault="00000000" w:rsidP="5CCDA024">
      <w:pPr>
        <w:pStyle w:val="ListParagraph"/>
        <w:ind w:left="1080"/>
        <w:rPr>
          <w:rFonts w:eastAsiaTheme="minorEastAsia"/>
          <w:sz w:val="24"/>
          <w:szCs w:val="24"/>
        </w:rPr>
      </w:pPr>
      <w:r w:rsidRPr="5CCDA024">
        <w:rPr>
          <w:rFonts w:eastAsiaTheme="minorEastAsia"/>
          <w:sz w:val="24"/>
          <w:szCs w:val="24"/>
        </w:rPr>
        <w:t>Conclusion</w:t>
      </w:r>
    </w:p>
    <w:p w14:paraId="2C06882A" w14:textId="56F8F7BC" w:rsidR="001A6E71" w:rsidRPr="001A6E71" w:rsidRDefault="00000000" w:rsidP="5CCDA024">
      <w:pPr>
        <w:pStyle w:val="ListParagraph"/>
        <w:ind w:left="1080"/>
        <w:rPr>
          <w:rFonts w:eastAsiaTheme="minorEastAsia"/>
          <w:sz w:val="24"/>
          <w:szCs w:val="24"/>
        </w:rPr>
      </w:pPr>
      <w:r w:rsidRPr="5CCDA024">
        <w:rPr>
          <w:rFonts w:eastAsiaTheme="minorEastAsia"/>
          <w:sz w:val="24"/>
          <w:szCs w:val="24"/>
        </w:rPr>
        <w:t xml:space="preserve"> Although T</w:t>
      </w:r>
      <w:r w:rsidR="00701C63">
        <w:rPr>
          <w:rFonts w:eastAsiaTheme="minorEastAsia"/>
          <w:sz w:val="24"/>
          <w:szCs w:val="24"/>
        </w:rPr>
        <w:t>-</w:t>
      </w:r>
      <w:r w:rsidRPr="5CCDA024">
        <w:rPr>
          <w:rFonts w:eastAsiaTheme="minorEastAsia"/>
          <w:sz w:val="24"/>
          <w:szCs w:val="24"/>
        </w:rPr>
        <w:t xml:space="preserve">Mobile is currently valued attractively in relation, to its value and the targets set by </w:t>
      </w:r>
      <w:proofErr w:type="gramStart"/>
      <w:r w:rsidR="00701C63">
        <w:rPr>
          <w:rFonts w:eastAsiaTheme="minorEastAsia"/>
          <w:sz w:val="24"/>
          <w:szCs w:val="24"/>
        </w:rPr>
        <w:t>analysts</w:t>
      </w:r>
      <w:proofErr w:type="gramEnd"/>
      <w:r w:rsidRPr="5CCDA024">
        <w:rPr>
          <w:rFonts w:eastAsiaTheme="minorEastAsia"/>
          <w:sz w:val="24"/>
          <w:szCs w:val="24"/>
        </w:rPr>
        <w:t xml:space="preserve"> investors must consider the effects of significant risks, on the company's future growth and performance. It is vital for T</w:t>
      </w:r>
      <w:r w:rsidR="1F88E98D" w:rsidRPr="5CCDA024">
        <w:rPr>
          <w:rFonts w:eastAsiaTheme="minorEastAsia"/>
          <w:sz w:val="24"/>
          <w:szCs w:val="24"/>
        </w:rPr>
        <w:t>-</w:t>
      </w:r>
      <w:r w:rsidRPr="5CCDA024">
        <w:rPr>
          <w:rFonts w:eastAsiaTheme="minorEastAsia"/>
          <w:sz w:val="24"/>
          <w:szCs w:val="24"/>
        </w:rPr>
        <w:t>Mobile to effectively handle competition, cybersecurity risks</w:t>
      </w:r>
      <w:r w:rsidR="00A97928">
        <w:rPr>
          <w:rFonts w:eastAsiaTheme="minorEastAsia"/>
          <w:sz w:val="24"/>
          <w:szCs w:val="24"/>
        </w:rPr>
        <w:t>,</w:t>
      </w:r>
      <w:r w:rsidRPr="5CCDA024">
        <w:rPr>
          <w:rFonts w:eastAsiaTheme="minorEastAsia"/>
          <w:sz w:val="24"/>
          <w:szCs w:val="24"/>
        </w:rPr>
        <w:t xml:space="preserve"> and challenges related to mergers to uphold its market standing and provide value to its shareholders.</w:t>
      </w:r>
    </w:p>
    <w:p w14:paraId="4375FFB1" w14:textId="00A004BC" w:rsidR="001A6E71" w:rsidRPr="001A6E71" w:rsidRDefault="001A6E71" w:rsidP="5CCDA024">
      <w:pPr>
        <w:pStyle w:val="ListParagraph"/>
        <w:ind w:left="1080"/>
        <w:rPr>
          <w:rFonts w:eastAsiaTheme="minorEastAsia"/>
          <w:b/>
          <w:bCs/>
          <w:sz w:val="24"/>
          <w:szCs w:val="24"/>
        </w:rPr>
      </w:pPr>
    </w:p>
    <w:p w14:paraId="0F78B0F0" w14:textId="56980268" w:rsidR="001A6E71" w:rsidRPr="001A6E71" w:rsidRDefault="001A6E71" w:rsidP="5CCDA024">
      <w:pPr>
        <w:pStyle w:val="ListParagraph"/>
        <w:ind w:left="1080"/>
        <w:rPr>
          <w:rFonts w:eastAsiaTheme="minorEastAsia"/>
          <w:b/>
          <w:bCs/>
          <w:sz w:val="24"/>
          <w:szCs w:val="24"/>
        </w:rPr>
      </w:pPr>
    </w:p>
    <w:p w14:paraId="143CF9B9" w14:textId="77777777" w:rsidR="00A97928" w:rsidRDefault="00000000" w:rsidP="5CCDA024">
      <w:r w:rsidRPr="5CCDA024">
        <w:rPr>
          <w:rFonts w:eastAsiaTheme="minorEastAsia"/>
          <w:b/>
          <w:bCs/>
          <w:sz w:val="24"/>
          <w:szCs w:val="24"/>
        </w:rPr>
        <w:t xml:space="preserve">Part- </w:t>
      </w:r>
      <w:r w:rsidRPr="00A97928">
        <w:t>B</w:t>
      </w:r>
    </w:p>
    <w:p w14:paraId="2E0ADE8B" w14:textId="2B2A63A2" w:rsidR="001A6E71" w:rsidRPr="00701C63" w:rsidRDefault="00000000" w:rsidP="5CCDA024">
      <w:pPr>
        <w:rPr>
          <w:rStyle w:val="Heading1Char"/>
        </w:rPr>
      </w:pPr>
      <w:r w:rsidRPr="00701C63">
        <w:rPr>
          <w:rStyle w:val="Heading1Char"/>
        </w:rPr>
        <w:t xml:space="preserve"> Quantitatively review the share price performance of your selected company from its IPO until December 31, 2023</w:t>
      </w:r>
    </w:p>
    <w:p w14:paraId="33F93C4C" w14:textId="1619AB25" w:rsidR="001A6E71" w:rsidRPr="001A6E71" w:rsidRDefault="001A6E71" w:rsidP="5CCDA024">
      <w:pPr>
        <w:pStyle w:val="ListParagraph"/>
        <w:ind w:left="1080"/>
        <w:rPr>
          <w:rFonts w:eastAsiaTheme="minorEastAsia"/>
          <w:b/>
          <w:bCs/>
          <w:sz w:val="24"/>
          <w:szCs w:val="24"/>
        </w:rPr>
      </w:pPr>
    </w:p>
    <w:p w14:paraId="5F0AFF97" w14:textId="360BF37E" w:rsidR="001A6E71" w:rsidRPr="001A6E71" w:rsidRDefault="001A6E71" w:rsidP="5CCDA024">
      <w:pPr>
        <w:pStyle w:val="ListParagraph"/>
        <w:ind w:left="1080"/>
        <w:rPr>
          <w:rFonts w:eastAsiaTheme="minorEastAsia"/>
          <w:b/>
          <w:bCs/>
          <w:sz w:val="24"/>
          <w:szCs w:val="24"/>
        </w:rPr>
      </w:pPr>
    </w:p>
    <w:p w14:paraId="01F94EF5" w14:textId="0244E6B5" w:rsidR="001A6E71" w:rsidRPr="001A6E71" w:rsidRDefault="00000000" w:rsidP="5CCDA024">
      <w:pPr>
        <w:pStyle w:val="ListParagraph"/>
        <w:numPr>
          <w:ilvl w:val="0"/>
          <w:numId w:val="6"/>
        </w:numPr>
        <w:rPr>
          <w:rFonts w:eastAsiaTheme="minorEastAsia"/>
          <w:b/>
          <w:bCs/>
          <w:sz w:val="24"/>
          <w:szCs w:val="24"/>
        </w:rPr>
      </w:pPr>
      <w:r w:rsidRPr="5CCDA024">
        <w:rPr>
          <w:rFonts w:eastAsiaTheme="minorEastAsia"/>
          <w:b/>
          <w:bCs/>
          <w:sz w:val="24"/>
          <w:szCs w:val="24"/>
        </w:rPr>
        <w:t xml:space="preserve">T-Mobile's share price performance from its IPO to December 31, 2023: </w:t>
      </w:r>
      <w:r w:rsidR="00A97928">
        <w:rPr>
          <w:rFonts w:eastAsiaTheme="minorEastAsia"/>
          <w:b/>
          <w:bCs/>
          <w:sz w:val="24"/>
          <w:szCs w:val="24"/>
        </w:rPr>
        <w:t xml:space="preserve">a </w:t>
      </w:r>
      <w:r w:rsidRPr="5CCDA024">
        <w:rPr>
          <w:rFonts w:eastAsiaTheme="minorEastAsia"/>
          <w:b/>
          <w:bCs/>
          <w:sz w:val="24"/>
          <w:szCs w:val="24"/>
        </w:rPr>
        <w:t>quantitative review of key metrics and milestones</w:t>
      </w:r>
    </w:p>
    <w:p w14:paraId="77CFEA87" w14:textId="6E41744D" w:rsidR="001A6E71" w:rsidRPr="001A6E71" w:rsidRDefault="001A6E71" w:rsidP="5CCDA024">
      <w:pPr>
        <w:pStyle w:val="ListParagraph"/>
        <w:ind w:left="1080"/>
        <w:rPr>
          <w:rFonts w:eastAsiaTheme="minorEastAsia"/>
          <w:b/>
          <w:bCs/>
          <w:sz w:val="24"/>
          <w:szCs w:val="24"/>
        </w:rPr>
      </w:pPr>
    </w:p>
    <w:p w14:paraId="5456C8B9" w14:textId="0F4E5959" w:rsidR="001A6E71" w:rsidRPr="001A6E71" w:rsidRDefault="00000000" w:rsidP="5CCDA024">
      <w:pPr>
        <w:rPr>
          <w:rFonts w:eastAsiaTheme="minorEastAsia"/>
          <w:b/>
          <w:bCs/>
          <w:sz w:val="24"/>
          <w:szCs w:val="24"/>
        </w:rPr>
      </w:pPr>
      <w:r>
        <w:rPr>
          <w:noProof/>
        </w:rPr>
        <w:drawing>
          <wp:inline distT="0" distB="0" distL="0" distR="0" wp14:anchorId="0F9EDCF6" wp14:editId="5F7992CF">
            <wp:extent cx="5714998" cy="1866900"/>
            <wp:effectExtent l="114300" t="114300" r="114935" b="133350"/>
            <wp:docPr id="1620590833" name="Picture 1620590833"/>
            <wp:cNvGraphicFramePr/>
            <a:graphic xmlns:a="http://schemas.openxmlformats.org/drawingml/2006/main">
              <a:graphicData uri="http://schemas.openxmlformats.org/drawingml/2006/picture">
                <pic:pic xmlns:pic="http://schemas.openxmlformats.org/drawingml/2006/picture">
                  <pic:nvPicPr>
                    <pic:cNvPr id="162059083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14998" cy="1866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434F5F7" w14:textId="76F61A54" w:rsidR="001A6E71" w:rsidRPr="001A6E71" w:rsidRDefault="00000000" w:rsidP="5CCDA024">
      <w:pPr>
        <w:rPr>
          <w:rFonts w:eastAsiaTheme="minorEastAsia"/>
          <w:sz w:val="24"/>
          <w:szCs w:val="24"/>
        </w:rPr>
      </w:pPr>
      <w:r w:rsidRPr="5CCDA024">
        <w:rPr>
          <w:rFonts w:eastAsiaTheme="minorEastAsia"/>
          <w:sz w:val="24"/>
          <w:szCs w:val="24"/>
        </w:rPr>
        <w:t xml:space="preserve">One year in a 52-week Range: $ 131.36(Low) to $160.44 (High). </w:t>
      </w:r>
    </w:p>
    <w:p w14:paraId="488F0864" w14:textId="3C1B9587" w:rsidR="001A6E71" w:rsidRPr="001A6E71" w:rsidRDefault="00000000" w:rsidP="5CCDA024">
      <w:pPr>
        <w:rPr>
          <w:rFonts w:eastAsiaTheme="minorEastAsia"/>
          <w:sz w:val="24"/>
          <w:szCs w:val="24"/>
        </w:rPr>
      </w:pPr>
      <w:r w:rsidRPr="5CCDA024">
        <w:rPr>
          <w:rFonts w:eastAsiaTheme="minorEastAsia"/>
          <w:sz w:val="24"/>
          <w:szCs w:val="24"/>
        </w:rPr>
        <w:t>P/E Ratio:22.96</w:t>
      </w:r>
    </w:p>
    <w:p w14:paraId="6D6778A1" w14:textId="24D49162" w:rsidR="001A6E71" w:rsidRPr="001A6E71" w:rsidRDefault="00000000" w:rsidP="5CCDA024">
      <w:pPr>
        <w:rPr>
          <w:rFonts w:eastAsiaTheme="minorEastAsia"/>
          <w:sz w:val="24"/>
          <w:szCs w:val="24"/>
        </w:rPr>
      </w:pPr>
      <w:r w:rsidRPr="5CCDA024">
        <w:rPr>
          <w:rFonts w:eastAsiaTheme="minorEastAsia"/>
          <w:sz w:val="24"/>
          <w:szCs w:val="24"/>
        </w:rPr>
        <w:t>Dividend yield is 0.41%</w:t>
      </w:r>
    </w:p>
    <w:p w14:paraId="21F04A96" w14:textId="3B64DEB8" w:rsidR="001A6E71" w:rsidRPr="001A6E71" w:rsidRDefault="00000000" w:rsidP="5CCDA024">
      <w:pPr>
        <w:rPr>
          <w:rFonts w:eastAsiaTheme="minorEastAsia"/>
          <w:sz w:val="24"/>
          <w:szCs w:val="24"/>
        </w:rPr>
      </w:pPr>
      <w:r w:rsidRPr="5CCDA024">
        <w:rPr>
          <w:rFonts w:eastAsiaTheme="minorEastAsia"/>
          <w:sz w:val="24"/>
          <w:szCs w:val="24"/>
        </w:rPr>
        <w:t>All-Time High: $160.44 on December 12, 2023.</w:t>
      </w:r>
    </w:p>
    <w:p w14:paraId="54B9F6A8" w14:textId="12E536D6" w:rsidR="001A6E71" w:rsidRPr="001A6E71" w:rsidRDefault="00000000" w:rsidP="5CCDA024">
      <w:pPr>
        <w:rPr>
          <w:rFonts w:eastAsiaTheme="minorEastAsia"/>
          <w:sz w:val="24"/>
          <w:szCs w:val="24"/>
        </w:rPr>
      </w:pPr>
      <w:r w:rsidRPr="5CCDA024">
        <w:rPr>
          <w:rFonts w:eastAsiaTheme="minorEastAsia"/>
          <w:sz w:val="24"/>
          <w:szCs w:val="24"/>
        </w:rPr>
        <w:lastRenderedPageBreak/>
        <w:t>Annual Performance the share price increased by 15.31% over the past 365 days, underperforming the S&amp;P 500 by 24%</w:t>
      </w:r>
    </w:p>
    <w:p w14:paraId="4E416F04" w14:textId="73A8BC4E" w:rsidR="001A6E71" w:rsidRPr="001A6E71" w:rsidRDefault="00000000" w:rsidP="00701C63">
      <w:pPr>
        <w:spacing w:before="240" w:after="240"/>
        <w:rPr>
          <w:rFonts w:eastAsiaTheme="minorEastAsia"/>
          <w:sz w:val="24"/>
          <w:szCs w:val="24"/>
        </w:rPr>
      </w:pPr>
      <w:r w:rsidRPr="00701C63">
        <w:rPr>
          <w:rFonts w:eastAsiaTheme="minorEastAsia"/>
          <w:b/>
          <w:bCs/>
          <w:sz w:val="24"/>
          <w:szCs w:val="24"/>
        </w:rPr>
        <w:t>Comment</w:t>
      </w:r>
      <w:r w:rsidRPr="5CCDA024">
        <w:rPr>
          <w:rFonts w:eastAsiaTheme="minorEastAsia"/>
          <w:sz w:val="24"/>
          <w:szCs w:val="24"/>
        </w:rPr>
        <w:t>: The recent performance of T Mobiles stock indicates a blend of perspectives on its prospects. The stock has been moving in the range of $131 36 and $160 44 over the 52 weeks with the latter marking its highest point ever achieved on December 12th</w:t>
      </w:r>
      <w:r w:rsidR="00701C63">
        <w:rPr>
          <w:rFonts w:eastAsiaTheme="minorEastAsia"/>
          <w:sz w:val="24"/>
          <w:szCs w:val="24"/>
        </w:rPr>
        <w:t>,</w:t>
      </w:r>
      <w:r w:rsidRPr="5CCDA024">
        <w:rPr>
          <w:rFonts w:eastAsiaTheme="minorEastAsia"/>
          <w:sz w:val="24"/>
          <w:szCs w:val="24"/>
        </w:rPr>
        <w:t xml:space="preserve"> 2023.</w:t>
      </w:r>
      <w:r w:rsidR="00701C63">
        <w:rPr>
          <w:rFonts w:eastAsiaTheme="minorEastAsia"/>
          <w:sz w:val="24"/>
          <w:szCs w:val="24"/>
        </w:rPr>
        <w:t xml:space="preserve"> </w:t>
      </w:r>
      <w:r w:rsidRPr="5CCDA024">
        <w:rPr>
          <w:rFonts w:eastAsiaTheme="minorEastAsia"/>
          <w:sz w:val="24"/>
          <w:szCs w:val="24"/>
        </w:rPr>
        <w:t xml:space="preserve">However, the overall annual performance has not been as impressive with a modest increase of </w:t>
      </w:r>
      <w:r w:rsidR="00701C63">
        <w:rPr>
          <w:rFonts w:eastAsiaTheme="minorEastAsia"/>
          <w:sz w:val="24"/>
          <w:szCs w:val="24"/>
        </w:rPr>
        <w:t>15-point</w:t>
      </w:r>
      <w:r w:rsidRPr="5CCDA024">
        <w:rPr>
          <w:rFonts w:eastAsiaTheme="minorEastAsia"/>
          <w:sz w:val="24"/>
          <w:szCs w:val="24"/>
        </w:rPr>
        <w:t xml:space="preserve"> three one percent, in the past year although </w:t>
      </w:r>
      <w:r w:rsidR="00701C63">
        <w:rPr>
          <w:rFonts w:eastAsiaTheme="minorEastAsia"/>
          <w:sz w:val="24"/>
          <w:szCs w:val="24"/>
        </w:rPr>
        <w:t>it is</w:t>
      </w:r>
      <w:r w:rsidRPr="5CCDA024">
        <w:rPr>
          <w:rFonts w:eastAsiaTheme="minorEastAsia"/>
          <w:sz w:val="24"/>
          <w:szCs w:val="24"/>
        </w:rPr>
        <w:t xml:space="preserve"> positive it falls short compared to the broader performance of the S&amp;P 500 trailing behind by </w:t>
      </w:r>
      <w:r w:rsidR="00701C63">
        <w:rPr>
          <w:rFonts w:eastAsiaTheme="minorEastAsia"/>
          <w:sz w:val="24"/>
          <w:szCs w:val="24"/>
        </w:rPr>
        <w:t>twenty-four</w:t>
      </w:r>
      <w:r w:rsidRPr="5CCDA024">
        <w:rPr>
          <w:rFonts w:eastAsiaTheme="minorEastAsia"/>
          <w:sz w:val="24"/>
          <w:szCs w:val="24"/>
        </w:rPr>
        <w:t xml:space="preserve"> percent. It appears that while T Mobile has seen some expansion, in its operations it has not quite matched the progress of the market. The P/E ratio of 22 shows that the stock is reasonably valued </w:t>
      </w:r>
      <w:r w:rsidR="00701C63">
        <w:rPr>
          <w:rFonts w:eastAsiaTheme="minorEastAsia"/>
          <w:sz w:val="24"/>
          <w:szCs w:val="24"/>
        </w:rPr>
        <w:t>at</w:t>
      </w:r>
      <w:r w:rsidRPr="5CCDA024">
        <w:rPr>
          <w:rFonts w:eastAsiaTheme="minorEastAsia"/>
          <w:sz w:val="24"/>
          <w:szCs w:val="24"/>
        </w:rPr>
        <w:t xml:space="preserve"> its earnings. Not high or too low. This suggests that investors are somewhat optimistic about the company's future profit potential. However, with a dividend yield of 0.41%, it seems like T-Mobile isn't an income-generating stock and probably focuses more on growth and reinvestment rather than giving dividends to shareholders.</w:t>
      </w:r>
      <w:r w:rsidR="23B144DB" w:rsidRPr="5CCDA024">
        <w:rPr>
          <w:rFonts w:eastAsiaTheme="minorEastAsia"/>
          <w:sz w:val="24"/>
          <w:szCs w:val="24"/>
        </w:rPr>
        <w:t xml:space="preserve"> T Mobile has seen a response, from investors in the year with its stock hitting a new high despite an annual performance that falls short of the S&amp;P 500 at 15.31%. The P/E ratio of 22 indicates the stock is </w:t>
      </w:r>
      <w:r w:rsidR="3E28CEB8" w:rsidRPr="5CCDA024">
        <w:rPr>
          <w:rFonts w:eastAsiaTheme="minorEastAsia"/>
          <w:sz w:val="24"/>
          <w:szCs w:val="24"/>
        </w:rPr>
        <w:t>priced</w:t>
      </w:r>
      <w:r w:rsidR="23B144DB" w:rsidRPr="5CCDA024">
        <w:rPr>
          <w:rFonts w:eastAsiaTheme="minorEastAsia"/>
          <w:sz w:val="24"/>
          <w:szCs w:val="24"/>
        </w:rPr>
        <w:t xml:space="preserve">, hinting at growth expectations. With a dividend yield of 0.41% T Mobile seems focused on reinvesting for growth </w:t>
      </w:r>
      <w:r w:rsidR="00701C63">
        <w:rPr>
          <w:rFonts w:eastAsiaTheme="minorEastAsia"/>
          <w:sz w:val="24"/>
          <w:szCs w:val="24"/>
        </w:rPr>
        <w:t xml:space="preserve">rather </w:t>
      </w:r>
      <w:r w:rsidR="23B144DB" w:rsidRPr="5CCDA024">
        <w:rPr>
          <w:rFonts w:eastAsiaTheme="minorEastAsia"/>
          <w:sz w:val="24"/>
          <w:szCs w:val="24"/>
        </w:rPr>
        <w:t xml:space="preserve">than offering high returns to shareholders. These factors suggest </w:t>
      </w:r>
      <w:r w:rsidR="00701C63">
        <w:rPr>
          <w:rFonts w:eastAsiaTheme="minorEastAsia"/>
          <w:sz w:val="24"/>
          <w:szCs w:val="24"/>
        </w:rPr>
        <w:t>growth potential</w:t>
      </w:r>
      <w:r w:rsidR="23B144DB" w:rsidRPr="5CCDA024">
        <w:rPr>
          <w:rFonts w:eastAsiaTheme="minorEastAsia"/>
          <w:sz w:val="24"/>
          <w:szCs w:val="24"/>
        </w:rPr>
        <w:t xml:space="preserve">. Hint at challenges, from tough competition and market doubts about its ability to outperform broader market trends. While </w:t>
      </w:r>
      <w:r w:rsidR="00701C63">
        <w:rPr>
          <w:rFonts w:eastAsiaTheme="minorEastAsia"/>
          <w:sz w:val="24"/>
          <w:szCs w:val="24"/>
        </w:rPr>
        <w:t>growth-focused</w:t>
      </w:r>
      <w:r w:rsidR="23B144DB" w:rsidRPr="5CCDA024">
        <w:rPr>
          <w:rFonts w:eastAsiaTheme="minorEastAsia"/>
          <w:sz w:val="24"/>
          <w:szCs w:val="24"/>
        </w:rPr>
        <w:t xml:space="preserve"> investors may find T</w:t>
      </w:r>
      <w:r w:rsidR="00701C63">
        <w:rPr>
          <w:rFonts w:eastAsiaTheme="minorEastAsia"/>
          <w:sz w:val="24"/>
          <w:szCs w:val="24"/>
        </w:rPr>
        <w:t>-</w:t>
      </w:r>
      <w:r w:rsidR="23B144DB" w:rsidRPr="5CCDA024">
        <w:rPr>
          <w:rFonts w:eastAsiaTheme="minorEastAsia"/>
          <w:sz w:val="24"/>
          <w:szCs w:val="24"/>
        </w:rPr>
        <w:t>Mobile appealing others seeking returns or income alternatives might look elsewhere for opportunities.</w:t>
      </w:r>
    </w:p>
    <w:p w14:paraId="4CF8CD76" w14:textId="7CCAB5D2" w:rsidR="5CCDA024" w:rsidRDefault="5CCDA024" w:rsidP="5CCDA024">
      <w:pPr>
        <w:rPr>
          <w:rFonts w:eastAsiaTheme="minorEastAsia"/>
          <w:sz w:val="24"/>
          <w:szCs w:val="24"/>
        </w:rPr>
      </w:pPr>
    </w:p>
    <w:p w14:paraId="7700806B" w14:textId="40704F43" w:rsidR="62001D51" w:rsidRDefault="00000000" w:rsidP="5CCDA024">
      <w:pPr>
        <w:rPr>
          <w:rFonts w:eastAsiaTheme="minorEastAsia"/>
          <w:b/>
          <w:bCs/>
          <w:sz w:val="24"/>
          <w:szCs w:val="24"/>
        </w:rPr>
      </w:pPr>
      <w:r w:rsidRPr="5CCDA024">
        <w:rPr>
          <w:rFonts w:eastAsiaTheme="minorEastAsia"/>
          <w:b/>
          <w:bCs/>
          <w:sz w:val="24"/>
          <w:szCs w:val="24"/>
        </w:rPr>
        <w:t xml:space="preserve"> </w:t>
      </w:r>
      <w:r w:rsidR="294B4A71" w:rsidRPr="5CCDA024">
        <w:rPr>
          <w:rFonts w:eastAsiaTheme="minorEastAsia"/>
          <w:b/>
          <w:bCs/>
          <w:sz w:val="24"/>
          <w:szCs w:val="24"/>
        </w:rPr>
        <w:t xml:space="preserve"> </w:t>
      </w:r>
      <w:bookmarkStart w:id="8" w:name="_Toc175720672"/>
      <w:r w:rsidR="0219E814" w:rsidRPr="00701C63">
        <w:rPr>
          <w:rStyle w:val="Heading1Char"/>
        </w:rPr>
        <w:t xml:space="preserve">To determine T Mobile US performance, we can assess indicators across various </w:t>
      </w:r>
      <w:r w:rsidR="00701C63" w:rsidRPr="00701C63">
        <w:rPr>
          <w:rStyle w:val="Heading1Char"/>
        </w:rPr>
        <w:t>periods</w:t>
      </w:r>
      <w:r w:rsidR="0219E814" w:rsidRPr="00701C63">
        <w:rPr>
          <w:rStyle w:val="Heading1Char"/>
        </w:rPr>
        <w:t xml:space="preserve">. Here are some key details regarding </w:t>
      </w:r>
      <w:r w:rsidR="00701C63">
        <w:rPr>
          <w:rStyle w:val="Heading1Char"/>
        </w:rPr>
        <w:t>T-Mobile's</w:t>
      </w:r>
      <w:r w:rsidR="0219E814" w:rsidRPr="00701C63">
        <w:rPr>
          <w:rStyle w:val="Heading1Char"/>
        </w:rPr>
        <w:t xml:space="preserve"> re</w:t>
      </w:r>
      <w:r w:rsidR="00701C63">
        <w:rPr>
          <w:rStyle w:val="Heading1Char"/>
        </w:rPr>
        <w:t>t</w:t>
      </w:r>
      <w:r w:rsidR="0219E814" w:rsidRPr="00701C63">
        <w:rPr>
          <w:rStyle w:val="Heading1Char"/>
        </w:rPr>
        <w:t>urn</w:t>
      </w:r>
      <w:bookmarkEnd w:id="8"/>
      <w:r w:rsidR="0219E814" w:rsidRPr="5CCDA024">
        <w:rPr>
          <w:rFonts w:eastAsiaTheme="minorEastAsia"/>
          <w:b/>
          <w:bCs/>
          <w:sz w:val="24"/>
          <w:szCs w:val="24"/>
        </w:rPr>
        <w:t>: -</w:t>
      </w:r>
    </w:p>
    <w:p w14:paraId="1924C236" w14:textId="2C0C9DE6" w:rsidR="5F0E3A07" w:rsidRDefault="00000000" w:rsidP="5CCDA024">
      <w:pPr>
        <w:rPr>
          <w:rFonts w:eastAsiaTheme="minorEastAsia"/>
          <w:b/>
          <w:bCs/>
          <w:sz w:val="24"/>
          <w:szCs w:val="24"/>
        </w:rPr>
      </w:pPr>
      <w:r>
        <w:rPr>
          <w:noProof/>
        </w:rPr>
        <w:drawing>
          <wp:inline distT="0" distB="0" distL="0" distR="0" wp14:anchorId="06454CB3" wp14:editId="2B9C1877">
            <wp:extent cx="5724524" cy="2781300"/>
            <wp:effectExtent l="0" t="0" r="0" b="0"/>
            <wp:docPr id="846792304" name="Picture 84679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792304" name=""/>
                    <pic:cNvPicPr/>
                  </pic:nvPicPr>
                  <pic:blipFill>
                    <a:blip r:embed="rId12">
                      <a:extLst>
                        <a:ext uri="{28A0092B-C50C-407E-A947-70E740481C1C}">
                          <a14:useLocalDpi xmlns:a14="http://schemas.microsoft.com/office/drawing/2010/main" val="0"/>
                        </a:ext>
                      </a:extLst>
                    </a:blip>
                    <a:stretch>
                      <a:fillRect/>
                    </a:stretch>
                  </pic:blipFill>
                  <pic:spPr>
                    <a:xfrm>
                      <a:off x="0" y="0"/>
                      <a:ext cx="5724524" cy="2781300"/>
                    </a:xfrm>
                    <a:prstGeom prst="rect">
                      <a:avLst/>
                    </a:prstGeom>
                  </pic:spPr>
                </pic:pic>
              </a:graphicData>
            </a:graphic>
          </wp:inline>
        </w:drawing>
      </w:r>
    </w:p>
    <w:p w14:paraId="7E09EC4E" w14:textId="3A42E823" w:rsidR="001A6E71" w:rsidRPr="001A6E71" w:rsidRDefault="00000000" w:rsidP="5CCDA024">
      <w:pPr>
        <w:rPr>
          <w:rFonts w:eastAsiaTheme="minorEastAsia"/>
          <w:sz w:val="24"/>
          <w:szCs w:val="24"/>
        </w:rPr>
      </w:pPr>
      <w:r w:rsidRPr="5CCDA024">
        <w:rPr>
          <w:rFonts w:eastAsiaTheme="minorEastAsia"/>
          <w:sz w:val="24"/>
          <w:szCs w:val="24"/>
        </w:rPr>
        <w:lastRenderedPageBreak/>
        <w:t xml:space="preserve">SOURCE- </w:t>
      </w:r>
      <w:hyperlink r:id="rId13">
        <w:r w:rsidRPr="5CCDA024">
          <w:rPr>
            <w:rStyle w:val="Hyperlink"/>
            <w:rFonts w:eastAsiaTheme="minorEastAsia"/>
            <w:sz w:val="24"/>
            <w:szCs w:val="24"/>
          </w:rPr>
          <w:t>https://ycharts.com/companies/TMUS/total_return_forward_adjusted_price</w:t>
        </w:r>
      </w:hyperlink>
      <w:r w:rsidR="0EB5EF23" w:rsidRPr="5CCDA024">
        <w:rPr>
          <w:rFonts w:eastAsiaTheme="minorEastAsia"/>
          <w:sz w:val="24"/>
          <w:szCs w:val="24"/>
        </w:rPr>
        <w:t xml:space="preserve"> </w:t>
      </w:r>
    </w:p>
    <w:p w14:paraId="1098C6D7" w14:textId="165515EC" w:rsidR="001A6E71" w:rsidRPr="001A6E71" w:rsidRDefault="001A6E71" w:rsidP="5CCDA024">
      <w:pPr>
        <w:rPr>
          <w:rFonts w:eastAsiaTheme="minorEastAsia"/>
          <w:sz w:val="24"/>
          <w:szCs w:val="24"/>
        </w:rPr>
      </w:pPr>
    </w:p>
    <w:p w14:paraId="5AD61D63" w14:textId="3B94F9F6" w:rsidR="001A6E71" w:rsidRPr="001A6E71" w:rsidRDefault="00000000" w:rsidP="5CCDA024">
      <w:pPr>
        <w:rPr>
          <w:rFonts w:eastAsiaTheme="minorEastAsia"/>
          <w:sz w:val="24"/>
          <w:szCs w:val="24"/>
        </w:rPr>
      </w:pPr>
      <w:r>
        <w:rPr>
          <w:rFonts w:eastAsiaTheme="minorEastAsia"/>
          <w:sz w:val="24"/>
          <w:szCs w:val="24"/>
        </w:rPr>
        <w:t>15-Year</w:t>
      </w:r>
      <w:r w:rsidR="6D84B6C0" w:rsidRPr="5CCDA024">
        <w:rPr>
          <w:rFonts w:eastAsiaTheme="minorEastAsia"/>
          <w:sz w:val="24"/>
          <w:szCs w:val="24"/>
        </w:rPr>
        <w:t xml:space="preserve"> Price Total Return, Over the five years T Mobile US has demonstrated an impressive total return of 163.3% indicating substantial growth, in its stock price during this period.</w:t>
      </w:r>
    </w:p>
    <w:p w14:paraId="59BA5311" w14:textId="01BD45B1" w:rsidR="001A6E71" w:rsidRPr="001A6E71" w:rsidRDefault="00000000" w:rsidP="5CCDA024">
      <w:pPr>
        <w:rPr>
          <w:rFonts w:eastAsiaTheme="minorEastAsia"/>
          <w:sz w:val="24"/>
          <w:szCs w:val="24"/>
        </w:rPr>
      </w:pPr>
      <w:r w:rsidRPr="5CCDA024">
        <w:rPr>
          <w:rFonts w:eastAsiaTheme="minorEastAsia"/>
          <w:sz w:val="24"/>
          <w:szCs w:val="24"/>
        </w:rPr>
        <w:t>Year to Date (YTD) Price Total Return; Currently T Mobiles YTD price total return is at 3.1% showing an uptick, in its stock price since the start of the year.</w:t>
      </w:r>
    </w:p>
    <w:p w14:paraId="78D20C1A" w14:textId="1FB00F4B" w:rsidR="001A6E71" w:rsidRPr="001A6E71" w:rsidRDefault="00000000" w:rsidP="5CCDA024">
      <w:pPr>
        <w:rPr>
          <w:rFonts w:eastAsiaTheme="minorEastAsia"/>
          <w:sz w:val="24"/>
          <w:szCs w:val="24"/>
        </w:rPr>
      </w:pPr>
      <w:r w:rsidRPr="5CCDA024">
        <w:rPr>
          <w:rFonts w:eastAsiaTheme="minorEastAsia"/>
          <w:sz w:val="24"/>
          <w:szCs w:val="24"/>
        </w:rPr>
        <w:t xml:space="preserve">Total Return Level, As of July 30,2024 T </w:t>
      </w:r>
      <w:r w:rsidR="00701C63">
        <w:rPr>
          <w:rFonts w:eastAsiaTheme="minorEastAsia"/>
          <w:sz w:val="24"/>
          <w:szCs w:val="24"/>
        </w:rPr>
        <w:t>Mobiles'</w:t>
      </w:r>
      <w:r w:rsidRPr="5CCDA024">
        <w:rPr>
          <w:rFonts w:eastAsiaTheme="minorEastAsia"/>
          <w:sz w:val="24"/>
          <w:szCs w:val="24"/>
        </w:rPr>
        <w:t xml:space="preserve"> total return level was recorded at 264.48.</w:t>
      </w:r>
      <w:r w:rsidRPr="5CCDA024">
        <w:rPr>
          <w:rFonts w:eastAsiaTheme="minorEastAsia"/>
          <w:b/>
          <w:bCs/>
          <w:sz w:val="24"/>
          <w:szCs w:val="24"/>
        </w:rPr>
        <w:t xml:space="preserve"> </w:t>
      </w:r>
      <w:r w:rsidRPr="5CCDA024">
        <w:rPr>
          <w:rFonts w:eastAsiaTheme="minorEastAsia"/>
          <w:sz w:val="24"/>
          <w:szCs w:val="24"/>
        </w:rPr>
        <w:t>(YCharts, 2024)</w:t>
      </w:r>
    </w:p>
    <w:p w14:paraId="729ADF62" w14:textId="1062929B" w:rsidR="001A6E71" w:rsidRPr="001A6E71" w:rsidRDefault="001A6E71" w:rsidP="5CCDA024">
      <w:pPr>
        <w:rPr>
          <w:rFonts w:eastAsiaTheme="minorEastAsia"/>
          <w:sz w:val="24"/>
          <w:szCs w:val="24"/>
        </w:rPr>
      </w:pPr>
    </w:p>
    <w:p w14:paraId="3A78A2EB" w14:textId="7CDCE8DF" w:rsidR="001A6E71" w:rsidRPr="001A6E71" w:rsidRDefault="00000000" w:rsidP="00701C63">
      <w:pPr>
        <w:pStyle w:val="Heading1"/>
        <w:rPr>
          <w:rFonts w:eastAsiaTheme="minorEastAsia"/>
        </w:rPr>
      </w:pPr>
      <w:bookmarkStart w:id="9" w:name="_Toc175720673"/>
      <w:r w:rsidRPr="5CCDA024">
        <w:rPr>
          <w:rFonts w:eastAsiaTheme="minorEastAsia"/>
        </w:rPr>
        <w:t>The Compound Annual Growth Rate (CAGR) for T-Mobile US, Inc.</w:t>
      </w:r>
      <w:bookmarkEnd w:id="9"/>
    </w:p>
    <w:p w14:paraId="410EF600" w14:textId="7537486D" w:rsidR="001A6E71" w:rsidRPr="001A6E71" w:rsidRDefault="00000000" w:rsidP="5CCDA024">
      <w:pPr>
        <w:rPr>
          <w:rFonts w:eastAsiaTheme="minorEastAsia"/>
          <w:sz w:val="24"/>
          <w:szCs w:val="24"/>
        </w:rPr>
      </w:pPr>
      <w:r w:rsidRPr="5CCDA024">
        <w:rPr>
          <w:rFonts w:eastAsiaTheme="minorEastAsia"/>
          <w:sz w:val="24"/>
          <w:szCs w:val="24"/>
        </w:rPr>
        <w:t>Definition of CAGR</w:t>
      </w:r>
    </w:p>
    <w:p w14:paraId="354C4FB5" w14:textId="4645D901" w:rsidR="001A6E71" w:rsidRPr="001A6E71" w:rsidRDefault="00000000" w:rsidP="5CCDA024">
      <w:pPr>
        <w:rPr>
          <w:rFonts w:eastAsiaTheme="minorEastAsia"/>
          <w:sz w:val="24"/>
          <w:szCs w:val="24"/>
        </w:rPr>
      </w:pPr>
      <w:r w:rsidRPr="5CCDA024">
        <w:rPr>
          <w:rFonts w:eastAsiaTheme="minorEastAsia"/>
          <w:sz w:val="24"/>
          <w:szCs w:val="24"/>
        </w:rPr>
        <w:t>The compounded annual growth rate (CAGR) illustrates the performance of a factor, over a substantial timeframe and is employed to evaluate the comparative profitability of companies.</w:t>
      </w:r>
      <w:r w:rsidR="2E8BB153" w:rsidRPr="5CCDA024">
        <w:rPr>
          <w:rFonts w:eastAsiaTheme="minorEastAsia"/>
          <w:sz w:val="24"/>
          <w:szCs w:val="24"/>
        </w:rPr>
        <w:t xml:space="preserve"> (</w:t>
      </w:r>
      <w:bookmarkStart w:id="10" w:name="_Int_V1bqulgT"/>
      <w:proofErr w:type="spellStart"/>
      <w:r w:rsidR="2E8BB153" w:rsidRPr="5CCDA024">
        <w:rPr>
          <w:rFonts w:eastAsiaTheme="minorEastAsia"/>
          <w:sz w:val="24"/>
          <w:szCs w:val="24"/>
        </w:rPr>
        <w:t>Groww</w:t>
      </w:r>
      <w:bookmarkEnd w:id="10"/>
      <w:proofErr w:type="spellEnd"/>
      <w:r w:rsidR="2E8BB153" w:rsidRPr="5CCDA024">
        <w:rPr>
          <w:rFonts w:eastAsiaTheme="minorEastAsia"/>
          <w:sz w:val="24"/>
          <w:szCs w:val="24"/>
        </w:rPr>
        <w:t>, n.d.)</w:t>
      </w:r>
    </w:p>
    <w:p w14:paraId="5FDA8F6A" w14:textId="422E1A99" w:rsidR="001A6E71" w:rsidRPr="001A6E71" w:rsidRDefault="00000000" w:rsidP="5CCDA024">
      <w:pPr>
        <w:rPr>
          <w:rFonts w:eastAsiaTheme="minorEastAsia"/>
          <w:sz w:val="24"/>
          <w:szCs w:val="24"/>
        </w:rPr>
      </w:pPr>
      <w:r w:rsidRPr="5CCDA024">
        <w:rPr>
          <w:rFonts w:eastAsiaTheme="minorEastAsia"/>
          <w:sz w:val="24"/>
          <w:szCs w:val="24"/>
        </w:rPr>
        <w:t>Formula</w:t>
      </w:r>
    </w:p>
    <w:p w14:paraId="464B976C" w14:textId="2744716F" w:rsidR="001A6E71" w:rsidRPr="001A6E71" w:rsidRDefault="00000000" w:rsidP="5CCDA024">
      <w:pPr>
        <w:rPr>
          <w:rFonts w:eastAsiaTheme="minorEastAsia"/>
          <w:sz w:val="24"/>
          <w:szCs w:val="24"/>
        </w:rPr>
      </w:pPr>
      <w:r w:rsidRPr="5CCDA024">
        <w:rPr>
          <w:rFonts w:eastAsiaTheme="minorEastAsia"/>
          <w:sz w:val="24"/>
          <w:szCs w:val="24"/>
        </w:rPr>
        <w:t>CAGR= ((BVEV)n1-1) x100</w:t>
      </w:r>
    </w:p>
    <w:p w14:paraId="590E410F" w14:textId="167C9D80" w:rsidR="001A6E71" w:rsidRPr="001A6E71" w:rsidRDefault="00000000" w:rsidP="5CCDA024">
      <w:pPr>
        <w:rPr>
          <w:rFonts w:eastAsiaTheme="minorEastAsia"/>
          <w:sz w:val="24"/>
          <w:szCs w:val="24"/>
        </w:rPr>
      </w:pPr>
      <w:r w:rsidRPr="5CCDA024">
        <w:rPr>
          <w:rFonts w:eastAsiaTheme="minorEastAsia"/>
          <w:sz w:val="24"/>
          <w:szCs w:val="24"/>
        </w:rPr>
        <w:t>Where:</w:t>
      </w:r>
    </w:p>
    <w:p w14:paraId="4B748208" w14:textId="529F77C2" w:rsidR="001A6E71" w:rsidRPr="001A6E71" w:rsidRDefault="00000000" w:rsidP="5CCDA024">
      <w:pPr>
        <w:rPr>
          <w:rFonts w:eastAsiaTheme="minorEastAsia"/>
          <w:sz w:val="24"/>
          <w:szCs w:val="24"/>
        </w:rPr>
      </w:pPr>
      <w:r w:rsidRPr="5CCDA024">
        <w:rPr>
          <w:rFonts w:eastAsiaTheme="minorEastAsia"/>
          <w:sz w:val="24"/>
          <w:szCs w:val="24"/>
        </w:rPr>
        <w:t xml:space="preserve">EV= ENDING VALUE </w:t>
      </w:r>
    </w:p>
    <w:p w14:paraId="47963B49" w14:textId="7FF2C79C" w:rsidR="001A6E71" w:rsidRPr="001A6E71" w:rsidRDefault="00000000" w:rsidP="5CCDA024">
      <w:pPr>
        <w:rPr>
          <w:rFonts w:eastAsiaTheme="minorEastAsia"/>
          <w:sz w:val="24"/>
          <w:szCs w:val="24"/>
        </w:rPr>
      </w:pPr>
      <w:r w:rsidRPr="5CCDA024">
        <w:rPr>
          <w:rFonts w:eastAsiaTheme="minorEastAsia"/>
          <w:sz w:val="24"/>
          <w:szCs w:val="24"/>
        </w:rPr>
        <w:t>BV= BEGNING VALUE</w:t>
      </w:r>
    </w:p>
    <w:p w14:paraId="5CBA191E" w14:textId="0317335F" w:rsidR="001A6E71" w:rsidRPr="001A6E71" w:rsidRDefault="00000000" w:rsidP="5CCDA024">
      <w:pPr>
        <w:rPr>
          <w:rFonts w:eastAsiaTheme="minorEastAsia"/>
          <w:sz w:val="24"/>
          <w:szCs w:val="24"/>
        </w:rPr>
      </w:pPr>
      <w:r w:rsidRPr="5CCDA024">
        <w:rPr>
          <w:rFonts w:eastAsiaTheme="minorEastAsia"/>
          <w:sz w:val="24"/>
          <w:szCs w:val="24"/>
        </w:rPr>
        <w:t>N= Numbers of Years</w:t>
      </w:r>
    </w:p>
    <w:p w14:paraId="322300AF" w14:textId="7D39B9D1" w:rsidR="001A6E71" w:rsidRPr="001A6E71" w:rsidRDefault="00000000" w:rsidP="5CCDA024">
      <w:pPr>
        <w:rPr>
          <w:rFonts w:eastAsiaTheme="minorEastAsia"/>
          <w:sz w:val="24"/>
          <w:szCs w:val="24"/>
        </w:rPr>
      </w:pPr>
      <w:r w:rsidRPr="5CCDA024">
        <w:rPr>
          <w:rFonts w:eastAsiaTheme="minorEastAsia"/>
          <w:sz w:val="24"/>
          <w:szCs w:val="24"/>
        </w:rPr>
        <w:t>CAGR:(160.33/139.04) =1.153121</w:t>
      </w:r>
    </w:p>
    <w:p w14:paraId="36231F2A" w14:textId="7EDABFC1" w:rsidR="001A6E71" w:rsidRPr="001A6E71" w:rsidRDefault="00000000" w:rsidP="5CCDA024">
      <w:pPr>
        <w:rPr>
          <w:rFonts w:eastAsiaTheme="minorEastAsia"/>
          <w:sz w:val="24"/>
          <w:szCs w:val="24"/>
        </w:rPr>
      </w:pPr>
      <w:r w:rsidRPr="5CCDA024">
        <w:rPr>
          <w:rFonts w:eastAsiaTheme="minorEastAsia"/>
          <w:sz w:val="24"/>
          <w:szCs w:val="24"/>
        </w:rPr>
        <w:t>=1.153121-1x100</w:t>
      </w:r>
    </w:p>
    <w:p w14:paraId="274C324C" w14:textId="5E05E1C9" w:rsidR="001A6E71" w:rsidRDefault="00000000" w:rsidP="5CCDA024">
      <w:pPr>
        <w:rPr>
          <w:rFonts w:eastAsiaTheme="minorEastAsia"/>
          <w:sz w:val="24"/>
          <w:szCs w:val="24"/>
        </w:rPr>
      </w:pPr>
      <w:r w:rsidRPr="5CCDA024">
        <w:rPr>
          <w:rFonts w:eastAsiaTheme="minorEastAsia"/>
          <w:sz w:val="24"/>
          <w:szCs w:val="24"/>
        </w:rPr>
        <w:t>=0.00057</w:t>
      </w:r>
    </w:p>
    <w:p w14:paraId="554F3A16" w14:textId="184BECFD" w:rsidR="00A97928" w:rsidRPr="001A6E71" w:rsidRDefault="00000000" w:rsidP="5CCDA024">
      <w:pPr>
        <w:rPr>
          <w:rFonts w:eastAsiaTheme="minorEastAsia"/>
          <w:sz w:val="24"/>
          <w:szCs w:val="24"/>
        </w:rPr>
      </w:pPr>
      <w:r>
        <w:rPr>
          <w:rFonts w:eastAsiaTheme="minorEastAsia"/>
          <w:noProof/>
          <w:sz w:val="24"/>
          <w:szCs w:val="24"/>
        </w:rPr>
        <w:lastRenderedPageBreak/>
        <w:drawing>
          <wp:inline distT="0" distB="0" distL="0" distR="0" wp14:anchorId="1E6351DE" wp14:editId="634873CF">
            <wp:extent cx="5486400" cy="3200400"/>
            <wp:effectExtent l="0" t="0" r="0" b="0"/>
            <wp:docPr id="90352727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BE36944" w14:textId="17B04EE7" w:rsidR="001A6E71" w:rsidRPr="001A6E71" w:rsidRDefault="001A6E71" w:rsidP="5CCDA024">
      <w:pPr>
        <w:rPr>
          <w:rFonts w:eastAsiaTheme="minorEastAsia"/>
          <w:sz w:val="24"/>
          <w:szCs w:val="24"/>
        </w:rPr>
      </w:pPr>
    </w:p>
    <w:p w14:paraId="0655F146" w14:textId="5A36BC5E" w:rsidR="001A6E71" w:rsidRPr="001A6E71" w:rsidRDefault="00000000" w:rsidP="5CCDA024">
      <w:pPr>
        <w:spacing w:before="240" w:after="240"/>
        <w:rPr>
          <w:rFonts w:eastAsiaTheme="minorEastAsia"/>
          <w:sz w:val="24"/>
          <w:szCs w:val="24"/>
        </w:rPr>
      </w:pPr>
      <w:r w:rsidRPr="5CCDA024">
        <w:rPr>
          <w:rFonts w:eastAsiaTheme="minorEastAsia"/>
          <w:sz w:val="24"/>
          <w:szCs w:val="24"/>
        </w:rPr>
        <w:t xml:space="preserve">Comment: </w:t>
      </w:r>
      <w:r w:rsidR="00701C63">
        <w:rPr>
          <w:rFonts w:eastAsiaTheme="minorEastAsia"/>
          <w:sz w:val="24"/>
          <w:szCs w:val="24"/>
        </w:rPr>
        <w:t xml:space="preserve">A </w:t>
      </w:r>
      <w:r w:rsidR="00A97928">
        <w:rPr>
          <w:rFonts w:eastAsiaTheme="minorEastAsia"/>
          <w:sz w:val="24"/>
          <w:szCs w:val="24"/>
        </w:rPr>
        <w:t>Growth</w:t>
      </w:r>
      <w:r w:rsidRPr="5CCDA024">
        <w:rPr>
          <w:rFonts w:eastAsiaTheme="minorEastAsia"/>
          <w:sz w:val="24"/>
          <w:szCs w:val="24"/>
        </w:rPr>
        <w:t xml:space="preserve"> Rate (CAGR) of 15.31% </w:t>
      </w:r>
      <w:r w:rsidR="00701C63">
        <w:rPr>
          <w:rFonts w:eastAsiaTheme="minorEastAsia"/>
          <w:sz w:val="24"/>
          <w:szCs w:val="24"/>
        </w:rPr>
        <w:t>showed</w:t>
      </w:r>
      <w:r w:rsidRPr="5CCDA024">
        <w:rPr>
          <w:rFonts w:eastAsiaTheme="minorEastAsia"/>
          <w:sz w:val="24"/>
          <w:szCs w:val="24"/>
        </w:rPr>
        <w:t xml:space="preserve"> growth throughout the year indicating a 15.31 % increase in the company's stock price from the beginning to the end of 2023 This growth rate reflects positively on T </w:t>
      </w:r>
      <w:r w:rsidR="00701C63">
        <w:rPr>
          <w:rFonts w:eastAsiaTheme="minorEastAsia"/>
          <w:sz w:val="24"/>
          <w:szCs w:val="24"/>
        </w:rPr>
        <w:t>Mobiles'</w:t>
      </w:r>
      <w:r w:rsidRPr="5CCDA024">
        <w:rPr>
          <w:rFonts w:eastAsiaTheme="minorEastAsia"/>
          <w:sz w:val="24"/>
          <w:szCs w:val="24"/>
        </w:rPr>
        <w:t xml:space="preserve"> performance during that period implying successful strategies and potentially </w:t>
      </w:r>
      <w:proofErr w:type="spellStart"/>
      <w:r w:rsidR="00701C63">
        <w:rPr>
          <w:rFonts w:eastAsiaTheme="minorEastAsia"/>
          <w:sz w:val="24"/>
          <w:szCs w:val="24"/>
        </w:rPr>
        <w:t>favorable</w:t>
      </w:r>
      <w:proofErr w:type="spellEnd"/>
      <w:r w:rsidRPr="5CCDA024">
        <w:rPr>
          <w:rFonts w:eastAsiaTheme="minorEastAsia"/>
          <w:sz w:val="24"/>
          <w:szCs w:val="24"/>
        </w:rPr>
        <w:t xml:space="preserve"> market conditions. Investors often rely on this metric as it gives them a view of how the company has been progressing during the specified period.</w:t>
      </w:r>
      <w:r w:rsidR="2E158384" w:rsidRPr="5CCDA024">
        <w:rPr>
          <w:rFonts w:eastAsiaTheme="minorEastAsia"/>
          <w:sz w:val="24"/>
          <w:szCs w:val="24"/>
        </w:rPr>
        <w:t xml:space="preserve"> In 2023 T Mobile showed a performance, with a growth rate of 15.31% indicating strategies and </w:t>
      </w:r>
      <w:proofErr w:type="spellStart"/>
      <w:r w:rsidR="2E158384" w:rsidRPr="5CCDA024">
        <w:rPr>
          <w:rFonts w:eastAsiaTheme="minorEastAsia"/>
          <w:sz w:val="24"/>
          <w:szCs w:val="24"/>
        </w:rPr>
        <w:t>favorable</w:t>
      </w:r>
      <w:proofErr w:type="spellEnd"/>
      <w:r w:rsidR="2E158384" w:rsidRPr="5CCDA024">
        <w:rPr>
          <w:rFonts w:eastAsiaTheme="minorEastAsia"/>
          <w:sz w:val="24"/>
          <w:szCs w:val="24"/>
        </w:rPr>
        <w:t xml:space="preserve"> market conditions. This suggests that T Mobile effectively navigated the telecom landscape improved its value proposition and maintained growth. Investors can use this growth rate as an indicator of the </w:t>
      </w:r>
      <w:r w:rsidR="00701C63">
        <w:rPr>
          <w:rFonts w:eastAsiaTheme="minorEastAsia"/>
          <w:sz w:val="24"/>
          <w:szCs w:val="24"/>
        </w:rPr>
        <w:t>company's</w:t>
      </w:r>
      <w:r w:rsidR="2E158384" w:rsidRPr="5CCDA024">
        <w:rPr>
          <w:rFonts w:eastAsiaTheme="minorEastAsia"/>
          <w:sz w:val="24"/>
          <w:szCs w:val="24"/>
        </w:rPr>
        <w:t xml:space="preserve"> progress showing that T Mobile delivered returns during the period. It's important to consider market trends and the sustainability of this growth when evaluating metrics. </w:t>
      </w:r>
      <w:proofErr w:type="gramStart"/>
      <w:r w:rsidR="2E158384" w:rsidRPr="5CCDA024">
        <w:rPr>
          <w:rFonts w:eastAsiaTheme="minorEastAsia"/>
          <w:sz w:val="24"/>
          <w:szCs w:val="24"/>
        </w:rPr>
        <w:t>Overall</w:t>
      </w:r>
      <w:proofErr w:type="gramEnd"/>
      <w:r w:rsidR="2E158384" w:rsidRPr="5CCDA024">
        <w:rPr>
          <w:rFonts w:eastAsiaTheme="minorEastAsia"/>
          <w:sz w:val="24"/>
          <w:szCs w:val="24"/>
        </w:rPr>
        <w:t xml:space="preserve"> this performance is likely to increase investor confidence, in T</w:t>
      </w:r>
      <w:r w:rsidR="00701C63">
        <w:rPr>
          <w:rFonts w:eastAsiaTheme="minorEastAsia"/>
          <w:sz w:val="24"/>
          <w:szCs w:val="24"/>
        </w:rPr>
        <w:t>-Mobiles'</w:t>
      </w:r>
      <w:r w:rsidR="2E158384" w:rsidRPr="5CCDA024">
        <w:rPr>
          <w:rFonts w:eastAsiaTheme="minorEastAsia"/>
          <w:sz w:val="24"/>
          <w:szCs w:val="24"/>
        </w:rPr>
        <w:t xml:space="preserve"> ability to execute strategies and create value in a market.</w:t>
      </w:r>
    </w:p>
    <w:p w14:paraId="592D3807" w14:textId="7573816B" w:rsidR="001A6E71" w:rsidRPr="00701C63" w:rsidRDefault="001A6E71" w:rsidP="5CCDA024">
      <w:pPr>
        <w:rPr>
          <w:rFonts w:eastAsiaTheme="minorEastAsia"/>
          <w:sz w:val="24"/>
          <w:szCs w:val="24"/>
        </w:rPr>
      </w:pPr>
    </w:p>
    <w:p w14:paraId="36CB4C8B" w14:textId="3795FF89" w:rsidR="001A6E71" w:rsidRPr="001A6E71" w:rsidRDefault="00000000" w:rsidP="00CF5C07">
      <w:pPr>
        <w:pStyle w:val="Heading2"/>
        <w:rPr>
          <w:rFonts w:eastAsiaTheme="minorEastAsia"/>
        </w:rPr>
      </w:pPr>
      <w:bookmarkStart w:id="11" w:name="_Toc175720674"/>
      <w:r w:rsidRPr="5CCDA024">
        <w:rPr>
          <w:rFonts w:eastAsiaTheme="minorEastAsia"/>
        </w:rPr>
        <w:t xml:space="preserve"> Sharpe Ratio:</w:t>
      </w:r>
      <w:bookmarkEnd w:id="11"/>
    </w:p>
    <w:p w14:paraId="6D59FB99" w14:textId="20E79F18" w:rsidR="5CD37672" w:rsidRDefault="00000000" w:rsidP="5CCDA024">
      <w:pPr>
        <w:rPr>
          <w:rFonts w:eastAsiaTheme="minorEastAsia"/>
          <w:sz w:val="24"/>
          <w:szCs w:val="24"/>
        </w:rPr>
      </w:pPr>
      <w:r w:rsidRPr="5CCDA024">
        <w:rPr>
          <w:rFonts w:eastAsiaTheme="minorEastAsia"/>
          <w:sz w:val="24"/>
          <w:szCs w:val="24"/>
        </w:rPr>
        <w:t xml:space="preserve">The Sharpe ratio is a way to measure how </w:t>
      </w:r>
      <w:r w:rsidR="00701C63">
        <w:rPr>
          <w:rFonts w:eastAsiaTheme="minorEastAsia"/>
          <w:sz w:val="24"/>
          <w:szCs w:val="24"/>
        </w:rPr>
        <w:t xml:space="preserve">much </w:t>
      </w:r>
      <w:r w:rsidRPr="5CCDA024">
        <w:rPr>
          <w:rFonts w:eastAsiaTheme="minorEastAsia"/>
          <w:sz w:val="24"/>
          <w:szCs w:val="24"/>
        </w:rPr>
        <w:t xml:space="preserve">return an investment portfolio generates compared to the risk involved. It helps investors gauge the </w:t>
      </w:r>
      <w:r w:rsidR="00CF5C07">
        <w:rPr>
          <w:rFonts w:eastAsiaTheme="minorEastAsia"/>
          <w:sz w:val="24"/>
          <w:szCs w:val="24"/>
        </w:rPr>
        <w:t>trade-off</w:t>
      </w:r>
      <w:r w:rsidRPr="5CCDA024">
        <w:rPr>
          <w:rFonts w:eastAsiaTheme="minorEastAsia"/>
          <w:sz w:val="24"/>
          <w:szCs w:val="24"/>
        </w:rPr>
        <w:t xml:space="preserve">, between risk and reward indicating the level of risk taken to achieve returns. Investors expect to be rewarded for taking on risks beyond what </w:t>
      </w:r>
      <w:r w:rsidR="00CF5C07">
        <w:rPr>
          <w:rFonts w:eastAsiaTheme="minorEastAsia"/>
          <w:sz w:val="24"/>
          <w:szCs w:val="24"/>
        </w:rPr>
        <w:t>risk-free</w:t>
      </w:r>
      <w:r w:rsidRPr="5CCDA024">
        <w:rPr>
          <w:rFonts w:eastAsiaTheme="minorEastAsia"/>
          <w:sz w:val="24"/>
          <w:szCs w:val="24"/>
        </w:rPr>
        <w:t xml:space="preserve"> assets offer.</w:t>
      </w:r>
    </w:p>
    <w:p w14:paraId="5B51BBD2" w14:textId="657BAF00" w:rsidR="5CD37672" w:rsidRDefault="00000000" w:rsidP="5CCDA024">
      <w:pPr>
        <w:rPr>
          <w:rFonts w:eastAsiaTheme="minorEastAsia"/>
          <w:sz w:val="24"/>
          <w:szCs w:val="24"/>
        </w:rPr>
      </w:pPr>
      <w:r w:rsidRPr="5CCDA024">
        <w:rPr>
          <w:rFonts w:eastAsiaTheme="minorEastAsia"/>
          <w:sz w:val="24"/>
          <w:szCs w:val="24"/>
        </w:rPr>
        <w:t xml:space="preserve">The Sharpe ratio is versatile. </w:t>
      </w:r>
      <w:r w:rsidR="00FD63E9">
        <w:rPr>
          <w:rFonts w:eastAsiaTheme="minorEastAsia"/>
          <w:sz w:val="24"/>
          <w:szCs w:val="24"/>
        </w:rPr>
        <w:t>To</w:t>
      </w:r>
      <w:r w:rsidRPr="5CCDA024">
        <w:rPr>
          <w:rFonts w:eastAsiaTheme="minorEastAsia"/>
          <w:sz w:val="24"/>
          <w:szCs w:val="24"/>
        </w:rPr>
        <w:t xml:space="preserve"> </w:t>
      </w:r>
      <w:proofErr w:type="spellStart"/>
      <w:r w:rsidR="00CF5C07">
        <w:rPr>
          <w:rFonts w:eastAsiaTheme="minorEastAsia"/>
          <w:sz w:val="24"/>
          <w:szCs w:val="24"/>
        </w:rPr>
        <w:t>analyze</w:t>
      </w:r>
      <w:proofErr w:type="spellEnd"/>
      <w:r w:rsidRPr="5CCDA024">
        <w:rPr>
          <w:rFonts w:eastAsiaTheme="minorEastAsia"/>
          <w:sz w:val="24"/>
          <w:szCs w:val="24"/>
        </w:rPr>
        <w:t xml:space="preserve"> return data sets without requiring detailed information about volatility or profitability sources. It is commonly used for comparing the </w:t>
      </w:r>
      <w:r w:rsidR="00CF5C07">
        <w:rPr>
          <w:rFonts w:eastAsiaTheme="minorEastAsia"/>
          <w:sz w:val="24"/>
          <w:szCs w:val="24"/>
        </w:rPr>
        <w:t>risk-adjusted</w:t>
      </w:r>
      <w:r w:rsidRPr="5CCDA024">
        <w:rPr>
          <w:rFonts w:eastAsiaTheme="minorEastAsia"/>
          <w:sz w:val="24"/>
          <w:szCs w:val="24"/>
        </w:rPr>
        <w:t xml:space="preserve"> returns of types of investments such, as stocks, ETFs, mutual funds</w:t>
      </w:r>
      <w:r w:rsidR="00CF5C07">
        <w:rPr>
          <w:rFonts w:eastAsiaTheme="minorEastAsia"/>
          <w:sz w:val="24"/>
          <w:szCs w:val="24"/>
        </w:rPr>
        <w:t>,</w:t>
      </w:r>
      <w:r w:rsidRPr="5CCDA024">
        <w:rPr>
          <w:rFonts w:eastAsiaTheme="minorEastAsia"/>
          <w:sz w:val="24"/>
          <w:szCs w:val="24"/>
        </w:rPr>
        <w:t xml:space="preserve"> and investment portfolios. (CMC Markets, n.d.)</w:t>
      </w:r>
    </w:p>
    <w:p w14:paraId="2F82AF3A" w14:textId="7A877EA0" w:rsidR="2A5F0A12" w:rsidRDefault="2A5F0A12" w:rsidP="5CCDA024">
      <w:pPr>
        <w:rPr>
          <w:rFonts w:eastAsiaTheme="minorEastAsia"/>
          <w:sz w:val="24"/>
          <w:szCs w:val="24"/>
        </w:rPr>
      </w:pPr>
    </w:p>
    <w:p w14:paraId="3A005BA9" w14:textId="2D42C41E" w:rsidR="01B3360F" w:rsidRDefault="00000000" w:rsidP="5CCDA024">
      <w:pPr>
        <w:rPr>
          <w:rFonts w:eastAsiaTheme="minorEastAsia"/>
          <w:sz w:val="24"/>
          <w:szCs w:val="24"/>
        </w:rPr>
      </w:pPr>
      <w:r w:rsidRPr="5CCDA024">
        <w:rPr>
          <w:rFonts w:eastAsiaTheme="minorEastAsia"/>
          <w:sz w:val="24"/>
          <w:szCs w:val="24"/>
        </w:rPr>
        <w:t xml:space="preserve">Formula of Sharpe ratio: </w:t>
      </w:r>
    </w:p>
    <w:p w14:paraId="5CEC20AD" w14:textId="186214A0" w:rsidR="01B3360F" w:rsidRDefault="00000000" w:rsidP="5CCDA024">
      <w:pPr>
        <w:rPr>
          <w:rFonts w:eastAsiaTheme="minorEastAsia"/>
          <w:sz w:val="24"/>
          <w:szCs w:val="24"/>
        </w:rPr>
      </w:pPr>
      <w:r w:rsidRPr="5CCDA024">
        <w:rPr>
          <w:rFonts w:eastAsiaTheme="minorEastAsia"/>
          <w:sz w:val="24"/>
          <w:szCs w:val="24"/>
        </w:rPr>
        <w:t>{R(p)-R (f)}/s(p)</w:t>
      </w:r>
    </w:p>
    <w:p w14:paraId="2F788190" w14:textId="0E57ACC7" w:rsidR="01B3360F" w:rsidRDefault="00000000" w:rsidP="5CCDA024">
      <w:pPr>
        <w:rPr>
          <w:rFonts w:eastAsiaTheme="minorEastAsia"/>
          <w:sz w:val="24"/>
          <w:szCs w:val="24"/>
        </w:rPr>
      </w:pPr>
      <w:r w:rsidRPr="5CCDA024">
        <w:rPr>
          <w:rFonts w:eastAsiaTheme="minorEastAsia"/>
          <w:sz w:val="24"/>
          <w:szCs w:val="24"/>
        </w:rPr>
        <w:t>R (p): Portfolio return</w:t>
      </w:r>
    </w:p>
    <w:p w14:paraId="78FE4E5E" w14:textId="51DB403B" w:rsidR="01B3360F" w:rsidRDefault="00000000" w:rsidP="5CCDA024">
      <w:pPr>
        <w:rPr>
          <w:rFonts w:eastAsiaTheme="minorEastAsia"/>
          <w:sz w:val="24"/>
          <w:szCs w:val="24"/>
        </w:rPr>
      </w:pPr>
      <w:r w:rsidRPr="5CCDA024">
        <w:rPr>
          <w:rFonts w:eastAsiaTheme="minorEastAsia"/>
          <w:sz w:val="24"/>
          <w:szCs w:val="24"/>
        </w:rPr>
        <w:t xml:space="preserve">R (f): </w:t>
      </w:r>
      <w:r w:rsidR="00CF5C07">
        <w:rPr>
          <w:rFonts w:eastAsiaTheme="minorEastAsia"/>
          <w:sz w:val="24"/>
          <w:szCs w:val="24"/>
        </w:rPr>
        <w:t>Risk-free</w:t>
      </w:r>
      <w:r w:rsidRPr="5CCDA024">
        <w:rPr>
          <w:rFonts w:eastAsiaTheme="minorEastAsia"/>
          <w:sz w:val="24"/>
          <w:szCs w:val="24"/>
        </w:rPr>
        <w:t xml:space="preserve"> rate of return</w:t>
      </w:r>
    </w:p>
    <w:p w14:paraId="329B821E" w14:textId="66C1868C" w:rsidR="01B3360F" w:rsidRDefault="00000000" w:rsidP="5CCDA024">
      <w:pPr>
        <w:rPr>
          <w:rFonts w:eastAsiaTheme="minorEastAsia"/>
          <w:sz w:val="24"/>
          <w:szCs w:val="24"/>
        </w:rPr>
      </w:pPr>
      <w:r w:rsidRPr="5CCDA024">
        <w:rPr>
          <w:rFonts w:eastAsiaTheme="minorEastAsia"/>
          <w:sz w:val="24"/>
          <w:szCs w:val="24"/>
        </w:rPr>
        <w:t>s (p): Standard deviation of the portfolio</w:t>
      </w:r>
    </w:p>
    <w:p w14:paraId="4FE4B8BC" w14:textId="222D6DC1" w:rsidR="01B3360F" w:rsidRDefault="00000000" w:rsidP="5CCDA024">
      <w:pPr>
        <w:rPr>
          <w:rFonts w:eastAsiaTheme="minorEastAsia"/>
          <w:sz w:val="24"/>
          <w:szCs w:val="24"/>
        </w:rPr>
      </w:pPr>
      <w:proofErr w:type="spellStart"/>
      <w:r w:rsidRPr="5CCDA024">
        <w:rPr>
          <w:rFonts w:eastAsiaTheme="minorEastAsia"/>
          <w:sz w:val="24"/>
          <w:szCs w:val="24"/>
        </w:rPr>
        <w:t>rp</w:t>
      </w:r>
      <w:proofErr w:type="spellEnd"/>
      <w:r w:rsidRPr="5CCDA024">
        <w:rPr>
          <w:rFonts w:eastAsiaTheme="minorEastAsia"/>
          <w:sz w:val="24"/>
          <w:szCs w:val="24"/>
        </w:rPr>
        <w:t>-rf=0.3</w:t>
      </w:r>
    </w:p>
    <w:p w14:paraId="5287EF9D" w14:textId="4B6CD393" w:rsidR="01B3360F" w:rsidRDefault="00000000" w:rsidP="5CCDA024">
      <w:pPr>
        <w:rPr>
          <w:rFonts w:eastAsiaTheme="minorEastAsia"/>
          <w:sz w:val="24"/>
          <w:szCs w:val="24"/>
        </w:rPr>
      </w:pPr>
      <w:r w:rsidRPr="5CCDA024">
        <w:rPr>
          <w:rFonts w:eastAsiaTheme="minorEastAsia"/>
          <w:sz w:val="24"/>
          <w:szCs w:val="24"/>
        </w:rPr>
        <w:t>s(P)=0.011836</w:t>
      </w:r>
    </w:p>
    <w:p w14:paraId="1DB9E616" w14:textId="4BD82BEF" w:rsidR="01B3360F" w:rsidRDefault="00000000" w:rsidP="5CCDA024">
      <w:pPr>
        <w:rPr>
          <w:rFonts w:eastAsiaTheme="minorEastAsia"/>
          <w:sz w:val="24"/>
          <w:szCs w:val="24"/>
        </w:rPr>
      </w:pPr>
      <w:proofErr w:type="spellStart"/>
      <w:r w:rsidRPr="5CCDA024">
        <w:rPr>
          <w:rFonts w:eastAsiaTheme="minorEastAsia"/>
          <w:sz w:val="24"/>
          <w:szCs w:val="24"/>
        </w:rPr>
        <w:t>rp</w:t>
      </w:r>
      <w:proofErr w:type="spellEnd"/>
      <w:r w:rsidRPr="5CCDA024">
        <w:rPr>
          <w:rFonts w:eastAsiaTheme="minorEastAsia"/>
          <w:sz w:val="24"/>
          <w:szCs w:val="24"/>
        </w:rPr>
        <w:t>-rf/s(P)=0.3/0.011836=2.534598</w:t>
      </w:r>
    </w:p>
    <w:p w14:paraId="3CE43C5A" w14:textId="5066A4CB" w:rsidR="2A5F0A12" w:rsidRDefault="2A5F0A12" w:rsidP="5CCDA024">
      <w:pPr>
        <w:rPr>
          <w:rFonts w:eastAsiaTheme="minorEastAsia"/>
          <w:sz w:val="24"/>
          <w:szCs w:val="24"/>
        </w:rPr>
      </w:pPr>
    </w:p>
    <w:p w14:paraId="78DFDE0D" w14:textId="25BBEE59" w:rsidR="7D3D894A" w:rsidRDefault="00000000" w:rsidP="5CCDA024">
      <w:pPr>
        <w:rPr>
          <w:rFonts w:eastAsiaTheme="minorEastAsia"/>
          <w:sz w:val="24"/>
          <w:szCs w:val="24"/>
        </w:rPr>
      </w:pPr>
      <w:r w:rsidRPr="00CF5C07">
        <w:rPr>
          <w:rFonts w:eastAsiaTheme="minorEastAsia"/>
          <w:b/>
          <w:bCs/>
          <w:sz w:val="24"/>
          <w:szCs w:val="24"/>
        </w:rPr>
        <w:t>Comment</w:t>
      </w:r>
      <w:r w:rsidRPr="5CCDA024">
        <w:rPr>
          <w:rFonts w:eastAsiaTheme="minorEastAsia"/>
          <w:sz w:val="24"/>
          <w:szCs w:val="24"/>
        </w:rPr>
        <w:t>: T</w:t>
      </w:r>
      <w:r w:rsidR="00CF5C07">
        <w:rPr>
          <w:rFonts w:eastAsiaTheme="minorEastAsia"/>
          <w:sz w:val="24"/>
          <w:szCs w:val="24"/>
        </w:rPr>
        <w:t>-</w:t>
      </w:r>
      <w:r w:rsidRPr="5CCDA024">
        <w:rPr>
          <w:rFonts w:eastAsiaTheme="minorEastAsia"/>
          <w:sz w:val="24"/>
          <w:szCs w:val="24"/>
        </w:rPr>
        <w:t xml:space="preserve">Mobiles portfolio boasts a Sharpe ratio of around 25‌ ‌percent‌ ‌– a figure that signifies remarkably high returns compared to its </w:t>
      </w:r>
      <w:r w:rsidR="00CF5C07">
        <w:rPr>
          <w:rFonts w:eastAsiaTheme="minorEastAsia"/>
          <w:sz w:val="24"/>
          <w:szCs w:val="24"/>
        </w:rPr>
        <w:t>risk</w:t>
      </w:r>
      <w:r w:rsidRPr="5CCDA024">
        <w:rPr>
          <w:rFonts w:eastAsiaTheme="minorEastAsia"/>
          <w:sz w:val="24"/>
          <w:szCs w:val="24"/>
        </w:rPr>
        <w:t>‌ levels.</w:t>
      </w:r>
      <w:r w:rsidR="00CF5C07">
        <w:rPr>
          <w:rFonts w:eastAsiaTheme="minorEastAsia"/>
          <w:sz w:val="24"/>
          <w:szCs w:val="24"/>
        </w:rPr>
        <w:t xml:space="preserve"> </w:t>
      </w:r>
      <w:proofErr w:type="gramStart"/>
      <w:r w:rsidRPr="5CCDA024">
        <w:rPr>
          <w:rFonts w:eastAsiaTheme="minorEastAsia"/>
          <w:sz w:val="24"/>
          <w:szCs w:val="24"/>
        </w:rPr>
        <w:t>Typically</w:t>
      </w:r>
      <w:proofErr w:type="gramEnd"/>
      <w:r w:rsidRPr="5CCDA024">
        <w:rPr>
          <w:rFonts w:eastAsiaTheme="minorEastAsia"/>
          <w:sz w:val="24"/>
          <w:szCs w:val="24"/>
        </w:rPr>
        <w:t xml:space="preserve"> a Sharpe ratio exceeding 1 is considered </w:t>
      </w:r>
      <w:proofErr w:type="spellStart"/>
      <w:r w:rsidR="00CF5C07">
        <w:rPr>
          <w:rFonts w:eastAsiaTheme="minorEastAsia"/>
          <w:sz w:val="24"/>
          <w:szCs w:val="24"/>
        </w:rPr>
        <w:t>favorable</w:t>
      </w:r>
      <w:proofErr w:type="spellEnd"/>
      <w:r w:rsidRPr="5CCDA024">
        <w:rPr>
          <w:rFonts w:eastAsiaTheme="minorEastAsia"/>
          <w:sz w:val="24"/>
          <w:szCs w:val="24"/>
        </w:rPr>
        <w:t>, surpassing 2 is deemed</w:t>
      </w:r>
      <w:r w:rsidR="0048013C">
        <w:rPr>
          <w:rFonts w:eastAsiaTheme="minorEastAsia"/>
          <w:sz w:val="24"/>
          <w:szCs w:val="24"/>
        </w:rPr>
        <w:t>,</w:t>
      </w:r>
      <w:r w:rsidRPr="5CCDA024">
        <w:rPr>
          <w:rFonts w:eastAsiaTheme="minorEastAsia"/>
          <w:sz w:val="24"/>
          <w:szCs w:val="24"/>
        </w:rPr>
        <w:t xml:space="preserve"> and exceeding 3 is exceptional A ratio as substantial as 25% suggests that </w:t>
      </w:r>
      <w:r w:rsidR="00CF5C07">
        <w:rPr>
          <w:rFonts w:eastAsiaTheme="minorEastAsia"/>
          <w:sz w:val="24"/>
          <w:szCs w:val="24"/>
        </w:rPr>
        <w:t>the portfolio's performance</w:t>
      </w:r>
      <w:r w:rsidRPr="5CCDA024">
        <w:rPr>
          <w:rFonts w:eastAsiaTheme="minorEastAsia"/>
          <w:sz w:val="24"/>
          <w:szCs w:val="24"/>
        </w:rPr>
        <w:t xml:space="preserve"> is exceptional with minimal risks in relation, to the returns it yields.</w:t>
      </w:r>
      <w:r w:rsidR="00CF5C07">
        <w:rPr>
          <w:rFonts w:eastAsiaTheme="minorEastAsia"/>
          <w:sz w:val="24"/>
          <w:szCs w:val="24"/>
        </w:rPr>
        <w:t xml:space="preserve"> Th</w:t>
      </w:r>
      <w:r w:rsidRPr="5CCDA024">
        <w:rPr>
          <w:rFonts w:eastAsiaTheme="minorEastAsia"/>
          <w:sz w:val="24"/>
          <w:szCs w:val="24"/>
        </w:rPr>
        <w:t>is could indicate either an investment approach or stable returns, in T Mobiles portfolio performance. Nevertheless, a value this high may also lead to a review of the data inputs to verify their accuracy.</w:t>
      </w:r>
    </w:p>
    <w:p w14:paraId="32C783ED" w14:textId="77777777" w:rsidR="0048013C" w:rsidRDefault="0048013C" w:rsidP="5CCDA024">
      <w:pPr>
        <w:rPr>
          <w:rFonts w:eastAsiaTheme="minorEastAsia"/>
          <w:sz w:val="24"/>
          <w:szCs w:val="24"/>
        </w:rPr>
      </w:pPr>
    </w:p>
    <w:p w14:paraId="5E6F33E9" w14:textId="5CB32B95" w:rsidR="001A6E71" w:rsidRDefault="00000000" w:rsidP="5CCDA024">
      <w:pPr>
        <w:rPr>
          <w:rFonts w:eastAsiaTheme="minorEastAsia"/>
          <w:sz w:val="24"/>
          <w:szCs w:val="24"/>
        </w:rPr>
      </w:pPr>
      <w:r>
        <w:rPr>
          <w:rFonts w:eastAsiaTheme="minorEastAsia"/>
          <w:noProof/>
          <w:sz w:val="24"/>
          <w:szCs w:val="24"/>
        </w:rPr>
        <w:drawing>
          <wp:inline distT="0" distB="0" distL="0" distR="0" wp14:anchorId="6D8FB4F2" wp14:editId="3D1DA592">
            <wp:extent cx="5486400" cy="3200400"/>
            <wp:effectExtent l="0" t="0" r="0" b="0"/>
            <wp:docPr id="140943189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20A000F" w14:textId="77777777" w:rsidR="0048013C" w:rsidRDefault="0048013C" w:rsidP="5CCDA024">
      <w:pPr>
        <w:rPr>
          <w:rFonts w:eastAsiaTheme="minorEastAsia"/>
          <w:sz w:val="24"/>
          <w:szCs w:val="24"/>
        </w:rPr>
      </w:pPr>
    </w:p>
    <w:p w14:paraId="356C885D" w14:textId="77777777" w:rsidR="0048013C" w:rsidRPr="001A6E71" w:rsidRDefault="0048013C" w:rsidP="5CCDA024">
      <w:pPr>
        <w:rPr>
          <w:rFonts w:eastAsiaTheme="minorEastAsia"/>
          <w:sz w:val="24"/>
          <w:szCs w:val="24"/>
        </w:rPr>
      </w:pPr>
    </w:p>
    <w:p w14:paraId="6B2757D8" w14:textId="06B598F3" w:rsidR="001A6E71" w:rsidRPr="001A6E71" w:rsidRDefault="00000000" w:rsidP="5CCDA024">
      <w:pPr>
        <w:rPr>
          <w:rFonts w:eastAsiaTheme="minorEastAsia"/>
          <w:sz w:val="24"/>
          <w:szCs w:val="24"/>
        </w:rPr>
      </w:pPr>
      <w:r w:rsidRPr="5CCDA024">
        <w:rPr>
          <w:rFonts w:eastAsiaTheme="minorEastAsia"/>
          <w:sz w:val="24"/>
          <w:szCs w:val="24"/>
        </w:rPr>
        <w:lastRenderedPageBreak/>
        <w:t xml:space="preserve"> </w:t>
      </w:r>
      <w:r w:rsidRPr="00CF5C07">
        <w:rPr>
          <w:rStyle w:val="Heading2Char"/>
        </w:rPr>
        <w:t>Treynor Ratio</w:t>
      </w:r>
      <w:r w:rsidRPr="5CCDA024">
        <w:rPr>
          <w:rFonts w:eastAsiaTheme="minorEastAsia"/>
          <w:sz w:val="24"/>
          <w:szCs w:val="24"/>
        </w:rPr>
        <w:t>:</w:t>
      </w:r>
    </w:p>
    <w:p w14:paraId="5765DFC5" w14:textId="18BD7383" w:rsidR="56B69FF2" w:rsidRDefault="00000000" w:rsidP="5CCDA024">
      <w:pPr>
        <w:rPr>
          <w:rFonts w:eastAsiaTheme="minorEastAsia"/>
          <w:sz w:val="24"/>
          <w:szCs w:val="24"/>
        </w:rPr>
      </w:pPr>
      <w:r w:rsidRPr="5CCDA024">
        <w:rPr>
          <w:rFonts w:eastAsiaTheme="minorEastAsia"/>
          <w:sz w:val="24"/>
          <w:szCs w:val="24"/>
        </w:rPr>
        <w:t xml:space="preserve">The Treynor Ratio is a method, for evaluating how well a portfolio performs while considering the level of risk involved. Unlike the Sharpe Ratio, which considers return </w:t>
      </w:r>
      <w:r w:rsidR="00CF5C07">
        <w:rPr>
          <w:rFonts w:eastAsiaTheme="minorEastAsia"/>
          <w:sz w:val="24"/>
          <w:szCs w:val="24"/>
        </w:rPr>
        <w:t>on</w:t>
      </w:r>
      <w:r w:rsidRPr="5CCDA024">
        <w:rPr>
          <w:rFonts w:eastAsiaTheme="minorEastAsia"/>
          <w:sz w:val="24"/>
          <w:szCs w:val="24"/>
        </w:rPr>
        <w:t xml:space="preserve"> the portfolio's deviation the Treynor Ratio looks at the Portfolio Beta, a gauge of risk.</w:t>
      </w:r>
      <w:r w:rsidR="00A97928" w:rsidRPr="00A97928">
        <w:rPr>
          <w:rFonts w:ascii="Times New Roman" w:eastAsia="Times New Roman" w:hAnsi="Times New Roman" w:cs="Times New Roman"/>
          <w:kern w:val="0"/>
          <w:sz w:val="24"/>
          <w:szCs w:val="24"/>
          <w:lang w:eastAsia="en-IN"/>
          <w14:ligatures w14:val="none"/>
        </w:rPr>
        <w:t xml:space="preserve"> </w:t>
      </w:r>
      <w:r w:rsidR="00A97928" w:rsidRPr="00A97928">
        <w:rPr>
          <w:rFonts w:eastAsiaTheme="minorEastAsia"/>
          <w:sz w:val="24"/>
          <w:szCs w:val="24"/>
        </w:rPr>
        <w:t>(CFI Team, 2024)</w:t>
      </w:r>
    </w:p>
    <w:p w14:paraId="2D92DC3B" w14:textId="43443E86" w:rsidR="56B69FF2" w:rsidRDefault="00000000" w:rsidP="5CCDA024">
      <w:pPr>
        <w:rPr>
          <w:rFonts w:eastAsiaTheme="minorEastAsia"/>
          <w:sz w:val="24"/>
          <w:szCs w:val="24"/>
        </w:rPr>
      </w:pPr>
      <w:r w:rsidRPr="5CCDA024">
        <w:rPr>
          <w:rFonts w:eastAsiaTheme="minorEastAsia"/>
          <w:sz w:val="24"/>
          <w:szCs w:val="24"/>
        </w:rPr>
        <w:t>These metrics focus on assessing both the risk and return aspects of a portfolio. Are essentially calculated by dividing return by risk. The Treynor Ratio is named after Jack Treynor, an economist who played a role, in developing the Capital Asset Pricing Model.</w:t>
      </w:r>
    </w:p>
    <w:p w14:paraId="4395A7B7" w14:textId="65E25763" w:rsidR="2BA67C26" w:rsidRDefault="00000000" w:rsidP="5CCDA024">
      <w:pPr>
        <w:rPr>
          <w:rFonts w:eastAsiaTheme="minorEastAsia"/>
          <w:sz w:val="24"/>
          <w:szCs w:val="24"/>
        </w:rPr>
      </w:pPr>
      <w:r w:rsidRPr="5CCDA024">
        <w:rPr>
          <w:rFonts w:eastAsiaTheme="minorEastAsia"/>
          <w:sz w:val="24"/>
          <w:szCs w:val="24"/>
        </w:rPr>
        <w:t xml:space="preserve">Formula of Treynor ratio: </w:t>
      </w:r>
    </w:p>
    <w:p w14:paraId="211CCF64" w14:textId="17C774C7" w:rsidR="2BA67C26" w:rsidRDefault="00000000" w:rsidP="5CCDA024">
      <w:pPr>
        <w:rPr>
          <w:rFonts w:eastAsiaTheme="minorEastAsia"/>
          <w:sz w:val="24"/>
          <w:szCs w:val="24"/>
        </w:rPr>
      </w:pPr>
      <w:r w:rsidRPr="5CCDA024">
        <w:rPr>
          <w:rFonts w:eastAsiaTheme="minorEastAsia"/>
          <w:sz w:val="24"/>
          <w:szCs w:val="24"/>
        </w:rPr>
        <w:t>Treynor Ratio = (</w:t>
      </w:r>
      <w:proofErr w:type="spellStart"/>
      <w:r w:rsidRPr="5CCDA024">
        <w:rPr>
          <w:rFonts w:eastAsiaTheme="minorEastAsia"/>
          <w:sz w:val="24"/>
          <w:szCs w:val="24"/>
        </w:rPr>
        <w:t>rp</w:t>
      </w:r>
      <w:proofErr w:type="spellEnd"/>
      <w:r w:rsidRPr="5CCDA024">
        <w:rPr>
          <w:rFonts w:eastAsiaTheme="minorEastAsia"/>
          <w:sz w:val="24"/>
          <w:szCs w:val="24"/>
        </w:rPr>
        <w:t xml:space="preserve"> – rf) ÷ βp</w:t>
      </w:r>
    </w:p>
    <w:p w14:paraId="6CDBC038" w14:textId="5696B852" w:rsidR="2BA67C26" w:rsidRDefault="00000000" w:rsidP="5CCDA024">
      <w:pPr>
        <w:rPr>
          <w:rFonts w:eastAsiaTheme="minorEastAsia"/>
          <w:sz w:val="24"/>
          <w:szCs w:val="24"/>
        </w:rPr>
      </w:pPr>
      <w:proofErr w:type="spellStart"/>
      <w:r w:rsidRPr="5CCDA024">
        <w:rPr>
          <w:rFonts w:eastAsiaTheme="minorEastAsia"/>
          <w:sz w:val="24"/>
          <w:szCs w:val="24"/>
        </w:rPr>
        <w:t>rp</w:t>
      </w:r>
      <w:proofErr w:type="spellEnd"/>
      <w:r w:rsidRPr="5CCDA024">
        <w:rPr>
          <w:rFonts w:eastAsiaTheme="minorEastAsia"/>
          <w:sz w:val="24"/>
          <w:szCs w:val="24"/>
        </w:rPr>
        <w:t xml:space="preserve"> = Portfolio Return</w:t>
      </w:r>
    </w:p>
    <w:p w14:paraId="218389C1" w14:textId="2D0328FE" w:rsidR="2BA67C26" w:rsidRDefault="00000000" w:rsidP="5CCDA024">
      <w:pPr>
        <w:rPr>
          <w:rFonts w:eastAsiaTheme="minorEastAsia"/>
          <w:sz w:val="24"/>
          <w:szCs w:val="24"/>
        </w:rPr>
      </w:pPr>
      <w:r w:rsidRPr="5CCDA024">
        <w:rPr>
          <w:rFonts w:eastAsiaTheme="minorEastAsia"/>
          <w:sz w:val="24"/>
          <w:szCs w:val="24"/>
        </w:rPr>
        <w:t>of = Risk-Free Rate</w:t>
      </w:r>
    </w:p>
    <w:p w14:paraId="0F58FD04" w14:textId="6ED02AD6" w:rsidR="2BA67C26" w:rsidRDefault="00000000" w:rsidP="5CCDA024">
      <w:pPr>
        <w:rPr>
          <w:rFonts w:eastAsiaTheme="minorEastAsia"/>
          <w:sz w:val="24"/>
          <w:szCs w:val="24"/>
        </w:rPr>
      </w:pPr>
      <w:r w:rsidRPr="5CCDA024">
        <w:rPr>
          <w:rFonts w:eastAsiaTheme="minorEastAsia"/>
          <w:sz w:val="24"/>
          <w:szCs w:val="24"/>
        </w:rPr>
        <w:t>βp = Beta of the Portfolio</w:t>
      </w:r>
    </w:p>
    <w:p w14:paraId="18285C7D" w14:textId="64CF6E5E" w:rsidR="2BA67C26" w:rsidRDefault="00000000" w:rsidP="5CCDA024">
      <w:pPr>
        <w:rPr>
          <w:rFonts w:eastAsiaTheme="minorEastAsia"/>
          <w:sz w:val="24"/>
          <w:szCs w:val="24"/>
        </w:rPr>
      </w:pPr>
      <w:proofErr w:type="spellStart"/>
      <w:r w:rsidRPr="5CCDA024">
        <w:rPr>
          <w:rFonts w:eastAsiaTheme="minorEastAsia"/>
          <w:sz w:val="24"/>
          <w:szCs w:val="24"/>
        </w:rPr>
        <w:t>rp</w:t>
      </w:r>
      <w:proofErr w:type="spellEnd"/>
      <w:r w:rsidRPr="5CCDA024">
        <w:rPr>
          <w:rFonts w:eastAsiaTheme="minorEastAsia"/>
          <w:sz w:val="24"/>
          <w:szCs w:val="24"/>
        </w:rPr>
        <w:t>-rf=0.03</w:t>
      </w:r>
    </w:p>
    <w:p w14:paraId="4D00B12B" w14:textId="28493F74" w:rsidR="2BA67C26" w:rsidRDefault="00000000" w:rsidP="5CCDA024">
      <w:pPr>
        <w:rPr>
          <w:rFonts w:eastAsiaTheme="minorEastAsia"/>
          <w:sz w:val="24"/>
          <w:szCs w:val="24"/>
        </w:rPr>
      </w:pPr>
      <w:r w:rsidRPr="5CCDA024">
        <w:rPr>
          <w:rFonts w:eastAsiaTheme="minorEastAsia"/>
          <w:sz w:val="24"/>
          <w:szCs w:val="24"/>
        </w:rPr>
        <w:t>βp=0.51</w:t>
      </w:r>
    </w:p>
    <w:p w14:paraId="62A80218" w14:textId="1F97E578" w:rsidR="2BA67C26" w:rsidRDefault="00000000" w:rsidP="5CCDA024">
      <w:pPr>
        <w:rPr>
          <w:rFonts w:eastAsiaTheme="minorEastAsia"/>
          <w:sz w:val="24"/>
          <w:szCs w:val="24"/>
        </w:rPr>
      </w:pPr>
      <w:r w:rsidRPr="5CCDA024">
        <w:rPr>
          <w:rFonts w:eastAsiaTheme="minorEastAsia"/>
          <w:sz w:val="24"/>
          <w:szCs w:val="24"/>
        </w:rPr>
        <w:t>(</w:t>
      </w:r>
      <w:proofErr w:type="spellStart"/>
      <w:r w:rsidRPr="5CCDA024">
        <w:rPr>
          <w:rFonts w:eastAsiaTheme="minorEastAsia"/>
          <w:sz w:val="24"/>
          <w:szCs w:val="24"/>
        </w:rPr>
        <w:t>rp</w:t>
      </w:r>
      <w:proofErr w:type="spellEnd"/>
      <w:r w:rsidRPr="5CCDA024">
        <w:rPr>
          <w:rFonts w:eastAsiaTheme="minorEastAsia"/>
          <w:sz w:val="24"/>
          <w:szCs w:val="24"/>
        </w:rPr>
        <w:t xml:space="preserve"> – rf) ÷ βp=0.0534598</w:t>
      </w:r>
    </w:p>
    <w:p w14:paraId="07F559CD" w14:textId="77777777" w:rsidR="001A6E71" w:rsidRPr="001A6E71" w:rsidRDefault="001A6E71" w:rsidP="5CCDA024">
      <w:pPr>
        <w:rPr>
          <w:rFonts w:eastAsiaTheme="minorEastAsia"/>
          <w:sz w:val="24"/>
          <w:szCs w:val="24"/>
        </w:rPr>
      </w:pPr>
    </w:p>
    <w:p w14:paraId="0BC7416C" w14:textId="6BF3B90E" w:rsidR="2827AD23" w:rsidRDefault="00000000" w:rsidP="5CCDA024">
      <w:pPr>
        <w:spacing w:before="240" w:after="240"/>
        <w:rPr>
          <w:rFonts w:eastAsiaTheme="minorEastAsia"/>
          <w:sz w:val="24"/>
          <w:szCs w:val="24"/>
        </w:rPr>
      </w:pPr>
      <w:r w:rsidRPr="005D556E">
        <w:rPr>
          <w:rFonts w:eastAsiaTheme="minorEastAsia"/>
          <w:b/>
          <w:bCs/>
          <w:sz w:val="24"/>
          <w:szCs w:val="24"/>
        </w:rPr>
        <w:t>C</w:t>
      </w:r>
      <w:r w:rsidR="2BA67C26" w:rsidRPr="005D556E">
        <w:rPr>
          <w:rFonts w:eastAsiaTheme="minorEastAsia"/>
          <w:b/>
          <w:bCs/>
          <w:sz w:val="24"/>
          <w:szCs w:val="24"/>
        </w:rPr>
        <w:t>omment</w:t>
      </w:r>
      <w:r w:rsidR="2BA67C26" w:rsidRPr="5CCDA024">
        <w:rPr>
          <w:rFonts w:eastAsiaTheme="minorEastAsia"/>
          <w:sz w:val="24"/>
          <w:szCs w:val="24"/>
        </w:rPr>
        <w:t xml:space="preserve">: The Treynor ratio of </w:t>
      </w:r>
      <w:r w:rsidR="005D556E">
        <w:rPr>
          <w:rFonts w:eastAsiaTheme="minorEastAsia"/>
          <w:sz w:val="24"/>
          <w:szCs w:val="24"/>
        </w:rPr>
        <w:t xml:space="preserve">the </w:t>
      </w:r>
      <w:r w:rsidR="2BA67C26" w:rsidRPr="5CCDA024">
        <w:rPr>
          <w:rFonts w:eastAsiaTheme="minorEastAsia"/>
          <w:sz w:val="24"/>
          <w:szCs w:val="24"/>
        </w:rPr>
        <w:t>T</w:t>
      </w:r>
      <w:r w:rsidR="55EAE0B9" w:rsidRPr="5CCDA024">
        <w:rPr>
          <w:rFonts w:eastAsiaTheme="minorEastAsia"/>
          <w:sz w:val="24"/>
          <w:szCs w:val="24"/>
        </w:rPr>
        <w:t>-</w:t>
      </w:r>
      <w:r w:rsidR="2BA67C26" w:rsidRPr="5CCDA024">
        <w:rPr>
          <w:rFonts w:eastAsiaTheme="minorEastAsia"/>
          <w:sz w:val="24"/>
          <w:szCs w:val="24"/>
        </w:rPr>
        <w:t>Mobile portfolio is around 0,05882 showing the return, for each unit of risk (beta). With a Treynor ratio of 0.05882, it implies that the portfolio generates a return of approximately 5.88 % for every unit of market risk it carries.  An elevated Tre</w:t>
      </w:r>
      <w:r w:rsidR="1A86EF86" w:rsidRPr="5CCDA024">
        <w:rPr>
          <w:rFonts w:eastAsiaTheme="minorEastAsia"/>
          <w:sz w:val="24"/>
          <w:szCs w:val="24"/>
        </w:rPr>
        <w:t>y</w:t>
      </w:r>
      <w:r w:rsidR="2BA67C26" w:rsidRPr="5CCDA024">
        <w:rPr>
          <w:rFonts w:eastAsiaTheme="minorEastAsia"/>
          <w:sz w:val="24"/>
          <w:szCs w:val="24"/>
        </w:rPr>
        <w:t>son ratio suggests risk</w:t>
      </w:r>
      <w:r w:rsidR="218CDD93" w:rsidRPr="5CCDA024">
        <w:rPr>
          <w:rFonts w:eastAsiaTheme="minorEastAsia"/>
          <w:sz w:val="24"/>
          <w:szCs w:val="24"/>
        </w:rPr>
        <w:t>-adjusted</w:t>
      </w:r>
      <w:r w:rsidR="2BA67C26" w:rsidRPr="5CCDA024">
        <w:rPr>
          <w:rFonts w:eastAsiaTheme="minorEastAsia"/>
          <w:sz w:val="24"/>
          <w:szCs w:val="24"/>
        </w:rPr>
        <w:t xml:space="preserve"> performance compared to the market. To assess if the return justifies the market risk assumed it is essential to compare this ratio with investments or benchmarks. In terms of value assessment indicates a moderate return considering the amount of systematic risk involved, this could be deemed acceptable based on the investor's risk appetite and prevailing market circumstances.</w:t>
      </w:r>
      <w:r w:rsidR="74A2B90D" w:rsidRPr="5CCDA024">
        <w:rPr>
          <w:rFonts w:eastAsiaTheme="minorEastAsia"/>
          <w:sz w:val="24"/>
          <w:szCs w:val="24"/>
        </w:rPr>
        <w:t xml:space="preserve"> A Treynor ratio of 0.05882 implies that for every unit of risk, T</w:t>
      </w:r>
      <w:r w:rsidR="3761CFD8" w:rsidRPr="5CCDA024">
        <w:rPr>
          <w:rFonts w:eastAsiaTheme="minorEastAsia"/>
          <w:sz w:val="24"/>
          <w:szCs w:val="24"/>
        </w:rPr>
        <w:t>-</w:t>
      </w:r>
      <w:r w:rsidR="74A2B90D" w:rsidRPr="5CCDA024">
        <w:rPr>
          <w:rFonts w:eastAsiaTheme="minorEastAsia"/>
          <w:sz w:val="24"/>
          <w:szCs w:val="24"/>
        </w:rPr>
        <w:t>Mobiles portfolio yields a return of 5.88%. This ratio indicates that the portfolio is offering a return considering the market risk it faces</w:t>
      </w:r>
      <w:r w:rsidR="41F1615C" w:rsidRPr="5CCDA024">
        <w:rPr>
          <w:rFonts w:eastAsiaTheme="minorEastAsia"/>
          <w:sz w:val="24"/>
          <w:szCs w:val="24"/>
        </w:rPr>
        <w:t xml:space="preserve"> t</w:t>
      </w:r>
      <w:r w:rsidR="74A2B90D" w:rsidRPr="5CCDA024">
        <w:rPr>
          <w:rFonts w:eastAsiaTheme="minorEastAsia"/>
          <w:sz w:val="24"/>
          <w:szCs w:val="24"/>
        </w:rPr>
        <w:t xml:space="preserve">he assessment of whether this return is </w:t>
      </w:r>
      <w:proofErr w:type="spellStart"/>
      <w:r w:rsidR="079A7CE8" w:rsidRPr="5CCDA024">
        <w:rPr>
          <w:rFonts w:eastAsiaTheme="minorEastAsia"/>
          <w:sz w:val="24"/>
          <w:szCs w:val="24"/>
        </w:rPr>
        <w:t>favorable</w:t>
      </w:r>
      <w:proofErr w:type="spellEnd"/>
      <w:r w:rsidR="74A2B90D" w:rsidRPr="5CCDA024">
        <w:rPr>
          <w:rFonts w:eastAsiaTheme="minorEastAsia"/>
          <w:sz w:val="24"/>
          <w:szCs w:val="24"/>
        </w:rPr>
        <w:t xml:space="preserve"> depends on factors such, as the investor's risk tolerance the goals of the portfolio</w:t>
      </w:r>
      <w:r w:rsidR="00CF5C07">
        <w:rPr>
          <w:rFonts w:eastAsiaTheme="minorEastAsia"/>
          <w:sz w:val="24"/>
          <w:szCs w:val="24"/>
        </w:rPr>
        <w:t>,</w:t>
      </w:r>
      <w:r w:rsidR="74A2B90D" w:rsidRPr="5CCDA024">
        <w:rPr>
          <w:rFonts w:eastAsiaTheme="minorEastAsia"/>
          <w:sz w:val="24"/>
          <w:szCs w:val="24"/>
        </w:rPr>
        <w:t xml:space="preserve"> and current market conditions</w:t>
      </w:r>
      <w:r w:rsidR="60FDF6CB" w:rsidRPr="5CCDA024">
        <w:rPr>
          <w:rFonts w:eastAsiaTheme="minorEastAsia"/>
          <w:sz w:val="24"/>
          <w:szCs w:val="24"/>
        </w:rPr>
        <w:t xml:space="preserve"> t</w:t>
      </w:r>
      <w:r w:rsidR="74A2B90D" w:rsidRPr="5CCDA024">
        <w:rPr>
          <w:rFonts w:eastAsiaTheme="minorEastAsia"/>
          <w:sz w:val="24"/>
          <w:szCs w:val="24"/>
        </w:rPr>
        <w:t xml:space="preserve">o truly gauge the effectiveness of this return it is essential to compare T Mobiles Treynor ratio with benchmarks or similar investments. For </w:t>
      </w:r>
      <w:r w:rsidR="33079D37" w:rsidRPr="5CCDA024">
        <w:rPr>
          <w:rFonts w:eastAsiaTheme="minorEastAsia"/>
          <w:sz w:val="24"/>
          <w:szCs w:val="24"/>
        </w:rPr>
        <w:t>example,</w:t>
      </w:r>
      <w:r w:rsidR="74A2B90D" w:rsidRPr="5CCDA024">
        <w:rPr>
          <w:rFonts w:eastAsiaTheme="minorEastAsia"/>
          <w:sz w:val="24"/>
          <w:szCs w:val="24"/>
        </w:rPr>
        <w:t xml:space="preserve"> comparing it with the Treynor ratio of a market index (such as the S&amp;P 500) or comparable companies in the telecom sector can provide insights into how the portfolio performs in terms of </w:t>
      </w:r>
      <w:r w:rsidR="00CF5C07">
        <w:rPr>
          <w:rFonts w:eastAsiaTheme="minorEastAsia"/>
          <w:sz w:val="24"/>
          <w:szCs w:val="24"/>
        </w:rPr>
        <w:t>risk-adjusted</w:t>
      </w:r>
      <w:r w:rsidR="74A2B90D" w:rsidRPr="5CCDA024">
        <w:rPr>
          <w:rFonts w:eastAsiaTheme="minorEastAsia"/>
          <w:sz w:val="24"/>
          <w:szCs w:val="24"/>
        </w:rPr>
        <w:t xml:space="preserve"> returns. T Mobiles ratio exceeds these benchmarks which suggests that the portfolio is outperforming relative to the market by delivering returns per unit of risk. Conversely</w:t>
      </w:r>
      <w:r w:rsidR="00CF5C07">
        <w:rPr>
          <w:rFonts w:eastAsiaTheme="minorEastAsia"/>
          <w:sz w:val="24"/>
          <w:szCs w:val="24"/>
        </w:rPr>
        <w:t>,</w:t>
      </w:r>
      <w:r w:rsidR="74A2B90D" w:rsidRPr="5CCDA024">
        <w:rPr>
          <w:rFonts w:eastAsiaTheme="minorEastAsia"/>
          <w:sz w:val="24"/>
          <w:szCs w:val="24"/>
        </w:rPr>
        <w:t xml:space="preserve"> if the ratio is lower it may indicate underperformance compared to the market Return and Risk </w:t>
      </w:r>
      <w:r w:rsidR="2BD31030" w:rsidRPr="5CCDA024">
        <w:rPr>
          <w:rFonts w:eastAsiaTheme="minorEastAsia"/>
          <w:sz w:val="24"/>
          <w:szCs w:val="24"/>
        </w:rPr>
        <w:t>with</w:t>
      </w:r>
      <w:r w:rsidR="74A2B90D" w:rsidRPr="5CCDA024">
        <w:rPr>
          <w:rFonts w:eastAsiaTheme="minorEastAsia"/>
          <w:sz w:val="24"/>
          <w:szCs w:val="24"/>
        </w:rPr>
        <w:t xml:space="preserve"> a Treynor ratio value of 0.05882 it indicates a return, for the level of systematic risk undertaken. Depending </w:t>
      </w:r>
      <w:r w:rsidR="74A2B90D" w:rsidRPr="5CCDA024">
        <w:rPr>
          <w:rFonts w:eastAsiaTheme="minorEastAsia"/>
          <w:sz w:val="24"/>
          <w:szCs w:val="24"/>
        </w:rPr>
        <w:lastRenderedPageBreak/>
        <w:t xml:space="preserve">on an </w:t>
      </w:r>
      <w:r w:rsidR="00CF5C07">
        <w:rPr>
          <w:rFonts w:eastAsiaTheme="minorEastAsia"/>
          <w:sz w:val="24"/>
          <w:szCs w:val="24"/>
        </w:rPr>
        <w:t>investor's</w:t>
      </w:r>
      <w:r w:rsidR="74A2B90D" w:rsidRPr="5CCDA024">
        <w:rPr>
          <w:rFonts w:eastAsiaTheme="minorEastAsia"/>
          <w:sz w:val="24"/>
          <w:szCs w:val="24"/>
        </w:rPr>
        <w:t xml:space="preserve"> risk appetite this could be deemed acceptable </w:t>
      </w:r>
      <w:r w:rsidR="15C05521" w:rsidRPr="5CCDA024">
        <w:rPr>
          <w:rFonts w:eastAsiaTheme="minorEastAsia"/>
          <w:sz w:val="24"/>
          <w:szCs w:val="24"/>
        </w:rPr>
        <w:t>f</w:t>
      </w:r>
      <w:r w:rsidR="74A2B90D" w:rsidRPr="5CCDA024">
        <w:rPr>
          <w:rFonts w:eastAsiaTheme="minorEastAsia"/>
          <w:sz w:val="24"/>
          <w:szCs w:val="24"/>
        </w:rPr>
        <w:t>or investors a modest return, with controlled risk</w:t>
      </w:r>
      <w:r w:rsidR="00CF5C07">
        <w:rPr>
          <w:rFonts w:eastAsiaTheme="minorEastAsia"/>
          <w:sz w:val="24"/>
          <w:szCs w:val="24"/>
        </w:rPr>
        <w:t>,</w:t>
      </w:r>
      <w:r w:rsidR="74A2B90D" w:rsidRPr="5CCDA024">
        <w:rPr>
          <w:rFonts w:eastAsiaTheme="minorEastAsia"/>
          <w:sz w:val="24"/>
          <w:szCs w:val="24"/>
        </w:rPr>
        <w:t xml:space="preserve"> might be appealing. On the side</w:t>
      </w:r>
      <w:r w:rsidR="00CF5C07">
        <w:rPr>
          <w:rFonts w:eastAsiaTheme="minorEastAsia"/>
          <w:sz w:val="24"/>
          <w:szCs w:val="24"/>
        </w:rPr>
        <w:t>,</w:t>
      </w:r>
      <w:r w:rsidR="74A2B90D" w:rsidRPr="5CCDA024">
        <w:rPr>
          <w:rFonts w:eastAsiaTheme="minorEastAsia"/>
          <w:sz w:val="24"/>
          <w:szCs w:val="24"/>
        </w:rPr>
        <w:t xml:space="preserve"> daring investors may be inclined to pursue higher returns despite the risks involved</w:t>
      </w:r>
      <w:r w:rsidR="7D22E381" w:rsidRPr="5CCDA024">
        <w:rPr>
          <w:rFonts w:eastAsiaTheme="minorEastAsia"/>
          <w:sz w:val="24"/>
          <w:szCs w:val="24"/>
        </w:rPr>
        <w:t xml:space="preserve"> Considering</w:t>
      </w:r>
      <w:r w:rsidR="74A2B90D" w:rsidRPr="5CCDA024">
        <w:rPr>
          <w:rFonts w:eastAsiaTheme="minorEastAsia"/>
          <w:sz w:val="24"/>
          <w:szCs w:val="24"/>
        </w:rPr>
        <w:t xml:space="preserve"> the current market conditions is crucial. In a market that's volatile or uncertain</w:t>
      </w:r>
      <w:r w:rsidR="00CF5C07">
        <w:rPr>
          <w:rFonts w:eastAsiaTheme="minorEastAsia"/>
          <w:sz w:val="24"/>
          <w:szCs w:val="24"/>
        </w:rPr>
        <w:t>,</w:t>
      </w:r>
      <w:r w:rsidR="74A2B90D" w:rsidRPr="5CCDA024">
        <w:rPr>
          <w:rFonts w:eastAsiaTheme="minorEastAsia"/>
          <w:sz w:val="24"/>
          <w:szCs w:val="24"/>
        </w:rPr>
        <w:t xml:space="preserve"> a Treynor ratio of 0.05882 could be seen in a light indicating a portfolio that can maintain a steady return amidst market fluctuation</w:t>
      </w:r>
      <w:r w:rsidR="11AFF458" w:rsidRPr="5CCDA024">
        <w:rPr>
          <w:rFonts w:eastAsiaTheme="minorEastAsia"/>
          <w:sz w:val="24"/>
          <w:szCs w:val="24"/>
        </w:rPr>
        <w:t xml:space="preserve"> t</w:t>
      </w:r>
      <w:r w:rsidR="74A2B90D" w:rsidRPr="5CCDA024">
        <w:rPr>
          <w:rFonts w:eastAsiaTheme="minorEastAsia"/>
          <w:sz w:val="24"/>
          <w:szCs w:val="24"/>
        </w:rPr>
        <w:t>he acceptability of a 5.88% return per unit of market risk will heavily rely on investor objectives and the broader market landscape. If an investor values stability and modest growth this Treynor ratio could align well with their expectations</w:t>
      </w:r>
      <w:r w:rsidR="1CE09F30" w:rsidRPr="5CCDA024">
        <w:rPr>
          <w:rFonts w:eastAsiaTheme="minorEastAsia"/>
          <w:sz w:val="24"/>
          <w:szCs w:val="24"/>
        </w:rPr>
        <w:t xml:space="preserve"> </w:t>
      </w:r>
      <w:r w:rsidR="74A2B90D" w:rsidRPr="5CCDA024">
        <w:rPr>
          <w:rFonts w:eastAsiaTheme="minorEastAsia"/>
          <w:sz w:val="24"/>
          <w:szCs w:val="24"/>
        </w:rPr>
        <w:t>Nevertheless for investors aiming for returns and willing to take on risk this ratio may fall short leading them to consider more aggressive investment approaches or adjust their portfolio to boost the Treynor ratio</w:t>
      </w:r>
      <w:r w:rsidR="21D716FD" w:rsidRPr="5CCDA024">
        <w:rPr>
          <w:rFonts w:eastAsiaTheme="minorEastAsia"/>
          <w:sz w:val="24"/>
          <w:szCs w:val="24"/>
        </w:rPr>
        <w:t xml:space="preserve"> </w:t>
      </w:r>
      <w:r w:rsidR="74A2B90D" w:rsidRPr="5CCDA024">
        <w:rPr>
          <w:rFonts w:eastAsiaTheme="minorEastAsia"/>
          <w:sz w:val="24"/>
          <w:szCs w:val="24"/>
        </w:rPr>
        <w:t xml:space="preserve">T Mobiles Treynor ratio of 0.05882 signifies a portfolio that offers a return to its market risk exposure. This ratio serves as a gauge of </w:t>
      </w:r>
      <w:r w:rsidR="00CF5C07">
        <w:rPr>
          <w:rFonts w:eastAsiaTheme="minorEastAsia"/>
          <w:sz w:val="24"/>
          <w:szCs w:val="24"/>
        </w:rPr>
        <w:t>the portfolio's performance</w:t>
      </w:r>
      <w:r w:rsidR="74A2B90D" w:rsidRPr="5CCDA024">
        <w:rPr>
          <w:rFonts w:eastAsiaTheme="minorEastAsia"/>
          <w:sz w:val="24"/>
          <w:szCs w:val="24"/>
        </w:rPr>
        <w:t xml:space="preserve"> adjusted for risk and its adequacy should be assessed in comparison, with benchmarks and considering the </w:t>
      </w:r>
      <w:r w:rsidR="00CF5C07">
        <w:rPr>
          <w:rFonts w:eastAsiaTheme="minorEastAsia"/>
          <w:sz w:val="24"/>
          <w:szCs w:val="24"/>
        </w:rPr>
        <w:t>investor's</w:t>
      </w:r>
      <w:r w:rsidR="74A2B90D" w:rsidRPr="5CCDA024">
        <w:rPr>
          <w:rFonts w:eastAsiaTheme="minorEastAsia"/>
          <w:sz w:val="24"/>
          <w:szCs w:val="24"/>
        </w:rPr>
        <w:t xml:space="preserve"> risk </w:t>
      </w:r>
      <w:r w:rsidR="00CF5C07">
        <w:rPr>
          <w:rFonts w:eastAsiaTheme="minorEastAsia"/>
          <w:sz w:val="24"/>
          <w:szCs w:val="24"/>
        </w:rPr>
        <w:t>tolerance</w:t>
      </w:r>
      <w:r w:rsidR="74A2B90D" w:rsidRPr="5CCDA024">
        <w:rPr>
          <w:rFonts w:eastAsiaTheme="minorEastAsia"/>
          <w:sz w:val="24"/>
          <w:szCs w:val="24"/>
        </w:rPr>
        <w:t xml:space="preserve"> </w:t>
      </w:r>
      <w:r w:rsidR="0048013C">
        <w:rPr>
          <w:rFonts w:eastAsiaTheme="minorEastAsia"/>
          <w:sz w:val="24"/>
          <w:szCs w:val="24"/>
        </w:rPr>
        <w:t xml:space="preserve">in </w:t>
      </w:r>
      <w:commentRangeStart w:id="12"/>
      <w:r w:rsidR="74A2B90D" w:rsidRPr="5CCDA024">
        <w:rPr>
          <w:rFonts w:eastAsiaTheme="minorEastAsia"/>
          <w:sz w:val="24"/>
          <w:szCs w:val="24"/>
        </w:rPr>
        <w:t>a</w:t>
      </w:r>
      <w:commentRangeEnd w:id="12"/>
      <w:r w:rsidR="0048013C">
        <w:rPr>
          <w:rStyle w:val="CommentReference"/>
        </w:rPr>
        <w:commentReference w:id="12"/>
      </w:r>
      <w:r w:rsidR="74A2B90D" w:rsidRPr="5CCDA024">
        <w:rPr>
          <w:rFonts w:eastAsiaTheme="minorEastAsia"/>
          <w:sz w:val="24"/>
          <w:szCs w:val="24"/>
        </w:rPr>
        <w:t xml:space="preserve"> market or one, with fluctuations this ratio could be viewed as offering a balanced and satisfactory return. However</w:t>
      </w:r>
      <w:r w:rsidR="00CF5C07">
        <w:rPr>
          <w:rFonts w:eastAsiaTheme="minorEastAsia"/>
          <w:sz w:val="24"/>
          <w:szCs w:val="24"/>
        </w:rPr>
        <w:t>,</w:t>
      </w:r>
      <w:r w:rsidR="74A2B90D" w:rsidRPr="5CCDA024">
        <w:rPr>
          <w:rFonts w:eastAsiaTheme="minorEastAsia"/>
          <w:sz w:val="24"/>
          <w:szCs w:val="24"/>
        </w:rPr>
        <w:t xml:space="preserve"> individuals with a </w:t>
      </w:r>
      <w:r w:rsidR="0048013C">
        <w:rPr>
          <w:rFonts w:eastAsiaTheme="minorEastAsia"/>
          <w:sz w:val="24"/>
          <w:szCs w:val="24"/>
        </w:rPr>
        <w:t>risk tolerance</w:t>
      </w:r>
      <w:r w:rsidR="74A2B90D" w:rsidRPr="5CCDA024">
        <w:rPr>
          <w:rFonts w:eastAsiaTheme="minorEastAsia"/>
          <w:sz w:val="24"/>
          <w:szCs w:val="24"/>
        </w:rPr>
        <w:t xml:space="preserve"> might see the return as modest. </w:t>
      </w:r>
      <w:proofErr w:type="gramStart"/>
      <w:r w:rsidR="74A2B90D" w:rsidRPr="5CCDA024">
        <w:rPr>
          <w:rFonts w:eastAsiaTheme="minorEastAsia"/>
          <w:sz w:val="24"/>
          <w:szCs w:val="24"/>
        </w:rPr>
        <w:t>Overall</w:t>
      </w:r>
      <w:proofErr w:type="gramEnd"/>
      <w:r w:rsidR="74A2B90D" w:rsidRPr="5CCDA024">
        <w:rPr>
          <w:rFonts w:eastAsiaTheme="minorEastAsia"/>
          <w:sz w:val="24"/>
          <w:szCs w:val="24"/>
        </w:rPr>
        <w:t xml:space="preserve"> the Treynor ratio is a tool for investors to assess whether the returns justify the risks associated with the market.</w:t>
      </w:r>
    </w:p>
    <w:p w14:paraId="7E944EA4" w14:textId="0875CC06" w:rsidR="74A2B90D" w:rsidRDefault="00000000" w:rsidP="5CCDA024">
      <w:pPr>
        <w:spacing w:before="240" w:after="240"/>
        <w:rPr>
          <w:rFonts w:eastAsiaTheme="minorEastAsia"/>
          <w:sz w:val="24"/>
          <w:szCs w:val="24"/>
        </w:rPr>
      </w:pPr>
      <w:r w:rsidRPr="5CCDA024">
        <w:rPr>
          <w:rFonts w:eastAsiaTheme="minorEastAsia"/>
          <w:sz w:val="24"/>
          <w:szCs w:val="24"/>
        </w:rPr>
        <w:t xml:space="preserve"> </w:t>
      </w:r>
    </w:p>
    <w:p w14:paraId="4D4C8AC6" w14:textId="2DAF10F9" w:rsidR="74A2B90D" w:rsidRDefault="00000000" w:rsidP="5CCDA024">
      <w:pPr>
        <w:spacing w:before="240" w:after="240"/>
        <w:rPr>
          <w:rFonts w:eastAsiaTheme="minorEastAsia"/>
          <w:sz w:val="24"/>
          <w:szCs w:val="24"/>
        </w:rPr>
      </w:pPr>
      <w:r w:rsidRPr="5CCDA024">
        <w:rPr>
          <w:rFonts w:eastAsiaTheme="minorEastAsia"/>
          <w:sz w:val="24"/>
          <w:szCs w:val="24"/>
        </w:rPr>
        <w:t xml:space="preserve"> </w:t>
      </w:r>
    </w:p>
    <w:p w14:paraId="1B6BFD6F" w14:textId="57F027D3" w:rsidR="74A2B90D" w:rsidRDefault="00000000" w:rsidP="5CCDA024">
      <w:pPr>
        <w:spacing w:before="240" w:after="240"/>
        <w:rPr>
          <w:rFonts w:eastAsiaTheme="minorEastAsia"/>
          <w:sz w:val="24"/>
          <w:szCs w:val="24"/>
        </w:rPr>
      </w:pPr>
      <w:r w:rsidRPr="5CCDA024">
        <w:rPr>
          <w:rFonts w:eastAsiaTheme="minorEastAsia"/>
          <w:sz w:val="24"/>
          <w:szCs w:val="24"/>
        </w:rPr>
        <w:t xml:space="preserve"> </w:t>
      </w:r>
    </w:p>
    <w:p w14:paraId="73D6223B" w14:textId="275364AA" w:rsidR="001A6E71" w:rsidRPr="001A6E71" w:rsidRDefault="001A6E71" w:rsidP="5CCDA024">
      <w:pPr>
        <w:rPr>
          <w:rFonts w:eastAsiaTheme="minorEastAsia"/>
          <w:sz w:val="24"/>
          <w:szCs w:val="24"/>
        </w:rPr>
      </w:pPr>
    </w:p>
    <w:p w14:paraId="5A9393B0" w14:textId="77777777" w:rsidR="001A6E71" w:rsidRPr="001A6E71" w:rsidRDefault="001A6E71" w:rsidP="5CCDA024">
      <w:pPr>
        <w:rPr>
          <w:rFonts w:eastAsiaTheme="minorEastAsia"/>
          <w:sz w:val="24"/>
          <w:szCs w:val="24"/>
        </w:rPr>
      </w:pPr>
    </w:p>
    <w:p w14:paraId="20E8C2E5" w14:textId="77777777" w:rsidR="00CF5C07" w:rsidRDefault="00000000" w:rsidP="00CF5C07">
      <w:pPr>
        <w:pStyle w:val="Heading1"/>
        <w:rPr>
          <w:rFonts w:eastAsiaTheme="minorEastAsia"/>
        </w:rPr>
      </w:pPr>
      <w:bookmarkStart w:id="13" w:name="_Toc175720675"/>
      <w:r w:rsidRPr="5CCDA024">
        <w:rPr>
          <w:rFonts w:eastAsiaTheme="minorEastAsia"/>
        </w:rPr>
        <w:t xml:space="preserve">3 </w:t>
      </w:r>
      <w:r w:rsidR="001A6E71" w:rsidRPr="5CCDA024">
        <w:rPr>
          <w:rFonts w:eastAsiaTheme="minorEastAsia"/>
        </w:rPr>
        <w:t>Charter Communications (CHTR)</w:t>
      </w:r>
      <w:bookmarkEnd w:id="13"/>
    </w:p>
    <w:p w14:paraId="5484EDEB" w14:textId="77777777" w:rsidR="00547C01" w:rsidRPr="00547C01" w:rsidRDefault="00547C01" w:rsidP="00547C01"/>
    <w:p w14:paraId="78EC2592" w14:textId="1F412302" w:rsidR="001A6E71" w:rsidRPr="004A4CD1" w:rsidRDefault="00000000" w:rsidP="5CCDA024">
      <w:pPr>
        <w:rPr>
          <w:rFonts w:eastAsiaTheme="minorEastAsia"/>
          <w:b/>
          <w:bCs/>
          <w:sz w:val="24"/>
          <w:szCs w:val="24"/>
        </w:rPr>
      </w:pPr>
      <w:r w:rsidRPr="5CCDA024">
        <w:rPr>
          <w:rFonts w:eastAsiaTheme="minorEastAsia"/>
          <w:b/>
          <w:bCs/>
          <w:sz w:val="24"/>
          <w:szCs w:val="24"/>
        </w:rPr>
        <w:t xml:space="preserve"> stock price as of the latest data: $315.23</w:t>
      </w:r>
    </w:p>
    <w:p w14:paraId="05470447" w14:textId="77777777" w:rsidR="001A6E71" w:rsidRPr="001A6E71" w:rsidRDefault="00000000" w:rsidP="5CCDA024">
      <w:pPr>
        <w:rPr>
          <w:rFonts w:eastAsiaTheme="minorEastAsia"/>
          <w:sz w:val="24"/>
          <w:szCs w:val="24"/>
        </w:rPr>
      </w:pPr>
      <w:r w:rsidRPr="5CCDA024">
        <w:rPr>
          <w:rFonts w:eastAsiaTheme="minorEastAsia"/>
          <w:sz w:val="24"/>
          <w:szCs w:val="24"/>
        </w:rPr>
        <w:t>Let's consider an at-the-money call option with the following details:</w:t>
      </w:r>
    </w:p>
    <w:p w14:paraId="107BCECB" w14:textId="77777777" w:rsidR="001A6E71" w:rsidRPr="001A6E71" w:rsidRDefault="00000000" w:rsidP="5CCDA024">
      <w:pPr>
        <w:rPr>
          <w:rFonts w:eastAsiaTheme="minorEastAsia"/>
          <w:sz w:val="24"/>
          <w:szCs w:val="24"/>
        </w:rPr>
      </w:pPr>
      <w:r w:rsidRPr="5CCDA024">
        <w:rPr>
          <w:rFonts w:eastAsiaTheme="minorEastAsia"/>
          <w:sz w:val="24"/>
          <w:szCs w:val="24"/>
        </w:rPr>
        <w:t>- Strike price: $315 (closest to current stock price)</w:t>
      </w:r>
    </w:p>
    <w:p w14:paraId="78B901A8" w14:textId="77777777" w:rsidR="001A6E71" w:rsidRPr="001A6E71" w:rsidRDefault="00000000" w:rsidP="5CCDA024">
      <w:pPr>
        <w:rPr>
          <w:rFonts w:eastAsiaTheme="minorEastAsia"/>
          <w:sz w:val="24"/>
          <w:szCs w:val="24"/>
        </w:rPr>
      </w:pPr>
      <w:r w:rsidRPr="5CCDA024">
        <w:rPr>
          <w:rFonts w:eastAsiaTheme="minorEastAsia"/>
          <w:sz w:val="24"/>
          <w:szCs w:val="24"/>
        </w:rPr>
        <w:t>- Option premium: $20 (hypothetical, based on typical at-the-money option pricing)</w:t>
      </w:r>
    </w:p>
    <w:p w14:paraId="6C8187E9" w14:textId="77777777" w:rsidR="001A6E71" w:rsidRPr="001A6E71" w:rsidRDefault="00000000" w:rsidP="5CCDA024">
      <w:pPr>
        <w:rPr>
          <w:rFonts w:eastAsiaTheme="minorEastAsia"/>
          <w:sz w:val="24"/>
          <w:szCs w:val="24"/>
        </w:rPr>
      </w:pPr>
      <w:r w:rsidRPr="5CCDA024">
        <w:rPr>
          <w:rFonts w:eastAsiaTheme="minorEastAsia"/>
          <w:sz w:val="24"/>
          <w:szCs w:val="24"/>
        </w:rPr>
        <w:t>- Expiration: 1 month from now</w:t>
      </w:r>
    </w:p>
    <w:p w14:paraId="1ED58F73" w14:textId="72E4D593" w:rsidR="001A6E71" w:rsidRPr="001A6E71" w:rsidRDefault="00000000" w:rsidP="5CCDA024">
      <w:pPr>
        <w:rPr>
          <w:rFonts w:eastAsiaTheme="minorEastAsia"/>
          <w:sz w:val="24"/>
          <w:szCs w:val="24"/>
        </w:rPr>
      </w:pPr>
      <w:r w:rsidRPr="5CCDA024">
        <w:rPr>
          <w:rFonts w:eastAsiaTheme="minorEastAsia"/>
          <w:sz w:val="24"/>
          <w:szCs w:val="24"/>
        </w:rPr>
        <w:t>The payoff diagram:</w:t>
      </w:r>
    </w:p>
    <w:p w14:paraId="01ECF85C" w14:textId="77777777" w:rsidR="001A6E71" w:rsidRPr="001A6E71" w:rsidRDefault="001A6E71" w:rsidP="5CCDA024">
      <w:pPr>
        <w:rPr>
          <w:rFonts w:eastAsiaTheme="minorEastAsia"/>
          <w:sz w:val="24"/>
          <w:szCs w:val="24"/>
        </w:rPr>
      </w:pPr>
    </w:p>
    <w:p w14:paraId="7B00A321" w14:textId="603BB54F" w:rsidR="001A6E71" w:rsidRPr="001A6E71" w:rsidRDefault="00000000" w:rsidP="5CCDA024">
      <w:pPr>
        <w:rPr>
          <w:rFonts w:eastAsiaTheme="minorEastAsia"/>
          <w:sz w:val="24"/>
          <w:szCs w:val="24"/>
        </w:rPr>
      </w:pPr>
      <w:r>
        <w:rPr>
          <w:noProof/>
        </w:rPr>
        <w:lastRenderedPageBreak/>
        <mc:AlternateContent>
          <mc:Choice Requires="wps">
            <w:drawing>
              <wp:anchor distT="0" distB="0" distL="114300" distR="114300" simplePos="0" relativeHeight="251660288" behindDoc="0" locked="0" layoutInCell="1" allowOverlap="1" wp14:anchorId="35659D0B" wp14:editId="16468205">
                <wp:simplePos x="0" y="0"/>
                <wp:positionH relativeFrom="column">
                  <wp:posOffset>1714500</wp:posOffset>
                </wp:positionH>
                <wp:positionV relativeFrom="paragraph">
                  <wp:posOffset>1059180</wp:posOffset>
                </wp:positionV>
                <wp:extent cx="1173480" cy="449580"/>
                <wp:effectExtent l="0" t="0" r="26670" b="26670"/>
                <wp:wrapNone/>
                <wp:docPr id="826796900" name="Text Box 7"/>
                <wp:cNvGraphicFramePr/>
                <a:graphic xmlns:a="http://schemas.openxmlformats.org/drawingml/2006/main">
                  <a:graphicData uri="http://schemas.microsoft.com/office/word/2010/wordprocessingShape">
                    <wps:wsp>
                      <wps:cNvSpPr txBox="1"/>
                      <wps:spPr>
                        <a:xfrm>
                          <a:off x="0" y="0"/>
                          <a:ext cx="1173480" cy="449580"/>
                        </a:xfrm>
                        <a:prstGeom prst="rect">
                          <a:avLst/>
                        </a:prstGeom>
                        <a:solidFill>
                          <a:schemeClr val="lt1"/>
                        </a:solidFill>
                        <a:ln w="6350">
                          <a:solidFill>
                            <a:prstClr val="black"/>
                          </a:solidFill>
                        </a:ln>
                      </wps:spPr>
                      <wps:txbx>
                        <w:txbxContent>
                          <w:p w14:paraId="73A09846" w14:textId="77777777" w:rsidR="006142BF" w:rsidRPr="006142BF" w:rsidRDefault="00000000">
                            <w:pPr>
                              <w:rPr>
                                <w:lang w:val="en-US"/>
                              </w:rPr>
                            </w:pPr>
                            <w:r>
                              <w:rPr>
                                <w:lang w:val="en-US"/>
                              </w:rPr>
                              <w:t>Strike Price Right Now is $ 330.00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5" type="#_x0000_t202" style="width:92.4pt;height:35.4pt;margin-top:83.4pt;margin-left:135pt;mso-height-percent:0;mso-height-relative:margin;mso-width-percent:0;mso-width-relative:margin;mso-wrap-distance-bottom:0;mso-wrap-distance-left:9pt;mso-wrap-distance-right:9pt;mso-wrap-distance-top:0;mso-wrap-style:square;position:absolute;visibility:visible;v-text-anchor:top;z-index:251661312" fillcolor="white" strokeweight="0.5pt">
                <v:textbox>
                  <w:txbxContent>
                    <w:p w:rsidR="006142BF" w:rsidRPr="006142BF" w14:paraId="09349D8C" w14:textId="45FEF8DA">
                      <w:pPr>
                        <w:rPr>
                          <w:lang w:val="en-US"/>
                        </w:rPr>
                      </w:pPr>
                      <w:r>
                        <w:rPr>
                          <w:lang w:val="en-US"/>
                        </w:rPr>
                        <w:t>Strike Price Right Now is $ 330.00</w:t>
                      </w:r>
                    </w:p>
                  </w:txbxContent>
                </v:textbox>
              </v:shape>
            </w:pict>
          </mc:Fallback>
        </mc:AlternateContent>
      </w:r>
      <w:r w:rsidR="0048013C">
        <w:rPr>
          <w:noProof/>
        </w:rPr>
        <mc:AlternateContent>
          <mc:Choice Requires="wps">
            <w:drawing>
              <wp:anchor distT="0" distB="0" distL="114300" distR="114300" simplePos="0" relativeHeight="251658240" behindDoc="0" locked="0" layoutInCell="1" allowOverlap="1" wp14:anchorId="29F6B72F" wp14:editId="78DE56D8">
                <wp:simplePos x="0" y="0"/>
                <wp:positionH relativeFrom="margin">
                  <wp:posOffset>3749040</wp:posOffset>
                </wp:positionH>
                <wp:positionV relativeFrom="paragraph">
                  <wp:posOffset>-426720</wp:posOffset>
                </wp:positionV>
                <wp:extent cx="1859280" cy="556260"/>
                <wp:effectExtent l="0" t="0" r="26670" b="15240"/>
                <wp:wrapNone/>
                <wp:docPr id="100383650" name="Text Box 6"/>
                <wp:cNvGraphicFramePr/>
                <a:graphic xmlns:a="http://schemas.openxmlformats.org/drawingml/2006/main">
                  <a:graphicData uri="http://schemas.microsoft.com/office/word/2010/wordprocessingShape">
                    <wps:wsp>
                      <wps:cNvSpPr txBox="1"/>
                      <wps:spPr>
                        <a:xfrm>
                          <a:off x="0" y="0"/>
                          <a:ext cx="1859280" cy="556260"/>
                        </a:xfrm>
                        <a:prstGeom prst="rect">
                          <a:avLst/>
                        </a:prstGeom>
                        <a:solidFill>
                          <a:schemeClr val="lt1"/>
                        </a:solidFill>
                        <a:ln w="6350">
                          <a:solidFill>
                            <a:prstClr val="black"/>
                          </a:solidFill>
                        </a:ln>
                      </wps:spPr>
                      <wps:txbx>
                        <w:txbxContent>
                          <w:p w14:paraId="34AECCF2" w14:textId="77777777" w:rsidR="0048013C" w:rsidRPr="0048013C" w:rsidRDefault="00000000">
                            <w:pPr>
                              <w:rPr>
                                <w:lang w:val="en-US"/>
                              </w:rPr>
                            </w:pPr>
                            <w:r>
                              <w:rPr>
                                <w:lang w:val="en-US"/>
                              </w:rPr>
                              <w:t xml:space="preserve">Profit as of now is $ 30.77 per share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6" o:spid="_x0000_s1026" type="#_x0000_t202" style="width:146.4pt;height:43.8pt;margin-top:-33.6pt;margin-left:295.2pt;mso-height-percent:0;mso-height-relative:margin;mso-position-horizontal-relative:margin;mso-width-percent:0;mso-width-relative:margin;mso-wrap-distance-bottom:0;mso-wrap-distance-left:9pt;mso-wrap-distance-right:9pt;mso-wrap-distance-top:0;mso-wrap-style:square;position:absolute;visibility:visible;v-text-anchor:top;z-index:251659264" fillcolor="white" strokeweight="0.5pt">
                <v:textbox>
                  <w:txbxContent>
                    <w:p w:rsidR="0048013C" w:rsidRPr="0048013C" w14:paraId="0670395F" w14:textId="76E49E09">
                      <w:pPr>
                        <w:rPr>
                          <w:lang w:val="en-US"/>
                        </w:rPr>
                      </w:pPr>
                      <w:r>
                        <w:rPr>
                          <w:lang w:val="en-US"/>
                        </w:rPr>
                        <w:t xml:space="preserve">Profit as of now is $ 30.77 per share </w:t>
                      </w:r>
                    </w:p>
                  </w:txbxContent>
                </v:textbox>
                <w10:wrap anchorx="margin"/>
              </v:shape>
            </w:pict>
          </mc:Fallback>
        </mc:AlternateContent>
      </w:r>
      <w:r w:rsidR="1B89AFDC">
        <w:rPr>
          <w:noProof/>
        </w:rPr>
        <w:drawing>
          <wp:inline distT="0" distB="0" distL="0" distR="0" wp14:anchorId="04B69555" wp14:editId="6B8B90E7">
            <wp:extent cx="5724524" cy="2247900"/>
            <wp:effectExtent l="0" t="0" r="0" b="0"/>
            <wp:docPr id="1492900509" name="Picture 1492900509" descr="dsvjnsdvj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00509" name=""/>
                    <pic:cNvPicPr/>
                  </pic:nvPicPr>
                  <pic:blipFill>
                    <a:blip r:embed="rId20">
                      <a:extLst>
                        <a:ext uri="{28A0092B-C50C-407E-A947-70E740481C1C}">
                          <a14:useLocalDpi xmlns:a14="http://schemas.microsoft.com/office/drawing/2010/main" val="0"/>
                        </a:ext>
                      </a:extLst>
                    </a:blip>
                    <a:stretch>
                      <a:fillRect/>
                    </a:stretch>
                  </pic:blipFill>
                  <pic:spPr>
                    <a:xfrm>
                      <a:off x="0" y="0"/>
                      <a:ext cx="5724524" cy="2247900"/>
                    </a:xfrm>
                    <a:prstGeom prst="rect">
                      <a:avLst/>
                    </a:prstGeom>
                  </pic:spPr>
                </pic:pic>
              </a:graphicData>
            </a:graphic>
          </wp:inline>
        </w:drawing>
      </w:r>
    </w:p>
    <w:p w14:paraId="3EC66662" w14:textId="77777777" w:rsidR="004A4CD1" w:rsidRDefault="004A4CD1" w:rsidP="5CCDA024">
      <w:pPr>
        <w:rPr>
          <w:rFonts w:eastAsiaTheme="minorEastAsia"/>
          <w:sz w:val="24"/>
          <w:szCs w:val="24"/>
        </w:rPr>
      </w:pPr>
    </w:p>
    <w:p w14:paraId="257ECBA3" w14:textId="4C428DC5" w:rsidR="2A5F0A12" w:rsidRDefault="2A5F0A12" w:rsidP="5CCDA024">
      <w:pPr>
        <w:rPr>
          <w:rFonts w:eastAsiaTheme="minorEastAsia"/>
          <w:sz w:val="24"/>
          <w:szCs w:val="24"/>
        </w:rPr>
      </w:pPr>
    </w:p>
    <w:p w14:paraId="5C80B24A" w14:textId="3609C275" w:rsidR="2A5F0A12" w:rsidRDefault="2A5F0A12" w:rsidP="5CCDA024">
      <w:pPr>
        <w:rPr>
          <w:rFonts w:eastAsiaTheme="minorEastAsia"/>
          <w:sz w:val="24"/>
          <w:szCs w:val="24"/>
        </w:rPr>
      </w:pPr>
    </w:p>
    <w:p w14:paraId="7A826AD4" w14:textId="43026C5C" w:rsidR="2A5F0A12" w:rsidRDefault="2A5F0A12" w:rsidP="5CCDA024">
      <w:pPr>
        <w:rPr>
          <w:rFonts w:eastAsiaTheme="minorEastAsia"/>
          <w:sz w:val="24"/>
          <w:szCs w:val="24"/>
        </w:rPr>
      </w:pPr>
    </w:p>
    <w:p w14:paraId="33C8B668" w14:textId="0197C3FE" w:rsidR="2A5F0A12" w:rsidRDefault="2A5F0A12" w:rsidP="5CCDA024">
      <w:pPr>
        <w:rPr>
          <w:rFonts w:eastAsiaTheme="minorEastAsia"/>
          <w:sz w:val="24"/>
          <w:szCs w:val="24"/>
        </w:rPr>
      </w:pPr>
    </w:p>
    <w:p w14:paraId="265AC394" w14:textId="13A33CB8" w:rsidR="001A6E71" w:rsidRPr="001A6E71" w:rsidRDefault="00000000" w:rsidP="5CCDA024">
      <w:pPr>
        <w:rPr>
          <w:rFonts w:eastAsiaTheme="minorEastAsia"/>
          <w:sz w:val="24"/>
          <w:szCs w:val="24"/>
        </w:rPr>
      </w:pPr>
      <w:r w:rsidRPr="5CCDA024">
        <w:rPr>
          <w:rFonts w:eastAsiaTheme="minorEastAsia"/>
          <w:sz w:val="24"/>
          <w:szCs w:val="24"/>
        </w:rPr>
        <w:t>Explanation of the graph:</w:t>
      </w:r>
    </w:p>
    <w:p w14:paraId="01469E6D" w14:textId="0DFE800D" w:rsidR="001A6E71" w:rsidRPr="001A6E71" w:rsidRDefault="00000000" w:rsidP="5CCDA024">
      <w:pPr>
        <w:rPr>
          <w:rFonts w:eastAsiaTheme="minorEastAsia"/>
          <w:sz w:val="24"/>
          <w:szCs w:val="24"/>
        </w:rPr>
      </w:pPr>
      <w:r w:rsidRPr="5CCDA024">
        <w:rPr>
          <w:rFonts w:eastAsiaTheme="minorEastAsia"/>
          <w:sz w:val="24"/>
          <w:szCs w:val="24"/>
        </w:rPr>
        <w:t>The contract ends on 13</w:t>
      </w:r>
      <w:r w:rsidRPr="5CCDA024">
        <w:rPr>
          <w:rFonts w:eastAsiaTheme="minorEastAsia"/>
          <w:sz w:val="24"/>
          <w:szCs w:val="24"/>
          <w:vertAlign w:val="superscript"/>
        </w:rPr>
        <w:t>th</w:t>
      </w:r>
      <w:r w:rsidRPr="5CCDA024">
        <w:rPr>
          <w:rFonts w:eastAsiaTheme="minorEastAsia"/>
          <w:sz w:val="24"/>
          <w:szCs w:val="24"/>
        </w:rPr>
        <w:t xml:space="preserve"> September 2024</w:t>
      </w:r>
    </w:p>
    <w:p w14:paraId="03BD1965" w14:textId="52663FAF" w:rsidR="001A6E71" w:rsidRPr="001A6E71" w:rsidRDefault="001A6E71" w:rsidP="5CCDA024">
      <w:pPr>
        <w:rPr>
          <w:rFonts w:eastAsiaTheme="minorEastAsia"/>
          <w:sz w:val="24"/>
          <w:szCs w:val="24"/>
        </w:rPr>
      </w:pPr>
    </w:p>
    <w:p w14:paraId="68574FE7" w14:textId="50C33058" w:rsidR="001A6E71" w:rsidRPr="001A6E71" w:rsidRDefault="00000000" w:rsidP="5CCDA024">
      <w:pPr>
        <w:rPr>
          <w:rFonts w:eastAsiaTheme="minorEastAsia"/>
          <w:sz w:val="24"/>
          <w:szCs w:val="24"/>
        </w:rPr>
      </w:pPr>
      <w:r w:rsidRPr="5CCDA024">
        <w:rPr>
          <w:rFonts w:eastAsiaTheme="minorEastAsia"/>
          <w:sz w:val="24"/>
          <w:szCs w:val="24"/>
        </w:rPr>
        <w:t xml:space="preserve">Hence, the current price of a share </w:t>
      </w:r>
      <w:r w:rsidR="5B100AA4" w:rsidRPr="5CCDA024">
        <w:rPr>
          <w:rFonts w:eastAsiaTheme="minorEastAsia"/>
          <w:sz w:val="24"/>
          <w:szCs w:val="24"/>
        </w:rPr>
        <w:t>is</w:t>
      </w:r>
      <w:r w:rsidR="04962A1F" w:rsidRPr="5CCDA024">
        <w:rPr>
          <w:rFonts w:eastAsiaTheme="minorEastAsia"/>
          <w:sz w:val="24"/>
          <w:szCs w:val="24"/>
        </w:rPr>
        <w:t xml:space="preserve"> $360.77 is greater </w:t>
      </w:r>
      <w:r w:rsidR="38964821" w:rsidRPr="5CCDA024">
        <w:rPr>
          <w:rFonts w:eastAsiaTheme="minorEastAsia"/>
          <w:sz w:val="24"/>
          <w:szCs w:val="24"/>
        </w:rPr>
        <w:t>than the strike price of $ 330.00,</w:t>
      </w:r>
      <w:r w:rsidR="0B1B9151" w:rsidRPr="5CCDA024">
        <w:rPr>
          <w:rFonts w:eastAsiaTheme="minorEastAsia"/>
          <w:sz w:val="24"/>
          <w:szCs w:val="24"/>
        </w:rPr>
        <w:t xml:space="preserve"> the option is </w:t>
      </w:r>
      <w:r w:rsidR="39930E49" w:rsidRPr="5CCDA024">
        <w:rPr>
          <w:rFonts w:eastAsiaTheme="minorEastAsia"/>
          <w:sz w:val="24"/>
          <w:szCs w:val="24"/>
        </w:rPr>
        <w:t>“in</w:t>
      </w:r>
      <w:r w:rsidR="0B1B9151" w:rsidRPr="5CCDA024">
        <w:rPr>
          <w:rFonts w:eastAsiaTheme="minorEastAsia"/>
          <w:sz w:val="24"/>
          <w:szCs w:val="24"/>
        </w:rPr>
        <w:t xml:space="preserve"> the money”</w:t>
      </w:r>
    </w:p>
    <w:p w14:paraId="7782C426" w14:textId="7F9B3388" w:rsidR="001A6E71" w:rsidRPr="001A6E71" w:rsidRDefault="00000000" w:rsidP="5CCDA024">
      <w:pPr>
        <w:rPr>
          <w:rFonts w:eastAsiaTheme="minorEastAsia"/>
          <w:sz w:val="24"/>
          <w:szCs w:val="24"/>
        </w:rPr>
      </w:pPr>
      <w:r w:rsidRPr="5CCDA024">
        <w:rPr>
          <w:rFonts w:eastAsiaTheme="minorEastAsia"/>
          <w:sz w:val="24"/>
          <w:szCs w:val="24"/>
        </w:rPr>
        <w:t>Strike price $ 330.00</w:t>
      </w:r>
    </w:p>
    <w:p w14:paraId="14759BDB" w14:textId="542312B3" w:rsidR="001A6E71" w:rsidRPr="001A6E71" w:rsidRDefault="00000000" w:rsidP="5CCDA024">
      <w:pPr>
        <w:rPr>
          <w:rFonts w:eastAsiaTheme="minorEastAsia"/>
          <w:sz w:val="24"/>
          <w:szCs w:val="24"/>
        </w:rPr>
      </w:pPr>
      <w:r w:rsidRPr="5CCDA024">
        <w:rPr>
          <w:rFonts w:eastAsiaTheme="minorEastAsia"/>
          <w:sz w:val="24"/>
          <w:szCs w:val="24"/>
        </w:rPr>
        <w:t>Last Price of the call option</w:t>
      </w:r>
      <w:r w:rsidR="0A9A5172" w:rsidRPr="5CCDA024">
        <w:rPr>
          <w:rFonts w:eastAsiaTheme="minorEastAsia"/>
          <w:sz w:val="24"/>
          <w:szCs w:val="24"/>
        </w:rPr>
        <w:t xml:space="preserve"> (premium)</w:t>
      </w:r>
      <w:r w:rsidRPr="5CCDA024">
        <w:rPr>
          <w:rFonts w:eastAsiaTheme="minorEastAsia"/>
          <w:sz w:val="24"/>
          <w:szCs w:val="24"/>
        </w:rPr>
        <w:t>: $360.00</w:t>
      </w:r>
    </w:p>
    <w:p w14:paraId="5500FBF6" w14:textId="51C39493" w:rsidR="001A6E71" w:rsidRPr="001A6E71" w:rsidRDefault="00000000" w:rsidP="5CCDA024">
      <w:pPr>
        <w:rPr>
          <w:rFonts w:eastAsiaTheme="minorEastAsia"/>
          <w:sz w:val="24"/>
          <w:szCs w:val="24"/>
        </w:rPr>
      </w:pPr>
      <w:r w:rsidRPr="5CCDA024">
        <w:rPr>
          <w:rFonts w:eastAsiaTheme="minorEastAsia"/>
          <w:sz w:val="24"/>
          <w:szCs w:val="24"/>
        </w:rPr>
        <w:t xml:space="preserve">Inputting the Formula for calculation </w:t>
      </w:r>
    </w:p>
    <w:p w14:paraId="4ECCA950" w14:textId="7FC8732A" w:rsidR="001A6E71" w:rsidRPr="001A6E71" w:rsidRDefault="00000000" w:rsidP="5CCDA024">
      <w:pPr>
        <w:rPr>
          <w:rFonts w:eastAsiaTheme="minorEastAsia"/>
          <w:sz w:val="24"/>
          <w:szCs w:val="24"/>
        </w:rPr>
      </w:pPr>
      <w:r w:rsidRPr="5CCDA024">
        <w:rPr>
          <w:rFonts w:eastAsiaTheme="minorEastAsia"/>
          <w:sz w:val="24"/>
          <w:szCs w:val="24"/>
        </w:rPr>
        <w:t xml:space="preserve">Pay off </w:t>
      </w:r>
      <w:r w:rsidR="6866D814" w:rsidRPr="5CCDA024">
        <w:rPr>
          <w:rFonts w:eastAsiaTheme="minorEastAsia"/>
          <w:sz w:val="24"/>
          <w:szCs w:val="24"/>
        </w:rPr>
        <w:t xml:space="preserve">= Current Price of share- Strike Price </w:t>
      </w:r>
    </w:p>
    <w:p w14:paraId="01068B47" w14:textId="556F1E90" w:rsidR="001A6E71" w:rsidRPr="001A6E71" w:rsidRDefault="00000000" w:rsidP="5CCDA024">
      <w:pPr>
        <w:rPr>
          <w:rFonts w:eastAsiaTheme="minorEastAsia"/>
          <w:sz w:val="24"/>
          <w:szCs w:val="24"/>
        </w:rPr>
      </w:pPr>
      <w:r w:rsidRPr="5CCDA024">
        <w:rPr>
          <w:rFonts w:eastAsiaTheme="minorEastAsia"/>
          <w:sz w:val="24"/>
          <w:szCs w:val="24"/>
        </w:rPr>
        <w:t>Payoff= $360.77-</w:t>
      </w:r>
      <w:r w:rsidR="6791E6C7" w:rsidRPr="5CCDA024">
        <w:rPr>
          <w:rFonts w:eastAsiaTheme="minorEastAsia"/>
          <w:sz w:val="24"/>
          <w:szCs w:val="24"/>
        </w:rPr>
        <w:t xml:space="preserve"> $330.00</w:t>
      </w:r>
    </w:p>
    <w:p w14:paraId="7108E0ED" w14:textId="5664273C" w:rsidR="001A6E71" w:rsidRPr="001A6E71" w:rsidRDefault="00000000" w:rsidP="5CCDA024">
      <w:pPr>
        <w:rPr>
          <w:rFonts w:eastAsiaTheme="minorEastAsia"/>
          <w:sz w:val="24"/>
          <w:szCs w:val="24"/>
        </w:rPr>
      </w:pPr>
      <w:r w:rsidRPr="5CCDA024">
        <w:rPr>
          <w:rFonts w:eastAsiaTheme="minorEastAsia"/>
          <w:sz w:val="24"/>
          <w:szCs w:val="24"/>
        </w:rPr>
        <w:t>Payoff= 30.77</w:t>
      </w:r>
    </w:p>
    <w:p w14:paraId="7E724562" w14:textId="52E06489" w:rsidR="001A6E71" w:rsidRPr="001A6E71" w:rsidRDefault="001A6E71" w:rsidP="5CCDA024">
      <w:pPr>
        <w:rPr>
          <w:rFonts w:eastAsiaTheme="minorEastAsia"/>
          <w:sz w:val="24"/>
          <w:szCs w:val="24"/>
        </w:rPr>
      </w:pPr>
    </w:p>
    <w:p w14:paraId="00084B4A" w14:textId="580B58C6" w:rsidR="001A6E71" w:rsidRPr="001A6E71" w:rsidRDefault="00000000" w:rsidP="5CCDA024">
      <w:pPr>
        <w:rPr>
          <w:rFonts w:eastAsiaTheme="minorEastAsia"/>
          <w:sz w:val="24"/>
          <w:szCs w:val="24"/>
        </w:rPr>
      </w:pPr>
      <w:r w:rsidRPr="5CCDA024">
        <w:rPr>
          <w:rFonts w:eastAsiaTheme="minorEastAsia"/>
          <w:sz w:val="24"/>
          <w:szCs w:val="24"/>
        </w:rPr>
        <w:t>Payoff Profit= payoff- Premium</w:t>
      </w:r>
    </w:p>
    <w:p w14:paraId="3818772D" w14:textId="1EA7D247" w:rsidR="001A6E71" w:rsidRPr="001A6E71" w:rsidRDefault="00000000" w:rsidP="5CCDA024">
      <w:pPr>
        <w:rPr>
          <w:rFonts w:eastAsiaTheme="minorEastAsia"/>
          <w:sz w:val="24"/>
          <w:szCs w:val="24"/>
        </w:rPr>
      </w:pPr>
      <w:r w:rsidRPr="5CCDA024">
        <w:rPr>
          <w:rFonts w:eastAsiaTheme="minorEastAsia"/>
          <w:sz w:val="24"/>
          <w:szCs w:val="24"/>
        </w:rPr>
        <w:t xml:space="preserve">Payoff Profit= </w:t>
      </w:r>
      <w:r w:rsidR="37F949A5" w:rsidRPr="5CCDA024">
        <w:rPr>
          <w:rFonts w:eastAsiaTheme="minorEastAsia"/>
          <w:sz w:val="24"/>
          <w:szCs w:val="24"/>
        </w:rPr>
        <w:t>$3</w:t>
      </w:r>
      <w:r w:rsidRPr="5CCDA024">
        <w:rPr>
          <w:rFonts w:eastAsiaTheme="minorEastAsia"/>
          <w:sz w:val="24"/>
          <w:szCs w:val="24"/>
        </w:rPr>
        <w:t>0.77-</w:t>
      </w:r>
      <w:r w:rsidR="534129B5" w:rsidRPr="5CCDA024">
        <w:rPr>
          <w:rFonts w:eastAsiaTheme="minorEastAsia"/>
          <w:sz w:val="24"/>
          <w:szCs w:val="24"/>
        </w:rPr>
        <w:t>$360.00</w:t>
      </w:r>
    </w:p>
    <w:p w14:paraId="0B69D69D" w14:textId="492364CA" w:rsidR="001A6E71" w:rsidRPr="001A6E71" w:rsidRDefault="00000000" w:rsidP="5CCDA024">
      <w:pPr>
        <w:rPr>
          <w:rFonts w:eastAsiaTheme="minorEastAsia"/>
          <w:sz w:val="24"/>
          <w:szCs w:val="24"/>
        </w:rPr>
      </w:pPr>
      <w:r w:rsidRPr="5CCDA024">
        <w:rPr>
          <w:rFonts w:eastAsiaTheme="minorEastAsia"/>
          <w:sz w:val="24"/>
          <w:szCs w:val="24"/>
        </w:rPr>
        <w:t>Payoff Profit= -329.67</w:t>
      </w:r>
    </w:p>
    <w:p w14:paraId="5B4CDA5C" w14:textId="2231DD62" w:rsidR="001A6E71" w:rsidRPr="001A6E71" w:rsidRDefault="001A6E71" w:rsidP="5CCDA024">
      <w:pPr>
        <w:rPr>
          <w:rFonts w:eastAsiaTheme="minorEastAsia"/>
          <w:sz w:val="24"/>
          <w:szCs w:val="24"/>
        </w:rPr>
      </w:pPr>
    </w:p>
    <w:p w14:paraId="1E4754EF" w14:textId="13C8C8F4" w:rsidR="001A6E71" w:rsidRPr="001A6E71" w:rsidRDefault="001A6E71" w:rsidP="5CCDA024">
      <w:pPr>
        <w:rPr>
          <w:rFonts w:eastAsiaTheme="minorEastAsia"/>
          <w:sz w:val="24"/>
          <w:szCs w:val="24"/>
        </w:rPr>
      </w:pPr>
    </w:p>
    <w:p w14:paraId="04EA23C2" w14:textId="38C46977" w:rsidR="001A6E71" w:rsidRPr="001A6E71" w:rsidRDefault="001A6E71" w:rsidP="5CCDA024">
      <w:pPr>
        <w:rPr>
          <w:rFonts w:eastAsiaTheme="minorEastAsia"/>
          <w:sz w:val="24"/>
          <w:szCs w:val="24"/>
        </w:rPr>
      </w:pPr>
    </w:p>
    <w:p w14:paraId="52725802" w14:textId="7DAAA4F1" w:rsidR="001A6E71" w:rsidRPr="00547C01" w:rsidRDefault="00000000" w:rsidP="5CCDA024">
      <w:pPr>
        <w:rPr>
          <w:rFonts w:eastAsiaTheme="minorEastAsia"/>
          <w:b/>
          <w:bCs/>
          <w:sz w:val="24"/>
          <w:szCs w:val="24"/>
        </w:rPr>
      </w:pPr>
      <w:r w:rsidRPr="00547C01">
        <w:rPr>
          <w:rFonts w:eastAsiaTheme="minorEastAsia"/>
          <w:b/>
          <w:bCs/>
          <w:sz w:val="24"/>
          <w:szCs w:val="24"/>
        </w:rPr>
        <w:t xml:space="preserve">Money Put Option </w:t>
      </w:r>
    </w:p>
    <w:p w14:paraId="4D60FD13" w14:textId="19357487" w:rsidR="001A6E71" w:rsidRPr="001A6E71" w:rsidRDefault="001A6E71" w:rsidP="5CCDA024">
      <w:pPr>
        <w:rPr>
          <w:rFonts w:eastAsiaTheme="minorEastAsia"/>
          <w:sz w:val="24"/>
          <w:szCs w:val="24"/>
        </w:rPr>
      </w:pPr>
    </w:p>
    <w:p w14:paraId="30F94046" w14:textId="77777777" w:rsidR="001A6E71" w:rsidRPr="001A6E71" w:rsidRDefault="001A6E71" w:rsidP="5CCDA024">
      <w:pPr>
        <w:rPr>
          <w:rFonts w:eastAsiaTheme="minorEastAsia"/>
          <w:sz w:val="24"/>
          <w:szCs w:val="24"/>
        </w:rPr>
      </w:pPr>
    </w:p>
    <w:p w14:paraId="65238788" w14:textId="77777777" w:rsidR="001A6E71" w:rsidRPr="001A6E71" w:rsidRDefault="00547C01" w:rsidP="5CCDA024">
      <w:pPr>
        <w:rPr>
          <w:rFonts w:eastAsiaTheme="minorEastAsia"/>
          <w:sz w:val="24"/>
          <w:szCs w:val="24"/>
        </w:rPr>
      </w:pPr>
      <w:r>
        <w:rPr>
          <w:rFonts w:eastAsiaTheme="minorEastAsia"/>
          <w:noProof/>
          <w:sz w:val="24"/>
          <w:szCs w:val="24"/>
        </w:rPr>
        <w:drawing>
          <wp:inline distT="0" distB="0" distL="0" distR="0" wp14:anchorId="6442E281" wp14:editId="313F2BA1">
            <wp:extent cx="6233160" cy="3241675"/>
            <wp:effectExtent l="0" t="0" r="0" b="0"/>
            <wp:docPr id="10505248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24860" name="Picture 105052486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33160" cy="3241675"/>
                    </a:xfrm>
                    <a:prstGeom prst="rect">
                      <a:avLst/>
                    </a:prstGeom>
                  </pic:spPr>
                </pic:pic>
              </a:graphicData>
            </a:graphic>
          </wp:inline>
        </w:drawing>
      </w:r>
    </w:p>
    <w:p w14:paraId="1CD9B153" w14:textId="6B9037C4" w:rsidR="001A6E71" w:rsidRPr="001A6E71" w:rsidRDefault="001A6E71" w:rsidP="5CCDA024">
      <w:pPr>
        <w:rPr>
          <w:rFonts w:eastAsiaTheme="minorEastAsia"/>
          <w:sz w:val="24"/>
          <w:szCs w:val="24"/>
        </w:rPr>
      </w:pPr>
    </w:p>
    <w:p w14:paraId="66747473" w14:textId="77777777" w:rsidR="001A6E71" w:rsidRPr="001A6E71" w:rsidRDefault="001A6E71" w:rsidP="5CCDA024">
      <w:pPr>
        <w:rPr>
          <w:rFonts w:eastAsiaTheme="minorEastAsia"/>
          <w:sz w:val="24"/>
          <w:szCs w:val="24"/>
        </w:rPr>
      </w:pPr>
    </w:p>
    <w:p w14:paraId="7F6C3F4F" w14:textId="15B63709" w:rsidR="001A6E71" w:rsidRPr="001A6E71" w:rsidRDefault="00000000" w:rsidP="5CCDA024">
      <w:pPr>
        <w:rPr>
          <w:rFonts w:eastAsiaTheme="minorEastAsia"/>
          <w:sz w:val="24"/>
          <w:szCs w:val="24"/>
        </w:rPr>
      </w:pPr>
      <w:r w:rsidRPr="5CCDA024">
        <w:rPr>
          <w:rFonts w:eastAsiaTheme="minorEastAsia"/>
          <w:sz w:val="24"/>
          <w:szCs w:val="24"/>
        </w:rPr>
        <w:t>Current Stock Price: $312.77</w:t>
      </w:r>
    </w:p>
    <w:p w14:paraId="01427549" w14:textId="009AF802" w:rsidR="001A6E71" w:rsidRPr="001A6E71" w:rsidRDefault="00000000" w:rsidP="5CCDA024">
      <w:pPr>
        <w:rPr>
          <w:rFonts w:eastAsiaTheme="minorEastAsia"/>
          <w:sz w:val="24"/>
          <w:szCs w:val="24"/>
        </w:rPr>
      </w:pPr>
      <w:r w:rsidRPr="5CCDA024">
        <w:rPr>
          <w:rFonts w:eastAsiaTheme="minorEastAsia"/>
          <w:sz w:val="24"/>
          <w:szCs w:val="24"/>
        </w:rPr>
        <w:t>Breakeven Price: $285.75</w:t>
      </w:r>
    </w:p>
    <w:p w14:paraId="21D999F1" w14:textId="517F330C" w:rsidR="001A6E71" w:rsidRPr="001A6E71" w:rsidRDefault="00000000" w:rsidP="5CCDA024">
      <w:pPr>
        <w:rPr>
          <w:rFonts w:eastAsiaTheme="minorEastAsia"/>
          <w:sz w:val="24"/>
          <w:szCs w:val="24"/>
        </w:rPr>
      </w:pPr>
      <w:r w:rsidRPr="5CCDA024">
        <w:rPr>
          <w:rFonts w:eastAsiaTheme="minorEastAsia"/>
          <w:sz w:val="24"/>
          <w:szCs w:val="24"/>
        </w:rPr>
        <w:t>Maximum Profit: $28,575.00</w:t>
      </w:r>
    </w:p>
    <w:p w14:paraId="6BF41FC6" w14:textId="4B521DCE" w:rsidR="001A6E71" w:rsidRPr="001A6E71" w:rsidRDefault="00000000" w:rsidP="5CCDA024">
      <w:pPr>
        <w:rPr>
          <w:rFonts w:eastAsiaTheme="minorEastAsia"/>
          <w:sz w:val="24"/>
          <w:szCs w:val="24"/>
        </w:rPr>
      </w:pPr>
      <w:r w:rsidRPr="5CCDA024">
        <w:rPr>
          <w:rFonts w:eastAsiaTheme="minorEastAsia"/>
          <w:sz w:val="24"/>
          <w:szCs w:val="24"/>
        </w:rPr>
        <w:t>Maximum Loss: -$925.00</w:t>
      </w:r>
    </w:p>
    <w:p w14:paraId="7148DC33" w14:textId="0C40FBFB" w:rsidR="001A6E71" w:rsidRPr="001A6E71" w:rsidRDefault="00000000" w:rsidP="5CCDA024">
      <w:pPr>
        <w:rPr>
          <w:rFonts w:eastAsiaTheme="minorEastAsia"/>
          <w:sz w:val="24"/>
          <w:szCs w:val="24"/>
        </w:rPr>
      </w:pPr>
      <w:r w:rsidRPr="5CCDA024">
        <w:rPr>
          <w:rFonts w:eastAsiaTheme="minorEastAsia"/>
          <w:sz w:val="24"/>
          <w:szCs w:val="24"/>
        </w:rPr>
        <w:t>Payoff Structure</w:t>
      </w:r>
    </w:p>
    <w:p w14:paraId="13DCDBC3" w14:textId="2B75E788" w:rsidR="001A6E71" w:rsidRPr="001A6E71" w:rsidRDefault="00000000" w:rsidP="5CCDA024">
      <w:pPr>
        <w:rPr>
          <w:rFonts w:eastAsiaTheme="minorEastAsia"/>
          <w:sz w:val="24"/>
          <w:szCs w:val="24"/>
        </w:rPr>
      </w:pPr>
      <w:r w:rsidRPr="5CCDA024">
        <w:rPr>
          <w:rFonts w:eastAsiaTheme="minorEastAsia"/>
          <w:sz w:val="24"/>
          <w:szCs w:val="24"/>
        </w:rPr>
        <w:t xml:space="preserve">The payoff from a put option </w:t>
      </w:r>
      <w:r w:rsidR="46760087" w:rsidRPr="5CCDA024">
        <w:rPr>
          <w:rFonts w:eastAsiaTheme="minorEastAsia"/>
          <w:sz w:val="24"/>
          <w:szCs w:val="24"/>
        </w:rPr>
        <w:t>is</w:t>
      </w:r>
      <w:r w:rsidRPr="5CCDA024">
        <w:rPr>
          <w:rFonts w:eastAsiaTheme="minorEastAsia"/>
          <w:sz w:val="24"/>
          <w:szCs w:val="24"/>
        </w:rPr>
        <w:t xml:space="preserve"> calculated using the formula:</w:t>
      </w:r>
    </w:p>
    <w:p w14:paraId="48A62707" w14:textId="639B662D" w:rsidR="001A6E71" w:rsidRPr="001A6E71" w:rsidRDefault="00000000" w:rsidP="5CCDA024">
      <w:pPr>
        <w:rPr>
          <w:rFonts w:eastAsiaTheme="minorEastAsia"/>
          <w:sz w:val="24"/>
          <w:szCs w:val="24"/>
        </w:rPr>
      </w:pPr>
      <w:r w:rsidRPr="5CCDA024">
        <w:rPr>
          <w:rFonts w:eastAsiaTheme="minorEastAsia"/>
          <w:sz w:val="24"/>
          <w:szCs w:val="24"/>
        </w:rPr>
        <w:t xml:space="preserve"> </w:t>
      </w:r>
    </w:p>
    <w:p w14:paraId="07A116A1" w14:textId="0B7C6BC8" w:rsidR="001A6E71" w:rsidRPr="001A6E71" w:rsidRDefault="00000000" w:rsidP="5CCDA024">
      <w:pPr>
        <w:rPr>
          <w:rFonts w:eastAsiaTheme="minorEastAsia"/>
          <w:sz w:val="24"/>
          <w:szCs w:val="24"/>
        </w:rPr>
      </w:pPr>
      <w:r w:rsidRPr="5CCDA024">
        <w:rPr>
          <w:rFonts w:eastAsiaTheme="minorEastAsia"/>
          <w:sz w:val="24"/>
          <w:szCs w:val="24"/>
        </w:rPr>
        <w:t xml:space="preserve">Payoff = </w:t>
      </w:r>
      <w:r w:rsidR="07E99AEB" w:rsidRPr="5CCDA024">
        <w:rPr>
          <w:rFonts w:eastAsiaTheme="minorEastAsia"/>
          <w:sz w:val="24"/>
          <w:szCs w:val="24"/>
        </w:rPr>
        <w:t>Max (</w:t>
      </w:r>
      <w:r w:rsidRPr="5CCDA024">
        <w:rPr>
          <w:rFonts w:eastAsiaTheme="minorEastAsia"/>
          <w:sz w:val="24"/>
          <w:szCs w:val="24"/>
        </w:rPr>
        <w:t>Strike Price - Stock Price</w:t>
      </w:r>
      <w:r w:rsidR="444C0A00" w:rsidRPr="5CCDA024">
        <w:rPr>
          <w:rFonts w:eastAsiaTheme="minorEastAsia"/>
          <w:sz w:val="24"/>
          <w:szCs w:val="24"/>
        </w:rPr>
        <w:t>)</w:t>
      </w:r>
    </w:p>
    <w:p w14:paraId="2E1765E8" w14:textId="1B2649B8" w:rsidR="001A6E71" w:rsidRPr="001A6E71" w:rsidRDefault="00000000" w:rsidP="5CCDA024">
      <w:pPr>
        <w:rPr>
          <w:rFonts w:eastAsiaTheme="minorEastAsia"/>
          <w:sz w:val="24"/>
          <w:szCs w:val="24"/>
        </w:rPr>
      </w:pPr>
      <w:r w:rsidRPr="5CCDA024">
        <w:rPr>
          <w:rFonts w:eastAsiaTheme="minorEastAsia"/>
          <w:sz w:val="24"/>
          <w:szCs w:val="24"/>
        </w:rPr>
        <w:t>P</w:t>
      </w:r>
      <w:r w:rsidR="6505466A" w:rsidRPr="5CCDA024">
        <w:rPr>
          <w:rFonts w:eastAsiaTheme="minorEastAsia"/>
          <w:sz w:val="24"/>
          <w:szCs w:val="24"/>
        </w:rPr>
        <w:t>ut option with a strike price of $350.</w:t>
      </w:r>
    </w:p>
    <w:p w14:paraId="2E5315A9" w14:textId="669F7F23" w:rsidR="001A6E71" w:rsidRPr="001A6E71" w:rsidRDefault="00000000" w:rsidP="5CCDA024">
      <w:pPr>
        <w:rPr>
          <w:rFonts w:eastAsiaTheme="minorEastAsia"/>
          <w:sz w:val="24"/>
          <w:szCs w:val="24"/>
        </w:rPr>
      </w:pPr>
      <w:r w:rsidRPr="5CCDA024">
        <w:rPr>
          <w:rFonts w:eastAsiaTheme="minorEastAsia"/>
          <w:sz w:val="24"/>
          <w:szCs w:val="24"/>
        </w:rPr>
        <w:t xml:space="preserve">stock price </w:t>
      </w:r>
      <w:r w:rsidR="52296A52" w:rsidRPr="5CCDA024">
        <w:rPr>
          <w:rFonts w:eastAsiaTheme="minorEastAsia"/>
          <w:sz w:val="24"/>
          <w:szCs w:val="24"/>
        </w:rPr>
        <w:t>at $</w:t>
      </w:r>
      <w:r w:rsidRPr="5CCDA024">
        <w:rPr>
          <w:rFonts w:eastAsiaTheme="minorEastAsia"/>
          <w:sz w:val="24"/>
          <w:szCs w:val="24"/>
        </w:rPr>
        <w:t>312.77</w:t>
      </w:r>
    </w:p>
    <w:p w14:paraId="14B75A72" w14:textId="18B62223" w:rsidR="001A6E71" w:rsidRPr="001A6E71" w:rsidRDefault="00000000" w:rsidP="5CCDA024">
      <w:pPr>
        <w:rPr>
          <w:rFonts w:eastAsiaTheme="minorEastAsia"/>
          <w:sz w:val="24"/>
          <w:szCs w:val="24"/>
        </w:rPr>
      </w:pPr>
      <w:r w:rsidRPr="5CCDA024">
        <w:rPr>
          <w:rFonts w:eastAsiaTheme="minorEastAsia"/>
          <w:sz w:val="24"/>
          <w:szCs w:val="24"/>
        </w:rPr>
        <w:t>Payoff = Max (350 - 312.77, 0) = $37.23</w:t>
      </w:r>
    </w:p>
    <w:p w14:paraId="05BC2177" w14:textId="69780143" w:rsidR="001A6E71" w:rsidRPr="001A6E71" w:rsidRDefault="00000000" w:rsidP="5CCDA024">
      <w:pPr>
        <w:rPr>
          <w:rFonts w:eastAsiaTheme="minorEastAsia"/>
          <w:sz w:val="24"/>
          <w:szCs w:val="24"/>
        </w:rPr>
      </w:pPr>
      <w:r w:rsidRPr="5CCDA024">
        <w:rPr>
          <w:rFonts w:eastAsiaTheme="minorEastAsia"/>
          <w:sz w:val="24"/>
          <w:szCs w:val="24"/>
        </w:rPr>
        <w:t xml:space="preserve"> </w:t>
      </w:r>
      <w:r w:rsidR="00CF5C07">
        <w:rPr>
          <w:rFonts w:eastAsiaTheme="minorEastAsia"/>
          <w:sz w:val="24"/>
          <w:szCs w:val="24"/>
        </w:rPr>
        <w:t>The stock</w:t>
      </w:r>
      <w:r w:rsidRPr="5CCDA024">
        <w:rPr>
          <w:rFonts w:eastAsiaTheme="minorEastAsia"/>
          <w:sz w:val="24"/>
          <w:szCs w:val="24"/>
        </w:rPr>
        <w:t xml:space="preserve"> price at expiration is $400:</w:t>
      </w:r>
    </w:p>
    <w:p w14:paraId="2C47D9A9" w14:textId="20A84F0B" w:rsidR="001A6E71" w:rsidRPr="001A6E71" w:rsidRDefault="00000000" w:rsidP="5CCDA024">
      <w:pPr>
        <w:rPr>
          <w:rFonts w:eastAsiaTheme="minorEastAsia"/>
          <w:sz w:val="24"/>
          <w:szCs w:val="24"/>
        </w:rPr>
      </w:pPr>
      <w:r w:rsidRPr="5CCDA024">
        <w:rPr>
          <w:rFonts w:eastAsiaTheme="minorEastAsia"/>
          <w:sz w:val="24"/>
          <w:szCs w:val="24"/>
        </w:rPr>
        <w:lastRenderedPageBreak/>
        <w:t xml:space="preserve">Payoff = Max (350 - 400, 0) = $0 </w:t>
      </w:r>
    </w:p>
    <w:p w14:paraId="498F3AD3" w14:textId="09A8B7C0" w:rsidR="001A6E71" w:rsidRPr="001A6E71" w:rsidRDefault="00000000" w:rsidP="5CCDA024">
      <w:pPr>
        <w:rPr>
          <w:rFonts w:eastAsiaTheme="minorEastAsia"/>
          <w:sz w:val="24"/>
          <w:szCs w:val="24"/>
        </w:rPr>
      </w:pPr>
      <w:r w:rsidRPr="5CCDA024">
        <w:rPr>
          <w:rFonts w:eastAsiaTheme="minorEastAsia"/>
          <w:sz w:val="24"/>
          <w:szCs w:val="24"/>
        </w:rPr>
        <w:t>comment of</w:t>
      </w:r>
      <w:r w:rsidR="76A385DB" w:rsidRPr="5CCDA024">
        <w:rPr>
          <w:rFonts w:eastAsiaTheme="minorEastAsia"/>
          <w:sz w:val="24"/>
          <w:szCs w:val="24"/>
        </w:rPr>
        <w:t xml:space="preserve"> put option </w:t>
      </w:r>
      <w:r w:rsidR="7BCC3BE4" w:rsidRPr="5CCDA024">
        <w:rPr>
          <w:rFonts w:eastAsiaTheme="minorEastAsia"/>
          <w:sz w:val="24"/>
          <w:szCs w:val="24"/>
        </w:rPr>
        <w:t xml:space="preserve">payoff: </w:t>
      </w:r>
    </w:p>
    <w:p w14:paraId="6DF961E2" w14:textId="7C24EF93" w:rsidR="001A6E71" w:rsidRPr="001A6E71" w:rsidRDefault="00000000" w:rsidP="5CCDA024">
      <w:pPr>
        <w:rPr>
          <w:rFonts w:eastAsiaTheme="minorEastAsia"/>
          <w:sz w:val="24"/>
          <w:szCs w:val="24"/>
        </w:rPr>
      </w:pPr>
      <w:r w:rsidRPr="5CCDA024">
        <w:rPr>
          <w:rFonts w:eastAsiaTheme="minorEastAsia"/>
          <w:sz w:val="24"/>
          <w:szCs w:val="24"/>
        </w:rPr>
        <w:t xml:space="preserve">The breakeven price refers to the stock price where the overall profit or loss, from the option trade becomes zero calculated by subtracting the option cost from the strike price and adding any expenses to it. </w:t>
      </w:r>
    </w:p>
    <w:p w14:paraId="09E0506A" w14:textId="75BBD83B" w:rsidR="001A6E71" w:rsidRPr="001A6E71" w:rsidRDefault="00000000" w:rsidP="5CCDA024">
      <w:pPr>
        <w:rPr>
          <w:rFonts w:eastAsiaTheme="minorEastAsia"/>
          <w:sz w:val="24"/>
          <w:szCs w:val="24"/>
        </w:rPr>
      </w:pPr>
      <w:r w:rsidRPr="5CCDA024">
        <w:rPr>
          <w:rFonts w:eastAsiaTheme="minorEastAsia"/>
          <w:sz w:val="24"/>
          <w:szCs w:val="24"/>
        </w:rPr>
        <w:t>Optimal Earnings Potential</w:t>
      </w:r>
      <w:r w:rsidR="26FAB492" w:rsidRPr="5CCDA024">
        <w:rPr>
          <w:rFonts w:eastAsiaTheme="minorEastAsia"/>
          <w:sz w:val="24"/>
          <w:szCs w:val="24"/>
        </w:rPr>
        <w:t xml:space="preserve">: </w:t>
      </w:r>
      <w:r w:rsidRPr="5CCDA024">
        <w:rPr>
          <w:rFonts w:eastAsiaTheme="minorEastAsia"/>
          <w:sz w:val="24"/>
          <w:szCs w:val="24"/>
        </w:rPr>
        <w:t>This represents the potential profit achievable, with the put option often realized when the stock price reaches its lowest point potentially hitting zero.</w:t>
      </w:r>
      <w:r w:rsidR="3A769E7D" w:rsidRPr="5CCDA024">
        <w:rPr>
          <w:rFonts w:eastAsiaTheme="minorEastAsia"/>
          <w:sz w:val="24"/>
          <w:szCs w:val="24"/>
        </w:rPr>
        <w:t xml:space="preserve"> T</w:t>
      </w:r>
      <w:r w:rsidRPr="5CCDA024">
        <w:rPr>
          <w:rFonts w:eastAsiaTheme="minorEastAsia"/>
          <w:sz w:val="24"/>
          <w:szCs w:val="24"/>
        </w:rPr>
        <w:t xml:space="preserve">he maximum loss is the amount you could lose if at expiration the stock price is higher, than the strike price resulting in the put option being </w:t>
      </w:r>
      <w:r w:rsidR="584BEEE3" w:rsidRPr="5CCDA024">
        <w:rPr>
          <w:rFonts w:eastAsiaTheme="minorEastAsia"/>
          <w:sz w:val="24"/>
          <w:szCs w:val="24"/>
        </w:rPr>
        <w:t>worthless. When</w:t>
      </w:r>
      <w:r w:rsidRPr="5CCDA024">
        <w:rPr>
          <w:rFonts w:eastAsiaTheme="minorEastAsia"/>
          <w:sz w:val="24"/>
          <w:szCs w:val="24"/>
        </w:rPr>
        <w:t xml:space="preserve"> considering a put option for a company such as, OF Chater Communication </w:t>
      </w:r>
      <w:r w:rsidR="00CF5C07">
        <w:rPr>
          <w:rFonts w:eastAsiaTheme="minorEastAsia"/>
          <w:sz w:val="24"/>
          <w:szCs w:val="24"/>
        </w:rPr>
        <w:t>Company's</w:t>
      </w:r>
      <w:r w:rsidRPr="5CCDA024">
        <w:rPr>
          <w:rFonts w:eastAsiaTheme="minorEastAsia"/>
          <w:sz w:val="24"/>
          <w:szCs w:val="24"/>
        </w:rPr>
        <w:t xml:space="preserve"> stock it could be useful to discuss how the current stock price compares to the strike price.  </w:t>
      </w:r>
    </w:p>
    <w:p w14:paraId="2A483AC3" w14:textId="12FBC42B" w:rsidR="001A6E71" w:rsidRPr="001A6E71" w:rsidRDefault="00000000" w:rsidP="5CCDA024">
      <w:pPr>
        <w:rPr>
          <w:rFonts w:eastAsiaTheme="minorEastAsia"/>
          <w:sz w:val="24"/>
          <w:szCs w:val="24"/>
        </w:rPr>
      </w:pPr>
      <w:r w:rsidRPr="5CCDA024">
        <w:rPr>
          <w:rFonts w:eastAsiaTheme="minorEastAsia"/>
          <w:sz w:val="24"/>
          <w:szCs w:val="24"/>
        </w:rPr>
        <w:t xml:space="preserve">The stock price for OF Chater Communication Company is currently at $312.If the stock price stays the same. The option has a value of $37. </w:t>
      </w:r>
      <w:r w:rsidR="00CF5C07">
        <w:rPr>
          <w:rFonts w:eastAsiaTheme="minorEastAsia"/>
          <w:sz w:val="24"/>
          <w:szCs w:val="24"/>
        </w:rPr>
        <w:t>The potential</w:t>
      </w:r>
      <w:r w:rsidRPr="5CCDA024">
        <w:rPr>
          <w:rFonts w:eastAsiaTheme="minorEastAsia"/>
          <w:sz w:val="24"/>
          <w:szCs w:val="24"/>
        </w:rPr>
        <w:t xml:space="preserve"> profit, with this option is $28. If the stock price drops to zero. However, the maximum loss is limited to $925. Which represents the premium paid for the option. This arrangement offers an approach to protect against substantial drops, in stock value while minimizing potential losses."  </w:t>
      </w:r>
    </w:p>
    <w:p w14:paraId="1C754364" w14:textId="4457FABF" w:rsidR="001A6E71" w:rsidRPr="001A6E71" w:rsidRDefault="00000000" w:rsidP="5CCDA024">
      <w:pPr>
        <w:rPr>
          <w:rFonts w:eastAsiaTheme="minorEastAsia"/>
          <w:sz w:val="24"/>
          <w:szCs w:val="24"/>
        </w:rPr>
      </w:pPr>
      <w:r w:rsidRPr="5CCDA024">
        <w:rPr>
          <w:rFonts w:eastAsiaTheme="minorEastAsia"/>
          <w:sz w:val="24"/>
          <w:szCs w:val="24"/>
        </w:rPr>
        <w:t>This statement provides background information, on the value and risk/reward characteristics of the option considering the current stock price and option details</w:t>
      </w:r>
      <w:r w:rsidR="6AD26422" w:rsidRPr="5CCDA024">
        <w:rPr>
          <w:rFonts w:eastAsiaTheme="minorEastAsia"/>
          <w:sz w:val="24"/>
          <w:szCs w:val="24"/>
        </w:rPr>
        <w:t>.</w:t>
      </w:r>
    </w:p>
    <w:p w14:paraId="4942D663" w14:textId="5CD7C21D" w:rsidR="2A5F0A12" w:rsidRDefault="2A5F0A12" w:rsidP="5CCDA024">
      <w:pPr>
        <w:rPr>
          <w:rFonts w:eastAsiaTheme="minorEastAsia"/>
          <w:sz w:val="24"/>
          <w:szCs w:val="24"/>
        </w:rPr>
      </w:pPr>
    </w:p>
    <w:p w14:paraId="38757ADB" w14:textId="77777777" w:rsidR="004A4CD1" w:rsidRDefault="004A4CD1" w:rsidP="5CCDA024">
      <w:pPr>
        <w:rPr>
          <w:rFonts w:eastAsiaTheme="minorEastAsia"/>
          <w:b/>
          <w:bCs/>
          <w:sz w:val="24"/>
          <w:szCs w:val="24"/>
        </w:rPr>
      </w:pPr>
    </w:p>
    <w:p w14:paraId="59A7035B" w14:textId="52BDFEEC" w:rsidR="001A6E71" w:rsidRPr="001A6E71" w:rsidRDefault="00000000" w:rsidP="00CF5C07">
      <w:pPr>
        <w:pStyle w:val="Heading1"/>
        <w:rPr>
          <w:rFonts w:eastAsiaTheme="minorEastAsia"/>
        </w:rPr>
      </w:pPr>
      <w:bookmarkStart w:id="14" w:name="_Toc175720676"/>
      <w:r w:rsidRPr="5CCDA024">
        <w:rPr>
          <w:rFonts w:eastAsiaTheme="minorEastAsia"/>
        </w:rPr>
        <w:t>The construction option strategies: the Straddle.</w:t>
      </w:r>
      <w:bookmarkEnd w:id="14"/>
    </w:p>
    <w:p w14:paraId="03C0D095" w14:textId="041D8964" w:rsidR="004A4CD1" w:rsidRDefault="00000000" w:rsidP="00CF5C07">
      <w:pPr>
        <w:rPr>
          <w:rFonts w:eastAsiaTheme="minorEastAsia"/>
          <w:sz w:val="24"/>
          <w:szCs w:val="24"/>
        </w:rPr>
      </w:pPr>
      <w:r w:rsidRPr="006C067B">
        <w:rPr>
          <w:rFonts w:eastAsia="Times New Roman"/>
          <w:b/>
          <w:bCs/>
          <w:noProof/>
          <w:lang w:eastAsia="en-GB"/>
        </w:rPr>
        <w:drawing>
          <wp:anchor distT="0" distB="0" distL="114300" distR="114300" simplePos="0" relativeHeight="251662336" behindDoc="1" locked="0" layoutInCell="1" allowOverlap="1" wp14:anchorId="77AD4928" wp14:editId="4DDC8AED">
            <wp:simplePos x="0" y="0"/>
            <wp:positionH relativeFrom="margin">
              <wp:align>left</wp:align>
            </wp:positionH>
            <wp:positionV relativeFrom="paragraph">
              <wp:posOffset>296545</wp:posOffset>
            </wp:positionV>
            <wp:extent cx="5478780" cy="2795905"/>
            <wp:effectExtent l="0" t="0" r="7620" b="4445"/>
            <wp:wrapTight wrapText="bothSides">
              <wp:wrapPolygon edited="0">
                <wp:start x="0" y="0"/>
                <wp:lineTo x="0" y="21487"/>
                <wp:lineTo x="21555" y="21487"/>
                <wp:lineTo x="21555" y="0"/>
                <wp:lineTo x="0" y="0"/>
              </wp:wrapPolygon>
            </wp:wrapTight>
            <wp:docPr id="1002198117" name="Picture 6"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98117" name="Picture 6" descr="A diagram of a graph&#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478780" cy="2795905"/>
                    </a:xfrm>
                    <a:prstGeom prst="rect">
                      <a:avLst/>
                    </a:prstGeom>
                  </pic:spPr>
                </pic:pic>
              </a:graphicData>
            </a:graphic>
            <wp14:sizeRelH relativeFrom="margin">
              <wp14:pctWidth>0</wp14:pctWidth>
            </wp14:sizeRelH>
            <wp14:sizeRelV relativeFrom="margin">
              <wp14:pctHeight>0</wp14:pctHeight>
            </wp14:sizeRelV>
          </wp:anchor>
        </w:drawing>
      </w:r>
    </w:p>
    <w:p w14:paraId="52AA58C4" w14:textId="77777777" w:rsidR="009B69C4" w:rsidRDefault="009B69C4" w:rsidP="5CCDA024">
      <w:pPr>
        <w:ind w:left="360"/>
        <w:rPr>
          <w:rFonts w:eastAsiaTheme="minorEastAsia"/>
          <w:sz w:val="24"/>
          <w:szCs w:val="24"/>
        </w:rPr>
      </w:pPr>
    </w:p>
    <w:p w14:paraId="256D8961" w14:textId="5089D482" w:rsidR="001A6E71" w:rsidRPr="001A6E71" w:rsidRDefault="00000000" w:rsidP="5CCDA024">
      <w:pPr>
        <w:ind w:left="360"/>
        <w:rPr>
          <w:rFonts w:eastAsiaTheme="minorEastAsia"/>
          <w:sz w:val="24"/>
          <w:szCs w:val="24"/>
        </w:rPr>
      </w:pPr>
      <w:r w:rsidRPr="5CCDA024">
        <w:rPr>
          <w:rFonts w:eastAsiaTheme="minorEastAsia"/>
          <w:sz w:val="24"/>
          <w:szCs w:val="24"/>
        </w:rPr>
        <w:t>Construction of a Straddle for CHTR:</w:t>
      </w:r>
    </w:p>
    <w:p w14:paraId="19408862" w14:textId="588B375C" w:rsidR="001A6E71" w:rsidRPr="001A6E71" w:rsidRDefault="00000000" w:rsidP="5CCDA024">
      <w:pPr>
        <w:ind w:left="360"/>
        <w:rPr>
          <w:rFonts w:eastAsiaTheme="minorEastAsia"/>
          <w:sz w:val="24"/>
          <w:szCs w:val="24"/>
        </w:rPr>
      </w:pPr>
      <w:r w:rsidRPr="5CCDA024">
        <w:rPr>
          <w:rFonts w:eastAsiaTheme="minorEastAsia"/>
          <w:sz w:val="24"/>
          <w:szCs w:val="24"/>
        </w:rPr>
        <w:lastRenderedPageBreak/>
        <w:t>Current Stock Price: $312.77</w:t>
      </w:r>
    </w:p>
    <w:p w14:paraId="0B32656F" w14:textId="6A312445" w:rsidR="001A6E71" w:rsidRPr="001A6E71" w:rsidRDefault="00000000" w:rsidP="5CCDA024">
      <w:pPr>
        <w:ind w:left="360"/>
        <w:rPr>
          <w:rFonts w:eastAsiaTheme="minorEastAsia"/>
          <w:sz w:val="24"/>
          <w:szCs w:val="24"/>
        </w:rPr>
      </w:pPr>
      <w:r w:rsidRPr="5CCDA024">
        <w:rPr>
          <w:rFonts w:eastAsiaTheme="minorEastAsia"/>
          <w:sz w:val="24"/>
          <w:szCs w:val="24"/>
        </w:rPr>
        <w:t>Strike Price: $315</w:t>
      </w:r>
    </w:p>
    <w:p w14:paraId="6F512AD7" w14:textId="2F6E654A" w:rsidR="001A6E71" w:rsidRPr="001A6E71" w:rsidRDefault="00000000" w:rsidP="5CCDA024">
      <w:pPr>
        <w:ind w:left="360"/>
        <w:rPr>
          <w:rFonts w:eastAsiaTheme="minorEastAsia"/>
          <w:sz w:val="24"/>
          <w:szCs w:val="24"/>
        </w:rPr>
      </w:pPr>
      <w:r w:rsidRPr="5CCDA024">
        <w:rPr>
          <w:rFonts w:eastAsiaTheme="minorEastAsia"/>
          <w:sz w:val="24"/>
          <w:szCs w:val="24"/>
        </w:rPr>
        <w:t>Call Option Premium: $15.00</w:t>
      </w:r>
    </w:p>
    <w:p w14:paraId="2AC4A4D4" w14:textId="4FF4B37B" w:rsidR="001A6E71" w:rsidRPr="001A6E71" w:rsidRDefault="00000000" w:rsidP="5CCDA024">
      <w:pPr>
        <w:ind w:left="360"/>
        <w:rPr>
          <w:rFonts w:eastAsiaTheme="minorEastAsia"/>
          <w:sz w:val="24"/>
          <w:szCs w:val="24"/>
        </w:rPr>
      </w:pPr>
      <w:r w:rsidRPr="5CCDA024">
        <w:rPr>
          <w:rFonts w:eastAsiaTheme="minorEastAsia"/>
          <w:sz w:val="24"/>
          <w:szCs w:val="24"/>
        </w:rPr>
        <w:t>Put Option Premium: $12.00</w:t>
      </w:r>
    </w:p>
    <w:p w14:paraId="7B06785B" w14:textId="2FA96AB1" w:rsidR="001A6E71" w:rsidRPr="001A6E71" w:rsidRDefault="00000000" w:rsidP="5CCDA024">
      <w:pPr>
        <w:ind w:left="360"/>
        <w:rPr>
          <w:rFonts w:eastAsiaTheme="minorEastAsia"/>
          <w:sz w:val="24"/>
          <w:szCs w:val="24"/>
        </w:rPr>
      </w:pPr>
      <w:r w:rsidRPr="5CCDA024">
        <w:rPr>
          <w:rFonts w:eastAsiaTheme="minorEastAsia"/>
          <w:sz w:val="24"/>
          <w:szCs w:val="24"/>
        </w:rPr>
        <w:t>Total Cost of Straddle</w:t>
      </w:r>
      <w:r w:rsidR="6ADD34FE" w:rsidRPr="5CCDA024">
        <w:rPr>
          <w:rFonts w:eastAsiaTheme="minorEastAsia"/>
          <w:sz w:val="24"/>
          <w:szCs w:val="24"/>
        </w:rPr>
        <w:t xml:space="preserve"> = $</w:t>
      </w:r>
      <w:r w:rsidRPr="5CCDA024">
        <w:rPr>
          <w:rFonts w:eastAsiaTheme="minorEastAsia"/>
          <w:sz w:val="24"/>
          <w:szCs w:val="24"/>
        </w:rPr>
        <w:t>15.00</w:t>
      </w:r>
    </w:p>
    <w:p w14:paraId="4FDFD58C" w14:textId="32931D95" w:rsidR="001A6E71" w:rsidRPr="001A6E71" w:rsidRDefault="00000000" w:rsidP="5CCDA024">
      <w:pPr>
        <w:ind w:left="360"/>
        <w:rPr>
          <w:rFonts w:eastAsiaTheme="minorEastAsia"/>
          <w:sz w:val="24"/>
          <w:szCs w:val="24"/>
        </w:rPr>
      </w:pPr>
      <w:r w:rsidRPr="5CCDA024">
        <w:rPr>
          <w:rFonts w:eastAsiaTheme="minorEastAsia"/>
          <w:sz w:val="24"/>
          <w:szCs w:val="24"/>
        </w:rPr>
        <w:t xml:space="preserve">   $ </w:t>
      </w:r>
      <w:r w:rsidR="0A02CF6A" w:rsidRPr="5CCDA024">
        <w:rPr>
          <w:rFonts w:eastAsiaTheme="minorEastAsia"/>
          <w:sz w:val="24"/>
          <w:szCs w:val="24"/>
        </w:rPr>
        <w:t>15.00(Call)+</w:t>
      </w:r>
      <w:r w:rsidR="04338C3E" w:rsidRPr="5CCDA024">
        <w:rPr>
          <w:rFonts w:eastAsiaTheme="minorEastAsia"/>
          <w:sz w:val="24"/>
          <w:szCs w:val="24"/>
        </w:rPr>
        <w:t>$</w:t>
      </w:r>
      <w:r w:rsidR="0A02CF6A" w:rsidRPr="5CCDA024">
        <w:rPr>
          <w:rFonts w:eastAsiaTheme="minorEastAsia"/>
          <w:sz w:val="24"/>
          <w:szCs w:val="24"/>
        </w:rPr>
        <w:t>12.00 (Put) = $27.00</w:t>
      </w:r>
    </w:p>
    <w:p w14:paraId="1AD41689" w14:textId="52A7043F" w:rsidR="001A6E71" w:rsidRPr="001A6E71" w:rsidRDefault="00000000" w:rsidP="5CCDA024">
      <w:pPr>
        <w:ind w:left="360"/>
        <w:rPr>
          <w:rFonts w:eastAsiaTheme="minorEastAsia"/>
          <w:sz w:val="24"/>
          <w:szCs w:val="24"/>
        </w:rPr>
      </w:pPr>
      <w:r w:rsidRPr="5CCDA024">
        <w:rPr>
          <w:rFonts w:eastAsiaTheme="minorEastAsia"/>
          <w:sz w:val="24"/>
          <w:szCs w:val="24"/>
        </w:rPr>
        <w:t>Payoff Scenarios</w:t>
      </w:r>
    </w:p>
    <w:p w14:paraId="5DB4C4AB" w14:textId="090B8FF7" w:rsidR="001A6E71" w:rsidRPr="001A6E71" w:rsidRDefault="00000000" w:rsidP="5CCDA024">
      <w:pPr>
        <w:ind w:left="360"/>
        <w:rPr>
          <w:rFonts w:eastAsiaTheme="minorEastAsia"/>
          <w:sz w:val="24"/>
          <w:szCs w:val="24"/>
        </w:rPr>
      </w:pPr>
      <w:r w:rsidRPr="5CCDA024">
        <w:rPr>
          <w:rFonts w:eastAsiaTheme="minorEastAsia"/>
          <w:sz w:val="24"/>
          <w:szCs w:val="24"/>
        </w:rPr>
        <w:t xml:space="preserve">The payoff from a straddle </w:t>
      </w:r>
      <w:r w:rsidR="1BB6030A" w:rsidRPr="5CCDA024">
        <w:rPr>
          <w:rFonts w:eastAsiaTheme="minorEastAsia"/>
          <w:sz w:val="24"/>
          <w:szCs w:val="24"/>
        </w:rPr>
        <w:t>is</w:t>
      </w:r>
      <w:r w:rsidRPr="5CCDA024">
        <w:rPr>
          <w:rFonts w:eastAsiaTheme="minorEastAsia"/>
          <w:sz w:val="24"/>
          <w:szCs w:val="24"/>
        </w:rPr>
        <w:t xml:space="preserve"> calculated based on the stock price</w:t>
      </w:r>
    </w:p>
    <w:p w14:paraId="5803483F" w14:textId="51C42AE6" w:rsidR="001A6E71" w:rsidRPr="001A6E71" w:rsidRDefault="00000000" w:rsidP="5CCDA024">
      <w:pPr>
        <w:ind w:left="360"/>
        <w:rPr>
          <w:rFonts w:eastAsiaTheme="minorEastAsia"/>
          <w:sz w:val="24"/>
          <w:szCs w:val="24"/>
        </w:rPr>
      </w:pPr>
      <w:r w:rsidRPr="5CCDA024">
        <w:rPr>
          <w:rFonts w:eastAsiaTheme="minorEastAsia"/>
          <w:sz w:val="24"/>
          <w:szCs w:val="24"/>
        </w:rPr>
        <w:t xml:space="preserve">  stock price rises to $350</w:t>
      </w:r>
    </w:p>
    <w:p w14:paraId="72F85A7A" w14:textId="66581B09" w:rsidR="001A6E71" w:rsidRPr="001A6E71" w:rsidRDefault="00000000" w:rsidP="5CCDA024">
      <w:pPr>
        <w:ind w:left="360"/>
        <w:rPr>
          <w:rFonts w:eastAsiaTheme="minorEastAsia"/>
          <w:sz w:val="24"/>
          <w:szCs w:val="24"/>
        </w:rPr>
      </w:pPr>
      <w:r w:rsidRPr="5CCDA024">
        <w:rPr>
          <w:rFonts w:eastAsiaTheme="minorEastAsia"/>
          <w:sz w:val="24"/>
          <w:szCs w:val="24"/>
        </w:rPr>
        <w:t>Call Payoff = Max</w:t>
      </w:r>
      <w:r w:rsidR="545994EF" w:rsidRPr="5CCDA024">
        <w:rPr>
          <w:rFonts w:eastAsiaTheme="minorEastAsia"/>
          <w:sz w:val="24"/>
          <w:szCs w:val="24"/>
        </w:rPr>
        <w:t xml:space="preserve"> </w:t>
      </w:r>
      <w:r w:rsidRPr="5CCDA024">
        <w:rPr>
          <w:rFonts w:eastAsiaTheme="minorEastAsia"/>
          <w:sz w:val="24"/>
          <w:szCs w:val="24"/>
        </w:rPr>
        <w:t>(</w:t>
      </w:r>
      <w:r w:rsidR="02E61E07" w:rsidRPr="5CCDA024">
        <w:rPr>
          <w:rFonts w:eastAsiaTheme="minorEastAsia"/>
          <w:sz w:val="24"/>
          <w:szCs w:val="24"/>
        </w:rPr>
        <w:t>$</w:t>
      </w:r>
      <w:r w:rsidRPr="5CCDA024">
        <w:rPr>
          <w:rFonts w:eastAsiaTheme="minorEastAsia"/>
          <w:sz w:val="24"/>
          <w:szCs w:val="24"/>
        </w:rPr>
        <w:t>350 -</w:t>
      </w:r>
      <w:r w:rsidR="6358C47C" w:rsidRPr="5CCDA024">
        <w:rPr>
          <w:rFonts w:eastAsiaTheme="minorEastAsia"/>
          <w:sz w:val="24"/>
          <w:szCs w:val="24"/>
        </w:rPr>
        <w:t>$</w:t>
      </w:r>
      <w:r w:rsidRPr="5CCDA024">
        <w:rPr>
          <w:rFonts w:eastAsiaTheme="minorEastAsia"/>
          <w:sz w:val="24"/>
          <w:szCs w:val="24"/>
        </w:rPr>
        <w:t>315) = $35</w:t>
      </w:r>
    </w:p>
    <w:p w14:paraId="31FBBD46" w14:textId="685D1984" w:rsidR="001A6E71" w:rsidRPr="001A6E71" w:rsidRDefault="00000000" w:rsidP="5CCDA024">
      <w:pPr>
        <w:ind w:left="360"/>
        <w:rPr>
          <w:rFonts w:eastAsiaTheme="minorEastAsia"/>
          <w:sz w:val="24"/>
          <w:szCs w:val="24"/>
        </w:rPr>
      </w:pPr>
      <w:r w:rsidRPr="5CCDA024">
        <w:rPr>
          <w:rFonts w:eastAsiaTheme="minorEastAsia"/>
          <w:sz w:val="24"/>
          <w:szCs w:val="24"/>
        </w:rPr>
        <w:t>Put Payoff = Max</w:t>
      </w:r>
      <w:r w:rsidR="7787603F" w:rsidRPr="5CCDA024">
        <w:rPr>
          <w:rFonts w:eastAsiaTheme="minorEastAsia"/>
          <w:sz w:val="24"/>
          <w:szCs w:val="24"/>
        </w:rPr>
        <w:t xml:space="preserve"> </w:t>
      </w:r>
      <w:r w:rsidRPr="5CCDA024">
        <w:rPr>
          <w:rFonts w:eastAsiaTheme="minorEastAsia"/>
          <w:sz w:val="24"/>
          <w:szCs w:val="24"/>
        </w:rPr>
        <w:t>(315 - 350) = $</w:t>
      </w:r>
      <w:r w:rsidR="07AF11B6" w:rsidRPr="5CCDA024">
        <w:rPr>
          <w:rFonts w:eastAsiaTheme="minorEastAsia"/>
          <w:sz w:val="24"/>
          <w:szCs w:val="24"/>
        </w:rPr>
        <w:t>-35</w:t>
      </w:r>
    </w:p>
    <w:p w14:paraId="2A4269CD" w14:textId="0BCA3067" w:rsidR="001A6E71" w:rsidRPr="001A6E71" w:rsidRDefault="00000000" w:rsidP="5CCDA024">
      <w:pPr>
        <w:ind w:left="360"/>
        <w:rPr>
          <w:rFonts w:eastAsiaTheme="minorEastAsia"/>
          <w:sz w:val="24"/>
          <w:szCs w:val="24"/>
        </w:rPr>
      </w:pPr>
      <w:r w:rsidRPr="5CCDA024">
        <w:rPr>
          <w:rFonts w:eastAsiaTheme="minorEastAsia"/>
          <w:sz w:val="24"/>
          <w:szCs w:val="24"/>
        </w:rPr>
        <w:t>Total Payoff = 35−27 (cost of straddle) = $8</w:t>
      </w:r>
    </w:p>
    <w:p w14:paraId="47373591" w14:textId="4C10E22E" w:rsidR="001A6E71" w:rsidRPr="001A6E71" w:rsidRDefault="00000000" w:rsidP="5CCDA024">
      <w:pPr>
        <w:ind w:left="360"/>
        <w:rPr>
          <w:rFonts w:eastAsiaTheme="minorEastAsia"/>
          <w:sz w:val="24"/>
          <w:szCs w:val="24"/>
        </w:rPr>
      </w:pPr>
      <w:r w:rsidRPr="5CCDA024">
        <w:rPr>
          <w:rFonts w:eastAsiaTheme="minorEastAsia"/>
          <w:sz w:val="24"/>
          <w:szCs w:val="24"/>
        </w:rPr>
        <w:t>If the stock price falls to $280</w:t>
      </w:r>
    </w:p>
    <w:p w14:paraId="19C4AAA8" w14:textId="26049F00" w:rsidR="001A6E71" w:rsidRPr="001A6E71" w:rsidRDefault="00000000" w:rsidP="5CCDA024">
      <w:pPr>
        <w:ind w:left="360"/>
        <w:rPr>
          <w:rFonts w:eastAsiaTheme="minorEastAsia"/>
          <w:sz w:val="24"/>
          <w:szCs w:val="24"/>
        </w:rPr>
      </w:pPr>
      <w:r w:rsidRPr="5CCDA024">
        <w:rPr>
          <w:rFonts w:eastAsiaTheme="minorEastAsia"/>
          <w:sz w:val="24"/>
          <w:szCs w:val="24"/>
        </w:rPr>
        <w:t>Call Payoff = Max (280 - 315) = $</w:t>
      </w:r>
      <w:r w:rsidR="0A33A003" w:rsidRPr="5CCDA024">
        <w:rPr>
          <w:rFonts w:eastAsiaTheme="minorEastAsia"/>
          <w:sz w:val="24"/>
          <w:szCs w:val="24"/>
        </w:rPr>
        <w:t>-35</w:t>
      </w:r>
    </w:p>
    <w:p w14:paraId="3A1DA08C" w14:textId="4AF45CDA" w:rsidR="001A6E71" w:rsidRPr="001A6E71" w:rsidRDefault="00000000" w:rsidP="5CCDA024">
      <w:pPr>
        <w:ind w:left="360"/>
        <w:rPr>
          <w:rFonts w:eastAsiaTheme="minorEastAsia"/>
          <w:sz w:val="24"/>
          <w:szCs w:val="24"/>
        </w:rPr>
      </w:pPr>
      <w:r w:rsidRPr="5CCDA024">
        <w:rPr>
          <w:rFonts w:eastAsiaTheme="minorEastAsia"/>
          <w:sz w:val="24"/>
          <w:szCs w:val="24"/>
        </w:rPr>
        <w:t>Put Payoff = Max</w:t>
      </w:r>
      <w:r w:rsidR="5FDD83B1" w:rsidRPr="5CCDA024">
        <w:rPr>
          <w:rFonts w:eastAsiaTheme="minorEastAsia"/>
          <w:sz w:val="24"/>
          <w:szCs w:val="24"/>
        </w:rPr>
        <w:t xml:space="preserve"> </w:t>
      </w:r>
      <w:r w:rsidRPr="5CCDA024">
        <w:rPr>
          <w:rFonts w:eastAsiaTheme="minorEastAsia"/>
          <w:sz w:val="24"/>
          <w:szCs w:val="24"/>
        </w:rPr>
        <w:t>(315 - 280) = $35</w:t>
      </w:r>
    </w:p>
    <w:p w14:paraId="7C0D7167" w14:textId="6781BD3D" w:rsidR="001A6E71" w:rsidRPr="001A6E71" w:rsidRDefault="00000000" w:rsidP="5CCDA024">
      <w:pPr>
        <w:ind w:left="360"/>
        <w:rPr>
          <w:rFonts w:eastAsiaTheme="minorEastAsia"/>
          <w:sz w:val="24"/>
          <w:szCs w:val="24"/>
        </w:rPr>
      </w:pPr>
      <w:r w:rsidRPr="5CCDA024">
        <w:rPr>
          <w:rFonts w:eastAsiaTheme="minorEastAsia"/>
          <w:sz w:val="24"/>
          <w:szCs w:val="24"/>
        </w:rPr>
        <w:t xml:space="preserve">Total Payoff = </w:t>
      </w:r>
    </w:p>
    <w:p w14:paraId="29A0B746" w14:textId="302C2AFF" w:rsidR="001A6E71" w:rsidRPr="001A6E71" w:rsidRDefault="00000000" w:rsidP="5CCDA024">
      <w:pPr>
        <w:ind w:left="360"/>
        <w:rPr>
          <w:rFonts w:eastAsiaTheme="minorEastAsia"/>
          <w:sz w:val="24"/>
          <w:szCs w:val="24"/>
        </w:rPr>
      </w:pPr>
      <w:r w:rsidRPr="5CCDA024">
        <w:rPr>
          <w:rFonts w:eastAsiaTheme="minorEastAsia"/>
          <w:sz w:val="24"/>
          <w:szCs w:val="24"/>
        </w:rPr>
        <w:t>35−27 (cost of straddl</w:t>
      </w:r>
      <w:r w:rsidR="434A7D94" w:rsidRPr="5CCDA024">
        <w:rPr>
          <w:rFonts w:eastAsiaTheme="minorEastAsia"/>
          <w:sz w:val="24"/>
          <w:szCs w:val="24"/>
        </w:rPr>
        <w:t>e)</w:t>
      </w:r>
      <w:r w:rsidRPr="5CCDA024">
        <w:rPr>
          <w:rFonts w:eastAsiaTheme="minorEastAsia"/>
          <w:sz w:val="24"/>
          <w:szCs w:val="24"/>
        </w:rPr>
        <w:t xml:space="preserve"> = $8</w:t>
      </w:r>
    </w:p>
    <w:p w14:paraId="0EDAEB90" w14:textId="10CA7DFD" w:rsidR="001A6E71" w:rsidRPr="001A6E71" w:rsidRDefault="00000000" w:rsidP="5CCDA024">
      <w:pPr>
        <w:ind w:left="360"/>
        <w:rPr>
          <w:rFonts w:eastAsiaTheme="minorEastAsia"/>
          <w:sz w:val="24"/>
          <w:szCs w:val="24"/>
        </w:rPr>
      </w:pPr>
      <w:r w:rsidRPr="5CCDA024">
        <w:rPr>
          <w:rFonts w:eastAsiaTheme="minorEastAsia"/>
          <w:sz w:val="24"/>
          <w:szCs w:val="24"/>
        </w:rPr>
        <w:t xml:space="preserve"> stock price remains at $312.77:</w:t>
      </w:r>
    </w:p>
    <w:p w14:paraId="1F51E219" w14:textId="0CD0E647" w:rsidR="001A6E71" w:rsidRPr="001A6E71" w:rsidRDefault="00000000" w:rsidP="5CCDA024">
      <w:pPr>
        <w:ind w:left="360"/>
        <w:rPr>
          <w:rFonts w:eastAsiaTheme="minorEastAsia"/>
          <w:sz w:val="24"/>
          <w:szCs w:val="24"/>
        </w:rPr>
      </w:pPr>
      <w:r w:rsidRPr="5CCDA024">
        <w:rPr>
          <w:rFonts w:eastAsiaTheme="minorEastAsia"/>
          <w:sz w:val="24"/>
          <w:szCs w:val="24"/>
        </w:rPr>
        <w:t xml:space="preserve"> Call Payoff = Max (312.77 - 315) = $</w:t>
      </w:r>
      <w:r w:rsidR="1D778133" w:rsidRPr="5CCDA024">
        <w:rPr>
          <w:rFonts w:eastAsiaTheme="minorEastAsia"/>
          <w:sz w:val="24"/>
          <w:szCs w:val="24"/>
        </w:rPr>
        <w:t>-2.23</w:t>
      </w:r>
    </w:p>
    <w:p w14:paraId="6700461D" w14:textId="79E3F48F" w:rsidR="001A6E71" w:rsidRPr="001A6E71" w:rsidRDefault="00000000" w:rsidP="5CCDA024">
      <w:pPr>
        <w:ind w:left="360"/>
        <w:rPr>
          <w:rFonts w:eastAsiaTheme="minorEastAsia"/>
          <w:sz w:val="24"/>
          <w:szCs w:val="24"/>
        </w:rPr>
      </w:pPr>
      <w:r w:rsidRPr="5CCDA024">
        <w:rPr>
          <w:rFonts w:eastAsiaTheme="minorEastAsia"/>
          <w:sz w:val="24"/>
          <w:szCs w:val="24"/>
        </w:rPr>
        <w:t>Put Payoff = Max (315 - 312.77) = $2.23</w:t>
      </w:r>
    </w:p>
    <w:p w14:paraId="30E8CF9F" w14:textId="64114F90" w:rsidR="001A6E71" w:rsidRPr="001A6E71" w:rsidRDefault="00000000" w:rsidP="5CCDA024">
      <w:pPr>
        <w:ind w:left="360"/>
        <w:rPr>
          <w:rFonts w:eastAsiaTheme="minorEastAsia"/>
          <w:sz w:val="24"/>
          <w:szCs w:val="24"/>
        </w:rPr>
      </w:pPr>
      <w:r w:rsidRPr="5CCDA024">
        <w:rPr>
          <w:rFonts w:eastAsiaTheme="minorEastAsia"/>
          <w:sz w:val="24"/>
          <w:szCs w:val="24"/>
        </w:rPr>
        <w:t xml:space="preserve">Total Payoff = </w:t>
      </w:r>
    </w:p>
    <w:p w14:paraId="02BB66ED" w14:textId="3AB58F80" w:rsidR="001A6E71" w:rsidRPr="001A6E71" w:rsidRDefault="00000000" w:rsidP="5CCDA024">
      <w:pPr>
        <w:ind w:left="360"/>
        <w:rPr>
          <w:rFonts w:eastAsiaTheme="minorEastAsia"/>
          <w:sz w:val="24"/>
          <w:szCs w:val="24"/>
        </w:rPr>
      </w:pPr>
      <w:r w:rsidRPr="5CCDA024">
        <w:rPr>
          <w:rFonts w:eastAsiaTheme="minorEastAsia"/>
          <w:sz w:val="24"/>
          <w:szCs w:val="24"/>
        </w:rPr>
        <w:t>2.23−27 = -$24.77 (loss)</w:t>
      </w:r>
    </w:p>
    <w:p w14:paraId="3DBD8484" w14:textId="77777777" w:rsidR="001A6E71" w:rsidRPr="001A6E71" w:rsidRDefault="001A6E71" w:rsidP="5CCDA024">
      <w:pPr>
        <w:ind w:left="360"/>
        <w:rPr>
          <w:rFonts w:eastAsiaTheme="minorEastAsia"/>
          <w:sz w:val="24"/>
          <w:szCs w:val="24"/>
        </w:rPr>
      </w:pPr>
    </w:p>
    <w:p w14:paraId="45555EB5" w14:textId="77777777" w:rsidR="001A6E71" w:rsidRPr="001A6E71" w:rsidRDefault="001A6E71" w:rsidP="5CCDA024">
      <w:pPr>
        <w:rPr>
          <w:rFonts w:eastAsiaTheme="minorEastAsia"/>
          <w:sz w:val="24"/>
          <w:szCs w:val="24"/>
        </w:rPr>
      </w:pPr>
    </w:p>
    <w:p w14:paraId="771F0E5B" w14:textId="1D166F7F" w:rsidR="001A6E71" w:rsidRPr="001A6E71" w:rsidRDefault="00000000" w:rsidP="5CCDA024">
      <w:pPr>
        <w:rPr>
          <w:rFonts w:eastAsiaTheme="minorEastAsia"/>
          <w:sz w:val="24"/>
          <w:szCs w:val="24"/>
        </w:rPr>
      </w:pPr>
      <w:r>
        <w:rPr>
          <w:noProof/>
        </w:rPr>
        <w:lastRenderedPageBreak/>
        <w:drawing>
          <wp:inline distT="0" distB="0" distL="0" distR="0" wp14:anchorId="20CA88A1" wp14:editId="14E85CDC">
            <wp:extent cx="5730238" cy="3954780"/>
            <wp:effectExtent l="0" t="0" r="3810" b="7620"/>
            <wp:docPr id="180305099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050994" name="Picture 14"/>
                    <pic:cNvPicPr/>
                  </pic:nvPicPr>
                  <pic:blipFill>
                    <a:blip r:embed="rId23">
                      <a:extLst>
                        <a:ext uri="{28A0092B-C50C-407E-A947-70E740481C1C}">
                          <a14:useLocalDpi xmlns:a14="http://schemas.microsoft.com/office/drawing/2010/main" val="0"/>
                        </a:ext>
                      </a:extLst>
                    </a:blip>
                    <a:stretch>
                      <a:fillRect/>
                    </a:stretch>
                  </pic:blipFill>
                  <pic:spPr>
                    <a:xfrm>
                      <a:off x="0" y="0"/>
                      <a:ext cx="5730238" cy="3954780"/>
                    </a:xfrm>
                    <a:prstGeom prst="rect">
                      <a:avLst/>
                    </a:prstGeom>
                  </pic:spPr>
                </pic:pic>
              </a:graphicData>
            </a:graphic>
          </wp:inline>
        </w:drawing>
      </w:r>
    </w:p>
    <w:p w14:paraId="7F9E610B" w14:textId="760902EB" w:rsidR="001A6E71" w:rsidRPr="001A6E71" w:rsidRDefault="001A6E71" w:rsidP="5CCDA024">
      <w:pPr>
        <w:rPr>
          <w:rFonts w:eastAsiaTheme="minorEastAsia"/>
          <w:sz w:val="24"/>
          <w:szCs w:val="24"/>
        </w:rPr>
      </w:pPr>
    </w:p>
    <w:p w14:paraId="73FBFA4B" w14:textId="3D15C768" w:rsidR="2A5F0A12" w:rsidRDefault="2A5F0A12" w:rsidP="5CCDA024">
      <w:pPr>
        <w:rPr>
          <w:rFonts w:eastAsiaTheme="minorEastAsia"/>
          <w:sz w:val="24"/>
          <w:szCs w:val="24"/>
        </w:rPr>
      </w:pPr>
    </w:p>
    <w:p w14:paraId="021B0F29" w14:textId="3B550463" w:rsidR="74DBF379" w:rsidRDefault="00000000" w:rsidP="5CCDA024">
      <w:pPr>
        <w:rPr>
          <w:rFonts w:eastAsiaTheme="minorEastAsia"/>
          <w:sz w:val="24"/>
          <w:szCs w:val="24"/>
        </w:rPr>
      </w:pPr>
      <w:r w:rsidRPr="00CF5C07">
        <w:rPr>
          <w:rFonts w:eastAsiaTheme="minorEastAsia"/>
          <w:b/>
          <w:bCs/>
          <w:sz w:val="24"/>
          <w:szCs w:val="24"/>
        </w:rPr>
        <w:t>Comments</w:t>
      </w:r>
      <w:r w:rsidRPr="5CCDA024">
        <w:rPr>
          <w:rFonts w:eastAsiaTheme="minorEastAsia"/>
          <w:sz w:val="24"/>
          <w:szCs w:val="24"/>
        </w:rPr>
        <w:t xml:space="preserve">: </w:t>
      </w:r>
      <w:r w:rsidR="5C0E4777" w:rsidRPr="5CCDA024">
        <w:rPr>
          <w:rFonts w:eastAsiaTheme="minorEastAsia"/>
          <w:sz w:val="24"/>
          <w:szCs w:val="24"/>
        </w:rPr>
        <w:t>S</w:t>
      </w:r>
      <w:r w:rsidRPr="5CCDA024">
        <w:rPr>
          <w:rFonts w:eastAsiaTheme="minorEastAsia"/>
          <w:sz w:val="24"/>
          <w:szCs w:val="24"/>
        </w:rPr>
        <w:t xml:space="preserve">uccessful Situations; The straddle generates profit when the stock price makes a shift from the strike price of $315 in either direction. Reaching $350 or dropping to $280. Which not only covers the straddles expenses but also results in a gain. </w:t>
      </w:r>
      <w:r w:rsidR="7A98B226" w:rsidRPr="5CCDA024">
        <w:rPr>
          <w:rFonts w:eastAsiaTheme="minorEastAsia"/>
          <w:sz w:val="24"/>
          <w:szCs w:val="24"/>
        </w:rPr>
        <w:t xml:space="preserve"> </w:t>
      </w:r>
      <w:r w:rsidRPr="5CCDA024">
        <w:rPr>
          <w:rFonts w:eastAsiaTheme="minorEastAsia"/>
          <w:sz w:val="24"/>
          <w:szCs w:val="24"/>
        </w:rPr>
        <w:t>A situation where the stock price hovers around the strike price of the straddle option strategy without moving in either direction could lead to a loss as the cost of setting up the straddle may not be recouped effectively</w:t>
      </w:r>
      <w:r w:rsidR="56648A88" w:rsidRPr="5CCDA024">
        <w:rPr>
          <w:rFonts w:eastAsiaTheme="minorEastAsia"/>
          <w:sz w:val="24"/>
          <w:szCs w:val="24"/>
        </w:rPr>
        <w:t xml:space="preserve"> </w:t>
      </w:r>
      <w:r w:rsidRPr="5CCDA024">
        <w:rPr>
          <w:rFonts w:eastAsiaTheme="minorEastAsia"/>
          <w:sz w:val="24"/>
          <w:szCs w:val="24"/>
        </w:rPr>
        <w:t>Earning Opportunity</w:t>
      </w:r>
      <w:r w:rsidR="1122F129" w:rsidRPr="5CCDA024">
        <w:rPr>
          <w:rFonts w:eastAsiaTheme="minorEastAsia"/>
          <w:sz w:val="24"/>
          <w:szCs w:val="24"/>
        </w:rPr>
        <w:t xml:space="preserve"> </w:t>
      </w:r>
      <w:r w:rsidRPr="5CCDA024">
        <w:rPr>
          <w:rFonts w:eastAsiaTheme="minorEastAsia"/>
          <w:sz w:val="24"/>
          <w:szCs w:val="24"/>
        </w:rPr>
        <w:t>Using a straddle strategy can help protect against price swings in the market. The stock must shift by, over $27 from the strike price to yield a profit. In instances a profit is made from both upward and downward movements exceeding $27</w:t>
      </w:r>
      <w:r w:rsidR="412712E6" w:rsidRPr="5CCDA024">
        <w:rPr>
          <w:rFonts w:eastAsiaTheme="minorEastAsia"/>
          <w:sz w:val="24"/>
          <w:szCs w:val="24"/>
        </w:rPr>
        <w:t xml:space="preserve"> </w:t>
      </w:r>
      <w:r w:rsidRPr="5CCDA024">
        <w:rPr>
          <w:rFonts w:eastAsiaTheme="minorEastAsia"/>
          <w:sz w:val="24"/>
          <w:szCs w:val="24"/>
        </w:rPr>
        <w:t>There is a chance of losing money if the stock price stays close, to the strike price of $315 because the straddle might not offset its expenses and result in a loss. The straddle approach works well i</w:t>
      </w:r>
      <w:r w:rsidR="28F43897" w:rsidRPr="5CCDA024">
        <w:rPr>
          <w:rFonts w:eastAsiaTheme="minorEastAsia"/>
          <w:sz w:val="24"/>
          <w:szCs w:val="24"/>
        </w:rPr>
        <w:t xml:space="preserve">n </w:t>
      </w:r>
      <w:r w:rsidRPr="5CCDA024">
        <w:rPr>
          <w:rFonts w:eastAsiaTheme="minorEastAsia"/>
          <w:sz w:val="24"/>
          <w:szCs w:val="24"/>
        </w:rPr>
        <w:t>situations where you expect price fluctuations, in either direction for a stock.</w:t>
      </w:r>
      <w:r w:rsidR="06306891" w:rsidRPr="5CCDA024">
        <w:rPr>
          <w:rFonts w:eastAsiaTheme="minorEastAsia"/>
          <w:sz w:val="24"/>
          <w:szCs w:val="24"/>
        </w:rPr>
        <w:t xml:space="preserve"> The example talks about a strike price set at $315. To make a profit with the straddle strategy the stock price needs to change by, $27 in either direction from this strike price. This implies that the </w:t>
      </w:r>
      <w:r w:rsidR="00CF5C07">
        <w:rPr>
          <w:rFonts w:eastAsiaTheme="minorEastAsia"/>
          <w:sz w:val="24"/>
          <w:szCs w:val="24"/>
        </w:rPr>
        <w:t>break-even</w:t>
      </w:r>
      <w:r w:rsidR="06306891" w:rsidRPr="5CCDA024">
        <w:rPr>
          <w:rFonts w:eastAsiaTheme="minorEastAsia"/>
          <w:sz w:val="24"/>
          <w:szCs w:val="24"/>
        </w:rPr>
        <w:t xml:space="preserve"> points are at $342 (315 + 27) on the upside and $288 (315. 27) on the downside. The straddle will only yield a profit if the stock surpasses these points</w:t>
      </w:r>
      <w:r w:rsidR="550A1A8D" w:rsidRPr="5CCDA024">
        <w:rPr>
          <w:rFonts w:eastAsiaTheme="minorEastAsia"/>
          <w:sz w:val="24"/>
          <w:szCs w:val="24"/>
        </w:rPr>
        <w:t xml:space="preserve"> </w:t>
      </w:r>
      <w:r w:rsidR="06306891" w:rsidRPr="5CCDA024">
        <w:rPr>
          <w:rFonts w:eastAsiaTheme="minorEastAsia"/>
          <w:sz w:val="24"/>
          <w:szCs w:val="24"/>
        </w:rPr>
        <w:t>Potential for Profit</w:t>
      </w:r>
      <w:r w:rsidR="321248DA" w:rsidRPr="5CCDA024">
        <w:rPr>
          <w:rFonts w:eastAsiaTheme="minorEastAsia"/>
          <w:sz w:val="24"/>
          <w:szCs w:val="24"/>
        </w:rPr>
        <w:t xml:space="preserve"> </w:t>
      </w:r>
      <w:r w:rsidR="06306891" w:rsidRPr="5CCDA024">
        <w:rPr>
          <w:rFonts w:eastAsiaTheme="minorEastAsia"/>
          <w:sz w:val="24"/>
          <w:szCs w:val="24"/>
        </w:rPr>
        <w:t>The straddle can be profitable in both downward movements provided that the price shift exceeds $27 from the strike price. The higher the price movement beyond this threshold the profit since one of the options (either call or put) will gain significant value</w:t>
      </w:r>
      <w:r w:rsidR="50993072" w:rsidRPr="5CCDA024">
        <w:rPr>
          <w:rFonts w:eastAsiaTheme="minorEastAsia"/>
          <w:sz w:val="24"/>
          <w:szCs w:val="24"/>
        </w:rPr>
        <w:t xml:space="preserve"> </w:t>
      </w:r>
      <w:r w:rsidR="06306891" w:rsidRPr="5CCDA024">
        <w:rPr>
          <w:rFonts w:eastAsiaTheme="minorEastAsia"/>
          <w:sz w:val="24"/>
          <w:szCs w:val="24"/>
        </w:rPr>
        <w:t>Risk of Loss</w:t>
      </w:r>
      <w:r w:rsidR="00CF5C07">
        <w:rPr>
          <w:rFonts w:eastAsiaTheme="minorEastAsia"/>
          <w:sz w:val="24"/>
          <w:szCs w:val="24"/>
        </w:rPr>
        <w:t xml:space="preserve">. </w:t>
      </w:r>
      <w:r w:rsidR="06306891" w:rsidRPr="5CCDA024">
        <w:rPr>
          <w:rFonts w:eastAsiaTheme="minorEastAsia"/>
          <w:sz w:val="24"/>
          <w:szCs w:val="24"/>
        </w:rPr>
        <w:t xml:space="preserve">When the stock price hovers near $315 </w:t>
      </w:r>
      <w:r w:rsidR="00CF5C07">
        <w:rPr>
          <w:rFonts w:eastAsiaTheme="minorEastAsia"/>
          <w:sz w:val="24"/>
          <w:szCs w:val="24"/>
        </w:rPr>
        <w:t>there's</w:t>
      </w:r>
      <w:r w:rsidR="06306891" w:rsidRPr="5CCDA024">
        <w:rPr>
          <w:rFonts w:eastAsiaTheme="minorEastAsia"/>
          <w:sz w:val="24"/>
          <w:szCs w:val="24"/>
        </w:rPr>
        <w:t xml:space="preserve"> a risk of loss with a straddle. This is because neither option may increase enough in value to offset the </w:t>
      </w:r>
      <w:r w:rsidR="06306891" w:rsidRPr="5CCDA024">
        <w:rPr>
          <w:rFonts w:eastAsiaTheme="minorEastAsia"/>
          <w:sz w:val="24"/>
          <w:szCs w:val="24"/>
        </w:rPr>
        <w:lastRenderedPageBreak/>
        <w:t xml:space="preserve">costs (premiums) of buying both options. In </w:t>
      </w:r>
      <w:r w:rsidR="00CF5C07">
        <w:rPr>
          <w:rFonts w:eastAsiaTheme="minorEastAsia"/>
          <w:sz w:val="24"/>
          <w:szCs w:val="24"/>
        </w:rPr>
        <w:t xml:space="preserve">some </w:t>
      </w:r>
      <w:r w:rsidR="06306891" w:rsidRPr="5CCDA024">
        <w:rPr>
          <w:rFonts w:eastAsiaTheme="minorEastAsia"/>
          <w:sz w:val="24"/>
          <w:szCs w:val="24"/>
        </w:rPr>
        <w:t>cases</w:t>
      </w:r>
      <w:r w:rsidR="00CF5C07">
        <w:rPr>
          <w:rFonts w:eastAsiaTheme="minorEastAsia"/>
          <w:sz w:val="24"/>
          <w:szCs w:val="24"/>
        </w:rPr>
        <w:t>,</w:t>
      </w:r>
      <w:r w:rsidR="06306891" w:rsidRPr="5CCDA024">
        <w:rPr>
          <w:rFonts w:eastAsiaTheme="minorEastAsia"/>
          <w:sz w:val="24"/>
          <w:szCs w:val="24"/>
        </w:rPr>
        <w:t xml:space="preserve"> investors may incur losses as premiums </w:t>
      </w:r>
      <w:r w:rsidR="00CF5C07">
        <w:rPr>
          <w:rFonts w:eastAsiaTheme="minorEastAsia"/>
          <w:sz w:val="24"/>
          <w:szCs w:val="24"/>
        </w:rPr>
        <w:t xml:space="preserve">are </w:t>
      </w:r>
      <w:r w:rsidR="06306891" w:rsidRPr="5CCDA024">
        <w:rPr>
          <w:rFonts w:eastAsiaTheme="minorEastAsia"/>
          <w:sz w:val="24"/>
          <w:szCs w:val="24"/>
        </w:rPr>
        <w:t xml:space="preserve">paid for both </w:t>
      </w:r>
      <w:r w:rsidR="00CF5C07">
        <w:rPr>
          <w:rFonts w:eastAsiaTheme="minorEastAsia"/>
          <w:sz w:val="24"/>
          <w:szCs w:val="24"/>
        </w:rPr>
        <w:t>calls</w:t>
      </w:r>
      <w:r w:rsidR="06306891" w:rsidRPr="5CCDA024">
        <w:rPr>
          <w:rFonts w:eastAsiaTheme="minorEastAsia"/>
          <w:sz w:val="24"/>
          <w:szCs w:val="24"/>
        </w:rPr>
        <w:t>. Put options could outweigh gains, from minor price shifts.</w:t>
      </w:r>
      <w:r w:rsidR="00CF5C07">
        <w:rPr>
          <w:rFonts w:eastAsiaTheme="minorEastAsia"/>
          <w:sz w:val="24"/>
          <w:szCs w:val="24"/>
        </w:rPr>
        <w:t xml:space="preserve"> </w:t>
      </w:r>
      <w:proofErr w:type="spellStart"/>
      <w:r w:rsidR="06306891" w:rsidRPr="5CCDA024">
        <w:rPr>
          <w:rFonts w:eastAsiaTheme="minorEastAsia"/>
          <w:sz w:val="24"/>
          <w:szCs w:val="24"/>
        </w:rPr>
        <w:t>Favorable</w:t>
      </w:r>
      <w:proofErr w:type="spellEnd"/>
      <w:r w:rsidR="06306891" w:rsidRPr="5CCDA024">
        <w:rPr>
          <w:rFonts w:eastAsiaTheme="minorEastAsia"/>
          <w:sz w:val="24"/>
          <w:szCs w:val="24"/>
        </w:rPr>
        <w:t xml:space="preserve"> Market Conditions</w:t>
      </w:r>
      <w:r w:rsidR="00CF5C07">
        <w:rPr>
          <w:rFonts w:eastAsiaTheme="minorEastAsia"/>
          <w:sz w:val="24"/>
          <w:szCs w:val="24"/>
        </w:rPr>
        <w:t xml:space="preserve">, </w:t>
      </w:r>
      <w:proofErr w:type="gramStart"/>
      <w:r w:rsidR="06306891" w:rsidRPr="5CCDA024">
        <w:rPr>
          <w:rFonts w:eastAsiaTheme="minorEastAsia"/>
          <w:sz w:val="24"/>
          <w:szCs w:val="24"/>
        </w:rPr>
        <w:t>The</w:t>
      </w:r>
      <w:proofErr w:type="gramEnd"/>
      <w:r w:rsidR="06306891" w:rsidRPr="5CCDA024">
        <w:rPr>
          <w:rFonts w:eastAsiaTheme="minorEastAsia"/>
          <w:sz w:val="24"/>
          <w:szCs w:val="24"/>
        </w:rPr>
        <w:t xml:space="preserve"> straddle strategy proves to be quite effective, in markets. When </w:t>
      </w:r>
      <w:r w:rsidR="00CF5C07">
        <w:rPr>
          <w:rFonts w:eastAsiaTheme="minorEastAsia"/>
          <w:sz w:val="24"/>
          <w:szCs w:val="24"/>
        </w:rPr>
        <w:t>there's</w:t>
      </w:r>
      <w:r w:rsidR="06306891" w:rsidRPr="5CCDA024">
        <w:rPr>
          <w:rFonts w:eastAsiaTheme="minorEastAsia"/>
          <w:sz w:val="24"/>
          <w:szCs w:val="24"/>
        </w:rPr>
        <w:t xml:space="preserve"> an anticipation of a notable price shift due to upcoming events like earnings releases, regulatory decisions</w:t>
      </w:r>
      <w:r w:rsidR="00CF5C07">
        <w:rPr>
          <w:rFonts w:eastAsiaTheme="minorEastAsia"/>
          <w:sz w:val="24"/>
          <w:szCs w:val="24"/>
        </w:rPr>
        <w:t>,</w:t>
      </w:r>
      <w:r w:rsidR="06306891" w:rsidRPr="5CCDA024">
        <w:rPr>
          <w:rFonts w:eastAsiaTheme="minorEastAsia"/>
          <w:sz w:val="24"/>
          <w:szCs w:val="24"/>
        </w:rPr>
        <w:t xml:space="preserve"> or macroeconomic updates. It's an approach that doesn't hinge on the direction of the movement but on the magnitude of the price change</w:t>
      </w:r>
      <w:r w:rsidR="6355F8FE" w:rsidRPr="5CCDA024">
        <w:rPr>
          <w:rFonts w:eastAsiaTheme="minorEastAsia"/>
          <w:sz w:val="24"/>
          <w:szCs w:val="24"/>
        </w:rPr>
        <w:t xml:space="preserve"> </w:t>
      </w:r>
      <w:r w:rsidR="06306891" w:rsidRPr="5CCDA024">
        <w:rPr>
          <w:rFonts w:eastAsiaTheme="minorEastAsia"/>
          <w:sz w:val="24"/>
          <w:szCs w:val="24"/>
        </w:rPr>
        <w:t>Points to consider</w:t>
      </w:r>
      <w:r w:rsidR="58D3FF47" w:rsidRPr="5CCDA024">
        <w:rPr>
          <w:rFonts w:eastAsiaTheme="minorEastAsia"/>
          <w:sz w:val="24"/>
          <w:szCs w:val="24"/>
        </w:rPr>
        <w:t xml:space="preserve"> </w:t>
      </w:r>
      <w:r w:rsidR="06306891" w:rsidRPr="5CCDA024">
        <w:rPr>
          <w:rFonts w:eastAsiaTheme="minorEastAsia"/>
          <w:sz w:val="24"/>
          <w:szCs w:val="24"/>
        </w:rPr>
        <w:t>While the straddle offers a safeguard against price fluctuations in any direction it involves the expense of purchasing two options. This cost needs consideration against profits</w:t>
      </w:r>
      <w:r w:rsidR="00CF5C07">
        <w:rPr>
          <w:rFonts w:eastAsiaTheme="minorEastAsia"/>
          <w:sz w:val="24"/>
          <w:szCs w:val="24"/>
        </w:rPr>
        <w:t>,</w:t>
      </w:r>
      <w:r w:rsidR="06306891" w:rsidRPr="5CCDA024">
        <w:rPr>
          <w:rFonts w:eastAsiaTheme="minorEastAsia"/>
          <w:sz w:val="24"/>
          <w:szCs w:val="24"/>
        </w:rPr>
        <w:t xml:space="preserve"> especially in cases where market volatility may not be as high as pred</w:t>
      </w:r>
      <w:r w:rsidR="00CF5C07">
        <w:rPr>
          <w:rFonts w:eastAsiaTheme="minorEastAsia"/>
          <w:sz w:val="24"/>
          <w:szCs w:val="24"/>
        </w:rPr>
        <w:t xml:space="preserve">. </w:t>
      </w:r>
      <w:r w:rsidR="06306891" w:rsidRPr="5CCDA024">
        <w:rPr>
          <w:rFonts w:eastAsiaTheme="minorEastAsia"/>
          <w:sz w:val="24"/>
          <w:szCs w:val="24"/>
        </w:rPr>
        <w:t xml:space="preserve">The straddle strategy serves as a tool for traders anticipating price swings in a stock while being unsure about the direction. The condition that requires the stock price to move by </w:t>
      </w:r>
      <w:r w:rsidR="00CF5C07">
        <w:rPr>
          <w:rFonts w:eastAsiaTheme="minorEastAsia"/>
          <w:sz w:val="24"/>
          <w:szCs w:val="24"/>
        </w:rPr>
        <w:t xml:space="preserve">more </w:t>
      </w:r>
      <w:r w:rsidR="06306891" w:rsidRPr="5CCDA024">
        <w:rPr>
          <w:rFonts w:eastAsiaTheme="minorEastAsia"/>
          <w:sz w:val="24"/>
          <w:szCs w:val="24"/>
        </w:rPr>
        <w:t>than $27 from the $315 strike price to yield profits highlights how crucial market volatility is for this strategy to succeed. Nonetheless</w:t>
      </w:r>
      <w:r w:rsidR="00CF5C07">
        <w:rPr>
          <w:rFonts w:eastAsiaTheme="minorEastAsia"/>
          <w:sz w:val="24"/>
          <w:szCs w:val="24"/>
        </w:rPr>
        <w:t>,</w:t>
      </w:r>
      <w:r w:rsidR="06306891" w:rsidRPr="5CCDA024">
        <w:rPr>
          <w:rFonts w:eastAsiaTheme="minorEastAsia"/>
          <w:sz w:val="24"/>
          <w:szCs w:val="24"/>
        </w:rPr>
        <w:t xml:space="preserve"> if the stock price remains close, to the strike price there's a risk of facing losses as the straddle might not generate value to offset expenses. This tactic shines brightest when substantial price fluctuations are expected making it a preferred choice during times of predicted market unrest.</w:t>
      </w:r>
    </w:p>
    <w:p w14:paraId="3DC88F78" w14:textId="2DB86AB4" w:rsidR="74DBF379" w:rsidRDefault="74DBF379" w:rsidP="5CCDA024">
      <w:pPr>
        <w:rPr>
          <w:rFonts w:eastAsiaTheme="minorEastAsia"/>
          <w:sz w:val="24"/>
          <w:szCs w:val="24"/>
        </w:rPr>
      </w:pPr>
    </w:p>
    <w:p w14:paraId="3EEE6B8B" w14:textId="457E0D9D" w:rsidR="2A5F0A12" w:rsidRDefault="2A5F0A12" w:rsidP="5CCDA024">
      <w:pPr>
        <w:rPr>
          <w:rFonts w:eastAsiaTheme="minorEastAsia"/>
          <w:sz w:val="24"/>
          <w:szCs w:val="24"/>
        </w:rPr>
      </w:pPr>
    </w:p>
    <w:p w14:paraId="4A27CC77" w14:textId="3652A5C2" w:rsidR="2A5F0A12" w:rsidRDefault="2A5F0A12" w:rsidP="5CCDA024">
      <w:pPr>
        <w:rPr>
          <w:rFonts w:eastAsiaTheme="minorEastAsia"/>
          <w:sz w:val="24"/>
          <w:szCs w:val="24"/>
        </w:rPr>
      </w:pPr>
    </w:p>
    <w:p w14:paraId="79FDD1E3" w14:textId="6DE60279" w:rsidR="001A6E71" w:rsidRDefault="00000000" w:rsidP="00CF5C07">
      <w:pPr>
        <w:pStyle w:val="Heading1"/>
        <w:rPr>
          <w:rFonts w:eastAsiaTheme="minorEastAsia"/>
        </w:rPr>
      </w:pPr>
      <w:r w:rsidRPr="5CCDA024">
        <w:rPr>
          <w:rFonts w:eastAsiaTheme="minorEastAsia"/>
        </w:rPr>
        <w:t xml:space="preserve"> </w:t>
      </w:r>
      <w:bookmarkStart w:id="15" w:name="_Toc175720677"/>
      <w:r w:rsidRPr="5CCDA024">
        <w:rPr>
          <w:rFonts w:eastAsiaTheme="minorEastAsia"/>
        </w:rPr>
        <w:t>Performance of the 10-Year Treasury Note (January - December 2023)</w:t>
      </w:r>
      <w:bookmarkEnd w:id="15"/>
    </w:p>
    <w:p w14:paraId="2A9FACBB" w14:textId="77777777" w:rsidR="00CF5C07" w:rsidRPr="00CF5C07" w:rsidRDefault="00CF5C07" w:rsidP="00CF5C07"/>
    <w:p w14:paraId="1969EB13" w14:textId="5B6563F6" w:rsidR="001A6E71" w:rsidRPr="001A6E71" w:rsidRDefault="00000000" w:rsidP="5CCDA024">
      <w:pPr>
        <w:rPr>
          <w:rFonts w:eastAsiaTheme="minorEastAsia"/>
          <w:sz w:val="24"/>
          <w:szCs w:val="24"/>
        </w:rPr>
      </w:pPr>
      <w:r w:rsidRPr="5CCDA024">
        <w:rPr>
          <w:rFonts w:eastAsiaTheme="minorEastAsia"/>
          <w:sz w:val="24"/>
          <w:szCs w:val="24"/>
        </w:rPr>
        <w:t>In 2023 the U.S. Saw changes, in the performance of the 10 Year Treasury Note mainly influenced by factors worries about inflation and decisions made by the Federal Reserve</w:t>
      </w:r>
    </w:p>
    <w:p w14:paraId="0F6C0A40" w14:textId="4F7B8F2F" w:rsidR="001A6E71" w:rsidRPr="001A6E71" w:rsidRDefault="00000000" w:rsidP="5CCDA024">
      <w:pPr>
        <w:numPr>
          <w:ilvl w:val="0"/>
          <w:numId w:val="31"/>
        </w:numPr>
        <w:rPr>
          <w:rFonts w:eastAsiaTheme="minorEastAsia"/>
          <w:sz w:val="24"/>
          <w:szCs w:val="24"/>
        </w:rPr>
      </w:pPr>
      <w:r w:rsidRPr="5CCDA024">
        <w:rPr>
          <w:rFonts w:eastAsiaTheme="minorEastAsia"/>
          <w:b/>
          <w:bCs/>
          <w:sz w:val="24"/>
          <w:szCs w:val="24"/>
        </w:rPr>
        <w:t>Early 2023:</w:t>
      </w:r>
      <w:r w:rsidRPr="5CCDA024">
        <w:rPr>
          <w:rFonts w:eastAsiaTheme="minorEastAsia"/>
          <w:sz w:val="24"/>
          <w:szCs w:val="24"/>
        </w:rPr>
        <w:t xml:space="preserve"> </w:t>
      </w:r>
      <w:r w:rsidR="73DAFF87" w:rsidRPr="5CCDA024">
        <w:rPr>
          <w:rFonts w:eastAsiaTheme="minorEastAsia"/>
          <w:sz w:val="24"/>
          <w:szCs w:val="24"/>
        </w:rPr>
        <w:t xml:space="preserve">At the start of the year yields stood at 3.79% </w:t>
      </w:r>
      <w:r w:rsidR="0CE35030" w:rsidRPr="5CCDA024">
        <w:rPr>
          <w:rFonts w:eastAsiaTheme="minorEastAsia"/>
          <w:sz w:val="24"/>
          <w:szCs w:val="24"/>
        </w:rPr>
        <w:t>because of</w:t>
      </w:r>
      <w:r w:rsidR="73DAFF87" w:rsidRPr="5CCDA024">
        <w:rPr>
          <w:rFonts w:eastAsiaTheme="minorEastAsia"/>
          <w:sz w:val="24"/>
          <w:szCs w:val="24"/>
        </w:rPr>
        <w:t xml:space="preserve"> worries, about inflation and the Federal Reserve's dedication, to increasing interest rates</w:t>
      </w:r>
      <w:r w:rsidR="00CF5C07">
        <w:rPr>
          <w:rFonts w:eastAsiaTheme="minorEastAsia"/>
          <w:sz w:val="24"/>
          <w:szCs w:val="24"/>
        </w:rPr>
        <w:t xml:space="preserve">. </w:t>
      </w:r>
      <w:r w:rsidRPr="5CCDA024">
        <w:rPr>
          <w:rFonts w:eastAsiaTheme="minorEastAsia"/>
          <w:sz w:val="24"/>
          <w:szCs w:val="24"/>
        </w:rPr>
        <w:t>(</w:t>
      </w:r>
      <w:hyperlink r:id="rId24">
        <w:r w:rsidRPr="5CCDA024">
          <w:rPr>
            <w:rStyle w:val="Hyperlink"/>
            <w:rFonts w:eastAsiaTheme="minorEastAsia"/>
            <w:sz w:val="24"/>
            <w:szCs w:val="24"/>
          </w:rPr>
          <w:t>Investing.com</w:t>
        </w:r>
      </w:hyperlink>
      <w:r w:rsidRPr="5CCDA024">
        <w:rPr>
          <w:rFonts w:eastAsiaTheme="minorEastAsia"/>
          <w:sz w:val="24"/>
          <w:szCs w:val="24"/>
        </w:rPr>
        <w:t>)</w:t>
      </w:r>
    </w:p>
    <w:p w14:paraId="3ED204A1" w14:textId="20AE20E8" w:rsidR="001A6E71" w:rsidRPr="001A6E71" w:rsidRDefault="00000000" w:rsidP="5CCDA024">
      <w:pPr>
        <w:numPr>
          <w:ilvl w:val="0"/>
          <w:numId w:val="31"/>
        </w:numPr>
        <w:rPr>
          <w:rFonts w:eastAsiaTheme="minorEastAsia"/>
          <w:sz w:val="24"/>
          <w:szCs w:val="24"/>
        </w:rPr>
      </w:pPr>
      <w:r w:rsidRPr="5CCDA024">
        <w:rPr>
          <w:rFonts w:eastAsiaTheme="minorEastAsia"/>
          <w:b/>
          <w:bCs/>
          <w:sz w:val="24"/>
          <w:szCs w:val="24"/>
        </w:rPr>
        <w:t>Mid-Year Peaks:</w:t>
      </w:r>
      <w:r w:rsidRPr="5CCDA024">
        <w:rPr>
          <w:rFonts w:eastAsiaTheme="minorEastAsia"/>
          <w:sz w:val="24"/>
          <w:szCs w:val="24"/>
        </w:rPr>
        <w:t xml:space="preserve"> </w:t>
      </w:r>
      <w:r w:rsidR="0C4AE630" w:rsidRPr="5CCDA024">
        <w:rPr>
          <w:rFonts w:eastAsiaTheme="minorEastAsia"/>
          <w:sz w:val="24"/>
          <w:szCs w:val="24"/>
        </w:rPr>
        <w:t>The Federal Reserve raised interest rates to combat inflation causing bond yields to rise above 4.30% in the summer. This led to a decrease, in bond prices signalling worries, about inflation and economic instability.</w:t>
      </w:r>
      <w:r w:rsidRPr="5CCDA024">
        <w:rPr>
          <w:rFonts w:eastAsiaTheme="minorEastAsia"/>
          <w:sz w:val="24"/>
          <w:szCs w:val="24"/>
        </w:rPr>
        <w:t>​ (</w:t>
      </w:r>
      <w:hyperlink r:id="rId25">
        <w:r w:rsidRPr="5CCDA024">
          <w:rPr>
            <w:rStyle w:val="Hyperlink"/>
            <w:rFonts w:eastAsiaTheme="minorEastAsia"/>
            <w:sz w:val="24"/>
            <w:szCs w:val="24"/>
          </w:rPr>
          <w:t>FRED</w:t>
        </w:r>
      </w:hyperlink>
      <w:r w:rsidRPr="5CCDA024">
        <w:rPr>
          <w:rFonts w:eastAsiaTheme="minorEastAsia"/>
          <w:sz w:val="24"/>
          <w:szCs w:val="24"/>
        </w:rPr>
        <w:t>)</w:t>
      </w:r>
    </w:p>
    <w:p w14:paraId="1A0863FD" w14:textId="606B3852" w:rsidR="001A6E71" w:rsidRPr="001A6E71" w:rsidRDefault="00000000" w:rsidP="5CCDA024">
      <w:pPr>
        <w:numPr>
          <w:ilvl w:val="0"/>
          <w:numId w:val="31"/>
        </w:numPr>
        <w:rPr>
          <w:rFonts w:eastAsiaTheme="minorEastAsia"/>
          <w:sz w:val="24"/>
          <w:szCs w:val="24"/>
        </w:rPr>
      </w:pPr>
      <w:r w:rsidRPr="5CCDA024">
        <w:rPr>
          <w:rFonts w:eastAsiaTheme="minorEastAsia"/>
          <w:b/>
          <w:bCs/>
          <w:sz w:val="24"/>
          <w:szCs w:val="24"/>
        </w:rPr>
        <w:t>Late 2023 Stabilization:</w:t>
      </w:r>
      <w:r w:rsidRPr="5CCDA024">
        <w:rPr>
          <w:rFonts w:eastAsiaTheme="minorEastAsia"/>
          <w:sz w:val="24"/>
          <w:szCs w:val="24"/>
        </w:rPr>
        <w:t xml:space="preserve"> </w:t>
      </w:r>
      <w:r w:rsidR="2CE2FFC9" w:rsidRPr="5CCDA024">
        <w:rPr>
          <w:rFonts w:eastAsiaTheme="minorEastAsia"/>
          <w:sz w:val="24"/>
          <w:szCs w:val="24"/>
        </w:rPr>
        <w:t xml:space="preserve">By the close of 2023 interest rates settled around 3.8%, above levels. This stability was influenced by inflation concerns and the Federal Reserve's actions to steer the economy. </w:t>
      </w:r>
      <w:r w:rsidRPr="5CCDA024">
        <w:rPr>
          <w:rFonts w:eastAsiaTheme="minorEastAsia"/>
          <w:sz w:val="24"/>
          <w:szCs w:val="24"/>
        </w:rPr>
        <w:t>​ (</w:t>
      </w:r>
      <w:hyperlink r:id="rId26">
        <w:r w:rsidRPr="5CCDA024">
          <w:rPr>
            <w:rStyle w:val="Hyperlink"/>
            <w:rFonts w:eastAsiaTheme="minorEastAsia"/>
            <w:sz w:val="24"/>
            <w:szCs w:val="24"/>
          </w:rPr>
          <w:t>YCharts</w:t>
        </w:r>
      </w:hyperlink>
      <w:r w:rsidRPr="5CCDA024">
        <w:rPr>
          <w:rFonts w:eastAsiaTheme="minorEastAsia"/>
          <w:sz w:val="24"/>
          <w:szCs w:val="24"/>
        </w:rPr>
        <w:t>)</w:t>
      </w:r>
    </w:p>
    <w:p w14:paraId="18B4EE84" w14:textId="3639E4CB" w:rsidR="001A6E71" w:rsidRPr="001A6E71" w:rsidRDefault="00000000" w:rsidP="5CCDA024">
      <w:pPr>
        <w:rPr>
          <w:rFonts w:eastAsiaTheme="minorEastAsia"/>
          <w:sz w:val="24"/>
          <w:szCs w:val="24"/>
        </w:rPr>
      </w:pPr>
      <w:r w:rsidRPr="5CCDA024">
        <w:rPr>
          <w:rFonts w:eastAsiaTheme="minorEastAsia"/>
          <w:sz w:val="24"/>
          <w:szCs w:val="24"/>
        </w:rPr>
        <w:t xml:space="preserve">In 2023 the fluctuations, in the </w:t>
      </w:r>
      <w:r w:rsidR="00CF5C07">
        <w:rPr>
          <w:rFonts w:eastAsiaTheme="minorEastAsia"/>
          <w:sz w:val="24"/>
          <w:szCs w:val="24"/>
        </w:rPr>
        <w:t>10-Year</w:t>
      </w:r>
      <w:r w:rsidRPr="5CCDA024">
        <w:rPr>
          <w:rFonts w:eastAsiaTheme="minorEastAsia"/>
          <w:sz w:val="24"/>
          <w:szCs w:val="24"/>
        </w:rPr>
        <w:t xml:space="preserve"> Treasury Note reflected the ups and downs with the constant struggle to combat inflation. </w:t>
      </w:r>
    </w:p>
    <w:p w14:paraId="61FA5722" w14:textId="486B0DE5" w:rsidR="3A2FC532" w:rsidRDefault="00000000" w:rsidP="5CCDA024">
      <w:pPr>
        <w:spacing w:before="240" w:after="240"/>
        <w:rPr>
          <w:rFonts w:eastAsiaTheme="minorEastAsia"/>
          <w:sz w:val="24"/>
          <w:szCs w:val="24"/>
        </w:rPr>
      </w:pPr>
      <w:r w:rsidRPr="5CCDA024">
        <w:rPr>
          <w:rFonts w:eastAsiaTheme="minorEastAsia"/>
          <w:sz w:val="24"/>
          <w:szCs w:val="24"/>
        </w:rPr>
        <w:t>Recent Developments</w:t>
      </w:r>
      <w:r w:rsidR="00CF5C07">
        <w:rPr>
          <w:rFonts w:eastAsiaTheme="minorEastAsia"/>
          <w:sz w:val="24"/>
          <w:szCs w:val="24"/>
        </w:rPr>
        <w:t>:</w:t>
      </w:r>
    </w:p>
    <w:p w14:paraId="4A506A58" w14:textId="2F0B29C9" w:rsidR="3A2FC532" w:rsidRDefault="00000000" w:rsidP="5CCDA024">
      <w:pPr>
        <w:spacing w:before="240" w:after="240"/>
        <w:rPr>
          <w:rFonts w:eastAsiaTheme="minorEastAsia"/>
          <w:sz w:val="24"/>
          <w:szCs w:val="24"/>
        </w:rPr>
      </w:pPr>
      <w:r w:rsidRPr="5CCDA024">
        <w:rPr>
          <w:rFonts w:eastAsiaTheme="minorEastAsia"/>
          <w:sz w:val="24"/>
          <w:szCs w:val="24"/>
        </w:rPr>
        <w:lastRenderedPageBreak/>
        <w:t xml:space="preserve">The </w:t>
      </w:r>
      <w:r w:rsidR="2C810C67" w:rsidRPr="5CCDA024">
        <w:rPr>
          <w:rFonts w:eastAsiaTheme="minorEastAsia"/>
          <w:sz w:val="24"/>
          <w:szCs w:val="24"/>
        </w:rPr>
        <w:t>10-year</w:t>
      </w:r>
      <w:r w:rsidRPr="5CCDA024">
        <w:rPr>
          <w:rFonts w:eastAsiaTheme="minorEastAsia"/>
          <w:sz w:val="24"/>
          <w:szCs w:val="24"/>
        </w:rPr>
        <w:t xml:space="preserve"> Treasury Rate has experienced an uptick, from the market day moving from 3.82% to 3.83%. This small shift reflects how the market is reacting to indicators </w:t>
      </w:r>
      <w:r w:rsidR="00CF5C07">
        <w:rPr>
          <w:rFonts w:eastAsiaTheme="minorEastAsia"/>
          <w:sz w:val="24"/>
          <w:szCs w:val="24"/>
        </w:rPr>
        <w:t xml:space="preserve">of </w:t>
      </w:r>
      <w:r w:rsidRPr="5CCDA024">
        <w:rPr>
          <w:rFonts w:eastAsiaTheme="minorEastAsia"/>
          <w:sz w:val="24"/>
          <w:szCs w:val="24"/>
        </w:rPr>
        <w:t>Federal Reserve announcements or global geopolitical events.</w:t>
      </w:r>
    </w:p>
    <w:p w14:paraId="0BBFB432" w14:textId="64CD31C9" w:rsidR="3A2FC532" w:rsidRDefault="00000000" w:rsidP="5CCDA024">
      <w:pPr>
        <w:spacing w:before="240" w:after="240"/>
        <w:rPr>
          <w:rFonts w:eastAsiaTheme="minorEastAsia"/>
          <w:sz w:val="24"/>
          <w:szCs w:val="24"/>
        </w:rPr>
      </w:pPr>
      <w:r w:rsidRPr="5CCDA024">
        <w:rPr>
          <w:rFonts w:eastAsiaTheme="minorEastAsia"/>
          <w:sz w:val="24"/>
          <w:szCs w:val="24"/>
        </w:rPr>
        <w:t xml:space="preserve">In comparison to this time </w:t>
      </w:r>
      <w:r w:rsidR="00CF5C07">
        <w:rPr>
          <w:rFonts w:eastAsiaTheme="minorEastAsia"/>
          <w:sz w:val="24"/>
          <w:szCs w:val="24"/>
        </w:rPr>
        <w:t xml:space="preserve">of </w:t>
      </w:r>
      <w:r w:rsidRPr="5CCDA024">
        <w:rPr>
          <w:rFonts w:eastAsiaTheme="minorEastAsia"/>
          <w:sz w:val="24"/>
          <w:szCs w:val="24"/>
        </w:rPr>
        <w:t>year</w:t>
      </w:r>
      <w:r w:rsidR="00CF5C07">
        <w:rPr>
          <w:rFonts w:eastAsiaTheme="minorEastAsia"/>
          <w:sz w:val="24"/>
          <w:szCs w:val="24"/>
        </w:rPr>
        <w:t>,</w:t>
      </w:r>
      <w:r w:rsidRPr="5CCDA024">
        <w:rPr>
          <w:rFonts w:eastAsiaTheme="minorEastAsia"/>
          <w:sz w:val="24"/>
          <w:szCs w:val="24"/>
        </w:rPr>
        <w:t xml:space="preserve"> the rate has dropped from 4.20% to 3.83%. This decrease suggests that bond yields have declined, in response to expectations of inflation a slowdown in economic growth</w:t>
      </w:r>
      <w:r w:rsidR="00CF5C07">
        <w:rPr>
          <w:rFonts w:eastAsiaTheme="minorEastAsia"/>
          <w:sz w:val="24"/>
          <w:szCs w:val="24"/>
        </w:rPr>
        <w:t>,</w:t>
      </w:r>
      <w:r w:rsidRPr="5CCDA024">
        <w:rPr>
          <w:rFonts w:eastAsiaTheme="minorEastAsia"/>
          <w:sz w:val="24"/>
          <w:szCs w:val="24"/>
        </w:rPr>
        <w:t xml:space="preserve"> or changes in Federal Reserve policies.</w:t>
      </w:r>
    </w:p>
    <w:p w14:paraId="757D35F5" w14:textId="75D6B3A8" w:rsidR="3A2FC532" w:rsidRDefault="00000000" w:rsidP="5CCDA024">
      <w:pPr>
        <w:spacing w:before="240" w:after="240"/>
        <w:rPr>
          <w:rFonts w:eastAsiaTheme="minorEastAsia"/>
          <w:sz w:val="24"/>
          <w:szCs w:val="24"/>
        </w:rPr>
      </w:pPr>
      <w:r w:rsidRPr="5CCDA024">
        <w:rPr>
          <w:rFonts w:eastAsiaTheme="minorEastAsia"/>
          <w:sz w:val="24"/>
          <w:szCs w:val="24"/>
        </w:rPr>
        <w:t xml:space="preserve">Comparative Analysis with </w:t>
      </w:r>
      <w:r w:rsidR="00CF5C07">
        <w:rPr>
          <w:rFonts w:eastAsiaTheme="minorEastAsia"/>
          <w:sz w:val="24"/>
          <w:szCs w:val="24"/>
        </w:rPr>
        <w:t>Long-Term</w:t>
      </w:r>
      <w:r w:rsidRPr="5CCDA024">
        <w:rPr>
          <w:rFonts w:eastAsiaTheme="minorEastAsia"/>
          <w:sz w:val="24"/>
          <w:szCs w:val="24"/>
        </w:rPr>
        <w:t xml:space="preserve"> Averages</w:t>
      </w:r>
      <w:r w:rsidR="58D00A8F" w:rsidRPr="5CCDA024">
        <w:rPr>
          <w:rFonts w:eastAsiaTheme="minorEastAsia"/>
          <w:sz w:val="24"/>
          <w:szCs w:val="24"/>
        </w:rPr>
        <w:t>:</w:t>
      </w:r>
    </w:p>
    <w:p w14:paraId="66D9F259" w14:textId="36F91769" w:rsidR="3A2FC532" w:rsidRDefault="00000000" w:rsidP="5CCDA024">
      <w:pPr>
        <w:spacing w:before="240" w:after="240"/>
        <w:rPr>
          <w:rFonts w:eastAsiaTheme="minorEastAsia"/>
          <w:sz w:val="24"/>
          <w:szCs w:val="24"/>
        </w:rPr>
      </w:pPr>
      <w:r w:rsidRPr="5CCDA024">
        <w:rPr>
          <w:rFonts w:eastAsiaTheme="minorEastAsia"/>
          <w:sz w:val="24"/>
          <w:szCs w:val="24"/>
        </w:rPr>
        <w:t xml:space="preserve">The current rate of 3.83% is below the </w:t>
      </w:r>
      <w:r w:rsidR="5C156CAF" w:rsidRPr="5CCDA024">
        <w:rPr>
          <w:rFonts w:eastAsiaTheme="minorEastAsia"/>
          <w:sz w:val="24"/>
          <w:szCs w:val="24"/>
        </w:rPr>
        <w:t>long-term</w:t>
      </w:r>
      <w:r w:rsidRPr="5CCDA024">
        <w:rPr>
          <w:rFonts w:eastAsiaTheme="minorEastAsia"/>
          <w:sz w:val="24"/>
          <w:szCs w:val="24"/>
        </w:rPr>
        <w:t xml:space="preserve"> average of 4.25%. This indicates that historically interest rates have remained relatively low despite fluctuations. The </w:t>
      </w:r>
      <w:r w:rsidR="1F36A5CA" w:rsidRPr="5CCDA024">
        <w:rPr>
          <w:rFonts w:eastAsiaTheme="minorEastAsia"/>
          <w:sz w:val="24"/>
          <w:szCs w:val="24"/>
        </w:rPr>
        <w:t>long-term</w:t>
      </w:r>
      <w:r w:rsidRPr="5CCDA024">
        <w:rPr>
          <w:rFonts w:eastAsiaTheme="minorEastAsia"/>
          <w:sz w:val="24"/>
          <w:szCs w:val="24"/>
        </w:rPr>
        <w:t xml:space="preserve"> average is influenced by periods of inflation and assertive monetary policies by the Federal Reserve, such as those seen in the late '70s and early '80s.</w:t>
      </w:r>
    </w:p>
    <w:p w14:paraId="2E5135DB" w14:textId="75FE7787" w:rsidR="3A2FC532" w:rsidRDefault="00000000" w:rsidP="5CCDA024">
      <w:pPr>
        <w:spacing w:before="240" w:after="240"/>
        <w:rPr>
          <w:rFonts w:eastAsiaTheme="minorEastAsia"/>
          <w:sz w:val="24"/>
          <w:szCs w:val="24"/>
        </w:rPr>
      </w:pPr>
      <w:r w:rsidRPr="5CCDA024">
        <w:rPr>
          <w:rFonts w:eastAsiaTheme="minorEastAsia"/>
          <w:sz w:val="24"/>
          <w:szCs w:val="24"/>
        </w:rPr>
        <w:t>Historical Background</w:t>
      </w:r>
      <w:r w:rsidR="3D13FF35" w:rsidRPr="5CCDA024">
        <w:rPr>
          <w:rFonts w:eastAsiaTheme="minorEastAsia"/>
          <w:sz w:val="24"/>
          <w:szCs w:val="24"/>
        </w:rPr>
        <w:t>:</w:t>
      </w:r>
    </w:p>
    <w:p w14:paraId="39368F81" w14:textId="4FD3BBDF" w:rsidR="3A2FC532" w:rsidRDefault="00000000" w:rsidP="5CCDA024">
      <w:pPr>
        <w:spacing w:before="240" w:after="240"/>
        <w:rPr>
          <w:rFonts w:eastAsiaTheme="minorEastAsia"/>
          <w:sz w:val="24"/>
          <w:szCs w:val="24"/>
        </w:rPr>
      </w:pPr>
      <w:r w:rsidRPr="5CCDA024">
        <w:rPr>
          <w:rFonts w:eastAsiaTheme="minorEastAsia"/>
          <w:sz w:val="24"/>
          <w:szCs w:val="24"/>
        </w:rPr>
        <w:t xml:space="preserve">The peak of the </w:t>
      </w:r>
      <w:r w:rsidR="5D27EC07" w:rsidRPr="5CCDA024">
        <w:rPr>
          <w:rFonts w:eastAsiaTheme="minorEastAsia"/>
          <w:sz w:val="24"/>
          <w:szCs w:val="24"/>
        </w:rPr>
        <w:t>10-year</w:t>
      </w:r>
      <w:r w:rsidRPr="5CCDA024">
        <w:rPr>
          <w:rFonts w:eastAsiaTheme="minorEastAsia"/>
          <w:sz w:val="24"/>
          <w:szCs w:val="24"/>
        </w:rPr>
        <w:t xml:space="preserve"> Treasury Rate reached 15.84% in 1981 during a period of inflation. This prompted Chairman Paul Volcker and the Federal Reserve to raise interest rates as part of measures to combat rampant inflation—a major economic challenge, at that time.</w:t>
      </w:r>
    </w:p>
    <w:p w14:paraId="75924B3B" w14:textId="6C8CEAC4" w:rsidR="3A2FC532" w:rsidRDefault="00000000" w:rsidP="5CCDA024">
      <w:pPr>
        <w:spacing w:before="240" w:after="240"/>
        <w:rPr>
          <w:rFonts w:eastAsiaTheme="minorEastAsia"/>
          <w:sz w:val="24"/>
          <w:szCs w:val="24"/>
        </w:rPr>
      </w:pPr>
      <w:r w:rsidRPr="5CCDA024">
        <w:rPr>
          <w:rFonts w:eastAsiaTheme="minorEastAsia"/>
          <w:sz w:val="24"/>
          <w:szCs w:val="24"/>
        </w:rPr>
        <w:t xml:space="preserve"> </w:t>
      </w:r>
    </w:p>
    <w:p w14:paraId="346E3E33" w14:textId="4EE517EC" w:rsidR="3A2FC532" w:rsidRDefault="00000000" w:rsidP="5CCDA024">
      <w:pPr>
        <w:spacing w:before="240" w:after="240"/>
        <w:rPr>
          <w:rFonts w:eastAsiaTheme="minorEastAsia"/>
          <w:sz w:val="24"/>
          <w:szCs w:val="24"/>
        </w:rPr>
      </w:pPr>
      <w:r w:rsidRPr="5CCDA024">
        <w:rPr>
          <w:rFonts w:eastAsiaTheme="minorEastAsia"/>
          <w:sz w:val="24"/>
          <w:szCs w:val="24"/>
        </w:rPr>
        <w:t xml:space="preserve">The </w:t>
      </w:r>
      <w:r w:rsidR="6B0DCF18" w:rsidRPr="5CCDA024">
        <w:rPr>
          <w:rFonts w:eastAsiaTheme="minorEastAsia"/>
          <w:sz w:val="24"/>
          <w:szCs w:val="24"/>
        </w:rPr>
        <w:t>10-year</w:t>
      </w:r>
      <w:r w:rsidRPr="5CCDA024">
        <w:rPr>
          <w:rFonts w:eastAsiaTheme="minorEastAsia"/>
          <w:sz w:val="24"/>
          <w:szCs w:val="24"/>
        </w:rPr>
        <w:t xml:space="preserve"> Treasury rate is commonly used by analysts, as the "risk rate when assessing markets or individual securities. This is because U.S. Treasury securities are viewed as having credit risk due to government support.</w:t>
      </w:r>
    </w:p>
    <w:p w14:paraId="05E5F793" w14:textId="5EA7B17D" w:rsidR="3A2FC532" w:rsidRDefault="00000000" w:rsidP="5CCDA024">
      <w:pPr>
        <w:spacing w:before="240" w:after="240"/>
        <w:rPr>
          <w:rFonts w:eastAsiaTheme="minorEastAsia"/>
          <w:sz w:val="24"/>
          <w:szCs w:val="24"/>
        </w:rPr>
      </w:pPr>
      <w:r w:rsidRPr="5CCDA024">
        <w:rPr>
          <w:rFonts w:eastAsiaTheme="minorEastAsia"/>
          <w:sz w:val="24"/>
          <w:szCs w:val="24"/>
        </w:rPr>
        <w:t xml:space="preserve">Fluctuations in the </w:t>
      </w:r>
      <w:r w:rsidR="77E7407E" w:rsidRPr="5CCDA024">
        <w:rPr>
          <w:rFonts w:eastAsiaTheme="minorEastAsia"/>
          <w:sz w:val="24"/>
          <w:szCs w:val="24"/>
        </w:rPr>
        <w:t>10-year</w:t>
      </w:r>
      <w:r w:rsidRPr="5CCDA024">
        <w:rPr>
          <w:rFonts w:eastAsiaTheme="minorEastAsia"/>
          <w:sz w:val="24"/>
          <w:szCs w:val="24"/>
        </w:rPr>
        <w:t xml:space="preserve"> Treasury rate can impact the valuation of stocks, bonds, and other financial assets. A lower rate typically results in asset valuations as the discount rate for cash flows decreases.</w:t>
      </w:r>
    </w:p>
    <w:p w14:paraId="599248D3" w14:textId="2C293E1B" w:rsidR="3A2FC532" w:rsidRDefault="00000000" w:rsidP="5CCDA024">
      <w:pPr>
        <w:spacing w:before="240" w:after="240"/>
        <w:rPr>
          <w:rFonts w:eastAsiaTheme="minorEastAsia"/>
          <w:sz w:val="24"/>
          <w:szCs w:val="24"/>
        </w:rPr>
      </w:pPr>
      <w:r w:rsidRPr="5CCDA024">
        <w:rPr>
          <w:rFonts w:eastAsiaTheme="minorEastAsia"/>
          <w:sz w:val="24"/>
          <w:szCs w:val="24"/>
        </w:rPr>
        <w:t>Position on the Yield Curve</w:t>
      </w:r>
      <w:r w:rsidR="00CF5C07">
        <w:rPr>
          <w:rFonts w:eastAsiaTheme="minorEastAsia"/>
          <w:sz w:val="24"/>
          <w:szCs w:val="24"/>
        </w:rPr>
        <w:t>:</w:t>
      </w:r>
    </w:p>
    <w:p w14:paraId="393B6593" w14:textId="454059F7" w:rsidR="3A2FC532" w:rsidRDefault="00000000" w:rsidP="5CCDA024">
      <w:pPr>
        <w:spacing w:before="240" w:after="240"/>
        <w:rPr>
          <w:rFonts w:eastAsiaTheme="minorEastAsia"/>
          <w:sz w:val="24"/>
          <w:szCs w:val="24"/>
        </w:rPr>
      </w:pPr>
      <w:r w:rsidRPr="5CCDA024">
        <w:rPr>
          <w:rFonts w:eastAsiaTheme="minorEastAsia"/>
          <w:sz w:val="24"/>
          <w:szCs w:val="24"/>
        </w:rPr>
        <w:t xml:space="preserve">The </w:t>
      </w:r>
      <w:r w:rsidR="27C8C8AB" w:rsidRPr="5CCDA024">
        <w:rPr>
          <w:rFonts w:eastAsiaTheme="minorEastAsia"/>
          <w:sz w:val="24"/>
          <w:szCs w:val="24"/>
        </w:rPr>
        <w:t>10-year</w:t>
      </w:r>
      <w:r w:rsidRPr="5CCDA024">
        <w:rPr>
          <w:rFonts w:eastAsiaTheme="minorEastAsia"/>
          <w:sz w:val="24"/>
          <w:szCs w:val="24"/>
        </w:rPr>
        <w:t xml:space="preserve"> Treasury falls within the end of the yield curve, which displays interest rates for bonds with varying maturities. The shape of the yield curve offers insights into market expectations regarding interest rates, economic growth</w:t>
      </w:r>
      <w:r w:rsidR="00CF5C07">
        <w:rPr>
          <w:rFonts w:eastAsiaTheme="minorEastAsia"/>
          <w:sz w:val="24"/>
          <w:szCs w:val="24"/>
        </w:rPr>
        <w:t>,</w:t>
      </w:r>
      <w:r w:rsidRPr="5CCDA024">
        <w:rPr>
          <w:rFonts w:eastAsiaTheme="minorEastAsia"/>
          <w:sz w:val="24"/>
          <w:szCs w:val="24"/>
        </w:rPr>
        <w:t xml:space="preserve"> and inflation.</w:t>
      </w:r>
    </w:p>
    <w:p w14:paraId="5408B762" w14:textId="1116691E" w:rsidR="3A2FC532" w:rsidRDefault="00000000" w:rsidP="5CCDA024">
      <w:pPr>
        <w:spacing w:before="240" w:after="240"/>
        <w:rPr>
          <w:rFonts w:eastAsiaTheme="minorEastAsia"/>
          <w:sz w:val="24"/>
          <w:szCs w:val="24"/>
        </w:rPr>
      </w:pPr>
      <w:r w:rsidRPr="5CCDA024">
        <w:rPr>
          <w:rFonts w:eastAsiaTheme="minorEastAsia"/>
          <w:sz w:val="24"/>
          <w:szCs w:val="24"/>
        </w:rPr>
        <w:t xml:space="preserve">A rising </w:t>
      </w:r>
      <w:r w:rsidR="1FE62697" w:rsidRPr="5CCDA024">
        <w:rPr>
          <w:rFonts w:eastAsiaTheme="minorEastAsia"/>
          <w:sz w:val="24"/>
          <w:szCs w:val="24"/>
        </w:rPr>
        <w:t>10-year</w:t>
      </w:r>
      <w:r w:rsidRPr="5CCDA024">
        <w:rPr>
          <w:rFonts w:eastAsiaTheme="minorEastAsia"/>
          <w:sz w:val="24"/>
          <w:szCs w:val="24"/>
        </w:rPr>
        <w:t xml:space="preserve"> Treasury rate compared to </w:t>
      </w:r>
      <w:r w:rsidR="00CF5C07">
        <w:rPr>
          <w:rFonts w:eastAsiaTheme="minorEastAsia"/>
          <w:sz w:val="24"/>
          <w:szCs w:val="24"/>
        </w:rPr>
        <w:t>shorter-term</w:t>
      </w:r>
      <w:r w:rsidRPr="5CCDA024">
        <w:rPr>
          <w:rFonts w:eastAsiaTheme="minorEastAsia"/>
          <w:sz w:val="24"/>
          <w:szCs w:val="24"/>
        </w:rPr>
        <w:t xml:space="preserve"> rates may suggest anticipations of increased inflation or stronger economic growth. Conversely</w:t>
      </w:r>
      <w:r w:rsidR="00CF5C07">
        <w:rPr>
          <w:rFonts w:eastAsiaTheme="minorEastAsia"/>
          <w:sz w:val="24"/>
          <w:szCs w:val="24"/>
        </w:rPr>
        <w:t>,</w:t>
      </w:r>
      <w:r w:rsidRPr="5CCDA024">
        <w:rPr>
          <w:rFonts w:eastAsiaTheme="minorEastAsia"/>
          <w:sz w:val="24"/>
          <w:szCs w:val="24"/>
        </w:rPr>
        <w:t xml:space="preserve"> a declining rate could indicate worries about </w:t>
      </w:r>
      <w:r w:rsidR="00CF5C07">
        <w:rPr>
          <w:rFonts w:eastAsiaTheme="minorEastAsia"/>
          <w:sz w:val="24"/>
          <w:szCs w:val="24"/>
        </w:rPr>
        <w:t xml:space="preserve">a </w:t>
      </w:r>
      <w:r w:rsidRPr="5CCDA024">
        <w:rPr>
          <w:rFonts w:eastAsiaTheme="minorEastAsia"/>
          <w:sz w:val="24"/>
          <w:szCs w:val="24"/>
        </w:rPr>
        <w:t>slowdown or deflationary trends.</w:t>
      </w:r>
    </w:p>
    <w:p w14:paraId="2E842007" w14:textId="77777777" w:rsidR="00CF5C07" w:rsidRDefault="00CF5C07" w:rsidP="5CCDA024">
      <w:pPr>
        <w:spacing w:before="240" w:after="240"/>
        <w:rPr>
          <w:rFonts w:eastAsiaTheme="minorEastAsia"/>
          <w:sz w:val="24"/>
          <w:szCs w:val="24"/>
        </w:rPr>
      </w:pPr>
    </w:p>
    <w:p w14:paraId="638D1A0B" w14:textId="4B198EB2" w:rsidR="00CF5C07" w:rsidRPr="00CF5C07" w:rsidRDefault="00000000" w:rsidP="5CCDA024">
      <w:pPr>
        <w:spacing w:before="240" w:after="240"/>
        <w:rPr>
          <w:rFonts w:eastAsiaTheme="minorEastAsia"/>
          <w:b/>
          <w:bCs/>
          <w:sz w:val="24"/>
          <w:szCs w:val="24"/>
        </w:rPr>
      </w:pPr>
      <w:r w:rsidRPr="00CF5C07">
        <w:rPr>
          <w:rFonts w:eastAsiaTheme="minorEastAsia"/>
          <w:b/>
          <w:bCs/>
          <w:sz w:val="24"/>
          <w:szCs w:val="24"/>
        </w:rPr>
        <w:t xml:space="preserve">In Conclusion: </w:t>
      </w:r>
    </w:p>
    <w:p w14:paraId="0A4DD508" w14:textId="6CC69C05" w:rsidR="3A2FC532" w:rsidRDefault="00000000" w:rsidP="5CCDA024">
      <w:pPr>
        <w:spacing w:before="240" w:after="240"/>
        <w:rPr>
          <w:rFonts w:eastAsiaTheme="minorEastAsia"/>
          <w:sz w:val="24"/>
          <w:szCs w:val="24"/>
        </w:rPr>
      </w:pPr>
      <w:r w:rsidRPr="5CCDA024">
        <w:rPr>
          <w:rFonts w:eastAsiaTheme="minorEastAsia"/>
          <w:sz w:val="24"/>
          <w:szCs w:val="24"/>
        </w:rPr>
        <w:t xml:space="preserve">The current </w:t>
      </w:r>
      <w:r w:rsidR="13E655EE" w:rsidRPr="5CCDA024">
        <w:rPr>
          <w:rFonts w:eastAsiaTheme="minorEastAsia"/>
          <w:sz w:val="24"/>
          <w:szCs w:val="24"/>
        </w:rPr>
        <w:t>10-year</w:t>
      </w:r>
      <w:r w:rsidRPr="5CCDA024">
        <w:rPr>
          <w:rFonts w:eastAsiaTheme="minorEastAsia"/>
          <w:sz w:val="24"/>
          <w:szCs w:val="24"/>
        </w:rPr>
        <w:t xml:space="preserve"> Treasury rate reflects a blend of market conditions and historical </w:t>
      </w:r>
      <w:r w:rsidR="70354A9D" w:rsidRPr="5CCDA024">
        <w:rPr>
          <w:rFonts w:eastAsiaTheme="minorEastAsia"/>
          <w:sz w:val="24"/>
          <w:szCs w:val="24"/>
        </w:rPr>
        <w:t>long-term</w:t>
      </w:r>
      <w:r w:rsidRPr="5CCDA024">
        <w:rPr>
          <w:rFonts w:eastAsiaTheme="minorEastAsia"/>
          <w:sz w:val="24"/>
          <w:szCs w:val="24"/>
        </w:rPr>
        <w:t xml:space="preserve"> patterns. Although rates have seen an uptick, from the day they </w:t>
      </w:r>
      <w:r w:rsidR="00CF5C07">
        <w:rPr>
          <w:rFonts w:eastAsiaTheme="minorEastAsia"/>
          <w:sz w:val="24"/>
          <w:szCs w:val="24"/>
        </w:rPr>
        <w:t>remained</w:t>
      </w:r>
      <w:r w:rsidRPr="5CCDA024">
        <w:rPr>
          <w:rFonts w:eastAsiaTheme="minorEastAsia"/>
          <w:sz w:val="24"/>
          <w:szCs w:val="24"/>
        </w:rPr>
        <w:t xml:space="preserve"> below the </w:t>
      </w:r>
      <w:r w:rsidRPr="5CCDA024">
        <w:rPr>
          <w:rFonts w:eastAsiaTheme="minorEastAsia"/>
          <w:sz w:val="24"/>
          <w:szCs w:val="24"/>
        </w:rPr>
        <w:lastRenderedPageBreak/>
        <w:t xml:space="preserve">historical average indicating a relatively </w:t>
      </w:r>
      <w:r w:rsidR="54E08C6C" w:rsidRPr="5CCDA024">
        <w:rPr>
          <w:rFonts w:eastAsiaTheme="minorEastAsia"/>
          <w:sz w:val="24"/>
          <w:szCs w:val="24"/>
        </w:rPr>
        <w:t>low-interest rate</w:t>
      </w:r>
      <w:r w:rsidRPr="5CCDA024">
        <w:rPr>
          <w:rFonts w:eastAsiaTheme="minorEastAsia"/>
          <w:sz w:val="24"/>
          <w:szCs w:val="24"/>
        </w:rPr>
        <w:t xml:space="preserve"> environment compared to past standards. </w:t>
      </w:r>
    </w:p>
    <w:p w14:paraId="3C603BC2" w14:textId="2C6F84D4" w:rsidR="3A2FC532" w:rsidRDefault="00000000" w:rsidP="5CCDA024">
      <w:pPr>
        <w:rPr>
          <w:rFonts w:eastAsiaTheme="minorEastAsia"/>
          <w:sz w:val="24"/>
          <w:szCs w:val="24"/>
        </w:rPr>
      </w:pPr>
      <w:r w:rsidRPr="5CCDA024">
        <w:rPr>
          <w:rFonts w:eastAsiaTheme="minorEastAsia"/>
          <w:sz w:val="24"/>
          <w:szCs w:val="24"/>
        </w:rPr>
        <w:t xml:space="preserve">The interest rate holds importance in the realm impacting various aspects such, as mortgage rates and stock value assessments. It also offers insights into the </w:t>
      </w:r>
      <w:r w:rsidR="00CF5C07">
        <w:rPr>
          <w:rFonts w:eastAsiaTheme="minorEastAsia"/>
          <w:sz w:val="24"/>
          <w:szCs w:val="24"/>
        </w:rPr>
        <w:t>market</w:t>
      </w:r>
      <w:r w:rsidRPr="5CCDA024">
        <w:rPr>
          <w:rFonts w:eastAsiaTheme="minorEastAsia"/>
          <w:sz w:val="24"/>
          <w:szCs w:val="24"/>
        </w:rPr>
        <w:t xml:space="preserve"> outlook, </w:t>
      </w:r>
      <w:r w:rsidR="00CF5C07">
        <w:rPr>
          <w:rFonts w:eastAsiaTheme="minorEastAsia"/>
          <w:sz w:val="24"/>
          <w:szCs w:val="24"/>
        </w:rPr>
        <w:t>of</w:t>
      </w:r>
      <w:r w:rsidRPr="5CCDA024">
        <w:rPr>
          <w:rFonts w:eastAsiaTheme="minorEastAsia"/>
          <w:sz w:val="24"/>
          <w:szCs w:val="24"/>
        </w:rPr>
        <w:t xml:space="preserve"> the U.S. Economy.</w:t>
      </w:r>
    </w:p>
    <w:p w14:paraId="029E1BEB" w14:textId="587CA123" w:rsidR="001A6E71" w:rsidRDefault="00000000" w:rsidP="00CF5C07">
      <w:pPr>
        <w:pStyle w:val="Heading1"/>
        <w:rPr>
          <w:rFonts w:eastAsiaTheme="minorEastAsia"/>
        </w:rPr>
      </w:pPr>
      <w:r w:rsidRPr="5CCDA024">
        <w:rPr>
          <w:rFonts w:eastAsiaTheme="minorEastAsia"/>
        </w:rPr>
        <w:t xml:space="preserve"> </w:t>
      </w:r>
      <w:bookmarkStart w:id="16" w:name="_Toc175720678"/>
      <w:r w:rsidRPr="5CCDA024">
        <w:rPr>
          <w:rFonts w:eastAsiaTheme="minorEastAsia"/>
        </w:rPr>
        <w:t>Impact of Changes in the 10-Year Treasury Yield on Consumer Debt</w:t>
      </w:r>
      <w:bookmarkEnd w:id="16"/>
    </w:p>
    <w:p w14:paraId="7C37544F" w14:textId="77777777" w:rsidR="00CF5C07" w:rsidRPr="00CF5C07" w:rsidRDefault="00CF5C07" w:rsidP="00CF5C07"/>
    <w:p w14:paraId="06A1C743" w14:textId="68683DD1" w:rsidR="001A6E71" w:rsidRPr="001A6E71" w:rsidRDefault="00000000" w:rsidP="5CCDA024">
      <w:pPr>
        <w:rPr>
          <w:rFonts w:eastAsiaTheme="minorEastAsia"/>
          <w:sz w:val="24"/>
          <w:szCs w:val="24"/>
        </w:rPr>
      </w:pPr>
      <w:r w:rsidRPr="5CCDA024">
        <w:rPr>
          <w:rFonts w:eastAsiaTheme="minorEastAsia"/>
          <w:sz w:val="24"/>
          <w:szCs w:val="24"/>
        </w:rPr>
        <w:t xml:space="preserve">Fluctuations, in the returns of the </w:t>
      </w:r>
      <w:r w:rsidR="00CF5C07">
        <w:rPr>
          <w:rFonts w:eastAsiaTheme="minorEastAsia"/>
          <w:sz w:val="24"/>
          <w:szCs w:val="24"/>
        </w:rPr>
        <w:t>10-Year</w:t>
      </w:r>
      <w:r w:rsidRPr="5CCDA024">
        <w:rPr>
          <w:rFonts w:eastAsiaTheme="minorEastAsia"/>
          <w:sz w:val="24"/>
          <w:szCs w:val="24"/>
        </w:rPr>
        <w:t xml:space="preserve"> Treasury Note significantly impact consumer borrowing in sectors, like home loan rates, car financing</w:t>
      </w:r>
      <w:r w:rsidR="00CF5C07">
        <w:rPr>
          <w:rFonts w:eastAsiaTheme="minorEastAsia"/>
          <w:sz w:val="24"/>
          <w:szCs w:val="24"/>
        </w:rPr>
        <w:t>,</w:t>
      </w:r>
      <w:r w:rsidRPr="5CCDA024">
        <w:rPr>
          <w:rFonts w:eastAsiaTheme="minorEastAsia"/>
          <w:sz w:val="24"/>
          <w:szCs w:val="24"/>
        </w:rPr>
        <w:t xml:space="preserve"> and credit card interest charges</w:t>
      </w:r>
      <w:r w:rsidR="62001D51" w:rsidRPr="5CCDA024">
        <w:rPr>
          <w:rFonts w:eastAsiaTheme="minorEastAsia"/>
          <w:sz w:val="24"/>
          <w:szCs w:val="24"/>
        </w:rPr>
        <w:t>.</w:t>
      </w:r>
    </w:p>
    <w:p w14:paraId="042DD0C9" w14:textId="2C4945E1" w:rsidR="001A6E71" w:rsidRPr="001A6E71" w:rsidRDefault="00000000" w:rsidP="5CCDA024">
      <w:pPr>
        <w:numPr>
          <w:ilvl w:val="0"/>
          <w:numId w:val="32"/>
        </w:numPr>
        <w:rPr>
          <w:rFonts w:eastAsiaTheme="minorEastAsia"/>
          <w:sz w:val="24"/>
          <w:szCs w:val="24"/>
        </w:rPr>
      </w:pPr>
      <w:r w:rsidRPr="5CCDA024">
        <w:rPr>
          <w:rFonts w:eastAsiaTheme="minorEastAsia"/>
          <w:b/>
          <w:bCs/>
          <w:sz w:val="24"/>
          <w:szCs w:val="24"/>
        </w:rPr>
        <w:t>Mortgage Rates:</w:t>
      </w:r>
      <w:r w:rsidRPr="5CCDA024">
        <w:rPr>
          <w:rFonts w:eastAsiaTheme="minorEastAsia"/>
          <w:sz w:val="24"/>
          <w:szCs w:val="24"/>
        </w:rPr>
        <w:t xml:space="preserve"> </w:t>
      </w:r>
      <w:r w:rsidR="5826DE5E" w:rsidRPr="5CCDA024">
        <w:rPr>
          <w:rFonts w:eastAsiaTheme="minorEastAsia"/>
          <w:sz w:val="24"/>
          <w:szCs w:val="24"/>
        </w:rPr>
        <w:t xml:space="preserve">The </w:t>
      </w:r>
      <w:r w:rsidR="3B2279C1" w:rsidRPr="5CCDA024">
        <w:rPr>
          <w:rFonts w:eastAsiaTheme="minorEastAsia"/>
          <w:sz w:val="24"/>
          <w:szCs w:val="24"/>
        </w:rPr>
        <w:t>10-year</w:t>
      </w:r>
      <w:r w:rsidR="5826DE5E" w:rsidRPr="5CCDA024">
        <w:rPr>
          <w:rFonts w:eastAsiaTheme="minorEastAsia"/>
          <w:sz w:val="24"/>
          <w:szCs w:val="24"/>
        </w:rPr>
        <w:t xml:space="preserve"> Treasury yield has an impact, on mortgage rates for </w:t>
      </w:r>
      <w:r w:rsidR="2378C1C3" w:rsidRPr="5CCDA024">
        <w:rPr>
          <w:rFonts w:eastAsiaTheme="minorEastAsia"/>
          <w:sz w:val="24"/>
          <w:szCs w:val="24"/>
        </w:rPr>
        <w:t>30-year</w:t>
      </w:r>
      <w:r w:rsidR="5826DE5E" w:rsidRPr="5CCDA024">
        <w:rPr>
          <w:rFonts w:eastAsiaTheme="minorEastAsia"/>
          <w:sz w:val="24"/>
          <w:szCs w:val="24"/>
        </w:rPr>
        <w:t xml:space="preserve"> </w:t>
      </w:r>
      <w:r w:rsidR="00CF5C07">
        <w:rPr>
          <w:rFonts w:eastAsiaTheme="minorEastAsia"/>
          <w:sz w:val="24"/>
          <w:szCs w:val="24"/>
        </w:rPr>
        <w:t>fixed-rate</w:t>
      </w:r>
      <w:r w:rsidR="5826DE5E" w:rsidRPr="5CCDA024">
        <w:rPr>
          <w:rFonts w:eastAsiaTheme="minorEastAsia"/>
          <w:sz w:val="24"/>
          <w:szCs w:val="24"/>
        </w:rPr>
        <w:t xml:space="preserve"> mortgages. When yields go up mortgage rates usually follow suit leading to borrowing costs for homebuyers. In 2023 the uptick in the </w:t>
      </w:r>
      <w:r w:rsidR="2888C3D3" w:rsidRPr="5CCDA024">
        <w:rPr>
          <w:rFonts w:eastAsiaTheme="minorEastAsia"/>
          <w:sz w:val="24"/>
          <w:szCs w:val="24"/>
        </w:rPr>
        <w:t>10-year</w:t>
      </w:r>
      <w:r w:rsidR="5826DE5E" w:rsidRPr="5CCDA024">
        <w:rPr>
          <w:rFonts w:eastAsiaTheme="minorEastAsia"/>
          <w:sz w:val="24"/>
          <w:szCs w:val="24"/>
        </w:rPr>
        <w:t xml:space="preserve"> yield played a role in pushing mortgage rates thereby dampening the housing market as it became less affordable for aspiring homeowners.</w:t>
      </w:r>
      <w:r w:rsidRPr="5CCDA024">
        <w:rPr>
          <w:rFonts w:eastAsiaTheme="minorEastAsia"/>
          <w:sz w:val="24"/>
          <w:szCs w:val="24"/>
        </w:rPr>
        <w:t xml:space="preserve"> (</w:t>
      </w:r>
      <w:hyperlink r:id="rId27">
        <w:r w:rsidRPr="5CCDA024">
          <w:rPr>
            <w:rStyle w:val="Hyperlink"/>
            <w:rFonts w:eastAsiaTheme="minorEastAsia"/>
            <w:sz w:val="24"/>
            <w:szCs w:val="24"/>
          </w:rPr>
          <w:t>YCharts</w:t>
        </w:r>
      </w:hyperlink>
      <w:r w:rsidRPr="5CCDA024">
        <w:rPr>
          <w:rFonts w:eastAsiaTheme="minorEastAsia"/>
          <w:sz w:val="24"/>
          <w:szCs w:val="24"/>
        </w:rPr>
        <w:t>)</w:t>
      </w:r>
      <w:r w:rsidR="452254FE" w:rsidRPr="5CCDA024">
        <w:rPr>
          <w:rFonts w:eastAsiaTheme="minorEastAsia"/>
          <w:sz w:val="24"/>
          <w:szCs w:val="24"/>
        </w:rPr>
        <w:t xml:space="preserve"> Some areas even saw mortgage rates exceed 7% greatly affecting the demand, for housing.</w:t>
      </w:r>
    </w:p>
    <w:p w14:paraId="7227CEAC" w14:textId="056099E1" w:rsidR="001A6E71" w:rsidRPr="001A6E71" w:rsidRDefault="00000000" w:rsidP="5CCDA024">
      <w:pPr>
        <w:numPr>
          <w:ilvl w:val="0"/>
          <w:numId w:val="32"/>
        </w:numPr>
        <w:rPr>
          <w:rFonts w:eastAsiaTheme="minorEastAsia"/>
          <w:sz w:val="24"/>
          <w:szCs w:val="24"/>
        </w:rPr>
      </w:pPr>
      <w:r w:rsidRPr="5CCDA024">
        <w:rPr>
          <w:rFonts w:eastAsiaTheme="minorEastAsia"/>
          <w:b/>
          <w:bCs/>
          <w:sz w:val="24"/>
          <w:szCs w:val="24"/>
        </w:rPr>
        <w:t>Auto Loans:</w:t>
      </w:r>
      <w:r w:rsidRPr="5CCDA024">
        <w:rPr>
          <w:rFonts w:eastAsiaTheme="minorEastAsia"/>
          <w:sz w:val="24"/>
          <w:szCs w:val="24"/>
        </w:rPr>
        <w:t xml:space="preserve"> </w:t>
      </w:r>
      <w:r w:rsidR="067ABFC3" w:rsidRPr="5CCDA024">
        <w:rPr>
          <w:rFonts w:eastAsiaTheme="minorEastAsia"/>
          <w:sz w:val="24"/>
          <w:szCs w:val="24"/>
        </w:rPr>
        <w:t>Increased Treasury bond yields also resulted in interest rates, for car loans. As auto loans typically come with fixed rates the surge in yields during 2023 caused a rise in the cost of financing vehicle acquisitions for consumers. This uptick in loan expenses contributed to a decrease, in automobile sales as buyers encountered elevated payments. (</w:t>
      </w:r>
      <w:hyperlink r:id="rId28">
        <w:r w:rsidR="067ABFC3" w:rsidRPr="5CCDA024">
          <w:rPr>
            <w:rStyle w:val="Hyperlink"/>
            <w:rFonts w:eastAsiaTheme="minorEastAsia"/>
            <w:sz w:val="24"/>
            <w:szCs w:val="24"/>
          </w:rPr>
          <w:t>YCharts</w:t>
        </w:r>
      </w:hyperlink>
      <w:r w:rsidR="067ABFC3" w:rsidRPr="5CCDA024">
        <w:rPr>
          <w:rFonts w:eastAsiaTheme="minorEastAsia"/>
          <w:sz w:val="24"/>
          <w:szCs w:val="24"/>
        </w:rPr>
        <w:t>)</w:t>
      </w:r>
    </w:p>
    <w:p w14:paraId="7C309572" w14:textId="5910CFF3" w:rsidR="001A6E71" w:rsidRPr="001A6E71" w:rsidRDefault="00000000" w:rsidP="5CCDA024">
      <w:pPr>
        <w:numPr>
          <w:ilvl w:val="0"/>
          <w:numId w:val="32"/>
        </w:numPr>
        <w:rPr>
          <w:rFonts w:eastAsiaTheme="minorEastAsia"/>
          <w:sz w:val="24"/>
          <w:szCs w:val="24"/>
        </w:rPr>
      </w:pPr>
      <w:r w:rsidRPr="5CCDA024">
        <w:rPr>
          <w:rFonts w:eastAsiaTheme="minorEastAsia"/>
          <w:b/>
          <w:bCs/>
          <w:sz w:val="24"/>
          <w:szCs w:val="24"/>
        </w:rPr>
        <w:t>Credit Card Debt:</w:t>
      </w:r>
      <w:r w:rsidRPr="5CCDA024">
        <w:rPr>
          <w:rFonts w:eastAsiaTheme="minorEastAsia"/>
          <w:sz w:val="24"/>
          <w:szCs w:val="24"/>
        </w:rPr>
        <w:t xml:space="preserve"> </w:t>
      </w:r>
      <w:r w:rsidR="2DF6932B" w:rsidRPr="5CCDA024">
        <w:rPr>
          <w:rFonts w:eastAsiaTheme="minorEastAsia"/>
          <w:sz w:val="24"/>
          <w:szCs w:val="24"/>
        </w:rPr>
        <w:t xml:space="preserve">Credit card interest rates are usually influenced by trends, in interest rates. When the </w:t>
      </w:r>
      <w:r w:rsidR="00CF5C07">
        <w:rPr>
          <w:rFonts w:eastAsiaTheme="minorEastAsia"/>
          <w:sz w:val="24"/>
          <w:szCs w:val="24"/>
        </w:rPr>
        <w:t>10-year</w:t>
      </w:r>
      <w:r w:rsidR="2DF6932B" w:rsidRPr="5CCDA024">
        <w:rPr>
          <w:rFonts w:eastAsiaTheme="minorEastAsia"/>
          <w:sz w:val="24"/>
          <w:szCs w:val="24"/>
        </w:rPr>
        <w:t xml:space="preserve"> Treasury yield went up in 2023 credit card interest rates followed suit. This made it more challenging for consumers to manage their debt with inflation squeezing their income and making it tougher to settle outstanding balances. </w:t>
      </w:r>
      <w:r w:rsidRPr="5CCDA024">
        <w:rPr>
          <w:rFonts w:eastAsiaTheme="minorEastAsia"/>
          <w:sz w:val="24"/>
          <w:szCs w:val="24"/>
        </w:rPr>
        <w:t>​ (</w:t>
      </w:r>
      <w:hyperlink r:id="rId29">
        <w:r w:rsidRPr="5CCDA024">
          <w:rPr>
            <w:rStyle w:val="Hyperlink"/>
            <w:rFonts w:eastAsiaTheme="minorEastAsia"/>
            <w:sz w:val="24"/>
            <w:szCs w:val="24"/>
          </w:rPr>
          <w:t>YCharts</w:t>
        </w:r>
      </w:hyperlink>
      <w:r w:rsidRPr="5CCDA024">
        <w:rPr>
          <w:rFonts w:eastAsiaTheme="minorEastAsia"/>
          <w:sz w:val="24"/>
          <w:szCs w:val="24"/>
        </w:rPr>
        <w:t>)</w:t>
      </w:r>
    </w:p>
    <w:p w14:paraId="0A586E1A" w14:textId="18319A20" w:rsidR="0010649E" w:rsidRDefault="00000000" w:rsidP="5CCDA024">
      <w:pPr>
        <w:spacing w:before="240" w:after="240"/>
        <w:rPr>
          <w:rFonts w:eastAsiaTheme="minorEastAsia"/>
          <w:sz w:val="24"/>
          <w:szCs w:val="24"/>
        </w:rPr>
      </w:pPr>
      <w:r w:rsidRPr="5CCDA024">
        <w:rPr>
          <w:rFonts w:eastAsiaTheme="minorEastAsia"/>
          <w:sz w:val="24"/>
          <w:szCs w:val="24"/>
        </w:rPr>
        <w:t xml:space="preserve">Throughout 2023 the rise, in the </w:t>
      </w:r>
      <w:r w:rsidR="00CF5C07">
        <w:rPr>
          <w:rFonts w:eastAsiaTheme="minorEastAsia"/>
          <w:sz w:val="24"/>
          <w:szCs w:val="24"/>
        </w:rPr>
        <w:t>10-year</w:t>
      </w:r>
      <w:r w:rsidRPr="5CCDA024">
        <w:rPr>
          <w:rFonts w:eastAsiaTheme="minorEastAsia"/>
          <w:sz w:val="24"/>
          <w:szCs w:val="24"/>
        </w:rPr>
        <w:t xml:space="preserve"> Treasury yield influenced consumer debt. This resulted in increased borrowing expenses for types of loans making it harder for people to afford them and causing a slowdown, in consumer spending in the housing and automotive industries.</w:t>
      </w:r>
      <w:r w:rsidR="6DF76413" w:rsidRPr="5CCDA024">
        <w:rPr>
          <w:rFonts w:eastAsiaTheme="minorEastAsia"/>
          <w:sz w:val="24"/>
          <w:szCs w:val="24"/>
        </w:rPr>
        <w:t xml:space="preserve"> Between 2010 and 2012; During this time frame T Mobile US had </w:t>
      </w:r>
      <w:r w:rsidR="372E6CFE" w:rsidRPr="5CCDA024">
        <w:rPr>
          <w:rFonts w:eastAsiaTheme="minorEastAsia"/>
          <w:sz w:val="24"/>
          <w:szCs w:val="24"/>
        </w:rPr>
        <w:t>an</w:t>
      </w:r>
      <w:r w:rsidR="6DF76413" w:rsidRPr="5CCDA024">
        <w:rPr>
          <w:rFonts w:eastAsiaTheme="minorEastAsia"/>
          <w:sz w:val="24"/>
          <w:szCs w:val="24"/>
        </w:rPr>
        <w:t xml:space="preserve"> amount of </w:t>
      </w:r>
      <w:r w:rsidR="3B7DB190" w:rsidRPr="5CCDA024">
        <w:rPr>
          <w:rFonts w:eastAsiaTheme="minorEastAsia"/>
          <w:sz w:val="24"/>
          <w:szCs w:val="24"/>
        </w:rPr>
        <w:t>long-term</w:t>
      </w:r>
      <w:r w:rsidR="6DF76413" w:rsidRPr="5CCDA024">
        <w:rPr>
          <w:rFonts w:eastAsiaTheme="minorEastAsia"/>
          <w:sz w:val="24"/>
          <w:szCs w:val="24"/>
        </w:rPr>
        <w:t xml:space="preserve"> debt reflecting its smaller presence, in the market compared to its current size. The debt levels were typical for a company in the process of developing its network and customer </w:t>
      </w:r>
      <w:r w:rsidR="3752F210" w:rsidRPr="5CCDA024">
        <w:rPr>
          <w:rFonts w:eastAsiaTheme="minorEastAsia"/>
          <w:sz w:val="24"/>
          <w:szCs w:val="24"/>
        </w:rPr>
        <w:t>base. From</w:t>
      </w:r>
      <w:r w:rsidR="6DF76413" w:rsidRPr="5CCDA024">
        <w:rPr>
          <w:rFonts w:eastAsiaTheme="minorEastAsia"/>
          <w:sz w:val="24"/>
          <w:szCs w:val="24"/>
        </w:rPr>
        <w:t xml:space="preserve"> 2013 to </w:t>
      </w:r>
      <w:r w:rsidR="49D43BFA" w:rsidRPr="5CCDA024">
        <w:rPr>
          <w:rFonts w:eastAsiaTheme="minorEastAsia"/>
          <w:sz w:val="24"/>
          <w:szCs w:val="24"/>
        </w:rPr>
        <w:t>2014, T</w:t>
      </w:r>
      <w:r w:rsidR="6DF76413" w:rsidRPr="5CCDA024">
        <w:rPr>
          <w:rFonts w:eastAsiaTheme="minorEastAsia"/>
          <w:sz w:val="24"/>
          <w:szCs w:val="24"/>
        </w:rPr>
        <w:t xml:space="preserve"> Mobile initiated its "</w:t>
      </w:r>
      <w:r w:rsidR="00CF5C07">
        <w:rPr>
          <w:rFonts w:eastAsiaTheme="minorEastAsia"/>
          <w:sz w:val="24"/>
          <w:szCs w:val="24"/>
        </w:rPr>
        <w:t>Un-carrier</w:t>
      </w:r>
      <w:r w:rsidR="6DF76413" w:rsidRPr="5CCDA024">
        <w:rPr>
          <w:rFonts w:eastAsiaTheme="minorEastAsia"/>
          <w:sz w:val="24"/>
          <w:szCs w:val="24"/>
        </w:rPr>
        <w:t xml:space="preserve">" strategy during this period, which involved making investments in infrastructure and marketing. This led to an increase in long-term debt as the company borrowed funds to support these </w:t>
      </w:r>
      <w:proofErr w:type="spellStart"/>
      <w:r w:rsidR="27882387" w:rsidRPr="5CCDA024">
        <w:rPr>
          <w:rFonts w:eastAsiaTheme="minorEastAsia"/>
          <w:sz w:val="24"/>
          <w:szCs w:val="24"/>
        </w:rPr>
        <w:t>endeavors</w:t>
      </w:r>
      <w:proofErr w:type="spellEnd"/>
      <w:r w:rsidR="6DF76413" w:rsidRPr="5CCDA024">
        <w:rPr>
          <w:rFonts w:eastAsiaTheme="minorEastAsia"/>
          <w:sz w:val="24"/>
          <w:szCs w:val="24"/>
        </w:rPr>
        <w:t>.</w:t>
      </w:r>
    </w:p>
    <w:p w14:paraId="345CF09D" w14:textId="2B68645D" w:rsidR="0010649E" w:rsidRDefault="00000000" w:rsidP="5CCDA024">
      <w:pPr>
        <w:spacing w:before="240" w:after="240"/>
        <w:rPr>
          <w:rFonts w:eastAsiaTheme="minorEastAsia"/>
          <w:sz w:val="24"/>
          <w:szCs w:val="24"/>
        </w:rPr>
      </w:pPr>
      <w:r w:rsidRPr="5CCDA024">
        <w:rPr>
          <w:rFonts w:eastAsiaTheme="minorEastAsia"/>
          <w:sz w:val="24"/>
          <w:szCs w:val="24"/>
        </w:rPr>
        <w:t xml:space="preserve"> </w:t>
      </w:r>
    </w:p>
    <w:p w14:paraId="1DF2D857" w14:textId="645019F4" w:rsidR="0010649E" w:rsidRDefault="00000000" w:rsidP="5CCDA024">
      <w:pPr>
        <w:spacing w:before="240" w:after="240"/>
        <w:rPr>
          <w:rFonts w:eastAsiaTheme="minorEastAsia"/>
          <w:sz w:val="24"/>
          <w:szCs w:val="24"/>
        </w:rPr>
      </w:pPr>
      <w:r w:rsidRPr="5CCDA024">
        <w:rPr>
          <w:rFonts w:eastAsiaTheme="minorEastAsia"/>
          <w:sz w:val="24"/>
          <w:szCs w:val="24"/>
        </w:rPr>
        <w:t xml:space="preserve">In the years 2015 </w:t>
      </w:r>
      <w:r w:rsidR="00CF5C07">
        <w:rPr>
          <w:rFonts w:eastAsiaTheme="minorEastAsia"/>
          <w:sz w:val="24"/>
          <w:szCs w:val="24"/>
        </w:rPr>
        <w:t xml:space="preserve">and </w:t>
      </w:r>
      <w:r w:rsidR="1669A16C" w:rsidRPr="5CCDA024">
        <w:rPr>
          <w:rFonts w:eastAsiaTheme="minorEastAsia"/>
          <w:sz w:val="24"/>
          <w:szCs w:val="24"/>
        </w:rPr>
        <w:t>2016: There</w:t>
      </w:r>
      <w:r w:rsidRPr="5CCDA024">
        <w:rPr>
          <w:rFonts w:eastAsiaTheme="minorEastAsia"/>
          <w:sz w:val="24"/>
          <w:szCs w:val="24"/>
        </w:rPr>
        <w:t xml:space="preserve"> was an uptick in </w:t>
      </w:r>
      <w:r w:rsidR="00CF5C07">
        <w:rPr>
          <w:rFonts w:eastAsiaTheme="minorEastAsia"/>
          <w:sz w:val="24"/>
          <w:szCs w:val="24"/>
        </w:rPr>
        <w:t>long-term</w:t>
      </w:r>
      <w:r w:rsidRPr="5CCDA024">
        <w:rPr>
          <w:rFonts w:eastAsiaTheme="minorEastAsia"/>
          <w:sz w:val="24"/>
          <w:szCs w:val="24"/>
        </w:rPr>
        <w:t xml:space="preserve"> debt as T Mobile expanded its network coverage and acquired spectrum to enhance service quality. These investments were essential for T</w:t>
      </w:r>
      <w:r w:rsidR="00CF5C07">
        <w:rPr>
          <w:rFonts w:eastAsiaTheme="minorEastAsia"/>
          <w:sz w:val="24"/>
          <w:szCs w:val="24"/>
        </w:rPr>
        <w:t>-</w:t>
      </w:r>
      <w:r w:rsidRPr="5CCDA024">
        <w:rPr>
          <w:rFonts w:eastAsiaTheme="minorEastAsia"/>
          <w:sz w:val="24"/>
          <w:szCs w:val="24"/>
        </w:rPr>
        <w:t xml:space="preserve">Mobiles competitiveness against competitors like AT&amp;T and </w:t>
      </w:r>
      <w:r w:rsidR="018E163E" w:rsidRPr="5CCDA024">
        <w:rPr>
          <w:rFonts w:eastAsiaTheme="minorEastAsia"/>
          <w:sz w:val="24"/>
          <w:szCs w:val="24"/>
        </w:rPr>
        <w:t xml:space="preserve">Verizon. </w:t>
      </w:r>
      <w:r w:rsidR="018E163E" w:rsidRPr="5CCDA024">
        <w:rPr>
          <w:rFonts w:eastAsiaTheme="minorEastAsia"/>
          <w:sz w:val="24"/>
          <w:szCs w:val="24"/>
        </w:rPr>
        <w:lastRenderedPageBreak/>
        <w:t>During</w:t>
      </w:r>
      <w:r w:rsidRPr="5CCDA024">
        <w:rPr>
          <w:rFonts w:eastAsiaTheme="minorEastAsia"/>
          <w:sz w:val="24"/>
          <w:szCs w:val="24"/>
        </w:rPr>
        <w:t xml:space="preserve"> 2017</w:t>
      </w:r>
      <w:r w:rsidR="2DC5405B" w:rsidRPr="5CCDA024">
        <w:rPr>
          <w:rFonts w:eastAsiaTheme="minorEastAsia"/>
          <w:sz w:val="24"/>
          <w:szCs w:val="24"/>
        </w:rPr>
        <w:t xml:space="preserve"> and </w:t>
      </w:r>
      <w:r w:rsidR="01CA8439" w:rsidRPr="5CCDA024">
        <w:rPr>
          <w:rFonts w:eastAsiaTheme="minorEastAsia"/>
          <w:sz w:val="24"/>
          <w:szCs w:val="24"/>
        </w:rPr>
        <w:t xml:space="preserve">2018, </w:t>
      </w:r>
      <w:r w:rsidR="00CF5C07">
        <w:rPr>
          <w:rFonts w:eastAsiaTheme="minorEastAsia"/>
          <w:sz w:val="24"/>
          <w:szCs w:val="24"/>
        </w:rPr>
        <w:t>Long-term</w:t>
      </w:r>
      <w:r w:rsidRPr="5CCDA024">
        <w:rPr>
          <w:rFonts w:eastAsiaTheme="minorEastAsia"/>
          <w:sz w:val="24"/>
          <w:szCs w:val="24"/>
        </w:rPr>
        <w:t xml:space="preserve"> debt continued to rise partly due to T</w:t>
      </w:r>
      <w:r w:rsidR="00CF5C07">
        <w:rPr>
          <w:rFonts w:eastAsiaTheme="minorEastAsia"/>
          <w:sz w:val="24"/>
          <w:szCs w:val="24"/>
        </w:rPr>
        <w:t>-Mobiles'</w:t>
      </w:r>
      <w:r w:rsidRPr="5CCDA024">
        <w:rPr>
          <w:rFonts w:eastAsiaTheme="minorEastAsia"/>
          <w:sz w:val="24"/>
          <w:szCs w:val="24"/>
        </w:rPr>
        <w:t xml:space="preserve"> preparations for merging with Sprint a move announced in 2018. The company needed financing to handle the </w:t>
      </w:r>
      <w:r w:rsidR="00CF5C07">
        <w:rPr>
          <w:rFonts w:eastAsiaTheme="minorEastAsia"/>
          <w:sz w:val="24"/>
          <w:szCs w:val="24"/>
        </w:rPr>
        <w:t>merger</w:t>
      </w:r>
      <w:r w:rsidRPr="5CCDA024">
        <w:rPr>
          <w:rFonts w:eastAsiaTheme="minorEastAsia"/>
          <w:sz w:val="24"/>
          <w:szCs w:val="24"/>
        </w:rPr>
        <w:t xml:space="preserve"> complexities and sustain its network expansion.</w:t>
      </w:r>
    </w:p>
    <w:p w14:paraId="286CB918" w14:textId="2D9EFE75" w:rsidR="0010649E" w:rsidRDefault="00000000" w:rsidP="5CCDA024">
      <w:pPr>
        <w:spacing w:before="240" w:after="240"/>
        <w:rPr>
          <w:rFonts w:eastAsiaTheme="minorEastAsia"/>
          <w:sz w:val="24"/>
          <w:szCs w:val="24"/>
        </w:rPr>
      </w:pPr>
      <w:r w:rsidRPr="5CCDA024">
        <w:rPr>
          <w:rFonts w:eastAsiaTheme="minorEastAsia"/>
          <w:sz w:val="24"/>
          <w:szCs w:val="24"/>
        </w:rPr>
        <w:t xml:space="preserve"> </w:t>
      </w:r>
    </w:p>
    <w:p w14:paraId="276DAAD8" w14:textId="10CFB942" w:rsidR="0010649E" w:rsidRDefault="00000000" w:rsidP="5CCDA024">
      <w:pPr>
        <w:spacing w:before="240" w:after="240"/>
        <w:rPr>
          <w:rFonts w:eastAsiaTheme="minorEastAsia"/>
          <w:sz w:val="24"/>
          <w:szCs w:val="24"/>
        </w:rPr>
      </w:pPr>
      <w:r w:rsidRPr="5CCDA024">
        <w:rPr>
          <w:rFonts w:eastAsiaTheme="minorEastAsia"/>
          <w:sz w:val="24"/>
          <w:szCs w:val="24"/>
        </w:rPr>
        <w:t>In the period from 2019</w:t>
      </w:r>
      <w:r w:rsidR="737F03CD" w:rsidRPr="5CCDA024">
        <w:rPr>
          <w:rFonts w:eastAsiaTheme="minorEastAsia"/>
          <w:sz w:val="24"/>
          <w:szCs w:val="24"/>
        </w:rPr>
        <w:t xml:space="preserve"> </w:t>
      </w:r>
      <w:r w:rsidRPr="5CCDA024">
        <w:rPr>
          <w:rFonts w:eastAsiaTheme="minorEastAsia"/>
          <w:sz w:val="24"/>
          <w:szCs w:val="24"/>
        </w:rPr>
        <w:t xml:space="preserve">completion of the merger with Sprint in 2020 had an impact, on </w:t>
      </w:r>
      <w:r w:rsidR="00CF5C07">
        <w:rPr>
          <w:rFonts w:eastAsiaTheme="minorEastAsia"/>
          <w:sz w:val="24"/>
          <w:szCs w:val="24"/>
        </w:rPr>
        <w:t xml:space="preserve">      </w:t>
      </w:r>
      <w:r w:rsidRPr="5CCDA024">
        <w:rPr>
          <w:rFonts w:eastAsiaTheme="minorEastAsia"/>
          <w:sz w:val="24"/>
          <w:szCs w:val="24"/>
        </w:rPr>
        <w:t>T</w:t>
      </w:r>
      <w:r w:rsidR="00CF5C07">
        <w:rPr>
          <w:rFonts w:eastAsiaTheme="minorEastAsia"/>
          <w:sz w:val="24"/>
          <w:szCs w:val="24"/>
        </w:rPr>
        <w:t>-Mobiles'</w:t>
      </w:r>
      <w:r w:rsidRPr="5CCDA024">
        <w:rPr>
          <w:rFonts w:eastAsiaTheme="minorEastAsia"/>
          <w:sz w:val="24"/>
          <w:szCs w:val="24"/>
        </w:rPr>
        <w:t xml:space="preserve"> standing.</w:t>
      </w:r>
    </w:p>
    <w:p w14:paraId="75DDE236" w14:textId="13DBC2C3" w:rsidR="0010649E" w:rsidRDefault="00000000" w:rsidP="5CCDA024">
      <w:pPr>
        <w:spacing w:before="240" w:after="240"/>
        <w:rPr>
          <w:rFonts w:eastAsiaTheme="minorEastAsia"/>
          <w:sz w:val="24"/>
          <w:szCs w:val="24"/>
        </w:rPr>
      </w:pPr>
      <w:r w:rsidRPr="5CCDA024">
        <w:rPr>
          <w:rFonts w:eastAsiaTheme="minorEastAsia"/>
          <w:sz w:val="24"/>
          <w:szCs w:val="24"/>
        </w:rPr>
        <w:t xml:space="preserve">The merger resulted in T Mobile taking on an amount of debt, from Sprint leading to an increase in its </w:t>
      </w:r>
      <w:r w:rsidR="346CA0E6" w:rsidRPr="5CCDA024">
        <w:rPr>
          <w:rFonts w:eastAsiaTheme="minorEastAsia"/>
          <w:sz w:val="24"/>
          <w:szCs w:val="24"/>
        </w:rPr>
        <w:t>long-term</w:t>
      </w:r>
      <w:r w:rsidRPr="5CCDA024">
        <w:rPr>
          <w:rFonts w:eastAsiaTheme="minorEastAsia"/>
          <w:sz w:val="24"/>
          <w:szCs w:val="24"/>
        </w:rPr>
        <w:t xml:space="preserve"> debt over the </w:t>
      </w:r>
      <w:r w:rsidR="7EA73380" w:rsidRPr="5CCDA024">
        <w:rPr>
          <w:rFonts w:eastAsiaTheme="minorEastAsia"/>
          <w:sz w:val="24"/>
          <w:szCs w:val="24"/>
        </w:rPr>
        <w:t>years. In</w:t>
      </w:r>
      <w:r w:rsidRPr="5CCDA024">
        <w:rPr>
          <w:rFonts w:eastAsiaTheme="minorEastAsia"/>
          <w:sz w:val="24"/>
          <w:szCs w:val="24"/>
        </w:rPr>
        <w:t xml:space="preserve"> 2021 T</w:t>
      </w:r>
      <w:r w:rsidR="00CF5C07">
        <w:rPr>
          <w:rFonts w:eastAsiaTheme="minorEastAsia"/>
          <w:sz w:val="24"/>
          <w:szCs w:val="24"/>
        </w:rPr>
        <w:t>-Mobiles'</w:t>
      </w:r>
      <w:r w:rsidRPr="5CCDA024">
        <w:rPr>
          <w:rFonts w:eastAsiaTheme="minorEastAsia"/>
          <w:sz w:val="24"/>
          <w:szCs w:val="24"/>
        </w:rPr>
        <w:t xml:space="preserve"> </w:t>
      </w:r>
      <w:r w:rsidR="00CF5C07">
        <w:rPr>
          <w:rFonts w:eastAsiaTheme="minorEastAsia"/>
          <w:sz w:val="24"/>
          <w:szCs w:val="24"/>
        </w:rPr>
        <w:t>long-term</w:t>
      </w:r>
      <w:r w:rsidRPr="5CCDA024">
        <w:rPr>
          <w:rFonts w:eastAsiaTheme="minorEastAsia"/>
          <w:sz w:val="24"/>
          <w:szCs w:val="24"/>
        </w:rPr>
        <w:t xml:space="preserve"> debt amounted to $72.831 billion showing a 2.55% uptick from the year. This indicates that the company was working on stabilizing its financials </w:t>
      </w:r>
      <w:r w:rsidR="6395A931" w:rsidRPr="5CCDA024">
        <w:rPr>
          <w:rFonts w:eastAsiaTheme="minorEastAsia"/>
          <w:sz w:val="24"/>
          <w:szCs w:val="24"/>
        </w:rPr>
        <w:t>post-merger</w:t>
      </w:r>
      <w:r w:rsidRPr="5CCDA024">
        <w:rPr>
          <w:rFonts w:eastAsiaTheme="minorEastAsia"/>
          <w:sz w:val="24"/>
          <w:szCs w:val="24"/>
        </w:rPr>
        <w:t xml:space="preserve"> and effectively managing its debt while integrating </w:t>
      </w:r>
      <w:r w:rsidR="00CF5C07">
        <w:rPr>
          <w:rFonts w:eastAsiaTheme="minorEastAsia"/>
          <w:sz w:val="24"/>
          <w:szCs w:val="24"/>
        </w:rPr>
        <w:t>Sprint's</w:t>
      </w:r>
      <w:r w:rsidRPr="5CCDA024">
        <w:rPr>
          <w:rFonts w:eastAsiaTheme="minorEastAsia"/>
          <w:sz w:val="24"/>
          <w:szCs w:val="24"/>
        </w:rPr>
        <w:t xml:space="preserve"> assets and customer </w:t>
      </w:r>
      <w:r w:rsidR="649936F8" w:rsidRPr="5CCDA024">
        <w:rPr>
          <w:rFonts w:eastAsiaTheme="minorEastAsia"/>
          <w:sz w:val="24"/>
          <w:szCs w:val="24"/>
        </w:rPr>
        <w:t>base. By</w:t>
      </w:r>
      <w:r w:rsidRPr="5CCDA024">
        <w:rPr>
          <w:rFonts w:eastAsiaTheme="minorEastAsia"/>
          <w:sz w:val="24"/>
          <w:szCs w:val="24"/>
        </w:rPr>
        <w:t xml:space="preserve"> 2022 the </w:t>
      </w:r>
      <w:r w:rsidR="42559CDC" w:rsidRPr="5CCDA024">
        <w:rPr>
          <w:rFonts w:eastAsiaTheme="minorEastAsia"/>
          <w:sz w:val="24"/>
          <w:szCs w:val="24"/>
        </w:rPr>
        <w:t>long-term</w:t>
      </w:r>
      <w:r w:rsidRPr="5CCDA024">
        <w:rPr>
          <w:rFonts w:eastAsiaTheme="minorEastAsia"/>
          <w:sz w:val="24"/>
          <w:szCs w:val="24"/>
        </w:rPr>
        <w:t xml:space="preserve"> debt had slightly decreased to $72.1 billion </w:t>
      </w:r>
      <w:r w:rsidR="4529A165" w:rsidRPr="5CCDA024">
        <w:rPr>
          <w:rFonts w:eastAsiaTheme="minorEastAsia"/>
          <w:sz w:val="24"/>
          <w:szCs w:val="24"/>
        </w:rPr>
        <w:t>signalling</w:t>
      </w:r>
      <w:r w:rsidRPr="5CCDA024">
        <w:rPr>
          <w:rFonts w:eastAsiaTheme="minorEastAsia"/>
          <w:sz w:val="24"/>
          <w:szCs w:val="24"/>
        </w:rPr>
        <w:t xml:space="preserve"> a 1% decline from 2021. This reduction suggests that T Mobile was prioritizing reducing its debt load and potentially exploring refinancing options to strengthen its standing following the merger.</w:t>
      </w:r>
    </w:p>
    <w:p w14:paraId="0BBC14B2" w14:textId="5EF8B484" w:rsidR="0010649E" w:rsidRDefault="00000000" w:rsidP="5CCDA024">
      <w:pPr>
        <w:spacing w:before="240" w:after="240"/>
        <w:rPr>
          <w:rFonts w:eastAsiaTheme="minorEastAsia"/>
          <w:sz w:val="24"/>
          <w:szCs w:val="24"/>
        </w:rPr>
      </w:pPr>
      <w:r w:rsidRPr="5CCDA024">
        <w:rPr>
          <w:rFonts w:eastAsiaTheme="minorEastAsia"/>
          <w:sz w:val="24"/>
          <w:szCs w:val="24"/>
        </w:rPr>
        <w:t xml:space="preserve"> </w:t>
      </w:r>
    </w:p>
    <w:p w14:paraId="227FDD26" w14:textId="5B4E3A1F" w:rsidR="0010649E" w:rsidRDefault="00000000" w:rsidP="5CCDA024">
      <w:pPr>
        <w:spacing w:before="240" w:after="240"/>
        <w:rPr>
          <w:rFonts w:eastAsiaTheme="minorEastAsia"/>
          <w:sz w:val="24"/>
          <w:szCs w:val="24"/>
        </w:rPr>
      </w:pPr>
      <w:r w:rsidRPr="5CCDA024">
        <w:rPr>
          <w:rFonts w:eastAsiaTheme="minorEastAsia"/>
          <w:sz w:val="24"/>
          <w:szCs w:val="24"/>
        </w:rPr>
        <w:t>However,</w:t>
      </w:r>
      <w:r w:rsidR="6DF76413" w:rsidRPr="5CCDA024">
        <w:rPr>
          <w:rFonts w:eastAsiaTheme="minorEastAsia"/>
          <w:sz w:val="24"/>
          <w:szCs w:val="24"/>
        </w:rPr>
        <w:t xml:space="preserve"> in 2023 T Mobile experienced another increase in </w:t>
      </w:r>
      <w:r w:rsidR="00CF5C07">
        <w:rPr>
          <w:rFonts w:eastAsiaTheme="minorEastAsia"/>
          <w:sz w:val="24"/>
          <w:szCs w:val="24"/>
        </w:rPr>
        <w:t>long-term</w:t>
      </w:r>
      <w:r w:rsidR="6DF76413" w:rsidRPr="5CCDA024">
        <w:rPr>
          <w:rFonts w:eastAsiaTheme="minorEastAsia"/>
          <w:sz w:val="24"/>
          <w:szCs w:val="24"/>
        </w:rPr>
        <w:t xml:space="preserve"> debt reaching $76.412 billion 5.98% surge from the year. This rise could be attributed to investments in enhancing their 5G infrastructure expanding their network reach and covering expenses related to merging </w:t>
      </w:r>
      <w:r w:rsidR="00CF5C07">
        <w:rPr>
          <w:rFonts w:eastAsiaTheme="minorEastAsia"/>
          <w:sz w:val="24"/>
          <w:szCs w:val="24"/>
        </w:rPr>
        <w:t>Sprint's</w:t>
      </w:r>
      <w:r w:rsidR="6DF76413" w:rsidRPr="5CCDA024">
        <w:rPr>
          <w:rFonts w:eastAsiaTheme="minorEastAsia"/>
          <w:sz w:val="24"/>
          <w:szCs w:val="24"/>
        </w:rPr>
        <w:t xml:space="preserve"> operations and </w:t>
      </w:r>
      <w:r w:rsidR="1ECF42D9" w:rsidRPr="5CCDA024">
        <w:rPr>
          <w:rFonts w:eastAsiaTheme="minorEastAsia"/>
          <w:sz w:val="24"/>
          <w:szCs w:val="24"/>
        </w:rPr>
        <w:t>network. By</w:t>
      </w:r>
      <w:r w:rsidR="6DF76413" w:rsidRPr="5CCDA024">
        <w:rPr>
          <w:rFonts w:eastAsiaTheme="minorEastAsia"/>
          <w:sz w:val="24"/>
          <w:szCs w:val="24"/>
        </w:rPr>
        <w:t xml:space="preserve"> Q2 of 2024 (as of June 30) </w:t>
      </w:r>
      <w:r w:rsidR="00CF5C07">
        <w:rPr>
          <w:rFonts w:eastAsiaTheme="minorEastAsia"/>
          <w:sz w:val="24"/>
          <w:szCs w:val="24"/>
        </w:rPr>
        <w:t>T-Mobile's long-term</w:t>
      </w:r>
      <w:r w:rsidR="6DF76413" w:rsidRPr="5CCDA024">
        <w:rPr>
          <w:rFonts w:eastAsiaTheme="minorEastAsia"/>
          <w:sz w:val="24"/>
          <w:szCs w:val="24"/>
        </w:rPr>
        <w:t xml:space="preserve"> debt had climbed further to $76.557 billion representing a 1.73% increase compared to the year.</w:t>
      </w:r>
    </w:p>
    <w:p w14:paraId="1FE30F01" w14:textId="56868E6B" w:rsidR="001A6E71" w:rsidRDefault="00000000" w:rsidP="00F20B18">
      <w:pPr>
        <w:spacing w:before="240" w:after="240"/>
        <w:rPr>
          <w:rFonts w:eastAsiaTheme="minorEastAsia"/>
          <w:sz w:val="24"/>
          <w:szCs w:val="24"/>
        </w:rPr>
      </w:pPr>
      <w:r w:rsidRPr="5CCDA024">
        <w:rPr>
          <w:rFonts w:eastAsiaTheme="minorEastAsia"/>
          <w:sz w:val="24"/>
          <w:szCs w:val="24"/>
        </w:rPr>
        <w:t xml:space="preserve">The rise, in numbers suggests investments and possibly strategic refinancing or taking on loans to support its operations and competitive stance in the 5G </w:t>
      </w:r>
      <w:r w:rsidR="157CF4B3" w:rsidRPr="5CCDA024">
        <w:rPr>
          <w:rFonts w:eastAsiaTheme="minorEastAsia"/>
          <w:sz w:val="24"/>
          <w:szCs w:val="24"/>
        </w:rPr>
        <w:t>market. Impact</w:t>
      </w:r>
      <w:r w:rsidRPr="5CCDA024">
        <w:rPr>
          <w:rFonts w:eastAsiaTheme="minorEastAsia"/>
          <w:sz w:val="24"/>
          <w:szCs w:val="24"/>
        </w:rPr>
        <w:t xml:space="preserve"> of Merger; The merger with Sprint affected T</w:t>
      </w:r>
      <w:r w:rsidR="00CF5C07">
        <w:rPr>
          <w:rFonts w:eastAsiaTheme="minorEastAsia"/>
          <w:sz w:val="24"/>
          <w:szCs w:val="24"/>
        </w:rPr>
        <w:t>-Mobile's</w:t>
      </w:r>
      <w:r w:rsidRPr="5CCDA024">
        <w:rPr>
          <w:rFonts w:eastAsiaTheme="minorEastAsia"/>
          <w:sz w:val="24"/>
          <w:szCs w:val="24"/>
        </w:rPr>
        <w:t xml:space="preserve"> </w:t>
      </w:r>
      <w:r w:rsidR="00CF5C07">
        <w:rPr>
          <w:rFonts w:eastAsiaTheme="minorEastAsia"/>
          <w:sz w:val="24"/>
          <w:szCs w:val="24"/>
        </w:rPr>
        <w:t>long-term</w:t>
      </w:r>
      <w:r w:rsidRPr="5CCDA024">
        <w:rPr>
          <w:rFonts w:eastAsiaTheme="minorEastAsia"/>
          <w:sz w:val="24"/>
          <w:szCs w:val="24"/>
        </w:rPr>
        <w:t xml:space="preserve"> debt increasing its obligations. </w:t>
      </w:r>
      <w:r w:rsidR="292286B4" w:rsidRPr="5CCDA024">
        <w:rPr>
          <w:rFonts w:eastAsiaTheme="minorEastAsia"/>
          <w:sz w:val="24"/>
          <w:szCs w:val="24"/>
        </w:rPr>
        <w:t>However,</w:t>
      </w:r>
      <w:r w:rsidRPr="5CCDA024">
        <w:rPr>
          <w:rFonts w:eastAsiaTheme="minorEastAsia"/>
          <w:sz w:val="24"/>
          <w:szCs w:val="24"/>
        </w:rPr>
        <w:t xml:space="preserve"> it also positioned </w:t>
      </w:r>
      <w:r w:rsidR="00CF5C07">
        <w:rPr>
          <w:rFonts w:eastAsiaTheme="minorEastAsia"/>
          <w:sz w:val="24"/>
          <w:szCs w:val="24"/>
        </w:rPr>
        <w:t xml:space="preserve">T-Mobile </w:t>
      </w:r>
      <w:r w:rsidRPr="5CCDA024">
        <w:rPr>
          <w:rFonts w:eastAsiaTheme="minorEastAsia"/>
          <w:sz w:val="24"/>
          <w:szCs w:val="24"/>
        </w:rPr>
        <w:t xml:space="preserve">as a player in the U.S. Telecommunications </w:t>
      </w:r>
      <w:r w:rsidR="52F36794" w:rsidRPr="5CCDA024">
        <w:rPr>
          <w:rFonts w:eastAsiaTheme="minorEastAsia"/>
          <w:sz w:val="24"/>
          <w:szCs w:val="24"/>
        </w:rPr>
        <w:t>market. Focus</w:t>
      </w:r>
      <w:r w:rsidRPr="5CCDA024">
        <w:rPr>
          <w:rFonts w:eastAsiaTheme="minorEastAsia"/>
          <w:sz w:val="24"/>
          <w:szCs w:val="24"/>
        </w:rPr>
        <w:t xml:space="preserve"> on 5G Investment; A considerable part of the increased debt in times is likely linked to T Mobiles investment in its 5G infrastructure. The company is committed to maintaining its lead in 5G coverage, which necessitates capital </w:t>
      </w:r>
      <w:r w:rsidR="145688E8" w:rsidRPr="5CCDA024">
        <w:rPr>
          <w:rFonts w:eastAsiaTheme="minorEastAsia"/>
          <w:sz w:val="24"/>
          <w:szCs w:val="24"/>
        </w:rPr>
        <w:t>spending. Debt</w:t>
      </w:r>
      <w:r w:rsidRPr="5CCDA024">
        <w:rPr>
          <w:rFonts w:eastAsiaTheme="minorEastAsia"/>
          <w:sz w:val="24"/>
          <w:szCs w:val="24"/>
        </w:rPr>
        <w:t xml:space="preserve"> Handling; Despite fluctuations over time T Mobile seems to be managing its debt by engaging in deleveraging and refinancing at intervals to optimize its financial </w:t>
      </w:r>
      <w:r w:rsidR="1581BB73" w:rsidRPr="5CCDA024">
        <w:rPr>
          <w:rFonts w:eastAsiaTheme="minorEastAsia"/>
          <w:sz w:val="24"/>
          <w:szCs w:val="24"/>
        </w:rPr>
        <w:t>standing. This</w:t>
      </w:r>
      <w:r w:rsidRPr="5CCDA024">
        <w:rPr>
          <w:rFonts w:eastAsiaTheme="minorEastAsia"/>
          <w:sz w:val="24"/>
          <w:szCs w:val="24"/>
        </w:rPr>
        <w:t xml:space="preserve"> </w:t>
      </w:r>
      <w:r w:rsidR="00CF5C07">
        <w:rPr>
          <w:rFonts w:eastAsiaTheme="minorEastAsia"/>
          <w:sz w:val="24"/>
          <w:szCs w:val="24"/>
        </w:rPr>
        <w:t>historical</w:t>
      </w:r>
      <w:r w:rsidR="593D9E61" w:rsidRPr="5CCDA024">
        <w:rPr>
          <w:rFonts w:eastAsiaTheme="minorEastAsia"/>
          <w:sz w:val="24"/>
          <w:szCs w:val="24"/>
        </w:rPr>
        <w:t xml:space="preserve"> </w:t>
      </w:r>
      <w:r w:rsidRPr="5CCDA024">
        <w:rPr>
          <w:rFonts w:eastAsiaTheme="minorEastAsia"/>
          <w:sz w:val="24"/>
          <w:szCs w:val="24"/>
        </w:rPr>
        <w:t>pattern showcases how T Mobile has smartly utilized debt to drive growth expand its network and cement its position, in the telecom sector.</w:t>
      </w:r>
    </w:p>
    <w:p w14:paraId="26A13E0F" w14:textId="77777777" w:rsidR="004A4CD1" w:rsidRDefault="004A4CD1" w:rsidP="5CCDA024">
      <w:pPr>
        <w:rPr>
          <w:rFonts w:eastAsiaTheme="minorEastAsia"/>
          <w:b/>
          <w:bCs/>
          <w:sz w:val="24"/>
          <w:szCs w:val="24"/>
        </w:rPr>
      </w:pPr>
    </w:p>
    <w:p w14:paraId="4C39E79E" w14:textId="77777777" w:rsidR="004A4CD1" w:rsidRDefault="004A4CD1" w:rsidP="5CCDA024">
      <w:pPr>
        <w:rPr>
          <w:rFonts w:eastAsiaTheme="minorEastAsia"/>
          <w:b/>
          <w:bCs/>
          <w:sz w:val="24"/>
          <w:szCs w:val="24"/>
        </w:rPr>
      </w:pPr>
    </w:p>
    <w:p w14:paraId="571E2C0B" w14:textId="292F10B0" w:rsidR="004A4CD1" w:rsidRDefault="00000000" w:rsidP="5CCDA024">
      <w:pPr>
        <w:rPr>
          <w:rFonts w:eastAsiaTheme="minorEastAsia"/>
          <w:b/>
          <w:bCs/>
          <w:sz w:val="24"/>
          <w:szCs w:val="24"/>
        </w:rPr>
      </w:pPr>
      <w:r>
        <w:rPr>
          <w:rFonts w:eastAsiaTheme="minorEastAsia"/>
          <w:b/>
          <w:bCs/>
          <w:sz w:val="24"/>
          <w:szCs w:val="24"/>
        </w:rPr>
        <w:t xml:space="preserve">References </w:t>
      </w:r>
    </w:p>
    <w:p w14:paraId="6CB1C4AF" w14:textId="0467DC60" w:rsidR="00E07C9D" w:rsidRPr="005D556E" w:rsidRDefault="00000000" w:rsidP="005D556E">
      <w:pPr>
        <w:pStyle w:val="ListParagraph"/>
        <w:numPr>
          <w:ilvl w:val="0"/>
          <w:numId w:val="38"/>
        </w:numPr>
        <w:rPr>
          <w:rFonts w:eastAsiaTheme="minorEastAsia"/>
          <w:sz w:val="24"/>
          <w:szCs w:val="24"/>
        </w:rPr>
      </w:pPr>
      <w:r w:rsidRPr="5CCDA024">
        <w:rPr>
          <w:rFonts w:eastAsiaTheme="minorEastAsia"/>
          <w:sz w:val="24"/>
          <w:szCs w:val="24"/>
        </w:rPr>
        <w:t xml:space="preserve">Hargreaves Lansdown (n.d.) </w:t>
      </w:r>
      <w:r w:rsidRPr="5CCDA024">
        <w:rPr>
          <w:rStyle w:val="Emphasis"/>
          <w:rFonts w:eastAsiaTheme="minorEastAsia"/>
          <w:sz w:val="24"/>
          <w:szCs w:val="24"/>
        </w:rPr>
        <w:t>T-Mobile US Inc. Share Price Information</w:t>
      </w:r>
      <w:r w:rsidRPr="5CCDA024">
        <w:rPr>
          <w:rFonts w:eastAsiaTheme="minorEastAsia"/>
          <w:sz w:val="24"/>
          <w:szCs w:val="24"/>
        </w:rPr>
        <w:t xml:space="preserve">. Available at: </w:t>
      </w:r>
      <w:hyperlink r:id="rId30">
        <w:r w:rsidRPr="5CCDA024">
          <w:rPr>
            <w:rStyle w:val="Hyperlink"/>
            <w:rFonts w:eastAsiaTheme="minorEastAsia"/>
            <w:sz w:val="24"/>
            <w:szCs w:val="24"/>
          </w:rPr>
          <w:t>https://www.hl.co.uk/shares/shares-search-results/t/t-mobile-us-inc-usd0.001</w:t>
        </w:r>
      </w:hyperlink>
      <w:r w:rsidRPr="5CCDA024">
        <w:rPr>
          <w:rFonts w:eastAsiaTheme="minorEastAsia"/>
          <w:sz w:val="24"/>
          <w:szCs w:val="24"/>
        </w:rPr>
        <w:t>.</w:t>
      </w:r>
    </w:p>
    <w:p w14:paraId="7AD36814" w14:textId="1A63DC03" w:rsidR="00E07C9D" w:rsidRDefault="00000000" w:rsidP="5CCDA024">
      <w:pPr>
        <w:pStyle w:val="ListParagraph"/>
        <w:numPr>
          <w:ilvl w:val="0"/>
          <w:numId w:val="38"/>
        </w:numPr>
        <w:rPr>
          <w:rFonts w:eastAsiaTheme="minorEastAsia"/>
          <w:sz w:val="24"/>
          <w:szCs w:val="24"/>
        </w:rPr>
      </w:pPr>
      <w:r w:rsidRPr="5CCDA024">
        <w:rPr>
          <w:rFonts w:eastAsiaTheme="minorEastAsia"/>
          <w:sz w:val="24"/>
          <w:szCs w:val="24"/>
        </w:rPr>
        <w:lastRenderedPageBreak/>
        <w:t xml:space="preserve">The Motley Fool (n.d.) </w:t>
      </w:r>
      <w:r w:rsidRPr="5CCDA024">
        <w:rPr>
          <w:rStyle w:val="Emphasis"/>
          <w:rFonts w:eastAsiaTheme="minorEastAsia"/>
          <w:sz w:val="24"/>
          <w:szCs w:val="24"/>
        </w:rPr>
        <w:t>T-Mobile US (NASDAQ: TMUS) Stock Quote and News</w:t>
      </w:r>
      <w:r w:rsidRPr="5CCDA024">
        <w:rPr>
          <w:rFonts w:eastAsiaTheme="minorEastAsia"/>
          <w:sz w:val="24"/>
          <w:szCs w:val="24"/>
        </w:rPr>
        <w:t xml:space="preserve">. Available at: </w:t>
      </w:r>
      <w:hyperlink r:id="rId31">
        <w:r w:rsidRPr="5CCDA024">
          <w:rPr>
            <w:rStyle w:val="Hyperlink"/>
            <w:rFonts w:eastAsiaTheme="minorEastAsia"/>
            <w:sz w:val="24"/>
            <w:szCs w:val="24"/>
          </w:rPr>
          <w:t>https://www.fool.com/quote/nasdaq/tmus/</w:t>
        </w:r>
      </w:hyperlink>
      <w:r w:rsidRPr="5CCDA024">
        <w:rPr>
          <w:rFonts w:eastAsiaTheme="minorEastAsia"/>
          <w:sz w:val="24"/>
          <w:szCs w:val="24"/>
        </w:rPr>
        <w:t>.</w:t>
      </w:r>
    </w:p>
    <w:p w14:paraId="1B4CC6DF" w14:textId="629C923F" w:rsidR="00E07C9D" w:rsidRDefault="00000000" w:rsidP="5CCDA024">
      <w:pPr>
        <w:pStyle w:val="ListParagraph"/>
        <w:numPr>
          <w:ilvl w:val="0"/>
          <w:numId w:val="38"/>
        </w:numPr>
        <w:rPr>
          <w:rFonts w:eastAsiaTheme="minorEastAsia"/>
          <w:sz w:val="24"/>
          <w:szCs w:val="24"/>
        </w:rPr>
      </w:pPr>
      <w:r w:rsidRPr="5CCDA024">
        <w:rPr>
          <w:rFonts w:eastAsiaTheme="minorEastAsia"/>
          <w:sz w:val="24"/>
          <w:szCs w:val="24"/>
        </w:rPr>
        <w:t xml:space="preserve">T-Mobile US (n.d.) </w:t>
      </w:r>
      <w:r w:rsidRPr="5CCDA024">
        <w:rPr>
          <w:rStyle w:val="Emphasis"/>
          <w:rFonts w:eastAsiaTheme="minorEastAsia"/>
          <w:sz w:val="24"/>
          <w:szCs w:val="24"/>
        </w:rPr>
        <w:t>Historical Look-Up</w:t>
      </w:r>
      <w:r w:rsidRPr="5CCDA024">
        <w:rPr>
          <w:rFonts w:eastAsiaTheme="minorEastAsia"/>
          <w:sz w:val="24"/>
          <w:szCs w:val="24"/>
        </w:rPr>
        <w:t xml:space="preserve">. Available at: </w:t>
      </w:r>
      <w:hyperlink r:id="rId32">
        <w:r w:rsidRPr="5CCDA024">
          <w:rPr>
            <w:rStyle w:val="Hyperlink"/>
            <w:rFonts w:eastAsiaTheme="minorEastAsia"/>
            <w:sz w:val="24"/>
            <w:szCs w:val="24"/>
          </w:rPr>
          <w:t>https://investor.t-mobile.com/stock-info/Historical-Look-Up/default.aspx</w:t>
        </w:r>
      </w:hyperlink>
      <w:r w:rsidRPr="5CCDA024">
        <w:rPr>
          <w:rFonts w:eastAsiaTheme="minorEastAsia"/>
          <w:sz w:val="24"/>
          <w:szCs w:val="24"/>
        </w:rPr>
        <w:t>.</w:t>
      </w:r>
    </w:p>
    <w:p w14:paraId="036E1DAE" w14:textId="15DE88C6" w:rsidR="00E07C9D" w:rsidRDefault="00000000" w:rsidP="5CCDA024">
      <w:pPr>
        <w:pStyle w:val="ListParagraph"/>
        <w:numPr>
          <w:ilvl w:val="0"/>
          <w:numId w:val="38"/>
        </w:numPr>
        <w:rPr>
          <w:rFonts w:eastAsiaTheme="minorEastAsia"/>
          <w:sz w:val="24"/>
          <w:szCs w:val="24"/>
        </w:rPr>
      </w:pPr>
      <w:r w:rsidRPr="5CCDA024">
        <w:rPr>
          <w:rFonts w:eastAsiaTheme="minorEastAsia"/>
          <w:sz w:val="24"/>
          <w:szCs w:val="24"/>
        </w:rPr>
        <w:t xml:space="preserve">T-Mobile US (n.d.) </w:t>
      </w:r>
      <w:r w:rsidRPr="5CCDA024">
        <w:rPr>
          <w:rStyle w:val="Emphasis"/>
          <w:rFonts w:eastAsiaTheme="minorEastAsia"/>
          <w:sz w:val="24"/>
          <w:szCs w:val="24"/>
        </w:rPr>
        <w:t>Stock Quote &amp; Chart</w:t>
      </w:r>
      <w:r w:rsidRPr="5CCDA024">
        <w:rPr>
          <w:rFonts w:eastAsiaTheme="minorEastAsia"/>
          <w:sz w:val="24"/>
          <w:szCs w:val="24"/>
        </w:rPr>
        <w:t xml:space="preserve">. Available at: </w:t>
      </w:r>
      <w:hyperlink r:id="rId33">
        <w:r w:rsidRPr="5CCDA024">
          <w:rPr>
            <w:rStyle w:val="Hyperlink"/>
            <w:rFonts w:eastAsiaTheme="minorEastAsia"/>
            <w:sz w:val="24"/>
            <w:szCs w:val="24"/>
          </w:rPr>
          <w:t>https://investor.t-mobile.com/stock-info/Stock-Quote--Chart/default.aspx</w:t>
        </w:r>
      </w:hyperlink>
      <w:r w:rsidRPr="5CCDA024">
        <w:rPr>
          <w:rFonts w:eastAsiaTheme="minorEastAsia"/>
          <w:sz w:val="24"/>
          <w:szCs w:val="24"/>
        </w:rPr>
        <w:t>.</w:t>
      </w:r>
    </w:p>
    <w:p w14:paraId="72916633" w14:textId="6F7B0102" w:rsidR="00525275" w:rsidRDefault="00000000" w:rsidP="5CCDA024">
      <w:pPr>
        <w:numPr>
          <w:ilvl w:val="0"/>
          <w:numId w:val="38"/>
        </w:numPr>
        <w:spacing w:before="100" w:beforeAutospacing="1" w:after="100" w:afterAutospacing="1" w:line="240" w:lineRule="auto"/>
        <w:rPr>
          <w:rFonts w:eastAsiaTheme="minorEastAsia"/>
          <w:sz w:val="24"/>
          <w:szCs w:val="24"/>
        </w:rPr>
      </w:pPr>
      <w:r w:rsidRPr="5CCDA024">
        <w:rPr>
          <w:rFonts w:eastAsiaTheme="minorEastAsia"/>
          <w:sz w:val="24"/>
          <w:szCs w:val="24"/>
        </w:rPr>
        <w:t xml:space="preserve">Benzinga (2024) </w:t>
      </w:r>
      <w:r w:rsidRPr="5CCDA024">
        <w:rPr>
          <w:rStyle w:val="Emphasis"/>
          <w:rFonts w:eastAsiaTheme="minorEastAsia"/>
          <w:sz w:val="24"/>
          <w:szCs w:val="24"/>
        </w:rPr>
        <w:t xml:space="preserve">Behind the Scenes of Charter </w:t>
      </w:r>
      <w:r w:rsidR="46FC4B0B" w:rsidRPr="5CCDA024">
        <w:rPr>
          <w:rStyle w:val="Emphasis"/>
          <w:rFonts w:eastAsiaTheme="minorEastAsia"/>
          <w:sz w:val="24"/>
          <w:szCs w:val="24"/>
        </w:rPr>
        <w:t>Communications'</w:t>
      </w:r>
      <w:r w:rsidRPr="5CCDA024">
        <w:rPr>
          <w:rStyle w:val="Emphasis"/>
          <w:rFonts w:eastAsiaTheme="minorEastAsia"/>
          <w:sz w:val="24"/>
          <w:szCs w:val="24"/>
        </w:rPr>
        <w:t xml:space="preserve"> Latest Options Trends</w:t>
      </w:r>
      <w:r w:rsidRPr="5CCDA024">
        <w:rPr>
          <w:rFonts w:eastAsiaTheme="minorEastAsia"/>
          <w:sz w:val="24"/>
          <w:szCs w:val="24"/>
        </w:rPr>
        <w:t xml:space="preserve">. Available at: </w:t>
      </w:r>
      <w:hyperlink r:id="rId34">
        <w:r w:rsidRPr="5CCDA024">
          <w:rPr>
            <w:rStyle w:val="Hyperlink"/>
            <w:rFonts w:eastAsiaTheme="minorEastAsia"/>
            <w:sz w:val="24"/>
            <w:szCs w:val="24"/>
          </w:rPr>
          <w:t>https://www.benzinga.com/insights/options/24/08/40352217/behind-the-scenes-of-charter-communicationss-latest-options-trends</w:t>
        </w:r>
      </w:hyperlink>
      <w:r w:rsidRPr="5CCDA024">
        <w:rPr>
          <w:rFonts w:eastAsiaTheme="minorEastAsia"/>
          <w:sz w:val="24"/>
          <w:szCs w:val="24"/>
        </w:rPr>
        <w:t>.</w:t>
      </w:r>
    </w:p>
    <w:p w14:paraId="4F0AA71D" w14:textId="77777777" w:rsidR="00525275" w:rsidRDefault="00000000" w:rsidP="5CCDA024">
      <w:pPr>
        <w:numPr>
          <w:ilvl w:val="0"/>
          <w:numId w:val="38"/>
        </w:numPr>
        <w:spacing w:before="100" w:beforeAutospacing="1" w:after="100" w:afterAutospacing="1" w:line="240" w:lineRule="auto"/>
        <w:rPr>
          <w:rFonts w:eastAsiaTheme="minorEastAsia"/>
          <w:sz w:val="24"/>
          <w:szCs w:val="24"/>
        </w:rPr>
      </w:pPr>
      <w:proofErr w:type="spellStart"/>
      <w:r w:rsidRPr="5CCDA024">
        <w:rPr>
          <w:rFonts w:eastAsiaTheme="minorEastAsia"/>
          <w:sz w:val="24"/>
          <w:szCs w:val="24"/>
        </w:rPr>
        <w:t>MarketBeat</w:t>
      </w:r>
      <w:proofErr w:type="spellEnd"/>
      <w:r w:rsidRPr="5CCDA024">
        <w:rPr>
          <w:rFonts w:eastAsiaTheme="minorEastAsia"/>
          <w:sz w:val="24"/>
          <w:szCs w:val="24"/>
        </w:rPr>
        <w:t xml:space="preserve"> (n.d.) </w:t>
      </w:r>
      <w:r w:rsidRPr="5CCDA024">
        <w:rPr>
          <w:rStyle w:val="Emphasis"/>
          <w:rFonts w:eastAsiaTheme="minorEastAsia"/>
          <w:sz w:val="24"/>
          <w:szCs w:val="24"/>
        </w:rPr>
        <w:t>Charter Communications, Inc. (NASDAQ: CHTR) Options</w:t>
      </w:r>
      <w:r w:rsidRPr="5CCDA024">
        <w:rPr>
          <w:rFonts w:eastAsiaTheme="minorEastAsia"/>
          <w:sz w:val="24"/>
          <w:szCs w:val="24"/>
        </w:rPr>
        <w:t xml:space="preserve">. Available at: </w:t>
      </w:r>
      <w:hyperlink r:id="rId35">
        <w:r w:rsidRPr="5CCDA024">
          <w:rPr>
            <w:rStyle w:val="Hyperlink"/>
            <w:rFonts w:eastAsiaTheme="minorEastAsia"/>
            <w:sz w:val="24"/>
            <w:szCs w:val="24"/>
          </w:rPr>
          <w:t>https://www.marketbeat.com/stocks/NASDAQ/CHTR/options/</w:t>
        </w:r>
      </w:hyperlink>
      <w:r w:rsidRPr="5CCDA024">
        <w:rPr>
          <w:rFonts w:eastAsiaTheme="minorEastAsia"/>
          <w:sz w:val="24"/>
          <w:szCs w:val="24"/>
        </w:rPr>
        <w:t>.</w:t>
      </w:r>
    </w:p>
    <w:p w14:paraId="66B9F5A6" w14:textId="77777777" w:rsidR="00525275" w:rsidRDefault="00000000" w:rsidP="5CCDA024">
      <w:pPr>
        <w:numPr>
          <w:ilvl w:val="0"/>
          <w:numId w:val="38"/>
        </w:numPr>
        <w:spacing w:before="100" w:beforeAutospacing="1" w:after="100" w:afterAutospacing="1" w:line="240" w:lineRule="auto"/>
        <w:rPr>
          <w:rFonts w:eastAsiaTheme="minorEastAsia"/>
          <w:sz w:val="24"/>
          <w:szCs w:val="24"/>
        </w:rPr>
      </w:pPr>
      <w:proofErr w:type="spellStart"/>
      <w:r w:rsidRPr="5CCDA024">
        <w:rPr>
          <w:rFonts w:eastAsiaTheme="minorEastAsia"/>
          <w:sz w:val="24"/>
          <w:szCs w:val="24"/>
        </w:rPr>
        <w:t>Barchart</w:t>
      </w:r>
      <w:proofErr w:type="spellEnd"/>
      <w:r w:rsidRPr="5CCDA024">
        <w:rPr>
          <w:rFonts w:eastAsiaTheme="minorEastAsia"/>
          <w:sz w:val="24"/>
          <w:szCs w:val="24"/>
        </w:rPr>
        <w:t xml:space="preserve"> (n.d.) </w:t>
      </w:r>
      <w:r w:rsidRPr="5CCDA024">
        <w:rPr>
          <w:rStyle w:val="Emphasis"/>
          <w:rFonts w:eastAsiaTheme="minorEastAsia"/>
          <w:sz w:val="24"/>
          <w:szCs w:val="24"/>
        </w:rPr>
        <w:t>Charter Communications Options</w:t>
      </w:r>
      <w:r w:rsidRPr="5CCDA024">
        <w:rPr>
          <w:rFonts w:eastAsiaTheme="minorEastAsia"/>
          <w:sz w:val="24"/>
          <w:szCs w:val="24"/>
        </w:rPr>
        <w:t xml:space="preserve">. Available at: </w:t>
      </w:r>
      <w:hyperlink r:id="rId36">
        <w:r w:rsidRPr="5CCDA024">
          <w:rPr>
            <w:rStyle w:val="Hyperlink"/>
            <w:rFonts w:eastAsiaTheme="minorEastAsia"/>
            <w:sz w:val="24"/>
            <w:szCs w:val="24"/>
          </w:rPr>
          <w:t>https://www.barchart.com/stocks/quotes/CHTR/options</w:t>
        </w:r>
      </w:hyperlink>
      <w:r w:rsidRPr="5CCDA024">
        <w:rPr>
          <w:rFonts w:eastAsiaTheme="minorEastAsia"/>
          <w:sz w:val="24"/>
          <w:szCs w:val="24"/>
        </w:rPr>
        <w:t>.</w:t>
      </w:r>
    </w:p>
    <w:p w14:paraId="0711D3A6" w14:textId="77777777" w:rsidR="00525275" w:rsidRDefault="00000000" w:rsidP="5CCDA024">
      <w:pPr>
        <w:numPr>
          <w:ilvl w:val="0"/>
          <w:numId w:val="38"/>
        </w:numPr>
        <w:spacing w:before="100" w:beforeAutospacing="1" w:after="100" w:afterAutospacing="1" w:line="240" w:lineRule="auto"/>
        <w:rPr>
          <w:rFonts w:eastAsiaTheme="minorEastAsia"/>
          <w:sz w:val="24"/>
          <w:szCs w:val="24"/>
        </w:rPr>
      </w:pPr>
      <w:r w:rsidRPr="5CCDA024">
        <w:rPr>
          <w:rFonts w:eastAsiaTheme="minorEastAsia"/>
          <w:sz w:val="24"/>
          <w:szCs w:val="24"/>
        </w:rPr>
        <w:t xml:space="preserve">Yahoo Finance (n.d.) </w:t>
      </w:r>
      <w:r w:rsidRPr="5CCDA024">
        <w:rPr>
          <w:rStyle w:val="Emphasis"/>
          <w:rFonts w:eastAsiaTheme="minorEastAsia"/>
          <w:sz w:val="24"/>
          <w:szCs w:val="24"/>
        </w:rPr>
        <w:t>Charter Communications (CHTR) Options Chain</w:t>
      </w:r>
      <w:r w:rsidRPr="5CCDA024">
        <w:rPr>
          <w:rFonts w:eastAsiaTheme="minorEastAsia"/>
          <w:sz w:val="24"/>
          <w:szCs w:val="24"/>
        </w:rPr>
        <w:t xml:space="preserve">. Available at: </w:t>
      </w:r>
      <w:hyperlink r:id="rId37">
        <w:r w:rsidRPr="5CCDA024">
          <w:rPr>
            <w:rStyle w:val="Hyperlink"/>
            <w:rFonts w:eastAsiaTheme="minorEastAsia"/>
            <w:sz w:val="24"/>
            <w:szCs w:val="24"/>
          </w:rPr>
          <w:t>https://finance.yahoo.com/quote/CHTR/options/</w:t>
        </w:r>
      </w:hyperlink>
      <w:r w:rsidRPr="5CCDA024">
        <w:rPr>
          <w:rFonts w:eastAsiaTheme="minorEastAsia"/>
          <w:sz w:val="24"/>
          <w:szCs w:val="24"/>
        </w:rPr>
        <w:t>.</w:t>
      </w:r>
    </w:p>
    <w:p w14:paraId="51F141D3" w14:textId="77777777" w:rsidR="00525275" w:rsidRDefault="00000000" w:rsidP="5CCDA024">
      <w:pPr>
        <w:numPr>
          <w:ilvl w:val="0"/>
          <w:numId w:val="38"/>
        </w:numPr>
        <w:spacing w:before="100" w:beforeAutospacing="1" w:after="100" w:afterAutospacing="1" w:line="240" w:lineRule="auto"/>
        <w:rPr>
          <w:rFonts w:eastAsiaTheme="minorEastAsia"/>
          <w:sz w:val="24"/>
          <w:szCs w:val="24"/>
        </w:rPr>
      </w:pPr>
      <w:r w:rsidRPr="5CCDA024">
        <w:rPr>
          <w:rFonts w:eastAsiaTheme="minorEastAsia"/>
          <w:sz w:val="24"/>
          <w:szCs w:val="24"/>
        </w:rPr>
        <w:t xml:space="preserve">T-Mobile US (n.d.) </w:t>
      </w:r>
      <w:r w:rsidRPr="5CCDA024">
        <w:rPr>
          <w:rStyle w:val="Emphasis"/>
          <w:rFonts w:eastAsiaTheme="minorEastAsia"/>
          <w:sz w:val="24"/>
          <w:szCs w:val="24"/>
        </w:rPr>
        <w:t>Historical Look-Up</w:t>
      </w:r>
      <w:r w:rsidRPr="5CCDA024">
        <w:rPr>
          <w:rFonts w:eastAsiaTheme="minorEastAsia"/>
          <w:sz w:val="24"/>
          <w:szCs w:val="24"/>
        </w:rPr>
        <w:t xml:space="preserve">. Available at: </w:t>
      </w:r>
      <w:hyperlink r:id="rId38">
        <w:r w:rsidRPr="5CCDA024">
          <w:rPr>
            <w:rStyle w:val="Hyperlink"/>
            <w:rFonts w:eastAsiaTheme="minorEastAsia"/>
            <w:sz w:val="24"/>
            <w:szCs w:val="24"/>
          </w:rPr>
          <w:t>https://investor.t-mobile.com/stock-info/Historical-Look-Up/default.aspx</w:t>
        </w:r>
      </w:hyperlink>
      <w:r w:rsidRPr="5CCDA024">
        <w:rPr>
          <w:rFonts w:eastAsiaTheme="minorEastAsia"/>
          <w:sz w:val="24"/>
          <w:szCs w:val="24"/>
        </w:rPr>
        <w:t>.</w:t>
      </w:r>
    </w:p>
    <w:p w14:paraId="2F77102C" w14:textId="77777777" w:rsidR="00525275" w:rsidRDefault="00000000" w:rsidP="5CCDA024">
      <w:pPr>
        <w:numPr>
          <w:ilvl w:val="0"/>
          <w:numId w:val="38"/>
        </w:numPr>
        <w:spacing w:before="100" w:beforeAutospacing="1" w:after="100" w:afterAutospacing="1" w:line="240" w:lineRule="auto"/>
        <w:rPr>
          <w:rFonts w:eastAsiaTheme="minorEastAsia"/>
          <w:sz w:val="24"/>
          <w:szCs w:val="24"/>
        </w:rPr>
      </w:pPr>
      <w:r w:rsidRPr="5CCDA024">
        <w:rPr>
          <w:rFonts w:eastAsiaTheme="minorEastAsia"/>
          <w:sz w:val="24"/>
          <w:szCs w:val="24"/>
        </w:rPr>
        <w:t xml:space="preserve">T-Mobile US (n.d.) </w:t>
      </w:r>
      <w:r w:rsidRPr="5CCDA024">
        <w:rPr>
          <w:rStyle w:val="Emphasis"/>
          <w:rFonts w:eastAsiaTheme="minorEastAsia"/>
          <w:sz w:val="24"/>
          <w:szCs w:val="24"/>
        </w:rPr>
        <w:t>Stock Quote &amp; Chart</w:t>
      </w:r>
      <w:r w:rsidRPr="5CCDA024">
        <w:rPr>
          <w:rFonts w:eastAsiaTheme="minorEastAsia"/>
          <w:sz w:val="24"/>
          <w:szCs w:val="24"/>
        </w:rPr>
        <w:t xml:space="preserve">. Available at: </w:t>
      </w:r>
      <w:hyperlink r:id="rId39">
        <w:r w:rsidRPr="5CCDA024">
          <w:rPr>
            <w:rStyle w:val="Hyperlink"/>
            <w:rFonts w:eastAsiaTheme="minorEastAsia"/>
            <w:sz w:val="24"/>
            <w:szCs w:val="24"/>
          </w:rPr>
          <w:t>https://investor.t-mobile.com/stock-info/Stock-Quote--Chart/default.aspx</w:t>
        </w:r>
      </w:hyperlink>
      <w:r w:rsidRPr="5CCDA024">
        <w:rPr>
          <w:rFonts w:eastAsiaTheme="minorEastAsia"/>
          <w:sz w:val="24"/>
          <w:szCs w:val="24"/>
        </w:rPr>
        <w:t>.</w:t>
      </w:r>
    </w:p>
    <w:p w14:paraId="2D62F89D" w14:textId="77777777" w:rsidR="00525275" w:rsidRPr="00525275" w:rsidRDefault="00000000" w:rsidP="5CCDA024">
      <w:pPr>
        <w:pStyle w:val="ListParagraph"/>
        <w:numPr>
          <w:ilvl w:val="0"/>
          <w:numId w:val="38"/>
        </w:numPr>
        <w:rPr>
          <w:rFonts w:eastAsiaTheme="minorEastAsia"/>
          <w:sz w:val="24"/>
          <w:szCs w:val="24"/>
        </w:rPr>
      </w:pPr>
      <w:r w:rsidRPr="5CCDA024">
        <w:rPr>
          <w:rFonts w:eastAsiaTheme="minorEastAsia"/>
          <w:sz w:val="24"/>
          <w:szCs w:val="24"/>
        </w:rPr>
        <w:t xml:space="preserve">Trading Economics, 2024. United States Government Bond Yield. [online] Available at: </w:t>
      </w:r>
      <w:hyperlink r:id="rId40">
        <w:r w:rsidRPr="5CCDA024">
          <w:rPr>
            <w:rStyle w:val="Hyperlink"/>
            <w:rFonts w:eastAsiaTheme="minorEastAsia"/>
            <w:sz w:val="24"/>
            <w:szCs w:val="24"/>
          </w:rPr>
          <w:t>https://tradingeconomics.com/united-states/government-bond-yield</w:t>
        </w:r>
      </w:hyperlink>
      <w:r w:rsidRPr="5CCDA024">
        <w:rPr>
          <w:rFonts w:eastAsiaTheme="minorEastAsia"/>
          <w:sz w:val="24"/>
          <w:szCs w:val="24"/>
        </w:rPr>
        <w:t>.</w:t>
      </w:r>
    </w:p>
    <w:p w14:paraId="48E86D43" w14:textId="77777777" w:rsidR="00525275" w:rsidRPr="00525275" w:rsidRDefault="00000000" w:rsidP="5CCDA024">
      <w:pPr>
        <w:pStyle w:val="ListParagraph"/>
        <w:numPr>
          <w:ilvl w:val="0"/>
          <w:numId w:val="38"/>
        </w:numPr>
        <w:rPr>
          <w:rFonts w:eastAsiaTheme="minorEastAsia"/>
          <w:sz w:val="24"/>
          <w:szCs w:val="24"/>
        </w:rPr>
      </w:pPr>
      <w:r w:rsidRPr="5CCDA024">
        <w:rPr>
          <w:rFonts w:eastAsiaTheme="minorEastAsia"/>
          <w:sz w:val="24"/>
          <w:szCs w:val="24"/>
        </w:rPr>
        <w:t xml:space="preserve">CME Group, 2024. 10-Year US Treasury Note. [online] Available at: </w:t>
      </w:r>
      <w:hyperlink r:id="rId41">
        <w:r w:rsidRPr="5CCDA024">
          <w:rPr>
            <w:rStyle w:val="Hyperlink"/>
            <w:rFonts w:eastAsiaTheme="minorEastAsia"/>
            <w:sz w:val="24"/>
            <w:szCs w:val="24"/>
          </w:rPr>
          <w:t>https://www.cmegroup.com/markets/interest-rates/us-treasury/10-year-us-treasury-note.html</w:t>
        </w:r>
      </w:hyperlink>
      <w:r w:rsidRPr="5CCDA024">
        <w:rPr>
          <w:rFonts w:eastAsiaTheme="minorEastAsia"/>
          <w:sz w:val="24"/>
          <w:szCs w:val="24"/>
        </w:rPr>
        <w:t>.</w:t>
      </w:r>
    </w:p>
    <w:p w14:paraId="17B46F18" w14:textId="77777777" w:rsidR="00525275" w:rsidRPr="00525275" w:rsidRDefault="00000000" w:rsidP="5CCDA024">
      <w:pPr>
        <w:pStyle w:val="ListParagraph"/>
        <w:numPr>
          <w:ilvl w:val="0"/>
          <w:numId w:val="38"/>
        </w:numPr>
        <w:rPr>
          <w:rFonts w:eastAsiaTheme="minorEastAsia"/>
          <w:sz w:val="24"/>
          <w:szCs w:val="24"/>
        </w:rPr>
      </w:pPr>
      <w:r w:rsidRPr="5CCDA024">
        <w:rPr>
          <w:rFonts w:eastAsiaTheme="minorEastAsia"/>
          <w:sz w:val="24"/>
          <w:szCs w:val="24"/>
        </w:rPr>
        <w:t xml:space="preserve">S&amp;P Global, 2024. SP 10-Year US Treasury Note Futures Total Return Index. [online] Available at: </w:t>
      </w:r>
      <w:hyperlink r:id="rId42">
        <w:r w:rsidRPr="5CCDA024">
          <w:rPr>
            <w:rStyle w:val="Hyperlink"/>
            <w:rFonts w:eastAsiaTheme="minorEastAsia"/>
            <w:sz w:val="24"/>
            <w:szCs w:val="24"/>
          </w:rPr>
          <w:t>https://www.spglobal.com/spdji/en/indices/fixed-income/sp-10-year-us-treasury-note-futures-total-return-index/</w:t>
        </w:r>
      </w:hyperlink>
      <w:r w:rsidRPr="5CCDA024">
        <w:rPr>
          <w:rFonts w:eastAsiaTheme="minorEastAsia"/>
          <w:sz w:val="24"/>
          <w:szCs w:val="24"/>
        </w:rPr>
        <w:t>.</w:t>
      </w:r>
    </w:p>
    <w:p w14:paraId="0016B7B3" w14:textId="77777777" w:rsidR="00525275" w:rsidRPr="00525275" w:rsidRDefault="00000000" w:rsidP="5CCDA024">
      <w:pPr>
        <w:pStyle w:val="ListParagraph"/>
        <w:numPr>
          <w:ilvl w:val="0"/>
          <w:numId w:val="38"/>
        </w:numPr>
        <w:rPr>
          <w:rFonts w:eastAsiaTheme="minorEastAsia"/>
          <w:sz w:val="24"/>
          <w:szCs w:val="24"/>
        </w:rPr>
      </w:pPr>
      <w:r w:rsidRPr="5CCDA024">
        <w:rPr>
          <w:rFonts w:eastAsiaTheme="minorEastAsia"/>
          <w:sz w:val="24"/>
          <w:szCs w:val="24"/>
        </w:rPr>
        <w:t xml:space="preserve">Yahoo Finance, 2024. Charter Communications, Inc. Options. [online] Available at: </w:t>
      </w:r>
      <w:hyperlink r:id="rId43">
        <w:r w:rsidRPr="5CCDA024">
          <w:rPr>
            <w:rStyle w:val="Hyperlink"/>
            <w:rFonts w:eastAsiaTheme="minorEastAsia"/>
            <w:sz w:val="24"/>
            <w:szCs w:val="24"/>
          </w:rPr>
          <w:t>https://finance.yahoo.com/quote/CHTR/options/</w:t>
        </w:r>
      </w:hyperlink>
      <w:r w:rsidRPr="5CCDA024">
        <w:rPr>
          <w:rFonts w:eastAsiaTheme="minorEastAsia"/>
          <w:sz w:val="24"/>
          <w:szCs w:val="24"/>
        </w:rPr>
        <w:t>.</w:t>
      </w:r>
    </w:p>
    <w:p w14:paraId="0292088D" w14:textId="77777777" w:rsidR="00525275" w:rsidRPr="00525275" w:rsidRDefault="00000000" w:rsidP="5CCDA024">
      <w:pPr>
        <w:pStyle w:val="ListParagraph"/>
        <w:numPr>
          <w:ilvl w:val="0"/>
          <w:numId w:val="38"/>
        </w:numPr>
        <w:rPr>
          <w:rFonts w:eastAsiaTheme="minorEastAsia"/>
          <w:sz w:val="24"/>
          <w:szCs w:val="24"/>
        </w:rPr>
      </w:pPr>
      <w:r w:rsidRPr="5CCDA024">
        <w:rPr>
          <w:rFonts w:eastAsiaTheme="minorEastAsia"/>
          <w:sz w:val="24"/>
          <w:szCs w:val="24"/>
        </w:rPr>
        <w:t xml:space="preserve">YCharts, 2024. 10-Year Treasury Rate. [online] Available at: </w:t>
      </w:r>
      <w:hyperlink r:id="rId44">
        <w:r w:rsidRPr="5CCDA024">
          <w:rPr>
            <w:rStyle w:val="Hyperlink"/>
            <w:rFonts w:eastAsiaTheme="minorEastAsia"/>
            <w:sz w:val="24"/>
            <w:szCs w:val="24"/>
          </w:rPr>
          <w:t>https://ycharts.com/indicators/10_year_treasury_rate</w:t>
        </w:r>
      </w:hyperlink>
      <w:r w:rsidRPr="5CCDA024">
        <w:rPr>
          <w:rFonts w:eastAsiaTheme="minorEastAsia"/>
          <w:sz w:val="24"/>
          <w:szCs w:val="24"/>
        </w:rPr>
        <w:t>.</w:t>
      </w:r>
    </w:p>
    <w:p w14:paraId="375EB761" w14:textId="271DBA20" w:rsidR="00525275" w:rsidRPr="00525275" w:rsidRDefault="00000000" w:rsidP="5CCDA024">
      <w:pPr>
        <w:pStyle w:val="ListParagraph"/>
        <w:numPr>
          <w:ilvl w:val="0"/>
          <w:numId w:val="38"/>
        </w:numPr>
        <w:rPr>
          <w:rFonts w:eastAsiaTheme="minorEastAsia"/>
          <w:sz w:val="24"/>
          <w:szCs w:val="24"/>
        </w:rPr>
      </w:pPr>
      <w:proofErr w:type="spellStart"/>
      <w:r w:rsidRPr="5CCDA024">
        <w:rPr>
          <w:rFonts w:eastAsiaTheme="minorEastAsia"/>
          <w:sz w:val="24"/>
          <w:szCs w:val="24"/>
        </w:rPr>
        <w:t>MacroTrends</w:t>
      </w:r>
      <w:proofErr w:type="spellEnd"/>
      <w:r w:rsidRPr="5CCDA024">
        <w:rPr>
          <w:rFonts w:eastAsiaTheme="minorEastAsia"/>
          <w:sz w:val="24"/>
          <w:szCs w:val="24"/>
        </w:rPr>
        <w:t xml:space="preserve">, 2024. 10-Year Treasury Bond Rate Yield Chart. [online] Available at: </w:t>
      </w:r>
      <w:hyperlink r:id="rId45">
        <w:r w:rsidRPr="5CCDA024">
          <w:rPr>
            <w:rStyle w:val="Hyperlink"/>
            <w:rFonts w:eastAsiaTheme="minorEastAsia"/>
            <w:sz w:val="24"/>
            <w:szCs w:val="24"/>
          </w:rPr>
          <w:t>https://www.macrotrends.net/2016/10-year-treasury-bond-rate-yield-chart</w:t>
        </w:r>
      </w:hyperlink>
      <w:r w:rsidRPr="5CCDA024">
        <w:rPr>
          <w:rFonts w:eastAsiaTheme="minorEastAsia"/>
          <w:sz w:val="24"/>
          <w:szCs w:val="24"/>
        </w:rPr>
        <w:t>.</w:t>
      </w:r>
    </w:p>
    <w:p w14:paraId="1369AD7B" w14:textId="248FD2DE" w:rsidR="2F95DDE1" w:rsidRDefault="00000000" w:rsidP="5CCDA024">
      <w:pPr>
        <w:pStyle w:val="ListParagraph"/>
        <w:numPr>
          <w:ilvl w:val="0"/>
          <w:numId w:val="38"/>
        </w:numPr>
        <w:rPr>
          <w:rFonts w:eastAsiaTheme="minorEastAsia"/>
          <w:sz w:val="24"/>
          <w:szCs w:val="24"/>
        </w:rPr>
      </w:pPr>
      <w:r w:rsidRPr="5CCDA024">
        <w:rPr>
          <w:rFonts w:eastAsiaTheme="minorEastAsia"/>
          <w:sz w:val="24"/>
          <w:szCs w:val="24"/>
        </w:rPr>
        <w:t xml:space="preserve">investing.com. (n.d.). </w:t>
      </w:r>
      <w:r w:rsidRPr="5CCDA024">
        <w:rPr>
          <w:rFonts w:eastAsiaTheme="minorEastAsia"/>
          <w:i/>
          <w:iCs/>
          <w:sz w:val="24"/>
          <w:szCs w:val="24"/>
        </w:rPr>
        <w:t>United States 10-Year Bond Historical Data</w:t>
      </w:r>
      <w:r w:rsidRPr="5CCDA024">
        <w:rPr>
          <w:rFonts w:eastAsiaTheme="minorEastAsia"/>
          <w:sz w:val="24"/>
          <w:szCs w:val="24"/>
        </w:rPr>
        <w:t xml:space="preserve">. Investing.com. </w:t>
      </w:r>
      <w:hyperlink r:id="rId46">
        <w:r w:rsidRPr="5CCDA024">
          <w:rPr>
            <w:rStyle w:val="Hyperlink"/>
            <w:rFonts w:eastAsiaTheme="minorEastAsia"/>
            <w:sz w:val="24"/>
            <w:szCs w:val="24"/>
          </w:rPr>
          <w:t>https://www.investing.com/rates-bonds/u.s.-10-year-bond-yield-historical-data</w:t>
        </w:r>
      </w:hyperlink>
    </w:p>
    <w:p w14:paraId="06B37330" w14:textId="7FCAAED6" w:rsidR="2807FF45" w:rsidRPr="005D556E" w:rsidRDefault="00000000" w:rsidP="5CCDA024">
      <w:pPr>
        <w:pStyle w:val="ListParagraph"/>
        <w:numPr>
          <w:ilvl w:val="0"/>
          <w:numId w:val="38"/>
        </w:numPr>
        <w:rPr>
          <w:rStyle w:val="Hyperlink"/>
          <w:rFonts w:eastAsiaTheme="minorEastAsia"/>
          <w:color w:val="auto"/>
          <w:sz w:val="24"/>
          <w:szCs w:val="24"/>
          <w:u w:val="none"/>
        </w:rPr>
      </w:pPr>
      <w:r w:rsidRPr="5CCDA024">
        <w:rPr>
          <w:rFonts w:eastAsiaTheme="minorEastAsia"/>
          <w:sz w:val="24"/>
          <w:szCs w:val="24"/>
        </w:rPr>
        <w:t xml:space="preserve">Board of Governors of the Federal Reserve System (US). (1962, January 2). </w:t>
      </w:r>
      <w:r w:rsidRPr="5CCDA024">
        <w:rPr>
          <w:rFonts w:eastAsiaTheme="minorEastAsia"/>
          <w:i/>
          <w:iCs/>
          <w:sz w:val="24"/>
          <w:szCs w:val="24"/>
        </w:rPr>
        <w:t>10-Year Treasury Constant Maturity Rate</w:t>
      </w:r>
      <w:r w:rsidRPr="5CCDA024">
        <w:rPr>
          <w:rFonts w:eastAsiaTheme="minorEastAsia"/>
          <w:sz w:val="24"/>
          <w:szCs w:val="24"/>
        </w:rPr>
        <w:t xml:space="preserve">. FRED, Federal Reserve Bank of St. Louis. </w:t>
      </w:r>
      <w:hyperlink r:id="rId47">
        <w:r w:rsidRPr="5CCDA024">
          <w:rPr>
            <w:rStyle w:val="Hyperlink"/>
            <w:rFonts w:eastAsiaTheme="minorEastAsia"/>
            <w:sz w:val="24"/>
            <w:szCs w:val="24"/>
          </w:rPr>
          <w:t>https://fred.stlouisfed.org/series/DGS10/</w:t>
        </w:r>
      </w:hyperlink>
    </w:p>
    <w:p w14:paraId="5C6A6C94" w14:textId="633B11D3"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Board of Governors of the Federal Reserve System (US). (1962, January 2). </w:t>
      </w:r>
      <w:r w:rsidRPr="005D556E">
        <w:rPr>
          <w:rFonts w:asciiTheme="minorHAnsi" w:hAnsiTheme="minorHAnsi" w:cstheme="minorHAnsi"/>
          <w:i/>
          <w:iCs/>
        </w:rPr>
        <w:t>10-Year Treasury Constant Maturity Rate</w:t>
      </w:r>
      <w:r w:rsidRPr="005D556E">
        <w:rPr>
          <w:rFonts w:asciiTheme="minorHAnsi" w:hAnsiTheme="minorHAnsi" w:cstheme="minorHAnsi"/>
        </w:rPr>
        <w:t xml:space="preserve">. FRED, Federal Reserve Bank of St. Louis. </w:t>
      </w:r>
      <w:hyperlink r:id="rId48" w:history="1">
        <w:r w:rsidRPr="00027B9D">
          <w:rPr>
            <w:rStyle w:val="Hyperlink"/>
            <w:rFonts w:asciiTheme="minorHAnsi" w:hAnsiTheme="minorHAnsi" w:cstheme="minorHAnsi"/>
          </w:rPr>
          <w:t>https://fred.stlouisfed.org/series/DGS10/</w:t>
        </w:r>
      </w:hyperlink>
      <w:r>
        <w:rPr>
          <w:rFonts w:asciiTheme="minorHAnsi" w:hAnsiTheme="minorHAnsi" w:cstheme="minorHAnsi"/>
        </w:rPr>
        <w:t xml:space="preserve"> </w:t>
      </w:r>
    </w:p>
    <w:p w14:paraId="79D45EBA" w14:textId="22596E43"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lastRenderedPageBreak/>
        <w:t xml:space="preserve">CFI Team. (2024). </w:t>
      </w:r>
      <w:r w:rsidRPr="005D556E">
        <w:rPr>
          <w:rFonts w:asciiTheme="minorHAnsi" w:hAnsiTheme="minorHAnsi" w:cstheme="minorHAnsi"/>
          <w:i/>
          <w:iCs/>
        </w:rPr>
        <w:t>Treynor Ratio</w:t>
      </w:r>
      <w:r w:rsidRPr="005D556E">
        <w:rPr>
          <w:rFonts w:asciiTheme="minorHAnsi" w:hAnsiTheme="minorHAnsi" w:cstheme="minorHAnsi"/>
        </w:rPr>
        <w:t xml:space="preserve">. Corporate Finance Institute. </w:t>
      </w:r>
      <w:hyperlink r:id="rId49" w:history="1">
        <w:r w:rsidRPr="00027B9D">
          <w:rPr>
            <w:rStyle w:val="Hyperlink"/>
            <w:rFonts w:asciiTheme="minorHAnsi" w:hAnsiTheme="minorHAnsi" w:cstheme="minorHAnsi"/>
          </w:rPr>
          <w:t>https://corporatefinanceinstitute.com/resources/career-map/sell-side/capital-markets/treynor-ratio/</w:t>
        </w:r>
      </w:hyperlink>
      <w:r>
        <w:rPr>
          <w:rFonts w:asciiTheme="minorHAnsi" w:hAnsiTheme="minorHAnsi" w:cstheme="minorHAnsi"/>
        </w:rPr>
        <w:t xml:space="preserve"> </w:t>
      </w:r>
    </w:p>
    <w:p w14:paraId="6342F42A" w14:textId="71E01AED"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CMC Markets. (n.d.). </w:t>
      </w:r>
      <w:r w:rsidRPr="005D556E">
        <w:rPr>
          <w:rFonts w:asciiTheme="minorHAnsi" w:hAnsiTheme="minorHAnsi" w:cstheme="minorHAnsi"/>
          <w:i/>
          <w:iCs/>
        </w:rPr>
        <w:t>Sharpe Ratio: Formula &amp; Calculation in Trading | CMC Markets</w:t>
      </w:r>
      <w:r w:rsidRPr="005D556E">
        <w:rPr>
          <w:rFonts w:asciiTheme="minorHAnsi" w:hAnsiTheme="minorHAnsi" w:cstheme="minorHAnsi"/>
        </w:rPr>
        <w:t xml:space="preserve">. Www.cmcmarkets.com. </w:t>
      </w:r>
      <w:hyperlink r:id="rId50" w:history="1">
        <w:r w:rsidRPr="00027B9D">
          <w:rPr>
            <w:rStyle w:val="Hyperlink"/>
            <w:rFonts w:asciiTheme="minorHAnsi" w:hAnsiTheme="minorHAnsi" w:cstheme="minorHAnsi"/>
          </w:rPr>
          <w:t>https://www.cmcmarkets.com/en-gb/trading-guides/the-sharpe-ratio-definition</w:t>
        </w:r>
      </w:hyperlink>
      <w:r>
        <w:rPr>
          <w:rFonts w:asciiTheme="minorHAnsi" w:hAnsiTheme="minorHAnsi" w:cstheme="minorHAnsi"/>
        </w:rPr>
        <w:t xml:space="preserve"> </w:t>
      </w:r>
    </w:p>
    <w:p w14:paraId="1A9DCCFF" w14:textId="2EFAF0E7"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proofErr w:type="spellStart"/>
      <w:r w:rsidRPr="005D556E">
        <w:rPr>
          <w:rFonts w:asciiTheme="minorHAnsi" w:hAnsiTheme="minorHAnsi" w:cstheme="minorHAnsi"/>
        </w:rPr>
        <w:t>Cuofano</w:t>
      </w:r>
      <w:proofErr w:type="spellEnd"/>
      <w:r w:rsidRPr="005D556E">
        <w:rPr>
          <w:rFonts w:asciiTheme="minorHAnsi" w:hAnsiTheme="minorHAnsi" w:cstheme="minorHAnsi"/>
        </w:rPr>
        <w:t xml:space="preserve">, G. (2023, November 7). </w:t>
      </w:r>
      <w:r w:rsidRPr="005D556E">
        <w:rPr>
          <w:rFonts w:asciiTheme="minorHAnsi" w:hAnsiTheme="minorHAnsi" w:cstheme="minorHAnsi"/>
          <w:i/>
          <w:iCs/>
        </w:rPr>
        <w:t>T-Mobile Business Model</w:t>
      </w:r>
      <w:r w:rsidRPr="005D556E">
        <w:rPr>
          <w:rFonts w:asciiTheme="minorHAnsi" w:hAnsiTheme="minorHAnsi" w:cstheme="minorHAnsi"/>
        </w:rPr>
        <w:t xml:space="preserve">. </w:t>
      </w:r>
      <w:proofErr w:type="spellStart"/>
      <w:r w:rsidRPr="005D556E">
        <w:rPr>
          <w:rFonts w:asciiTheme="minorHAnsi" w:hAnsiTheme="minorHAnsi" w:cstheme="minorHAnsi"/>
        </w:rPr>
        <w:t>FourWeekMBA</w:t>
      </w:r>
      <w:proofErr w:type="spellEnd"/>
      <w:r w:rsidRPr="005D556E">
        <w:rPr>
          <w:rFonts w:asciiTheme="minorHAnsi" w:hAnsiTheme="minorHAnsi" w:cstheme="minorHAnsi"/>
        </w:rPr>
        <w:t xml:space="preserve">. </w:t>
      </w:r>
      <w:hyperlink r:id="rId51" w:history="1">
        <w:r w:rsidRPr="00027B9D">
          <w:rPr>
            <w:rStyle w:val="Hyperlink"/>
            <w:rFonts w:asciiTheme="minorHAnsi" w:hAnsiTheme="minorHAnsi" w:cstheme="minorHAnsi"/>
          </w:rPr>
          <w:t>https://fourweekmba.com/t-mobile-business-model/</w:t>
        </w:r>
      </w:hyperlink>
      <w:r>
        <w:rPr>
          <w:rFonts w:asciiTheme="minorHAnsi" w:hAnsiTheme="minorHAnsi" w:cstheme="minorHAnsi"/>
        </w:rPr>
        <w:t xml:space="preserve"> </w:t>
      </w:r>
    </w:p>
    <w:p w14:paraId="32CE0F08" w14:textId="182619A3"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proofErr w:type="spellStart"/>
      <w:r w:rsidRPr="005D556E">
        <w:rPr>
          <w:rFonts w:asciiTheme="minorHAnsi" w:hAnsiTheme="minorHAnsi" w:cstheme="minorHAnsi"/>
        </w:rPr>
        <w:t>Groww</w:t>
      </w:r>
      <w:proofErr w:type="spellEnd"/>
      <w:r w:rsidRPr="005D556E">
        <w:rPr>
          <w:rFonts w:asciiTheme="minorHAnsi" w:hAnsiTheme="minorHAnsi" w:cstheme="minorHAnsi"/>
        </w:rPr>
        <w:t xml:space="preserve">. (n.d.). </w:t>
      </w:r>
      <w:r w:rsidRPr="005D556E">
        <w:rPr>
          <w:rFonts w:asciiTheme="minorHAnsi" w:hAnsiTheme="minorHAnsi" w:cstheme="minorHAnsi"/>
          <w:i/>
          <w:iCs/>
        </w:rPr>
        <w:t>CAGR - Definition &amp; Formula for Compounded Annual Growth Rate</w:t>
      </w:r>
      <w:r w:rsidRPr="005D556E">
        <w:rPr>
          <w:rFonts w:asciiTheme="minorHAnsi" w:hAnsiTheme="minorHAnsi" w:cstheme="minorHAnsi"/>
        </w:rPr>
        <w:t xml:space="preserve">. </w:t>
      </w:r>
      <w:proofErr w:type="spellStart"/>
      <w:r w:rsidRPr="005D556E">
        <w:rPr>
          <w:rFonts w:asciiTheme="minorHAnsi" w:hAnsiTheme="minorHAnsi" w:cstheme="minorHAnsi"/>
        </w:rPr>
        <w:t>Groww</w:t>
      </w:r>
      <w:proofErr w:type="spellEnd"/>
      <w:r w:rsidRPr="005D556E">
        <w:rPr>
          <w:rFonts w:asciiTheme="minorHAnsi" w:hAnsiTheme="minorHAnsi" w:cstheme="minorHAnsi"/>
        </w:rPr>
        <w:t xml:space="preserve">. </w:t>
      </w:r>
      <w:hyperlink r:id="rId52" w:history="1">
        <w:r w:rsidRPr="00027B9D">
          <w:rPr>
            <w:rStyle w:val="Hyperlink"/>
            <w:rFonts w:asciiTheme="minorHAnsi" w:hAnsiTheme="minorHAnsi" w:cstheme="minorHAnsi"/>
          </w:rPr>
          <w:t>https://groww.in/p/cagr-compounded-annual-growth-rate</w:t>
        </w:r>
      </w:hyperlink>
      <w:r>
        <w:rPr>
          <w:rFonts w:asciiTheme="minorHAnsi" w:hAnsiTheme="minorHAnsi" w:cstheme="minorHAnsi"/>
        </w:rPr>
        <w:t xml:space="preserve"> </w:t>
      </w:r>
    </w:p>
    <w:p w14:paraId="262368D2" w14:textId="6290A06B"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investing.com. (n.d.). </w:t>
      </w:r>
      <w:r w:rsidRPr="005D556E">
        <w:rPr>
          <w:rFonts w:asciiTheme="minorHAnsi" w:hAnsiTheme="minorHAnsi" w:cstheme="minorHAnsi"/>
          <w:i/>
          <w:iCs/>
        </w:rPr>
        <w:t>United States 10-Year Bond Historical Data</w:t>
      </w:r>
      <w:r w:rsidRPr="005D556E">
        <w:rPr>
          <w:rFonts w:asciiTheme="minorHAnsi" w:hAnsiTheme="minorHAnsi" w:cstheme="minorHAnsi"/>
        </w:rPr>
        <w:t xml:space="preserve">. Investing.com. </w:t>
      </w:r>
      <w:hyperlink r:id="rId53" w:history="1">
        <w:r w:rsidRPr="00027B9D">
          <w:rPr>
            <w:rStyle w:val="Hyperlink"/>
            <w:rFonts w:asciiTheme="minorHAnsi" w:hAnsiTheme="minorHAnsi" w:cstheme="minorHAnsi"/>
          </w:rPr>
          <w:t>https://www.investing.com/rates-bonds/u.s.-10-year-bond-yield-historical-data</w:t>
        </w:r>
      </w:hyperlink>
      <w:r>
        <w:rPr>
          <w:rFonts w:asciiTheme="minorHAnsi" w:hAnsiTheme="minorHAnsi" w:cstheme="minorHAnsi"/>
        </w:rPr>
        <w:t xml:space="preserve"> </w:t>
      </w:r>
    </w:p>
    <w:p w14:paraId="3778FBA2" w14:textId="6B2776D0"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Katz, M. (2022, September 1). </w:t>
      </w:r>
      <w:r w:rsidRPr="005D556E">
        <w:rPr>
          <w:rFonts w:asciiTheme="minorHAnsi" w:hAnsiTheme="minorHAnsi" w:cstheme="minorHAnsi"/>
          <w:i/>
          <w:iCs/>
        </w:rPr>
        <w:t>Reflecting on Roots as T</w:t>
      </w:r>
      <w:r w:rsidRPr="005D556E">
        <w:rPr>
          <w:rFonts w:asciiTheme="minorHAnsi" w:hAnsiTheme="minorHAnsi" w:cstheme="minorHAnsi"/>
          <w:i/>
          <w:iCs/>
        </w:rPr>
        <w:noBreakHyphen/>
        <w:t xml:space="preserve">Mobile Brand Propels </w:t>
      </w:r>
      <w:proofErr w:type="gramStart"/>
      <w:r w:rsidRPr="005D556E">
        <w:rPr>
          <w:rFonts w:asciiTheme="minorHAnsi" w:hAnsiTheme="minorHAnsi" w:cstheme="minorHAnsi"/>
          <w:i/>
          <w:iCs/>
        </w:rPr>
        <w:t>Into</w:t>
      </w:r>
      <w:proofErr w:type="gramEnd"/>
      <w:r w:rsidRPr="005D556E">
        <w:rPr>
          <w:rFonts w:asciiTheme="minorHAnsi" w:hAnsiTheme="minorHAnsi" w:cstheme="minorHAnsi"/>
          <w:i/>
          <w:iCs/>
        </w:rPr>
        <w:t xml:space="preserve"> Future </w:t>
      </w:r>
      <w:r w:rsidRPr="005D556E">
        <w:rPr>
          <w:rFonts w:asciiTheme="minorHAnsi" w:hAnsiTheme="minorHAnsi" w:cstheme="minorHAnsi"/>
          <w:i/>
          <w:iCs/>
        </w:rPr>
        <w:noBreakHyphen/>
        <w:t xml:space="preserve"> T</w:t>
      </w:r>
      <w:r w:rsidRPr="005D556E">
        <w:rPr>
          <w:rFonts w:asciiTheme="minorHAnsi" w:hAnsiTheme="minorHAnsi" w:cstheme="minorHAnsi"/>
          <w:i/>
          <w:iCs/>
        </w:rPr>
        <w:noBreakHyphen/>
        <w:t>Mobile Newsroom</w:t>
      </w:r>
      <w:r w:rsidRPr="005D556E">
        <w:rPr>
          <w:rFonts w:asciiTheme="minorHAnsi" w:hAnsiTheme="minorHAnsi" w:cstheme="minorHAnsi"/>
        </w:rPr>
        <w:t xml:space="preserve">. T-Mobile Newsroom. </w:t>
      </w:r>
      <w:hyperlink r:id="rId54" w:history="1">
        <w:r w:rsidRPr="00027B9D">
          <w:rPr>
            <w:rStyle w:val="Hyperlink"/>
            <w:rFonts w:asciiTheme="minorHAnsi" w:hAnsiTheme="minorHAnsi" w:cstheme="minorHAnsi"/>
          </w:rPr>
          <w:t>https://www.t-</w:t>
        </w:r>
      </w:hyperlink>
      <w:r>
        <w:rPr>
          <w:rFonts w:asciiTheme="minorHAnsi" w:hAnsiTheme="minorHAnsi" w:cstheme="minorHAnsi"/>
        </w:rPr>
        <w:t xml:space="preserve"> </w:t>
      </w:r>
      <w:r w:rsidRPr="005D556E">
        <w:rPr>
          <w:rFonts w:asciiTheme="minorHAnsi" w:hAnsiTheme="minorHAnsi" w:cstheme="minorHAnsi"/>
        </w:rPr>
        <w:t>mobile.com/news/blog/</w:t>
      </w:r>
      <w:proofErr w:type="spellStart"/>
      <w:r w:rsidRPr="005D556E">
        <w:rPr>
          <w:rFonts w:asciiTheme="minorHAnsi" w:hAnsiTheme="minorHAnsi" w:cstheme="minorHAnsi"/>
        </w:rPr>
        <w:t>cmo</w:t>
      </w:r>
      <w:proofErr w:type="spellEnd"/>
      <w:r w:rsidRPr="005D556E">
        <w:rPr>
          <w:rFonts w:asciiTheme="minorHAnsi" w:hAnsiTheme="minorHAnsi" w:cstheme="minorHAnsi"/>
        </w:rPr>
        <w:t>-mike-Katz-voice stream-to-</w:t>
      </w:r>
      <w:proofErr w:type="spellStart"/>
      <w:r w:rsidRPr="005D556E">
        <w:rPr>
          <w:rFonts w:asciiTheme="minorHAnsi" w:hAnsiTheme="minorHAnsi" w:cstheme="minorHAnsi"/>
        </w:rPr>
        <w:t>t-mobile</w:t>
      </w:r>
      <w:proofErr w:type="spellEnd"/>
      <w:r w:rsidRPr="005D556E">
        <w:rPr>
          <w:rFonts w:asciiTheme="minorHAnsi" w:hAnsiTheme="minorHAnsi" w:cstheme="minorHAnsi"/>
        </w:rPr>
        <w:t>-Anniversary</w:t>
      </w:r>
      <w:r>
        <w:rPr>
          <w:rFonts w:asciiTheme="minorHAnsi" w:hAnsiTheme="minorHAnsi" w:cstheme="minorHAnsi"/>
        </w:rPr>
        <w:t xml:space="preserve"> </w:t>
      </w:r>
    </w:p>
    <w:p w14:paraId="375A4A4C" w14:textId="03E962D2"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T-Mobile. (2023, December 31). </w:t>
      </w:r>
      <w:r w:rsidRPr="005D556E">
        <w:rPr>
          <w:rFonts w:asciiTheme="minorHAnsi" w:hAnsiTheme="minorHAnsi" w:cstheme="minorHAnsi"/>
          <w:i/>
          <w:iCs/>
        </w:rPr>
        <w:t>tmus-20221231</w:t>
      </w:r>
      <w:r w:rsidRPr="005D556E">
        <w:rPr>
          <w:rFonts w:asciiTheme="minorHAnsi" w:hAnsiTheme="minorHAnsi" w:cstheme="minorHAnsi"/>
        </w:rPr>
        <w:t xml:space="preserve">. Www.sec.gov. </w:t>
      </w:r>
      <w:r>
        <w:rPr>
          <w:rFonts w:asciiTheme="minorHAnsi" w:hAnsiTheme="minorHAnsi" w:cstheme="minorHAnsi"/>
        </w:rPr>
        <w:t xml:space="preserve"> </w:t>
      </w:r>
      <w:hyperlink r:id="rId55" w:history="1">
        <w:r w:rsidRPr="00027B9D">
          <w:rPr>
            <w:rStyle w:val="Hyperlink"/>
            <w:rFonts w:asciiTheme="minorHAnsi" w:hAnsiTheme="minorHAnsi" w:cstheme="minorHAnsi"/>
          </w:rPr>
          <w:t>https://www.sec.gov/Archives/edgar/data/1283699/000128369923000016/tmus-20221231.htm</w:t>
        </w:r>
      </w:hyperlink>
      <w:r>
        <w:rPr>
          <w:rFonts w:asciiTheme="minorHAnsi" w:hAnsiTheme="minorHAnsi" w:cstheme="minorHAnsi"/>
        </w:rPr>
        <w:t xml:space="preserve"> </w:t>
      </w:r>
    </w:p>
    <w:p w14:paraId="1DE11449" w14:textId="02220ED0"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T-Mobiles Inc. (2013, November 10). </w:t>
      </w:r>
      <w:r w:rsidRPr="005D556E">
        <w:rPr>
          <w:rFonts w:asciiTheme="minorHAnsi" w:hAnsiTheme="minorHAnsi" w:cstheme="minorHAnsi"/>
          <w:i/>
          <w:iCs/>
        </w:rPr>
        <w:t>T-Mobile Announces Proposed Public Offering of Common Stock</w:t>
      </w:r>
      <w:r w:rsidRPr="005D556E">
        <w:rPr>
          <w:rFonts w:asciiTheme="minorHAnsi" w:hAnsiTheme="minorHAnsi" w:cstheme="minorHAnsi"/>
        </w:rPr>
        <w:t xml:space="preserve">. T-Mobiles Inc. </w:t>
      </w:r>
      <w:hyperlink r:id="rId56" w:history="1">
        <w:r w:rsidRPr="00027B9D">
          <w:rPr>
            <w:rStyle w:val="Hyperlink"/>
            <w:rFonts w:asciiTheme="minorHAnsi" w:hAnsiTheme="minorHAnsi" w:cstheme="minorHAnsi"/>
          </w:rPr>
          <w:t>https://www.t-mobile.com/news/press/t-mobile-announces-proposed-public-offering-of-common-stock</w:t>
        </w:r>
      </w:hyperlink>
      <w:r>
        <w:rPr>
          <w:rFonts w:asciiTheme="minorHAnsi" w:hAnsiTheme="minorHAnsi" w:cstheme="minorHAnsi"/>
        </w:rPr>
        <w:t xml:space="preserve"> </w:t>
      </w:r>
    </w:p>
    <w:p w14:paraId="5ED403B8" w14:textId="640BA86E"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T-Mobiles Inc. (2022, February 2). </w:t>
      </w:r>
      <w:r w:rsidRPr="005D556E">
        <w:rPr>
          <w:rFonts w:asciiTheme="minorHAnsi" w:hAnsiTheme="minorHAnsi" w:cstheme="minorHAnsi"/>
          <w:i/>
          <w:iCs/>
        </w:rPr>
        <w:t>T</w:t>
      </w:r>
      <w:r w:rsidRPr="005D556E">
        <w:rPr>
          <w:rFonts w:asciiTheme="minorHAnsi" w:hAnsiTheme="minorHAnsi" w:cstheme="minorHAnsi"/>
          <w:i/>
          <w:iCs/>
        </w:rPr>
        <w:noBreakHyphen/>
        <w:t>Mobile’s Unique Formula Delivers Industry</w:t>
      </w:r>
      <w:r w:rsidRPr="005D556E">
        <w:rPr>
          <w:rFonts w:asciiTheme="minorHAnsi" w:hAnsiTheme="minorHAnsi" w:cstheme="minorHAnsi"/>
          <w:i/>
          <w:iCs/>
        </w:rPr>
        <w:noBreakHyphen/>
        <w:t xml:space="preserve">Leading Service Revenue and Cash Flow Growth and Exceeds 2021 </w:t>
      </w:r>
      <w:r w:rsidRPr="005D556E">
        <w:rPr>
          <w:rFonts w:asciiTheme="minorHAnsi" w:hAnsiTheme="minorHAnsi" w:cstheme="minorHAnsi"/>
          <w:i/>
          <w:iCs/>
        </w:rPr>
        <w:lastRenderedPageBreak/>
        <w:t xml:space="preserve">Guidance </w:t>
      </w:r>
      <w:r w:rsidRPr="005D556E">
        <w:rPr>
          <w:rFonts w:asciiTheme="minorHAnsi" w:hAnsiTheme="minorHAnsi" w:cstheme="minorHAnsi"/>
          <w:i/>
          <w:iCs/>
        </w:rPr>
        <w:noBreakHyphen/>
        <w:t xml:space="preserve"> T</w:t>
      </w:r>
      <w:r w:rsidRPr="005D556E">
        <w:rPr>
          <w:rFonts w:asciiTheme="minorHAnsi" w:hAnsiTheme="minorHAnsi" w:cstheme="minorHAnsi"/>
          <w:i/>
          <w:iCs/>
        </w:rPr>
        <w:noBreakHyphen/>
        <w:t>Mobile Newsroom</w:t>
      </w:r>
      <w:r w:rsidRPr="005D556E">
        <w:rPr>
          <w:rFonts w:asciiTheme="minorHAnsi" w:hAnsiTheme="minorHAnsi" w:cstheme="minorHAnsi"/>
        </w:rPr>
        <w:t xml:space="preserve">. T-Mobile Newsroom. </w:t>
      </w:r>
      <w:hyperlink r:id="rId57" w:history="1">
        <w:r w:rsidRPr="005D556E">
          <w:rPr>
            <w:rStyle w:val="Hyperlink"/>
            <w:rFonts w:asciiTheme="minorHAnsi" w:hAnsiTheme="minorHAnsi" w:cstheme="minorHAnsi"/>
          </w:rPr>
          <w:t>https://www.t-mobile.com/news/business/t-mobile-q4-2021-earnings</w:t>
        </w:r>
      </w:hyperlink>
      <w:r w:rsidRPr="005D556E">
        <w:rPr>
          <w:rFonts w:asciiTheme="minorHAnsi" w:hAnsiTheme="minorHAnsi" w:cstheme="minorHAnsi"/>
        </w:rPr>
        <w:t xml:space="preserve"> </w:t>
      </w:r>
    </w:p>
    <w:p w14:paraId="069F8376" w14:textId="6C45B51D"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TBH, T. (2024, April 9). </w:t>
      </w:r>
      <w:r w:rsidRPr="005D556E">
        <w:rPr>
          <w:rFonts w:asciiTheme="minorHAnsi" w:hAnsiTheme="minorHAnsi" w:cstheme="minorHAnsi"/>
          <w:i/>
          <w:iCs/>
        </w:rPr>
        <w:t>A Deep Dive into the Marketing Strategies of T-Mobile</w:t>
      </w:r>
      <w:r w:rsidRPr="005D556E">
        <w:rPr>
          <w:rFonts w:asciiTheme="minorHAnsi" w:hAnsiTheme="minorHAnsi" w:cstheme="minorHAnsi"/>
        </w:rPr>
        <w:t xml:space="preserve">. The Brand Hopper. </w:t>
      </w:r>
      <w:hyperlink r:id="rId58" w:anchor="google_vignette" w:history="1">
        <w:r w:rsidRPr="005D556E">
          <w:rPr>
            <w:rStyle w:val="Hyperlink"/>
            <w:rFonts w:asciiTheme="minorHAnsi" w:hAnsiTheme="minorHAnsi" w:cstheme="minorHAnsi"/>
          </w:rPr>
          <w:t>https://thebrandhopper.com/2024/04/09/a-deep-dive-into-the-marketing-strategies-of-t-mobile/#google_vignette</w:t>
        </w:r>
      </w:hyperlink>
      <w:r w:rsidRPr="005D556E">
        <w:rPr>
          <w:rFonts w:asciiTheme="minorHAnsi" w:hAnsiTheme="minorHAnsi" w:cstheme="minorHAnsi"/>
        </w:rPr>
        <w:t xml:space="preserve"> </w:t>
      </w:r>
    </w:p>
    <w:p w14:paraId="308302A3" w14:textId="3D0634A1" w:rsidR="005D556E" w:rsidRPr="005D556E" w:rsidRDefault="00000000" w:rsidP="005D556E">
      <w:pPr>
        <w:pStyle w:val="NormalWeb"/>
        <w:numPr>
          <w:ilvl w:val="0"/>
          <w:numId w:val="38"/>
        </w:numPr>
        <w:spacing w:before="0" w:beforeAutospacing="0" w:after="0" w:afterAutospacing="0" w:line="480" w:lineRule="auto"/>
        <w:rPr>
          <w:rFonts w:asciiTheme="minorHAnsi" w:hAnsiTheme="minorHAnsi" w:cstheme="minorHAnsi"/>
        </w:rPr>
      </w:pPr>
      <w:r w:rsidRPr="005D556E">
        <w:rPr>
          <w:rFonts w:asciiTheme="minorHAnsi" w:hAnsiTheme="minorHAnsi" w:cstheme="minorHAnsi"/>
        </w:rPr>
        <w:t xml:space="preserve">YCharts. (2024). </w:t>
      </w:r>
      <w:r w:rsidRPr="005D556E">
        <w:rPr>
          <w:rFonts w:asciiTheme="minorHAnsi" w:hAnsiTheme="minorHAnsi" w:cstheme="minorHAnsi"/>
          <w:i/>
          <w:iCs/>
        </w:rPr>
        <w:t>T-Mobile US Total Return Level Trends | YCharts</w:t>
      </w:r>
      <w:r w:rsidRPr="005D556E">
        <w:rPr>
          <w:rFonts w:asciiTheme="minorHAnsi" w:hAnsiTheme="minorHAnsi" w:cstheme="minorHAnsi"/>
        </w:rPr>
        <w:t xml:space="preserve">. Ycharts.com; YCharts. </w:t>
      </w:r>
      <w:hyperlink r:id="rId59" w:history="1">
        <w:r w:rsidRPr="005D556E">
          <w:rPr>
            <w:rStyle w:val="Hyperlink"/>
            <w:rFonts w:asciiTheme="minorHAnsi" w:hAnsiTheme="minorHAnsi" w:cstheme="minorHAnsi"/>
          </w:rPr>
          <w:t>https://ycharts.com/companies/TMUS/total_return_forward_adjusted_price</w:t>
        </w:r>
      </w:hyperlink>
      <w:r w:rsidRPr="005D556E">
        <w:rPr>
          <w:rFonts w:asciiTheme="minorHAnsi" w:hAnsiTheme="minorHAnsi" w:cstheme="minorHAnsi"/>
        </w:rPr>
        <w:t xml:space="preserve"> </w:t>
      </w:r>
    </w:p>
    <w:p w14:paraId="3F372404" w14:textId="77777777" w:rsidR="005D556E" w:rsidRPr="005D556E" w:rsidRDefault="005D556E" w:rsidP="005D556E">
      <w:pPr>
        <w:ind w:left="360"/>
        <w:rPr>
          <w:rFonts w:eastAsiaTheme="minorEastAsia"/>
          <w:sz w:val="24"/>
          <w:szCs w:val="24"/>
        </w:rPr>
      </w:pPr>
    </w:p>
    <w:p w14:paraId="2CF9A811" w14:textId="6FBD6ABF" w:rsidR="5CCDA024" w:rsidRDefault="5CCDA024" w:rsidP="5CCDA024">
      <w:pPr>
        <w:pStyle w:val="ListParagraph"/>
        <w:rPr>
          <w:rFonts w:eastAsiaTheme="minorEastAsia"/>
          <w:sz w:val="24"/>
          <w:szCs w:val="24"/>
        </w:rPr>
      </w:pPr>
    </w:p>
    <w:p w14:paraId="5813905E" w14:textId="451B2D5B" w:rsidR="00525275" w:rsidRPr="00E07C9D" w:rsidRDefault="00525275" w:rsidP="00525275">
      <w:pPr>
        <w:pStyle w:val="ListParagraph"/>
      </w:pPr>
    </w:p>
    <w:sectPr w:rsidR="00525275" w:rsidRPr="00E07C9D">
      <w:headerReference w:type="default" r:id="rId60"/>
      <w:footerReference w:type="default" r:id="rId6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2" w:author="Amisha Setiyar" w:date="2024-08-28T07:24:00Z" w:initials="AS">
    <w:p w14:paraId="359BED45" w14:textId="77777777" w:rsidR="0048013C" w:rsidRDefault="0000000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59BED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4408FFE" w16cex:dateUtc="2024-08-28T0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59BED45" w16cid:durableId="44408F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F32633" w14:textId="77777777" w:rsidR="00D97E7D" w:rsidRDefault="00D97E7D">
      <w:pPr>
        <w:spacing w:after="0" w:line="240" w:lineRule="auto"/>
      </w:pPr>
      <w:r>
        <w:separator/>
      </w:r>
    </w:p>
  </w:endnote>
  <w:endnote w:type="continuationSeparator" w:id="0">
    <w:p w14:paraId="1EEF7B8C" w14:textId="77777777" w:rsidR="00D97E7D" w:rsidRDefault="00D97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504792" w14:paraId="6961422A" w14:textId="77777777" w:rsidTr="2A5F0A12">
      <w:trPr>
        <w:trHeight w:val="300"/>
      </w:trPr>
      <w:tc>
        <w:tcPr>
          <w:tcW w:w="3005" w:type="dxa"/>
        </w:tcPr>
        <w:p w14:paraId="34B1A87C" w14:textId="47241EE1" w:rsidR="2A5F0A12" w:rsidRDefault="00000000" w:rsidP="2A5F0A12">
          <w:pPr>
            <w:pStyle w:val="Header"/>
            <w:ind w:left="-115"/>
          </w:pPr>
          <w:r>
            <w:t xml:space="preserve"> </w:t>
          </w:r>
        </w:p>
      </w:tc>
      <w:tc>
        <w:tcPr>
          <w:tcW w:w="3005" w:type="dxa"/>
        </w:tcPr>
        <w:p w14:paraId="7D074B6D" w14:textId="35A06FFE" w:rsidR="2A5F0A12" w:rsidRDefault="2A5F0A12" w:rsidP="2A5F0A12">
          <w:pPr>
            <w:pStyle w:val="Header"/>
            <w:jc w:val="center"/>
          </w:pPr>
        </w:p>
      </w:tc>
      <w:tc>
        <w:tcPr>
          <w:tcW w:w="3005" w:type="dxa"/>
        </w:tcPr>
        <w:p w14:paraId="1A80C77C" w14:textId="4B32EC86" w:rsidR="2A5F0A12" w:rsidRDefault="2A5F0A12" w:rsidP="2A5F0A12">
          <w:pPr>
            <w:pStyle w:val="Header"/>
            <w:ind w:right="-115"/>
            <w:jc w:val="right"/>
          </w:pPr>
        </w:p>
      </w:tc>
    </w:tr>
  </w:tbl>
  <w:p w14:paraId="65C24C09" w14:textId="55078435" w:rsidR="2A5F0A12" w:rsidRDefault="2A5F0A12" w:rsidP="2A5F0A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14DC7C" w14:textId="77777777" w:rsidR="00D97E7D" w:rsidRDefault="00D97E7D">
      <w:pPr>
        <w:spacing w:after="0" w:line="240" w:lineRule="auto"/>
      </w:pPr>
      <w:r>
        <w:separator/>
      </w:r>
    </w:p>
  </w:footnote>
  <w:footnote w:type="continuationSeparator" w:id="0">
    <w:p w14:paraId="31670061" w14:textId="77777777" w:rsidR="00D97E7D" w:rsidRDefault="00D97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504792" w14:paraId="6E665FF7" w14:textId="77777777" w:rsidTr="2A5F0A12">
      <w:trPr>
        <w:trHeight w:val="300"/>
      </w:trPr>
      <w:tc>
        <w:tcPr>
          <w:tcW w:w="3005" w:type="dxa"/>
        </w:tcPr>
        <w:p w14:paraId="64567155" w14:textId="45D0B7A0" w:rsidR="2A5F0A12" w:rsidRDefault="2A5F0A12" w:rsidP="2A5F0A12">
          <w:pPr>
            <w:pStyle w:val="Header"/>
            <w:ind w:left="-115"/>
          </w:pPr>
        </w:p>
      </w:tc>
      <w:tc>
        <w:tcPr>
          <w:tcW w:w="3005" w:type="dxa"/>
        </w:tcPr>
        <w:p w14:paraId="388F57DB" w14:textId="32F73E35" w:rsidR="2A5F0A12" w:rsidRDefault="2A5F0A12" w:rsidP="2A5F0A12">
          <w:pPr>
            <w:pStyle w:val="Header"/>
            <w:jc w:val="center"/>
          </w:pPr>
        </w:p>
      </w:tc>
      <w:tc>
        <w:tcPr>
          <w:tcW w:w="3005" w:type="dxa"/>
        </w:tcPr>
        <w:p w14:paraId="2AB22984" w14:textId="4F85DD79" w:rsidR="2A5F0A12" w:rsidRDefault="2A5F0A12" w:rsidP="2A5F0A12">
          <w:pPr>
            <w:pStyle w:val="Header"/>
            <w:ind w:right="-115"/>
            <w:jc w:val="right"/>
          </w:pPr>
        </w:p>
      </w:tc>
    </w:tr>
  </w:tbl>
  <w:p w14:paraId="5DE32EF9" w14:textId="1D9FC45D" w:rsidR="2A5F0A12" w:rsidRDefault="2A5F0A12" w:rsidP="2A5F0A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960EC"/>
    <w:multiLevelType w:val="hybridMultilevel"/>
    <w:tmpl w:val="F9D2B114"/>
    <w:lvl w:ilvl="0" w:tplc="E2C8A838">
      <w:start w:val="1"/>
      <w:numFmt w:val="decimal"/>
      <w:lvlText w:val="%1."/>
      <w:lvlJc w:val="left"/>
      <w:pPr>
        <w:ind w:left="720" w:hanging="360"/>
      </w:pPr>
    </w:lvl>
    <w:lvl w:ilvl="1" w:tplc="EADC938C" w:tentative="1">
      <w:start w:val="1"/>
      <w:numFmt w:val="lowerLetter"/>
      <w:lvlText w:val="%2."/>
      <w:lvlJc w:val="left"/>
      <w:pPr>
        <w:ind w:left="1440" w:hanging="360"/>
      </w:pPr>
    </w:lvl>
    <w:lvl w:ilvl="2" w:tplc="DAF69432" w:tentative="1">
      <w:start w:val="1"/>
      <w:numFmt w:val="lowerRoman"/>
      <w:lvlText w:val="%3."/>
      <w:lvlJc w:val="right"/>
      <w:pPr>
        <w:ind w:left="2160" w:hanging="180"/>
      </w:pPr>
    </w:lvl>
    <w:lvl w:ilvl="3" w:tplc="D4C67050" w:tentative="1">
      <w:start w:val="1"/>
      <w:numFmt w:val="decimal"/>
      <w:lvlText w:val="%4."/>
      <w:lvlJc w:val="left"/>
      <w:pPr>
        <w:ind w:left="2880" w:hanging="360"/>
      </w:pPr>
    </w:lvl>
    <w:lvl w:ilvl="4" w:tplc="2F3C6650" w:tentative="1">
      <w:start w:val="1"/>
      <w:numFmt w:val="lowerLetter"/>
      <w:lvlText w:val="%5."/>
      <w:lvlJc w:val="left"/>
      <w:pPr>
        <w:ind w:left="3600" w:hanging="360"/>
      </w:pPr>
    </w:lvl>
    <w:lvl w:ilvl="5" w:tplc="723E1D00" w:tentative="1">
      <w:start w:val="1"/>
      <w:numFmt w:val="lowerRoman"/>
      <w:lvlText w:val="%6."/>
      <w:lvlJc w:val="right"/>
      <w:pPr>
        <w:ind w:left="4320" w:hanging="180"/>
      </w:pPr>
    </w:lvl>
    <w:lvl w:ilvl="6" w:tplc="D45A06BC" w:tentative="1">
      <w:start w:val="1"/>
      <w:numFmt w:val="decimal"/>
      <w:lvlText w:val="%7."/>
      <w:lvlJc w:val="left"/>
      <w:pPr>
        <w:ind w:left="5040" w:hanging="360"/>
      </w:pPr>
    </w:lvl>
    <w:lvl w:ilvl="7" w:tplc="ABCEA606" w:tentative="1">
      <w:start w:val="1"/>
      <w:numFmt w:val="lowerLetter"/>
      <w:lvlText w:val="%8."/>
      <w:lvlJc w:val="left"/>
      <w:pPr>
        <w:ind w:left="5760" w:hanging="360"/>
      </w:pPr>
    </w:lvl>
    <w:lvl w:ilvl="8" w:tplc="CA8AAEC8" w:tentative="1">
      <w:start w:val="1"/>
      <w:numFmt w:val="lowerRoman"/>
      <w:lvlText w:val="%9."/>
      <w:lvlJc w:val="right"/>
      <w:pPr>
        <w:ind w:left="6480" w:hanging="180"/>
      </w:pPr>
    </w:lvl>
  </w:abstractNum>
  <w:abstractNum w:abstractNumId="1" w15:restartNumberingAfterBreak="0">
    <w:nsid w:val="062905C2"/>
    <w:multiLevelType w:val="hybridMultilevel"/>
    <w:tmpl w:val="F9D2B114"/>
    <w:lvl w:ilvl="0" w:tplc="B52A974C">
      <w:start w:val="1"/>
      <w:numFmt w:val="decimal"/>
      <w:lvlText w:val="%1."/>
      <w:lvlJc w:val="left"/>
      <w:pPr>
        <w:ind w:left="720" w:hanging="360"/>
      </w:pPr>
    </w:lvl>
    <w:lvl w:ilvl="1" w:tplc="B21E9F14" w:tentative="1">
      <w:start w:val="1"/>
      <w:numFmt w:val="lowerLetter"/>
      <w:lvlText w:val="%2."/>
      <w:lvlJc w:val="left"/>
      <w:pPr>
        <w:ind w:left="1440" w:hanging="360"/>
      </w:pPr>
    </w:lvl>
    <w:lvl w:ilvl="2" w:tplc="72F8F978" w:tentative="1">
      <w:start w:val="1"/>
      <w:numFmt w:val="lowerRoman"/>
      <w:lvlText w:val="%3."/>
      <w:lvlJc w:val="right"/>
      <w:pPr>
        <w:ind w:left="2160" w:hanging="180"/>
      </w:pPr>
    </w:lvl>
    <w:lvl w:ilvl="3" w:tplc="F3C8C2EE" w:tentative="1">
      <w:start w:val="1"/>
      <w:numFmt w:val="decimal"/>
      <w:lvlText w:val="%4."/>
      <w:lvlJc w:val="left"/>
      <w:pPr>
        <w:ind w:left="2880" w:hanging="360"/>
      </w:pPr>
    </w:lvl>
    <w:lvl w:ilvl="4" w:tplc="DF60E834" w:tentative="1">
      <w:start w:val="1"/>
      <w:numFmt w:val="lowerLetter"/>
      <w:lvlText w:val="%5."/>
      <w:lvlJc w:val="left"/>
      <w:pPr>
        <w:ind w:left="3600" w:hanging="360"/>
      </w:pPr>
    </w:lvl>
    <w:lvl w:ilvl="5" w:tplc="A72CB8FA" w:tentative="1">
      <w:start w:val="1"/>
      <w:numFmt w:val="lowerRoman"/>
      <w:lvlText w:val="%6."/>
      <w:lvlJc w:val="right"/>
      <w:pPr>
        <w:ind w:left="4320" w:hanging="180"/>
      </w:pPr>
    </w:lvl>
    <w:lvl w:ilvl="6" w:tplc="E8D276F4" w:tentative="1">
      <w:start w:val="1"/>
      <w:numFmt w:val="decimal"/>
      <w:lvlText w:val="%7."/>
      <w:lvlJc w:val="left"/>
      <w:pPr>
        <w:ind w:left="5040" w:hanging="360"/>
      </w:pPr>
    </w:lvl>
    <w:lvl w:ilvl="7" w:tplc="CE726A16" w:tentative="1">
      <w:start w:val="1"/>
      <w:numFmt w:val="lowerLetter"/>
      <w:lvlText w:val="%8."/>
      <w:lvlJc w:val="left"/>
      <w:pPr>
        <w:ind w:left="5760" w:hanging="360"/>
      </w:pPr>
    </w:lvl>
    <w:lvl w:ilvl="8" w:tplc="6CFC7772" w:tentative="1">
      <w:start w:val="1"/>
      <w:numFmt w:val="lowerRoman"/>
      <w:lvlText w:val="%9."/>
      <w:lvlJc w:val="right"/>
      <w:pPr>
        <w:ind w:left="6480" w:hanging="180"/>
      </w:pPr>
    </w:lvl>
  </w:abstractNum>
  <w:abstractNum w:abstractNumId="2" w15:restartNumberingAfterBreak="0">
    <w:nsid w:val="0C9B4ECC"/>
    <w:multiLevelType w:val="multilevel"/>
    <w:tmpl w:val="3CE0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43532"/>
    <w:multiLevelType w:val="multilevel"/>
    <w:tmpl w:val="FBB8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612293"/>
    <w:multiLevelType w:val="hybridMultilevel"/>
    <w:tmpl w:val="037E32E8"/>
    <w:lvl w:ilvl="0" w:tplc="C0B43C1A">
      <w:start w:val="1"/>
      <w:numFmt w:val="bullet"/>
      <w:lvlText w:val=""/>
      <w:lvlJc w:val="left"/>
      <w:pPr>
        <w:ind w:left="720" w:hanging="360"/>
      </w:pPr>
      <w:rPr>
        <w:rFonts w:ascii="Symbol" w:hAnsi="Symbol" w:hint="default"/>
      </w:rPr>
    </w:lvl>
    <w:lvl w:ilvl="1" w:tplc="07ACA6A8">
      <w:start w:val="1"/>
      <w:numFmt w:val="bullet"/>
      <w:lvlText w:val="o"/>
      <w:lvlJc w:val="left"/>
      <w:pPr>
        <w:ind w:left="1440" w:hanging="360"/>
      </w:pPr>
      <w:rPr>
        <w:rFonts w:ascii="Courier New" w:hAnsi="Courier New" w:hint="default"/>
      </w:rPr>
    </w:lvl>
    <w:lvl w:ilvl="2" w:tplc="1A520BD6">
      <w:start w:val="1"/>
      <w:numFmt w:val="bullet"/>
      <w:lvlText w:val=""/>
      <w:lvlJc w:val="left"/>
      <w:pPr>
        <w:ind w:left="2160" w:hanging="360"/>
      </w:pPr>
      <w:rPr>
        <w:rFonts w:ascii="Wingdings" w:hAnsi="Wingdings" w:hint="default"/>
      </w:rPr>
    </w:lvl>
    <w:lvl w:ilvl="3" w:tplc="7EB464CA">
      <w:start w:val="1"/>
      <w:numFmt w:val="bullet"/>
      <w:lvlText w:val=""/>
      <w:lvlJc w:val="left"/>
      <w:pPr>
        <w:ind w:left="2880" w:hanging="360"/>
      </w:pPr>
      <w:rPr>
        <w:rFonts w:ascii="Symbol" w:hAnsi="Symbol" w:hint="default"/>
      </w:rPr>
    </w:lvl>
    <w:lvl w:ilvl="4" w:tplc="F5460992">
      <w:start w:val="1"/>
      <w:numFmt w:val="bullet"/>
      <w:lvlText w:val="o"/>
      <w:lvlJc w:val="left"/>
      <w:pPr>
        <w:ind w:left="3600" w:hanging="360"/>
      </w:pPr>
      <w:rPr>
        <w:rFonts w:ascii="Courier New" w:hAnsi="Courier New" w:hint="default"/>
      </w:rPr>
    </w:lvl>
    <w:lvl w:ilvl="5" w:tplc="60C8428A">
      <w:start w:val="1"/>
      <w:numFmt w:val="bullet"/>
      <w:lvlText w:val=""/>
      <w:lvlJc w:val="left"/>
      <w:pPr>
        <w:ind w:left="4320" w:hanging="360"/>
      </w:pPr>
      <w:rPr>
        <w:rFonts w:ascii="Wingdings" w:hAnsi="Wingdings" w:hint="default"/>
      </w:rPr>
    </w:lvl>
    <w:lvl w:ilvl="6" w:tplc="14740BE6">
      <w:start w:val="1"/>
      <w:numFmt w:val="bullet"/>
      <w:lvlText w:val=""/>
      <w:lvlJc w:val="left"/>
      <w:pPr>
        <w:ind w:left="5040" w:hanging="360"/>
      </w:pPr>
      <w:rPr>
        <w:rFonts w:ascii="Symbol" w:hAnsi="Symbol" w:hint="default"/>
      </w:rPr>
    </w:lvl>
    <w:lvl w:ilvl="7" w:tplc="CA0E1178">
      <w:start w:val="1"/>
      <w:numFmt w:val="bullet"/>
      <w:lvlText w:val="o"/>
      <w:lvlJc w:val="left"/>
      <w:pPr>
        <w:ind w:left="5760" w:hanging="360"/>
      </w:pPr>
      <w:rPr>
        <w:rFonts w:ascii="Courier New" w:hAnsi="Courier New" w:hint="default"/>
      </w:rPr>
    </w:lvl>
    <w:lvl w:ilvl="8" w:tplc="8716E64E">
      <w:start w:val="1"/>
      <w:numFmt w:val="bullet"/>
      <w:lvlText w:val=""/>
      <w:lvlJc w:val="left"/>
      <w:pPr>
        <w:ind w:left="6480" w:hanging="360"/>
      </w:pPr>
      <w:rPr>
        <w:rFonts w:ascii="Wingdings" w:hAnsi="Wingdings" w:hint="default"/>
      </w:rPr>
    </w:lvl>
  </w:abstractNum>
  <w:abstractNum w:abstractNumId="5" w15:restartNumberingAfterBreak="0">
    <w:nsid w:val="18C32FBE"/>
    <w:multiLevelType w:val="multilevel"/>
    <w:tmpl w:val="969A1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801A70"/>
    <w:multiLevelType w:val="multilevel"/>
    <w:tmpl w:val="94446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952E5E"/>
    <w:multiLevelType w:val="multilevel"/>
    <w:tmpl w:val="FD2C4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863929"/>
    <w:multiLevelType w:val="multilevel"/>
    <w:tmpl w:val="2F5410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3142E6"/>
    <w:multiLevelType w:val="multilevel"/>
    <w:tmpl w:val="43A2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587CDB"/>
    <w:multiLevelType w:val="multilevel"/>
    <w:tmpl w:val="75886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6A55C"/>
    <w:multiLevelType w:val="hybridMultilevel"/>
    <w:tmpl w:val="3FA86E64"/>
    <w:lvl w:ilvl="0" w:tplc="488E0452">
      <w:start w:val="1"/>
      <w:numFmt w:val="decimal"/>
      <w:lvlText w:val="%1."/>
      <w:lvlJc w:val="left"/>
      <w:pPr>
        <w:ind w:left="720" w:hanging="360"/>
      </w:pPr>
    </w:lvl>
    <w:lvl w:ilvl="1" w:tplc="0AA014FA">
      <w:start w:val="1"/>
      <w:numFmt w:val="lowerLetter"/>
      <w:lvlText w:val="%2."/>
      <w:lvlJc w:val="left"/>
      <w:pPr>
        <w:ind w:left="1440" w:hanging="360"/>
      </w:pPr>
    </w:lvl>
    <w:lvl w:ilvl="2" w:tplc="315AC0F2">
      <w:start w:val="1"/>
      <w:numFmt w:val="lowerRoman"/>
      <w:lvlText w:val="%3."/>
      <w:lvlJc w:val="right"/>
      <w:pPr>
        <w:ind w:left="2160" w:hanging="180"/>
      </w:pPr>
    </w:lvl>
    <w:lvl w:ilvl="3" w:tplc="9A402516">
      <w:start w:val="1"/>
      <w:numFmt w:val="decimal"/>
      <w:lvlText w:val="%4."/>
      <w:lvlJc w:val="left"/>
      <w:pPr>
        <w:ind w:left="2880" w:hanging="360"/>
      </w:pPr>
    </w:lvl>
    <w:lvl w:ilvl="4" w:tplc="4A783900">
      <w:start w:val="1"/>
      <w:numFmt w:val="lowerLetter"/>
      <w:lvlText w:val="%5."/>
      <w:lvlJc w:val="left"/>
      <w:pPr>
        <w:ind w:left="3600" w:hanging="360"/>
      </w:pPr>
    </w:lvl>
    <w:lvl w:ilvl="5" w:tplc="1A709108">
      <w:start w:val="1"/>
      <w:numFmt w:val="lowerRoman"/>
      <w:lvlText w:val="%6."/>
      <w:lvlJc w:val="right"/>
      <w:pPr>
        <w:ind w:left="4320" w:hanging="180"/>
      </w:pPr>
    </w:lvl>
    <w:lvl w:ilvl="6" w:tplc="72989526">
      <w:start w:val="1"/>
      <w:numFmt w:val="decimal"/>
      <w:lvlText w:val="%7."/>
      <w:lvlJc w:val="left"/>
      <w:pPr>
        <w:ind w:left="5040" w:hanging="360"/>
      </w:pPr>
    </w:lvl>
    <w:lvl w:ilvl="7" w:tplc="3D902C2A">
      <w:start w:val="1"/>
      <w:numFmt w:val="lowerLetter"/>
      <w:lvlText w:val="%8."/>
      <w:lvlJc w:val="left"/>
      <w:pPr>
        <w:ind w:left="5760" w:hanging="360"/>
      </w:pPr>
    </w:lvl>
    <w:lvl w:ilvl="8" w:tplc="B71A048C">
      <w:start w:val="1"/>
      <w:numFmt w:val="lowerRoman"/>
      <w:lvlText w:val="%9."/>
      <w:lvlJc w:val="right"/>
      <w:pPr>
        <w:ind w:left="6480" w:hanging="180"/>
      </w:pPr>
    </w:lvl>
  </w:abstractNum>
  <w:abstractNum w:abstractNumId="12" w15:restartNumberingAfterBreak="0">
    <w:nsid w:val="2C631C0C"/>
    <w:multiLevelType w:val="multilevel"/>
    <w:tmpl w:val="7862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C3D515"/>
    <w:multiLevelType w:val="hybridMultilevel"/>
    <w:tmpl w:val="3A2E7DAA"/>
    <w:lvl w:ilvl="0" w:tplc="F7CE2B30">
      <w:start w:val="1"/>
      <w:numFmt w:val="decimal"/>
      <w:lvlText w:val="%1."/>
      <w:lvlJc w:val="left"/>
      <w:pPr>
        <w:ind w:left="1080" w:hanging="360"/>
      </w:pPr>
    </w:lvl>
    <w:lvl w:ilvl="1" w:tplc="52F85B8A">
      <w:start w:val="1"/>
      <w:numFmt w:val="lowerLetter"/>
      <w:lvlText w:val="%2."/>
      <w:lvlJc w:val="left"/>
      <w:pPr>
        <w:ind w:left="1800" w:hanging="360"/>
      </w:pPr>
    </w:lvl>
    <w:lvl w:ilvl="2" w:tplc="208CEA6E">
      <w:start w:val="1"/>
      <w:numFmt w:val="lowerRoman"/>
      <w:lvlText w:val="%3."/>
      <w:lvlJc w:val="right"/>
      <w:pPr>
        <w:ind w:left="2520" w:hanging="180"/>
      </w:pPr>
    </w:lvl>
    <w:lvl w:ilvl="3" w:tplc="2870DD1A">
      <w:start w:val="1"/>
      <w:numFmt w:val="decimal"/>
      <w:lvlText w:val="%4."/>
      <w:lvlJc w:val="left"/>
      <w:pPr>
        <w:ind w:left="3240" w:hanging="360"/>
      </w:pPr>
    </w:lvl>
    <w:lvl w:ilvl="4" w:tplc="C4127638">
      <w:start w:val="1"/>
      <w:numFmt w:val="lowerLetter"/>
      <w:lvlText w:val="%5."/>
      <w:lvlJc w:val="left"/>
      <w:pPr>
        <w:ind w:left="3960" w:hanging="360"/>
      </w:pPr>
    </w:lvl>
    <w:lvl w:ilvl="5" w:tplc="C38207D2">
      <w:start w:val="1"/>
      <w:numFmt w:val="lowerRoman"/>
      <w:lvlText w:val="%6."/>
      <w:lvlJc w:val="right"/>
      <w:pPr>
        <w:ind w:left="4680" w:hanging="180"/>
      </w:pPr>
    </w:lvl>
    <w:lvl w:ilvl="6" w:tplc="86A03336">
      <w:start w:val="1"/>
      <w:numFmt w:val="decimal"/>
      <w:lvlText w:val="%7."/>
      <w:lvlJc w:val="left"/>
      <w:pPr>
        <w:ind w:left="5400" w:hanging="360"/>
      </w:pPr>
    </w:lvl>
    <w:lvl w:ilvl="7" w:tplc="18B890C0">
      <w:start w:val="1"/>
      <w:numFmt w:val="lowerLetter"/>
      <w:lvlText w:val="%8."/>
      <w:lvlJc w:val="left"/>
      <w:pPr>
        <w:ind w:left="6120" w:hanging="360"/>
      </w:pPr>
    </w:lvl>
    <w:lvl w:ilvl="8" w:tplc="B10A47A0">
      <w:start w:val="1"/>
      <w:numFmt w:val="lowerRoman"/>
      <w:lvlText w:val="%9."/>
      <w:lvlJc w:val="right"/>
      <w:pPr>
        <w:ind w:left="6840" w:hanging="180"/>
      </w:pPr>
    </w:lvl>
  </w:abstractNum>
  <w:abstractNum w:abstractNumId="14" w15:restartNumberingAfterBreak="0">
    <w:nsid w:val="2E27573E"/>
    <w:multiLevelType w:val="multilevel"/>
    <w:tmpl w:val="5488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1C6B71"/>
    <w:multiLevelType w:val="multilevel"/>
    <w:tmpl w:val="41B8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F332F6"/>
    <w:multiLevelType w:val="multilevel"/>
    <w:tmpl w:val="7C0C6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6165B1"/>
    <w:multiLevelType w:val="hybridMultilevel"/>
    <w:tmpl w:val="D076DF7A"/>
    <w:lvl w:ilvl="0" w:tplc="7DDCF9AC">
      <w:start w:val="1"/>
      <w:numFmt w:val="decimal"/>
      <w:lvlText w:val="%1."/>
      <w:lvlJc w:val="left"/>
      <w:pPr>
        <w:ind w:left="720" w:hanging="360"/>
      </w:pPr>
    </w:lvl>
    <w:lvl w:ilvl="1" w:tplc="C4CE9D28">
      <w:start w:val="1"/>
      <w:numFmt w:val="lowerLetter"/>
      <w:lvlText w:val="%2."/>
      <w:lvlJc w:val="left"/>
      <w:pPr>
        <w:ind w:left="1440" w:hanging="360"/>
      </w:pPr>
    </w:lvl>
    <w:lvl w:ilvl="2" w:tplc="B3E838D2">
      <w:start w:val="1"/>
      <w:numFmt w:val="lowerRoman"/>
      <w:lvlText w:val="%3."/>
      <w:lvlJc w:val="right"/>
      <w:pPr>
        <w:ind w:left="2160" w:hanging="180"/>
      </w:pPr>
    </w:lvl>
    <w:lvl w:ilvl="3" w:tplc="5E6E0F44">
      <w:start w:val="1"/>
      <w:numFmt w:val="decimal"/>
      <w:lvlText w:val="%4."/>
      <w:lvlJc w:val="left"/>
      <w:pPr>
        <w:ind w:left="2880" w:hanging="360"/>
      </w:pPr>
    </w:lvl>
    <w:lvl w:ilvl="4" w:tplc="0088B306">
      <w:start w:val="1"/>
      <w:numFmt w:val="lowerLetter"/>
      <w:lvlText w:val="%5."/>
      <w:lvlJc w:val="left"/>
      <w:pPr>
        <w:ind w:left="3600" w:hanging="360"/>
      </w:pPr>
    </w:lvl>
    <w:lvl w:ilvl="5" w:tplc="8B9E8D7A">
      <w:start w:val="1"/>
      <w:numFmt w:val="lowerRoman"/>
      <w:lvlText w:val="%6."/>
      <w:lvlJc w:val="right"/>
      <w:pPr>
        <w:ind w:left="4320" w:hanging="180"/>
      </w:pPr>
    </w:lvl>
    <w:lvl w:ilvl="6" w:tplc="FD369DB6">
      <w:start w:val="1"/>
      <w:numFmt w:val="decimal"/>
      <w:lvlText w:val="%7."/>
      <w:lvlJc w:val="left"/>
      <w:pPr>
        <w:ind w:left="5040" w:hanging="360"/>
      </w:pPr>
    </w:lvl>
    <w:lvl w:ilvl="7" w:tplc="005409CC">
      <w:start w:val="1"/>
      <w:numFmt w:val="lowerLetter"/>
      <w:lvlText w:val="%8."/>
      <w:lvlJc w:val="left"/>
      <w:pPr>
        <w:ind w:left="5760" w:hanging="360"/>
      </w:pPr>
    </w:lvl>
    <w:lvl w:ilvl="8" w:tplc="2092F334">
      <w:start w:val="1"/>
      <w:numFmt w:val="lowerRoman"/>
      <w:lvlText w:val="%9."/>
      <w:lvlJc w:val="right"/>
      <w:pPr>
        <w:ind w:left="6480" w:hanging="180"/>
      </w:pPr>
    </w:lvl>
  </w:abstractNum>
  <w:abstractNum w:abstractNumId="18" w15:restartNumberingAfterBreak="0">
    <w:nsid w:val="3EF57602"/>
    <w:multiLevelType w:val="multilevel"/>
    <w:tmpl w:val="E1DAF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4955A3"/>
    <w:multiLevelType w:val="hybridMultilevel"/>
    <w:tmpl w:val="704ED1D8"/>
    <w:lvl w:ilvl="0" w:tplc="FC68CA78">
      <w:start w:val="1"/>
      <w:numFmt w:val="decimal"/>
      <w:lvlText w:val="%1."/>
      <w:lvlJc w:val="left"/>
      <w:pPr>
        <w:ind w:left="720" w:hanging="360"/>
      </w:pPr>
    </w:lvl>
    <w:lvl w:ilvl="1" w:tplc="0834316E">
      <w:start w:val="1"/>
      <w:numFmt w:val="lowerLetter"/>
      <w:lvlText w:val="%2."/>
      <w:lvlJc w:val="left"/>
      <w:pPr>
        <w:ind w:left="1440" w:hanging="360"/>
      </w:pPr>
    </w:lvl>
    <w:lvl w:ilvl="2" w:tplc="8F902BBC">
      <w:start w:val="1"/>
      <w:numFmt w:val="lowerRoman"/>
      <w:lvlText w:val="%3."/>
      <w:lvlJc w:val="right"/>
      <w:pPr>
        <w:ind w:left="2160" w:hanging="180"/>
      </w:pPr>
    </w:lvl>
    <w:lvl w:ilvl="3" w:tplc="2DD21766">
      <w:start w:val="1"/>
      <w:numFmt w:val="decimal"/>
      <w:lvlText w:val="%4."/>
      <w:lvlJc w:val="left"/>
      <w:pPr>
        <w:ind w:left="2880" w:hanging="360"/>
      </w:pPr>
    </w:lvl>
    <w:lvl w:ilvl="4" w:tplc="132E4624">
      <w:start w:val="1"/>
      <w:numFmt w:val="lowerLetter"/>
      <w:lvlText w:val="%5."/>
      <w:lvlJc w:val="left"/>
      <w:pPr>
        <w:ind w:left="3600" w:hanging="360"/>
      </w:pPr>
    </w:lvl>
    <w:lvl w:ilvl="5" w:tplc="1F1E19B4">
      <w:start w:val="1"/>
      <w:numFmt w:val="lowerRoman"/>
      <w:lvlText w:val="%6."/>
      <w:lvlJc w:val="right"/>
      <w:pPr>
        <w:ind w:left="4320" w:hanging="180"/>
      </w:pPr>
    </w:lvl>
    <w:lvl w:ilvl="6" w:tplc="586C9E36">
      <w:start w:val="1"/>
      <w:numFmt w:val="decimal"/>
      <w:lvlText w:val="%7."/>
      <w:lvlJc w:val="left"/>
      <w:pPr>
        <w:ind w:left="5040" w:hanging="360"/>
      </w:pPr>
    </w:lvl>
    <w:lvl w:ilvl="7" w:tplc="F7F07176">
      <w:start w:val="1"/>
      <w:numFmt w:val="lowerLetter"/>
      <w:lvlText w:val="%8."/>
      <w:lvlJc w:val="left"/>
      <w:pPr>
        <w:ind w:left="5760" w:hanging="360"/>
      </w:pPr>
    </w:lvl>
    <w:lvl w:ilvl="8" w:tplc="22C2D1C2">
      <w:start w:val="1"/>
      <w:numFmt w:val="lowerRoman"/>
      <w:lvlText w:val="%9."/>
      <w:lvlJc w:val="right"/>
      <w:pPr>
        <w:ind w:left="6480" w:hanging="180"/>
      </w:pPr>
    </w:lvl>
  </w:abstractNum>
  <w:abstractNum w:abstractNumId="20" w15:restartNumberingAfterBreak="0">
    <w:nsid w:val="502AE20B"/>
    <w:multiLevelType w:val="hybridMultilevel"/>
    <w:tmpl w:val="51185D9E"/>
    <w:lvl w:ilvl="0" w:tplc="E2264F0A">
      <w:start w:val="1"/>
      <w:numFmt w:val="decimal"/>
      <w:lvlText w:val="%1."/>
      <w:lvlJc w:val="left"/>
      <w:pPr>
        <w:ind w:left="720" w:hanging="360"/>
      </w:pPr>
    </w:lvl>
    <w:lvl w:ilvl="1" w:tplc="AB240FE8">
      <w:start w:val="1"/>
      <w:numFmt w:val="lowerLetter"/>
      <w:lvlText w:val="%2."/>
      <w:lvlJc w:val="left"/>
      <w:pPr>
        <w:ind w:left="1440" w:hanging="360"/>
      </w:pPr>
    </w:lvl>
    <w:lvl w:ilvl="2" w:tplc="B81CB04A">
      <w:start w:val="1"/>
      <w:numFmt w:val="lowerRoman"/>
      <w:lvlText w:val="%3."/>
      <w:lvlJc w:val="right"/>
      <w:pPr>
        <w:ind w:left="2160" w:hanging="180"/>
      </w:pPr>
    </w:lvl>
    <w:lvl w:ilvl="3" w:tplc="85B04958">
      <w:start w:val="1"/>
      <w:numFmt w:val="decimal"/>
      <w:lvlText w:val="%4."/>
      <w:lvlJc w:val="left"/>
      <w:pPr>
        <w:ind w:left="2880" w:hanging="360"/>
      </w:pPr>
    </w:lvl>
    <w:lvl w:ilvl="4" w:tplc="3AC6406C">
      <w:start w:val="1"/>
      <w:numFmt w:val="lowerLetter"/>
      <w:lvlText w:val="%5."/>
      <w:lvlJc w:val="left"/>
      <w:pPr>
        <w:ind w:left="3600" w:hanging="360"/>
      </w:pPr>
    </w:lvl>
    <w:lvl w:ilvl="5" w:tplc="E1F2B128">
      <w:start w:val="1"/>
      <w:numFmt w:val="lowerRoman"/>
      <w:lvlText w:val="%6."/>
      <w:lvlJc w:val="right"/>
      <w:pPr>
        <w:ind w:left="4320" w:hanging="180"/>
      </w:pPr>
    </w:lvl>
    <w:lvl w:ilvl="6" w:tplc="C2581F14">
      <w:start w:val="1"/>
      <w:numFmt w:val="decimal"/>
      <w:lvlText w:val="%7."/>
      <w:lvlJc w:val="left"/>
      <w:pPr>
        <w:ind w:left="5040" w:hanging="360"/>
      </w:pPr>
    </w:lvl>
    <w:lvl w:ilvl="7" w:tplc="B3EA8758">
      <w:start w:val="1"/>
      <w:numFmt w:val="lowerLetter"/>
      <w:lvlText w:val="%8."/>
      <w:lvlJc w:val="left"/>
      <w:pPr>
        <w:ind w:left="5760" w:hanging="360"/>
      </w:pPr>
    </w:lvl>
    <w:lvl w:ilvl="8" w:tplc="9A6A773E">
      <w:start w:val="1"/>
      <w:numFmt w:val="lowerRoman"/>
      <w:lvlText w:val="%9."/>
      <w:lvlJc w:val="right"/>
      <w:pPr>
        <w:ind w:left="6480" w:hanging="180"/>
      </w:pPr>
    </w:lvl>
  </w:abstractNum>
  <w:abstractNum w:abstractNumId="21" w15:restartNumberingAfterBreak="0">
    <w:nsid w:val="575D8265"/>
    <w:multiLevelType w:val="hybridMultilevel"/>
    <w:tmpl w:val="7584C2E0"/>
    <w:lvl w:ilvl="0" w:tplc="A88A3A4A">
      <w:start w:val="1"/>
      <w:numFmt w:val="decimal"/>
      <w:lvlText w:val="%1."/>
      <w:lvlJc w:val="left"/>
      <w:pPr>
        <w:ind w:left="1080" w:hanging="360"/>
      </w:pPr>
    </w:lvl>
    <w:lvl w:ilvl="1" w:tplc="B852C5E4">
      <w:start w:val="1"/>
      <w:numFmt w:val="lowerLetter"/>
      <w:lvlText w:val="%2."/>
      <w:lvlJc w:val="left"/>
      <w:pPr>
        <w:ind w:left="1800" w:hanging="360"/>
      </w:pPr>
    </w:lvl>
    <w:lvl w:ilvl="2" w:tplc="525A9DC2">
      <w:start w:val="1"/>
      <w:numFmt w:val="lowerRoman"/>
      <w:lvlText w:val="%3."/>
      <w:lvlJc w:val="right"/>
      <w:pPr>
        <w:ind w:left="2520" w:hanging="180"/>
      </w:pPr>
    </w:lvl>
    <w:lvl w:ilvl="3" w:tplc="B2668606">
      <w:start w:val="1"/>
      <w:numFmt w:val="decimal"/>
      <w:lvlText w:val="%4."/>
      <w:lvlJc w:val="left"/>
      <w:pPr>
        <w:ind w:left="3240" w:hanging="360"/>
      </w:pPr>
    </w:lvl>
    <w:lvl w:ilvl="4" w:tplc="FB4883F6">
      <w:start w:val="1"/>
      <w:numFmt w:val="lowerLetter"/>
      <w:lvlText w:val="%5."/>
      <w:lvlJc w:val="left"/>
      <w:pPr>
        <w:ind w:left="3960" w:hanging="360"/>
      </w:pPr>
    </w:lvl>
    <w:lvl w:ilvl="5" w:tplc="1516343E">
      <w:start w:val="1"/>
      <w:numFmt w:val="lowerRoman"/>
      <w:lvlText w:val="%6."/>
      <w:lvlJc w:val="right"/>
      <w:pPr>
        <w:ind w:left="4680" w:hanging="180"/>
      </w:pPr>
    </w:lvl>
    <w:lvl w:ilvl="6" w:tplc="7D187B26">
      <w:start w:val="1"/>
      <w:numFmt w:val="decimal"/>
      <w:lvlText w:val="%7."/>
      <w:lvlJc w:val="left"/>
      <w:pPr>
        <w:ind w:left="5400" w:hanging="360"/>
      </w:pPr>
    </w:lvl>
    <w:lvl w:ilvl="7" w:tplc="D2CEE628">
      <w:start w:val="1"/>
      <w:numFmt w:val="lowerLetter"/>
      <w:lvlText w:val="%8."/>
      <w:lvlJc w:val="left"/>
      <w:pPr>
        <w:ind w:left="6120" w:hanging="360"/>
      </w:pPr>
    </w:lvl>
    <w:lvl w:ilvl="8" w:tplc="3E84DE1E">
      <w:start w:val="1"/>
      <w:numFmt w:val="lowerRoman"/>
      <w:lvlText w:val="%9."/>
      <w:lvlJc w:val="right"/>
      <w:pPr>
        <w:ind w:left="6840" w:hanging="180"/>
      </w:pPr>
    </w:lvl>
  </w:abstractNum>
  <w:abstractNum w:abstractNumId="22" w15:restartNumberingAfterBreak="0">
    <w:nsid w:val="593C199B"/>
    <w:multiLevelType w:val="multilevel"/>
    <w:tmpl w:val="09649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E65817"/>
    <w:multiLevelType w:val="hybridMultilevel"/>
    <w:tmpl w:val="857673C4"/>
    <w:lvl w:ilvl="0" w:tplc="0D4A4CC2">
      <w:start w:val="1"/>
      <w:numFmt w:val="decimal"/>
      <w:lvlText w:val="%1."/>
      <w:lvlJc w:val="left"/>
      <w:pPr>
        <w:ind w:left="1080" w:hanging="360"/>
      </w:pPr>
    </w:lvl>
    <w:lvl w:ilvl="1" w:tplc="07E0A146">
      <w:start w:val="1"/>
      <w:numFmt w:val="lowerLetter"/>
      <w:lvlText w:val="%2."/>
      <w:lvlJc w:val="left"/>
      <w:pPr>
        <w:ind w:left="1800" w:hanging="360"/>
      </w:pPr>
    </w:lvl>
    <w:lvl w:ilvl="2" w:tplc="9D569770">
      <w:start w:val="1"/>
      <w:numFmt w:val="lowerRoman"/>
      <w:lvlText w:val="%3."/>
      <w:lvlJc w:val="right"/>
      <w:pPr>
        <w:ind w:left="2520" w:hanging="180"/>
      </w:pPr>
    </w:lvl>
    <w:lvl w:ilvl="3" w:tplc="467EA85E">
      <w:start w:val="1"/>
      <w:numFmt w:val="decimal"/>
      <w:lvlText w:val="%4."/>
      <w:lvlJc w:val="left"/>
      <w:pPr>
        <w:ind w:left="3240" w:hanging="360"/>
      </w:pPr>
    </w:lvl>
    <w:lvl w:ilvl="4" w:tplc="C47C5122">
      <w:start w:val="1"/>
      <w:numFmt w:val="lowerLetter"/>
      <w:lvlText w:val="%5."/>
      <w:lvlJc w:val="left"/>
      <w:pPr>
        <w:ind w:left="3960" w:hanging="360"/>
      </w:pPr>
    </w:lvl>
    <w:lvl w:ilvl="5" w:tplc="07C68420">
      <w:start w:val="1"/>
      <w:numFmt w:val="lowerRoman"/>
      <w:lvlText w:val="%6."/>
      <w:lvlJc w:val="right"/>
      <w:pPr>
        <w:ind w:left="4680" w:hanging="180"/>
      </w:pPr>
    </w:lvl>
    <w:lvl w:ilvl="6" w:tplc="6680AEBA">
      <w:start w:val="1"/>
      <w:numFmt w:val="decimal"/>
      <w:lvlText w:val="%7."/>
      <w:lvlJc w:val="left"/>
      <w:pPr>
        <w:ind w:left="5400" w:hanging="360"/>
      </w:pPr>
    </w:lvl>
    <w:lvl w:ilvl="7" w:tplc="902A3604">
      <w:start w:val="1"/>
      <w:numFmt w:val="lowerLetter"/>
      <w:lvlText w:val="%8."/>
      <w:lvlJc w:val="left"/>
      <w:pPr>
        <w:ind w:left="6120" w:hanging="360"/>
      </w:pPr>
    </w:lvl>
    <w:lvl w:ilvl="8" w:tplc="A126AFF8">
      <w:start w:val="1"/>
      <w:numFmt w:val="lowerRoman"/>
      <w:lvlText w:val="%9."/>
      <w:lvlJc w:val="right"/>
      <w:pPr>
        <w:ind w:left="6840" w:hanging="180"/>
      </w:pPr>
    </w:lvl>
  </w:abstractNum>
  <w:abstractNum w:abstractNumId="24" w15:restartNumberingAfterBreak="0">
    <w:nsid w:val="5A53CBC4"/>
    <w:multiLevelType w:val="hybridMultilevel"/>
    <w:tmpl w:val="EEC21148"/>
    <w:lvl w:ilvl="0" w:tplc="5DA4BC9E">
      <w:start w:val="1"/>
      <w:numFmt w:val="decimal"/>
      <w:lvlText w:val="%1."/>
      <w:lvlJc w:val="left"/>
      <w:pPr>
        <w:ind w:left="720" w:hanging="360"/>
      </w:pPr>
    </w:lvl>
    <w:lvl w:ilvl="1" w:tplc="78D631F2">
      <w:start w:val="1"/>
      <w:numFmt w:val="lowerLetter"/>
      <w:lvlText w:val="%2."/>
      <w:lvlJc w:val="left"/>
      <w:pPr>
        <w:ind w:left="1440" w:hanging="360"/>
      </w:pPr>
    </w:lvl>
    <w:lvl w:ilvl="2" w:tplc="7E783B40">
      <w:start w:val="1"/>
      <w:numFmt w:val="lowerRoman"/>
      <w:lvlText w:val="%3."/>
      <w:lvlJc w:val="right"/>
      <w:pPr>
        <w:ind w:left="2160" w:hanging="180"/>
      </w:pPr>
    </w:lvl>
    <w:lvl w:ilvl="3" w:tplc="6AA47CC6">
      <w:start w:val="1"/>
      <w:numFmt w:val="decimal"/>
      <w:lvlText w:val="%4."/>
      <w:lvlJc w:val="left"/>
      <w:pPr>
        <w:ind w:left="2880" w:hanging="360"/>
      </w:pPr>
    </w:lvl>
    <w:lvl w:ilvl="4" w:tplc="567404FC">
      <w:start w:val="1"/>
      <w:numFmt w:val="lowerLetter"/>
      <w:lvlText w:val="%5."/>
      <w:lvlJc w:val="left"/>
      <w:pPr>
        <w:ind w:left="3600" w:hanging="360"/>
      </w:pPr>
    </w:lvl>
    <w:lvl w:ilvl="5" w:tplc="702CD84E">
      <w:start w:val="1"/>
      <w:numFmt w:val="lowerRoman"/>
      <w:lvlText w:val="%6."/>
      <w:lvlJc w:val="right"/>
      <w:pPr>
        <w:ind w:left="4320" w:hanging="180"/>
      </w:pPr>
    </w:lvl>
    <w:lvl w:ilvl="6" w:tplc="A8380244">
      <w:start w:val="1"/>
      <w:numFmt w:val="decimal"/>
      <w:lvlText w:val="%7."/>
      <w:lvlJc w:val="left"/>
      <w:pPr>
        <w:ind w:left="5040" w:hanging="360"/>
      </w:pPr>
    </w:lvl>
    <w:lvl w:ilvl="7" w:tplc="401827DC">
      <w:start w:val="1"/>
      <w:numFmt w:val="lowerLetter"/>
      <w:lvlText w:val="%8."/>
      <w:lvlJc w:val="left"/>
      <w:pPr>
        <w:ind w:left="5760" w:hanging="360"/>
      </w:pPr>
    </w:lvl>
    <w:lvl w:ilvl="8" w:tplc="976A3BAA">
      <w:start w:val="1"/>
      <w:numFmt w:val="lowerRoman"/>
      <w:lvlText w:val="%9."/>
      <w:lvlJc w:val="right"/>
      <w:pPr>
        <w:ind w:left="6480" w:hanging="180"/>
      </w:pPr>
    </w:lvl>
  </w:abstractNum>
  <w:abstractNum w:abstractNumId="25" w15:restartNumberingAfterBreak="0">
    <w:nsid w:val="5AC7BD77"/>
    <w:multiLevelType w:val="hybridMultilevel"/>
    <w:tmpl w:val="BC185660"/>
    <w:lvl w:ilvl="0" w:tplc="97147914">
      <w:start w:val="1"/>
      <w:numFmt w:val="decimal"/>
      <w:lvlText w:val="%1."/>
      <w:lvlJc w:val="left"/>
      <w:pPr>
        <w:ind w:left="1080" w:hanging="360"/>
      </w:pPr>
    </w:lvl>
    <w:lvl w:ilvl="1" w:tplc="81D08234">
      <w:start w:val="1"/>
      <w:numFmt w:val="lowerLetter"/>
      <w:lvlText w:val="%2."/>
      <w:lvlJc w:val="left"/>
      <w:pPr>
        <w:ind w:left="1800" w:hanging="360"/>
      </w:pPr>
    </w:lvl>
    <w:lvl w:ilvl="2" w:tplc="A69C54F6">
      <w:start w:val="1"/>
      <w:numFmt w:val="lowerRoman"/>
      <w:lvlText w:val="%3."/>
      <w:lvlJc w:val="right"/>
      <w:pPr>
        <w:ind w:left="2520" w:hanging="180"/>
      </w:pPr>
    </w:lvl>
    <w:lvl w:ilvl="3" w:tplc="C7B052FC">
      <w:start w:val="1"/>
      <w:numFmt w:val="decimal"/>
      <w:lvlText w:val="%4."/>
      <w:lvlJc w:val="left"/>
      <w:pPr>
        <w:ind w:left="3240" w:hanging="360"/>
      </w:pPr>
    </w:lvl>
    <w:lvl w:ilvl="4" w:tplc="169EE988">
      <w:start w:val="1"/>
      <w:numFmt w:val="lowerLetter"/>
      <w:lvlText w:val="%5."/>
      <w:lvlJc w:val="left"/>
      <w:pPr>
        <w:ind w:left="3960" w:hanging="360"/>
      </w:pPr>
    </w:lvl>
    <w:lvl w:ilvl="5" w:tplc="88361C42">
      <w:start w:val="1"/>
      <w:numFmt w:val="lowerRoman"/>
      <w:lvlText w:val="%6."/>
      <w:lvlJc w:val="right"/>
      <w:pPr>
        <w:ind w:left="4680" w:hanging="180"/>
      </w:pPr>
    </w:lvl>
    <w:lvl w:ilvl="6" w:tplc="826AA476">
      <w:start w:val="1"/>
      <w:numFmt w:val="decimal"/>
      <w:lvlText w:val="%7."/>
      <w:lvlJc w:val="left"/>
      <w:pPr>
        <w:ind w:left="5400" w:hanging="360"/>
      </w:pPr>
    </w:lvl>
    <w:lvl w:ilvl="7" w:tplc="C8584D4E">
      <w:start w:val="1"/>
      <w:numFmt w:val="lowerLetter"/>
      <w:lvlText w:val="%8."/>
      <w:lvlJc w:val="left"/>
      <w:pPr>
        <w:ind w:left="6120" w:hanging="360"/>
      </w:pPr>
    </w:lvl>
    <w:lvl w:ilvl="8" w:tplc="288AA6B6">
      <w:start w:val="1"/>
      <w:numFmt w:val="lowerRoman"/>
      <w:lvlText w:val="%9."/>
      <w:lvlJc w:val="right"/>
      <w:pPr>
        <w:ind w:left="6840" w:hanging="180"/>
      </w:pPr>
    </w:lvl>
  </w:abstractNum>
  <w:abstractNum w:abstractNumId="26" w15:restartNumberingAfterBreak="0">
    <w:nsid w:val="602E0EE6"/>
    <w:multiLevelType w:val="multilevel"/>
    <w:tmpl w:val="CF1A959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3987EC"/>
    <w:multiLevelType w:val="hybridMultilevel"/>
    <w:tmpl w:val="59C41B58"/>
    <w:lvl w:ilvl="0" w:tplc="C17C2830">
      <w:start w:val="1"/>
      <w:numFmt w:val="bullet"/>
      <w:lvlText w:val=""/>
      <w:lvlJc w:val="left"/>
      <w:pPr>
        <w:ind w:left="720" w:hanging="360"/>
      </w:pPr>
      <w:rPr>
        <w:rFonts w:ascii="Symbol" w:hAnsi="Symbol" w:hint="default"/>
      </w:rPr>
    </w:lvl>
    <w:lvl w:ilvl="1" w:tplc="0AFE060A">
      <w:start w:val="1"/>
      <w:numFmt w:val="bullet"/>
      <w:lvlText w:val="o"/>
      <w:lvlJc w:val="left"/>
      <w:pPr>
        <w:ind w:left="1440" w:hanging="360"/>
      </w:pPr>
      <w:rPr>
        <w:rFonts w:ascii="Courier New" w:hAnsi="Courier New" w:hint="default"/>
      </w:rPr>
    </w:lvl>
    <w:lvl w:ilvl="2" w:tplc="FA96FED4">
      <w:start w:val="1"/>
      <w:numFmt w:val="bullet"/>
      <w:lvlText w:val=""/>
      <w:lvlJc w:val="left"/>
      <w:pPr>
        <w:ind w:left="2160" w:hanging="360"/>
      </w:pPr>
      <w:rPr>
        <w:rFonts w:ascii="Wingdings" w:hAnsi="Wingdings" w:hint="default"/>
      </w:rPr>
    </w:lvl>
    <w:lvl w:ilvl="3" w:tplc="B6A0A6FC">
      <w:start w:val="1"/>
      <w:numFmt w:val="bullet"/>
      <w:lvlText w:val=""/>
      <w:lvlJc w:val="left"/>
      <w:pPr>
        <w:ind w:left="2880" w:hanging="360"/>
      </w:pPr>
      <w:rPr>
        <w:rFonts w:ascii="Symbol" w:hAnsi="Symbol" w:hint="default"/>
      </w:rPr>
    </w:lvl>
    <w:lvl w:ilvl="4" w:tplc="B4A6D0F0">
      <w:start w:val="1"/>
      <w:numFmt w:val="bullet"/>
      <w:lvlText w:val="o"/>
      <w:lvlJc w:val="left"/>
      <w:pPr>
        <w:ind w:left="3600" w:hanging="360"/>
      </w:pPr>
      <w:rPr>
        <w:rFonts w:ascii="Courier New" w:hAnsi="Courier New" w:hint="default"/>
      </w:rPr>
    </w:lvl>
    <w:lvl w:ilvl="5" w:tplc="19B450C0">
      <w:start w:val="1"/>
      <w:numFmt w:val="bullet"/>
      <w:lvlText w:val=""/>
      <w:lvlJc w:val="left"/>
      <w:pPr>
        <w:ind w:left="4320" w:hanging="360"/>
      </w:pPr>
      <w:rPr>
        <w:rFonts w:ascii="Wingdings" w:hAnsi="Wingdings" w:hint="default"/>
      </w:rPr>
    </w:lvl>
    <w:lvl w:ilvl="6" w:tplc="51EE7010">
      <w:start w:val="1"/>
      <w:numFmt w:val="bullet"/>
      <w:lvlText w:val=""/>
      <w:lvlJc w:val="left"/>
      <w:pPr>
        <w:ind w:left="5040" w:hanging="360"/>
      </w:pPr>
      <w:rPr>
        <w:rFonts w:ascii="Symbol" w:hAnsi="Symbol" w:hint="default"/>
      </w:rPr>
    </w:lvl>
    <w:lvl w:ilvl="7" w:tplc="8808453E">
      <w:start w:val="1"/>
      <w:numFmt w:val="bullet"/>
      <w:lvlText w:val="o"/>
      <w:lvlJc w:val="left"/>
      <w:pPr>
        <w:ind w:left="5760" w:hanging="360"/>
      </w:pPr>
      <w:rPr>
        <w:rFonts w:ascii="Courier New" w:hAnsi="Courier New" w:hint="default"/>
      </w:rPr>
    </w:lvl>
    <w:lvl w:ilvl="8" w:tplc="ABA21C06">
      <w:start w:val="1"/>
      <w:numFmt w:val="bullet"/>
      <w:lvlText w:val=""/>
      <w:lvlJc w:val="left"/>
      <w:pPr>
        <w:ind w:left="6480" w:hanging="360"/>
      </w:pPr>
      <w:rPr>
        <w:rFonts w:ascii="Wingdings" w:hAnsi="Wingdings" w:hint="default"/>
      </w:rPr>
    </w:lvl>
  </w:abstractNum>
  <w:abstractNum w:abstractNumId="28" w15:restartNumberingAfterBreak="0">
    <w:nsid w:val="61DD334C"/>
    <w:multiLevelType w:val="multilevel"/>
    <w:tmpl w:val="6766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EB325B"/>
    <w:multiLevelType w:val="multilevel"/>
    <w:tmpl w:val="1786E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4009A2"/>
    <w:multiLevelType w:val="multilevel"/>
    <w:tmpl w:val="7A60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7D4B9E"/>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7C00C7"/>
    <w:multiLevelType w:val="multilevel"/>
    <w:tmpl w:val="1F9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134CAE"/>
    <w:multiLevelType w:val="multilevel"/>
    <w:tmpl w:val="F4AA9E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930C51"/>
    <w:multiLevelType w:val="multilevel"/>
    <w:tmpl w:val="7862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D1915B"/>
    <w:multiLevelType w:val="hybridMultilevel"/>
    <w:tmpl w:val="C7743548"/>
    <w:lvl w:ilvl="0" w:tplc="5090F342">
      <w:start w:val="1"/>
      <w:numFmt w:val="decimal"/>
      <w:lvlText w:val="%1."/>
      <w:lvlJc w:val="left"/>
      <w:pPr>
        <w:ind w:left="1080" w:hanging="360"/>
      </w:pPr>
    </w:lvl>
    <w:lvl w:ilvl="1" w:tplc="CFF442E4">
      <w:start w:val="1"/>
      <w:numFmt w:val="lowerLetter"/>
      <w:lvlText w:val="%2."/>
      <w:lvlJc w:val="left"/>
      <w:pPr>
        <w:ind w:left="1800" w:hanging="360"/>
      </w:pPr>
    </w:lvl>
    <w:lvl w:ilvl="2" w:tplc="95CC2628">
      <w:start w:val="1"/>
      <w:numFmt w:val="lowerRoman"/>
      <w:lvlText w:val="%3."/>
      <w:lvlJc w:val="right"/>
      <w:pPr>
        <w:ind w:left="2520" w:hanging="180"/>
      </w:pPr>
    </w:lvl>
    <w:lvl w:ilvl="3" w:tplc="2862BC44">
      <w:start w:val="1"/>
      <w:numFmt w:val="decimal"/>
      <w:lvlText w:val="%4."/>
      <w:lvlJc w:val="left"/>
      <w:pPr>
        <w:ind w:left="3240" w:hanging="360"/>
      </w:pPr>
    </w:lvl>
    <w:lvl w:ilvl="4" w:tplc="0FB85BB0">
      <w:start w:val="1"/>
      <w:numFmt w:val="lowerLetter"/>
      <w:lvlText w:val="%5."/>
      <w:lvlJc w:val="left"/>
      <w:pPr>
        <w:ind w:left="3960" w:hanging="360"/>
      </w:pPr>
    </w:lvl>
    <w:lvl w:ilvl="5" w:tplc="DF72DAE4">
      <w:start w:val="1"/>
      <w:numFmt w:val="lowerRoman"/>
      <w:lvlText w:val="%6."/>
      <w:lvlJc w:val="right"/>
      <w:pPr>
        <w:ind w:left="4680" w:hanging="180"/>
      </w:pPr>
    </w:lvl>
    <w:lvl w:ilvl="6" w:tplc="1C2C3AAC">
      <w:start w:val="1"/>
      <w:numFmt w:val="decimal"/>
      <w:lvlText w:val="%7."/>
      <w:lvlJc w:val="left"/>
      <w:pPr>
        <w:ind w:left="5400" w:hanging="360"/>
      </w:pPr>
    </w:lvl>
    <w:lvl w:ilvl="7" w:tplc="6302BFAA">
      <w:start w:val="1"/>
      <w:numFmt w:val="lowerLetter"/>
      <w:lvlText w:val="%8."/>
      <w:lvlJc w:val="left"/>
      <w:pPr>
        <w:ind w:left="6120" w:hanging="360"/>
      </w:pPr>
    </w:lvl>
    <w:lvl w:ilvl="8" w:tplc="8AA4381A">
      <w:start w:val="1"/>
      <w:numFmt w:val="lowerRoman"/>
      <w:lvlText w:val="%9."/>
      <w:lvlJc w:val="right"/>
      <w:pPr>
        <w:ind w:left="6840" w:hanging="180"/>
      </w:pPr>
    </w:lvl>
  </w:abstractNum>
  <w:abstractNum w:abstractNumId="36" w15:restartNumberingAfterBreak="0">
    <w:nsid w:val="7522587E"/>
    <w:multiLevelType w:val="multilevel"/>
    <w:tmpl w:val="4C8C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E375AE"/>
    <w:multiLevelType w:val="multilevel"/>
    <w:tmpl w:val="F4F62BF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5967205">
    <w:abstractNumId w:val="24"/>
  </w:num>
  <w:num w:numId="2" w16cid:durableId="1310524394">
    <w:abstractNumId w:val="17"/>
  </w:num>
  <w:num w:numId="3" w16cid:durableId="1343363083">
    <w:abstractNumId w:val="21"/>
  </w:num>
  <w:num w:numId="4" w16cid:durableId="1806661448">
    <w:abstractNumId w:val="4"/>
  </w:num>
  <w:num w:numId="5" w16cid:durableId="1041589255">
    <w:abstractNumId w:val="27"/>
  </w:num>
  <w:num w:numId="6" w16cid:durableId="979844544">
    <w:abstractNumId w:val="35"/>
  </w:num>
  <w:num w:numId="7" w16cid:durableId="549070632">
    <w:abstractNumId w:val="11"/>
  </w:num>
  <w:num w:numId="8" w16cid:durableId="83302565">
    <w:abstractNumId w:val="25"/>
  </w:num>
  <w:num w:numId="9" w16cid:durableId="628705255">
    <w:abstractNumId w:val="20"/>
  </w:num>
  <w:num w:numId="10" w16cid:durableId="160437625">
    <w:abstractNumId w:val="23"/>
  </w:num>
  <w:num w:numId="11" w16cid:durableId="1124809030">
    <w:abstractNumId w:val="13"/>
  </w:num>
  <w:num w:numId="12" w16cid:durableId="360130673">
    <w:abstractNumId w:val="19"/>
  </w:num>
  <w:num w:numId="13" w16cid:durableId="1691570594">
    <w:abstractNumId w:val="29"/>
  </w:num>
  <w:num w:numId="14" w16cid:durableId="1755396248">
    <w:abstractNumId w:val="33"/>
    <w:lvlOverride w:ilvl="0">
      <w:lvl w:ilvl="0">
        <w:numFmt w:val="decimal"/>
        <w:lvlText w:val="%1."/>
        <w:lvlJc w:val="left"/>
      </w:lvl>
    </w:lvlOverride>
  </w:num>
  <w:num w:numId="15" w16cid:durableId="978144292">
    <w:abstractNumId w:val="28"/>
  </w:num>
  <w:num w:numId="16" w16cid:durableId="1102409419">
    <w:abstractNumId w:val="15"/>
  </w:num>
  <w:num w:numId="17" w16cid:durableId="925304371">
    <w:abstractNumId w:val="9"/>
  </w:num>
  <w:num w:numId="18" w16cid:durableId="996496528">
    <w:abstractNumId w:val="36"/>
  </w:num>
  <w:num w:numId="19" w16cid:durableId="1954900351">
    <w:abstractNumId w:val="32"/>
  </w:num>
  <w:num w:numId="20" w16cid:durableId="650448780">
    <w:abstractNumId w:val="37"/>
  </w:num>
  <w:num w:numId="21" w16cid:durableId="302126278">
    <w:abstractNumId w:val="3"/>
  </w:num>
  <w:num w:numId="22" w16cid:durableId="1213689014">
    <w:abstractNumId w:val="8"/>
    <w:lvlOverride w:ilvl="0">
      <w:lvl w:ilvl="0">
        <w:numFmt w:val="decimal"/>
        <w:lvlText w:val="%1."/>
        <w:lvlJc w:val="left"/>
      </w:lvl>
    </w:lvlOverride>
  </w:num>
  <w:num w:numId="23" w16cid:durableId="591621603">
    <w:abstractNumId w:val="7"/>
  </w:num>
  <w:num w:numId="24" w16cid:durableId="182401065">
    <w:abstractNumId w:val="30"/>
  </w:num>
  <w:num w:numId="25" w16cid:durableId="1898123351">
    <w:abstractNumId w:val="18"/>
  </w:num>
  <w:num w:numId="26" w16cid:durableId="859926683">
    <w:abstractNumId w:val="2"/>
  </w:num>
  <w:num w:numId="27" w16cid:durableId="881482234">
    <w:abstractNumId w:val="16"/>
  </w:num>
  <w:num w:numId="28" w16cid:durableId="206842646">
    <w:abstractNumId w:val="6"/>
  </w:num>
  <w:num w:numId="29" w16cid:durableId="1899587066">
    <w:abstractNumId w:val="10"/>
  </w:num>
  <w:num w:numId="30" w16cid:durableId="1752854082">
    <w:abstractNumId w:val="31"/>
  </w:num>
  <w:num w:numId="31" w16cid:durableId="155654299">
    <w:abstractNumId w:val="14"/>
  </w:num>
  <w:num w:numId="32" w16cid:durableId="2047369932">
    <w:abstractNumId w:val="5"/>
  </w:num>
  <w:num w:numId="33" w16cid:durableId="1404186082">
    <w:abstractNumId w:val="22"/>
  </w:num>
  <w:num w:numId="34" w16cid:durableId="1240753211">
    <w:abstractNumId w:val="0"/>
  </w:num>
  <w:num w:numId="35" w16cid:durableId="525681897">
    <w:abstractNumId w:val="1"/>
  </w:num>
  <w:num w:numId="36" w16cid:durableId="613173972">
    <w:abstractNumId w:val="12"/>
  </w:num>
  <w:num w:numId="37" w16cid:durableId="973825757">
    <w:abstractNumId w:val="34"/>
  </w:num>
  <w:num w:numId="38" w16cid:durableId="406340164">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misha Setiyar">
    <w15:presenceInfo w15:providerId="Windows Live" w15:userId="d6fa8aca4edfec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49E"/>
    <w:rsid w:val="00027B9D"/>
    <w:rsid w:val="00058786"/>
    <w:rsid w:val="00066973"/>
    <w:rsid w:val="0010649E"/>
    <w:rsid w:val="00130460"/>
    <w:rsid w:val="001A6E71"/>
    <w:rsid w:val="00237FFA"/>
    <w:rsid w:val="00467C24"/>
    <w:rsid w:val="0048013C"/>
    <w:rsid w:val="004A4CD1"/>
    <w:rsid w:val="004B5E47"/>
    <w:rsid w:val="00504792"/>
    <w:rsid w:val="00525275"/>
    <w:rsid w:val="00547C01"/>
    <w:rsid w:val="005D556E"/>
    <w:rsid w:val="005F8DE6"/>
    <w:rsid w:val="006142BF"/>
    <w:rsid w:val="006B5C27"/>
    <w:rsid w:val="00701C63"/>
    <w:rsid w:val="007234D4"/>
    <w:rsid w:val="00751B2D"/>
    <w:rsid w:val="00780E31"/>
    <w:rsid w:val="00797A72"/>
    <w:rsid w:val="007D32A4"/>
    <w:rsid w:val="009108B6"/>
    <w:rsid w:val="009B69C4"/>
    <w:rsid w:val="00A97067"/>
    <w:rsid w:val="00A97928"/>
    <w:rsid w:val="00AC22B8"/>
    <w:rsid w:val="00CF5C07"/>
    <w:rsid w:val="00D97E7D"/>
    <w:rsid w:val="00E07C9D"/>
    <w:rsid w:val="00F20B18"/>
    <w:rsid w:val="00FB7C00"/>
    <w:rsid w:val="00FD63E9"/>
    <w:rsid w:val="01452DE0"/>
    <w:rsid w:val="016435F1"/>
    <w:rsid w:val="0182BD93"/>
    <w:rsid w:val="018E163E"/>
    <w:rsid w:val="01B037DF"/>
    <w:rsid w:val="01B3360F"/>
    <w:rsid w:val="01CA8439"/>
    <w:rsid w:val="0219E814"/>
    <w:rsid w:val="024ADC9F"/>
    <w:rsid w:val="02E61E07"/>
    <w:rsid w:val="0368E0F3"/>
    <w:rsid w:val="03A65010"/>
    <w:rsid w:val="03BB4DD4"/>
    <w:rsid w:val="03F5C3A0"/>
    <w:rsid w:val="03FD7497"/>
    <w:rsid w:val="041B79DB"/>
    <w:rsid w:val="04338C3E"/>
    <w:rsid w:val="04962A1F"/>
    <w:rsid w:val="04AFE157"/>
    <w:rsid w:val="04DEB519"/>
    <w:rsid w:val="0575D169"/>
    <w:rsid w:val="05A4437B"/>
    <w:rsid w:val="06306891"/>
    <w:rsid w:val="063EAABC"/>
    <w:rsid w:val="067ABFC3"/>
    <w:rsid w:val="06F55A67"/>
    <w:rsid w:val="079A7CE8"/>
    <w:rsid w:val="07A71095"/>
    <w:rsid w:val="07AE8BBE"/>
    <w:rsid w:val="07AF11B6"/>
    <w:rsid w:val="07E99AEB"/>
    <w:rsid w:val="08243635"/>
    <w:rsid w:val="099C199A"/>
    <w:rsid w:val="09EEEDE2"/>
    <w:rsid w:val="0A02CF6A"/>
    <w:rsid w:val="0A33A003"/>
    <w:rsid w:val="0A98BE52"/>
    <w:rsid w:val="0A9A5172"/>
    <w:rsid w:val="0AADD0CF"/>
    <w:rsid w:val="0ACA3941"/>
    <w:rsid w:val="0B1B9151"/>
    <w:rsid w:val="0BBEED9E"/>
    <w:rsid w:val="0BC35D1C"/>
    <w:rsid w:val="0C11440B"/>
    <w:rsid w:val="0C4217B8"/>
    <w:rsid w:val="0C4AB825"/>
    <w:rsid w:val="0C4AE630"/>
    <w:rsid w:val="0C81E028"/>
    <w:rsid w:val="0CE35030"/>
    <w:rsid w:val="0D49FF4B"/>
    <w:rsid w:val="0D683CAE"/>
    <w:rsid w:val="0DC8DC83"/>
    <w:rsid w:val="0DD2B4DA"/>
    <w:rsid w:val="0DDA4F05"/>
    <w:rsid w:val="0E1E7CEC"/>
    <w:rsid w:val="0E4A17AD"/>
    <w:rsid w:val="0EB5EF23"/>
    <w:rsid w:val="0ED62A62"/>
    <w:rsid w:val="0F508EEC"/>
    <w:rsid w:val="0F7FDE26"/>
    <w:rsid w:val="0FDBC4C8"/>
    <w:rsid w:val="0FE7ABB7"/>
    <w:rsid w:val="10880C96"/>
    <w:rsid w:val="10B9A5A1"/>
    <w:rsid w:val="10D46361"/>
    <w:rsid w:val="10DD26C0"/>
    <w:rsid w:val="10DE52D5"/>
    <w:rsid w:val="10E7322F"/>
    <w:rsid w:val="10E8D19A"/>
    <w:rsid w:val="1122F129"/>
    <w:rsid w:val="11AFF458"/>
    <w:rsid w:val="11B37EAD"/>
    <w:rsid w:val="11B4E2FF"/>
    <w:rsid w:val="11D96448"/>
    <w:rsid w:val="12701BED"/>
    <w:rsid w:val="12A69C85"/>
    <w:rsid w:val="12EFAD79"/>
    <w:rsid w:val="13E655EE"/>
    <w:rsid w:val="145688E8"/>
    <w:rsid w:val="157C5443"/>
    <w:rsid w:val="157CF4B3"/>
    <w:rsid w:val="1581BB73"/>
    <w:rsid w:val="15B5FA9A"/>
    <w:rsid w:val="15C05521"/>
    <w:rsid w:val="1669A16C"/>
    <w:rsid w:val="167AB760"/>
    <w:rsid w:val="16891242"/>
    <w:rsid w:val="16E8A492"/>
    <w:rsid w:val="176934C1"/>
    <w:rsid w:val="17EFCD06"/>
    <w:rsid w:val="180BBF78"/>
    <w:rsid w:val="1843E181"/>
    <w:rsid w:val="184F1F71"/>
    <w:rsid w:val="187518EC"/>
    <w:rsid w:val="18D8696C"/>
    <w:rsid w:val="18EF04D5"/>
    <w:rsid w:val="190DED63"/>
    <w:rsid w:val="193A4458"/>
    <w:rsid w:val="196A6974"/>
    <w:rsid w:val="1A83B6CE"/>
    <w:rsid w:val="1A86EF86"/>
    <w:rsid w:val="1AE757D1"/>
    <w:rsid w:val="1B89AFDC"/>
    <w:rsid w:val="1BB6030A"/>
    <w:rsid w:val="1BCBC074"/>
    <w:rsid w:val="1C0558BF"/>
    <w:rsid w:val="1C70A49C"/>
    <w:rsid w:val="1C77C186"/>
    <w:rsid w:val="1C875848"/>
    <w:rsid w:val="1CB4EF91"/>
    <w:rsid w:val="1CE09F30"/>
    <w:rsid w:val="1D0F0127"/>
    <w:rsid w:val="1D29175F"/>
    <w:rsid w:val="1D778133"/>
    <w:rsid w:val="1DA2DB53"/>
    <w:rsid w:val="1DDA0587"/>
    <w:rsid w:val="1E87860F"/>
    <w:rsid w:val="1EB74A41"/>
    <w:rsid w:val="1EBB1E3F"/>
    <w:rsid w:val="1ECF42D9"/>
    <w:rsid w:val="1F36A5CA"/>
    <w:rsid w:val="1F6CB103"/>
    <w:rsid w:val="1F88E98D"/>
    <w:rsid w:val="1FE62697"/>
    <w:rsid w:val="1FE746BA"/>
    <w:rsid w:val="208595F8"/>
    <w:rsid w:val="209A3613"/>
    <w:rsid w:val="20C9C36A"/>
    <w:rsid w:val="20D4C65C"/>
    <w:rsid w:val="213615D1"/>
    <w:rsid w:val="214F9D9E"/>
    <w:rsid w:val="218CDD93"/>
    <w:rsid w:val="21D716FD"/>
    <w:rsid w:val="222CB511"/>
    <w:rsid w:val="222CE226"/>
    <w:rsid w:val="2271E8EE"/>
    <w:rsid w:val="23007137"/>
    <w:rsid w:val="230C55A4"/>
    <w:rsid w:val="230F653B"/>
    <w:rsid w:val="232C561E"/>
    <w:rsid w:val="2378C1C3"/>
    <w:rsid w:val="23B144DB"/>
    <w:rsid w:val="23C365F1"/>
    <w:rsid w:val="23D7FE59"/>
    <w:rsid w:val="23EE0292"/>
    <w:rsid w:val="2494C9FD"/>
    <w:rsid w:val="249CB6EC"/>
    <w:rsid w:val="24EE5451"/>
    <w:rsid w:val="25220121"/>
    <w:rsid w:val="25B640E0"/>
    <w:rsid w:val="26104EB9"/>
    <w:rsid w:val="262DCFA2"/>
    <w:rsid w:val="269A24EC"/>
    <w:rsid w:val="26FAB492"/>
    <w:rsid w:val="273432A0"/>
    <w:rsid w:val="2741CD56"/>
    <w:rsid w:val="2741EA7D"/>
    <w:rsid w:val="274CB2D1"/>
    <w:rsid w:val="27882387"/>
    <w:rsid w:val="27C8C8AB"/>
    <w:rsid w:val="27D0E9E6"/>
    <w:rsid w:val="27DD1CF5"/>
    <w:rsid w:val="27EEE407"/>
    <w:rsid w:val="2807FF45"/>
    <w:rsid w:val="28211620"/>
    <w:rsid w:val="2827AD23"/>
    <w:rsid w:val="285DDB58"/>
    <w:rsid w:val="28763FC2"/>
    <w:rsid w:val="2888C3D3"/>
    <w:rsid w:val="28F43897"/>
    <w:rsid w:val="291758B8"/>
    <w:rsid w:val="292286B4"/>
    <w:rsid w:val="294B4A71"/>
    <w:rsid w:val="2963F6F3"/>
    <w:rsid w:val="29E03EE4"/>
    <w:rsid w:val="2A5F0A12"/>
    <w:rsid w:val="2BA67C26"/>
    <w:rsid w:val="2BD31030"/>
    <w:rsid w:val="2BDE7845"/>
    <w:rsid w:val="2C60EDCB"/>
    <w:rsid w:val="2C810C67"/>
    <w:rsid w:val="2CE2FFC9"/>
    <w:rsid w:val="2D26A750"/>
    <w:rsid w:val="2D88A8EE"/>
    <w:rsid w:val="2D8F74EC"/>
    <w:rsid w:val="2DC5405B"/>
    <w:rsid w:val="2DF6932B"/>
    <w:rsid w:val="2E158384"/>
    <w:rsid w:val="2E58FE26"/>
    <w:rsid w:val="2E6482F2"/>
    <w:rsid w:val="2E87E8D0"/>
    <w:rsid w:val="2E8BB153"/>
    <w:rsid w:val="2F1B51F6"/>
    <w:rsid w:val="2F85128F"/>
    <w:rsid w:val="2F95DDE1"/>
    <w:rsid w:val="2F9BD395"/>
    <w:rsid w:val="2FA3182E"/>
    <w:rsid w:val="31521087"/>
    <w:rsid w:val="31699A71"/>
    <w:rsid w:val="319243D4"/>
    <w:rsid w:val="31EAE841"/>
    <w:rsid w:val="321248DA"/>
    <w:rsid w:val="32276F2A"/>
    <w:rsid w:val="3245970F"/>
    <w:rsid w:val="33079D37"/>
    <w:rsid w:val="332F307E"/>
    <w:rsid w:val="334D8A2B"/>
    <w:rsid w:val="3397AC7A"/>
    <w:rsid w:val="346CA0E6"/>
    <w:rsid w:val="34D93272"/>
    <w:rsid w:val="35115932"/>
    <w:rsid w:val="35F554B6"/>
    <w:rsid w:val="363BAE71"/>
    <w:rsid w:val="36FD8E50"/>
    <w:rsid w:val="372E6CFE"/>
    <w:rsid w:val="3752F210"/>
    <w:rsid w:val="3761CFD8"/>
    <w:rsid w:val="37DF1843"/>
    <w:rsid w:val="37F949A5"/>
    <w:rsid w:val="380FEA60"/>
    <w:rsid w:val="38964821"/>
    <w:rsid w:val="391FF323"/>
    <w:rsid w:val="39921E8F"/>
    <w:rsid w:val="39930E49"/>
    <w:rsid w:val="399F324F"/>
    <w:rsid w:val="39D8891C"/>
    <w:rsid w:val="3A2FC532"/>
    <w:rsid w:val="3A769E7D"/>
    <w:rsid w:val="3B1242BF"/>
    <w:rsid w:val="3B2279C1"/>
    <w:rsid w:val="3B7DB190"/>
    <w:rsid w:val="3B90C3D2"/>
    <w:rsid w:val="3BD2C104"/>
    <w:rsid w:val="3CAB2B1A"/>
    <w:rsid w:val="3D13FF35"/>
    <w:rsid w:val="3D6246CD"/>
    <w:rsid w:val="3DB9D2BE"/>
    <w:rsid w:val="3DF7074F"/>
    <w:rsid w:val="3E28CEB8"/>
    <w:rsid w:val="3E4D9D8C"/>
    <w:rsid w:val="3E5C584D"/>
    <w:rsid w:val="3E7BA8F7"/>
    <w:rsid w:val="3ECB0240"/>
    <w:rsid w:val="3F822155"/>
    <w:rsid w:val="4000D960"/>
    <w:rsid w:val="400C2071"/>
    <w:rsid w:val="409D92FA"/>
    <w:rsid w:val="40B3112B"/>
    <w:rsid w:val="410CAE7B"/>
    <w:rsid w:val="4117A12E"/>
    <w:rsid w:val="412712E6"/>
    <w:rsid w:val="415254B4"/>
    <w:rsid w:val="41542C70"/>
    <w:rsid w:val="419EA21C"/>
    <w:rsid w:val="41CF7034"/>
    <w:rsid w:val="41F1615C"/>
    <w:rsid w:val="42559CDC"/>
    <w:rsid w:val="434A7D94"/>
    <w:rsid w:val="43540458"/>
    <w:rsid w:val="437E380B"/>
    <w:rsid w:val="43DCC9E8"/>
    <w:rsid w:val="442FC70B"/>
    <w:rsid w:val="444C0A00"/>
    <w:rsid w:val="44C6E4AC"/>
    <w:rsid w:val="450C8659"/>
    <w:rsid w:val="452254FE"/>
    <w:rsid w:val="4529A165"/>
    <w:rsid w:val="452DCA60"/>
    <w:rsid w:val="45360635"/>
    <w:rsid w:val="45419F04"/>
    <w:rsid w:val="45AFFA2B"/>
    <w:rsid w:val="45BA05BF"/>
    <w:rsid w:val="45E00259"/>
    <w:rsid w:val="4652D1B6"/>
    <w:rsid w:val="46760087"/>
    <w:rsid w:val="46FC4B0B"/>
    <w:rsid w:val="472938A9"/>
    <w:rsid w:val="473C4896"/>
    <w:rsid w:val="48604C85"/>
    <w:rsid w:val="48953FE6"/>
    <w:rsid w:val="48B96907"/>
    <w:rsid w:val="49183A1F"/>
    <w:rsid w:val="49301D83"/>
    <w:rsid w:val="493B9E9A"/>
    <w:rsid w:val="49931D95"/>
    <w:rsid w:val="49D43BFA"/>
    <w:rsid w:val="49DD8217"/>
    <w:rsid w:val="4A439E5A"/>
    <w:rsid w:val="4AB86CC7"/>
    <w:rsid w:val="4B7E3D33"/>
    <w:rsid w:val="4B9B7F7E"/>
    <w:rsid w:val="4BCA1C9C"/>
    <w:rsid w:val="4BDF6CF7"/>
    <w:rsid w:val="4BF69D25"/>
    <w:rsid w:val="4C0C681C"/>
    <w:rsid w:val="4C1D6D91"/>
    <w:rsid w:val="4C61DACC"/>
    <w:rsid w:val="4CB8CCF9"/>
    <w:rsid w:val="4D12D0AB"/>
    <w:rsid w:val="4D2E5285"/>
    <w:rsid w:val="4DAC725A"/>
    <w:rsid w:val="4ED35C9C"/>
    <w:rsid w:val="4F3E5006"/>
    <w:rsid w:val="5055D24B"/>
    <w:rsid w:val="508BD4F0"/>
    <w:rsid w:val="50993072"/>
    <w:rsid w:val="50B59EE2"/>
    <w:rsid w:val="512C156C"/>
    <w:rsid w:val="5166AFD2"/>
    <w:rsid w:val="518E3F47"/>
    <w:rsid w:val="51A85593"/>
    <w:rsid w:val="51C7F075"/>
    <w:rsid w:val="52296A52"/>
    <w:rsid w:val="52DA195A"/>
    <w:rsid w:val="52F36794"/>
    <w:rsid w:val="531389E6"/>
    <w:rsid w:val="534129B5"/>
    <w:rsid w:val="53E5DED0"/>
    <w:rsid w:val="5423B3C0"/>
    <w:rsid w:val="542853A4"/>
    <w:rsid w:val="545994EF"/>
    <w:rsid w:val="54E08C6C"/>
    <w:rsid w:val="550A1A8D"/>
    <w:rsid w:val="554D718A"/>
    <w:rsid w:val="55539126"/>
    <w:rsid w:val="55A722E3"/>
    <w:rsid w:val="55EAE0B9"/>
    <w:rsid w:val="56295200"/>
    <w:rsid w:val="565A5A25"/>
    <w:rsid w:val="56648A88"/>
    <w:rsid w:val="5692CFAA"/>
    <w:rsid w:val="56B69FF2"/>
    <w:rsid w:val="56C831E1"/>
    <w:rsid w:val="5719D8C4"/>
    <w:rsid w:val="57C58281"/>
    <w:rsid w:val="5826DE5E"/>
    <w:rsid w:val="584BEEE3"/>
    <w:rsid w:val="588DBD2C"/>
    <w:rsid w:val="58D00A8F"/>
    <w:rsid w:val="58D3FF47"/>
    <w:rsid w:val="593D9E61"/>
    <w:rsid w:val="593E5797"/>
    <w:rsid w:val="5A52B71A"/>
    <w:rsid w:val="5A9BB26F"/>
    <w:rsid w:val="5AFD8797"/>
    <w:rsid w:val="5B040AA5"/>
    <w:rsid w:val="5B100AA4"/>
    <w:rsid w:val="5B7C9ACA"/>
    <w:rsid w:val="5BB4625B"/>
    <w:rsid w:val="5BD79F1C"/>
    <w:rsid w:val="5C0E4777"/>
    <w:rsid w:val="5C156CAF"/>
    <w:rsid w:val="5C28737A"/>
    <w:rsid w:val="5C350ACA"/>
    <w:rsid w:val="5C831763"/>
    <w:rsid w:val="5CCDA024"/>
    <w:rsid w:val="5CD37672"/>
    <w:rsid w:val="5CFCB2A8"/>
    <w:rsid w:val="5D27EC07"/>
    <w:rsid w:val="5E3547CA"/>
    <w:rsid w:val="5E411C15"/>
    <w:rsid w:val="5E41F11E"/>
    <w:rsid w:val="5E6CD8E2"/>
    <w:rsid w:val="5E8CB6B5"/>
    <w:rsid w:val="5EAAEB5F"/>
    <w:rsid w:val="5EC31CC4"/>
    <w:rsid w:val="5ECEDB56"/>
    <w:rsid w:val="5F0E3A07"/>
    <w:rsid w:val="5F1D8636"/>
    <w:rsid w:val="5F2CC049"/>
    <w:rsid w:val="5F8C7B2F"/>
    <w:rsid w:val="5FDD83B1"/>
    <w:rsid w:val="5FFADC46"/>
    <w:rsid w:val="6038BC61"/>
    <w:rsid w:val="604B1E19"/>
    <w:rsid w:val="60ED08EF"/>
    <w:rsid w:val="60ED50F0"/>
    <w:rsid w:val="60FDF6CB"/>
    <w:rsid w:val="617D7A8E"/>
    <w:rsid w:val="61D31A9D"/>
    <w:rsid w:val="61F5C130"/>
    <w:rsid w:val="62001D51"/>
    <w:rsid w:val="62DCC551"/>
    <w:rsid w:val="63188DA0"/>
    <w:rsid w:val="632DCDA0"/>
    <w:rsid w:val="6355F8FE"/>
    <w:rsid w:val="6358C47C"/>
    <w:rsid w:val="636107CF"/>
    <w:rsid w:val="6395A931"/>
    <w:rsid w:val="6395DF29"/>
    <w:rsid w:val="63CE38AB"/>
    <w:rsid w:val="63E50039"/>
    <w:rsid w:val="640B55BF"/>
    <w:rsid w:val="6414ADC7"/>
    <w:rsid w:val="649936F8"/>
    <w:rsid w:val="64D74965"/>
    <w:rsid w:val="6505466A"/>
    <w:rsid w:val="656453F1"/>
    <w:rsid w:val="658C3B08"/>
    <w:rsid w:val="659C5804"/>
    <w:rsid w:val="660D80DC"/>
    <w:rsid w:val="662CEDC0"/>
    <w:rsid w:val="66EC8AB1"/>
    <w:rsid w:val="674268D8"/>
    <w:rsid w:val="67793508"/>
    <w:rsid w:val="6791E6C7"/>
    <w:rsid w:val="67D03C78"/>
    <w:rsid w:val="6803879D"/>
    <w:rsid w:val="6866D814"/>
    <w:rsid w:val="6874631B"/>
    <w:rsid w:val="693B6F82"/>
    <w:rsid w:val="693F56FB"/>
    <w:rsid w:val="6967CAB6"/>
    <w:rsid w:val="6A0488FB"/>
    <w:rsid w:val="6A143A5E"/>
    <w:rsid w:val="6A5A6F83"/>
    <w:rsid w:val="6ABB2B45"/>
    <w:rsid w:val="6AD26422"/>
    <w:rsid w:val="6ADD34FE"/>
    <w:rsid w:val="6B0DCF18"/>
    <w:rsid w:val="6B1C89DC"/>
    <w:rsid w:val="6B669FE1"/>
    <w:rsid w:val="6CC6D897"/>
    <w:rsid w:val="6CF6D556"/>
    <w:rsid w:val="6D84B6C0"/>
    <w:rsid w:val="6DC480FE"/>
    <w:rsid w:val="6DCCE101"/>
    <w:rsid w:val="6DCCE119"/>
    <w:rsid w:val="6DF76413"/>
    <w:rsid w:val="6E5DEF9C"/>
    <w:rsid w:val="6E9B2850"/>
    <w:rsid w:val="6F36278C"/>
    <w:rsid w:val="6F63A6CC"/>
    <w:rsid w:val="6FC3381A"/>
    <w:rsid w:val="70101965"/>
    <w:rsid w:val="70354A9D"/>
    <w:rsid w:val="70484490"/>
    <w:rsid w:val="70D75E75"/>
    <w:rsid w:val="717B1460"/>
    <w:rsid w:val="71895DED"/>
    <w:rsid w:val="71BD2B4C"/>
    <w:rsid w:val="7223F103"/>
    <w:rsid w:val="7275B20C"/>
    <w:rsid w:val="7284F8E9"/>
    <w:rsid w:val="732105ED"/>
    <w:rsid w:val="732C4F14"/>
    <w:rsid w:val="737F03CD"/>
    <w:rsid w:val="737FA43D"/>
    <w:rsid w:val="737FE316"/>
    <w:rsid w:val="73997E60"/>
    <w:rsid w:val="739D72E3"/>
    <w:rsid w:val="73BD7C1C"/>
    <w:rsid w:val="73DAFF87"/>
    <w:rsid w:val="73E4917E"/>
    <w:rsid w:val="73ED80C7"/>
    <w:rsid w:val="740D9A98"/>
    <w:rsid w:val="7474A9FC"/>
    <w:rsid w:val="74A2B90D"/>
    <w:rsid w:val="74DBF379"/>
    <w:rsid w:val="75231F1D"/>
    <w:rsid w:val="7529875F"/>
    <w:rsid w:val="754E4522"/>
    <w:rsid w:val="76763AC2"/>
    <w:rsid w:val="769EB837"/>
    <w:rsid w:val="76A385DB"/>
    <w:rsid w:val="76B077E5"/>
    <w:rsid w:val="7763CAAC"/>
    <w:rsid w:val="77708302"/>
    <w:rsid w:val="7787603F"/>
    <w:rsid w:val="779255D8"/>
    <w:rsid w:val="779CCEA7"/>
    <w:rsid w:val="77BF782F"/>
    <w:rsid w:val="77E7407E"/>
    <w:rsid w:val="7826672A"/>
    <w:rsid w:val="78656D63"/>
    <w:rsid w:val="787D6ED1"/>
    <w:rsid w:val="789C2721"/>
    <w:rsid w:val="78F09100"/>
    <w:rsid w:val="7916B0E0"/>
    <w:rsid w:val="79778A92"/>
    <w:rsid w:val="79985282"/>
    <w:rsid w:val="79B5E52E"/>
    <w:rsid w:val="79E093D0"/>
    <w:rsid w:val="79E34527"/>
    <w:rsid w:val="79F07E5C"/>
    <w:rsid w:val="7A81D450"/>
    <w:rsid w:val="7A98B226"/>
    <w:rsid w:val="7B691E5D"/>
    <w:rsid w:val="7BCC3BE4"/>
    <w:rsid w:val="7BD047D9"/>
    <w:rsid w:val="7D0FAC44"/>
    <w:rsid w:val="7D22E381"/>
    <w:rsid w:val="7D3D894A"/>
    <w:rsid w:val="7D9481C2"/>
    <w:rsid w:val="7E7EC5BC"/>
    <w:rsid w:val="7E8EF65B"/>
    <w:rsid w:val="7EA73380"/>
    <w:rsid w:val="7F742758"/>
    <w:rsid w:val="7FBFB5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A62EEB"/>
  <w15:chartTrackingRefBased/>
  <w15:docId w15:val="{3B2D7503-2FBE-4EB7-8CB9-B562F6FD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C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5C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E71"/>
    <w:rPr>
      <w:color w:val="0563C1" w:themeColor="hyperlink"/>
      <w:u w:val="single"/>
    </w:rPr>
  </w:style>
  <w:style w:type="character" w:styleId="UnresolvedMention">
    <w:name w:val="Unresolved Mention"/>
    <w:basedOn w:val="DefaultParagraphFont"/>
    <w:uiPriority w:val="99"/>
    <w:semiHidden/>
    <w:unhideWhenUsed/>
    <w:rsid w:val="001A6E71"/>
    <w:rPr>
      <w:color w:val="605E5C"/>
      <w:shd w:val="clear" w:color="auto" w:fill="E1DFDD"/>
    </w:rPr>
  </w:style>
  <w:style w:type="paragraph" w:styleId="ListParagraph">
    <w:name w:val="List Paragraph"/>
    <w:basedOn w:val="Normal"/>
    <w:uiPriority w:val="34"/>
    <w:qFormat/>
    <w:rsid w:val="001A6E71"/>
    <w:pPr>
      <w:ind w:left="720"/>
      <w:contextualSpacing/>
    </w:pPr>
  </w:style>
  <w:style w:type="character" w:styleId="FollowedHyperlink">
    <w:name w:val="FollowedHyperlink"/>
    <w:basedOn w:val="DefaultParagraphFont"/>
    <w:uiPriority w:val="99"/>
    <w:semiHidden/>
    <w:unhideWhenUsed/>
    <w:rsid w:val="00467C24"/>
    <w:rPr>
      <w:color w:val="954F72" w:themeColor="followedHyperlink"/>
      <w:u w:val="single"/>
    </w:rPr>
  </w:style>
  <w:style w:type="character" w:styleId="Emphasis">
    <w:name w:val="Emphasis"/>
    <w:basedOn w:val="DefaultParagraphFont"/>
    <w:uiPriority w:val="20"/>
    <w:qFormat/>
    <w:rsid w:val="00E07C9D"/>
    <w:rPr>
      <w:i/>
      <w:iCs/>
    </w:rPr>
  </w:style>
  <w:style w:type="character" w:customStyle="1" w:styleId="overflow-hidden">
    <w:name w:val="overflow-hidden"/>
    <w:basedOn w:val="DefaultParagraphFont"/>
    <w:rsid w:val="00525275"/>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701C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1C63"/>
    <w:pPr>
      <w:outlineLvl w:val="9"/>
    </w:pPr>
    <w:rPr>
      <w:kern w:val="0"/>
      <w:lang w:eastAsia="en-IN"/>
      <w14:ligatures w14:val="none"/>
    </w:rPr>
  </w:style>
  <w:style w:type="paragraph" w:styleId="TOC1">
    <w:name w:val="toc 1"/>
    <w:basedOn w:val="Normal"/>
    <w:next w:val="Normal"/>
    <w:autoRedefine/>
    <w:uiPriority w:val="39"/>
    <w:unhideWhenUsed/>
    <w:rsid w:val="00701C63"/>
    <w:pPr>
      <w:spacing w:after="100"/>
    </w:pPr>
  </w:style>
  <w:style w:type="character" w:customStyle="1" w:styleId="Heading2Char">
    <w:name w:val="Heading 2 Char"/>
    <w:basedOn w:val="DefaultParagraphFont"/>
    <w:link w:val="Heading2"/>
    <w:uiPriority w:val="9"/>
    <w:rsid w:val="00CF5C0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D556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TOC2">
    <w:name w:val="toc 2"/>
    <w:basedOn w:val="Normal"/>
    <w:next w:val="Normal"/>
    <w:autoRedefine/>
    <w:uiPriority w:val="39"/>
    <w:unhideWhenUsed/>
    <w:rsid w:val="005D556E"/>
    <w:pPr>
      <w:spacing w:after="100"/>
      <w:ind w:left="220"/>
    </w:pPr>
  </w:style>
  <w:style w:type="character" w:styleId="CommentReference">
    <w:name w:val="annotation reference"/>
    <w:basedOn w:val="DefaultParagraphFont"/>
    <w:uiPriority w:val="99"/>
    <w:semiHidden/>
    <w:unhideWhenUsed/>
    <w:rsid w:val="0048013C"/>
    <w:rPr>
      <w:sz w:val="16"/>
      <w:szCs w:val="16"/>
    </w:rPr>
  </w:style>
  <w:style w:type="paragraph" w:styleId="CommentText">
    <w:name w:val="annotation text"/>
    <w:basedOn w:val="Normal"/>
    <w:link w:val="CommentTextChar"/>
    <w:uiPriority w:val="99"/>
    <w:semiHidden/>
    <w:unhideWhenUsed/>
    <w:rsid w:val="0048013C"/>
    <w:pPr>
      <w:spacing w:line="240" w:lineRule="auto"/>
    </w:pPr>
    <w:rPr>
      <w:sz w:val="20"/>
      <w:szCs w:val="20"/>
    </w:rPr>
  </w:style>
  <w:style w:type="character" w:customStyle="1" w:styleId="CommentTextChar">
    <w:name w:val="Comment Text Char"/>
    <w:basedOn w:val="DefaultParagraphFont"/>
    <w:link w:val="CommentText"/>
    <w:uiPriority w:val="99"/>
    <w:semiHidden/>
    <w:rsid w:val="0048013C"/>
    <w:rPr>
      <w:sz w:val="20"/>
      <w:szCs w:val="20"/>
    </w:rPr>
  </w:style>
  <w:style w:type="paragraph" w:styleId="CommentSubject">
    <w:name w:val="annotation subject"/>
    <w:basedOn w:val="CommentText"/>
    <w:next w:val="CommentText"/>
    <w:link w:val="CommentSubjectChar"/>
    <w:uiPriority w:val="99"/>
    <w:semiHidden/>
    <w:unhideWhenUsed/>
    <w:rsid w:val="0048013C"/>
    <w:rPr>
      <w:b/>
      <w:bCs/>
    </w:rPr>
  </w:style>
  <w:style w:type="character" w:customStyle="1" w:styleId="CommentSubjectChar">
    <w:name w:val="Comment Subject Char"/>
    <w:basedOn w:val="CommentTextChar"/>
    <w:link w:val="CommentSubject"/>
    <w:uiPriority w:val="99"/>
    <w:semiHidden/>
    <w:rsid w:val="004801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charts.com/companies/TMUS/total_return_forward_adjusted_price" TargetMode="External"/><Relationship Id="rId18" Type="http://schemas.microsoft.com/office/2016/09/relationships/commentsIds" Target="commentsIds.xml"/><Relationship Id="rId26" Type="http://schemas.openxmlformats.org/officeDocument/2006/relationships/hyperlink" Target="https://ycharts.com/indicators/10_year_treasury_rate" TargetMode="External"/><Relationship Id="rId39" Type="http://schemas.openxmlformats.org/officeDocument/2006/relationships/hyperlink" Target="https://investor.t-mobile.com/stock-info/Stock-Quote--Chart/default.aspx" TargetMode="External"/><Relationship Id="rId21" Type="http://schemas.openxmlformats.org/officeDocument/2006/relationships/image" Target="media/image6.jpeg"/><Relationship Id="rId34" Type="http://schemas.openxmlformats.org/officeDocument/2006/relationships/hyperlink" Target="https://www.benzinga.com/insights/options/24/08/40352217/behind-the-scenes-of-charter-communicationss-latest-options-trends" TargetMode="External"/><Relationship Id="rId42" Type="http://schemas.openxmlformats.org/officeDocument/2006/relationships/hyperlink" Target="https://www.spglobal.com/spdji/en/indices/fixed-income/sp-10-year-us-treasury-note-futures-total-return-index/" TargetMode="External"/><Relationship Id="rId47" Type="http://schemas.openxmlformats.org/officeDocument/2006/relationships/hyperlink" Target="https://fred.stlouisfed.org/series/DGS10/" TargetMode="External"/><Relationship Id="rId50" Type="http://schemas.openxmlformats.org/officeDocument/2006/relationships/hyperlink" Target="https://www.cmcmarkets.com/en-gb/trading-guides/the-sharpe-ratio-definition" TargetMode="External"/><Relationship Id="rId55" Type="http://schemas.openxmlformats.org/officeDocument/2006/relationships/hyperlink" Target="https://www.sec.gov/Archives/edgar/data/1283699/000128369923000016/tmus-20221231.htm" TargetMode="External"/><Relationship Id="rId63"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omments" Target="comments.xml"/><Relationship Id="rId29" Type="http://schemas.openxmlformats.org/officeDocument/2006/relationships/hyperlink" Target="https://ycharts.com/indicators/10_year_treasury_rate" TargetMode="External"/><Relationship Id="rId11" Type="http://schemas.openxmlformats.org/officeDocument/2006/relationships/image" Target="media/image3.jpeg"/><Relationship Id="rId24" Type="http://schemas.openxmlformats.org/officeDocument/2006/relationships/hyperlink" Target="https://www.investing.com/rates-bonds/u.s.-10-year-bond-yield-historical-data" TargetMode="External"/><Relationship Id="rId32" Type="http://schemas.openxmlformats.org/officeDocument/2006/relationships/hyperlink" Target="https://investor.t-mobile.com/stock-info/Historical-Look-Up/default.aspx" TargetMode="External"/><Relationship Id="rId37" Type="http://schemas.openxmlformats.org/officeDocument/2006/relationships/hyperlink" Target="https://finance.yahoo.com/quote/CHTR/options/" TargetMode="External"/><Relationship Id="rId40" Type="http://schemas.openxmlformats.org/officeDocument/2006/relationships/hyperlink" Target="https://tradingeconomics.com/united-states/government-bond-yield" TargetMode="External"/><Relationship Id="rId45" Type="http://schemas.openxmlformats.org/officeDocument/2006/relationships/hyperlink" Target="https://www.macrotrends.net/2016/10-year-treasury-bond-rate-yield-chart" TargetMode="External"/><Relationship Id="rId53" Type="http://schemas.openxmlformats.org/officeDocument/2006/relationships/hyperlink" Target="https://www.investing.com/rates-bonds/u.s.-10-year-bond-yield-historical-data" TargetMode="External"/><Relationship Id="rId58" Type="http://schemas.openxmlformats.org/officeDocument/2006/relationships/hyperlink" Target="https://thebrandhopper.com/2024/04/09/a-deep-dive-into-the-marketing-strategies-of-t-mobile/" TargetMode="External"/><Relationship Id="rId5" Type="http://schemas.openxmlformats.org/officeDocument/2006/relationships/webSettings" Target="webSettings.xml"/><Relationship Id="rId61" Type="http://schemas.openxmlformats.org/officeDocument/2006/relationships/footer" Target="footer1.xml"/><Relationship Id="rId19" Type="http://schemas.microsoft.com/office/2018/08/relationships/commentsExtensible" Target="commentsExtensible.xml"/><Relationship Id="rId14" Type="http://schemas.openxmlformats.org/officeDocument/2006/relationships/chart" Target="charts/chart1.xml"/><Relationship Id="rId22" Type="http://schemas.openxmlformats.org/officeDocument/2006/relationships/image" Target="media/image7.png"/><Relationship Id="rId27" Type="http://schemas.openxmlformats.org/officeDocument/2006/relationships/hyperlink" Target="https://ycharts.com/indicators/10_year_treasury_rate" TargetMode="External"/><Relationship Id="rId30" Type="http://schemas.openxmlformats.org/officeDocument/2006/relationships/hyperlink" Target="https://www.hl.co.uk/shares/shares-search-results/t/t-mobile-us-inc-usd0.001" TargetMode="External"/><Relationship Id="rId35" Type="http://schemas.openxmlformats.org/officeDocument/2006/relationships/hyperlink" Target="https://www.marketbeat.com/stocks/NASDAQ/CHTR/options/" TargetMode="External"/><Relationship Id="rId43" Type="http://schemas.openxmlformats.org/officeDocument/2006/relationships/hyperlink" Target="https://finance.yahoo.com/quote/CHTR/options/" TargetMode="External"/><Relationship Id="rId48" Type="http://schemas.openxmlformats.org/officeDocument/2006/relationships/hyperlink" Target="https://fred.stlouisfed.org/series/DGS10/" TargetMode="External"/><Relationship Id="rId56" Type="http://schemas.openxmlformats.org/officeDocument/2006/relationships/hyperlink" Target="https://www.t-mobile.com/news/press/t-mobile-announces-proposed-public-offering-of-common-stock"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fourweekmba.com/t-mobile-business-model/" TargetMode="External"/><Relationship Id="rId3" Type="http://schemas.openxmlformats.org/officeDocument/2006/relationships/styles" Target="styles.xml"/><Relationship Id="rId12" Type="http://schemas.openxmlformats.org/officeDocument/2006/relationships/image" Target="media/image4.jpeg"/><Relationship Id="rId17" Type="http://schemas.microsoft.com/office/2011/relationships/commentsExtended" Target="commentsExtended.xml"/><Relationship Id="rId25" Type="http://schemas.openxmlformats.org/officeDocument/2006/relationships/hyperlink" Target="https://fred.stlouisfed.org/series/DGS10/" TargetMode="External"/><Relationship Id="rId33" Type="http://schemas.openxmlformats.org/officeDocument/2006/relationships/hyperlink" Target="https://investor.t-mobile.com/stock-info/Stock-Quote--Chart/default.aspx" TargetMode="External"/><Relationship Id="rId38" Type="http://schemas.openxmlformats.org/officeDocument/2006/relationships/hyperlink" Target="https://investor.t-mobile.com/stock-info/Historical-Look-Up/default.aspx" TargetMode="External"/><Relationship Id="rId46" Type="http://schemas.openxmlformats.org/officeDocument/2006/relationships/hyperlink" Target="https://www.investing.com/rates-bonds/u.s.-10-year-bond-yield-historical-data" TargetMode="External"/><Relationship Id="rId59" Type="http://schemas.openxmlformats.org/officeDocument/2006/relationships/hyperlink" Target="https://ycharts.com/companies/TMUS/total_return_forward_adjusted_price" TargetMode="External"/><Relationship Id="rId20" Type="http://schemas.openxmlformats.org/officeDocument/2006/relationships/image" Target="media/image5.png"/><Relationship Id="rId41" Type="http://schemas.openxmlformats.org/officeDocument/2006/relationships/hyperlink" Target="https://www.cmegroup.com/markets/interest-rates/us-treasury/10-year-us-treasury-note.html" TargetMode="External"/><Relationship Id="rId54" Type="http://schemas.openxmlformats.org/officeDocument/2006/relationships/hyperlink" Target="https://www.t-"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image" Target="media/image8.png"/><Relationship Id="rId28" Type="http://schemas.openxmlformats.org/officeDocument/2006/relationships/hyperlink" Target="https://ycharts.com/indicators/10_year_treasury_rate" TargetMode="External"/><Relationship Id="rId36" Type="http://schemas.openxmlformats.org/officeDocument/2006/relationships/hyperlink" Target="https://www.barchart.com/stocks/quotes/CHTR/options" TargetMode="External"/><Relationship Id="rId49" Type="http://schemas.openxmlformats.org/officeDocument/2006/relationships/hyperlink" Target="https://corporatefinanceinstitute.com/resources/career-map/sell-side/capital-markets/treynor-ratio/" TargetMode="External"/><Relationship Id="rId57" Type="http://schemas.openxmlformats.org/officeDocument/2006/relationships/hyperlink" Target="https://www.t-mobile.com/news/business/t-mobile-q4-2021-earnings" TargetMode="External"/><Relationship Id="rId10" Type="http://schemas.openxmlformats.org/officeDocument/2006/relationships/hyperlink" Target="https://fourweekmba.com/t-mobile-business-model/" TargetMode="External"/><Relationship Id="rId31" Type="http://schemas.openxmlformats.org/officeDocument/2006/relationships/hyperlink" Target="https://www.fool.com/quote/nasdaq/tmus/" TargetMode="External"/><Relationship Id="rId44" Type="http://schemas.openxmlformats.org/officeDocument/2006/relationships/hyperlink" Target="https://ycharts.com/indicators/10_year_treasury_rate" TargetMode="External"/><Relationship Id="rId52" Type="http://schemas.openxmlformats.org/officeDocument/2006/relationships/hyperlink" Target="https://groww.in/p/cagr-compounded-annual-growth-rate"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CAGR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Compound Annual Growth Interest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Sheet1!$A$2:$A$5</c:f>
              <c:numCache>
                <c:formatCode>General</c:formatCode>
                <c:ptCount val="4"/>
              </c:numCache>
            </c:numRef>
          </c:cat>
          <c:val>
            <c:numRef>
              <c:f>Sheet1!$B$2:$B$5</c:f>
              <c:numCache>
                <c:formatCode>General</c:formatCode>
                <c:ptCount val="4"/>
                <c:pt idx="0">
                  <c:v>5.7005300000000005E-4</c:v>
                </c:pt>
              </c:numCache>
            </c:numRef>
          </c:val>
          <c:extLst>
            <c:ext xmlns:c16="http://schemas.microsoft.com/office/drawing/2014/chart" uri="{C3380CC4-5D6E-409C-BE32-E72D297353CC}">
              <c16:uniqueId val="{00000000-1F2C-47C3-828F-D069370720C5}"/>
            </c:ext>
          </c:extLst>
        </c:ser>
        <c:dLbls>
          <c:dLblPos val="inEnd"/>
          <c:showLegendKey val="0"/>
          <c:showVal val="1"/>
          <c:showCatName val="0"/>
          <c:showSerName val="0"/>
          <c:showPercent val="0"/>
          <c:showBubbleSize val="0"/>
        </c:dLbls>
        <c:gapWidth val="100"/>
        <c:overlap val="-24"/>
        <c:axId val="530864895"/>
        <c:axId val="530859615"/>
      </c:barChart>
      <c:catAx>
        <c:axId val="530864895"/>
        <c:scaling>
          <c:orientation val="minMax"/>
        </c:scaling>
        <c:delete val="0"/>
        <c:axPos val="b"/>
        <c:numFmt formatCode="General" sourceLinked="1"/>
        <c:majorTickMark val="none"/>
        <c:minorTickMark val="none"/>
        <c:tickLblPos val="nextTo"/>
        <c:spPr>
          <a:noFill/>
          <a:ln w="9525">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30859615"/>
        <c:crosses val="autoZero"/>
        <c:auto val="1"/>
        <c:lblAlgn val="ctr"/>
        <c:lblOffset val="100"/>
        <c:noMultiLvlLbl val="0"/>
      </c:catAx>
      <c:valAx>
        <c:axId val="530859615"/>
        <c:scaling>
          <c:orientation val="minMax"/>
        </c:scaling>
        <c:delete val="0"/>
        <c:axPos val="l"/>
        <c:majorGridlines>
          <c:spPr>
            <a:ln w="9525">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30864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Discriptive</a:t>
            </a:r>
            <a:r>
              <a:rPr lang="en-IN" baseline="0"/>
              <a:t> Ratio </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Sharpe Ratio</c:v>
                </c:pt>
              </c:strCache>
            </c:strRef>
          </c:tx>
          <c:spPr>
            <a:solidFill>
              <a:schemeClr val="accent1"/>
            </a:solidFill>
            <a:ln>
              <a:noFill/>
            </a:ln>
            <a:effectLst/>
            <a:sp3d/>
          </c:spPr>
          <c:invertIfNegative val="0"/>
          <c:cat>
            <c:numRef>
              <c:f>Sheet1!$A$2:$A$5</c:f>
              <c:numCache>
                <c:formatCode>General</c:formatCode>
                <c:ptCount val="4"/>
              </c:numCache>
            </c:numRef>
          </c:cat>
          <c:val>
            <c:numRef>
              <c:f>Sheet1!$B$2:$B$5</c:f>
              <c:numCache>
                <c:formatCode>General</c:formatCode>
                <c:ptCount val="4"/>
                <c:pt idx="1">
                  <c:v>2.5345976619999999</c:v>
                </c:pt>
              </c:numCache>
            </c:numRef>
          </c:val>
          <c:extLst>
            <c:ext xmlns:c16="http://schemas.microsoft.com/office/drawing/2014/chart" uri="{C3380CC4-5D6E-409C-BE32-E72D297353CC}">
              <c16:uniqueId val="{00000000-D222-4539-A647-795876CFF69C}"/>
            </c:ext>
          </c:extLst>
        </c:ser>
        <c:ser>
          <c:idx val="1"/>
          <c:order val="1"/>
          <c:tx>
            <c:strRef>
              <c:f>Sheet1!$C$1</c:f>
              <c:strCache>
                <c:ptCount val="1"/>
                <c:pt idx="0">
                  <c:v>Treynor Ratio</c:v>
                </c:pt>
              </c:strCache>
            </c:strRef>
          </c:tx>
          <c:spPr>
            <a:solidFill>
              <a:schemeClr val="accent2"/>
            </a:solidFill>
            <a:ln>
              <a:noFill/>
            </a:ln>
            <a:effectLst/>
            <a:sp3d/>
          </c:spPr>
          <c:invertIfNegative val="0"/>
          <c:cat>
            <c:numRef>
              <c:f>Sheet1!$A$2:$A$5</c:f>
              <c:numCache>
                <c:formatCode>General</c:formatCode>
                <c:ptCount val="4"/>
              </c:numCache>
            </c:numRef>
          </c:cat>
          <c:val>
            <c:numRef>
              <c:f>Sheet1!$C$2:$C$5</c:f>
              <c:numCache>
                <c:formatCode>General</c:formatCode>
                <c:ptCount val="4"/>
                <c:pt idx="1">
                  <c:v>5.8823528999999999E-2</c:v>
                </c:pt>
              </c:numCache>
            </c:numRef>
          </c:val>
          <c:extLst>
            <c:ext xmlns:c16="http://schemas.microsoft.com/office/drawing/2014/chart" uri="{C3380CC4-5D6E-409C-BE32-E72D297353CC}">
              <c16:uniqueId val="{00000001-D222-4539-A647-795876CFF69C}"/>
            </c:ext>
          </c:extLst>
        </c:ser>
        <c:dLbls>
          <c:showLegendKey val="0"/>
          <c:showVal val="0"/>
          <c:showCatName val="0"/>
          <c:showSerName val="0"/>
          <c:showPercent val="0"/>
          <c:showBubbleSize val="0"/>
        </c:dLbls>
        <c:gapWidth val="150"/>
        <c:shape val="box"/>
        <c:axId val="530863455"/>
        <c:axId val="530863935"/>
        <c:axId val="0"/>
      </c:bar3DChart>
      <c:catAx>
        <c:axId val="5308634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863935"/>
        <c:crosses val="autoZero"/>
        <c:auto val="1"/>
        <c:lblAlgn val="ctr"/>
        <c:lblOffset val="100"/>
        <c:noMultiLvlLbl val="0"/>
      </c:catAx>
      <c:valAx>
        <c:axId val="530863935"/>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8634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7B14E-165F-4627-8247-D1DC6C2DD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25</Pages>
  <Words>6399</Words>
  <Characters>36925</Characters>
  <Application>Microsoft Office Word</Application>
  <DocSecurity>0</DocSecurity>
  <Lines>785</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Amisha Setiyar</dc:creator>
  <cp:lastModifiedBy>Amisha Setiyar</cp:lastModifiedBy>
  <cp:revision>30</cp:revision>
  <dcterms:created xsi:type="dcterms:W3CDTF">2024-08-28T05:35:00Z</dcterms:created>
  <dcterms:modified xsi:type="dcterms:W3CDTF">2024-08-28T06:50:00Z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617bd449ca17a12459cff8c48dfefe21867aa1657f6500c7d866d61eb57700f9</vt:lpwstr>
  </property>
</Properties>
</file>