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0E765" w14:textId="02DD090C" w:rsidR="00E23058" w:rsidRDefault="00393188">
      <w:r>
        <w:t xml:space="preserve">                                         </w:t>
      </w:r>
      <w:r>
        <w:rPr>
          <w:noProof/>
        </w:rPr>
        <w:drawing>
          <wp:inline distT="0" distB="0" distL="0" distR="0" wp14:anchorId="06132C6F" wp14:editId="19BA9AB8">
            <wp:extent cx="3639820" cy="1816735"/>
            <wp:effectExtent l="0" t="0" r="0" b="0"/>
            <wp:docPr id="223393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6C9EBCE" w14:textId="77777777" w:rsidR="00E23058" w:rsidRDefault="00E23058"/>
    <w:p w14:paraId="0B67F6B6" w14:textId="77777777" w:rsidR="00E23058" w:rsidRDefault="00E23058"/>
    <w:p w14:paraId="5BB5E7B7" w14:textId="77777777" w:rsidR="00393188" w:rsidRDefault="00393188"/>
    <w:p w14:paraId="5F2C9C79" w14:textId="77777777" w:rsidR="00393188" w:rsidRDefault="00393188"/>
    <w:p w14:paraId="1B6E13F5" w14:textId="77777777" w:rsidR="00393188" w:rsidRDefault="00393188"/>
    <w:p w14:paraId="4DE65A79" w14:textId="77777777" w:rsidR="00393188" w:rsidRDefault="00393188"/>
    <w:p w14:paraId="294E1AC7" w14:textId="77777777" w:rsidR="00393188" w:rsidRDefault="00393188"/>
    <w:p w14:paraId="6179F4C7" w14:textId="77777777" w:rsidR="00393188" w:rsidRPr="006856A5" w:rsidRDefault="00393188" w:rsidP="00393188">
      <w:pPr>
        <w:pBdr>
          <w:top w:val="nil"/>
          <w:left w:val="nil"/>
          <w:bottom w:val="nil"/>
          <w:right w:val="nil"/>
          <w:between w:val="nil"/>
        </w:pBdr>
        <w:jc w:val="center"/>
        <w:rPr>
          <w:b/>
          <w:bCs/>
          <w:sz w:val="28"/>
          <w:szCs w:val="28"/>
          <w:lang w:eastAsia="en-IN"/>
        </w:rPr>
      </w:pPr>
      <w:bookmarkStart w:id="0" w:name="_Hlk196308253"/>
      <w:r w:rsidRPr="006856A5">
        <w:rPr>
          <w:b/>
          <w:bCs/>
          <w:sz w:val="28"/>
          <w:szCs w:val="28"/>
          <w:lang w:eastAsia="en-IN"/>
        </w:rPr>
        <w:t>Name: Alina Don</w:t>
      </w:r>
    </w:p>
    <w:p w14:paraId="1EB0615E" w14:textId="77777777" w:rsidR="00393188" w:rsidRPr="006856A5" w:rsidRDefault="00393188" w:rsidP="00393188">
      <w:pPr>
        <w:pBdr>
          <w:top w:val="nil"/>
          <w:left w:val="nil"/>
          <w:bottom w:val="nil"/>
          <w:right w:val="nil"/>
          <w:between w:val="nil"/>
        </w:pBdr>
        <w:jc w:val="center"/>
        <w:rPr>
          <w:b/>
          <w:bCs/>
          <w:sz w:val="28"/>
          <w:szCs w:val="28"/>
          <w:lang w:eastAsia="en-IN"/>
        </w:rPr>
      </w:pPr>
      <w:r w:rsidRPr="006856A5">
        <w:rPr>
          <w:b/>
          <w:bCs/>
          <w:sz w:val="28"/>
          <w:szCs w:val="28"/>
          <w:lang w:eastAsia="en-IN"/>
        </w:rPr>
        <w:t>Student ID: 2209918</w:t>
      </w:r>
    </w:p>
    <w:p w14:paraId="6F941C47" w14:textId="4F87FD7F" w:rsidR="00393188" w:rsidRPr="006856A5" w:rsidRDefault="00393188" w:rsidP="00393188">
      <w:pPr>
        <w:pBdr>
          <w:top w:val="nil"/>
          <w:left w:val="nil"/>
          <w:bottom w:val="nil"/>
          <w:right w:val="nil"/>
          <w:between w:val="nil"/>
        </w:pBdr>
        <w:jc w:val="center"/>
        <w:rPr>
          <w:b/>
          <w:bCs/>
          <w:sz w:val="28"/>
          <w:szCs w:val="28"/>
          <w:lang w:eastAsia="en-IN"/>
        </w:rPr>
      </w:pPr>
      <w:r w:rsidRPr="006856A5">
        <w:rPr>
          <w:b/>
          <w:bCs/>
          <w:sz w:val="28"/>
          <w:szCs w:val="28"/>
          <w:lang w:eastAsia="en-IN"/>
        </w:rPr>
        <w:t xml:space="preserve">Module code: </w:t>
      </w:r>
      <w:r>
        <w:rPr>
          <w:b/>
          <w:bCs/>
          <w:sz w:val="28"/>
          <w:szCs w:val="28"/>
          <w:lang w:eastAsia="en-IN"/>
        </w:rPr>
        <w:t>LCMB7023</w:t>
      </w:r>
    </w:p>
    <w:p w14:paraId="200DB46D" w14:textId="2E899FF0" w:rsidR="00393188" w:rsidRPr="006856A5" w:rsidRDefault="00393188" w:rsidP="00393188">
      <w:pPr>
        <w:pBdr>
          <w:top w:val="nil"/>
          <w:left w:val="nil"/>
          <w:bottom w:val="nil"/>
          <w:right w:val="nil"/>
          <w:between w:val="nil"/>
        </w:pBdr>
        <w:jc w:val="center"/>
        <w:rPr>
          <w:b/>
          <w:bCs/>
          <w:sz w:val="28"/>
          <w:szCs w:val="28"/>
          <w:lang w:val="en" w:eastAsia="en-IN"/>
        </w:rPr>
      </w:pPr>
      <w:r w:rsidRPr="006856A5">
        <w:rPr>
          <w:b/>
          <w:bCs/>
          <w:sz w:val="28"/>
          <w:szCs w:val="28"/>
          <w:lang w:eastAsia="en-IN"/>
        </w:rPr>
        <w:t xml:space="preserve">Module name: </w:t>
      </w:r>
      <w:r>
        <w:rPr>
          <w:b/>
          <w:bCs/>
          <w:sz w:val="28"/>
          <w:szCs w:val="28"/>
          <w:lang w:val="en" w:eastAsia="en-IN"/>
        </w:rPr>
        <w:t xml:space="preserve">Human Capital Management </w:t>
      </w:r>
    </w:p>
    <w:p w14:paraId="48CF6AFA" w14:textId="190187B1" w:rsidR="00393188" w:rsidRPr="006856A5" w:rsidRDefault="00393188" w:rsidP="00393188">
      <w:pPr>
        <w:pBdr>
          <w:top w:val="nil"/>
          <w:left w:val="nil"/>
          <w:bottom w:val="nil"/>
          <w:right w:val="nil"/>
          <w:between w:val="nil"/>
        </w:pBdr>
        <w:jc w:val="center"/>
        <w:rPr>
          <w:b/>
          <w:bCs/>
          <w:sz w:val="28"/>
          <w:szCs w:val="28"/>
          <w:lang w:eastAsia="en-IN"/>
        </w:rPr>
      </w:pPr>
      <w:r w:rsidRPr="006856A5">
        <w:rPr>
          <w:b/>
          <w:bCs/>
          <w:sz w:val="28"/>
          <w:szCs w:val="28"/>
          <w:lang w:eastAsia="en-IN"/>
        </w:rPr>
        <w:t>Ass</w:t>
      </w:r>
      <w:r>
        <w:rPr>
          <w:b/>
          <w:bCs/>
          <w:sz w:val="28"/>
          <w:szCs w:val="28"/>
          <w:lang w:eastAsia="en-IN"/>
        </w:rPr>
        <w:t>essment component 1: Individual Report</w:t>
      </w:r>
    </w:p>
    <w:p w14:paraId="5847C732" w14:textId="41DCE0F4" w:rsidR="00393188" w:rsidRPr="006856A5" w:rsidRDefault="00393188" w:rsidP="00393188">
      <w:pPr>
        <w:pBdr>
          <w:top w:val="nil"/>
          <w:left w:val="nil"/>
          <w:bottom w:val="nil"/>
          <w:right w:val="nil"/>
          <w:between w:val="nil"/>
        </w:pBdr>
        <w:jc w:val="center"/>
        <w:rPr>
          <w:b/>
          <w:bCs/>
          <w:sz w:val="28"/>
          <w:szCs w:val="28"/>
          <w:lang w:eastAsia="en-IN"/>
        </w:rPr>
      </w:pPr>
      <w:r w:rsidRPr="006856A5">
        <w:rPr>
          <w:b/>
          <w:bCs/>
          <w:sz w:val="28"/>
          <w:szCs w:val="28"/>
          <w:lang w:eastAsia="en-IN"/>
        </w:rPr>
        <w:t xml:space="preserve">Lecturer: </w:t>
      </w:r>
      <w:r>
        <w:rPr>
          <w:b/>
          <w:bCs/>
          <w:sz w:val="28"/>
          <w:szCs w:val="28"/>
          <w:lang w:eastAsia="en-IN"/>
        </w:rPr>
        <w:t>Gladius Kulothungan</w:t>
      </w:r>
    </w:p>
    <w:p w14:paraId="54B1A2DA" w14:textId="77777777" w:rsidR="00393188" w:rsidRDefault="00393188" w:rsidP="00393188">
      <w:pPr>
        <w:rPr>
          <w:b/>
          <w:bCs/>
          <w:sz w:val="36"/>
          <w:szCs w:val="36"/>
        </w:rPr>
      </w:pPr>
    </w:p>
    <w:bookmarkEnd w:id="0"/>
    <w:p w14:paraId="70BDA89B" w14:textId="77777777" w:rsidR="00393188" w:rsidRDefault="00393188"/>
    <w:p w14:paraId="2E70526D" w14:textId="77777777" w:rsidR="00E23058" w:rsidRDefault="00E23058"/>
    <w:p w14:paraId="2616DCD1" w14:textId="2F2386FD" w:rsidR="00E23058" w:rsidRDefault="00E23058"/>
    <w:p w14:paraId="562200C3" w14:textId="77777777" w:rsidR="00E23058" w:rsidRDefault="00E23058"/>
    <w:p w14:paraId="7970A453" w14:textId="77777777" w:rsidR="00E23058" w:rsidRDefault="00000000">
      <w:bookmarkStart w:id="1" w:name="_xe9ona4t0qhc" w:colFirst="0" w:colLast="0"/>
      <w:bookmarkEnd w:id="1"/>
      <w:r>
        <w:br w:type="page"/>
      </w:r>
    </w:p>
    <w:p w14:paraId="3569E04B" w14:textId="77777777" w:rsidR="00393188" w:rsidRDefault="00393188">
      <w:pPr>
        <w:jc w:val="center"/>
        <w:rPr>
          <w:b/>
          <w:sz w:val="28"/>
          <w:szCs w:val="28"/>
        </w:rPr>
      </w:pPr>
    </w:p>
    <w:p w14:paraId="3DD2DA29" w14:textId="77777777" w:rsidR="00393188" w:rsidRDefault="00393188">
      <w:pPr>
        <w:jc w:val="center"/>
        <w:rPr>
          <w:b/>
          <w:sz w:val="28"/>
          <w:szCs w:val="28"/>
        </w:rPr>
      </w:pPr>
    </w:p>
    <w:p w14:paraId="1D2B9A84" w14:textId="77777777" w:rsidR="00393188" w:rsidRDefault="00393188">
      <w:pPr>
        <w:jc w:val="center"/>
        <w:rPr>
          <w:b/>
          <w:sz w:val="28"/>
          <w:szCs w:val="28"/>
        </w:rPr>
      </w:pPr>
    </w:p>
    <w:p w14:paraId="4872AB9A" w14:textId="77777777" w:rsidR="00393188" w:rsidRDefault="00393188">
      <w:pPr>
        <w:jc w:val="center"/>
        <w:rPr>
          <w:b/>
          <w:sz w:val="28"/>
          <w:szCs w:val="28"/>
        </w:rPr>
      </w:pPr>
    </w:p>
    <w:p w14:paraId="6EC3C920" w14:textId="77777777" w:rsidR="00393188" w:rsidRDefault="00393188">
      <w:pPr>
        <w:jc w:val="center"/>
        <w:rPr>
          <w:b/>
          <w:sz w:val="28"/>
          <w:szCs w:val="28"/>
        </w:rPr>
      </w:pPr>
    </w:p>
    <w:p w14:paraId="0BB88B3C" w14:textId="77777777" w:rsidR="00393188" w:rsidRDefault="00393188">
      <w:pPr>
        <w:jc w:val="center"/>
        <w:rPr>
          <w:b/>
          <w:sz w:val="28"/>
          <w:szCs w:val="28"/>
        </w:rPr>
      </w:pPr>
    </w:p>
    <w:p w14:paraId="546C0073" w14:textId="77777777" w:rsidR="00393188" w:rsidRDefault="00393188">
      <w:pPr>
        <w:jc w:val="center"/>
        <w:rPr>
          <w:b/>
          <w:sz w:val="28"/>
          <w:szCs w:val="28"/>
        </w:rPr>
      </w:pPr>
    </w:p>
    <w:p w14:paraId="74071D05" w14:textId="77777777" w:rsidR="00393188" w:rsidRDefault="00393188">
      <w:pPr>
        <w:jc w:val="center"/>
        <w:rPr>
          <w:b/>
          <w:sz w:val="28"/>
          <w:szCs w:val="28"/>
        </w:rPr>
      </w:pPr>
    </w:p>
    <w:p w14:paraId="75D5FEA2" w14:textId="77777777" w:rsidR="00393188" w:rsidRDefault="00393188">
      <w:pPr>
        <w:jc w:val="center"/>
        <w:rPr>
          <w:b/>
          <w:sz w:val="28"/>
          <w:szCs w:val="28"/>
        </w:rPr>
      </w:pPr>
    </w:p>
    <w:p w14:paraId="0246D414" w14:textId="77777777" w:rsidR="00393188" w:rsidRDefault="00393188">
      <w:pPr>
        <w:jc w:val="center"/>
        <w:rPr>
          <w:b/>
          <w:sz w:val="28"/>
          <w:szCs w:val="28"/>
        </w:rPr>
      </w:pPr>
    </w:p>
    <w:p w14:paraId="03249751" w14:textId="77777777" w:rsidR="00393188" w:rsidRDefault="00393188">
      <w:pPr>
        <w:jc w:val="center"/>
        <w:rPr>
          <w:b/>
          <w:sz w:val="28"/>
          <w:szCs w:val="28"/>
        </w:rPr>
      </w:pPr>
    </w:p>
    <w:p w14:paraId="459C4EB3" w14:textId="77777777" w:rsidR="00393188" w:rsidRDefault="00393188">
      <w:pPr>
        <w:jc w:val="center"/>
        <w:rPr>
          <w:b/>
          <w:sz w:val="28"/>
          <w:szCs w:val="28"/>
        </w:rPr>
      </w:pPr>
    </w:p>
    <w:p w14:paraId="715D0B3F" w14:textId="2DCDA76A" w:rsidR="00E23058" w:rsidRDefault="00000000">
      <w:pPr>
        <w:jc w:val="center"/>
        <w:rPr>
          <w:b/>
          <w:sz w:val="28"/>
          <w:szCs w:val="28"/>
        </w:rPr>
      </w:pPr>
      <w:r>
        <w:rPr>
          <w:b/>
          <w:sz w:val="28"/>
          <w:szCs w:val="28"/>
        </w:rPr>
        <w:t>Table of Contents</w:t>
      </w:r>
    </w:p>
    <w:sdt>
      <w:sdtPr>
        <w:id w:val="671500227"/>
        <w:docPartObj>
          <w:docPartGallery w:val="Table of Contents"/>
          <w:docPartUnique/>
        </w:docPartObj>
      </w:sdtPr>
      <w:sdtContent>
        <w:p w14:paraId="19855CE9" w14:textId="77777777" w:rsidR="00E23058" w:rsidRDefault="00000000">
          <w:pPr>
            <w:widowControl w:val="0"/>
            <w:tabs>
              <w:tab w:val="right" w:leader="dot" w:pos="9025"/>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l3wslyxh0cxd">
            <w:r>
              <w:rPr>
                <w:b/>
                <w:color w:val="000000"/>
              </w:rPr>
              <w:t>1. Introduction</w:t>
            </w:r>
            <w:r>
              <w:rPr>
                <w:b/>
                <w:color w:val="000000"/>
              </w:rPr>
              <w:tab/>
            </w:r>
          </w:hyperlink>
          <w:r>
            <w:fldChar w:fldCharType="begin"/>
          </w:r>
          <w:r>
            <w:instrText xml:space="preserve"> PAGEREF _l3wslyxh0cxd \h </w:instrText>
          </w:r>
          <w:r>
            <w:fldChar w:fldCharType="separate"/>
          </w:r>
          <w:r>
            <w:rPr>
              <w:b/>
            </w:rPr>
            <w:t>3</w:t>
          </w:r>
          <w:r>
            <w:fldChar w:fldCharType="end"/>
          </w:r>
        </w:p>
        <w:p w14:paraId="2C4A1536" w14:textId="77777777" w:rsidR="00E23058" w:rsidRDefault="00000000">
          <w:pPr>
            <w:widowControl w:val="0"/>
            <w:tabs>
              <w:tab w:val="right" w:leader="dot" w:pos="9025"/>
            </w:tabs>
            <w:spacing w:before="60" w:line="240" w:lineRule="auto"/>
            <w:jc w:val="left"/>
            <w:rPr>
              <w:b/>
              <w:color w:val="000000"/>
            </w:rPr>
          </w:pPr>
          <w:hyperlink w:anchor="_19sekq58obes">
            <w:r>
              <w:rPr>
                <w:b/>
                <w:color w:val="000000"/>
              </w:rPr>
              <w:t>2. Technological Advancements and Their Impact</w:t>
            </w:r>
            <w:r>
              <w:rPr>
                <w:b/>
                <w:color w:val="000000"/>
              </w:rPr>
              <w:tab/>
            </w:r>
          </w:hyperlink>
          <w:r>
            <w:fldChar w:fldCharType="begin"/>
          </w:r>
          <w:r>
            <w:instrText xml:space="preserve"> PAGEREF _19sekq58obes \h </w:instrText>
          </w:r>
          <w:r>
            <w:fldChar w:fldCharType="separate"/>
          </w:r>
          <w:r>
            <w:rPr>
              <w:b/>
            </w:rPr>
            <w:t>3</w:t>
          </w:r>
          <w:r>
            <w:fldChar w:fldCharType="end"/>
          </w:r>
        </w:p>
        <w:p w14:paraId="311C85CB" w14:textId="77777777" w:rsidR="00E23058" w:rsidRDefault="00000000">
          <w:pPr>
            <w:widowControl w:val="0"/>
            <w:tabs>
              <w:tab w:val="right" w:leader="dot" w:pos="9025"/>
            </w:tabs>
            <w:spacing w:before="60" w:line="240" w:lineRule="auto"/>
            <w:jc w:val="left"/>
            <w:rPr>
              <w:b/>
              <w:color w:val="000000"/>
            </w:rPr>
          </w:pPr>
          <w:hyperlink w:anchor="_vjrs1of46pb">
            <w:r>
              <w:rPr>
                <w:b/>
                <w:color w:val="000000"/>
              </w:rPr>
              <w:t>3. Demographic and Geopolitical Factors</w:t>
            </w:r>
            <w:r>
              <w:rPr>
                <w:b/>
                <w:color w:val="000000"/>
              </w:rPr>
              <w:tab/>
            </w:r>
          </w:hyperlink>
          <w:r>
            <w:fldChar w:fldCharType="begin"/>
          </w:r>
          <w:r>
            <w:instrText xml:space="preserve"> PAGEREF _vjrs1of46pb \h </w:instrText>
          </w:r>
          <w:r>
            <w:fldChar w:fldCharType="separate"/>
          </w:r>
          <w:r>
            <w:rPr>
              <w:b/>
            </w:rPr>
            <w:t>5</w:t>
          </w:r>
          <w:r>
            <w:fldChar w:fldCharType="end"/>
          </w:r>
        </w:p>
        <w:p w14:paraId="2E459A09" w14:textId="77777777" w:rsidR="00E23058" w:rsidRDefault="00000000">
          <w:pPr>
            <w:widowControl w:val="0"/>
            <w:tabs>
              <w:tab w:val="right" w:leader="dot" w:pos="9025"/>
            </w:tabs>
            <w:spacing w:before="60" w:line="240" w:lineRule="auto"/>
            <w:jc w:val="left"/>
            <w:rPr>
              <w:b/>
              <w:color w:val="000000"/>
            </w:rPr>
          </w:pPr>
          <w:hyperlink w:anchor="_5tgioykw0vin">
            <w:r>
              <w:rPr>
                <w:b/>
                <w:color w:val="000000"/>
              </w:rPr>
              <w:t>4. Addressing Skills Gaps and Talent Shortages</w:t>
            </w:r>
            <w:r>
              <w:rPr>
                <w:b/>
                <w:color w:val="000000"/>
              </w:rPr>
              <w:tab/>
            </w:r>
          </w:hyperlink>
          <w:r>
            <w:fldChar w:fldCharType="begin"/>
          </w:r>
          <w:r>
            <w:instrText xml:space="preserve"> PAGEREF _5tgioykw0vin \h </w:instrText>
          </w:r>
          <w:r>
            <w:fldChar w:fldCharType="separate"/>
          </w:r>
          <w:r>
            <w:rPr>
              <w:b/>
            </w:rPr>
            <w:t>6</w:t>
          </w:r>
          <w:r>
            <w:fldChar w:fldCharType="end"/>
          </w:r>
        </w:p>
        <w:p w14:paraId="3F330437" w14:textId="77777777" w:rsidR="00E23058" w:rsidRDefault="00000000">
          <w:pPr>
            <w:widowControl w:val="0"/>
            <w:tabs>
              <w:tab w:val="right" w:leader="dot" w:pos="9025"/>
            </w:tabs>
            <w:spacing w:before="60" w:line="240" w:lineRule="auto"/>
            <w:jc w:val="left"/>
            <w:rPr>
              <w:b/>
              <w:color w:val="000000"/>
            </w:rPr>
          </w:pPr>
          <w:hyperlink w:anchor="_bo4jrlkz2c23">
            <w:r>
              <w:rPr>
                <w:b/>
                <w:color w:val="000000"/>
              </w:rPr>
              <w:t>5. Reflective Report on International and Digital Capabilities</w:t>
            </w:r>
            <w:r>
              <w:rPr>
                <w:b/>
                <w:color w:val="000000"/>
              </w:rPr>
              <w:tab/>
            </w:r>
          </w:hyperlink>
          <w:r>
            <w:fldChar w:fldCharType="begin"/>
          </w:r>
          <w:r>
            <w:instrText xml:space="preserve"> PAGEREF _bo4jrlkz2c23 \h </w:instrText>
          </w:r>
          <w:r>
            <w:fldChar w:fldCharType="separate"/>
          </w:r>
          <w:r>
            <w:rPr>
              <w:b/>
            </w:rPr>
            <w:t>8</w:t>
          </w:r>
          <w:r>
            <w:fldChar w:fldCharType="end"/>
          </w:r>
        </w:p>
        <w:p w14:paraId="23358D9F" w14:textId="77777777" w:rsidR="00E23058" w:rsidRDefault="00000000">
          <w:pPr>
            <w:widowControl w:val="0"/>
            <w:tabs>
              <w:tab w:val="right" w:leader="dot" w:pos="9025"/>
            </w:tabs>
            <w:spacing w:before="60" w:line="240" w:lineRule="auto"/>
            <w:jc w:val="left"/>
            <w:rPr>
              <w:b/>
              <w:color w:val="000000"/>
            </w:rPr>
          </w:pPr>
          <w:hyperlink w:anchor="_t2aeg8ufjipp">
            <w:r>
              <w:rPr>
                <w:b/>
                <w:color w:val="000000"/>
              </w:rPr>
              <w:t>6. Conclusion</w:t>
            </w:r>
            <w:r>
              <w:rPr>
                <w:b/>
                <w:color w:val="000000"/>
              </w:rPr>
              <w:tab/>
            </w:r>
          </w:hyperlink>
          <w:r>
            <w:fldChar w:fldCharType="begin"/>
          </w:r>
          <w:r>
            <w:instrText xml:space="preserve"> PAGEREF _t2aeg8ufjipp \h </w:instrText>
          </w:r>
          <w:r>
            <w:fldChar w:fldCharType="separate"/>
          </w:r>
          <w:r>
            <w:rPr>
              <w:b/>
            </w:rPr>
            <w:t>10</w:t>
          </w:r>
          <w:r>
            <w:fldChar w:fldCharType="end"/>
          </w:r>
        </w:p>
        <w:p w14:paraId="5886C5DB" w14:textId="77777777" w:rsidR="00E23058" w:rsidRDefault="00000000">
          <w:pPr>
            <w:widowControl w:val="0"/>
            <w:tabs>
              <w:tab w:val="right" w:leader="dot" w:pos="9025"/>
            </w:tabs>
            <w:spacing w:before="60" w:line="240" w:lineRule="auto"/>
            <w:jc w:val="left"/>
            <w:rPr>
              <w:b/>
              <w:color w:val="000000"/>
            </w:rPr>
          </w:pPr>
          <w:hyperlink w:anchor="_tuuzo3efpv7f">
            <w:r>
              <w:rPr>
                <w:b/>
                <w:color w:val="000000"/>
              </w:rPr>
              <w:t>Reference</w:t>
            </w:r>
            <w:r>
              <w:rPr>
                <w:b/>
                <w:color w:val="000000"/>
              </w:rPr>
              <w:tab/>
            </w:r>
          </w:hyperlink>
          <w:r>
            <w:fldChar w:fldCharType="begin"/>
          </w:r>
          <w:r>
            <w:instrText xml:space="preserve"> PAGEREF _tuuzo3efpv7f \h </w:instrText>
          </w:r>
          <w:r>
            <w:fldChar w:fldCharType="separate"/>
          </w:r>
          <w:r>
            <w:rPr>
              <w:b/>
            </w:rPr>
            <w:t>11</w:t>
          </w:r>
          <w:r>
            <w:fldChar w:fldCharType="end"/>
          </w:r>
          <w:r>
            <w:fldChar w:fldCharType="end"/>
          </w:r>
        </w:p>
      </w:sdtContent>
    </w:sdt>
    <w:p w14:paraId="45614C22" w14:textId="77777777" w:rsidR="00E23058" w:rsidRDefault="00000000">
      <w:pPr>
        <w:jc w:val="center"/>
      </w:pPr>
      <w:r>
        <w:br w:type="page"/>
      </w:r>
    </w:p>
    <w:p w14:paraId="40B28B92" w14:textId="77777777" w:rsidR="00E23058" w:rsidRDefault="00000000">
      <w:pPr>
        <w:pStyle w:val="Heading1"/>
      </w:pPr>
      <w:bookmarkStart w:id="2" w:name="_l3wslyxh0cxd" w:colFirst="0" w:colLast="0"/>
      <w:bookmarkEnd w:id="2"/>
      <w:r>
        <w:lastRenderedPageBreak/>
        <w:t>1. Introduction</w:t>
      </w:r>
    </w:p>
    <w:p w14:paraId="1CA12400" w14:textId="4C990089" w:rsidR="00E23058" w:rsidRDefault="00000000">
      <w:pPr>
        <w:rPr>
          <w:b/>
        </w:rPr>
      </w:pPr>
      <w:r>
        <w:t xml:space="preserve">Labour markets are the dynamic relationship between the suppliers of labour, employees, and the demand, employers, defined by the supply, demand, and institutions. Human Resource Management (HRM) is the strategy of the management of the people in the national settings, whereas International HRM (IHRM) is the continuation of these concepts to the cross-border levels, taking into consideration the cultural, legal, and economic differences. It is crucial to analyse the impact of national and international labour forces </w:t>
      </w:r>
      <w:proofErr w:type="gramStart"/>
      <w:r>
        <w:t>in order to</w:t>
      </w:r>
      <w:proofErr w:type="gramEnd"/>
      <w:r>
        <w:t xml:space="preserve"> create responsive HR policies that will secure competitiveness and equity. The report discusses the changing landscape of employment via technological, demographic, and geopolitical influences on employment practices across the world with an evaluation of their implications in HRM and IHRM </w:t>
      </w:r>
      <w:proofErr w:type="gramStart"/>
      <w:r w:rsidR="00393188">
        <w:t>in regard to</w:t>
      </w:r>
      <w:proofErr w:type="gramEnd"/>
      <w:r>
        <w:t xml:space="preserve"> recruitment, workforce planning, diversity management, and strategic reskilling.</w:t>
      </w:r>
    </w:p>
    <w:p w14:paraId="6CEEE42C" w14:textId="77777777" w:rsidR="00E23058" w:rsidRDefault="00000000">
      <w:pPr>
        <w:pStyle w:val="Heading1"/>
      </w:pPr>
      <w:bookmarkStart w:id="3" w:name="_19sekq58obes" w:colFirst="0" w:colLast="0"/>
      <w:bookmarkEnd w:id="3"/>
      <w:r>
        <w:t>2. Technological Advancements and Their Impact</w:t>
      </w:r>
    </w:p>
    <w:p w14:paraId="23B45376" w14:textId="77777777" w:rsidR="00E23058" w:rsidRDefault="00000000">
      <w:pPr>
        <w:rPr>
          <w:b/>
        </w:rPr>
      </w:pPr>
      <w:r>
        <w:rPr>
          <w:b/>
        </w:rPr>
        <w:t>AI and Automation in the Labour Market</w:t>
      </w:r>
    </w:p>
    <w:p w14:paraId="57F2A9DC" w14:textId="77777777" w:rsidR="00E23058" w:rsidRDefault="00000000">
      <w:r>
        <w:t xml:space="preserve">Robots and machine learning have automated repetitive and redundant manual processes, increased accuracy, and productivity in various industries. But at the same time, these technologies are replacing conventional jobs and creating new jobs that demand high levels of cognitive, digital, and emotional intelligence. In the case of 30% of the world's work being automated by 2030, the upskilling and a redirection of workers would require enormous efforts (McKinsey &amp; Company, 2017). Within the HRM approach, automation has forced organisations to redesign jobs, performance measures, and compensation systems. The use of AI-driven HR analytics tools (e.g., Workday or Oracle HCM Cloud) </w:t>
      </w:r>
      <w:proofErr w:type="gramStart"/>
      <w:r>
        <w:t>allow</w:t>
      </w:r>
      <w:proofErr w:type="gramEnd"/>
      <w:r>
        <w:t xml:space="preserve"> predicting employee turnover, training requirements, and performance results to enable HR to become less of an administrative operation and more of a strategic one. Within the manufacturing industry, companies such as Siemens and General Electric apply predictive maintenance based on AI to minimise downtime and reform the labour force to become more highly skilled technical employees. Automation creates pressures of global standardisation at the IHRM level. MNCs such as IBM or Unilever </w:t>
      </w:r>
      <w:proofErr w:type="gramStart"/>
      <w:r>
        <w:t>have to</w:t>
      </w:r>
      <w:proofErr w:type="gramEnd"/>
      <w:r>
        <w:t xml:space="preserve"> manage the automation strategies and various labour laws and workforce practises in different regions (Sinha and Jha, 2025). Although automation increases productivity in the world, it also elevates ethical and cultural issues related to job loss and employment welfare. This leaves the global HR leaders with the burden of matching the technological change with the people-centric employment models.</w:t>
      </w:r>
    </w:p>
    <w:p w14:paraId="136B4E84" w14:textId="77777777" w:rsidR="00E23058" w:rsidRDefault="00000000">
      <w:pPr>
        <w:rPr>
          <w:b/>
        </w:rPr>
      </w:pPr>
      <w:r>
        <w:rPr>
          <w:b/>
        </w:rPr>
        <w:t>Digital Platforms and the Gig Economy</w:t>
      </w:r>
    </w:p>
    <w:p w14:paraId="16AFDF85" w14:textId="7EB05662" w:rsidR="00E23058" w:rsidRDefault="00000000">
      <w:r>
        <w:lastRenderedPageBreak/>
        <w:t xml:space="preserve">The growth of digital labour markets (Upwork, Fiverr and Uber) has changed the nature of employment relationships in the world, creating a kind of gig economy, which is flexible and autonomous. Platform-based workforce or freelance is distributed around the globe with over 435 million individuals having employment on it (Shevchuk and Strebkov, 2023). This paradigm shift requires the HR managers to think differently in terms of talent acquisition, contractual forms and the </w:t>
      </w:r>
      <w:r w:rsidR="00393188">
        <w:t>way</w:t>
      </w:r>
      <w:r>
        <w:t xml:space="preserve"> the employees will be engaged. HRM Digital platforms enable AI algorithms to factor in data-driven recruitment and talent matching to benefit efficiency and inclusivity. They, too, however also blur employment borders, which conflict with the old ideals of job security, benefits, and organisational loyalty. When it comes to IHRM, managing the freelancers globally, the new performance management approach, the new digital inclusion system, and the new cross-cultural collaboration approach are to be adopted (Charles and Nardi, 2025). To ensure that the degree of engagement is equal and that time zones or nationalities remain equally engaged, Microsoft and Google have established systems of work and virtual onboarding in a hybrid type.</w:t>
      </w:r>
    </w:p>
    <w:p w14:paraId="741EA251" w14:textId="77777777" w:rsidR="00E23058" w:rsidRDefault="00000000">
      <w:pPr>
        <w:rPr>
          <w:b/>
        </w:rPr>
      </w:pPr>
      <w:r>
        <w:rPr>
          <w:b/>
        </w:rPr>
        <w:t>Remote Working and Digital HR Transformation</w:t>
      </w:r>
    </w:p>
    <w:p w14:paraId="5645F5AF" w14:textId="77777777" w:rsidR="00E23058" w:rsidRDefault="00000000">
      <w:r>
        <w:t xml:space="preserve">Remote working and hybrid working models have become commonplace by technological advances, which have hastened by the COVID-19 pandemic to change the focus of HRM on flexibility, digital collaboration, and well-being (NIH, 2022). Zoom, Slack, and Microsoft Teams are some of the tools that have become part and parcel of the communication breach to the workforce and through them, cross-border working is now possible. 74% of employers around the world have made hybrid models part of their HR policy frameworks (CIPD, 2025; Forbes,2022). In the case of HRM, the shift requires a digital literate, cybersecurity mindful and novel performance management framework in which performance is focused on results and not attendance. IHRM strategies also extend to virtual expatriation whereby the international positions are operated remotely saving the relocation expenses and exposing the culture. But such changes present difficulties in sustaining corporate culture, staff unity and psyche in virtual worlds. These transitions are divided into three stages, including the digitisation (process automation), the digitalisation (strategic HR transformation), and the digital integration (AI-enabled HR ecosystems) into the HR Digitalisation Framework (Malik, Srikanth and </w:t>
      </w:r>
      <w:proofErr w:type="spellStart"/>
      <w:r>
        <w:t>Budhwar</w:t>
      </w:r>
      <w:proofErr w:type="spellEnd"/>
      <w:r>
        <w:t>, 2020). Agile and inclusive organisations that incorporate digital HR, including Accenture and Deloitte, incorporate AI in continuous learning and virtual teamwork (Deloitte, 2024).</w:t>
      </w:r>
    </w:p>
    <w:p w14:paraId="54EF28F1" w14:textId="77777777" w:rsidR="00E23058" w:rsidRDefault="00000000">
      <w:pPr>
        <w:pStyle w:val="Heading1"/>
      </w:pPr>
      <w:bookmarkStart w:id="4" w:name="_vjrs1of46pb" w:colFirst="0" w:colLast="0"/>
      <w:bookmarkEnd w:id="4"/>
      <w:r>
        <w:lastRenderedPageBreak/>
        <w:t>3. Demographic and Geopolitical Factors</w:t>
      </w:r>
    </w:p>
    <w:p w14:paraId="760294BE" w14:textId="77777777" w:rsidR="00E23058" w:rsidRDefault="00000000">
      <w:pPr>
        <w:rPr>
          <w:b/>
        </w:rPr>
      </w:pPr>
      <w:r>
        <w:rPr>
          <w:b/>
        </w:rPr>
        <w:t>Demographic Shifts and Labour Supply</w:t>
      </w:r>
    </w:p>
    <w:p w14:paraId="5C112C24" w14:textId="77777777" w:rsidR="00E23058" w:rsidRDefault="00000000">
      <w:r>
        <w:t xml:space="preserve">The global labour force is aging at a very high pace. The United Nations (2024) estimates that one out of six individuals will be above 65 years of age in the world by 2050 as compared to one out of eleven in 2019 (WHO, 2025). This trend of ageing causes a declining labour market in developed economies like the UK, Germany and Japan and this heightens competition among skilled workers. To HRM, this provides problems in succession planning, knowledge transfer as well as age-inclusive workplace design. Companies such as Siemens and Nestle have unveiled mentorship programmes and flexible retirement to keep the experience of the older workers and absorb the young talent (Slowey and Zubrzycki, 2018). On the other hand, some emerging economies like India and Nigeria have a youth bulge, which may provide the benefits of demographic dividend, but come with employment issues. In the case of IHRM, such an imbalance enhances the global talent mobility and offshoring policies because organisations are motivated to exploit younger, more technologically advanced workforces. Adaptive leadership and intergenerational sensitivity </w:t>
      </w:r>
      <w:proofErr w:type="gramStart"/>
      <w:r>
        <w:t>is</w:t>
      </w:r>
      <w:proofErr w:type="gramEnd"/>
      <w:r>
        <w:t xml:space="preserve"> however needed to manage such diverse age groups. Gender diversity is also critical as far as labour participation is concerned. Female labour participation in the world is still approximately 47%, and that of men is 72%, hence the gender gap. HR practices that encourage flexible working, leave policies and provide inclusive leadership development are crucial in closing this divide. By enlisting inclusion metrics into performance appraisals, such as Unilever and IBM companies have reached close to gender balance in their leadership roles-HRM practice that is increasingly reflected in the IHRM systems of the world today. Trends of migration also influence the availability of labour. According to the OECD (2023), the post-pandemic recovery of international migration flows was based on skills shortages and humanitarian displacement by 15%. The HRM professionals need to deal with legal compliance, cultural assimilation and fair pay to the migrants. In the case of IHRM, the framework of global mobility should be designed in a manner that is consistent, and ethical hiring and adaptation to labour regulations is realised locally.</w:t>
      </w:r>
    </w:p>
    <w:p w14:paraId="19D7494E" w14:textId="77777777" w:rsidR="00E23058" w:rsidRDefault="00000000">
      <w:pPr>
        <w:rPr>
          <w:b/>
        </w:rPr>
      </w:pPr>
      <w:r>
        <w:rPr>
          <w:b/>
        </w:rPr>
        <w:t>Geopolitical Dynamics and Labour Market Uncertainty</w:t>
      </w:r>
    </w:p>
    <w:p w14:paraId="73240236" w14:textId="77777777" w:rsidR="00E23058" w:rsidRDefault="00000000">
      <w:r>
        <w:t>The geopolitical events have a significant impact on the international labour markets by influencing the flows of trade, mobility of talents, and stability of supply chain. The example of the Brexit transition demonstrates that changes in policy can transform the composition of the workforce and adherence to regulations (</w:t>
      </w:r>
      <w:hyperlink r:id="rId5">
        <w:r>
          <w:rPr>
            <w:color w:val="1155CC"/>
            <w:u w:val="single"/>
          </w:rPr>
          <w:t>GOV.UK</w:t>
        </w:r>
      </w:hyperlink>
      <w:r>
        <w:t xml:space="preserve">, 2022). The migration of people to the EU decreased after Brexit, leading to shortages in the UK in the areas of logistics, healthcare, </w:t>
      </w:r>
      <w:r>
        <w:lastRenderedPageBreak/>
        <w:t>and agriculture, forcing the HRM teams to develop local recruitment campaigns and invest in automation, which will compensate labour shortages. Unpredictable workforce reallocations have been caused by conflicts of global scale, like the Russia-Ukraine war, which have disrupted energy markets and displaced millions of people. On the same note, tensions between the US and China in trade relations have promoted diversification in the production base, which has transformed the HR planning in Asia and Europe. These changes require risk-sensitive workforce planning that takes political projections and contingency plans into account, as far as IHRM is concerned. The different industrial relations systems and laws that regulate cross-border employment are also a challenge to IHRM operations (Rodriguez, Johnstone and Procter, 2017). As an example, the labour protection in the EU and the emerging markets is not the same, and employee relations and compliance methods should be customised. The HR leaders are pressed to balance between the global standardisation (equity and consistency) and the local responsiveness (a fit with the host-country norms). In addition, geopolitical doubt increases the anxiety and turnover risk among the employees, so the HR experts should focus on psychological safety, open communication, and resilience training. Companies such as HSBC and Shell have implemented global mental health initiatives and crisis communication strategies to protect health in turbulent times.</w:t>
      </w:r>
    </w:p>
    <w:p w14:paraId="4775B965" w14:textId="77777777" w:rsidR="00E23058" w:rsidRDefault="00000000">
      <w:pPr>
        <w:rPr>
          <w:b/>
        </w:rPr>
      </w:pPr>
      <w:r>
        <w:rPr>
          <w:b/>
        </w:rPr>
        <w:t>Implications for HRM and IHRM</w:t>
      </w:r>
    </w:p>
    <w:p w14:paraId="0A562133" w14:textId="77777777" w:rsidR="00E23058" w:rsidRDefault="00000000">
      <w:r>
        <w:t>The issue of demographic and geopolitical forces presents HRM with the challenge of promoting agile workforce planning, inclusive leadership, and culturally competent practices (NIH, 2024). In the case of domestic HRM, this is aligning the policies with changing labour laws, values and diversity goals in the society. With IHRM, the difficulty is balancing between standardisation and flexibility through aligning global strategies and local expectations.</w:t>
      </w:r>
    </w:p>
    <w:p w14:paraId="25445C46" w14:textId="77777777" w:rsidR="00E23058" w:rsidRDefault="00000000">
      <w:pPr>
        <w:pStyle w:val="Heading1"/>
      </w:pPr>
      <w:bookmarkStart w:id="5" w:name="_5tgioykw0vin" w:colFirst="0" w:colLast="0"/>
      <w:bookmarkEnd w:id="5"/>
      <w:r>
        <w:t>4. Addressing Skills Gaps and Talent Shortages</w:t>
      </w:r>
    </w:p>
    <w:p w14:paraId="4A94AC7D" w14:textId="77777777" w:rsidR="00E23058" w:rsidRDefault="00000000">
      <w:pPr>
        <w:rPr>
          <w:b/>
        </w:rPr>
      </w:pPr>
      <w:r>
        <w:rPr>
          <w:b/>
        </w:rPr>
        <w:t>Talent Management and the Resource-Based View</w:t>
      </w:r>
    </w:p>
    <w:p w14:paraId="44AA270E" w14:textId="77777777" w:rsidR="00E23058" w:rsidRDefault="00000000">
      <w:r>
        <w:t xml:space="preserve">Resource-Based View (Barney, 1991) places human capital as one of the inimitable resources that underlie organisational advantage. By means of strategic talent management, companies </w:t>
      </w:r>
      <w:proofErr w:type="gramStart"/>
      <w:r>
        <w:t>are able to</w:t>
      </w:r>
      <w:proofErr w:type="gramEnd"/>
      <w:r>
        <w:t xml:space="preserve"> attract, nurture, and keep employees who add unique value. Google and Microsoft as two companies in the technology industry apply sophisticated Talent Pipeline Models to anticipate future skills demands, utilising AI analytics to promote employees with high potential and customise individualised careers (McKinsey &amp; Company, 2024; Deloitte,2024). These proactive strategies allow companies to turn workforce data into strategic intelligence, which decreases turnover and allows innovation agility. In the same vein, the nursing sector, </w:t>
      </w:r>
      <w:r>
        <w:lastRenderedPageBreak/>
        <w:t xml:space="preserve">data science, and public health management have acute shortages in the healthcare sector. The HRM practises are becoming more focused on engagement and well-being of their employees as well as flexible contractual agreements to boost their retention. As an example, the People Plan (2023) of NHS England (2023) combines talent analytics and inclusive leadership training </w:t>
      </w:r>
      <w:proofErr w:type="gramStart"/>
      <w:r>
        <w:t>in order to</w:t>
      </w:r>
      <w:proofErr w:type="gramEnd"/>
      <w:r>
        <w:t xml:space="preserve"> manage clinical shortages and enhance morale. This is the strategic partner role of Ulrich where business strategy is determined by the HR professionals as they align the goals of workforce planning to national policies. In the hospitality industry where attrition and seasonal work are a common trend, organisations such as </w:t>
      </w:r>
      <w:proofErr w:type="spellStart"/>
      <w:r>
        <w:t>marriott</w:t>
      </w:r>
      <w:proofErr w:type="spellEnd"/>
      <w:r>
        <w:t xml:space="preserve"> international, make use of the total rewards system and career development academies as a way of attracting and developing various talent pools. Their HR strategy is a typical representation of the employee champion role in the Ulrich model as they are motivated and inclusive and yet the quality of services remains the same.</w:t>
      </w:r>
    </w:p>
    <w:p w14:paraId="4EA9104A" w14:textId="77777777" w:rsidR="00E23058" w:rsidRDefault="00000000">
      <w:pPr>
        <w:rPr>
          <w:b/>
        </w:rPr>
      </w:pPr>
      <w:r>
        <w:rPr>
          <w:b/>
        </w:rPr>
        <w:t>Learning and Development (L&amp;D) and Continuous Capability Building</w:t>
      </w:r>
    </w:p>
    <w:p w14:paraId="46E2B64F" w14:textId="5AE5DD8E" w:rsidR="00E23058" w:rsidRDefault="00000000">
      <w:r>
        <w:t xml:space="preserve">Learning and Development (L&amp;D) programmes are required to eliminate technological and demographic skills deficit. Ecosystems of lifelong learning based on digital tools like LinkedIn Learning, Coursera, and AI-based microlearning platforms are now incorporated into strategic HRM. An example is Accenture that spends more than one billion dollars every year on employee upskilling in cloud computing, cybersecurity, and data analytics. The approach instils a culture of learning that improves the employability and organisational responsiveness. The Talent Pipeline Model helps in such efforts by visualising </w:t>
      </w:r>
      <w:r w:rsidR="00393188">
        <w:t>employee’s</w:t>
      </w:r>
      <w:r>
        <w:t xml:space="preserve"> development through recruitment to the leadership succession as well as making sure that learning pathways are as business needs. The continuous professional development (CPD) in healthcare and customer loyalty via service excellence training in hospitality are the means to attain service excellence training to maintain clinical competence and customer loyalty respectively (NIH, 2024). Organisations empower short-term performance and </w:t>
      </w:r>
      <w:r w:rsidR="00393188">
        <w:t>long-term</w:t>
      </w:r>
      <w:r>
        <w:t xml:space="preserve"> resilience by integrating digital L&amp;D into HR strategy.</w:t>
      </w:r>
    </w:p>
    <w:p w14:paraId="0278BCDC" w14:textId="77777777" w:rsidR="00E23058" w:rsidRDefault="00000000">
      <w:pPr>
        <w:rPr>
          <w:b/>
        </w:rPr>
      </w:pPr>
      <w:r>
        <w:rPr>
          <w:b/>
        </w:rPr>
        <w:t>Succession Planning and Strategic Foresight</w:t>
      </w:r>
    </w:p>
    <w:p w14:paraId="6CF1F453" w14:textId="77777777" w:rsidR="00E23058" w:rsidRDefault="00000000">
      <w:r>
        <w:t xml:space="preserve">Succession planning has the advantage that it provides continuity of leadership and skills in the face of demographic shifts and labour market unpredictability. It has been especially important in industries where the labour force is ageing like in healthcare and manufacturing. In the policies of change agent as established by Ulrich, the HR functions are the units of strategic foresight- identifying the key functional areas, evaluating the preparedness and recruiting the leadership pipeline via mentorship and job rotation. Such successful companies as IBM and Intel in the technological segment integrate the succession planning with the talent mapping </w:t>
      </w:r>
      <w:r>
        <w:lastRenderedPageBreak/>
        <w:t>based on AI to detect the overlaps of skills and forecast the upcoming vacant positions (OECD, 2024). HR succession models in the hospitality industry focus more on diversity, where women and minority leaders are groomed to be executive leaders which can lead to an inclusive global pipeline of leadership. By these tools, HRM and IHRM are changing to be responsive administrators to be proactive in designing workforce sustainability. Talent management, L&amp;D, and succession planning should be combined to strengthen organisational competitiveness by converting the skills gaps into innovation and renewal opportunities.</w:t>
      </w:r>
    </w:p>
    <w:p w14:paraId="1936FB09" w14:textId="77777777" w:rsidR="00E23058" w:rsidRDefault="00000000">
      <w:pPr>
        <w:pStyle w:val="Heading1"/>
      </w:pPr>
      <w:bookmarkStart w:id="6" w:name="_bo4jrlkz2c23" w:colFirst="0" w:colLast="0"/>
      <w:bookmarkEnd w:id="6"/>
      <w:r>
        <w:t>5. Reflective Report on International and Digital Capabilities</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5"/>
        <w:gridCol w:w="1579"/>
        <w:gridCol w:w="1702"/>
        <w:gridCol w:w="2048"/>
        <w:gridCol w:w="1951"/>
      </w:tblGrid>
      <w:tr w:rsidR="00E23058" w14:paraId="51DA1D9C" w14:textId="77777777">
        <w:trPr>
          <w:trHeight w:val="1085"/>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93B71" w14:textId="77777777" w:rsidR="00E23058" w:rsidRDefault="00000000">
            <w:pPr>
              <w:spacing w:line="240" w:lineRule="auto"/>
              <w:jc w:val="center"/>
              <w:rPr>
                <w:b/>
              </w:rPr>
            </w:pPr>
            <w:r>
              <w:rPr>
                <w:b/>
              </w:rPr>
              <w:t>Competency Area</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A6094" w14:textId="77777777" w:rsidR="00E23058" w:rsidRDefault="00000000">
            <w:pPr>
              <w:spacing w:line="240" w:lineRule="auto"/>
              <w:jc w:val="center"/>
              <w:rPr>
                <w:b/>
              </w:rPr>
            </w:pPr>
            <w:r>
              <w:rPr>
                <w:b/>
              </w:rPr>
              <w:t>Concrete Experience</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7D16D" w14:textId="77777777" w:rsidR="00E23058" w:rsidRDefault="00000000">
            <w:pPr>
              <w:spacing w:line="240" w:lineRule="auto"/>
              <w:jc w:val="center"/>
              <w:rPr>
                <w:b/>
              </w:rPr>
            </w:pPr>
            <w:r>
              <w:rPr>
                <w:b/>
              </w:rPr>
              <w:t>Reflective Observation</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A1D43" w14:textId="77777777" w:rsidR="00E23058" w:rsidRDefault="00000000">
            <w:pPr>
              <w:spacing w:line="240" w:lineRule="auto"/>
              <w:jc w:val="center"/>
              <w:rPr>
                <w:b/>
              </w:rPr>
            </w:pPr>
            <w:r>
              <w:rPr>
                <w:b/>
              </w:rPr>
              <w:t>Abstract Conceptualisation</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164F0" w14:textId="77777777" w:rsidR="00E23058" w:rsidRDefault="00000000">
            <w:pPr>
              <w:spacing w:line="240" w:lineRule="auto"/>
              <w:jc w:val="center"/>
              <w:rPr>
                <w:b/>
              </w:rPr>
            </w:pPr>
            <w:r>
              <w:rPr>
                <w:b/>
              </w:rPr>
              <w:t>Active Experimentation / Action Plan</w:t>
            </w:r>
          </w:p>
        </w:tc>
      </w:tr>
      <w:tr w:rsidR="00E23058" w14:paraId="1FD306B7" w14:textId="77777777">
        <w:trPr>
          <w:trHeight w:val="4760"/>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AEBC05" w14:textId="77777777" w:rsidR="00E23058" w:rsidRDefault="00000000">
            <w:pPr>
              <w:spacing w:line="240" w:lineRule="auto"/>
            </w:pPr>
            <w:r>
              <w:t>Technology Use</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FD732" w14:textId="77777777" w:rsidR="00E23058" w:rsidRDefault="00000000">
            <w:pPr>
              <w:spacing w:line="240" w:lineRule="auto"/>
            </w:pPr>
            <w:r>
              <w:t>Gained exposure to digital HR tools, including online surveys, dashboards, Microsoft Teams, and Google Workspace, improving operational coordination and data efficiency.</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F68A9" w14:textId="77777777" w:rsidR="00E23058" w:rsidRDefault="00000000">
            <w:pPr>
              <w:spacing w:line="240" w:lineRule="auto"/>
            </w:pPr>
            <w:r>
              <w:t>I am competent in basic analytics but need deeper expertise in predictive tools and HR automation to support data-driven HRM decision-making.</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F10E1" w14:textId="77777777" w:rsidR="00E23058" w:rsidRDefault="00000000">
            <w:pPr>
              <w:spacing w:line="240" w:lineRule="auto"/>
            </w:pPr>
            <w:r>
              <w:t>In the digital HRM era, technological fluency is essential for interpreting AI and analytics insights to enhance workforce planning and strategic forecasting.</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780BF" w14:textId="77777777" w:rsidR="00E23058" w:rsidRDefault="00000000">
            <w:pPr>
              <w:spacing w:line="240" w:lineRule="auto"/>
            </w:pPr>
            <w:r>
              <w:t>Complete LinkedIn Learning certifications in People Analytics and HRIS within six months to strengthen analytical and digital proficiency for global employability.</w:t>
            </w:r>
          </w:p>
        </w:tc>
      </w:tr>
      <w:tr w:rsidR="00E23058" w14:paraId="72F1EAE9" w14:textId="77777777">
        <w:trPr>
          <w:trHeight w:val="3920"/>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56076" w14:textId="77777777" w:rsidR="00E23058" w:rsidRDefault="00000000">
            <w:pPr>
              <w:spacing w:line="240" w:lineRule="auto"/>
            </w:pPr>
            <w:r>
              <w:t>Communication</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281BC" w14:textId="77777777" w:rsidR="00E23058" w:rsidRDefault="00000000">
            <w:pPr>
              <w:spacing w:line="240" w:lineRule="auto"/>
            </w:pPr>
            <w:r>
              <w:t>Collaborated in multicultural academic teams, enhancing ability to structure and deliver ideas clearly using presentations and written reports.</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7CE4E" w14:textId="77777777" w:rsidR="00E23058" w:rsidRDefault="00000000">
            <w:pPr>
              <w:spacing w:line="240" w:lineRule="auto"/>
            </w:pPr>
            <w:r>
              <w:t xml:space="preserve">My written communication is clear, yet I occasionally </w:t>
            </w:r>
            <w:proofErr w:type="gramStart"/>
            <w:r>
              <w:t>experience difficulty</w:t>
            </w:r>
            <w:proofErr w:type="gramEnd"/>
            <w:r>
              <w:t xml:space="preserve"> expressing ideas orally in diverse cultural contexts.</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26B57" w14:textId="77777777" w:rsidR="00E23058" w:rsidRDefault="00000000">
            <w:pPr>
              <w:spacing w:line="240" w:lineRule="auto"/>
            </w:pPr>
            <w:r>
              <w:t>Effective international communication requires high Cultural Intelligence (CQ) and adaptability to linguistic and non-verbal variations across borders.</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4CBCC0" w14:textId="77777777" w:rsidR="00E23058" w:rsidRDefault="00000000">
            <w:pPr>
              <w:spacing w:line="240" w:lineRule="auto"/>
            </w:pPr>
            <w:r>
              <w:t>Engage in cross-cultural communication workshops and practise active listening and feedback techniques during group interactions to improve intercultural fluency.</w:t>
            </w:r>
          </w:p>
        </w:tc>
      </w:tr>
      <w:tr w:rsidR="00E23058" w14:paraId="6136CFF8" w14:textId="77777777">
        <w:trPr>
          <w:trHeight w:val="3350"/>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DF2B1" w14:textId="77777777" w:rsidR="00E23058" w:rsidRDefault="00000000">
            <w:pPr>
              <w:spacing w:line="240" w:lineRule="auto"/>
            </w:pPr>
            <w:r>
              <w:lastRenderedPageBreak/>
              <w:t>Teamwork</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4487F" w14:textId="77777777" w:rsidR="00E23058" w:rsidRDefault="00000000">
            <w:pPr>
              <w:spacing w:line="240" w:lineRule="auto"/>
            </w:pPr>
            <w:r>
              <w:t>Coordinated tasks within group projects, delegating roles and monitoring timelines to ensure goal alignment.</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DDB99" w14:textId="77777777" w:rsidR="00E23058" w:rsidRDefault="00000000">
            <w:pPr>
              <w:spacing w:line="240" w:lineRule="auto"/>
            </w:pPr>
            <w:r>
              <w:t>I collaborate effectively but find reaching consensus challenging when managing differing viewpoints.</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E3D8B" w14:textId="77777777" w:rsidR="00E23058" w:rsidRDefault="00000000">
            <w:pPr>
              <w:spacing w:line="240" w:lineRule="auto"/>
            </w:pPr>
            <w:r>
              <w:t>Tuckman’s (1965) Team Development Model emphasises emotional intelligence and conflict resolution for transitioning from “storming” to “performing.”</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BE9D7" w14:textId="77777777" w:rsidR="00E23058" w:rsidRDefault="00000000">
            <w:pPr>
              <w:spacing w:line="240" w:lineRule="auto"/>
            </w:pPr>
            <w:r>
              <w:t xml:space="preserve">Utilise collaboration platforms such as Trello or Asana to structure </w:t>
            </w:r>
            <w:proofErr w:type="gramStart"/>
            <w:r>
              <w:t>teamwork, and</w:t>
            </w:r>
            <w:proofErr w:type="gramEnd"/>
            <w:r>
              <w:t xml:space="preserve"> seek peer feedback to enhance facilitation and conflict management.</w:t>
            </w:r>
          </w:p>
        </w:tc>
      </w:tr>
      <w:tr w:rsidR="00E23058" w14:paraId="179C3978" w14:textId="77777777">
        <w:trPr>
          <w:trHeight w:val="2780"/>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54865" w14:textId="77777777" w:rsidR="00E23058" w:rsidRDefault="00000000">
            <w:pPr>
              <w:spacing w:line="240" w:lineRule="auto"/>
            </w:pPr>
            <w:r>
              <w:t>Leadership</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7025D" w14:textId="77777777" w:rsidR="00E23058" w:rsidRDefault="00000000">
            <w:pPr>
              <w:spacing w:line="240" w:lineRule="auto"/>
            </w:pPr>
            <w:r>
              <w:t>Led small research teams, strengthening skills in delegation, empathy, and inclusive decision-making.</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2820C" w14:textId="77777777" w:rsidR="00E23058" w:rsidRDefault="00000000">
            <w:pPr>
              <w:spacing w:line="240" w:lineRule="auto"/>
            </w:pPr>
            <w:r>
              <w:t>I sometimes prioritise harmony over assertiveness, which may weaken authority under pressure.</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40584" w14:textId="77777777" w:rsidR="00E23058" w:rsidRDefault="00000000">
            <w:pPr>
              <w:spacing w:line="240" w:lineRule="auto"/>
            </w:pPr>
            <w:r>
              <w:t>Bass’s (1990) Transformational Leadership Theory stresses motivating others through inspiration, vision, and empathy rather than control.</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455CB" w14:textId="77777777" w:rsidR="00E23058" w:rsidRDefault="00000000">
            <w:pPr>
              <w:spacing w:line="240" w:lineRule="auto"/>
            </w:pPr>
            <w:r>
              <w:t>Enrol in CMI Level 5 Leadership and Management course and take mentorship roles to develop adaptive and assertive leadership skills.</w:t>
            </w:r>
          </w:p>
        </w:tc>
      </w:tr>
      <w:tr w:rsidR="00E23058" w14:paraId="15C7D3F8" w14:textId="77777777">
        <w:trPr>
          <w:trHeight w:val="3065"/>
        </w:trPr>
        <w:tc>
          <w:tcPr>
            <w:tcW w:w="17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57993" w14:textId="77777777" w:rsidR="00E23058" w:rsidRDefault="00000000">
            <w:pPr>
              <w:spacing w:line="240" w:lineRule="auto"/>
            </w:pPr>
            <w:r>
              <w:t>Self-Directed Learning</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5D318" w14:textId="77777777" w:rsidR="00E23058" w:rsidRDefault="00000000">
            <w:pPr>
              <w:spacing w:line="240" w:lineRule="auto"/>
            </w:pPr>
            <w:r>
              <w:t>Postgraduate studies improved my independence in research, time management, and critical thinking.</w:t>
            </w:r>
          </w:p>
        </w:tc>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01FA0" w14:textId="77777777" w:rsidR="00E23058" w:rsidRDefault="00000000">
            <w:pPr>
              <w:spacing w:line="240" w:lineRule="auto"/>
            </w:pPr>
            <w:r>
              <w:t>While self-motivated, I occasionally overextend learning breadth at the expense of depth, especially in complex HR analytics.</w:t>
            </w:r>
          </w:p>
        </w:tc>
        <w:tc>
          <w:tcPr>
            <w:tcW w:w="20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6A2A25" w14:textId="77777777" w:rsidR="00E23058" w:rsidRDefault="00000000">
            <w:pPr>
              <w:spacing w:line="240" w:lineRule="auto"/>
            </w:pPr>
            <w:r>
              <w:t>Knowles’ (1975) Andragogy Theory highlights that adult learners thrive through self-directed, goal-oriented learning focused on professional development.</w:t>
            </w:r>
          </w:p>
        </w:tc>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FB24B" w14:textId="77777777" w:rsidR="00E23058" w:rsidRDefault="00000000">
            <w:pPr>
              <w:spacing w:line="240" w:lineRule="auto"/>
            </w:pPr>
            <w:r>
              <w:t>Maintain a reflective learning log, set quarterly SMART goals, and seek mentorship from international HR professionals to enhance lifelong learning and adaptability.</w:t>
            </w:r>
          </w:p>
        </w:tc>
      </w:tr>
    </w:tbl>
    <w:p w14:paraId="2E1B9A26" w14:textId="77777777" w:rsidR="00E23058" w:rsidRDefault="00000000">
      <w:pPr>
        <w:rPr>
          <w:b/>
        </w:rPr>
      </w:pPr>
      <w:r>
        <w:rPr>
          <w:b/>
        </w:rPr>
        <w:t>Personal Development Plan (PDP)</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63"/>
        <w:gridCol w:w="2922"/>
        <w:gridCol w:w="2781"/>
        <w:gridCol w:w="1259"/>
      </w:tblGrid>
      <w:tr w:rsidR="00E23058" w14:paraId="50BE971D" w14:textId="77777777">
        <w:trPr>
          <w:trHeight w:val="515"/>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58176" w14:textId="77777777" w:rsidR="00E23058" w:rsidRDefault="00000000">
            <w:pPr>
              <w:spacing w:line="240" w:lineRule="auto"/>
              <w:jc w:val="center"/>
              <w:rPr>
                <w:b/>
              </w:rPr>
            </w:pPr>
            <w:r>
              <w:rPr>
                <w:b/>
              </w:rPr>
              <w:t>Development Area</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48E05" w14:textId="77777777" w:rsidR="00E23058" w:rsidRDefault="00000000">
            <w:pPr>
              <w:spacing w:line="240" w:lineRule="auto"/>
              <w:jc w:val="center"/>
              <w:rPr>
                <w:b/>
              </w:rPr>
            </w:pPr>
            <w:r>
              <w:rPr>
                <w:b/>
              </w:rPr>
              <w:t>Objective</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91CED" w14:textId="77777777" w:rsidR="00E23058" w:rsidRDefault="00000000">
            <w:pPr>
              <w:spacing w:line="240" w:lineRule="auto"/>
              <w:jc w:val="center"/>
              <w:rPr>
                <w:b/>
              </w:rPr>
            </w:pPr>
            <w:r>
              <w:rPr>
                <w:b/>
              </w:rPr>
              <w:t>Action Plan</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77209" w14:textId="77777777" w:rsidR="00E23058" w:rsidRDefault="00000000">
            <w:pPr>
              <w:spacing w:line="240" w:lineRule="auto"/>
              <w:jc w:val="center"/>
              <w:rPr>
                <w:b/>
              </w:rPr>
            </w:pPr>
            <w:r>
              <w:rPr>
                <w:b/>
              </w:rPr>
              <w:t>Timeline</w:t>
            </w:r>
          </w:p>
        </w:tc>
      </w:tr>
      <w:tr w:rsidR="00E23058" w14:paraId="5E470F69" w14:textId="77777777">
        <w:trPr>
          <w:trHeight w:val="1085"/>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B81731" w14:textId="77777777" w:rsidR="00E23058" w:rsidRDefault="00000000">
            <w:pPr>
              <w:spacing w:line="240" w:lineRule="auto"/>
            </w:pPr>
            <w:r>
              <w:t>Digital HR Analytics</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E7C9B" w14:textId="77777777" w:rsidR="00E23058" w:rsidRDefault="00000000">
            <w:pPr>
              <w:spacing w:line="240" w:lineRule="auto"/>
            </w:pPr>
            <w:r>
              <w:t>Gain proficiency in HRIS and analytics platforms</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F1CEE" w14:textId="77777777" w:rsidR="00E23058" w:rsidRDefault="00000000">
            <w:pPr>
              <w:spacing w:line="240" w:lineRule="auto"/>
            </w:pPr>
            <w:r>
              <w:t>Complete LinkedIn Learning and Coursera certifications</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58909" w14:textId="77777777" w:rsidR="00E23058" w:rsidRDefault="00000000">
            <w:pPr>
              <w:spacing w:line="240" w:lineRule="auto"/>
            </w:pPr>
            <w:r>
              <w:t>6 months</w:t>
            </w:r>
          </w:p>
        </w:tc>
      </w:tr>
      <w:tr w:rsidR="00E23058" w14:paraId="03C92D92" w14:textId="77777777">
        <w:trPr>
          <w:trHeight w:val="1085"/>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713C5" w14:textId="77777777" w:rsidR="00E23058" w:rsidRDefault="00000000">
            <w:pPr>
              <w:spacing w:line="240" w:lineRule="auto"/>
            </w:pPr>
            <w:r>
              <w:t>Intercultural Communication</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E6A98" w14:textId="77777777" w:rsidR="00E23058" w:rsidRDefault="00000000">
            <w:pPr>
              <w:spacing w:line="240" w:lineRule="auto"/>
            </w:pPr>
            <w:r>
              <w:t>Strengthen cross-cultural collaboration</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C36FD" w14:textId="77777777" w:rsidR="00E23058" w:rsidRDefault="00000000">
            <w:pPr>
              <w:spacing w:line="240" w:lineRule="auto"/>
            </w:pPr>
            <w:r>
              <w:t>Attend workshops and engage in international networking</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9665B8" w14:textId="77777777" w:rsidR="00E23058" w:rsidRDefault="00000000">
            <w:pPr>
              <w:spacing w:line="240" w:lineRule="auto"/>
            </w:pPr>
            <w:r>
              <w:t>3–6 months</w:t>
            </w:r>
          </w:p>
        </w:tc>
      </w:tr>
      <w:tr w:rsidR="00E23058" w14:paraId="279B338D" w14:textId="77777777">
        <w:trPr>
          <w:trHeight w:val="1085"/>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5F8E7" w14:textId="77777777" w:rsidR="00E23058" w:rsidRDefault="00000000">
            <w:pPr>
              <w:spacing w:line="240" w:lineRule="auto"/>
            </w:pPr>
            <w:r>
              <w:lastRenderedPageBreak/>
              <w:t>Leadership</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A9EF8" w14:textId="77777777" w:rsidR="00E23058" w:rsidRDefault="00000000">
            <w:pPr>
              <w:spacing w:line="240" w:lineRule="auto"/>
            </w:pPr>
            <w:r>
              <w:t>Develop assertive and transformational leadership skills</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15CE5" w14:textId="77777777" w:rsidR="00E23058" w:rsidRDefault="00000000">
            <w:pPr>
              <w:spacing w:line="240" w:lineRule="auto"/>
            </w:pPr>
            <w:r>
              <w:t xml:space="preserve">Enrol in CMI Level 5 </w:t>
            </w:r>
            <w:proofErr w:type="gramStart"/>
            <w:r>
              <w:t>course;</w:t>
            </w:r>
            <w:proofErr w:type="gramEnd"/>
            <w:r>
              <w:t xml:space="preserve"> lead team initiatives</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59E00" w14:textId="77777777" w:rsidR="00E23058" w:rsidRDefault="00000000">
            <w:pPr>
              <w:spacing w:line="240" w:lineRule="auto"/>
            </w:pPr>
            <w:r>
              <w:t>12 months</w:t>
            </w:r>
          </w:p>
        </w:tc>
      </w:tr>
      <w:tr w:rsidR="00E23058" w14:paraId="24971678" w14:textId="77777777">
        <w:trPr>
          <w:trHeight w:val="1085"/>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581FE" w14:textId="77777777" w:rsidR="00E23058" w:rsidRDefault="00000000">
            <w:pPr>
              <w:spacing w:line="240" w:lineRule="auto"/>
            </w:pPr>
            <w:r>
              <w:t>Strategic HR Thinking</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8919D" w14:textId="77777777" w:rsidR="00E23058" w:rsidRDefault="00000000">
            <w:pPr>
              <w:spacing w:line="240" w:lineRule="auto"/>
            </w:pPr>
            <w:r>
              <w:t>Bridge theory and practice in global HRM</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7118B" w14:textId="77777777" w:rsidR="00E23058" w:rsidRDefault="00000000">
            <w:pPr>
              <w:spacing w:line="240" w:lineRule="auto"/>
            </w:pPr>
            <w:r>
              <w:t>Participate in CIPD webinars and industry conferences</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8F5B6" w14:textId="77777777" w:rsidR="00E23058" w:rsidRDefault="00000000">
            <w:pPr>
              <w:spacing w:line="240" w:lineRule="auto"/>
            </w:pPr>
            <w:r>
              <w:t>Ongoing</w:t>
            </w:r>
          </w:p>
        </w:tc>
      </w:tr>
      <w:tr w:rsidR="00E23058" w14:paraId="3D12CCFF" w14:textId="77777777">
        <w:trPr>
          <w:trHeight w:val="800"/>
        </w:trPr>
        <w:tc>
          <w:tcPr>
            <w:tcW w:w="20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5BAC8" w14:textId="77777777" w:rsidR="00E23058" w:rsidRDefault="00000000">
            <w:pPr>
              <w:spacing w:line="240" w:lineRule="auto"/>
            </w:pPr>
            <w:r>
              <w:t>Well-being and Balance</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1B658C" w14:textId="77777777" w:rsidR="00E23058" w:rsidRDefault="00000000">
            <w:pPr>
              <w:spacing w:line="240" w:lineRule="auto"/>
            </w:pPr>
            <w:r>
              <w:t>Maintain resilience and motivation</w:t>
            </w:r>
          </w:p>
        </w:tc>
        <w:tc>
          <w:tcPr>
            <w:tcW w:w="2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36BFF" w14:textId="77777777" w:rsidR="00E23058" w:rsidRDefault="00000000">
            <w:pPr>
              <w:spacing w:line="240" w:lineRule="auto"/>
            </w:pPr>
            <w:r>
              <w:t>Adopt mindfulness and reflective journaling</w:t>
            </w:r>
          </w:p>
        </w:tc>
        <w:tc>
          <w:tcPr>
            <w:tcW w:w="1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3020F" w14:textId="77777777" w:rsidR="00E23058" w:rsidRDefault="00000000">
            <w:pPr>
              <w:spacing w:line="240" w:lineRule="auto"/>
            </w:pPr>
            <w:r>
              <w:t>Continuous</w:t>
            </w:r>
          </w:p>
        </w:tc>
      </w:tr>
    </w:tbl>
    <w:p w14:paraId="154F1A6C" w14:textId="77777777" w:rsidR="00E23058" w:rsidRDefault="00000000">
      <w:pPr>
        <w:pStyle w:val="Heading1"/>
      </w:pPr>
      <w:bookmarkStart w:id="7" w:name="_t2aeg8ufjipp" w:colFirst="0" w:colLast="0"/>
      <w:bookmarkEnd w:id="7"/>
      <w:r>
        <w:t>6. Conclusion</w:t>
      </w:r>
    </w:p>
    <w:p w14:paraId="16B5552A" w14:textId="63E63568" w:rsidR="00E23058" w:rsidRDefault="00000000">
      <w:r>
        <w:t xml:space="preserve">The technology, demographics, and geopolitics of labour in the world both nationally and globally requires that HRM and IHRM be transformed beyond the administrative role as a strategic facilitator of resilience. Talent management, L&amp;D, and succession planning are important to address the skills gaps and maintain the innovation within the industries. Personal reflection shows that the technology literacy, communication, and leadership flexibility are the major keys to success in the global environment. Investing in the lifelong learning process and intercultural competence, I will </w:t>
      </w:r>
      <w:r w:rsidR="00393188">
        <w:t>contribute</w:t>
      </w:r>
      <w:r>
        <w:t xml:space="preserve"> to the process of building inclusive and future-focused HR practises that would help keep organisational development in pace with the changing conditions of global labour markets.</w:t>
      </w:r>
      <w:r>
        <w:br w:type="page"/>
      </w:r>
    </w:p>
    <w:p w14:paraId="4590DB03" w14:textId="77777777" w:rsidR="00E23058" w:rsidRDefault="00000000">
      <w:pPr>
        <w:pStyle w:val="Heading1"/>
      </w:pPr>
      <w:bookmarkStart w:id="8" w:name="_tuuzo3efpv7f" w:colFirst="0" w:colLast="0"/>
      <w:bookmarkEnd w:id="8"/>
      <w:r>
        <w:lastRenderedPageBreak/>
        <w:t>Reference</w:t>
      </w:r>
    </w:p>
    <w:p w14:paraId="612EE91D" w14:textId="77777777" w:rsidR="00E23058" w:rsidRDefault="00000000">
      <w:pPr>
        <w:spacing w:before="240" w:after="240"/>
      </w:pPr>
      <w:r>
        <w:t xml:space="preserve">Charles, R.N. and Nardi, N.K., (2025). Talent Management in Gig Economies: Managing Cross-Cultural Virtual Teams. In </w:t>
      </w:r>
      <w:r>
        <w:rPr>
          <w:i/>
        </w:rPr>
        <w:t>Sustainability and Adaptability of Gig Economies in Global Business</w:t>
      </w:r>
      <w:r>
        <w:t xml:space="preserve"> (pp. 141-176). IGI Global Scientific Publishing.</w:t>
      </w:r>
    </w:p>
    <w:p w14:paraId="5FB1F45F" w14:textId="77777777" w:rsidR="00E23058" w:rsidRDefault="00000000">
      <w:pPr>
        <w:spacing w:before="240" w:after="240"/>
      </w:pPr>
      <w:r>
        <w:t xml:space="preserve">CIPD (2025) </w:t>
      </w:r>
      <w:r>
        <w:rPr>
          <w:i/>
        </w:rPr>
        <w:t>“Flexible and hybrid working practices in 2025”</w:t>
      </w:r>
      <w:r>
        <w:t xml:space="preserve"> Available at:</w:t>
      </w:r>
      <w:hyperlink r:id="rId6">
        <w:r>
          <w:rPr>
            <w:color w:val="1155CC"/>
            <w:u w:val="single"/>
          </w:rPr>
          <w:t xml:space="preserve"> https://www.cipd.org/en/knowledge/reports/flexible-hybrid-working/</w:t>
        </w:r>
      </w:hyperlink>
      <w:r>
        <w:t xml:space="preserve"> [Accessed on 4</w:t>
      </w:r>
      <w:r>
        <w:rPr>
          <w:vertAlign w:val="superscript"/>
        </w:rPr>
        <w:t>th</w:t>
      </w:r>
      <w:r>
        <w:t xml:space="preserve"> October 2025]</w:t>
      </w:r>
    </w:p>
    <w:p w14:paraId="48F8BD7F" w14:textId="77777777" w:rsidR="00E23058" w:rsidRDefault="00000000">
      <w:pPr>
        <w:spacing w:before="240" w:after="240"/>
      </w:pPr>
      <w:r>
        <w:t xml:space="preserve">Deloitte (2024) </w:t>
      </w:r>
      <w:r>
        <w:rPr>
          <w:i/>
        </w:rPr>
        <w:t>“AI is likely to impact careers. How can organizations help build a resilient early career workforce?”</w:t>
      </w:r>
      <w:r>
        <w:t xml:space="preserve"> Available at:</w:t>
      </w:r>
      <w:hyperlink r:id="rId7">
        <w:r>
          <w:t xml:space="preserve"> </w:t>
        </w:r>
      </w:hyperlink>
      <w:hyperlink r:id="rId8">
        <w:r>
          <w:rPr>
            <w:color w:val="1155CC"/>
            <w:u w:val="single"/>
          </w:rPr>
          <w:t>https://www.deloitte.com/us/en/insights/topics/talent/ai-in-the-workplace.html</w:t>
        </w:r>
      </w:hyperlink>
      <w:r>
        <w:t xml:space="preserve"> [Accessed on 4</w:t>
      </w:r>
      <w:r>
        <w:rPr>
          <w:vertAlign w:val="superscript"/>
        </w:rPr>
        <w:t>th</w:t>
      </w:r>
      <w:r>
        <w:t xml:space="preserve"> October 2025]</w:t>
      </w:r>
    </w:p>
    <w:p w14:paraId="098A9AF0" w14:textId="77777777" w:rsidR="00E23058" w:rsidRDefault="00000000">
      <w:pPr>
        <w:spacing w:before="240" w:after="240"/>
      </w:pPr>
      <w:r>
        <w:t xml:space="preserve">Deloitte (2024) </w:t>
      </w:r>
      <w:r>
        <w:rPr>
          <w:i/>
        </w:rPr>
        <w:t>“AI-Powered Employee Experience: How Organisations Can Unlock Higher Engagement and Productivity”</w:t>
      </w:r>
      <w:r>
        <w:t xml:space="preserve"> Available at:</w:t>
      </w:r>
      <w:hyperlink r:id="rId9">
        <w:r>
          <w:t xml:space="preserve"> </w:t>
        </w:r>
      </w:hyperlink>
      <w:hyperlink r:id="rId10">
        <w:r>
          <w:rPr>
            <w:color w:val="1155CC"/>
            <w:u w:val="single"/>
          </w:rPr>
          <w:t>https://www.deloitte.com/uk/en/services/consulting/blogs/2024/ai-powered-employee-experience.html</w:t>
        </w:r>
      </w:hyperlink>
      <w:r>
        <w:t xml:space="preserve"> [Accessed on 4</w:t>
      </w:r>
      <w:r>
        <w:rPr>
          <w:vertAlign w:val="superscript"/>
        </w:rPr>
        <w:t>th</w:t>
      </w:r>
      <w:r>
        <w:t xml:space="preserve"> October 2025]</w:t>
      </w:r>
    </w:p>
    <w:p w14:paraId="2566AEF3" w14:textId="77777777" w:rsidR="00E23058" w:rsidRDefault="00000000">
      <w:pPr>
        <w:spacing w:before="240" w:after="240"/>
      </w:pPr>
      <w:r>
        <w:t xml:space="preserve">Forbes (2022) </w:t>
      </w:r>
      <w:r>
        <w:rPr>
          <w:i/>
        </w:rPr>
        <w:t>“Hybrid Work Is Now The Norm For The Year Ahead - And Beyond”</w:t>
      </w:r>
      <w:r>
        <w:t xml:space="preserve"> Available at:</w:t>
      </w:r>
      <w:hyperlink r:id="rId11">
        <w:r>
          <w:rPr>
            <w:color w:val="1155CC"/>
            <w:u w:val="single"/>
          </w:rPr>
          <w:t xml:space="preserve"> https://www.forbes.com/sites/joemckendrick/2022/12/28/hybrid-work-is-now-the-norm-for-the-year-aheadand-beyond/</w:t>
        </w:r>
      </w:hyperlink>
      <w:r>
        <w:t xml:space="preserve"> [Accessed on 4</w:t>
      </w:r>
      <w:r>
        <w:rPr>
          <w:vertAlign w:val="superscript"/>
        </w:rPr>
        <w:t>th</w:t>
      </w:r>
      <w:r>
        <w:t xml:space="preserve"> October 2025]</w:t>
      </w:r>
    </w:p>
    <w:p w14:paraId="6F5257DF" w14:textId="77777777" w:rsidR="00E23058" w:rsidRDefault="00000000">
      <w:pPr>
        <w:spacing w:before="240" w:after="240"/>
      </w:pPr>
      <w:r>
        <w:t xml:space="preserve">GOV.UK (2022) </w:t>
      </w:r>
      <w:r>
        <w:rPr>
          <w:i/>
        </w:rPr>
        <w:t>“The Benefits of Brexit: How the UK is taking advantage of leaving the EU”</w:t>
      </w:r>
      <w:r>
        <w:t xml:space="preserve"> Available at:</w:t>
      </w:r>
      <w:hyperlink r:id="rId12">
        <w:r>
          <w:t xml:space="preserve"> </w:t>
        </w:r>
      </w:hyperlink>
      <w:hyperlink r:id="rId13">
        <w:r>
          <w:rPr>
            <w:color w:val="1155CC"/>
            <w:u w:val="single"/>
          </w:rPr>
          <w:t>https://assets.publishing.service.gov.uk/media/620a791d8fa8f54915f4369e/benefits-of-brexit.pdf</w:t>
        </w:r>
      </w:hyperlink>
      <w:r>
        <w:t xml:space="preserve"> [Accessed on 4</w:t>
      </w:r>
      <w:r>
        <w:rPr>
          <w:vertAlign w:val="superscript"/>
        </w:rPr>
        <w:t>th</w:t>
      </w:r>
      <w:r>
        <w:t xml:space="preserve"> October 2025]</w:t>
      </w:r>
    </w:p>
    <w:p w14:paraId="4501FDAC" w14:textId="77777777" w:rsidR="00E23058" w:rsidRDefault="00000000">
      <w:pPr>
        <w:spacing w:before="240" w:after="240"/>
      </w:pPr>
      <w:r>
        <w:t xml:space="preserve"> Malik, A., Srikanth, N.R. and </w:t>
      </w:r>
      <w:proofErr w:type="spellStart"/>
      <w:r>
        <w:t>Budhwar</w:t>
      </w:r>
      <w:proofErr w:type="spellEnd"/>
      <w:r>
        <w:t xml:space="preserve">, P., (2020). Digitisation, artificial intelligence (AI) and HRM. </w:t>
      </w:r>
      <w:r>
        <w:rPr>
          <w:i/>
        </w:rPr>
        <w:t>Human resource management: Strategic and international perspectives</w:t>
      </w:r>
      <w:r>
        <w:t xml:space="preserve">, </w:t>
      </w:r>
      <w:r>
        <w:rPr>
          <w:i/>
        </w:rPr>
        <w:t>88</w:t>
      </w:r>
      <w:r>
        <w:t>, p.103.</w:t>
      </w:r>
    </w:p>
    <w:p w14:paraId="786D8C78" w14:textId="77777777" w:rsidR="00E23058" w:rsidRDefault="00000000">
      <w:pPr>
        <w:spacing w:before="240" w:after="240"/>
      </w:pPr>
      <w:r>
        <w:t xml:space="preserve">McKinsey &amp; Company (2017) </w:t>
      </w:r>
      <w:r>
        <w:rPr>
          <w:i/>
        </w:rPr>
        <w:t>“Jobs lost, jobs gained: What the future of work will mean for jobs, skills, and wages”</w:t>
      </w:r>
      <w:r>
        <w:t xml:space="preserve"> Available at:</w:t>
      </w:r>
      <w:hyperlink r:id="rId14">
        <w:r>
          <w:rPr>
            <w:color w:val="1155CC"/>
            <w:u w:val="single"/>
          </w:rPr>
          <w:t xml:space="preserve"> https://www.mckinsey.com/featured-insights/future-of-work/jobs-lost-jobs-gained-what-the-future-of-work-will-mean-for-jobs-skills-and-wages</w:t>
        </w:r>
      </w:hyperlink>
      <w:r>
        <w:t xml:space="preserve"> [Accessed on 4</w:t>
      </w:r>
      <w:r>
        <w:rPr>
          <w:vertAlign w:val="superscript"/>
        </w:rPr>
        <w:t>th</w:t>
      </w:r>
      <w:r>
        <w:t xml:space="preserve"> October 2025]</w:t>
      </w:r>
    </w:p>
    <w:p w14:paraId="1DB2C165" w14:textId="77777777" w:rsidR="00E23058" w:rsidRDefault="00000000">
      <w:pPr>
        <w:spacing w:before="240" w:after="240"/>
      </w:pPr>
      <w:r>
        <w:lastRenderedPageBreak/>
        <w:t xml:space="preserve">McKinsey &amp; Company (2024) </w:t>
      </w:r>
      <w:r>
        <w:rPr>
          <w:i/>
        </w:rPr>
        <w:t xml:space="preserve">“Beyond the hype: Capturing the potential of AI and gen AI in </w:t>
      </w:r>
      <w:proofErr w:type="spellStart"/>
      <w:r>
        <w:rPr>
          <w:i/>
        </w:rPr>
        <w:t>tech,media</w:t>
      </w:r>
      <w:proofErr w:type="spellEnd"/>
      <w:r>
        <w:rPr>
          <w:i/>
        </w:rPr>
        <w:t>, and telecom”</w:t>
      </w:r>
      <w:r>
        <w:t xml:space="preserve"> Available at:</w:t>
      </w:r>
      <w:hyperlink r:id="rId15">
        <w:r>
          <w:t xml:space="preserve"> </w:t>
        </w:r>
      </w:hyperlink>
      <w:hyperlink r:id="rId16">
        <w:r>
          <w:rPr>
            <w:color w:val="1155CC"/>
            <w:u w:val="single"/>
          </w:rPr>
          <w:t>https://www.mckinsey.com/~/media/mckinsey/industries/technology%20media%20and%20telecommunications/high%20tech/our%20insights/beyond%20the%20hype%20capturing%20the%20potential%20of%20ai%20and%20gen%20ai%20in%20tmt/beyond-the-hype-capturing-the-potential-of-ai-and-gen-ai-in-tmt.pdf</w:t>
        </w:r>
      </w:hyperlink>
      <w:r>
        <w:t xml:space="preserve"> [Accessed on 4</w:t>
      </w:r>
      <w:r>
        <w:rPr>
          <w:vertAlign w:val="superscript"/>
        </w:rPr>
        <w:t>th</w:t>
      </w:r>
      <w:r>
        <w:t xml:space="preserve"> October 2025]</w:t>
      </w:r>
    </w:p>
    <w:p w14:paraId="6DB20572" w14:textId="77777777" w:rsidR="00E23058" w:rsidRDefault="00000000">
      <w:pPr>
        <w:spacing w:before="240" w:after="240"/>
      </w:pPr>
      <w:r>
        <w:t xml:space="preserve">NHs England (2023) </w:t>
      </w:r>
      <w:r>
        <w:rPr>
          <w:i/>
        </w:rPr>
        <w:t>“NHS Long Term Workforce Plan”</w:t>
      </w:r>
      <w:r>
        <w:t xml:space="preserve"> Available at:</w:t>
      </w:r>
      <w:hyperlink r:id="rId17">
        <w:r>
          <w:t xml:space="preserve"> </w:t>
        </w:r>
      </w:hyperlink>
      <w:hyperlink r:id="rId18">
        <w:r>
          <w:rPr>
            <w:color w:val="1155CC"/>
            <w:u w:val="single"/>
          </w:rPr>
          <w:t>https://www.england.nhs.uk/long-read/nhs-long-term-workforce-plan-2/</w:t>
        </w:r>
      </w:hyperlink>
      <w:r>
        <w:t xml:space="preserve"> [Accessed on 4</w:t>
      </w:r>
      <w:r>
        <w:rPr>
          <w:vertAlign w:val="superscript"/>
        </w:rPr>
        <w:t>th</w:t>
      </w:r>
      <w:r>
        <w:t xml:space="preserve"> October 2025]</w:t>
      </w:r>
    </w:p>
    <w:p w14:paraId="6187EABC" w14:textId="77777777" w:rsidR="00E23058" w:rsidRDefault="00000000">
      <w:pPr>
        <w:spacing w:before="240" w:after="240"/>
      </w:pPr>
      <w:r>
        <w:t xml:space="preserve">NIH (2022) </w:t>
      </w:r>
      <w:r>
        <w:rPr>
          <w:i/>
        </w:rPr>
        <w:t xml:space="preserve">“Remote work and the COVID-19 pandemic: An artificial intelligence-based topic </w:t>
      </w:r>
      <w:proofErr w:type="spellStart"/>
      <w:r>
        <w:rPr>
          <w:i/>
        </w:rPr>
        <w:t>modeling</w:t>
      </w:r>
      <w:proofErr w:type="spellEnd"/>
      <w:r>
        <w:rPr>
          <w:i/>
        </w:rPr>
        <w:t xml:space="preserve"> and a future agenda”</w:t>
      </w:r>
      <w:r>
        <w:t xml:space="preserve"> Available at:</w:t>
      </w:r>
      <w:hyperlink r:id="rId19">
        <w:r>
          <w:rPr>
            <w:color w:val="1155CC"/>
            <w:u w:val="single"/>
          </w:rPr>
          <w:t xml:space="preserve"> https://pmc.ncbi.nlm.nih.gov/articles/PMC9489997/</w:t>
        </w:r>
      </w:hyperlink>
      <w:r>
        <w:t xml:space="preserve"> [Accessed on 4</w:t>
      </w:r>
      <w:r>
        <w:rPr>
          <w:vertAlign w:val="superscript"/>
        </w:rPr>
        <w:t>th</w:t>
      </w:r>
      <w:r>
        <w:t xml:space="preserve"> October 2025]</w:t>
      </w:r>
    </w:p>
    <w:p w14:paraId="3645261C" w14:textId="77777777" w:rsidR="00E23058" w:rsidRDefault="00000000">
      <w:pPr>
        <w:spacing w:before="240" w:after="240"/>
      </w:pPr>
      <w:r>
        <w:t xml:space="preserve">NIH (2024) </w:t>
      </w:r>
      <w:r>
        <w:rPr>
          <w:i/>
        </w:rPr>
        <w:t>“The Commitment to Excellence: Understanding Nurses’ Perspectives on Continuous Professional Development”</w:t>
      </w:r>
      <w:r>
        <w:t xml:space="preserve"> Available at:</w:t>
      </w:r>
      <w:hyperlink r:id="rId20">
        <w:r>
          <w:t xml:space="preserve"> </w:t>
        </w:r>
      </w:hyperlink>
      <w:hyperlink r:id="rId21">
        <w:r>
          <w:rPr>
            <w:color w:val="1155CC"/>
            <w:u w:val="single"/>
          </w:rPr>
          <w:t>https://pmc.ncbi.nlm.nih.gov/articles/PMC10855779/</w:t>
        </w:r>
      </w:hyperlink>
      <w:r>
        <w:t xml:space="preserve"> [Accessed on 4</w:t>
      </w:r>
      <w:r>
        <w:rPr>
          <w:vertAlign w:val="superscript"/>
        </w:rPr>
        <w:t>th</w:t>
      </w:r>
      <w:r>
        <w:t xml:space="preserve"> October 2025]</w:t>
      </w:r>
    </w:p>
    <w:p w14:paraId="15D3C4A9" w14:textId="77777777" w:rsidR="00E23058" w:rsidRDefault="00000000">
      <w:pPr>
        <w:spacing w:before="240" w:after="240"/>
      </w:pPr>
      <w:r>
        <w:t xml:space="preserve">NIH (2024) </w:t>
      </w:r>
      <w:r>
        <w:rPr>
          <w:i/>
        </w:rPr>
        <w:t>“Workforce agility: a systematic literature review and research agenda”</w:t>
      </w:r>
      <w:r>
        <w:t xml:space="preserve"> Available at:</w:t>
      </w:r>
      <w:hyperlink r:id="rId22">
        <w:r>
          <w:t xml:space="preserve"> </w:t>
        </w:r>
      </w:hyperlink>
      <w:hyperlink r:id="rId23">
        <w:r>
          <w:rPr>
            <w:color w:val="1155CC"/>
            <w:u w:val="single"/>
          </w:rPr>
          <w:t>https://pmc.ncbi.nlm.nih.gov/articles/PMC11422224/</w:t>
        </w:r>
      </w:hyperlink>
      <w:r>
        <w:t xml:space="preserve"> [Accessed on 4</w:t>
      </w:r>
      <w:r>
        <w:rPr>
          <w:vertAlign w:val="superscript"/>
        </w:rPr>
        <w:t>th</w:t>
      </w:r>
      <w:r>
        <w:t xml:space="preserve"> October 2025]</w:t>
      </w:r>
    </w:p>
    <w:p w14:paraId="782C3B9E" w14:textId="77777777" w:rsidR="00E23058" w:rsidRDefault="00000000">
      <w:pPr>
        <w:spacing w:before="240" w:after="240"/>
      </w:pPr>
      <w:r>
        <w:t xml:space="preserve">OECD (2023) </w:t>
      </w:r>
      <w:r>
        <w:rPr>
          <w:i/>
        </w:rPr>
        <w:t>“International Migration Outlook 2023”</w:t>
      </w:r>
      <w:r>
        <w:t xml:space="preserve"> Available at:</w:t>
      </w:r>
      <w:hyperlink r:id="rId24">
        <w:r>
          <w:t xml:space="preserve"> </w:t>
        </w:r>
      </w:hyperlink>
      <w:hyperlink r:id="rId25">
        <w:r>
          <w:rPr>
            <w:color w:val="1155CC"/>
            <w:u w:val="single"/>
          </w:rPr>
          <w:t>https://www.oecd.org/en/publications/2023/10/international-migration-outlook-2023_0faed233.html</w:t>
        </w:r>
      </w:hyperlink>
      <w:r>
        <w:t xml:space="preserve"> [Accessed on 4</w:t>
      </w:r>
      <w:r>
        <w:rPr>
          <w:vertAlign w:val="superscript"/>
        </w:rPr>
        <w:t>th</w:t>
      </w:r>
      <w:r>
        <w:t xml:space="preserve"> October 2025]</w:t>
      </w:r>
    </w:p>
    <w:p w14:paraId="53F80D64" w14:textId="77777777" w:rsidR="00E23058" w:rsidRDefault="00000000">
      <w:pPr>
        <w:spacing w:before="240" w:after="240"/>
      </w:pPr>
      <w:r>
        <w:t xml:space="preserve">OECD (2024) </w:t>
      </w:r>
      <w:r>
        <w:rPr>
          <w:i/>
        </w:rPr>
        <w:t>“Bridging Talent Shortages in Tech”</w:t>
      </w:r>
      <w:r>
        <w:t xml:space="preserve"> Available at:</w:t>
      </w:r>
      <w:hyperlink r:id="rId26">
        <w:r>
          <w:t xml:space="preserve"> </w:t>
        </w:r>
      </w:hyperlink>
      <w:hyperlink r:id="rId27">
        <w:r>
          <w:rPr>
            <w:color w:val="1155CC"/>
            <w:u w:val="single"/>
          </w:rPr>
          <w:t>https://www.oecd.org/content/dam/oecd/en/publications/reports/2024/09/bridging-talent-shortages-in-tech_983d7ca6/f35da44f-en.pdf</w:t>
        </w:r>
      </w:hyperlink>
      <w:r>
        <w:t xml:space="preserve"> [Accessed on 4</w:t>
      </w:r>
      <w:r>
        <w:rPr>
          <w:vertAlign w:val="superscript"/>
        </w:rPr>
        <w:t>th</w:t>
      </w:r>
      <w:r>
        <w:t xml:space="preserve"> October 2025]</w:t>
      </w:r>
    </w:p>
    <w:p w14:paraId="6E268BDE" w14:textId="77777777" w:rsidR="00E23058" w:rsidRDefault="00000000">
      <w:pPr>
        <w:spacing w:before="240" w:after="240"/>
      </w:pPr>
      <w:r>
        <w:t xml:space="preserve">Rodriguez, J.K., Johnstone, S. and Procter, S., (2017). Regulation of work and employment: advances, tensions and future directions in research in international and comparative HRM. </w:t>
      </w:r>
      <w:r>
        <w:rPr>
          <w:i/>
        </w:rPr>
        <w:t xml:space="preserve">The </w:t>
      </w:r>
      <w:proofErr w:type="spellStart"/>
      <w:r>
        <w:rPr>
          <w:i/>
        </w:rPr>
        <w:t>InTernaTIonal</w:t>
      </w:r>
      <w:proofErr w:type="spellEnd"/>
      <w:r>
        <w:rPr>
          <w:i/>
        </w:rPr>
        <w:t xml:space="preserve"> Journal of human resource </w:t>
      </w:r>
      <w:proofErr w:type="spellStart"/>
      <w:r>
        <w:rPr>
          <w:i/>
        </w:rPr>
        <w:t>managemenT</w:t>
      </w:r>
      <w:proofErr w:type="spellEnd"/>
      <w:r>
        <w:t xml:space="preserve">, </w:t>
      </w:r>
      <w:r>
        <w:rPr>
          <w:i/>
        </w:rPr>
        <w:t>28</w:t>
      </w:r>
      <w:r>
        <w:t>(21), pp.2957-2982.</w:t>
      </w:r>
    </w:p>
    <w:p w14:paraId="57D0BBFB" w14:textId="77777777" w:rsidR="00E23058" w:rsidRDefault="00000000">
      <w:pPr>
        <w:spacing w:before="240" w:after="240"/>
      </w:pPr>
      <w:r>
        <w:lastRenderedPageBreak/>
        <w:t xml:space="preserve">Shevchuk, A. and Strebkov, D., (2023). Digital platforms and the changing freelance workforce in the Russian Federation: A ten‐year perspective. </w:t>
      </w:r>
      <w:r>
        <w:rPr>
          <w:i/>
        </w:rPr>
        <w:t>International Labour Review</w:t>
      </w:r>
      <w:r>
        <w:t xml:space="preserve">, </w:t>
      </w:r>
      <w:r>
        <w:rPr>
          <w:i/>
        </w:rPr>
        <w:t>162</w:t>
      </w:r>
      <w:r>
        <w:t>(1), pp.1-22.</w:t>
      </w:r>
    </w:p>
    <w:p w14:paraId="7DC88198" w14:textId="77777777" w:rsidR="00E23058" w:rsidRDefault="00000000">
      <w:pPr>
        <w:spacing w:before="240" w:after="240"/>
      </w:pPr>
      <w:r>
        <w:t xml:space="preserve">Sinha, A. and Jha, B., (2025). Future Trends in Social Sustainability in Manufacturing Supply Chains. In </w:t>
      </w:r>
      <w:r>
        <w:rPr>
          <w:i/>
        </w:rPr>
        <w:t>Enhancing Social Sustainability in Manufacturing Supply Chains</w:t>
      </w:r>
      <w:r>
        <w:t xml:space="preserve"> (pp. 163-198). IGI Global Scientific Publishing.</w:t>
      </w:r>
    </w:p>
    <w:p w14:paraId="10209643" w14:textId="77777777" w:rsidR="00E23058" w:rsidRDefault="00000000">
      <w:pPr>
        <w:spacing w:before="240" w:after="240"/>
      </w:pPr>
      <w:r>
        <w:t xml:space="preserve">Slowey, M. and Zubrzycki, T., (2018). </w:t>
      </w:r>
      <w:r>
        <w:rPr>
          <w:i/>
        </w:rPr>
        <w:t>Living longer, learning longer–working longer? Implications for new workforce dynamics</w:t>
      </w:r>
      <w:r>
        <w:t xml:space="preserve"> (pp. 1-110). Dublin City University.</w:t>
      </w:r>
    </w:p>
    <w:p w14:paraId="4D314D80" w14:textId="77777777" w:rsidR="00E23058" w:rsidRDefault="00000000">
      <w:pPr>
        <w:spacing w:before="240" w:after="240"/>
      </w:pPr>
      <w:r>
        <w:t xml:space="preserve">WHO (2025) </w:t>
      </w:r>
      <w:r>
        <w:rPr>
          <w:i/>
        </w:rPr>
        <w:t>“Ageing and health”</w:t>
      </w:r>
      <w:r>
        <w:t xml:space="preserve"> Available at:</w:t>
      </w:r>
      <w:hyperlink r:id="rId28">
        <w:r>
          <w:t xml:space="preserve"> </w:t>
        </w:r>
      </w:hyperlink>
      <w:hyperlink r:id="rId29">
        <w:r>
          <w:rPr>
            <w:color w:val="1155CC"/>
            <w:u w:val="single"/>
          </w:rPr>
          <w:t>https://www.who.int/news-room/fact-sheets/detail/ageing-and-health</w:t>
        </w:r>
      </w:hyperlink>
      <w:r>
        <w:t xml:space="preserve"> [Accessed on 4</w:t>
      </w:r>
      <w:r>
        <w:rPr>
          <w:vertAlign w:val="superscript"/>
        </w:rPr>
        <w:t>th</w:t>
      </w:r>
      <w:r>
        <w:t xml:space="preserve"> October 2025]</w:t>
      </w:r>
    </w:p>
    <w:p w14:paraId="7776F413" w14:textId="77777777" w:rsidR="00E23058" w:rsidRDefault="00E23058">
      <w:pPr>
        <w:ind w:left="720"/>
      </w:pPr>
    </w:p>
    <w:sectPr w:rsidR="00E2305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01B4C20-49D3-44ED-8BBE-609FF0CA6389}"/>
  </w:font>
  <w:font w:name="Cambria">
    <w:panose1 w:val="02040503050406030204"/>
    <w:charset w:val="00"/>
    <w:family w:val="roman"/>
    <w:pitch w:val="variable"/>
    <w:sig w:usb0="E00006FF" w:usb1="420024FF" w:usb2="02000000" w:usb3="00000000" w:csb0="0000019F" w:csb1="00000000"/>
    <w:embedRegular r:id="rId2" w:fontKey="{8ED98CB6-5CE0-4A8B-9050-7034998E53C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058"/>
    <w:rsid w:val="00393188"/>
    <w:rsid w:val="00E23058"/>
    <w:rsid w:val="00F43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9F0EF"/>
  <w15:docId w15:val="{5E1F81B0-6A57-40D8-B167-96F797318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eloitte.com/us/en/insights/topics/talent/ai-in-the-workplace.html" TargetMode="External"/><Relationship Id="rId13" Type="http://schemas.openxmlformats.org/officeDocument/2006/relationships/hyperlink" Target="https://assets.publishing.service.gov.uk/media/620a791d8fa8f54915f4369e/benefits-of-brexit.pdf" TargetMode="External"/><Relationship Id="rId18" Type="http://schemas.openxmlformats.org/officeDocument/2006/relationships/hyperlink" Target="https://www.england.nhs.uk/long-read/nhs-long-term-workforce-plan-2/" TargetMode="External"/><Relationship Id="rId26" Type="http://schemas.openxmlformats.org/officeDocument/2006/relationships/hyperlink" Target="https://www.oecd.org/content/dam/oecd/en/publications/reports/2024/09/bridging-talent-shortages-in-tech_983d7ca6/f35da44f-en.pdf" TargetMode="External"/><Relationship Id="rId3" Type="http://schemas.openxmlformats.org/officeDocument/2006/relationships/webSettings" Target="webSettings.xml"/><Relationship Id="rId21" Type="http://schemas.openxmlformats.org/officeDocument/2006/relationships/hyperlink" Target="https://pmc.ncbi.nlm.nih.gov/articles/PMC10855779/" TargetMode="External"/><Relationship Id="rId7" Type="http://schemas.openxmlformats.org/officeDocument/2006/relationships/hyperlink" Target="https://www.deloitte.com/us/en/insights/topics/talent/ai-in-the-workplace.html" TargetMode="External"/><Relationship Id="rId12" Type="http://schemas.openxmlformats.org/officeDocument/2006/relationships/hyperlink" Target="https://assets.publishing.service.gov.uk/media/620a791d8fa8f54915f4369e/benefits-of-brexit.pdf" TargetMode="External"/><Relationship Id="rId17" Type="http://schemas.openxmlformats.org/officeDocument/2006/relationships/hyperlink" Target="https://www.england.nhs.uk/long-read/nhs-long-term-workforce-plan-2/" TargetMode="External"/><Relationship Id="rId25" Type="http://schemas.openxmlformats.org/officeDocument/2006/relationships/hyperlink" Target="https://www.oecd.org/en/publications/2023/10/international-migration-outlook-2023_0faed233.html" TargetMode="External"/><Relationship Id="rId2" Type="http://schemas.openxmlformats.org/officeDocument/2006/relationships/settings" Target="settings.xml"/><Relationship Id="rId16" Type="http://schemas.openxmlformats.org/officeDocument/2006/relationships/hyperlink" Target="https://www.mckinsey.com/~/media/mckinsey/industries/technology%20media%20and%20telecommunications/high%20tech/our%20insights/beyond%20the%20hype%20capturing%20the%20potential%20of%20ai%20and%20gen%20ai%20in%20tmt/beyond-the-hype-capturing-the-potential-of-ai-and-gen-ai-in-tmt.pdf" TargetMode="External"/><Relationship Id="rId20" Type="http://schemas.openxmlformats.org/officeDocument/2006/relationships/hyperlink" Target="https://pmc.ncbi.nlm.nih.gov/articles/PMC10855779/" TargetMode="External"/><Relationship Id="rId29" Type="http://schemas.openxmlformats.org/officeDocument/2006/relationships/hyperlink" Target="https://www.who.int/news-room/fact-sheets/detail/ageing-and-health" TargetMode="External"/><Relationship Id="rId1" Type="http://schemas.openxmlformats.org/officeDocument/2006/relationships/styles" Target="styles.xml"/><Relationship Id="rId6" Type="http://schemas.openxmlformats.org/officeDocument/2006/relationships/hyperlink" Target="https://www.cipd.org/en/knowledge/reports/flexible-hybrid-working/" TargetMode="External"/><Relationship Id="rId11" Type="http://schemas.openxmlformats.org/officeDocument/2006/relationships/hyperlink" Target="https://www.forbes.com/sites/joemckendrick/2022/12/28/hybrid-work-is-now-the-norm-for-the-year-aheadand-beyond/" TargetMode="External"/><Relationship Id="rId24" Type="http://schemas.openxmlformats.org/officeDocument/2006/relationships/hyperlink" Target="https://www.oecd.org/en/publications/2023/10/international-migration-outlook-2023_0faed233.html" TargetMode="External"/><Relationship Id="rId5" Type="http://schemas.openxmlformats.org/officeDocument/2006/relationships/hyperlink" Target="http://gov.uk" TargetMode="External"/><Relationship Id="rId15" Type="http://schemas.openxmlformats.org/officeDocument/2006/relationships/hyperlink" Target="https://www.mckinsey.com/~/media/mckinsey/industries/technology%20media%20and%20telecommunications/high%20tech/our%20insights/beyond%20the%20hype%20capturing%20the%20potential%20of%20ai%20and%20gen%20ai%20in%20tmt/beyond-the-hype-capturing-the-potential-of-ai-and-gen-ai-in-tmt.pdf" TargetMode="External"/><Relationship Id="rId23" Type="http://schemas.openxmlformats.org/officeDocument/2006/relationships/hyperlink" Target="https://pmc.ncbi.nlm.nih.gov/articles/PMC11422224/" TargetMode="External"/><Relationship Id="rId28" Type="http://schemas.openxmlformats.org/officeDocument/2006/relationships/hyperlink" Target="https://www.who.int/news-room/fact-sheets/detail/ageing-and-health" TargetMode="External"/><Relationship Id="rId10" Type="http://schemas.openxmlformats.org/officeDocument/2006/relationships/hyperlink" Target="https://www.deloitte.com/uk/en/services/consulting/blogs/2024/ai-powered-employee-experience.html" TargetMode="External"/><Relationship Id="rId19" Type="http://schemas.openxmlformats.org/officeDocument/2006/relationships/hyperlink" Target="https://pmc.ncbi.nlm.nih.gov/articles/PMC9489997/" TargetMode="External"/><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deloitte.com/uk/en/services/consulting/blogs/2024/ai-powered-employee-experience.html" TargetMode="External"/><Relationship Id="rId14" Type="http://schemas.openxmlformats.org/officeDocument/2006/relationships/hyperlink" Target="https://www.mckinsey.com/featured-insights/future-of-work/jobs-lost-jobs-gained-what-the-future-of-work-will-mean-for-jobs-skills-and-wages" TargetMode="External"/><Relationship Id="rId22" Type="http://schemas.openxmlformats.org/officeDocument/2006/relationships/hyperlink" Target="https://pmc.ncbi.nlm.nih.gov/articles/PMC11422224/" TargetMode="External"/><Relationship Id="rId27" Type="http://schemas.openxmlformats.org/officeDocument/2006/relationships/hyperlink" Target="https://www.oecd.org/content/dam/oecd/en/publications/reports/2024/09/bridging-talent-shortages-in-tech_983d7ca6/f35da44f-en.pdf"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4110</Words>
  <Characters>23430</Characters>
  <Application>Microsoft Office Word</Application>
  <DocSecurity>0</DocSecurity>
  <Lines>195</Lines>
  <Paragraphs>54</Paragraphs>
  <ScaleCrop>false</ScaleCrop>
  <Company/>
  <LinksUpToDate>false</LinksUpToDate>
  <CharactersWithSpaces>27486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2</cp:revision>
  <dcterms:created xsi:type="dcterms:W3CDTF">2025-11-13T09:03:00Z</dcterms:created>
  <dcterms:modified xsi:type="dcterms:W3CDTF">2025-11-13T09:03:00Z</dcterms:modified>
</cp:coreProperties>
</file>