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Heading1"/>
        <w:spacing w:before="120" w:after="120"/>
        <w:jc w:val="both"/>
        <w:rPr>
          <w:rFonts w:cs="Times New Roman"/>
          <w:color w:val="000000" w:themeColor="text1"/>
          <w:szCs w:val="24"/>
        </w:rPr>
      </w:pPr>
      <w:r>
        <w:rPr>
          <w:rFonts w:cs="Times New Roman"/>
          <w:color w:val="000000" w:themeColor="text1"/>
          <w:szCs w:val="24"/>
        </w:rPr>
        <w:t>Introduction</w:t>
      </w:r>
    </w:p>
    <w:p>
      <w:pPr>
        <w:pStyle w:val="Normal"/>
        <w:jc w:val="both"/>
        <w:rPr>
          <w:color w:val="000000" w:themeColor="text1"/>
          <w:szCs w:val="24"/>
        </w:rPr>
      </w:pPr>
      <w:r>
        <w:rPr>
          <w:color w:val="000000" w:themeColor="text1"/>
          <w:szCs w:val="24"/>
        </w:rPr>
        <w:t>The purpose of the circular economy is to maintain goods, parts, and materials at their largest value and worth at all times, differentiating between technological and biological cycles through the use of restorative and regenerative design. Similar to this, a circular economy is described as an economy where the value of goods, basic resources is retained in the economic system for as long as humanly possible, and the quantity of waste is minimised in the circular economy action plan developed by the European Commission,2015. There are several benefits of circularity for the economy. The global economy would gain $3 trillion annually from better resource management. This is due to the fact that the price of raw materials will significantly drop while encouraging employment and innovation. The aim of the research is to develop a creative plan for how the organisation may become more circular.</w:t>
      </w:r>
    </w:p>
    <w:p>
      <w:pPr>
        <w:pStyle w:val="Heading1"/>
        <w:jc w:val="both"/>
        <w:rPr>
          <w:rFonts w:cs="Times New Roman"/>
          <w:color w:val="000000" w:themeColor="text1"/>
          <w:szCs w:val="24"/>
        </w:rPr>
      </w:pPr>
      <w:r>
        <w:rPr>
          <w:rFonts w:cs="Times New Roman"/>
          <w:color w:val="000000" w:themeColor="text1"/>
          <w:szCs w:val="24"/>
        </w:rPr>
        <w:t>Innovative strategy</w:t>
      </w:r>
    </w:p>
    <w:p>
      <w:pPr>
        <w:pStyle w:val="Normal"/>
        <w:ind w:hanging="0"/>
        <w:jc w:val="both"/>
        <w:rPr>
          <w:color w:val="000000" w:themeColor="text1"/>
          <w:szCs w:val="24"/>
          <w:shd w:fill="FFFFFF" w:val="clear"/>
        </w:rPr>
      </w:pPr>
      <w:r>
        <w:rPr>
          <w:color w:val="000000" w:themeColor="text1"/>
          <w:szCs w:val="24"/>
        </w:rPr>
        <w:t xml:space="preserve">New methods of collaborative efforts in the larger corporate ecosystem are fundamental to the circular economy concept. Although they are a long way from this as the norm, businesses are rapidly changing the way they view their current alliances and considering new forms of collaboration that may not have otherwise been possible due to the shared and interconnected nature of sustainability concerns </w:t>
      </w:r>
      <w:r>
        <w:rPr>
          <w:color w:val="000000" w:themeColor="text1"/>
          <w:szCs w:val="24"/>
          <w:shd w:fill="FFFFFF" w:val="clear"/>
        </w:rPr>
        <w:t>(Chuang, Kuo, and Luo, 2020)</w:t>
      </w:r>
    </w:p>
    <w:p>
      <w:pPr>
        <w:pStyle w:val="Normal"/>
        <w:ind w:hanging="0"/>
        <w:jc w:val="both"/>
        <w:rPr>
          <w:color w:val="000000" w:themeColor="text1"/>
          <w:szCs w:val="24"/>
          <w:shd w:fill="FFFFFF" w:val="clear"/>
        </w:rPr>
      </w:pPr>
      <w:r>
        <w:rPr>
          <w:color w:val="000000" w:themeColor="text1"/>
          <w:szCs w:val="24"/>
          <w:shd w:fill="FFFFFF" w:val="clear"/>
        </w:rPr>
        <w:t>(Kollarova, 2020)</w:t>
      </w:r>
      <w:r>
        <w:rPr>
          <w:color w:val="000000" w:themeColor="text1"/>
          <w:szCs w:val="24"/>
        </w:rPr>
        <w:t xml:space="preserve">. Tesco delivers millions of users both in-person and online. The UK's largest food wholesaler, Booker Group, and Tesco merged in 2018, creating significant synergies and opening up access to the "out of house" food industry. The Tesco Group additionally consists of salesforce, a wholly owned machine learning business, Tesco, a joint venture between Tesco and Telefónica, and Tesco Bank, which offers banking, insurance, and money services. </w:t>
      </w:r>
    </w:p>
    <w:p>
      <w:pPr>
        <w:pStyle w:val="Normal"/>
        <w:ind w:hanging="0"/>
        <w:jc w:val="both"/>
        <w:rPr>
          <w:color w:val="000000" w:themeColor="text1"/>
          <w:szCs w:val="24"/>
          <w:shd w:fill="FFFFFF" w:val="clear"/>
        </w:rPr>
      </w:pPr>
      <w:r>
        <w:rPr>
          <w:color w:val="000000" w:themeColor="text1"/>
          <w:szCs w:val="24"/>
        </w:rPr>
        <w:t xml:space="preserve">the three core values—to serve customers a little bit better every day—act as the business's compass. No one makes more of an effort for consumers; they treat people the way they would like to be treated; and every little bit of assistance counts </w:t>
      </w:r>
      <w:r>
        <w:rPr>
          <w:color w:val="000000" w:themeColor="text1"/>
          <w:szCs w:val="24"/>
          <w:shd w:fill="FFFFFF" w:val="clear"/>
        </w:rPr>
        <w:t>(Chuang, Kuo, and Luo, 2020)</w:t>
      </w:r>
      <w:r>
        <w:rPr>
          <w:color w:val="000000" w:themeColor="text1"/>
          <w:szCs w:val="24"/>
        </w:rPr>
        <w:t>. Serving customers at Tesco entails more than just food sales. It entails conducting business responsibly toward all parties involved, including clients, employees, communities, suppliers, and shareholders. It also entails providing everyone with access to inexpensive, wholesome, and sustainable food. Some Little Helps Plan sums up the strategy for running an ethical and sustainable company. It is strongly related to the goals and core principles. Tesco as a whole is involved.</w:t>
      </w:r>
    </w:p>
    <w:p>
      <w:pPr>
        <w:pStyle w:val="NoSpacing"/>
        <w:jc w:val="both"/>
        <w:rPr>
          <w:color w:val="000000" w:themeColor="text1"/>
          <w:szCs w:val="24"/>
        </w:rPr>
      </w:pPr>
      <w:r>
        <w:rPr>
          <w:color w:val="000000" w:themeColor="text1"/>
          <w:szCs w:val="24"/>
        </w:rPr>
      </w:r>
    </w:p>
    <w:p>
      <w:pPr>
        <w:pStyle w:val="Heading2"/>
        <w:jc w:val="both"/>
        <w:rPr>
          <w:rFonts w:cs="Times New Roman"/>
          <w:color w:val="000000" w:themeColor="text1"/>
          <w:szCs w:val="24"/>
        </w:rPr>
      </w:pPr>
      <w:r>
        <w:rPr>
          <w:rFonts w:cs="Times New Roman"/>
          <w:color w:val="000000" w:themeColor="text1"/>
          <w:szCs w:val="24"/>
        </w:rPr>
        <w:t>Sustainability Strategy</w:t>
      </w:r>
    </w:p>
    <w:p>
      <w:pPr>
        <w:pStyle w:val="Normal"/>
        <w:ind w:hanging="0"/>
        <w:jc w:val="both"/>
        <w:rPr>
          <w:color w:val="000000" w:themeColor="text1"/>
          <w:szCs w:val="24"/>
          <w:shd w:fill="FFFFFF" w:val="clear"/>
        </w:rPr>
      </w:pPr>
      <w:r>
        <w:rPr>
          <w:color w:val="000000" w:themeColor="text1"/>
          <w:szCs w:val="24"/>
        </w:rPr>
        <w:t xml:space="preserve"> </w:t>
      </w:r>
      <w:r>
        <w:rPr>
          <w:color w:val="000000" w:themeColor="text1"/>
          <w:szCs w:val="24"/>
        </w:rPr>
        <w:t xml:space="preserve">Tesco's Little Helps Plan outlines how they will improve the lives of the clients, employees, communities, and the environment, and it serves as the foundation for the long-term sustainability strategy. They think that because of where they are in the market, they have a special opportunity to seek revolutionary change throughout the supply chain and to drive sector action to address some of the most pressing social and environmental issues of the day </w:t>
      </w:r>
      <w:r>
        <w:rPr>
          <w:color w:val="000000" w:themeColor="text1"/>
          <w:szCs w:val="24"/>
          <w:shd w:fill="FFFFFF" w:val="clear"/>
        </w:rPr>
        <w:t>(Zarębska, Zarębski and Lewandowska, 2021)</w:t>
      </w:r>
      <w:r>
        <w:rPr>
          <w:color w:val="000000" w:themeColor="text1"/>
          <w:szCs w:val="24"/>
        </w:rPr>
        <w:t>. The People, Products, Planet, and Places components of The Little Helps Plan concentrate on the sustainability elements that are most important to each other and the stakeholders.</w:t>
      </w:r>
    </w:p>
    <w:p>
      <w:pPr>
        <w:pStyle w:val="Normal"/>
        <w:jc w:val="both"/>
        <w:rPr>
          <w:color w:val="000000" w:themeColor="text1"/>
          <w:szCs w:val="24"/>
        </w:rPr>
      </w:pPr>
      <w:r>
        <w:rPr>
          <w:color w:val="000000" w:themeColor="text1"/>
          <w:szCs w:val="24"/>
        </w:rPr>
        <w:t>They have chosen areas within the Sustainable Development Goals where Tesco has the highest expectations, risks, and possibilities, and where they can contribute most significantly.</w:t>
      </w:r>
    </w:p>
    <w:p>
      <w:pPr>
        <w:pStyle w:val="Heading2"/>
        <w:jc w:val="both"/>
        <w:rPr>
          <w:rFonts w:cs="Times New Roman"/>
          <w:color w:val="000000" w:themeColor="text1"/>
          <w:szCs w:val="24"/>
        </w:rPr>
      </w:pPr>
      <w:r>
        <w:rPr>
          <w:rFonts w:cs="Times New Roman"/>
          <w:color w:val="000000" w:themeColor="text1"/>
          <w:szCs w:val="24"/>
        </w:rPr>
        <w:t>Collaboration</w:t>
      </w:r>
    </w:p>
    <w:p>
      <w:pPr>
        <w:pStyle w:val="Normal"/>
        <w:ind w:hanging="0"/>
        <w:jc w:val="both"/>
        <w:rPr>
          <w:color w:val="000000" w:themeColor="text1"/>
          <w:szCs w:val="24"/>
          <w:shd w:fill="FFFFFF" w:val="clear"/>
        </w:rPr>
      </w:pPr>
      <w:r>
        <w:rPr>
          <w:color w:val="000000" w:themeColor="text1"/>
          <w:szCs w:val="24"/>
        </w:rPr>
        <w:t xml:space="preserve">They announced a five-year health charity partnership that would combine the knowledge and experience of Tesco, the British Heart Foundation, Diabetes UK, and Cancer Research UK. they hope to accelerate progress toward national health objectives and offer the UK's top workplace health programme by combining the knowledge of these organisations with the capacity to reach 200,000 co-workers and millions of consumers. Everywhere they operate, they collaborate closely with local charities and food banks to provide meals to those in need in the neighbourhood </w:t>
      </w:r>
      <w:r>
        <w:rPr>
          <w:color w:val="000000" w:themeColor="text1"/>
          <w:szCs w:val="24"/>
          <w:shd w:fill="FFFFFF" w:val="clear"/>
        </w:rPr>
        <w:t>(Weetman, 2020)</w:t>
      </w:r>
      <w:r>
        <w:rPr>
          <w:color w:val="000000" w:themeColor="text1"/>
          <w:szCs w:val="24"/>
        </w:rPr>
        <w:t>.</w:t>
      </w:r>
    </w:p>
    <w:p>
      <w:pPr>
        <w:pStyle w:val="Normal"/>
        <w:jc w:val="both"/>
        <w:rPr>
          <w:color w:val="000000" w:themeColor="text1"/>
          <w:szCs w:val="24"/>
        </w:rPr>
      </w:pPr>
      <w:r>
        <w:rPr>
          <w:color w:val="000000" w:themeColor="text1"/>
          <w:szCs w:val="24"/>
        </w:rPr>
        <w:t xml:space="preserve"> </w:t>
      </w:r>
      <w:r>
        <w:rPr>
          <w:color w:val="000000" w:themeColor="text1"/>
          <w:szCs w:val="24"/>
        </w:rPr>
        <w:t>They contribute two million meals a month to 8,000 local charities through the charitable organizations in the UK, Fare Share and the Trussell Trust, and have amassed over 73 million foods through customer donations. They understand that successful deforestation reversal depends on good forest governance. As a result, they are cooperating with others to promote national programmes in both producing and consuming nations, including through their work as a Consumer Goods Forum member.</w:t>
      </w:r>
    </w:p>
    <w:p>
      <w:pPr>
        <w:pStyle w:val="Heading2"/>
        <w:jc w:val="both"/>
        <w:rPr>
          <w:rFonts w:cs="Times New Roman"/>
          <w:color w:val="000000" w:themeColor="text1"/>
          <w:szCs w:val="24"/>
        </w:rPr>
      </w:pPr>
      <w:r>
        <w:rPr>
          <w:rFonts w:cs="Times New Roman"/>
          <w:color w:val="000000" w:themeColor="text1"/>
          <w:szCs w:val="24"/>
        </w:rPr>
        <w:t>Climate change</w:t>
      </w:r>
    </w:p>
    <w:p>
      <w:pPr>
        <w:pStyle w:val="Normal"/>
        <w:ind w:hanging="0"/>
        <w:jc w:val="both"/>
        <w:rPr>
          <w:color w:val="000000" w:themeColor="text1"/>
          <w:szCs w:val="24"/>
          <w:shd w:fill="FFFFFF" w:val="clear"/>
        </w:rPr>
      </w:pPr>
      <w:r>
        <w:rPr>
          <w:color w:val="000000" w:themeColor="text1"/>
          <w:szCs w:val="24"/>
        </w:rPr>
        <w:t xml:space="preserve">The biggest environmental problem the world is currently facing is climate change, which has an impact on both internal operations and supply chains. In response to these challenges, Tesco becomes first company in the world in 2009 to set the goal of being a zero-carbon business throughout the entire Tesco Group by the year 2050 </w:t>
      </w:r>
      <w:r>
        <w:rPr>
          <w:color w:val="000000" w:themeColor="text1"/>
          <w:szCs w:val="24"/>
          <w:shd w:fill="FFFFFF" w:val="clear"/>
        </w:rPr>
        <w:t>(Nygaard, 2022)</w:t>
      </w:r>
      <w:r>
        <w:rPr>
          <w:color w:val="000000" w:themeColor="text1"/>
          <w:szCs w:val="24"/>
        </w:rPr>
        <w:t>. By 2035, they = want the UK to achieve net zero emissions. In 2017,they made history by becoming the first major corporation to commit to operating on a 1.5°C path in line with scientific targets . In support of Sdg Goal 3, they also agreed to a 2°C path for the supply chain (SDG) Climate Change and SDG 13 7: Renewable Energy.</w:t>
      </w:r>
    </w:p>
    <w:p>
      <w:pPr>
        <w:pStyle w:val="Normal"/>
        <w:ind w:hanging="0"/>
        <w:jc w:val="both"/>
        <w:rPr>
          <w:color w:val="000000" w:themeColor="text1"/>
          <w:szCs w:val="24"/>
          <w:shd w:fill="FFFFFF" w:val="clear"/>
        </w:rPr>
      </w:pPr>
      <w:r>
        <w:rPr>
          <w:color w:val="000000" w:themeColor="text1"/>
          <w:szCs w:val="24"/>
        </w:rPr>
        <w:t xml:space="preserve">The national network of charging stations is one example of how the climate plan supports customers in reducing their environmental effects. The climate strategy also focuses on operational and supply chain initiatives to decrease the immediate and influence on the environment. In October 2018, they agreed to join the Financial Stability Board's Task Force on Weather Financial Disclosures </w:t>
      </w:r>
      <w:r>
        <w:rPr>
          <w:color w:val="000000" w:themeColor="text1"/>
          <w:szCs w:val="24"/>
          <w:shd w:fill="FFFFFF" w:val="clear"/>
        </w:rPr>
        <w:t>(Ng, Yang, and Yakovleva, 2019)</w:t>
      </w:r>
      <w:r>
        <w:rPr>
          <w:color w:val="000000" w:themeColor="text1"/>
          <w:szCs w:val="24"/>
        </w:rPr>
        <w:t xml:space="preserve">. In 2019, they performed the initial TCFD scenario analysis, and ever since then, they have evaluated against TCFD in the yearly reporting. They have finished scenario assessments highlighting physical and transition risks for the core commercial sectors, both against pessimistic and optimistic climate warning scenarios, as part of implementing TCFD's disclosure requirements. </w:t>
      </w:r>
    </w:p>
    <w:p>
      <w:pPr>
        <w:pStyle w:val="Heading2"/>
        <w:jc w:val="both"/>
        <w:rPr>
          <w:rFonts w:cs="Times New Roman"/>
          <w:color w:val="000000" w:themeColor="text1"/>
          <w:szCs w:val="24"/>
        </w:rPr>
      </w:pPr>
      <w:r>
        <w:rPr>
          <w:rFonts w:cs="Times New Roman"/>
          <w:color w:val="000000" w:themeColor="text1"/>
          <w:szCs w:val="24"/>
        </w:rPr>
        <w:t xml:space="preserve">Supply chain </w:t>
      </w:r>
    </w:p>
    <w:p>
      <w:pPr>
        <w:pStyle w:val="Normal"/>
        <w:ind w:hanging="0"/>
        <w:jc w:val="both"/>
        <w:rPr>
          <w:color w:val="000000" w:themeColor="text1"/>
          <w:szCs w:val="24"/>
          <w:shd w:fill="FFFFFF" w:val="clear"/>
        </w:rPr>
      </w:pPr>
      <w:r>
        <w:rPr>
          <w:color w:val="000000" w:themeColor="text1"/>
          <w:szCs w:val="24"/>
        </w:rPr>
        <w:t xml:space="preserve">The programme gives suppliers access to Santander's tier-based financing rates that are based on sustainability performance. In order to address embedded carbon and promote circularity, suppliers are evaluated on the reporting of greenhouse emissions, setting reduction objectives, and achieving those targets. That is an illustration of what we're doing to assist distribution networks where solutions are available but access is a problem </w:t>
      </w:r>
      <w:r>
        <w:rPr>
          <w:color w:val="000000" w:themeColor="text1"/>
          <w:szCs w:val="24"/>
          <w:shd w:fill="FFFFFF" w:val="clear"/>
        </w:rPr>
        <w:t>(Frei, Jack and Krzyzaniak, 2020)</w:t>
      </w:r>
      <w:r>
        <w:rPr>
          <w:color w:val="000000" w:themeColor="text1"/>
          <w:szCs w:val="24"/>
        </w:rPr>
        <w:t>.</w:t>
      </w:r>
    </w:p>
    <w:p>
      <w:pPr>
        <w:pStyle w:val="Normal"/>
        <w:jc w:val="both"/>
        <w:rPr>
          <w:color w:val="000000" w:themeColor="text1"/>
          <w:szCs w:val="24"/>
        </w:rPr>
      </w:pPr>
      <w:r>
        <w:rPr>
          <w:color w:val="000000" w:themeColor="text1"/>
          <w:szCs w:val="24"/>
        </w:rPr>
        <w:t xml:space="preserve">Strategic alliances or investments, however, can assist firms in gaining access to future solutions that they will need but can't yet locate at scale. This is especially true if new solutions are required to build zero carbon technologies or sophisticated recycling processes. In order to create and expand the recycling technologies they will require in the future, Unilever and Neste have collaborated strategically with the plastics recycling technology business Recycling Technologies. </w:t>
      </w:r>
    </w:p>
    <w:p>
      <w:pPr>
        <w:pStyle w:val="Heading2"/>
        <w:jc w:val="both"/>
        <w:rPr>
          <w:rFonts w:cs="Times New Roman"/>
          <w:color w:val="000000" w:themeColor="text1"/>
          <w:szCs w:val="24"/>
        </w:rPr>
      </w:pPr>
      <w:r>
        <w:rPr>
          <w:rFonts w:cs="Times New Roman"/>
          <w:color w:val="000000" w:themeColor="text1"/>
          <w:szCs w:val="24"/>
        </w:rPr>
        <w:t>Sustainable financing</w:t>
      </w:r>
    </w:p>
    <w:p>
      <w:pPr>
        <w:pStyle w:val="Normal"/>
        <w:ind w:hanging="0"/>
        <w:jc w:val="both"/>
        <w:rPr>
          <w:color w:val="000000" w:themeColor="text1"/>
          <w:szCs w:val="24"/>
          <w:shd w:fill="FFFFFF" w:val="clear"/>
        </w:rPr>
      </w:pPr>
      <w:r>
        <w:rPr>
          <w:color w:val="000000" w:themeColor="text1"/>
          <w:szCs w:val="24"/>
        </w:rPr>
        <w:t xml:space="preserve">This framework was created to explain how the business expects to engage in Sustainability-Linked Bond trades in order to support Tesco's sustainability initiatives and ambition moving forward. The next logical step for us is to pursue sustainable funding, which will enable us accelerate continuous development in areas that are crucial to the industry, suppliers, and stakeholders. Sustainable financing will also be in line with the goals set forth in the Little Helps Plan. The first step toward harmonising the corporate investment model with the sustainability obligations has already been made </w:t>
      </w:r>
      <w:r>
        <w:rPr>
          <w:color w:val="000000" w:themeColor="text1"/>
          <w:szCs w:val="24"/>
          <w:shd w:fill="FFFFFF" w:val="clear"/>
        </w:rPr>
        <w:t>(Calzolari, Genovese, and Brint 2021)</w:t>
      </w:r>
      <w:r>
        <w:rPr>
          <w:color w:val="000000" w:themeColor="text1"/>
          <w:szCs w:val="24"/>
        </w:rPr>
        <w:t xml:space="preserve">. </w:t>
      </w:r>
    </w:p>
    <w:p>
      <w:pPr>
        <w:pStyle w:val="Normal"/>
        <w:jc w:val="both"/>
        <w:rPr>
          <w:color w:val="000000" w:themeColor="text1"/>
          <w:szCs w:val="24"/>
        </w:rPr>
      </w:pPr>
      <w:r>
        <w:rPr>
          <w:color w:val="000000" w:themeColor="text1"/>
          <w:szCs w:val="24"/>
        </w:rPr>
        <w:t>The profit they pay on the contracted bank facilities now takes success on three of the current sustainability KPIs into account. Emissions: Percentage of Scope 1 &amp; Scope 2 CO2 emissions reduced; Renewable Energy: Percentage of renewable electricity obtained through Power Purchase Agreements from on-site generating and the grid. Ratio of leftover food provided to people or animals in UK operations that is fit for human consumption the available credit facility was brought into compliance with the Sustainability-Linked Loan Guidelines in 2020. By offering public Sustainability-Linked Bonds, Tesco hopes to take things a step further. The Framework adheres to the fundamental elements of the governing Sustainability-Linked Bond Principles</w:t>
      </w:r>
    </w:p>
    <w:p>
      <w:pPr>
        <w:pStyle w:val="Heading2"/>
        <w:jc w:val="both"/>
        <w:rPr>
          <w:rFonts w:cs="Times New Roman"/>
          <w:color w:val="000000" w:themeColor="text1"/>
          <w:szCs w:val="24"/>
        </w:rPr>
      </w:pPr>
      <w:r>
        <w:rPr>
          <w:rFonts w:cs="Times New Roman"/>
          <w:color w:val="000000" w:themeColor="text1"/>
          <w:szCs w:val="24"/>
        </w:rPr>
        <w:t>SLB Framework</w:t>
      </w:r>
    </w:p>
    <w:p>
      <w:pPr>
        <w:pStyle w:val="Normal"/>
        <w:ind w:hanging="0"/>
        <w:jc w:val="both"/>
        <w:rPr>
          <w:color w:val="000000" w:themeColor="text1"/>
          <w:szCs w:val="24"/>
          <w:shd w:fill="FFFFFF" w:val="clear"/>
        </w:rPr>
      </w:pPr>
      <w:r>
        <w:rPr>
          <w:color w:val="000000" w:themeColor="text1"/>
          <w:szCs w:val="24"/>
        </w:rPr>
        <w:t xml:space="preserve">The SLBP 2020 has guided the creation of the Framework. The SLBP 2020 are optional process guidelines that establish best practises for investment products to incorporate prospective sustainability outcomes and support integrity in the growth of the SLB market by making the process for issuing an SLB more clear. The Framework fits with the SLBP 2020's five essential elements: Choose a Key Performance Measure, calibrate sustainability performance targets, consider bond characteristics, provide results, and confirm results depending on whether the issuer meets predetermined sustainability/environmental, social, and corporate governance objectives, SLBs' financial and logistical characteristics can change </w:t>
      </w:r>
      <w:r>
        <w:rPr>
          <w:color w:val="000000" w:themeColor="text1"/>
          <w:szCs w:val="24"/>
          <w:shd w:fill="FFFFFF" w:val="clear"/>
        </w:rPr>
        <w:t>(Lopes de Sousa Jabbour et al., 2021)</w:t>
      </w:r>
      <w:r>
        <w:rPr>
          <w:color w:val="000000" w:themeColor="text1"/>
          <w:szCs w:val="24"/>
        </w:rPr>
        <w:t xml:space="preserve">. </w:t>
      </w:r>
    </w:p>
    <w:p>
      <w:pPr>
        <w:pStyle w:val="Normal"/>
        <w:jc w:val="both"/>
        <w:rPr>
          <w:color w:val="000000" w:themeColor="text1"/>
          <w:szCs w:val="24"/>
        </w:rPr>
      </w:pPr>
      <w:r>
        <w:rPr>
          <w:color w:val="000000" w:themeColor="text1"/>
          <w:szCs w:val="24"/>
        </w:rPr>
        <w:t>In this way, issuers are expressing a clear commitment to future advancements in sustainability outcomes that are pertinent, essential, and important to their whole organisation within a predetermined timeline. SLBs are a performance-based instrument that looks to the future. The usage of profits is not a factor in the categorisation because the profits of SLBs are supposed to be used for purposes. Tesco shall choose one of the below Performance Measurement Targets SPT that is essential, pertinent, and significant to the  business before issuing an SLB and track the development in relation to those targets.</w:t>
      </w:r>
    </w:p>
    <w:p>
      <w:pPr>
        <w:pStyle w:val="NoSpacing"/>
        <w:jc w:val="both"/>
        <w:rPr>
          <w:color w:val="000000" w:themeColor="text1"/>
          <w:szCs w:val="24"/>
        </w:rPr>
      </w:pPr>
      <w:r>
        <w:rPr>
          <w:color w:val="000000" w:themeColor="text1"/>
          <w:szCs w:val="24"/>
        </w:rPr>
        <w:t xml:space="preserve"> </w:t>
      </w:r>
    </w:p>
    <w:p>
      <w:pPr>
        <w:pStyle w:val="Heading1"/>
        <w:jc w:val="both"/>
        <w:rPr>
          <w:rFonts w:cs="Times New Roman"/>
          <w:color w:val="000000" w:themeColor="text1"/>
          <w:szCs w:val="24"/>
        </w:rPr>
      </w:pPr>
      <w:r>
        <w:rPr>
          <w:rFonts w:cs="Times New Roman"/>
          <w:color w:val="000000" w:themeColor="text1"/>
          <w:szCs w:val="24"/>
        </w:rPr>
        <w:t>Conclusion</w:t>
      </w:r>
    </w:p>
    <w:p>
      <w:pPr>
        <w:pStyle w:val="Normal"/>
        <w:jc w:val="both"/>
        <w:rPr>
          <w:color w:val="000000" w:themeColor="text1"/>
          <w:szCs w:val="24"/>
        </w:rPr>
      </w:pPr>
      <w:r>
        <w:rPr>
          <w:color w:val="000000" w:themeColor="text1"/>
          <w:szCs w:val="24"/>
        </w:rPr>
        <w:t>The circular economy is mostly built on the concepts of industrial ecology and ecological economics from recent decades. The idea of an economy as a cyclical system is crucial for the survival of human life on Earth. The CE applications face large technological challenges, intractable resource and energy problems, and shortcomings in current production methods. The initiative is yet another step Tesco has made to aggressively seek to reduce its environmental footprint. It exemplifies proactive collaboration across the supply chain in joint initiatives to build a sustainable future. To promote a better harmony and balance between both the economy, environment, and society, CE works to encourage the adoption of starting to close production practices within economic systems. Special attention is paid to urban and industrial wastes.</w:t>
      </w:r>
    </w:p>
    <w:p>
      <w:pPr>
        <w:pStyle w:val="Normal"/>
        <w:jc w:val="both"/>
        <w:rPr>
          <w:color w:val="000000" w:themeColor="text1"/>
          <w:szCs w:val="24"/>
        </w:rPr>
      </w:pPr>
      <w:r>
        <w:rPr>
          <w:color w:val="000000" w:themeColor="text1"/>
          <w:szCs w:val="24"/>
        </w:rPr>
      </w:r>
    </w:p>
    <w:p>
      <w:pPr>
        <w:pStyle w:val="Normal"/>
        <w:jc w:val="both"/>
        <w:rPr>
          <w:color w:val="000000" w:themeColor="text1"/>
          <w:szCs w:val="24"/>
        </w:rPr>
      </w:pPr>
      <w:r>
        <w:rPr>
          <w:color w:val="000000" w:themeColor="text1"/>
          <w:szCs w:val="24"/>
        </w:rPr>
      </w:r>
    </w:p>
    <w:p>
      <w:pPr>
        <w:pStyle w:val="Normal"/>
        <w:jc w:val="both"/>
        <w:rPr>
          <w:color w:val="000000" w:themeColor="text1"/>
          <w:szCs w:val="24"/>
        </w:rPr>
      </w:pPr>
      <w:r>
        <w:rPr>
          <w:color w:val="000000" w:themeColor="text1"/>
          <w:szCs w:val="24"/>
        </w:rPr>
      </w:r>
    </w:p>
    <w:p>
      <w:pPr>
        <w:pStyle w:val="Normal"/>
        <w:jc w:val="both"/>
        <w:rPr>
          <w:color w:val="000000" w:themeColor="text1"/>
          <w:szCs w:val="24"/>
        </w:rPr>
      </w:pPr>
      <w:r>
        <w:rPr>
          <w:color w:val="000000" w:themeColor="text1"/>
          <w:szCs w:val="24"/>
        </w:rPr>
      </w:r>
    </w:p>
    <w:p>
      <w:pPr>
        <w:pStyle w:val="Normal"/>
        <w:jc w:val="both"/>
        <w:rPr>
          <w:color w:val="000000" w:themeColor="text1"/>
          <w:szCs w:val="24"/>
        </w:rPr>
      </w:pPr>
      <w:r>
        <w:rPr>
          <w:color w:val="000000" w:themeColor="text1"/>
          <w:szCs w:val="24"/>
        </w:rPr>
      </w:r>
    </w:p>
    <w:p>
      <w:pPr>
        <w:pStyle w:val="Normal"/>
        <w:jc w:val="both"/>
        <w:rPr>
          <w:color w:val="000000" w:themeColor="text1"/>
          <w:szCs w:val="24"/>
        </w:rPr>
      </w:pPr>
      <w:r>
        <w:rPr>
          <w:color w:val="000000" w:themeColor="text1"/>
          <w:szCs w:val="24"/>
        </w:rPr>
      </w:r>
    </w:p>
    <w:p>
      <w:pPr>
        <w:pStyle w:val="Heading1"/>
        <w:jc w:val="both"/>
        <w:rPr>
          <w:rFonts w:cs="Times New Roman"/>
          <w:color w:val="000000" w:themeColor="text1"/>
          <w:szCs w:val="24"/>
        </w:rPr>
      </w:pPr>
      <w:r>
        <w:rPr>
          <w:rFonts w:cs="Times New Roman"/>
          <w:color w:val="000000" w:themeColor="text1"/>
          <w:szCs w:val="24"/>
        </w:rPr>
        <w:t>References</w:t>
      </w:r>
    </w:p>
    <w:p>
      <w:pPr>
        <w:pStyle w:val="Normal"/>
        <w:ind w:left="720" w:hanging="720"/>
        <w:jc w:val="both"/>
        <w:rPr>
          <w:color w:val="000000" w:themeColor="text1"/>
          <w:szCs w:val="24"/>
          <w:shd w:fill="FFFFFF" w:val="clear"/>
        </w:rPr>
      </w:pPr>
      <w:r>
        <w:rPr>
          <w:color w:val="000000" w:themeColor="text1"/>
          <w:szCs w:val="24"/>
          <w:shd w:fill="FFFFFF" w:val="clear"/>
        </w:rPr>
        <w:t>Calzolari, T., Genovese, A. and Brint, A., 2021. The adoption of circular economy practices in supply chains–An assessment of European Multi-National Enterprises. Journal of Cleaner Production, 312, p.127616.</w:t>
      </w:r>
    </w:p>
    <w:p>
      <w:pPr>
        <w:pStyle w:val="Normal"/>
        <w:ind w:left="720" w:hanging="720"/>
        <w:jc w:val="both"/>
        <w:rPr>
          <w:color w:val="000000" w:themeColor="text1"/>
          <w:szCs w:val="24"/>
          <w:shd w:fill="FFFFFF" w:val="clear"/>
        </w:rPr>
      </w:pPr>
      <w:r>
        <w:rPr>
          <w:color w:val="000000" w:themeColor="text1"/>
          <w:szCs w:val="24"/>
          <w:shd w:fill="FFFFFF" w:val="clear"/>
        </w:rPr>
        <w:t>Chuang, L.M., Kuo, T.S. and Luo, G.Y., 2020. The sustainable service innovation model in the chain restaurant industry: circular economy perspective. Advances in Management and Applied Economics, 10(4), pp.1-22.</w:t>
      </w:r>
    </w:p>
    <w:p>
      <w:pPr>
        <w:pStyle w:val="Normal"/>
        <w:ind w:left="720" w:hanging="720"/>
        <w:jc w:val="both"/>
        <w:rPr>
          <w:color w:val="000000" w:themeColor="text1"/>
          <w:szCs w:val="24"/>
          <w:shd w:fill="FFFFFF" w:val="clear"/>
        </w:rPr>
      </w:pPr>
      <w:r>
        <w:rPr>
          <w:color w:val="000000" w:themeColor="text1"/>
          <w:szCs w:val="24"/>
          <w:shd w:fill="FFFFFF" w:val="clear"/>
        </w:rPr>
        <w:t>Frei, R., Jack, L. and Krzyzaniak, S.A., 2020. Sustainable reverse supply chains and circular economy in multichannel retail returns. Business Strategy and the Environment, 29(5), pp.1925-1940.</w:t>
      </w:r>
    </w:p>
    <w:p>
      <w:pPr>
        <w:pStyle w:val="Normal"/>
        <w:ind w:left="720" w:hanging="720"/>
        <w:jc w:val="both"/>
        <w:rPr>
          <w:color w:val="000000" w:themeColor="text1"/>
          <w:szCs w:val="24"/>
          <w:shd w:fill="FFFFFF" w:val="clear"/>
        </w:rPr>
      </w:pPr>
      <w:r>
        <w:rPr>
          <w:color w:val="000000" w:themeColor="text1"/>
          <w:szCs w:val="24"/>
          <w:shd w:fill="FFFFFF" w:val="clear"/>
        </w:rPr>
        <w:t>Kollarova, D., 2020. Globalisation and its impact on the creation of sustainable points of purchase. In SHS Web of Conferences (Vol. 74, p. 04011). EDP Sciences.</w:t>
      </w:r>
    </w:p>
    <w:p>
      <w:pPr>
        <w:pStyle w:val="Normal"/>
        <w:ind w:left="720" w:hanging="720"/>
        <w:jc w:val="both"/>
        <w:rPr>
          <w:color w:val="000000" w:themeColor="text1"/>
          <w:szCs w:val="24"/>
          <w:shd w:fill="FFFFFF" w:val="clear"/>
        </w:rPr>
      </w:pPr>
      <w:r>
        <w:rPr>
          <w:color w:val="000000" w:themeColor="text1"/>
          <w:szCs w:val="24"/>
          <w:shd w:fill="FFFFFF" w:val="clear"/>
        </w:rPr>
        <w:t>Lazell, J., Magrizos, S. and Carrigan, M., 2018. Over-claiming the circular economy: The missing dimensions. Social Business, 8(1), pp.103-114.</w:t>
      </w:r>
    </w:p>
    <w:p>
      <w:pPr>
        <w:pStyle w:val="Normal"/>
        <w:ind w:left="720" w:hanging="720"/>
        <w:jc w:val="both"/>
        <w:rPr>
          <w:color w:val="000000" w:themeColor="text1"/>
          <w:szCs w:val="24"/>
          <w:shd w:fill="FFFFFF" w:val="clear"/>
        </w:rPr>
      </w:pPr>
      <w:r>
        <w:rPr>
          <w:color w:val="000000" w:themeColor="text1"/>
          <w:szCs w:val="24"/>
          <w:shd w:fill="FFFFFF" w:val="clear"/>
        </w:rPr>
        <w:t>Lopes de Sousa Jabbour, A.B., Frascareli, F.C.D.O., Santibanez Gonzalez, E.D. and Chiappetta Jabbour, C.J., 2021. Are food supply chains taking advantage of the circular economy? A research agenda on tackling food waste based on Industry 4.0 technologies. Production Planning &amp; Control, pp.1-17.</w:t>
      </w:r>
    </w:p>
    <w:p>
      <w:pPr>
        <w:pStyle w:val="Normal"/>
        <w:ind w:left="720" w:hanging="720"/>
        <w:jc w:val="both"/>
        <w:rPr>
          <w:color w:val="000000" w:themeColor="text1"/>
          <w:szCs w:val="24"/>
          <w:shd w:fill="FFFFFF" w:val="clear"/>
        </w:rPr>
      </w:pPr>
      <w:r>
        <w:rPr>
          <w:color w:val="000000" w:themeColor="text1"/>
          <w:szCs w:val="24"/>
          <w:shd w:fill="FFFFFF" w:val="clear"/>
        </w:rPr>
        <w:t>Ng, K.S., Yang, A. and Yakovleva, N., 2019. Sustainable waste management through synergistic utilisation of commercial and domestic organic waste for efficient resource recovery and valorisation in the UK. Journal of Cleaner Production, 227, pp.248-262.</w:t>
      </w:r>
    </w:p>
    <w:p>
      <w:pPr>
        <w:pStyle w:val="Normal"/>
        <w:ind w:left="720" w:hanging="720"/>
        <w:jc w:val="both"/>
        <w:rPr>
          <w:color w:val="000000" w:themeColor="text1"/>
          <w:szCs w:val="24"/>
          <w:shd w:fill="FFFFFF" w:val="clear"/>
        </w:rPr>
      </w:pPr>
      <w:r>
        <w:rPr>
          <w:color w:val="000000" w:themeColor="text1"/>
          <w:szCs w:val="24"/>
          <w:shd w:fill="FFFFFF" w:val="clear"/>
        </w:rPr>
        <w:t>Nygaard, A., 2022. From linear to circular economy: a transaction cost approach to the ecological transformation of the firm. Circular Economy and Sustainability, pp.1-16.</w:t>
      </w:r>
    </w:p>
    <w:p>
      <w:pPr>
        <w:pStyle w:val="Normal"/>
        <w:ind w:left="720" w:hanging="720"/>
        <w:jc w:val="both"/>
        <w:rPr>
          <w:color w:val="000000" w:themeColor="text1"/>
          <w:szCs w:val="24"/>
          <w:shd w:fill="FFFFFF" w:val="clear"/>
        </w:rPr>
      </w:pPr>
      <w:r>
        <w:rPr>
          <w:color w:val="000000" w:themeColor="text1"/>
          <w:szCs w:val="24"/>
          <w:shd w:fill="FFFFFF" w:val="clear"/>
        </w:rPr>
        <w:t>Weetman, C., 2020. A circular economy handbook: How to build a more resilient, competitive and sustainable business. Kogan Page Publishers.</w:t>
      </w:r>
    </w:p>
    <w:p>
      <w:pPr>
        <w:pStyle w:val="Normal"/>
        <w:spacing w:before="120" w:after="120"/>
        <w:ind w:left="720" w:hanging="720"/>
        <w:jc w:val="both"/>
        <w:rPr>
          <w:color w:val="000000" w:themeColor="text1"/>
          <w:szCs w:val="24"/>
          <w:shd w:fill="FFFFFF" w:val="clear"/>
        </w:rPr>
      </w:pPr>
      <w:r>
        <w:rPr>
          <w:color w:val="000000" w:themeColor="text1"/>
          <w:szCs w:val="24"/>
          <w:shd w:fill="FFFFFF" w:val="clear"/>
        </w:rPr>
        <w:t>Zarębska, J., Zarębski, A. and Lewandowska, A., 2021. Polish society towards the implementation of the circular economy and the change of municipal waste management-ecological, economic and social aspect. Management, 25(2).</w:t>
      </w:r>
    </w:p>
    <w:sectPr>
      <w:type w:val="nextPage"/>
      <w:pgSz w:w="12240" w:h="15840"/>
      <w:pgMar w:left="1440" w:right="1440" w:gutter="0" w:header="0" w:top="1440" w:footer="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roman"/>
    <w:pitch w:val="variable"/>
  </w:font>
</w:fonts>
</file>

<file path=word/settings.xml><?xml version="1.0" encoding="utf-8"?>
<w:settings xmlns:w="http://schemas.openxmlformats.org/wordprocessingml/2006/main">
  <w:zoom w:percent="8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Times New Roman" w:cs="" w:asciiTheme="minorHAnsi" w:cstheme="minorBidi" w:hAnsiTheme="minorHAnsi"/>
        <w:sz w:val="22"/>
        <w:szCs w:val="22"/>
        <w:lang w:val="en-US"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93713"/>
    <w:pPr>
      <w:widowControl w:val="false"/>
      <w:suppressAutoHyphens w:val="true"/>
      <w:bidi w:val="0"/>
      <w:spacing w:lineRule="auto" w:line="480" w:before="120" w:after="120"/>
      <w:ind w:firstLine="720"/>
      <w:jc w:val="left"/>
    </w:pPr>
    <w:rPr>
      <w:rFonts w:ascii="Times New Roman" w:hAnsi="Times New Roman" w:eastAsia="Times New Roman" w:cs="Times New Roman"/>
      <w:color w:val="auto"/>
      <w:kern w:val="0"/>
      <w:sz w:val="24"/>
      <w:szCs w:val="22"/>
      <w:lang w:val="en-GB" w:eastAsia="en-US" w:bidi="ar-SA"/>
    </w:rPr>
  </w:style>
  <w:style w:type="paragraph" w:styleId="Heading1">
    <w:name w:val="Heading 1"/>
    <w:basedOn w:val="Normal"/>
    <w:next w:val="Normal"/>
    <w:link w:val="Heading1Char"/>
    <w:uiPriority w:val="9"/>
    <w:qFormat/>
    <w:rsid w:val="00c57da0"/>
    <w:pPr>
      <w:keepNext w:val="true"/>
      <w:keepLines/>
      <w:ind w:hanging="0"/>
      <w:outlineLvl w:val="0"/>
    </w:pPr>
    <w:rPr>
      <w:rFonts w:eastAsia="" w:cs="" w:cstheme="majorBidi" w:eastAsiaTheme="majorEastAsia"/>
      <w:b/>
      <w:i/>
      <w:szCs w:val="32"/>
    </w:rPr>
  </w:style>
  <w:style w:type="paragraph" w:styleId="Heading2">
    <w:name w:val="Heading 2"/>
    <w:basedOn w:val="Normal"/>
    <w:next w:val="Normal"/>
    <w:link w:val="Heading2Char"/>
    <w:uiPriority w:val="9"/>
    <w:unhideWhenUsed/>
    <w:qFormat/>
    <w:rsid w:val="00c57da0"/>
    <w:pPr>
      <w:keepNext w:val="true"/>
      <w:keepLines/>
      <w:ind w:hanging="0"/>
      <w:outlineLvl w:val="1"/>
    </w:pPr>
    <w:rPr>
      <w:rFonts w:eastAsia="" w:cs="" w:cstheme="majorBidi" w:eastAsiaTheme="majorEastAsia"/>
      <w:i/>
      <w:szCs w:val="26"/>
    </w:rPr>
  </w:style>
  <w:style w:type="paragraph" w:styleId="Heading3">
    <w:name w:val="Heading 3"/>
    <w:basedOn w:val="Normal"/>
    <w:next w:val="Normal"/>
    <w:link w:val="Heading3Char"/>
    <w:uiPriority w:val="9"/>
    <w:semiHidden/>
    <w:unhideWhenUsed/>
    <w:qFormat/>
    <w:rsid w:val="00300d93"/>
    <w:pPr>
      <w:keepNext w:val="true"/>
      <w:keepLines/>
      <w:ind w:hanging="0"/>
      <w:jc w:val="center"/>
      <w:outlineLvl w:val="2"/>
    </w:pPr>
    <w:rPr>
      <w:rFonts w:eastAsia="" w:cs="" w:cstheme="majorBidi" w:eastAsiaTheme="majorEastAsia"/>
      <w:szCs w:val="24"/>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c57da0"/>
    <w:rPr>
      <w:rFonts w:ascii="Times New Roman" w:hAnsi="Times New Roman" w:eastAsia="" w:cs="" w:cstheme="majorBidi" w:eastAsiaTheme="majorEastAsia"/>
      <w:b/>
      <w:i/>
      <w:sz w:val="24"/>
      <w:szCs w:val="32"/>
    </w:rPr>
  </w:style>
  <w:style w:type="character" w:styleId="Heading2Char" w:customStyle="1">
    <w:name w:val="Heading 2 Char"/>
    <w:basedOn w:val="DefaultParagraphFont"/>
    <w:link w:val="Heading2"/>
    <w:uiPriority w:val="9"/>
    <w:qFormat/>
    <w:rsid w:val="00c57da0"/>
    <w:rPr>
      <w:rFonts w:ascii="Times New Roman" w:hAnsi="Times New Roman" w:eastAsia="" w:cs="" w:cstheme="majorBidi" w:eastAsiaTheme="majorEastAsia"/>
      <w:i/>
      <w:sz w:val="24"/>
      <w:szCs w:val="26"/>
    </w:rPr>
  </w:style>
  <w:style w:type="character" w:styleId="Heading3Char" w:customStyle="1">
    <w:name w:val="Heading 3 Char"/>
    <w:basedOn w:val="DefaultParagraphFont"/>
    <w:link w:val="Heading3"/>
    <w:uiPriority w:val="9"/>
    <w:semiHidden/>
    <w:qFormat/>
    <w:rsid w:val="00300d93"/>
    <w:rPr>
      <w:rFonts w:ascii="Times New Roman" w:hAnsi="Times New Roman" w:eastAsia="" w:cs="" w:cstheme="majorBidi" w:eastAsiaTheme="majorEastAsia"/>
      <w:sz w:val="24"/>
      <w:szCs w:val="24"/>
    </w:rPr>
  </w:style>
  <w:style w:type="character" w:styleId="Strong">
    <w:name w:val="Strong"/>
    <w:basedOn w:val="DefaultParagraphFont"/>
    <w:uiPriority w:val="22"/>
    <w:qFormat/>
    <w:rsid w:val="00c277ac"/>
    <w:rPr>
      <w:b/>
      <w:bCs/>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NoSpacing">
    <w:name w:val="No Spacing"/>
    <w:uiPriority w:val="1"/>
    <w:qFormat/>
    <w:rsid w:val="00c277ac"/>
    <w:pPr>
      <w:widowControl w:val="false"/>
      <w:suppressAutoHyphens w:val="true"/>
      <w:bidi w:val="0"/>
      <w:spacing w:lineRule="auto" w:line="240" w:before="0" w:after="0"/>
      <w:ind w:firstLine="720"/>
      <w:jc w:val="left"/>
    </w:pPr>
    <w:rPr>
      <w:rFonts w:ascii="Times New Roman" w:hAnsi="Times New Roman" w:eastAsia="Times New Roman" w:cs="Times New Roman"/>
      <w:color w:val="auto"/>
      <w:kern w:val="0"/>
      <w:sz w:val="24"/>
      <w:szCs w:val="22"/>
      <w:lang w:val="en-GB" w:eastAsia="en-US" w:bidi="ar-SA"/>
    </w:rPr>
  </w:style>
  <w:style w:type="paragraph" w:styleId="NormalWeb">
    <w:name w:val="Normal (Web)"/>
    <w:basedOn w:val="Normal"/>
    <w:uiPriority w:val="99"/>
    <w:unhideWhenUsed/>
    <w:qFormat/>
    <w:rsid w:val="00c038dd"/>
    <w:pPr>
      <w:widowControl/>
      <w:spacing w:lineRule="auto" w:line="240" w:beforeAutospacing="1" w:afterAutospacing="1"/>
      <w:ind w:hanging="0"/>
    </w:pPr>
    <w:rPr>
      <w:szCs w:val="24"/>
      <w:lang w:val="en-US"/>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Relationship Id="rId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Application>LibreOffice/7.2.4.1$Windows_X86_64 LibreOffice_project/27d75539669ac387bb498e35313b970b7fe9c4f9</Application>
  <AppVersion>15.0000</AppVersion>
  <Pages>3</Pages>
  <Words>1882</Words>
  <Characters>10804</Characters>
  <CharactersWithSpaces>12656</CharactersWithSpaces>
  <Paragraphs>38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2022-07-26T07:45:00Z</dcterms:created>
  <dc:creator>Kamran Afzal</dc:creator>
  <dc:description/>
  <dc:language>en-US</dc:language>
  <cp:lastModifiedBy>Kamran Afzal</cp:lastModifiedBy>
  <dcterms:modified xsi:type="dcterms:W3CDTF">2022-07-26T11:50:00Z</dcterms:modified>
  <cp:revision>230</cp:revision>
  <dc:subject/>
  <dc:title/>
</cp:coreProperties>
</file>

<file path=docProps/custom.xml><?xml version="1.0" encoding="utf-8"?>
<Properties xmlns="http://schemas.openxmlformats.org/officeDocument/2006/custom-properties" xmlns:vt="http://schemas.openxmlformats.org/officeDocument/2006/docPropsVTypes"/>
</file>