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D0A455" w14:textId="1EF4844D" w:rsidR="00A578FD" w:rsidRPr="002C5315" w:rsidRDefault="002C5315" w:rsidP="00A578FD">
      <w:pPr>
        <w:spacing w:after="0" w:line="480" w:lineRule="auto"/>
        <w:rPr>
          <w:b/>
          <w:bCs/>
        </w:rPr>
      </w:pPr>
      <w:r w:rsidRPr="002C5315">
        <w:rPr>
          <w:b/>
          <w:bCs/>
        </w:rPr>
        <w:t>Effective Team Working and Communication</w:t>
      </w:r>
    </w:p>
    <w:p w14:paraId="334D3066" w14:textId="1FD9C667" w:rsidR="00F4580D" w:rsidRDefault="00F4580D" w:rsidP="00A578FD">
      <w:pPr>
        <w:spacing w:after="0" w:line="480" w:lineRule="auto"/>
        <w:rPr>
          <w:b/>
          <w:bCs/>
        </w:rPr>
      </w:pPr>
      <w:r>
        <w:rPr>
          <w:b/>
          <w:bCs/>
        </w:rPr>
        <w:t>Module ID : BMSW4002</w:t>
      </w:r>
    </w:p>
    <w:p w14:paraId="593D197C" w14:textId="5186969F" w:rsidR="00A578FD" w:rsidRPr="002C5315" w:rsidRDefault="005035DB" w:rsidP="00A578FD">
      <w:pPr>
        <w:spacing w:after="0" w:line="480" w:lineRule="auto"/>
        <w:rPr>
          <w:b/>
          <w:bCs/>
        </w:rPr>
      </w:pPr>
      <w:r w:rsidRPr="002C5315">
        <w:rPr>
          <w:b/>
          <w:bCs/>
        </w:rPr>
        <w:t>Hrvoje Gasparic</w:t>
      </w:r>
      <w:r w:rsidR="00114241" w:rsidRPr="002C5315">
        <w:rPr>
          <w:b/>
          <w:bCs/>
        </w:rPr>
        <w:t xml:space="preserve"> </w:t>
      </w:r>
      <w:r w:rsidR="00051CF9" w:rsidRPr="002C5315">
        <w:rPr>
          <w:b/>
          <w:bCs/>
        </w:rPr>
        <w:t>– Student ID:</w:t>
      </w:r>
      <w:r w:rsidR="00114241" w:rsidRPr="002C5315">
        <w:rPr>
          <w:b/>
          <w:bCs/>
        </w:rPr>
        <w:t>1917115</w:t>
      </w:r>
    </w:p>
    <w:p w14:paraId="18078443" w14:textId="7CA48C40" w:rsidR="00A578FD" w:rsidRPr="002C5315" w:rsidRDefault="00451F37" w:rsidP="00A578FD">
      <w:pPr>
        <w:spacing w:after="0" w:line="480" w:lineRule="auto"/>
        <w:rPr>
          <w:b/>
          <w:bCs/>
        </w:rPr>
      </w:pPr>
      <w:r w:rsidRPr="002C5315">
        <w:rPr>
          <w:b/>
          <w:bCs/>
        </w:rPr>
        <w:t xml:space="preserve">Lecturer : </w:t>
      </w:r>
      <w:proofErr w:type="spellStart"/>
      <w:r w:rsidR="00051CF9" w:rsidRPr="002C5315">
        <w:rPr>
          <w:b/>
          <w:bCs/>
        </w:rPr>
        <w:t>Akinseye</w:t>
      </w:r>
      <w:proofErr w:type="spellEnd"/>
      <w:r w:rsidR="00051CF9" w:rsidRPr="002C5315">
        <w:rPr>
          <w:b/>
          <w:bCs/>
        </w:rPr>
        <w:t xml:space="preserve"> Aluko</w:t>
      </w:r>
    </w:p>
    <w:p w14:paraId="7369CC7D" w14:textId="63E07C46" w:rsidR="00A578FD" w:rsidRPr="002C5315" w:rsidRDefault="00114241" w:rsidP="00A578FD">
      <w:pPr>
        <w:spacing w:after="0" w:line="480" w:lineRule="auto"/>
        <w:rPr>
          <w:b/>
          <w:bCs/>
        </w:rPr>
      </w:pPr>
      <w:r w:rsidRPr="002C5315">
        <w:rPr>
          <w:b/>
          <w:bCs/>
        </w:rPr>
        <w:t>University of Wales - Trinity Saint David</w:t>
      </w:r>
    </w:p>
    <w:p w14:paraId="4AA1B62E" w14:textId="77777777" w:rsidR="00114241" w:rsidRDefault="00114241" w:rsidP="00114241">
      <w:pPr>
        <w:spacing w:after="0" w:line="480" w:lineRule="auto"/>
        <w:jc w:val="center"/>
        <w:rPr>
          <w:b/>
          <w:bCs/>
        </w:rPr>
      </w:pPr>
    </w:p>
    <w:p w14:paraId="4C067BB1" w14:textId="0A7F2456" w:rsidR="00114241" w:rsidRPr="00114241" w:rsidRDefault="00114241" w:rsidP="00114241">
      <w:pPr>
        <w:spacing w:after="0" w:line="480" w:lineRule="auto"/>
        <w:jc w:val="center"/>
        <w:rPr>
          <w:b/>
          <w:bCs/>
        </w:rPr>
      </w:pPr>
      <w:r w:rsidRPr="00114241">
        <w:rPr>
          <w:b/>
          <w:bCs/>
        </w:rPr>
        <w:t xml:space="preserve">Effective </w:t>
      </w:r>
      <w:proofErr w:type="gramStart"/>
      <w:r w:rsidRPr="00114241">
        <w:rPr>
          <w:b/>
          <w:bCs/>
        </w:rPr>
        <w:t>Team Work</w:t>
      </w:r>
      <w:proofErr w:type="gramEnd"/>
      <w:r w:rsidRPr="00114241">
        <w:rPr>
          <w:b/>
          <w:bCs/>
        </w:rPr>
        <w:t xml:space="preserve"> and Communication</w:t>
      </w:r>
    </w:p>
    <w:p w14:paraId="1B91449C" w14:textId="77777777" w:rsidR="00A578FD" w:rsidRPr="00A578FD" w:rsidRDefault="00A578FD" w:rsidP="00A578FD">
      <w:pPr>
        <w:spacing w:after="0" w:line="480" w:lineRule="auto"/>
        <w:jc w:val="center"/>
        <w:rPr>
          <w:b/>
        </w:rPr>
      </w:pPr>
      <w:r w:rsidRPr="00A578FD">
        <w:rPr>
          <w:b/>
        </w:rPr>
        <w:t>Introduction</w:t>
      </w:r>
    </w:p>
    <w:p w14:paraId="2F01E479" w14:textId="77777777" w:rsidR="00A578FD" w:rsidRDefault="00A578FD" w:rsidP="00A578FD">
      <w:pPr>
        <w:spacing w:after="0" w:line="480" w:lineRule="auto"/>
        <w:ind w:firstLine="720"/>
      </w:pPr>
      <w:r>
        <w:t xml:space="preserve">Communication entails sharing of ideas which are meaningful among individuals. The sharing can occur verbally or non-verbally. What matters is that the audience receives the intended message and can provide an appropriate response. Communication is a process that is vital and drives multiple activities in different areas, such as organizations. While there are various modes of communication, not all of them suit organizational environments. The field requires an interpersonal method of communication whereby people use a two-way means to pass a message from the source to the receiver. In corporate settings, the process takes place back and forth, and individuals actively negotiate meaning. Interpersonal communication is spontaneous, allowing persons to pass information anytime anywhere to ensure operations run efficiently. Otherwise, companies would have to stop their activities to wait until meaningful information is shared through an outlined hierarchy. The type of communication offers a perfect way to observe and monitor others as they talk to understand the meaning and intentions. That way, one can seek clarifications and </w:t>
      </w:r>
      <w:proofErr w:type="gramStart"/>
      <w:r>
        <w:t>make adjustments</w:t>
      </w:r>
      <w:proofErr w:type="gramEnd"/>
      <w:r>
        <w:t xml:space="preserve"> accordingly. Interpersonal communication can be oral, formal, informal, written, verbal, and non-verbal, thus making it possible to engage different people at different levels from varying departments.  This easy will </w:t>
      </w:r>
      <w:r>
        <w:lastRenderedPageBreak/>
        <w:t>explore interpersonal communication as the most used mode of communication in my organization. It will also examine its impact, significance, and ways to improve.</w:t>
      </w:r>
    </w:p>
    <w:p w14:paraId="76A6BA97" w14:textId="77777777" w:rsidR="00A578FD" w:rsidRPr="00A578FD" w:rsidRDefault="00A578FD" w:rsidP="00A578FD">
      <w:pPr>
        <w:spacing w:after="0" w:line="480" w:lineRule="auto"/>
        <w:ind w:firstLine="720"/>
        <w:jc w:val="center"/>
        <w:rPr>
          <w:b/>
        </w:rPr>
      </w:pPr>
      <w:r w:rsidRPr="00A578FD">
        <w:rPr>
          <w:b/>
        </w:rPr>
        <w:t>Forms of interpersonal communication</w:t>
      </w:r>
    </w:p>
    <w:p w14:paraId="75511B61" w14:textId="77777777" w:rsidR="00A578FD" w:rsidRDefault="00A578FD" w:rsidP="00A578FD">
      <w:pPr>
        <w:spacing w:after="0" w:line="480" w:lineRule="auto"/>
        <w:ind w:firstLine="720"/>
      </w:pPr>
      <w:r>
        <w:t xml:space="preserve">Each organization requires an effective mode of communication that can facilitate passage, understanding, and interpretation of a message appropriately. Efficacy is essential in ensuring that the intention of ideas, knowledge, and thoughts exchanged are decoded appropriately by the receiver, and it is vital for a company to acquire the desired outcome. Interpersonal communication avails different ways in which people can communicate. The first type is oral means, which entails transmitting ideas verbally and involves two or more people. Usually, organizations have people in one area; hence communicating verbally is the most effective means. Through oral means, people give speeches; engage in group discussions, and hold meetings. The mode is fast, efficient, and resourceful. For example, in a discussion, members can receive ideas contributed by each person, decode the information, and offer feedback continually. At the time, if there are errors or misunderstandings, the members can clarify all the issues, rectify the </w:t>
      </w:r>
      <w:proofErr w:type="gramStart"/>
      <w:r>
        <w:t>mistakes</w:t>
      </w:r>
      <w:proofErr w:type="gramEnd"/>
      <w:r>
        <w:t xml:space="preserve"> and come to an agreement. Oral communication, however, can be a disaster when a message </w:t>
      </w:r>
      <w:proofErr w:type="gramStart"/>
      <w:r>
        <w:t>has to</w:t>
      </w:r>
      <w:proofErr w:type="gramEnd"/>
      <w:r>
        <w:t xml:space="preserve"> be passed to different people involving a large group. If people are more, then diversity is high, which means the rate of different interpretations is also high (Jacobs and Farrell, 2019, p.61). In such circumstances, the message can get distorted, and that can hinder effectiveness and productivity ultimately.</w:t>
      </w:r>
    </w:p>
    <w:p w14:paraId="43944110" w14:textId="587D947D" w:rsidR="00A578FD" w:rsidRDefault="00A578FD" w:rsidP="00A578FD">
      <w:pPr>
        <w:spacing w:after="0" w:line="480" w:lineRule="auto"/>
        <w:ind w:firstLine="720"/>
      </w:pPr>
      <w:r>
        <w:t xml:space="preserve">Another type of interpersonal communication that is essential in an organization is written communication. It entails emails, memos, newsletters, and instant messaging. Organizations have different departments that are further divided into varying offices. While it is better to communicate orally, not all the time, people </w:t>
      </w:r>
      <w:proofErr w:type="gramStart"/>
      <w:r>
        <w:t>have to</w:t>
      </w:r>
      <w:proofErr w:type="gramEnd"/>
      <w:r>
        <w:t xml:space="preserve"> keep moving from one office to </w:t>
      </w:r>
      <w:r>
        <w:lastRenderedPageBreak/>
        <w:t xml:space="preserve">another for face to face communication. Therefore, sometimes people use emails or newsletters to communicate with employees and other stakeholders. In my company, written communication works best on different occasions. For instance, </w:t>
      </w:r>
      <w:r w:rsidR="000A082D">
        <w:t>haulier</w:t>
      </w:r>
      <w:r>
        <w:t xml:space="preserve"> may sometimes want to have </w:t>
      </w:r>
      <w:r w:rsidR="000A082D">
        <w:t xml:space="preserve">us know </w:t>
      </w:r>
      <w:r>
        <w:t xml:space="preserve">some information, and it cannot </w:t>
      </w:r>
      <w:r w:rsidR="000A082D">
        <w:t xml:space="preserve">call us because </w:t>
      </w:r>
      <w:r w:rsidR="00615FB5">
        <w:t>of distracted driving</w:t>
      </w:r>
      <w:r w:rsidR="000A082D">
        <w:t xml:space="preserve">. </w:t>
      </w:r>
      <w:r w:rsidR="00615FB5">
        <w:t>Text messages</w:t>
      </w:r>
      <w:r>
        <w:t xml:space="preserve"> in such scenarios enabling </w:t>
      </w:r>
      <w:r w:rsidR="00C73878">
        <w:t>me</w:t>
      </w:r>
      <w:r>
        <w:t xml:space="preserve"> and other </w:t>
      </w:r>
      <w:r w:rsidR="00C73878">
        <w:t>drivers</w:t>
      </w:r>
      <w:r>
        <w:t xml:space="preserve"> to receive information. They can also clarify any misunderstandings through emails. Nonetheless, Individuals involved in the form of communication should be literate. Unlike oral communication, written communication exists beyond transmission moment hence can be used for reference. The mode is, therefore, crucial during meetings where ideas can be documented for future reference. Also, different departments use the written form to keep records whereby others can refer </w:t>
      </w:r>
      <w:proofErr w:type="gramStart"/>
      <w:r>
        <w:t>at a later date</w:t>
      </w:r>
      <w:proofErr w:type="gramEnd"/>
      <w:r>
        <w:t>. With written communication, however, instant feedback is not possible. As a result, feedback may be too late, making it challenging to take appropriate action (</w:t>
      </w:r>
      <w:proofErr w:type="spellStart"/>
      <w:r>
        <w:t>MacGlashan</w:t>
      </w:r>
      <w:proofErr w:type="spellEnd"/>
      <w:r>
        <w:t xml:space="preserve"> et al., 2017, p.2285). Such instances lead to conflicts on most occasions. Th</w:t>
      </w:r>
      <w:r w:rsidR="00DF7BE3">
        <w:t>i</w:t>
      </w:r>
      <w:r>
        <w:t>s it is necessary to ensure clarity and thoroughness while using emails or messages to pass a message.</w:t>
      </w:r>
    </w:p>
    <w:p w14:paraId="2990E126" w14:textId="56D00E3A" w:rsidR="00A578FD" w:rsidRDefault="00A578FD" w:rsidP="00A578FD">
      <w:pPr>
        <w:spacing w:after="0" w:line="480" w:lineRule="auto"/>
        <w:ind w:firstLine="720"/>
      </w:pPr>
      <w:r>
        <w:t xml:space="preserve">Non-verbal communication is yet another form of interpersonal communication that is used in an organization. The method involves unspoken forms such as facial expressions, gestures, and eye contact, among others. </w:t>
      </w:r>
      <w:proofErr w:type="spellStart"/>
      <w:r>
        <w:t>Goodhue</w:t>
      </w:r>
      <w:proofErr w:type="spellEnd"/>
      <w:r>
        <w:t xml:space="preserve"> and Wagner (2015) claim that how one conveys a message determines how the interpretation takes place (p.45). Through eye contact, a speaker portrays confidence, which makes the receiver more attentive hence increasing the chances of a clear understanding. T</w:t>
      </w:r>
      <w:r w:rsidR="0006322D">
        <w:t>he</w:t>
      </w:r>
      <w:r>
        <w:t xml:space="preserve"> form works best </w:t>
      </w:r>
      <w:r w:rsidR="0006322D">
        <w:t xml:space="preserve">for me </w:t>
      </w:r>
      <w:r>
        <w:t xml:space="preserve">in a </w:t>
      </w:r>
      <w:r w:rsidR="0006322D">
        <w:t>junction</w:t>
      </w:r>
      <w:r>
        <w:t xml:space="preserve"> where </w:t>
      </w:r>
      <w:r w:rsidR="0006322D">
        <w:t>other drivers</w:t>
      </w:r>
      <w:r>
        <w:t xml:space="preserve"> a</w:t>
      </w:r>
      <w:r w:rsidR="00D55B41">
        <w:t>re alerted</w:t>
      </w:r>
      <w:r>
        <w:t xml:space="preserve"> </w:t>
      </w:r>
      <w:r w:rsidR="00D55B41">
        <w:t xml:space="preserve">to </w:t>
      </w:r>
      <w:r>
        <w:t>information</w:t>
      </w:r>
      <w:r w:rsidR="00D55B41">
        <w:t xml:space="preserve"> </w:t>
      </w:r>
      <w:proofErr w:type="gramStart"/>
      <w:r>
        <w:t>as long as</w:t>
      </w:r>
      <w:proofErr w:type="gramEnd"/>
      <w:r>
        <w:t xml:space="preserve"> </w:t>
      </w:r>
      <w:r w:rsidR="00D55B41">
        <w:t>I</w:t>
      </w:r>
      <w:r>
        <w:t xml:space="preserve"> maintain focused eye contact.</w:t>
      </w:r>
    </w:p>
    <w:p w14:paraId="361A3C95" w14:textId="77777777" w:rsidR="00A578FD" w:rsidRPr="00A578FD" w:rsidRDefault="00A578FD" w:rsidP="00A578FD">
      <w:pPr>
        <w:spacing w:after="0" w:line="480" w:lineRule="auto"/>
        <w:ind w:firstLine="720"/>
        <w:jc w:val="center"/>
        <w:rPr>
          <w:b/>
        </w:rPr>
      </w:pPr>
      <w:r w:rsidRPr="00A578FD">
        <w:rPr>
          <w:b/>
        </w:rPr>
        <w:t>Impact and significance of effective communication</w:t>
      </w:r>
    </w:p>
    <w:p w14:paraId="2792E870" w14:textId="77777777" w:rsidR="00A578FD" w:rsidRDefault="00A578FD" w:rsidP="00A578FD">
      <w:pPr>
        <w:spacing w:after="0" w:line="480" w:lineRule="auto"/>
        <w:ind w:firstLine="720"/>
      </w:pPr>
      <w:r>
        <w:lastRenderedPageBreak/>
        <w:t xml:space="preserve">In general, effective communication acts as a vital tool in any company. It assists in undertaking successful negotiations and strengthening relationships inside and outside organizations. It is, therefore, a crucial aspect in determining whether a business will miss out or gain the set goals. With effective communication, organizations manage to achieve various things. One of the </w:t>
      </w:r>
      <w:proofErr w:type="gramStart"/>
      <w:r>
        <w:t>significance</w:t>
      </w:r>
      <w:proofErr w:type="gramEnd"/>
      <w:r>
        <w:t xml:space="preserve"> is resolving problems. In my organization, the workforce is made of different people; hence the environment is highly diverse. As a result, not all the time opinions of different people are the same. The clashing views lead to conflicts that are not beneficial for business success. We, therefore, use communication to clear the air whenever there is tension. Ford et al. (2017) state that effective communication is all about gaining trust through honest, open, and positive discussions (p.23). Sometimes people have an ego and want to show how right they are under the belief that that is effective communication. However, the research by Ford et al. (2017)argues that efficacy is not about determining who is right and wrong but rather incorporating different ideas that meet the needs of everyone. Besides, it is much better to ensure consensus with each other, and it makes the working environment much more fun and productive.</w:t>
      </w:r>
    </w:p>
    <w:p w14:paraId="49EBCF07" w14:textId="77777777" w:rsidR="00A578FD" w:rsidRDefault="00A578FD" w:rsidP="00A578FD">
      <w:pPr>
        <w:spacing w:after="0" w:line="480" w:lineRule="auto"/>
        <w:ind w:firstLine="720"/>
      </w:pPr>
      <w:r>
        <w:t xml:space="preserve">An excellent example of effective communication at work can be demonstrated by a scenario my friend once described. Dave, the sales department manager, and Kathryn, the finance department manager, did not agree on how sales representatives used their petty cash. Kathryn believed the sales department should cut down its expenses while Dave thought the expenditure was justifiable since </w:t>
      </w:r>
      <w:proofErr w:type="gramStart"/>
      <w:r>
        <w:t>it</w:t>
      </w:r>
      <w:proofErr w:type="gramEnd"/>
      <w:r>
        <w:t xml:space="preserve"> matched sales. The rest of the workforce learned about the disagreement and started taking sides. The general manager called the two individuals and had them agree using Graduated Reciprocation in Tension Reduction. Through the approach, the two individuals reached an agreement through concession and compromise by talking about the issue </w:t>
      </w:r>
      <w:r>
        <w:lastRenderedPageBreak/>
        <w:t xml:space="preserve">through and deciding what to retain and forego (Smith, 2019, p.3). Therefore, Dave agreed to use petty cash at a decreasing rate. Also, Kathryn decided to allow a considerable amount of money to be used </w:t>
      </w:r>
      <w:proofErr w:type="gramStart"/>
      <w:r>
        <w:t>as long as</w:t>
      </w:r>
      <w:proofErr w:type="gramEnd"/>
      <w:r>
        <w:t xml:space="preserve"> sales representatives achieved monthly company targets. The example presents a situation where two parties create trust and harmony by explaining their take. The form of communication does not only clear the issues between the two involved parties but also restores consensus among the drifted members.</w:t>
      </w:r>
    </w:p>
    <w:p w14:paraId="76721E2D" w14:textId="77777777" w:rsidR="00A578FD" w:rsidRDefault="00A578FD" w:rsidP="00A578FD">
      <w:pPr>
        <w:spacing w:after="0" w:line="480" w:lineRule="auto"/>
        <w:ind w:firstLine="720"/>
      </w:pPr>
      <w:r>
        <w:t>Additionally, effective communication is essential in reducing mitigation conflict. Various circumstances arise when different people misunderstand each other under the belief that each one of them communicates better. Such disagreements occur due to the use of different communicating methods. The situation calls for excellent communication that can limit the crisis. The approach enhances understanding of different personalities whereby one can go beyond the issues at hand. By going the extra mile, individuals can understand the process of other person’s thoughts. The effort enables workers to understand the communication patterns of colleagues hence the ability to decode their message. For instance, while older adults may prefer oral communication, younger adults may go for written communication (Yuan et al., 2016, p. 164). The preferences may lead to conflict even though the message being communicated is similar. The intention provision of effective communication enables digging deeper to understand the reasoning behind the message, thus mitigating conflict. Effective communication, therefore, manages to eliminate the focus on the method and directs attention to the thought itself, which is more important in the communication process.</w:t>
      </w:r>
    </w:p>
    <w:p w14:paraId="12FC8E00" w14:textId="77777777" w:rsidR="00A578FD" w:rsidRDefault="00A578FD" w:rsidP="00A578FD">
      <w:pPr>
        <w:spacing w:after="0" w:line="480" w:lineRule="auto"/>
        <w:ind w:firstLine="720"/>
      </w:pPr>
      <w:r>
        <w:t xml:space="preserve">Another impact of effective communication is the capacity to improve team building in an organization, which leads to innovation and increased productivity. Under the approach, individuals can check in with each other, consider different thoughts, and determine a preferable </w:t>
      </w:r>
      <w:r>
        <w:lastRenderedPageBreak/>
        <w:t xml:space="preserve">way for progress. The involvement creates a sense of belonging and appreciation, making team members more enthusiastic and determined so as not to let others down (Barkley, and Major, 2020). By letting members collaborate in choosing the direction they want to take, </w:t>
      </w:r>
      <w:proofErr w:type="gramStart"/>
      <w:r>
        <w:t>each individual</w:t>
      </w:r>
      <w:proofErr w:type="gramEnd"/>
      <w:r>
        <w:t xml:space="preserve"> is kept at the loop, thus feeling useful. As a result, their morale increases, which not only boosts team spirit but also increases innovation. Innovation is a product of effective communication that results from free and open reception of ideas and thoughts. It enables individuals to listen to information and develop collaborative feedback actively. For example, in an environment where a </w:t>
      </w:r>
      <w:proofErr w:type="gramStart"/>
      <w:r>
        <w:t>particular individual</w:t>
      </w:r>
      <w:proofErr w:type="gramEnd"/>
      <w:r>
        <w:t xml:space="preserve"> is good at excel, the manager can learn it if the member expresses him or herself. The manager also </w:t>
      </w:r>
      <w:proofErr w:type="gramStart"/>
      <w:r>
        <w:t>has to</w:t>
      </w:r>
      <w:proofErr w:type="gramEnd"/>
      <w:r>
        <w:t xml:space="preserve"> be free to ask about it. The process can lead to faster management of spreadsheets and increased productivity ultimately. The communication is what creates the breakthrough seen in the scenario.</w:t>
      </w:r>
    </w:p>
    <w:p w14:paraId="7DE04DF8" w14:textId="77777777" w:rsidR="00A578FD" w:rsidRPr="00A578FD" w:rsidRDefault="00A578FD" w:rsidP="00A578FD">
      <w:pPr>
        <w:spacing w:after="0" w:line="480" w:lineRule="auto"/>
        <w:ind w:firstLine="720"/>
        <w:jc w:val="center"/>
        <w:rPr>
          <w:b/>
        </w:rPr>
      </w:pPr>
      <w:r w:rsidRPr="00A578FD">
        <w:rPr>
          <w:b/>
        </w:rPr>
        <w:t>Communication accommodation theory and constructivism</w:t>
      </w:r>
    </w:p>
    <w:p w14:paraId="211C173C" w14:textId="77777777" w:rsidR="00A578FD" w:rsidRDefault="00A578FD" w:rsidP="00A578FD">
      <w:pPr>
        <w:spacing w:after="0" w:line="480" w:lineRule="auto"/>
        <w:ind w:firstLine="720"/>
      </w:pPr>
      <w:r>
        <w:t xml:space="preserve">As organizational dynamics increase, it becomes necessary to improve communication in institutions to achieve goals. </w:t>
      </w:r>
      <w:proofErr w:type="gramStart"/>
      <w:r>
        <w:t>In order to</w:t>
      </w:r>
      <w:proofErr w:type="gramEnd"/>
      <w:r>
        <w:t xml:space="preserve"> identify areas in need of change, it is critical to understand communication frameworks that work best in enhancing the exchange of information. One of the useful models of communication is communication accommodation theory. The concept involves human tendencies of adjusting communication styles depending on people and situations during social interactions (Giles, 2016, p. 4). While utilizing the approach, individuals change verbal and non-verbal cues through divergence and convergence aspects. Convergence is a perspective that reduces social differences when individuals identify with the communication behaviour of other people. Divergence, on the other hand, occurs when individuals accentuate their non-verbal and verbal differences and those of other people. The constructivist approach is also useful in defining how to improve communication. The approach posits that people can use </w:t>
      </w:r>
      <w:r>
        <w:lastRenderedPageBreak/>
        <w:t>their worldview understanding to develop new working strategies (</w:t>
      </w:r>
      <w:proofErr w:type="spellStart"/>
      <w:r>
        <w:t>Kratochwil</w:t>
      </w:r>
      <w:proofErr w:type="spellEnd"/>
      <w:r>
        <w:t>, 2017). Consequently, learners are information constructors. Constructivism theory allows communicators to create erudite and customized messages to pursue goals of communication. Understanding of the two approaches can assist in improving organizational communication.</w:t>
      </w:r>
    </w:p>
    <w:p w14:paraId="4DB42141" w14:textId="77777777" w:rsidR="00A578FD" w:rsidRPr="00A578FD" w:rsidRDefault="00A578FD" w:rsidP="00A578FD">
      <w:pPr>
        <w:spacing w:after="0" w:line="480" w:lineRule="auto"/>
        <w:ind w:firstLine="720"/>
        <w:jc w:val="center"/>
        <w:rPr>
          <w:b/>
        </w:rPr>
      </w:pPr>
      <w:r w:rsidRPr="00A578FD">
        <w:rPr>
          <w:b/>
        </w:rPr>
        <w:t>Recommendations</w:t>
      </w:r>
    </w:p>
    <w:p w14:paraId="126C86E5" w14:textId="77777777" w:rsidR="00A578FD" w:rsidRDefault="00A578FD" w:rsidP="00A578FD">
      <w:pPr>
        <w:spacing w:after="0" w:line="480" w:lineRule="auto"/>
        <w:ind w:firstLine="720"/>
      </w:pPr>
      <w:r>
        <w:t xml:space="preserve">One way for an organization to improve communication is by creating a communication strategy with minimal obstruction and maximum freedom. The take allows people to be as creative and innovative as much as they can. They can come up with new ideas suitable to a </w:t>
      </w:r>
      <w:proofErr w:type="gramStart"/>
      <w:r>
        <w:t>particular situation</w:t>
      </w:r>
      <w:proofErr w:type="gramEnd"/>
      <w:r>
        <w:t>, thus resolving issues. Their opinions do not have match other existing thoughts (Rich et al., 2018, p.124). Another way to improve communication within organizations is by introducing multiple communication styles. That way, individuals can adjust when necessary and adopt other useful methods that consider thinking patterns of others. The two approaches accommodate diversity in the workplace and encourage free communication. However, the management must set a limit to the styles and direction of thinking that can be adopted to avoid deviation from the main objectives.</w:t>
      </w:r>
    </w:p>
    <w:p w14:paraId="687FAF38" w14:textId="77777777" w:rsidR="00A578FD" w:rsidRPr="00A578FD" w:rsidRDefault="00A578FD" w:rsidP="00A578FD">
      <w:pPr>
        <w:spacing w:after="0" w:line="480" w:lineRule="auto"/>
        <w:ind w:firstLine="720"/>
        <w:jc w:val="center"/>
        <w:rPr>
          <w:b/>
        </w:rPr>
      </w:pPr>
      <w:r w:rsidRPr="00A578FD">
        <w:rPr>
          <w:b/>
        </w:rPr>
        <w:t>Conclusion</w:t>
      </w:r>
    </w:p>
    <w:p w14:paraId="0571E1BF" w14:textId="77777777" w:rsidR="00A578FD" w:rsidRDefault="00A578FD" w:rsidP="00A578FD">
      <w:pPr>
        <w:spacing w:after="0" w:line="480" w:lineRule="auto"/>
        <w:ind w:firstLine="720"/>
      </w:pPr>
      <w:r>
        <w:t xml:space="preserve">Interpersonal communication creates a two-way environment that enables an organization to exchange information back and forth. The interface can be oral, written, or non-verbal. The varying provisions allow individuals to present their thoughts and ideas in a collaborative environment. As a result, the organization can benefit from collaboration benefits such as high performance, innovation, strong teams, ability to resolve and mitigate conflicts, and improved productivity. Consequently, organizations must seek ways to improve communication </w:t>
      </w:r>
      <w:r>
        <w:lastRenderedPageBreak/>
        <w:t>continually. Examples of such means could include minimizing obstruction, increasing communication freedom, and allowing multiple communication styles.</w:t>
      </w:r>
    </w:p>
    <w:p w14:paraId="7CEE0D29" w14:textId="77777777" w:rsidR="001B496C" w:rsidRDefault="001B496C" w:rsidP="00A578FD">
      <w:pPr>
        <w:spacing w:after="0" w:line="480" w:lineRule="auto"/>
      </w:pPr>
      <w:r>
        <w:br w:type="page"/>
      </w:r>
    </w:p>
    <w:p w14:paraId="537BE79D" w14:textId="1492B438" w:rsidR="001B496C" w:rsidRPr="00A578FD" w:rsidRDefault="00DF7BE3" w:rsidP="00A578FD">
      <w:pPr>
        <w:jc w:val="center"/>
        <w:rPr>
          <w:b/>
        </w:rPr>
      </w:pPr>
      <w:r>
        <w:rPr>
          <w:b/>
        </w:rPr>
        <w:lastRenderedPageBreak/>
        <w:t>References</w:t>
      </w:r>
    </w:p>
    <w:p w14:paraId="5371467A" w14:textId="77777777" w:rsidR="00A578FD" w:rsidRPr="001B496C" w:rsidRDefault="00A578FD" w:rsidP="00A578FD">
      <w:pPr>
        <w:spacing w:after="0" w:line="480" w:lineRule="auto"/>
        <w:ind w:left="720" w:hanging="720"/>
      </w:pPr>
      <w:r w:rsidRPr="001B496C">
        <w:t>Barkley, E.F. and Major, C.H., 2020. </w:t>
      </w:r>
      <w:r w:rsidRPr="001B496C">
        <w:rPr>
          <w:i/>
          <w:iCs/>
        </w:rPr>
        <w:t>Student engagement techniques: A handbook for college faculty</w:t>
      </w:r>
      <w:r w:rsidRPr="001B496C">
        <w:t>. John Wiley &amp; Sons.</w:t>
      </w:r>
    </w:p>
    <w:p w14:paraId="3BA9AB5C" w14:textId="77777777" w:rsidR="00A578FD" w:rsidRPr="001B496C" w:rsidRDefault="00A578FD" w:rsidP="00A578FD">
      <w:pPr>
        <w:spacing w:after="0" w:line="480" w:lineRule="auto"/>
        <w:ind w:left="720" w:hanging="720"/>
      </w:pPr>
      <w:r w:rsidRPr="001B496C">
        <w:t>Ford, R.C., Piccolo, R.F. and Ford, L.R., 2017. Strategies for building effective virtual teams: Trust is key. </w:t>
      </w:r>
      <w:r w:rsidRPr="001B496C">
        <w:rPr>
          <w:i/>
          <w:iCs/>
        </w:rPr>
        <w:t>Business Horizons</w:t>
      </w:r>
      <w:r w:rsidRPr="001B496C">
        <w:t>, </w:t>
      </w:r>
      <w:r w:rsidRPr="001B496C">
        <w:rPr>
          <w:i/>
          <w:iCs/>
        </w:rPr>
        <w:t>60</w:t>
      </w:r>
      <w:r w:rsidRPr="001B496C">
        <w:t>(1), pp.25-34.</w:t>
      </w:r>
    </w:p>
    <w:p w14:paraId="771FB79E" w14:textId="77777777" w:rsidR="00A578FD" w:rsidRPr="001B496C" w:rsidRDefault="00A578FD" w:rsidP="00A578FD">
      <w:pPr>
        <w:spacing w:after="0" w:line="480" w:lineRule="auto"/>
        <w:ind w:left="720" w:hanging="720"/>
      </w:pPr>
      <w:r w:rsidRPr="001B496C">
        <w:t>Giles, H., 2016. Communication accommodation theory. </w:t>
      </w:r>
      <w:r w:rsidRPr="001B496C">
        <w:rPr>
          <w:i/>
          <w:iCs/>
        </w:rPr>
        <w:t xml:space="preserve">The international </w:t>
      </w:r>
      <w:proofErr w:type="spellStart"/>
      <w:r w:rsidRPr="001B496C">
        <w:rPr>
          <w:i/>
          <w:iCs/>
        </w:rPr>
        <w:t>encyclopedia</w:t>
      </w:r>
      <w:proofErr w:type="spellEnd"/>
      <w:r w:rsidRPr="001B496C">
        <w:rPr>
          <w:i/>
          <w:iCs/>
        </w:rPr>
        <w:t xml:space="preserve"> of communication theory and philosophy</w:t>
      </w:r>
      <w:r w:rsidRPr="001B496C">
        <w:t>, pp.1-7.</w:t>
      </w:r>
    </w:p>
    <w:p w14:paraId="16D42861" w14:textId="77777777" w:rsidR="00A578FD" w:rsidRPr="001B496C" w:rsidRDefault="00A578FD" w:rsidP="00A578FD">
      <w:pPr>
        <w:spacing w:after="0" w:line="480" w:lineRule="auto"/>
        <w:ind w:left="720" w:hanging="720"/>
      </w:pPr>
      <w:proofErr w:type="spellStart"/>
      <w:r w:rsidRPr="001B496C">
        <w:t>Goodhue</w:t>
      </w:r>
      <w:proofErr w:type="spellEnd"/>
      <w:r w:rsidRPr="001B496C">
        <w:t>, D. and Wagner, M., 2015. It’s not just what you say, it’s how you say it: Intonation, yes and no. </w:t>
      </w:r>
      <w:r w:rsidRPr="001B496C">
        <w:rPr>
          <w:i/>
          <w:iCs/>
        </w:rPr>
        <w:t>Proceedings of the North East Linguistics Society (NELS)</w:t>
      </w:r>
      <w:r w:rsidRPr="001B496C">
        <w:t>, </w:t>
      </w:r>
      <w:r w:rsidRPr="001B496C">
        <w:rPr>
          <w:i/>
          <w:iCs/>
        </w:rPr>
        <w:t>45</w:t>
      </w:r>
      <w:r w:rsidRPr="001B496C">
        <w:t xml:space="preserve">. </w:t>
      </w:r>
      <w:hyperlink r:id="rId8" w:history="1">
        <w:r w:rsidRPr="001B496C">
          <w:rPr>
            <w:rStyle w:val="Hyperlink"/>
          </w:rPr>
          <w:t>https://semanticsarchive.net/Archive/TRjYmNiN/GoodhueWagner_2015.pdf</w:t>
        </w:r>
      </w:hyperlink>
    </w:p>
    <w:p w14:paraId="641DCE01" w14:textId="77777777" w:rsidR="00A578FD" w:rsidRPr="001B496C" w:rsidRDefault="00A578FD" w:rsidP="00A578FD">
      <w:pPr>
        <w:spacing w:after="0" w:line="480" w:lineRule="auto"/>
        <w:ind w:left="720" w:hanging="720"/>
      </w:pPr>
      <w:r w:rsidRPr="001B496C">
        <w:t xml:space="preserve">Jacobs, </w:t>
      </w:r>
      <w:proofErr w:type="gramStart"/>
      <w:r w:rsidRPr="001B496C">
        <w:t>G.</w:t>
      </w:r>
      <w:proofErr w:type="gramEnd"/>
      <w:r w:rsidRPr="001B496C">
        <w:t xml:space="preserve"> and Farrell, T.S., 2019. Advantages of Combining Small and Large Groups: Implications for Second Language Education. </w:t>
      </w:r>
      <w:r w:rsidRPr="001B496C">
        <w:rPr>
          <w:i/>
          <w:iCs/>
        </w:rPr>
        <w:t>Beyond Words</w:t>
      </w:r>
      <w:r w:rsidRPr="001B496C">
        <w:t>, </w:t>
      </w:r>
      <w:r w:rsidRPr="001B496C">
        <w:rPr>
          <w:i/>
          <w:iCs/>
        </w:rPr>
        <w:t>7</w:t>
      </w:r>
      <w:r w:rsidRPr="001B496C">
        <w:t>(2), pp.61-70.</w:t>
      </w:r>
    </w:p>
    <w:p w14:paraId="6674E21D" w14:textId="77777777" w:rsidR="00A578FD" w:rsidRPr="001B496C" w:rsidRDefault="00A578FD" w:rsidP="00A578FD">
      <w:pPr>
        <w:spacing w:after="0" w:line="480" w:lineRule="auto"/>
        <w:ind w:left="720" w:hanging="720"/>
      </w:pPr>
      <w:proofErr w:type="spellStart"/>
      <w:r w:rsidRPr="001B496C">
        <w:t>Kratochwil</w:t>
      </w:r>
      <w:proofErr w:type="spellEnd"/>
      <w:r w:rsidRPr="001B496C">
        <w:t>, F., 2017. Constructivism. In </w:t>
      </w:r>
      <w:r w:rsidRPr="001B496C">
        <w:rPr>
          <w:i/>
          <w:iCs/>
        </w:rPr>
        <w:t xml:space="preserve">Oxford Research </w:t>
      </w:r>
      <w:proofErr w:type="spellStart"/>
      <w:r w:rsidRPr="001B496C">
        <w:rPr>
          <w:i/>
          <w:iCs/>
        </w:rPr>
        <w:t>Encyclopedia</w:t>
      </w:r>
      <w:proofErr w:type="spellEnd"/>
      <w:r w:rsidRPr="001B496C">
        <w:rPr>
          <w:i/>
          <w:iCs/>
        </w:rPr>
        <w:t xml:space="preserve"> of Politics</w:t>
      </w:r>
      <w:r w:rsidRPr="001B496C">
        <w:t>.</w:t>
      </w:r>
    </w:p>
    <w:p w14:paraId="2D136600" w14:textId="77777777" w:rsidR="00A578FD" w:rsidRPr="001B496C" w:rsidRDefault="00A578FD" w:rsidP="00A578FD">
      <w:pPr>
        <w:spacing w:after="0" w:line="480" w:lineRule="auto"/>
        <w:ind w:left="720" w:hanging="720"/>
      </w:pPr>
      <w:proofErr w:type="spellStart"/>
      <w:r w:rsidRPr="001B496C">
        <w:t>MacGlashan</w:t>
      </w:r>
      <w:proofErr w:type="spellEnd"/>
      <w:r w:rsidRPr="001B496C">
        <w:t xml:space="preserve">, J., Ho, M.K., Loftin, R., Peng, B., Wang, G., Roberts, D.L., Taylor, </w:t>
      </w:r>
      <w:proofErr w:type="gramStart"/>
      <w:r w:rsidRPr="001B496C">
        <w:t>M.E.</w:t>
      </w:r>
      <w:proofErr w:type="gramEnd"/>
      <w:r w:rsidRPr="001B496C">
        <w:t xml:space="preserve"> and Littman, M.L., 2017, August. Interactive learning from policy-dependent human feedback. In </w:t>
      </w:r>
      <w:r w:rsidRPr="001B496C">
        <w:rPr>
          <w:i/>
          <w:iCs/>
        </w:rPr>
        <w:t>Proceedings of the 34th International Conference on Machine Learning-Volume 70</w:t>
      </w:r>
      <w:r w:rsidRPr="001B496C">
        <w:t> (pp. 2285-2294). JMLR. org.</w:t>
      </w:r>
    </w:p>
    <w:p w14:paraId="5C3CE451" w14:textId="77777777" w:rsidR="00A578FD" w:rsidRPr="001B496C" w:rsidRDefault="00A578FD" w:rsidP="00A578FD">
      <w:pPr>
        <w:spacing w:after="0" w:line="480" w:lineRule="auto"/>
        <w:ind w:left="720" w:hanging="720"/>
      </w:pPr>
      <w:r w:rsidRPr="001B496C">
        <w:t xml:space="preserve">Rich, K.M., </w:t>
      </w:r>
      <w:proofErr w:type="spellStart"/>
      <w:r w:rsidRPr="001B496C">
        <w:t>Binkowski</w:t>
      </w:r>
      <w:proofErr w:type="spellEnd"/>
      <w:r w:rsidRPr="001B496C">
        <w:t>, T.A., Strickland, C. and Franklin, D., 2018, August. Decomposition: A k-8 computational thinking learning trajectory. In </w:t>
      </w:r>
      <w:r w:rsidRPr="001B496C">
        <w:rPr>
          <w:i/>
          <w:iCs/>
        </w:rPr>
        <w:t>Proceedings of the 2018 ACM Conference on International Computing Education Research</w:t>
      </w:r>
      <w:r w:rsidRPr="001B496C">
        <w:t> (pp. 124-132).</w:t>
      </w:r>
    </w:p>
    <w:p w14:paraId="270FDADC" w14:textId="77777777" w:rsidR="00A578FD" w:rsidRPr="001B496C" w:rsidRDefault="00A578FD" w:rsidP="00A578FD">
      <w:pPr>
        <w:spacing w:after="0" w:line="480" w:lineRule="auto"/>
        <w:ind w:left="720" w:hanging="720"/>
      </w:pPr>
      <w:r w:rsidRPr="001B496C">
        <w:t>Smith, J., 2019. 11.2: Conflict Resolution Strategies. </w:t>
      </w:r>
      <w:r w:rsidRPr="001B496C">
        <w:rPr>
          <w:i/>
          <w:iCs/>
        </w:rPr>
        <w:t>Communication at Work</w:t>
      </w:r>
      <w:r w:rsidRPr="001B496C">
        <w:t xml:space="preserve">. </w:t>
      </w:r>
      <w:hyperlink r:id="rId9" w:history="1">
        <w:r w:rsidRPr="001B496C">
          <w:rPr>
            <w:rStyle w:val="Hyperlink"/>
          </w:rPr>
          <w:t>https://ecampusontario.pressbooks.pub/communicationatwork/chapter/11-2-conflict-resolution-strategies/</w:t>
        </w:r>
      </w:hyperlink>
    </w:p>
    <w:p w14:paraId="264BDED3" w14:textId="69AEEA27" w:rsidR="00A578FD" w:rsidRDefault="00A578FD" w:rsidP="00A578FD">
      <w:pPr>
        <w:spacing w:after="0" w:line="480" w:lineRule="auto"/>
        <w:ind w:left="720" w:hanging="720"/>
        <w:rPr>
          <w:rStyle w:val="Hyperlink"/>
        </w:rPr>
      </w:pPr>
      <w:r w:rsidRPr="001B496C">
        <w:lastRenderedPageBreak/>
        <w:t xml:space="preserve">Yuan, S., Hussain, S.A., Hales, K.D. and </w:t>
      </w:r>
      <w:proofErr w:type="spellStart"/>
      <w:r w:rsidRPr="001B496C">
        <w:t>Cotten</w:t>
      </w:r>
      <w:proofErr w:type="spellEnd"/>
      <w:r w:rsidRPr="001B496C">
        <w:t>, S.R., 2016. What do they like? Communication preferences and patterns of older adults in the United States: The role of technology. </w:t>
      </w:r>
      <w:r w:rsidRPr="001B496C">
        <w:rPr>
          <w:i/>
          <w:iCs/>
        </w:rPr>
        <w:t>Educational Gerontology</w:t>
      </w:r>
      <w:r w:rsidRPr="001B496C">
        <w:t>, </w:t>
      </w:r>
      <w:r w:rsidRPr="001B496C">
        <w:rPr>
          <w:i/>
          <w:iCs/>
        </w:rPr>
        <w:t>42</w:t>
      </w:r>
      <w:r w:rsidRPr="001B496C">
        <w:t xml:space="preserve">(3), pp.163-174. </w:t>
      </w:r>
      <w:hyperlink r:id="rId10" w:history="1">
        <w:r w:rsidRPr="001B496C">
          <w:rPr>
            <w:rStyle w:val="Hyperlink"/>
          </w:rPr>
          <w:t>https://doi.org/10.1080/03601277.2015.1083392</w:t>
        </w:r>
      </w:hyperlink>
      <w:r w:rsidR="00477758">
        <w:rPr>
          <w:rStyle w:val="Hyperlink"/>
        </w:rPr>
        <w:t xml:space="preserve">    </w:t>
      </w:r>
    </w:p>
    <w:p w14:paraId="7659D712" w14:textId="6F9CC5DF" w:rsidR="00477758" w:rsidRDefault="00477758" w:rsidP="00A578FD">
      <w:pPr>
        <w:spacing w:after="0" w:line="480" w:lineRule="auto"/>
        <w:ind w:left="720" w:hanging="720"/>
        <w:rPr>
          <w:rStyle w:val="Hyperlink"/>
        </w:rPr>
      </w:pPr>
    </w:p>
    <w:p w14:paraId="6C5FF16C" w14:textId="37BDAE5A" w:rsidR="00477758" w:rsidRDefault="00477758" w:rsidP="00A578FD">
      <w:pPr>
        <w:spacing w:after="0" w:line="480" w:lineRule="auto"/>
        <w:ind w:left="720" w:hanging="720"/>
        <w:rPr>
          <w:rStyle w:val="Hyperlink"/>
        </w:rPr>
      </w:pPr>
    </w:p>
    <w:p w14:paraId="02D67EC0" w14:textId="79C94D3C" w:rsidR="00477758" w:rsidRDefault="00477758" w:rsidP="00A578FD">
      <w:pPr>
        <w:spacing w:after="0" w:line="480" w:lineRule="auto"/>
        <w:ind w:left="720" w:hanging="720"/>
        <w:rPr>
          <w:rStyle w:val="Hyperlink"/>
        </w:rPr>
      </w:pPr>
    </w:p>
    <w:p w14:paraId="3AA4ED90" w14:textId="643A73F8" w:rsidR="00477758" w:rsidRDefault="00477758" w:rsidP="00A578FD">
      <w:pPr>
        <w:spacing w:after="0" w:line="480" w:lineRule="auto"/>
        <w:ind w:left="720" w:hanging="720"/>
        <w:rPr>
          <w:rStyle w:val="Hyperlink"/>
        </w:rPr>
      </w:pPr>
    </w:p>
    <w:p w14:paraId="317FD5F3" w14:textId="103F917D" w:rsidR="00477758" w:rsidRDefault="00477758" w:rsidP="00A578FD">
      <w:pPr>
        <w:spacing w:after="0" w:line="480" w:lineRule="auto"/>
        <w:ind w:left="720" w:hanging="720"/>
        <w:rPr>
          <w:rStyle w:val="Hyperlink"/>
        </w:rPr>
      </w:pPr>
    </w:p>
    <w:p w14:paraId="71BD2373" w14:textId="0005F814" w:rsidR="00477758" w:rsidRDefault="00477758" w:rsidP="00A578FD">
      <w:pPr>
        <w:spacing w:after="0" w:line="480" w:lineRule="auto"/>
        <w:ind w:left="720" w:hanging="720"/>
        <w:rPr>
          <w:rStyle w:val="Hyperlink"/>
        </w:rPr>
      </w:pPr>
    </w:p>
    <w:p w14:paraId="000AD024" w14:textId="39DFA363" w:rsidR="00477758" w:rsidRDefault="00477758" w:rsidP="00A578FD">
      <w:pPr>
        <w:spacing w:after="0" w:line="480" w:lineRule="auto"/>
        <w:ind w:left="720" w:hanging="720"/>
        <w:rPr>
          <w:rStyle w:val="Hyperlink"/>
        </w:rPr>
      </w:pPr>
    </w:p>
    <w:p w14:paraId="538BD7D6" w14:textId="36E40C0D" w:rsidR="00477758" w:rsidRDefault="00477758" w:rsidP="00A578FD">
      <w:pPr>
        <w:spacing w:after="0" w:line="480" w:lineRule="auto"/>
        <w:ind w:left="720" w:hanging="720"/>
        <w:rPr>
          <w:rStyle w:val="Hyperlink"/>
        </w:rPr>
      </w:pPr>
    </w:p>
    <w:p w14:paraId="65AF2A5C" w14:textId="28210B48" w:rsidR="00477758" w:rsidRDefault="00477758" w:rsidP="00A578FD">
      <w:pPr>
        <w:spacing w:after="0" w:line="480" w:lineRule="auto"/>
        <w:ind w:left="720" w:hanging="720"/>
      </w:pPr>
    </w:p>
    <w:p w14:paraId="16BA8D1E" w14:textId="77777777" w:rsidR="00477758" w:rsidRDefault="00477758">
      <w:r>
        <w:br w:type="page"/>
      </w:r>
    </w:p>
    <w:p w14:paraId="5F648746" w14:textId="5FC5F52D" w:rsidR="00477758" w:rsidRDefault="00477758" w:rsidP="00477758">
      <w:pPr>
        <w:jc w:val="center"/>
        <w:rPr>
          <w:b/>
          <w:bCs/>
        </w:rPr>
      </w:pPr>
      <w:r w:rsidRPr="00477758">
        <w:rPr>
          <w:b/>
          <w:bCs/>
        </w:rPr>
        <w:lastRenderedPageBreak/>
        <w:t>Appendices</w:t>
      </w:r>
      <w:r w:rsidR="00C92AE1">
        <w:rPr>
          <w:b/>
          <w:bCs/>
          <w:noProof/>
        </w:rPr>
        <w:drawing>
          <wp:inline distT="0" distB="0" distL="0" distR="0" wp14:anchorId="485BB8F5" wp14:editId="3D2311A9">
            <wp:extent cx="5737225" cy="7567286"/>
            <wp:effectExtent l="0" t="0" r="0" b="0"/>
            <wp:docPr id="2" name="Picture 2"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mmunication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59025" cy="7596040"/>
                    </a:xfrm>
                    <a:prstGeom prst="rect">
                      <a:avLst/>
                    </a:prstGeom>
                  </pic:spPr>
                </pic:pic>
              </a:graphicData>
            </a:graphic>
          </wp:inline>
        </w:drawing>
      </w:r>
    </w:p>
    <w:p w14:paraId="43229F90" w14:textId="258FE96D" w:rsidR="00477758" w:rsidRDefault="00477758" w:rsidP="00477758">
      <w:pPr>
        <w:rPr>
          <w:b/>
          <w:bCs/>
        </w:rPr>
      </w:pPr>
    </w:p>
    <w:p w14:paraId="6757A34F" w14:textId="36E553E4" w:rsidR="00477758" w:rsidRPr="00477758" w:rsidRDefault="00C92AE1" w:rsidP="00477758">
      <w:pPr>
        <w:rPr>
          <w:b/>
          <w:bCs/>
        </w:rPr>
      </w:pPr>
      <w:r>
        <w:rPr>
          <w:b/>
          <w:bCs/>
          <w:noProof/>
        </w:rPr>
        <w:lastRenderedPageBreak/>
        <w:drawing>
          <wp:inline distT="0" distB="0" distL="0" distR="0" wp14:anchorId="16D02081" wp14:editId="51DB0541">
            <wp:extent cx="5821680" cy="8229600"/>
            <wp:effectExtent l="0" t="0" r="762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mmunication 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21680" cy="8229600"/>
                    </a:xfrm>
                    <a:prstGeom prst="rect">
                      <a:avLst/>
                    </a:prstGeom>
                  </pic:spPr>
                </pic:pic>
              </a:graphicData>
            </a:graphic>
          </wp:inline>
        </w:drawing>
      </w:r>
      <w:r w:rsidR="00477758" w:rsidRPr="00477758">
        <w:rPr>
          <w:b/>
          <w:bCs/>
        </w:rPr>
        <w:br w:type="page"/>
      </w:r>
    </w:p>
    <w:p w14:paraId="47A50204" w14:textId="1897CDE2" w:rsidR="00477758" w:rsidRDefault="00C92AE1">
      <w:r>
        <w:rPr>
          <w:noProof/>
        </w:rPr>
        <w:lastRenderedPageBreak/>
        <w:drawing>
          <wp:inline distT="0" distB="0" distL="0" distR="0" wp14:anchorId="220FA3A5" wp14:editId="4D05B4C0">
            <wp:extent cx="5821680" cy="8229600"/>
            <wp:effectExtent l="0" t="0" r="7620" b="0"/>
            <wp:docPr id="4" name="Picture 4"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mmunication 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21680" cy="8229600"/>
                    </a:xfrm>
                    <a:prstGeom prst="rect">
                      <a:avLst/>
                    </a:prstGeom>
                  </pic:spPr>
                </pic:pic>
              </a:graphicData>
            </a:graphic>
          </wp:inline>
        </w:drawing>
      </w:r>
    </w:p>
    <w:sectPr w:rsidR="00477758">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F7C106" w14:textId="77777777" w:rsidR="006A2458" w:rsidRDefault="006A2458" w:rsidP="00A578FD">
      <w:pPr>
        <w:spacing w:after="0" w:line="240" w:lineRule="auto"/>
      </w:pPr>
      <w:r>
        <w:separator/>
      </w:r>
    </w:p>
  </w:endnote>
  <w:endnote w:type="continuationSeparator" w:id="0">
    <w:p w14:paraId="62A888D4" w14:textId="77777777" w:rsidR="006A2458" w:rsidRDefault="006A2458" w:rsidP="00A57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8156F2" w14:paraId="79F5C452" w14:textId="77777777" w:rsidTr="008156F2">
      <w:trPr>
        <w:trHeight w:val="311"/>
        <w:jc w:val="right"/>
      </w:trPr>
      <w:tc>
        <w:tcPr>
          <w:tcW w:w="4795" w:type="dxa"/>
          <w:vAlign w:val="center"/>
        </w:tcPr>
        <w:sdt>
          <w:sdtPr>
            <w:rPr>
              <w:caps/>
              <w:color w:val="000000" w:themeColor="text1"/>
            </w:rPr>
            <w:alias w:val="Author"/>
            <w:tag w:val=""/>
            <w:id w:val="1534539408"/>
            <w:placeholder>
              <w:docPart w:val="28B14790F6E049C29908EBFCF19E7A75"/>
            </w:placeholder>
            <w:dataBinding w:prefixMappings="xmlns:ns0='http://purl.org/dc/elements/1.1/' xmlns:ns1='http://schemas.openxmlformats.org/package/2006/metadata/core-properties' " w:xpath="/ns1:coreProperties[1]/ns0:creator[1]" w:storeItemID="{6C3C8BC8-F283-45AE-878A-BAB7291924A1}"/>
            <w:text/>
          </w:sdtPr>
          <w:sdtEndPr/>
          <w:sdtContent>
            <w:p w14:paraId="540CA1E7" w14:textId="76F7B4ED" w:rsidR="008156F2" w:rsidRDefault="00317BCA" w:rsidP="00AF2E2C">
              <w:pPr>
                <w:pStyle w:val="Header"/>
                <w:rPr>
                  <w:caps/>
                  <w:color w:val="000000" w:themeColor="text1"/>
                </w:rPr>
              </w:pPr>
              <w:r>
                <w:rPr>
                  <w:caps/>
                  <w:color w:val="000000" w:themeColor="text1"/>
                </w:rPr>
                <w:t>h</w:t>
              </w:r>
              <w:r w:rsidR="0068254E">
                <w:rPr>
                  <w:caps/>
                  <w:color w:val="000000" w:themeColor="text1"/>
                </w:rPr>
                <w:t>rvoje Gasparic (1917115)</w:t>
              </w:r>
            </w:p>
          </w:sdtContent>
        </w:sdt>
      </w:tc>
      <w:tc>
        <w:tcPr>
          <w:tcW w:w="250" w:type="pct"/>
          <w:shd w:val="clear" w:color="auto" w:fill="C0504D" w:themeFill="accent2"/>
          <w:vAlign w:val="center"/>
        </w:tcPr>
        <w:p w14:paraId="03AC0984" w14:textId="77777777" w:rsidR="008156F2" w:rsidRDefault="008156F2">
          <w:pPr>
            <w:pStyle w:val="Footer"/>
            <w:tabs>
              <w:tab w:val="clear" w:pos="4680"/>
              <w:tab w:val="clear" w:pos="9360"/>
            </w:tabs>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1510BDA" w14:textId="5F2524C2" w:rsidR="00114241" w:rsidRDefault="00114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1D4D67" w14:textId="77777777" w:rsidR="006A2458" w:rsidRDefault="006A2458" w:rsidP="00A578FD">
      <w:pPr>
        <w:spacing w:after="0" w:line="240" w:lineRule="auto"/>
      </w:pPr>
      <w:r>
        <w:separator/>
      </w:r>
    </w:p>
  </w:footnote>
  <w:footnote w:type="continuationSeparator" w:id="0">
    <w:p w14:paraId="7311120C" w14:textId="77777777" w:rsidR="006A2458" w:rsidRDefault="006A2458" w:rsidP="00A578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D30C63" w14:textId="322CD05C" w:rsidR="00A578FD" w:rsidRDefault="008156F2" w:rsidP="008156F2">
    <w:pPr>
      <w:pStyle w:val="Header"/>
    </w:pPr>
    <w:r>
      <w:rPr>
        <w:rFonts w:ascii="Arial" w:hAnsi="Arial" w:cs="Arial"/>
      </w:rPr>
      <w:t xml:space="preserve">Student ID : </w:t>
    </w:r>
    <w:r w:rsidR="00114241">
      <w:rPr>
        <w:rFonts w:ascii="Arial" w:hAnsi="Arial" w:cs="Arial"/>
      </w:rPr>
      <w:t xml:space="preserve">1917115 </w:t>
    </w:r>
    <w:r>
      <w:rPr>
        <w:rFonts w:ascii="Arial" w:hAnsi="Arial" w:cs="Arial"/>
      </w:rPr>
      <w:t xml:space="preserve">                          Module ID : </w:t>
    </w:r>
    <w:r w:rsidR="00114241">
      <w:rPr>
        <w:rFonts w:ascii="Arial" w:hAnsi="Arial" w:cs="Arial"/>
      </w:rPr>
      <w:t>BMSW4002</w:t>
    </w:r>
    <w:r w:rsidR="00A578FD">
      <w:t xml:space="preserve">    </w:t>
    </w:r>
    <w:r w:rsidR="004D48BD">
      <w:t xml:space="preserve">                                    </w:t>
    </w:r>
    <w:r w:rsidR="00A578FD">
      <w:t xml:space="preserve"> </w:t>
    </w:r>
    <w:sdt>
      <w:sdtPr>
        <w:id w:val="-1807534600"/>
        <w:docPartObj>
          <w:docPartGallery w:val="Page Numbers (Top of Page)"/>
          <w:docPartUnique/>
        </w:docPartObj>
      </w:sdtPr>
      <w:sdtEndPr>
        <w:rPr>
          <w:noProof/>
        </w:rPr>
      </w:sdtEndPr>
      <w:sdtContent>
        <w:r w:rsidR="00A578FD">
          <w:fldChar w:fldCharType="begin"/>
        </w:r>
        <w:r w:rsidR="00A578FD">
          <w:instrText xml:space="preserve"> PAGE   \* MERGEFORMAT </w:instrText>
        </w:r>
        <w:r w:rsidR="00A578FD">
          <w:fldChar w:fldCharType="separate"/>
        </w:r>
        <w:r w:rsidR="00A578FD">
          <w:rPr>
            <w:noProof/>
          </w:rPr>
          <w:t>10</w:t>
        </w:r>
        <w:r w:rsidR="00A578FD">
          <w:rPr>
            <w:noProof/>
          </w:rPr>
          <w:fldChar w:fldCharType="end"/>
        </w:r>
      </w:sdtContent>
    </w:sdt>
  </w:p>
  <w:p w14:paraId="4A8F07AF" w14:textId="77777777" w:rsidR="00A578FD" w:rsidRDefault="00A578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E93A68"/>
    <w:multiLevelType w:val="multilevel"/>
    <w:tmpl w:val="B9E28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3C1"/>
    <w:rsid w:val="00051CF9"/>
    <w:rsid w:val="0006322D"/>
    <w:rsid w:val="000A082D"/>
    <w:rsid w:val="001005B6"/>
    <w:rsid w:val="00114241"/>
    <w:rsid w:val="001340EB"/>
    <w:rsid w:val="001457DC"/>
    <w:rsid w:val="001A31A6"/>
    <w:rsid w:val="001B496C"/>
    <w:rsid w:val="00204295"/>
    <w:rsid w:val="00210955"/>
    <w:rsid w:val="002C5315"/>
    <w:rsid w:val="00304E07"/>
    <w:rsid w:val="00317BCA"/>
    <w:rsid w:val="00334933"/>
    <w:rsid w:val="0035272D"/>
    <w:rsid w:val="00417B9E"/>
    <w:rsid w:val="0044076D"/>
    <w:rsid w:val="00451F37"/>
    <w:rsid w:val="00477758"/>
    <w:rsid w:val="004A13CD"/>
    <w:rsid w:val="004A7045"/>
    <w:rsid w:val="004D48BD"/>
    <w:rsid w:val="005035DB"/>
    <w:rsid w:val="00512CDF"/>
    <w:rsid w:val="006006D0"/>
    <w:rsid w:val="00613241"/>
    <w:rsid w:val="00615FB5"/>
    <w:rsid w:val="0065647B"/>
    <w:rsid w:val="00661695"/>
    <w:rsid w:val="00664D13"/>
    <w:rsid w:val="0068254E"/>
    <w:rsid w:val="006847A0"/>
    <w:rsid w:val="006A2458"/>
    <w:rsid w:val="00714C8C"/>
    <w:rsid w:val="0072484A"/>
    <w:rsid w:val="00766F09"/>
    <w:rsid w:val="00767817"/>
    <w:rsid w:val="007C4382"/>
    <w:rsid w:val="007D30B7"/>
    <w:rsid w:val="007D58D4"/>
    <w:rsid w:val="008156F2"/>
    <w:rsid w:val="00856176"/>
    <w:rsid w:val="00895DD0"/>
    <w:rsid w:val="00917EA0"/>
    <w:rsid w:val="00943057"/>
    <w:rsid w:val="00975DEC"/>
    <w:rsid w:val="009F14DD"/>
    <w:rsid w:val="00A1673A"/>
    <w:rsid w:val="00A578FD"/>
    <w:rsid w:val="00A601AC"/>
    <w:rsid w:val="00AF2E2C"/>
    <w:rsid w:val="00B14831"/>
    <w:rsid w:val="00B23656"/>
    <w:rsid w:val="00B43C57"/>
    <w:rsid w:val="00B538C8"/>
    <w:rsid w:val="00B54864"/>
    <w:rsid w:val="00B86F64"/>
    <w:rsid w:val="00B97E31"/>
    <w:rsid w:val="00BB4AA6"/>
    <w:rsid w:val="00BE2F31"/>
    <w:rsid w:val="00C47985"/>
    <w:rsid w:val="00C73878"/>
    <w:rsid w:val="00C758E2"/>
    <w:rsid w:val="00C7790B"/>
    <w:rsid w:val="00C92AE1"/>
    <w:rsid w:val="00D21E59"/>
    <w:rsid w:val="00D55B41"/>
    <w:rsid w:val="00DF7BE3"/>
    <w:rsid w:val="00E53BAF"/>
    <w:rsid w:val="00F4580D"/>
    <w:rsid w:val="00F821EF"/>
    <w:rsid w:val="00F924C4"/>
    <w:rsid w:val="00FE13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144E53"/>
  <w15:docId w15:val="{E3CE1F47-6B15-4A03-B4AC-81A3ABAED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2">
    <w:name w:val="heading 2"/>
    <w:basedOn w:val="Normal"/>
    <w:next w:val="Normal"/>
    <w:link w:val="Heading2Char"/>
    <w:uiPriority w:val="9"/>
    <w:semiHidden/>
    <w:unhideWhenUsed/>
    <w:qFormat/>
    <w:rsid w:val="007D58D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D58D4"/>
    <w:pPr>
      <w:spacing w:before="100" w:beforeAutospacing="1" w:after="100" w:afterAutospacing="1" w:line="240" w:lineRule="auto"/>
      <w:outlineLvl w:val="2"/>
    </w:pPr>
    <w:rPr>
      <w:rFonts w:eastAsia="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58D4"/>
    <w:pPr>
      <w:spacing w:before="100" w:beforeAutospacing="1" w:after="100" w:afterAutospacing="1" w:line="240" w:lineRule="auto"/>
    </w:pPr>
    <w:rPr>
      <w:rFonts w:eastAsia="Times New Roman"/>
    </w:rPr>
  </w:style>
  <w:style w:type="character" w:customStyle="1" w:styleId="Heading3Char">
    <w:name w:val="Heading 3 Char"/>
    <w:basedOn w:val="DefaultParagraphFont"/>
    <w:link w:val="Heading3"/>
    <w:uiPriority w:val="9"/>
    <w:rsid w:val="007D58D4"/>
    <w:rPr>
      <w:rFonts w:eastAsia="Times New Roman"/>
      <w:b/>
      <w:bCs/>
      <w:sz w:val="27"/>
      <w:szCs w:val="27"/>
    </w:rPr>
  </w:style>
  <w:style w:type="character" w:customStyle="1" w:styleId="Heading2Char">
    <w:name w:val="Heading 2 Char"/>
    <w:basedOn w:val="DefaultParagraphFont"/>
    <w:link w:val="Heading2"/>
    <w:uiPriority w:val="9"/>
    <w:semiHidden/>
    <w:rsid w:val="007D58D4"/>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7D58D4"/>
    <w:rPr>
      <w:b/>
      <w:bCs/>
    </w:rPr>
  </w:style>
  <w:style w:type="character" w:styleId="Hyperlink">
    <w:name w:val="Hyperlink"/>
    <w:basedOn w:val="DefaultParagraphFont"/>
    <w:uiPriority w:val="99"/>
    <w:unhideWhenUsed/>
    <w:rsid w:val="00917EA0"/>
    <w:rPr>
      <w:color w:val="0000FF"/>
      <w:u w:val="single"/>
    </w:rPr>
  </w:style>
  <w:style w:type="character" w:styleId="Emphasis">
    <w:name w:val="Emphasis"/>
    <w:basedOn w:val="DefaultParagraphFont"/>
    <w:uiPriority w:val="20"/>
    <w:qFormat/>
    <w:rsid w:val="006847A0"/>
    <w:rPr>
      <w:i/>
      <w:iCs/>
    </w:rPr>
  </w:style>
  <w:style w:type="paragraph" w:styleId="Header">
    <w:name w:val="header"/>
    <w:basedOn w:val="Normal"/>
    <w:link w:val="HeaderChar"/>
    <w:uiPriority w:val="99"/>
    <w:unhideWhenUsed/>
    <w:rsid w:val="00A578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78FD"/>
  </w:style>
  <w:style w:type="paragraph" w:styleId="Footer">
    <w:name w:val="footer"/>
    <w:basedOn w:val="Normal"/>
    <w:link w:val="FooterChar"/>
    <w:uiPriority w:val="99"/>
    <w:unhideWhenUsed/>
    <w:rsid w:val="00A578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7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372060">
      <w:bodyDiv w:val="1"/>
      <w:marLeft w:val="0"/>
      <w:marRight w:val="0"/>
      <w:marTop w:val="0"/>
      <w:marBottom w:val="0"/>
      <w:divBdr>
        <w:top w:val="none" w:sz="0" w:space="0" w:color="auto"/>
        <w:left w:val="none" w:sz="0" w:space="0" w:color="auto"/>
        <w:bottom w:val="none" w:sz="0" w:space="0" w:color="auto"/>
        <w:right w:val="none" w:sz="0" w:space="0" w:color="auto"/>
      </w:divBdr>
    </w:div>
    <w:div w:id="823395692">
      <w:bodyDiv w:val="1"/>
      <w:marLeft w:val="0"/>
      <w:marRight w:val="0"/>
      <w:marTop w:val="0"/>
      <w:marBottom w:val="0"/>
      <w:divBdr>
        <w:top w:val="none" w:sz="0" w:space="0" w:color="auto"/>
        <w:left w:val="none" w:sz="0" w:space="0" w:color="auto"/>
        <w:bottom w:val="none" w:sz="0" w:space="0" w:color="auto"/>
        <w:right w:val="none" w:sz="0" w:space="0" w:color="auto"/>
      </w:divBdr>
    </w:div>
    <w:div w:id="826364471">
      <w:bodyDiv w:val="1"/>
      <w:marLeft w:val="0"/>
      <w:marRight w:val="0"/>
      <w:marTop w:val="0"/>
      <w:marBottom w:val="0"/>
      <w:divBdr>
        <w:top w:val="none" w:sz="0" w:space="0" w:color="auto"/>
        <w:left w:val="none" w:sz="0" w:space="0" w:color="auto"/>
        <w:bottom w:val="none" w:sz="0" w:space="0" w:color="auto"/>
        <w:right w:val="none" w:sz="0" w:space="0" w:color="auto"/>
      </w:divBdr>
    </w:div>
    <w:div w:id="984427926">
      <w:bodyDiv w:val="1"/>
      <w:marLeft w:val="0"/>
      <w:marRight w:val="0"/>
      <w:marTop w:val="0"/>
      <w:marBottom w:val="0"/>
      <w:divBdr>
        <w:top w:val="none" w:sz="0" w:space="0" w:color="auto"/>
        <w:left w:val="none" w:sz="0" w:space="0" w:color="auto"/>
        <w:bottom w:val="none" w:sz="0" w:space="0" w:color="auto"/>
        <w:right w:val="none" w:sz="0" w:space="0" w:color="auto"/>
      </w:divBdr>
    </w:div>
    <w:div w:id="1217089136">
      <w:bodyDiv w:val="1"/>
      <w:marLeft w:val="0"/>
      <w:marRight w:val="0"/>
      <w:marTop w:val="0"/>
      <w:marBottom w:val="0"/>
      <w:divBdr>
        <w:top w:val="none" w:sz="0" w:space="0" w:color="auto"/>
        <w:left w:val="none" w:sz="0" w:space="0" w:color="auto"/>
        <w:bottom w:val="none" w:sz="0" w:space="0" w:color="auto"/>
        <w:right w:val="none" w:sz="0" w:space="0" w:color="auto"/>
      </w:divBdr>
    </w:div>
    <w:div w:id="1234658595">
      <w:bodyDiv w:val="1"/>
      <w:marLeft w:val="0"/>
      <w:marRight w:val="0"/>
      <w:marTop w:val="0"/>
      <w:marBottom w:val="0"/>
      <w:divBdr>
        <w:top w:val="none" w:sz="0" w:space="0" w:color="auto"/>
        <w:left w:val="none" w:sz="0" w:space="0" w:color="auto"/>
        <w:bottom w:val="none" w:sz="0" w:space="0" w:color="auto"/>
        <w:right w:val="none" w:sz="0" w:space="0" w:color="auto"/>
      </w:divBdr>
    </w:div>
    <w:div w:id="1251697907">
      <w:bodyDiv w:val="1"/>
      <w:marLeft w:val="0"/>
      <w:marRight w:val="0"/>
      <w:marTop w:val="0"/>
      <w:marBottom w:val="0"/>
      <w:divBdr>
        <w:top w:val="none" w:sz="0" w:space="0" w:color="auto"/>
        <w:left w:val="none" w:sz="0" w:space="0" w:color="auto"/>
        <w:bottom w:val="none" w:sz="0" w:space="0" w:color="auto"/>
        <w:right w:val="none" w:sz="0" w:space="0" w:color="auto"/>
      </w:divBdr>
    </w:div>
    <w:div w:id="1435322651">
      <w:bodyDiv w:val="1"/>
      <w:marLeft w:val="0"/>
      <w:marRight w:val="0"/>
      <w:marTop w:val="0"/>
      <w:marBottom w:val="0"/>
      <w:divBdr>
        <w:top w:val="none" w:sz="0" w:space="0" w:color="auto"/>
        <w:left w:val="none" w:sz="0" w:space="0" w:color="auto"/>
        <w:bottom w:val="none" w:sz="0" w:space="0" w:color="auto"/>
        <w:right w:val="none" w:sz="0" w:space="0" w:color="auto"/>
      </w:divBdr>
    </w:div>
    <w:div w:id="1594898766">
      <w:bodyDiv w:val="1"/>
      <w:marLeft w:val="0"/>
      <w:marRight w:val="0"/>
      <w:marTop w:val="0"/>
      <w:marBottom w:val="0"/>
      <w:divBdr>
        <w:top w:val="none" w:sz="0" w:space="0" w:color="auto"/>
        <w:left w:val="none" w:sz="0" w:space="0" w:color="auto"/>
        <w:bottom w:val="none" w:sz="0" w:space="0" w:color="auto"/>
        <w:right w:val="none" w:sz="0" w:space="0" w:color="auto"/>
      </w:divBdr>
    </w:div>
    <w:div w:id="2003779631">
      <w:bodyDiv w:val="1"/>
      <w:marLeft w:val="0"/>
      <w:marRight w:val="0"/>
      <w:marTop w:val="0"/>
      <w:marBottom w:val="0"/>
      <w:divBdr>
        <w:top w:val="none" w:sz="0" w:space="0" w:color="auto"/>
        <w:left w:val="none" w:sz="0" w:space="0" w:color="auto"/>
        <w:bottom w:val="none" w:sz="0" w:space="0" w:color="auto"/>
        <w:right w:val="none" w:sz="0" w:space="0" w:color="auto"/>
      </w:divBdr>
    </w:div>
    <w:div w:id="2096973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manticsarchive.net/Archive/TRjYmNiN/GoodhueWagner_2015.pdf" TargetMode="Externa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80/03601277.2015.1083392" TargetMode="External"/><Relationship Id="rId4" Type="http://schemas.openxmlformats.org/officeDocument/2006/relationships/settings" Target="settings.xml"/><Relationship Id="rId9" Type="http://schemas.openxmlformats.org/officeDocument/2006/relationships/hyperlink" Target="https://ecampusontario.pressbooks.pub/communicationatwork/chapter/11-2-conflict-resolution-strategies/"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8B14790F6E049C29908EBFCF19E7A75"/>
        <w:category>
          <w:name w:val="General"/>
          <w:gallery w:val="placeholder"/>
        </w:category>
        <w:types>
          <w:type w:val="bbPlcHdr"/>
        </w:types>
        <w:behaviors>
          <w:behavior w:val="content"/>
        </w:behaviors>
        <w:guid w:val="{44291C83-3BBA-4A4A-8C39-2FE7F4FBFFDA}"/>
      </w:docPartPr>
      <w:docPartBody>
        <w:p w:rsidR="001716F2" w:rsidRDefault="00CA5675" w:rsidP="00CA5675">
          <w:pPr>
            <w:pStyle w:val="28B14790F6E049C29908EBFCF19E7A75"/>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675"/>
    <w:rsid w:val="00007454"/>
    <w:rsid w:val="000130C6"/>
    <w:rsid w:val="001716F2"/>
    <w:rsid w:val="002A64B7"/>
    <w:rsid w:val="005744FB"/>
    <w:rsid w:val="006764C5"/>
    <w:rsid w:val="0095762B"/>
    <w:rsid w:val="00CA5675"/>
    <w:rsid w:val="00DB2562"/>
    <w:rsid w:val="00E811E1"/>
    <w:rsid w:val="00E97A32"/>
    <w:rsid w:val="00EF1A64"/>
    <w:rsid w:val="00F95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B14790F6E049C29908EBFCF19E7A75">
    <w:name w:val="28B14790F6E049C29908EBFCF19E7A75"/>
    <w:rsid w:val="00CA5675"/>
  </w:style>
  <w:style w:type="paragraph" w:customStyle="1" w:styleId="FBB6966FF117485EB47465B7BEBCA672">
    <w:name w:val="FBB6966FF117485EB47465B7BEBCA672"/>
    <w:rsid w:val="00CA5675"/>
  </w:style>
  <w:style w:type="paragraph" w:customStyle="1" w:styleId="0B9094813F8C470796035ADDD4558CF5">
    <w:name w:val="0B9094813F8C470796035ADDD4558CF5"/>
    <w:rsid w:val="00CA5675"/>
  </w:style>
  <w:style w:type="paragraph" w:customStyle="1" w:styleId="DF91B57FE6414764BCE63925CBD8F10C">
    <w:name w:val="DF91B57FE6414764BCE63925CBD8F10C"/>
    <w:rsid w:val="00CA56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F2C178-2DAD-4B7F-B728-B0A7EF2E6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Pages>
  <Words>2359</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hrvoje Gasparic (1917115)</dc:creator>
  <cp:lastModifiedBy>Hrvoje Gasparic</cp:lastModifiedBy>
  <cp:revision>22</cp:revision>
  <dcterms:created xsi:type="dcterms:W3CDTF">2020-04-26T18:51:00Z</dcterms:created>
  <dcterms:modified xsi:type="dcterms:W3CDTF">2020-05-10T16:55:00Z</dcterms:modified>
</cp:coreProperties>
</file>