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14:textOutline w14:w="12700" w14:cap="flat">
            <w14:noFill/>
            <w14:miter w14:lim="400000"/>
          </w14:textOutline>
          <w14:textFill>
            <w14:solidFill>
              <w14:srgbClr w14:val="000000"/>
            </w14:solidFill>
          </w14:textFill>
        </w:rPr>
      </w:pPr>
      <w:r>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lang w:val="en-US"/>
          <w14:textOutline w14:w="12700" w14:cap="flat">
            <w14:noFill/>
            <w14:miter w14:lim="400000"/>
          </w14:textOutline>
          <w14:textFill>
            <w14:solidFill>
              <w14:srgbClr w14:val="000000"/>
            </w14:solidFill>
          </w14:textFill>
        </w:rPr>
        <w:drawing xmlns:a="http://schemas.openxmlformats.org/drawingml/2006/main">
          <wp:inline distT="0" distB="0" distL="0" distR="0">
            <wp:extent cx="1908050" cy="635662"/>
            <wp:effectExtent l="0" t="0" r="0" b="0"/>
            <wp:docPr id="1073741825" name="officeArt object" descr="TSD_logo2010.png"/>
            <wp:cNvGraphicFramePr/>
            <a:graphic xmlns:a="http://schemas.openxmlformats.org/drawingml/2006/main">
              <a:graphicData uri="http://schemas.openxmlformats.org/drawingml/2006/picture">
                <pic:pic xmlns:pic="http://schemas.openxmlformats.org/drawingml/2006/picture">
                  <pic:nvPicPr>
                    <pic:cNvPr id="1073741825" name="TSD_logo2010.png" descr="TSD_logo2010.png"/>
                    <pic:cNvPicPr>
                      <a:picLocks noChangeAspect="1"/>
                    </pic:cNvPicPr>
                  </pic:nvPicPr>
                  <pic:blipFill>
                    <a:blip r:embed="rId4">
                      <a:extLst/>
                    </a:blip>
                    <a:stretch>
                      <a:fillRect/>
                    </a:stretch>
                  </pic:blipFill>
                  <pic:spPr>
                    <a:xfrm>
                      <a:off x="0" y="0"/>
                      <a:ext cx="1908050" cy="635662"/>
                    </a:xfrm>
                    <a:prstGeom prst="rect">
                      <a:avLst/>
                    </a:prstGeom>
                    <a:ln w="19050" cap="flat">
                      <a:solidFill>
                        <a:srgbClr val="000000"/>
                      </a:solidFill>
                      <a:prstDash val="solid"/>
                      <a:round/>
                    </a:ln>
                    <a:effectLst/>
                  </pic:spPr>
                </pic:pic>
              </a:graphicData>
            </a:graphic>
          </wp:inline>
        </w:drawing>
      </w: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rPr>
          <w:rFonts w:ascii="Georgia" w:cs="Georgia" w:hAnsi="Georgia" w:eastAsia="Georgia"/>
          <w:caps w:val="0"/>
          <w:smallCaps w:val="0"/>
          <w:strike w:val="0"/>
          <w:dstrike w:val="0"/>
          <w:outline w:val="0"/>
          <w:color w:val="000000"/>
          <w:spacing w:val="0"/>
          <w:kern w:val="0"/>
          <w:position w:val="0"/>
          <w:sz w:val="21"/>
          <w:szCs w:val="21"/>
          <w:u w:val="none" w:color="000000"/>
          <w:shd w:val="nil" w:color="auto" w:fill="auto"/>
          <w:vertAlign w:val="baseline"/>
          <w:lang w:val="en-US"/>
          <w14:textOutline w14:w="12700" w14:cap="flat">
            <w14:noFill/>
            <w14:miter w14:lim="400000"/>
          </w14:textOutline>
          <w14:textFill>
            <w14:solidFill>
              <w14:srgbClr w14:val="000000"/>
            </w14:solidFill>
          </w14:textFill>
        </w:rPr>
      </w:pPr>
    </w:p>
    <w:p>
      <w:pPr>
        <w:pStyle w:val="Body"/>
        <w:jc w:val="center"/>
        <w:rPr>
          <w:rFonts w:ascii="Arial" w:cs="Arial" w:hAnsi="Arial" w:eastAsia="Arial"/>
          <w:b w:val="1"/>
          <w:bCs w:val="1"/>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 xml:space="preserve">Postgraduate/Distance Learning </w:t>
      </w:r>
    </w:p>
    <w:p>
      <w:pPr>
        <w:pStyle w:val="Body"/>
        <w:jc w:val="center"/>
        <w:rPr>
          <w:rFonts w:ascii="Trebuchet MS" w:cs="Trebuchet MS" w:hAnsi="Trebuchet MS" w:eastAsia="Trebuchet MS"/>
          <w:caps w:val="0"/>
          <w:smallCaps w:val="0"/>
          <w:strike w:val="0"/>
          <w:dstrike w:val="0"/>
          <w:outline w:val="0"/>
          <w:color w:val="000000"/>
          <w:spacing w:val="0"/>
          <w:kern w:val="0"/>
          <w:position w:val="0"/>
          <w:sz w:val="21"/>
          <w:szCs w:val="21"/>
          <w:u w:val="none" w:color="000000"/>
          <w:shd w:val="nil" w:color="auto" w:fill="auto"/>
          <w:vertAlign w:val="baseline"/>
          <w14:textOutline w14:w="12700" w14:cap="flat">
            <w14:noFill/>
            <w14:miter w14:lim="400000"/>
          </w14:textOutline>
          <w14:textFill>
            <w14:solidFill>
              <w14:srgbClr w14:val="000000"/>
            </w14:solidFill>
          </w14:textFill>
        </w:rPr>
      </w:pPr>
      <w:r>
        <w:rPr>
          <w:rFonts w:ascii="Arial" w:hAnsi="Arial"/>
          <w:b w:val="1"/>
          <w:bCs w:val="1"/>
          <w:caps w:val="0"/>
          <w:smallCaps w:val="0"/>
          <w:strike w:val="0"/>
          <w:dstrike w:val="0"/>
          <w:outline w:val="0"/>
          <w:color w:val="000000"/>
          <w:spacing w:val="0"/>
          <w:kern w:val="0"/>
          <w:position w:val="0"/>
          <w:sz w:val="28"/>
          <w:szCs w:val="28"/>
          <w:u w:val="none" w:color="000000"/>
          <w:shd w:val="nil" w:color="auto" w:fill="auto"/>
          <w:vertAlign w:val="baseline"/>
          <w:rtl w:val="0"/>
          <w:lang w:val="en-US"/>
          <w14:textOutline w14:w="12700" w14:cap="flat">
            <w14:noFill/>
            <w14:miter w14:lim="400000"/>
          </w14:textOutline>
          <w14:textFill>
            <w14:solidFill>
              <w14:srgbClr w14:val="000000"/>
            </w14:solidFill>
          </w14:textFill>
        </w:rPr>
        <w:t>Assignment coversheet &amp; feedback form</w:t>
      </w:r>
    </w:p>
    <w:tbl>
      <w:tblPr>
        <w:tblW w:w="8856"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adfff"/>
        <w:tblLayout w:type="fixed"/>
      </w:tblPr>
      <w:tblGrid>
        <w:gridCol w:w="4788"/>
        <w:gridCol w:w="423"/>
        <w:gridCol w:w="1557"/>
        <w:gridCol w:w="285"/>
        <w:gridCol w:w="1803"/>
      </w:tblGrid>
      <w:tr>
        <w:tblPrEx>
          <w:shd w:val="clear" w:color="auto" w:fill="cadfff"/>
        </w:tblPrEx>
        <w:trPr>
          <w:trHeight w:val="464"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b w:val="1"/>
                <w:bCs w:val="1"/>
                <w:sz w:val="22"/>
                <w:szCs w:val="22"/>
                <w:shd w:val="nil" w:color="auto" w:fill="auto"/>
                <w:rtl w:val="0"/>
                <w:lang w:val="en-US"/>
                <w14:textOutline w14:w="12700" w14:cap="flat">
                  <w14:noFill/>
                  <w14:miter w14:lim="400000"/>
                </w14:textOutline>
              </w:rPr>
              <w:t>For completion by the student</w:t>
            </w:r>
            <w:r>
              <w:rPr>
                <w:rFonts w:ascii="Arial" w:hAnsi="Arial"/>
                <w:sz w:val="22"/>
                <w:szCs w:val="22"/>
                <w:shd w:val="nil" w:color="auto" w:fill="auto"/>
                <w:rtl w:val="0"/>
                <w:lang w:val="en-US"/>
                <w14:textOutline w14:w="12700" w14:cap="flat">
                  <w14:noFill/>
                  <w14:miter w14:lim="400000"/>
                </w14:textOutline>
              </w:rPr>
              <w:t>:</w:t>
            </w:r>
          </w:p>
        </w:tc>
      </w:tr>
      <w:tr>
        <w:tblPrEx>
          <w:shd w:val="clear" w:color="auto" w:fill="cadfff"/>
        </w:tblPrEx>
        <w:trPr>
          <w:trHeight w:val="56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sz w:val="22"/>
                <w:szCs w:val="22"/>
                <w:shd w:val="nil" w:color="auto" w:fill="auto"/>
                <w:rtl w:val="0"/>
                <w:lang w:val="en-US"/>
                <w14:textOutline w14:w="12700" w14:cap="flat">
                  <w14:noFill/>
                  <w14:miter w14:lim="400000"/>
                </w14:textOutline>
              </w:rPr>
              <w:t>Student Name: Marina Rimsha</w:t>
            </w:r>
          </w:p>
        </w:tc>
      </w:tr>
      <w:tr>
        <w:tblPrEx>
          <w:shd w:val="clear" w:color="auto" w:fill="cadfff"/>
        </w:tblPrEx>
        <w:trPr>
          <w:trHeight w:val="1453" w:hRule="atLeast"/>
        </w:trPr>
        <w:tc>
          <w:tcPr>
            <w:tcW w:type="dxa" w:w="478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Module code: HPCA7015</w:t>
            </w:r>
          </w:p>
          <w:p>
            <w:pPr>
              <w:pStyle w:val="Body"/>
              <w:ind w:right="34"/>
              <w:rPr>
                <w:rFonts w:ascii="Arial" w:cs="Arial" w:hAnsi="Arial" w:eastAsia="Arial"/>
                <w:sz w:val="22"/>
                <w:szCs w:val="22"/>
                <w:shd w:val="nil" w:color="auto" w:fill="auto"/>
                <w:lang w:val="en-US"/>
                <w14:textOutline w14:w="12700" w14:cap="flat">
                  <w14:noFill/>
                  <w14:miter w14:lim="400000"/>
                </w14:textOutline>
              </w:rPr>
            </w:pPr>
          </w:p>
          <w:p>
            <w:pPr>
              <w:pStyle w:val="Body"/>
              <w:bidi w:val="0"/>
              <w:ind w:left="0" w:right="34" w:firstLine="0"/>
              <w:jc w:val="left"/>
              <w:rPr>
                <w:rtl w:val="0"/>
              </w:rPr>
            </w:pPr>
            <w:r>
              <w:rPr>
                <w:rFonts w:ascii="Arial" w:hAnsi="Arial"/>
                <w:sz w:val="22"/>
                <w:szCs w:val="22"/>
                <w:shd w:val="nil" w:color="auto" w:fill="auto"/>
                <w:rtl w:val="0"/>
                <w:lang w:val="en-US"/>
                <w14:textOutline w14:w="12700" w14:cap="flat">
                  <w14:noFill/>
                  <w14:miter w14:lim="400000"/>
                </w14:textOutline>
              </w:rPr>
              <w:t>Module title: Foundations in Cultural Astronomy and Astrology</w:t>
            </w:r>
            <w:r>
              <w:rPr>
                <w:rFonts w:ascii="Arial" w:cs="Arial" w:hAnsi="Arial" w:eastAsia="Arial"/>
                <w:sz w:val="22"/>
                <w:szCs w:val="22"/>
                <w:shd w:val="nil" w:color="auto" w:fill="auto"/>
                <w14:textOutline w14:w="12700" w14:cap="flat">
                  <w14:noFill/>
                  <w14:miter w14:lim="400000"/>
                </w14:textOutline>
              </w:rPr>
            </w:r>
          </w:p>
        </w:tc>
        <w:tc>
          <w:tcPr>
            <w:tcW w:type="dxa" w:w="226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pPr>
            <w:r>
              <w:rPr>
                <w:rFonts w:ascii="Arial" w:hAnsi="Arial"/>
                <w:sz w:val="22"/>
                <w:szCs w:val="22"/>
                <w:shd w:val="nil" w:color="auto" w:fill="auto"/>
                <w:rtl w:val="0"/>
                <w:lang w:val="en-US"/>
                <w14:textOutline w14:w="12700" w14:cap="flat">
                  <w14:noFill/>
                  <w14:miter w14:lim="400000"/>
                </w14:textOutline>
              </w:rPr>
              <w:t>Student ID number: 1706052</w:t>
            </w:r>
          </w:p>
        </w:tc>
        <w:tc>
          <w:tcPr>
            <w:tcW w:type="dxa" w:w="18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Educational support needs:</w:t>
            </w:r>
          </w:p>
          <w:p>
            <w:pPr>
              <w:pStyle w:val="Body"/>
              <w:bidi w:val="0"/>
              <w:ind w:left="0" w:right="34" w:firstLine="0"/>
              <w:jc w:val="left"/>
              <w:rPr>
                <w:rtl w:val="0"/>
              </w:rPr>
            </w:pPr>
            <w:r>
              <w:rPr>
                <w:rFonts w:ascii="Arial" w:hAnsi="Arial"/>
                <w:sz w:val="22"/>
                <w:szCs w:val="22"/>
                <w:shd w:val="nil" w:color="auto" w:fill="auto"/>
                <w:rtl w:val="0"/>
                <w:lang w:val="en-US"/>
                <w14:textOutline w14:w="12700" w14:cap="flat">
                  <w14:noFill/>
                  <w14:miter w14:lim="400000"/>
                </w14:textOutline>
              </w:rPr>
              <w:t>Yes/No</w:t>
            </w:r>
          </w:p>
        </w:tc>
      </w:tr>
      <w:tr>
        <w:tblPrEx>
          <w:shd w:val="clear" w:color="auto" w:fill="cadfff"/>
        </w:tblPrEx>
        <w:trPr>
          <w:trHeight w:val="989"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Module tutor: Dr. Nicholas Campion</w:t>
            </w:r>
          </w:p>
          <w:p>
            <w:pPr>
              <w:pStyle w:val="Body"/>
              <w:ind w:right="34"/>
              <w:rPr>
                <w:rFonts w:ascii="Arial" w:cs="Arial" w:hAnsi="Arial" w:eastAsia="Arial"/>
                <w:sz w:val="22"/>
                <w:szCs w:val="22"/>
                <w:shd w:val="nil" w:color="auto" w:fill="auto"/>
                <w:lang w:val="en-US"/>
                <w14:textOutline w14:w="12700" w14:cap="flat">
                  <w14:noFill/>
                  <w14:miter w14:lim="400000"/>
                </w14:textOutline>
              </w:rPr>
            </w:pPr>
          </w:p>
          <w:p>
            <w:pPr>
              <w:pStyle w:val="Body"/>
              <w:ind w:right="34"/>
              <w:rPr>
                <w:rFonts w:ascii="Arial" w:cs="Arial" w:hAnsi="Arial" w:eastAsia="Arial"/>
                <w:sz w:val="22"/>
                <w:szCs w:val="22"/>
                <w:shd w:val="nil" w:color="auto" w:fill="auto"/>
                <w:lang w:val="en-US"/>
                <w14:textOutline w14:w="12700" w14:cap="flat">
                  <w14:noFill/>
                  <w14:miter w14:lim="400000"/>
                </w14:textOutline>
              </w:rPr>
            </w:pPr>
          </w:p>
          <w:p>
            <w:pPr>
              <w:pStyle w:val="Body"/>
              <w:bidi w:val="0"/>
              <w:ind w:left="0" w:right="34" w:firstLine="0"/>
              <w:jc w:val="left"/>
              <w:rPr>
                <w:rtl w:val="0"/>
              </w:rPr>
            </w:pPr>
            <w:r>
              <w:rPr>
                <w:rFonts w:ascii="Arial" w:hAnsi="Arial"/>
                <w:sz w:val="22"/>
                <w:szCs w:val="22"/>
                <w:shd w:val="nil" w:color="auto" w:fill="auto"/>
                <w:rtl w:val="0"/>
                <w:lang w:val="en-US"/>
                <w14:textOutline w14:w="12700" w14:cap="flat">
                  <w14:noFill/>
                  <w14:miter w14:lim="400000"/>
                </w14:textOutline>
              </w:rPr>
              <w:t>Assignment due date: 28 of November</w:t>
            </w:r>
          </w:p>
        </w:tc>
      </w:tr>
      <w:tr>
        <w:tblPrEx>
          <w:shd w:val="clear" w:color="auto" w:fill="cadfff"/>
        </w:tblPrEx>
        <w:trPr>
          <w:trHeight w:val="828"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If your module has multiple submissions please indicate which piece of work this is.</w:t>
            </w:r>
          </w:p>
          <w:p>
            <w:pPr>
              <w:pStyle w:val="Body A"/>
              <w:rPr>
                <w:rFonts w:ascii="Arial" w:cs="Arial" w:hAnsi="Arial" w:eastAsia="Arial"/>
                <w:shd w:val="nil" w:color="auto" w:fill="auto"/>
                <w:lang w:val="en-US"/>
              </w:rPr>
            </w:pPr>
          </w:p>
          <w:p>
            <w:pPr>
              <w:pStyle w:val="Body A"/>
              <w:bidi w:val="0"/>
              <w:ind w:left="0" w:right="0" w:firstLine="0"/>
              <w:jc w:val="left"/>
              <w:rPr>
                <w:rtl w:val="0"/>
              </w:rPr>
            </w:pPr>
            <w:r>
              <w:rPr>
                <w:rFonts w:ascii="Arial" w:hAnsi="Arial"/>
                <w:sz w:val="20"/>
                <w:szCs w:val="20"/>
                <w:shd w:val="nil" w:color="auto" w:fill="auto"/>
                <w:rtl w:val="0"/>
                <w:lang w:val="en-US"/>
              </w:rPr>
              <w:t>1</w:t>
            </w:r>
            <w:r>
              <w:rPr>
                <w:rFonts w:ascii="Arial" w:hAnsi="Arial"/>
                <w:sz w:val="20"/>
                <w:szCs w:val="20"/>
                <w:shd w:val="nil" w:color="auto" w:fill="auto"/>
                <w:vertAlign w:val="superscript"/>
                <w:rtl w:val="0"/>
                <w:lang w:val="en-US"/>
              </w:rPr>
              <w:t xml:space="preserve">st </w:t>
            </w:r>
            <w:r>
              <w:rPr>
                <w:rFonts w:ascii="Arial" w:hAnsi="Arial"/>
                <w:shd w:val="nil" w:color="auto" w:fill="auto"/>
                <w:rtl w:val="0"/>
                <w:lang w:val="en-US"/>
              </w:rPr>
              <w:t xml:space="preserve">    </w:t>
            </w:r>
            <w:r>
              <w:rPr>
                <w:rFonts w:ascii="Arial" w:hAnsi="Arial"/>
                <w:b w:val="1"/>
                <w:bCs w:val="1"/>
                <w:shd w:val="nil" w:color="auto" w:fill="auto"/>
                <w:rtl w:val="0"/>
                <w:lang w:val="en-US"/>
              </w:rPr>
              <w:t>2</w:t>
            </w:r>
            <w:r>
              <w:rPr>
                <w:rFonts w:ascii="Arial" w:hAnsi="Arial"/>
                <w:b w:val="1"/>
                <w:bCs w:val="1"/>
                <w:shd w:val="nil" w:color="auto" w:fill="auto"/>
                <w:vertAlign w:val="superscript"/>
                <w:rtl w:val="0"/>
                <w:lang w:val="en-US"/>
              </w:rPr>
              <w:t>nd</w:t>
            </w:r>
            <w:r>
              <w:rPr>
                <w:rFonts w:ascii="Arial" w:hAnsi="Arial"/>
                <w:b w:val="1"/>
                <w:bCs w:val="1"/>
                <w:shd w:val="nil" w:color="auto" w:fill="auto"/>
                <w:rtl w:val="0"/>
                <w:lang w:val="en-US"/>
              </w:rPr>
              <w:t xml:space="preserve"> </w:t>
            </w:r>
            <w:r>
              <w:rPr>
                <w:rFonts w:ascii="Arial" w:hAnsi="Arial"/>
                <w:shd w:val="nil" w:color="auto" w:fill="auto"/>
                <w:rtl w:val="0"/>
                <w:lang w:val="en-US"/>
              </w:rPr>
              <w:t xml:space="preserve">      </w:t>
            </w:r>
            <w:r>
              <w:rPr>
                <w:rFonts w:ascii="Arial" w:hAnsi="Arial"/>
                <w:sz w:val="20"/>
                <w:szCs w:val="20"/>
                <w:shd w:val="nil" w:color="auto" w:fill="auto"/>
                <w:rtl w:val="0"/>
                <w:lang w:val="en-US"/>
              </w:rPr>
              <w:t>3</w:t>
            </w:r>
            <w:r>
              <w:rPr>
                <w:rFonts w:ascii="Arial" w:hAnsi="Arial"/>
                <w:sz w:val="20"/>
                <w:szCs w:val="20"/>
                <w:shd w:val="nil" w:color="auto" w:fill="auto"/>
                <w:vertAlign w:val="superscript"/>
                <w:rtl w:val="0"/>
                <w:lang w:val="en-US"/>
              </w:rPr>
              <w:t>rd</w:t>
            </w:r>
            <w:r>
              <w:rPr>
                <w:rFonts w:ascii="Arial" w:hAnsi="Arial"/>
                <w:sz w:val="20"/>
                <w:szCs w:val="20"/>
                <w:shd w:val="nil" w:color="auto" w:fill="auto"/>
                <w:rtl w:val="0"/>
                <w:lang w:val="en-US"/>
              </w:rPr>
              <w:t xml:space="preserve">        4</w:t>
            </w:r>
            <w:r>
              <w:rPr>
                <w:rFonts w:ascii="Arial" w:hAnsi="Arial"/>
                <w:sz w:val="20"/>
                <w:szCs w:val="20"/>
                <w:shd w:val="nil" w:color="auto" w:fill="auto"/>
                <w:vertAlign w:val="superscript"/>
                <w:rtl w:val="0"/>
                <w:lang w:val="en-US"/>
              </w:rPr>
              <w:t>th</w:t>
            </w:r>
            <w:r>
              <w:rPr>
                <w:rFonts w:ascii="Arial" w:hAnsi="Arial"/>
                <w:sz w:val="20"/>
                <w:szCs w:val="20"/>
                <w:shd w:val="nil" w:color="auto" w:fill="auto"/>
                <w:rtl w:val="0"/>
                <w:lang w:val="en-US"/>
              </w:rPr>
              <w:t xml:space="preserve">       5</w:t>
            </w:r>
            <w:r>
              <w:rPr>
                <w:rFonts w:ascii="Arial" w:hAnsi="Arial"/>
                <w:sz w:val="20"/>
                <w:szCs w:val="20"/>
                <w:shd w:val="nil" w:color="auto" w:fill="auto"/>
                <w:vertAlign w:val="superscript"/>
                <w:rtl w:val="0"/>
                <w:lang w:val="en-US"/>
              </w:rPr>
              <w:t>th</w:t>
            </w:r>
            <w:r>
              <w:rPr>
                <w:rFonts w:ascii="Arial" w:hAnsi="Arial"/>
                <w:sz w:val="20"/>
                <w:szCs w:val="20"/>
                <w:shd w:val="nil" w:color="auto" w:fill="auto"/>
                <w:rtl w:val="0"/>
                <w:lang w:val="en-US"/>
              </w:rPr>
              <w:t xml:space="preserve">       6</w:t>
            </w:r>
            <w:r>
              <w:rPr>
                <w:rFonts w:ascii="Arial" w:hAnsi="Arial"/>
                <w:sz w:val="20"/>
                <w:szCs w:val="20"/>
                <w:shd w:val="nil" w:color="auto" w:fill="auto"/>
                <w:vertAlign w:val="superscript"/>
                <w:rtl w:val="0"/>
                <w:lang w:val="en-US"/>
              </w:rPr>
              <w:t>th</w:t>
            </w:r>
            <w:r>
              <w:rPr>
                <w:rFonts w:ascii="Arial" w:hAnsi="Arial"/>
                <w:sz w:val="20"/>
                <w:szCs w:val="20"/>
                <w:shd w:val="nil" w:color="auto" w:fill="auto"/>
                <w:rtl w:val="0"/>
                <w:lang w:val="en-US"/>
              </w:rPr>
              <w:t xml:space="preserve"> </w:t>
            </w:r>
          </w:p>
        </w:tc>
      </w:tr>
      <w:tr>
        <w:tblPrEx>
          <w:shd w:val="clear" w:color="auto" w:fill="cadfff"/>
        </w:tblPrEx>
        <w:trPr>
          <w:trHeight w:val="1547"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9d9d9"/>
            <w:tcMar>
              <w:top w:type="dxa" w:w="80"/>
              <w:left w:type="dxa" w:w="80"/>
              <w:bottom w:type="dxa" w:w="80"/>
              <w:right w:type="dxa" w:w="114"/>
            </w:tcMar>
            <w:vAlign w:val="top"/>
          </w:tcPr>
          <w:p>
            <w:pPr>
              <w:pStyle w:val="Body"/>
              <w:ind w:right="34"/>
              <w:rPr>
                <w:rFonts w:ascii="Arial" w:cs="Arial" w:hAnsi="Arial" w:eastAsia="Arial"/>
                <w:sz w:val="22"/>
                <w:szCs w:val="22"/>
                <w:shd w:val="nil" w:color="auto" w:fill="auto"/>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I confirm that this is my original work and that I have adhered to the University policy on plagiarism.</w:t>
            </w:r>
          </w:p>
          <w:p>
            <w:pPr>
              <w:pStyle w:val="Body"/>
              <w:bidi w:val="0"/>
              <w:ind w:left="0" w:right="34" w:firstLine="0"/>
              <w:jc w:val="left"/>
              <w:rPr>
                <w:rFonts w:ascii="Arial" w:cs="Arial" w:hAnsi="Arial" w:eastAsia="Arial"/>
                <w:sz w:val="22"/>
                <w:szCs w:val="22"/>
                <w:shd w:val="nil" w:color="auto" w:fill="auto"/>
                <w:rtl w:val="0"/>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 xml:space="preserve">Signed </w:t>
            </w:r>
            <w:r>
              <w:rPr>
                <w:rFonts w:ascii="Arial" w:hAnsi="Arial" w:hint="default"/>
                <w:sz w:val="22"/>
                <w:szCs w:val="22"/>
                <w:shd w:val="nil" w:color="auto" w:fill="auto"/>
                <w:rtl w:val="0"/>
                <w:lang w:val="en-US"/>
                <w14:textOutline w14:w="12700" w14:cap="flat">
                  <w14:noFill/>
                  <w14:miter w14:lim="400000"/>
                </w14:textOutline>
              </w:rPr>
              <w:t>……………………………………………………………</w:t>
            </w:r>
          </w:p>
          <w:p>
            <w:pPr>
              <w:pStyle w:val="Body"/>
              <w:bidi w:val="0"/>
              <w:ind w:left="0" w:right="34" w:firstLine="0"/>
              <w:jc w:val="left"/>
              <w:rPr>
                <w:rFonts w:ascii="Calibri" w:cs="Calibri" w:hAnsi="Calibri" w:eastAsia="Calibri"/>
                <w:b w:val="1"/>
                <w:bCs w:val="1"/>
                <w:sz w:val="44"/>
                <w:szCs w:val="44"/>
                <w:shd w:val="nil" w:color="auto" w:fill="auto"/>
                <w:rtl w:val="0"/>
                <w14:textOutline w14:w="12700" w14:cap="flat">
                  <w14:noFill/>
                  <w14:miter w14:lim="400000"/>
                </w14:textOutline>
              </w:rPr>
            </w:pPr>
            <w:r>
              <w:rPr>
                <w:rFonts w:ascii="Calibri" w:hAnsi="Calibri"/>
                <w:b w:val="1"/>
                <w:bCs w:val="1"/>
                <w:sz w:val="24"/>
                <w:szCs w:val="24"/>
                <w:shd w:val="nil" w:color="auto" w:fill="auto"/>
                <w:rtl w:val="0"/>
                <w:lang w:val="en-US"/>
                <w14:textOutline w14:w="12700" w14:cap="flat">
                  <w14:noFill/>
                  <w14:miter w14:lim="400000"/>
                </w14:textOutline>
              </w:rPr>
              <w:t xml:space="preserve">Email submission: if you are submitting this form via email, please tick this box </w:t>
            </w:r>
            <w:r>
              <w:rPr>
                <w:rFonts w:ascii="Calibri" w:hAnsi="Calibri" w:hint="default"/>
                <w:b w:val="1"/>
                <w:bCs w:val="1"/>
                <w:sz w:val="44"/>
                <w:szCs w:val="44"/>
                <w:shd w:val="nil" w:color="auto" w:fill="auto"/>
                <w:rtl w:val="0"/>
                <w:lang w:val="en-US"/>
                <w14:textOutline w14:w="12700" w14:cap="flat">
                  <w14:noFill/>
                  <w14:miter w14:lim="400000"/>
                </w14:textOutline>
              </w:rPr>
              <w:t>□</w:t>
            </w:r>
          </w:p>
          <w:p>
            <w:pPr>
              <w:pStyle w:val="Body"/>
              <w:bidi w:val="0"/>
              <w:ind w:left="0" w:right="34" w:firstLine="0"/>
              <w:jc w:val="left"/>
              <w:rPr>
                <w:rtl w:val="0"/>
              </w:rPr>
            </w:pPr>
            <w:r>
              <w:rPr>
                <w:rFonts w:ascii="Calibri" w:hAnsi="Calibri"/>
                <w:b w:val="1"/>
                <w:bCs w:val="1"/>
                <w:shd w:val="nil" w:color="auto" w:fill="auto"/>
                <w:rtl w:val="0"/>
                <w:lang w:val="en-US"/>
                <w14:textOutline w14:w="12700" w14:cap="flat">
                  <w14:noFill/>
                  <w14:miter w14:lim="400000"/>
                </w14:textOutline>
              </w:rPr>
              <w:t>(as a substitute for your signature) to confirm that you agree to the above declaration.</w:t>
            </w:r>
          </w:p>
        </w:tc>
      </w:tr>
      <w:tr>
        <w:tblPrEx>
          <w:shd w:val="clear" w:color="auto" w:fill="cadfff"/>
        </w:tblPrEx>
        <w:trPr>
          <w:trHeight w:val="3822"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z w:val="24"/>
                <w:szCs w:val="24"/>
                <w:shd w:val="nil" w:color="auto" w:fill="auto"/>
                <w:lang w:val="en-US"/>
              </w:rPr>
            </w:pPr>
          </w:p>
          <w:p>
            <w:pPr>
              <w:pStyle w:val="Body A"/>
              <w:bidi w:val="0"/>
              <w:ind w:left="0" w:right="0" w:firstLine="0"/>
              <w:jc w:val="left"/>
              <w:rPr>
                <w:rFonts w:ascii="Arial" w:cs="Arial" w:hAnsi="Arial" w:eastAsia="Arial"/>
                <w:b w:val="1"/>
                <w:bCs w:val="1"/>
                <w:sz w:val="24"/>
                <w:szCs w:val="24"/>
                <w:shd w:val="nil" w:color="auto" w:fill="auto"/>
                <w:rtl w:val="0"/>
              </w:rPr>
            </w:pPr>
            <w:r>
              <w:rPr>
                <w:rFonts w:ascii="Arial" w:hAnsi="Arial"/>
                <w:b w:val="1"/>
                <w:bCs w:val="1"/>
                <w:sz w:val="24"/>
                <w:szCs w:val="24"/>
                <w:shd w:val="nil" w:color="auto" w:fill="auto"/>
                <w:rtl w:val="0"/>
                <w:lang w:val="en-US"/>
              </w:rPr>
              <w:t>Assignment Mark</w:t>
            </w:r>
          </w:p>
          <w:p>
            <w:pPr>
              <w:pStyle w:val="Body A"/>
              <w:rPr>
                <w:rFonts w:ascii="Arial" w:cs="Arial" w:hAnsi="Arial" w:eastAsia="Arial"/>
                <w:sz w:val="20"/>
                <w:szCs w:val="20"/>
                <w:shd w:val="nil" w:color="auto" w:fill="auto"/>
                <w:lang w:val="en-US"/>
              </w:rPr>
            </w:pPr>
          </w:p>
          <w:p>
            <w:pPr>
              <w:pStyle w:val="Body A"/>
              <w:bidi w:val="0"/>
              <w:ind w:left="0" w:right="0" w:firstLine="0"/>
              <w:jc w:val="left"/>
              <w:rPr>
                <w:rFonts w:ascii="Arial" w:cs="Arial" w:hAnsi="Arial" w:eastAsia="Arial"/>
                <w:b w:val="1"/>
                <w:bCs w:val="1"/>
                <w:sz w:val="20"/>
                <w:szCs w:val="20"/>
                <w:shd w:val="nil" w:color="auto" w:fill="auto"/>
                <w:rtl w:val="0"/>
              </w:rPr>
            </w:pPr>
            <w:r>
              <w:rPr>
                <w:rFonts w:ascii="Arial" w:hAnsi="Arial"/>
                <w:b w:val="1"/>
                <w:bCs w:val="1"/>
                <w:sz w:val="20"/>
                <w:szCs w:val="20"/>
                <w:shd w:val="nil" w:color="auto" w:fill="auto"/>
                <w:rtl w:val="0"/>
                <w:lang w:val="en-US"/>
              </w:rPr>
              <w:t>Final Mark</w:t>
            </w:r>
          </w:p>
          <w:p>
            <w:pPr>
              <w:pStyle w:val="Body A"/>
              <w:bidi w:val="0"/>
              <w:ind w:left="0" w:right="0" w:firstLine="0"/>
              <w:jc w:val="left"/>
              <w:rPr>
                <w:rFonts w:ascii="Arial" w:cs="Arial" w:hAnsi="Arial" w:eastAsia="Arial"/>
                <w:sz w:val="20"/>
                <w:szCs w:val="20"/>
                <w:shd w:val="nil" w:color="auto" w:fill="auto"/>
                <w:rtl w:val="0"/>
              </w:rPr>
            </w:pPr>
            <w:r>
              <w:rPr>
                <w:rFonts w:ascii="Arial" w:cs="Arial" w:hAnsi="Arial" w:eastAsia="Arial"/>
                <w:b w:val="1"/>
                <w:bCs w:val="1"/>
                <w:sz w:val="20"/>
                <w:szCs w:val="20"/>
                <w:shd w:val="nil" w:color="auto" w:fill="auto"/>
              </w:rPr>
              <w:tab/>
            </w:r>
            <w:r>
              <w:rPr>
                <w:rFonts w:ascii="Arial" w:hAnsi="Arial"/>
                <w:sz w:val="20"/>
                <w:szCs w:val="20"/>
                <w:shd w:val="nil" w:color="auto" w:fill="auto"/>
                <w:rtl w:val="0"/>
                <w:lang w:val="en-US"/>
              </w:rPr>
              <w:t>WILL BE GIVEN ON TURNITIN</w:t>
            </w:r>
          </w:p>
          <w:p>
            <w:pPr>
              <w:pStyle w:val="Body"/>
              <w:ind w:left="142" w:right="34" w:firstLine="0"/>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142" w:right="34" w:firstLine="0"/>
              <w:jc w:val="left"/>
              <w:rPr>
                <w:rFonts w:ascii="Arial" w:cs="Arial" w:hAnsi="Arial" w:eastAsia="Arial"/>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NB.</w:t>
            </w:r>
            <w:r>
              <w:rPr>
                <w:rFonts w:ascii="Arial" w:hAnsi="Arial"/>
                <w:sz w:val="22"/>
                <w:szCs w:val="22"/>
                <w:shd w:val="nil" w:color="auto" w:fill="auto"/>
                <w:rtl w:val="0"/>
                <w:lang w:val="en-US"/>
                <w14:textOutline w14:w="12700" w14:cap="flat">
                  <w14:noFill/>
                  <w14:miter w14:lim="400000"/>
                </w14:textOutline>
              </w:rPr>
              <w:t xml:space="preserve">  All marks are provisional until confirmed by the Final Examination Board.</w:t>
            </w: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b w:val="1"/>
                <w:bCs w:val="1"/>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PLEASE NOTE: ALL COMMENTS WIL BE POSTED ON TURNITIN</w:t>
            </w: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b w:val="1"/>
                <w:bCs w:val="1"/>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For completion by Marker 1 :</w:t>
            </w:r>
          </w:p>
          <w:p>
            <w:pPr>
              <w:pStyle w:val="Body"/>
              <w:bidi w:val="0"/>
              <w:spacing w:before="100" w:after="100"/>
              <w:ind w:left="0" w:right="0" w:firstLine="0"/>
              <w:jc w:val="left"/>
              <w:rPr>
                <w:rtl w:val="0"/>
              </w:rPr>
            </w:pPr>
            <w:r>
              <w:rPr>
                <w:rFonts w:ascii="Arial" w:hAnsi="Arial"/>
                <w:sz w:val="22"/>
                <w:szCs w:val="22"/>
                <w:shd w:val="nil" w:color="auto" w:fill="auto"/>
                <w:rtl w:val="0"/>
                <w:lang w:val="en-US"/>
                <w14:textOutline w14:w="12700" w14:cap="flat">
                  <w14:noFill/>
                  <w14:miter w14:lim="400000"/>
                </w14:textOutline>
              </w:rPr>
              <w:t>Comments:</w:t>
            </w:r>
          </w:p>
        </w:tc>
      </w:tr>
      <w:tr>
        <w:tblPrEx>
          <w:shd w:val="clear" w:color="auto" w:fill="cadfff"/>
        </w:tblPrEx>
        <w:trPr>
          <w:trHeight w:val="342" w:hRule="atLeast"/>
        </w:trPr>
        <w:tc>
          <w:tcPr>
            <w:tcW w:type="dxa" w:w="6768"/>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shd w:val="nil" w:color="auto" w:fill="auto"/>
                <w:rtl w:val="0"/>
                <w:lang w:val="en-US"/>
                <w14:textOutline w14:w="12700" w14:cap="flat">
                  <w14:noFill/>
                  <w14:miter w14:lim="400000"/>
                </w14:textOutline>
              </w:rPr>
              <w:t>Marker</w:t>
            </w:r>
            <w:r>
              <w:rPr>
                <w:rFonts w:ascii="Arial" w:hAnsi="Arial" w:hint="default"/>
                <w:sz w:val="22"/>
                <w:szCs w:val="22"/>
                <w:shd w:val="nil" w:color="auto" w:fill="auto"/>
                <w:rtl w:val="0"/>
                <w:lang w:val="en-US"/>
                <w14:textOutline w14:w="12700" w14:cap="flat">
                  <w14:noFill/>
                  <w14:miter w14:lim="400000"/>
                </w14:textOutline>
              </w:rPr>
              <w:t>’</w:t>
            </w:r>
            <w:r>
              <w:rPr>
                <w:rFonts w:ascii="Arial" w:hAnsi="Arial"/>
                <w:sz w:val="22"/>
                <w:szCs w:val="22"/>
                <w:shd w:val="nil" w:color="auto" w:fill="auto"/>
                <w:rtl w:val="0"/>
                <w:lang w:val="en-US"/>
                <w14:textOutline w14:w="12700" w14:cap="flat">
                  <w14:noFill/>
                  <w14:miter w14:lim="400000"/>
                </w14:textOutline>
              </w:rPr>
              <w:t>s signature:</w:t>
            </w:r>
          </w:p>
        </w:tc>
        <w:tc>
          <w:tcPr>
            <w:tcW w:type="dxa" w:w="2088"/>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222"/>
              <w:bottom w:type="dxa" w:w="80"/>
              <w:right w:type="dxa" w:w="114"/>
            </w:tcMar>
            <w:vAlign w:val="top"/>
          </w:tcPr>
          <w:p>
            <w:pPr>
              <w:pStyle w:val="Body"/>
              <w:spacing w:before="100" w:after="100"/>
              <w:ind w:left="142" w:right="34" w:firstLine="0"/>
            </w:pPr>
            <w:r>
              <w:rPr>
                <w:rFonts w:ascii="Arial" w:hAnsi="Arial"/>
                <w:sz w:val="22"/>
                <w:szCs w:val="22"/>
                <w:shd w:val="nil" w:color="auto" w:fill="auto"/>
                <w:rtl w:val="0"/>
                <w:lang w:val="en-US"/>
                <w14:textOutline w14:w="12700" w14:cap="flat">
                  <w14:noFill/>
                  <w14:miter w14:lim="400000"/>
                </w14:textOutline>
              </w:rPr>
              <w:t>Date:</w:t>
            </w:r>
          </w:p>
        </w:tc>
      </w:tr>
      <w:tr>
        <w:tblPrEx>
          <w:shd w:val="clear" w:color="auto" w:fill="cadfff"/>
        </w:tblPrEx>
        <w:trPr>
          <w:trHeight w:val="169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rPr>
                <w:rFonts w:ascii="Arial" w:cs="Arial" w:hAnsi="Arial" w:eastAsia="Arial"/>
                <w:i w:val="1"/>
                <w:i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b w:val="1"/>
                <w:bCs w:val="1"/>
                <w:sz w:val="22"/>
                <w:szCs w:val="22"/>
                <w:shd w:val="nil" w:color="auto" w:fill="auto"/>
                <w:rtl w:val="0"/>
                <w14:textOutline w14:w="12700" w14:cap="flat">
                  <w14:noFill/>
                  <w14:miter w14:lim="400000"/>
                </w14:textOutline>
              </w:rPr>
            </w:pPr>
            <w:r>
              <w:rPr>
                <w:rFonts w:ascii="Arial" w:hAnsi="Arial"/>
                <w:b w:val="1"/>
                <w:bCs w:val="1"/>
                <w:sz w:val="22"/>
                <w:szCs w:val="22"/>
                <w:shd w:val="nil" w:color="auto" w:fill="auto"/>
                <w:rtl w:val="0"/>
                <w:lang w:val="en-US"/>
                <w14:textOutline w14:w="12700" w14:cap="flat">
                  <w14:noFill/>
                  <w14:miter w14:lim="400000"/>
                </w14:textOutline>
              </w:rPr>
              <w:t>For completion by Marker 2/Moderator:</w:t>
            </w:r>
          </w:p>
          <w:p>
            <w:pPr>
              <w:pStyle w:val="Body"/>
              <w:rPr>
                <w:rFonts w:ascii="Arial" w:cs="Arial" w:hAnsi="Arial" w:eastAsia="Arial"/>
                <w:b w:val="1"/>
                <w:bCs w:val="1"/>
                <w:sz w:val="22"/>
                <w:szCs w:val="22"/>
                <w:shd w:val="nil" w:color="auto" w:fill="auto"/>
                <w:lang w:val="en-US"/>
                <w14:textOutline w14:w="12700" w14:cap="flat">
                  <w14:noFill/>
                  <w14:miter w14:lim="400000"/>
                </w14:textOutline>
              </w:rPr>
            </w:pPr>
          </w:p>
          <w:p>
            <w:pPr>
              <w:pStyle w:val="Body"/>
              <w:bidi w:val="0"/>
              <w:ind w:left="0" w:right="0" w:firstLine="0"/>
              <w:jc w:val="left"/>
              <w:rPr>
                <w:rFonts w:ascii="Arial" w:cs="Arial" w:hAnsi="Arial" w:eastAsia="Arial"/>
                <w:sz w:val="22"/>
                <w:szCs w:val="22"/>
                <w:shd w:val="nil" w:color="auto" w:fill="auto"/>
                <w:rtl w:val="0"/>
                <w14:textOutline w14:w="12700" w14:cap="flat">
                  <w14:noFill/>
                  <w14:miter w14:lim="400000"/>
                </w14:textOutline>
              </w:rPr>
            </w:pPr>
            <w:r>
              <w:rPr>
                <w:rFonts w:ascii="Arial" w:hAnsi="Arial"/>
                <w:sz w:val="22"/>
                <w:szCs w:val="22"/>
                <w:shd w:val="nil" w:color="auto" w:fill="auto"/>
                <w:rtl w:val="0"/>
                <w:lang w:val="en-US"/>
                <w14:textOutline w14:w="12700" w14:cap="flat">
                  <w14:noFill/>
                  <w14:miter w14:lim="400000"/>
                </w14:textOutline>
              </w:rPr>
              <w:t>Comments:</w:t>
            </w:r>
          </w:p>
          <w:p>
            <w:pPr>
              <w:pStyle w:val="Body"/>
            </w:pPr>
            <w:r>
              <w:rPr>
                <w:rFonts w:ascii="Arial" w:cs="Arial" w:hAnsi="Arial" w:eastAsia="Arial"/>
                <w:sz w:val="22"/>
                <w:szCs w:val="22"/>
                <w:shd w:val="nil" w:color="auto" w:fill="auto"/>
                <w:lang w:val="en-US"/>
                <w14:textOutline w14:w="12700" w14:cap="flat">
                  <w14:noFill/>
                  <w14:miter w14:lim="400000"/>
                </w14:textOutline>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14:textOutline w14:w="12700" w14:cap="flat">
                  <w14:noFill/>
                  <w14:miter w14:lim="400000"/>
                </w14:textOutline>
              </w:rPr>
              <w:t>Marker</w:t>
            </w:r>
            <w:r>
              <w:rPr>
                <w:rFonts w:ascii="Arial" w:hAnsi="Arial" w:hint="default"/>
                <w:sz w:val="22"/>
                <w:szCs w:val="22"/>
                <w:shd w:val="nil" w:color="auto" w:fill="auto"/>
                <w:rtl w:val="0"/>
                <w:lang w:val="en-US"/>
                <w14:textOutline w14:w="12700" w14:cap="flat">
                  <w14:noFill/>
                  <w14:miter w14:lim="400000"/>
                </w14:textOutline>
              </w:rPr>
              <w:t>’</w:t>
            </w:r>
            <w:r>
              <w:rPr>
                <w:rFonts w:ascii="Arial" w:hAnsi="Arial"/>
                <w:sz w:val="22"/>
                <w:szCs w:val="22"/>
                <w:shd w:val="nil" w:color="auto" w:fill="auto"/>
                <w:rtl w:val="0"/>
                <w:lang w:val="en-US"/>
                <w14:textOutline w14:w="12700" w14:cap="flat">
                  <w14:noFill/>
                  <w14:miter w14:lim="400000"/>
                </w14:textOutline>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w:pPr>
            <w:r>
              <w:rPr>
                <w:rFonts w:ascii="Arial" w:hAnsi="Arial"/>
                <w:sz w:val="22"/>
                <w:szCs w:val="22"/>
                <w:shd w:val="nil" w:color="auto" w:fill="auto"/>
                <w:rtl w:val="0"/>
                <w:lang w:val="en-US"/>
                <w14:textOutline w14:w="12700" w14:cap="flat">
                  <w14:noFill/>
                  <w14:miter w14:lim="400000"/>
                </w14:textOutline>
              </w:rPr>
              <w:t>Date:</w:t>
            </w:r>
          </w:p>
        </w:tc>
      </w:tr>
      <w:tr>
        <w:tblPrEx>
          <w:shd w:val="clear" w:color="auto" w:fill="cadfff"/>
        </w:tblPrEx>
        <w:trPr>
          <w:trHeight w:val="265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hd w:val="nil" w:color="auto" w:fill="auto"/>
              </w:rPr>
            </w:pPr>
            <w:r>
              <w:rPr>
                <w:rFonts w:ascii="Arial" w:hAnsi="Arial"/>
                <w:b w:val="1"/>
                <w:bCs w:val="1"/>
                <w:shd w:val="nil" w:color="auto" w:fill="auto"/>
                <w:rtl w:val="0"/>
                <w:lang w:val="en-US"/>
              </w:rPr>
              <w:t>AGREED INTERNAL MARK (where necessary):</w:t>
            </w:r>
          </w:p>
          <w:p>
            <w:pPr>
              <w:pStyle w:val="Body A"/>
              <w:rPr>
                <w:rFonts w:ascii="Arial" w:cs="Arial" w:hAnsi="Arial" w:eastAsia="Arial"/>
                <w:b w:val="1"/>
                <w:bCs w:val="1"/>
                <w:shd w:val="nil" w:color="auto" w:fill="auto"/>
                <w:lang w:val="en-US"/>
              </w:rPr>
            </w:pPr>
          </w:p>
          <w:p>
            <w:pPr>
              <w:pStyle w:val="Body A"/>
              <w:bidi w:val="0"/>
              <w:ind w:left="0" w:right="0" w:firstLine="0"/>
              <w:jc w:val="left"/>
              <w:rPr>
                <w:rFonts w:ascii="Arial" w:cs="Arial" w:hAnsi="Arial" w:eastAsia="Arial"/>
                <w:b w:val="1"/>
                <w:bCs w:val="1"/>
                <w:shd w:val="nil" w:color="auto" w:fill="auto"/>
                <w:rtl w:val="0"/>
              </w:rPr>
            </w:pPr>
            <w:r>
              <w:rPr>
                <w:rFonts w:ascii="Arial" w:hAnsi="Arial"/>
                <w:b w:val="1"/>
                <w:bCs w:val="1"/>
                <w:shd w:val="nil" w:color="auto" w:fill="auto"/>
                <w:rtl w:val="0"/>
                <w:lang w:val="en-US"/>
              </w:rPr>
              <w:t>Comment on process of arriving at agreed mark:</w:t>
            </w: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rPr>
                <w:rFonts w:ascii="Arial" w:cs="Arial" w:hAnsi="Arial" w:eastAsia="Arial"/>
                <w:b w:val="1"/>
                <w:bCs w:val="1"/>
                <w:shd w:val="nil" w:color="auto" w:fill="auto"/>
                <w:lang w:val="en-US"/>
              </w:rPr>
            </w:pPr>
          </w:p>
          <w:p>
            <w:pPr>
              <w:pStyle w:val="Body A"/>
            </w:pPr>
            <w:r>
              <w:rPr>
                <w:rFonts w:ascii="Arial" w:cs="Arial" w:hAnsi="Arial" w:eastAsia="Arial"/>
                <w:b w:val="1"/>
                <w:bCs w:val="1"/>
                <w:shd w:val="nil" w:color="auto" w:fill="auto"/>
                <w:lang w:val="en-US"/>
              </w:rPr>
            </w:r>
          </w:p>
        </w:tc>
      </w:tr>
      <w:tr>
        <w:tblPrEx>
          <w:shd w:val="clear" w:color="auto" w:fill="cadfff"/>
        </w:tblPrEx>
        <w:trPr>
          <w:trHeight w:val="1933" w:hRule="atLeast"/>
        </w:trPr>
        <w:tc>
          <w:tcPr>
            <w:tcW w:type="dxa" w:w="8856"/>
            <w:gridSpan w:val="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b w:val="1"/>
                <w:bCs w:val="1"/>
                <w:shd w:val="nil" w:color="auto" w:fill="auto"/>
              </w:rPr>
            </w:pPr>
            <w:r>
              <w:rPr>
                <w:rFonts w:ascii="Arial" w:hAnsi="Arial"/>
                <w:b w:val="1"/>
                <w:bCs w:val="1"/>
                <w:shd w:val="nil" w:color="auto" w:fill="auto"/>
                <w:rtl w:val="0"/>
                <w:lang w:val="en-US"/>
              </w:rPr>
              <w:t>External Examiner</w:t>
            </w:r>
            <w:r>
              <w:rPr>
                <w:rFonts w:ascii="Arial" w:hAnsi="Arial" w:hint="default"/>
                <w:b w:val="1"/>
                <w:bCs w:val="1"/>
                <w:shd w:val="nil" w:color="auto" w:fill="auto"/>
                <w:rtl w:val="0"/>
                <w:lang w:val="en-US"/>
              </w:rPr>
              <w:t>’</w:t>
            </w:r>
            <w:r>
              <w:rPr>
                <w:rFonts w:ascii="Arial" w:hAnsi="Arial"/>
                <w:b w:val="1"/>
                <w:bCs w:val="1"/>
                <w:shd w:val="nil" w:color="auto" w:fill="auto"/>
                <w:rtl w:val="0"/>
                <w:lang w:val="en-US"/>
              </w:rPr>
              <w:t>s comments (if relevant)</w:t>
            </w: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rPr>
                <w:rFonts w:ascii="Arial" w:cs="Arial" w:hAnsi="Arial" w:eastAsia="Arial"/>
                <w:sz w:val="22"/>
                <w:szCs w:val="22"/>
                <w:shd w:val="nil" w:color="auto" w:fill="auto"/>
                <w:lang w:val="en-US"/>
                <w14:textOutline w14:w="12700" w14:cap="flat">
                  <w14:noFill/>
                  <w14:miter w14:lim="400000"/>
                </w14:textOutline>
              </w:rPr>
            </w:pPr>
          </w:p>
          <w:p>
            <w:pPr>
              <w:pStyle w:val="Body"/>
            </w:pPr>
            <w:r>
              <w:rPr>
                <w:rFonts w:ascii="Arial" w:cs="Arial" w:hAnsi="Arial" w:eastAsia="Arial"/>
                <w:sz w:val="22"/>
                <w:szCs w:val="22"/>
                <w:shd w:val="nil" w:color="auto" w:fill="auto"/>
                <w:lang w:val="en-US"/>
                <w14:textOutline w14:w="12700" w14:cap="flat">
                  <w14:noFill/>
                  <w14:miter w14:lim="400000"/>
                </w14:textOutline>
              </w:rPr>
            </w:r>
          </w:p>
        </w:tc>
      </w:tr>
      <w:tr>
        <w:tblPrEx>
          <w:shd w:val="clear" w:color="auto" w:fill="cadfff"/>
        </w:tblPrEx>
        <w:trPr>
          <w:trHeight w:val="570" w:hRule="atLeast"/>
        </w:trPr>
        <w:tc>
          <w:tcPr>
            <w:tcW w:type="dxa" w:w="5211"/>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External Examiner</w:t>
            </w:r>
            <w:r>
              <w:rPr>
                <w:rFonts w:ascii="Arial" w:hAnsi="Arial" w:hint="default"/>
                <w:shd w:val="nil" w:color="auto" w:fill="auto"/>
                <w:rtl w:val="0"/>
                <w:lang w:val="en-US"/>
              </w:rPr>
              <w:t>’</w:t>
            </w:r>
            <w:r>
              <w:rPr>
                <w:rFonts w:ascii="Arial" w:hAnsi="Arial"/>
                <w:shd w:val="nil" w:color="auto" w:fill="auto"/>
                <w:rtl w:val="0"/>
                <w:lang w:val="en-US"/>
              </w:rPr>
              <w:t>s Signature:</w:t>
            </w:r>
          </w:p>
        </w:tc>
        <w:tc>
          <w:tcPr>
            <w:tcW w:type="dxa" w:w="3645"/>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Date:</w:t>
            </w:r>
          </w:p>
        </w:tc>
      </w:tr>
    </w:tbl>
    <w:p>
      <w:pPr>
        <w:pStyle w:val="Body"/>
        <w:widowControl w:val="0"/>
        <w:ind w:left="108" w:hanging="108"/>
        <w:jc w:val="center"/>
        <w:rPr>
          <w:rFonts w:ascii="Trebuchet MS" w:cs="Trebuchet MS" w:hAnsi="Trebuchet MS" w:eastAsia="Trebuchet MS"/>
          <w:caps w:val="0"/>
          <w:smallCaps w:val="0"/>
          <w:strike w:val="0"/>
          <w:dstrike w:val="0"/>
          <w:outline w:val="0"/>
          <w:color w:val="000000"/>
          <w:spacing w:val="0"/>
          <w:kern w:val="0"/>
          <w:position w:val="0"/>
          <w:sz w:val="21"/>
          <w:szCs w:val="21"/>
          <w:u w:val="none" w:color="000000"/>
          <w:shd w:val="nil" w:color="auto" w:fill="auto"/>
          <w:vertAlign w:val="baseline"/>
          <w14:textOutline w14:w="12700" w14:cap="flat">
            <w14:noFill/>
            <w14:miter w14:lim="400000"/>
          </w14:textOutline>
          <w14:textFill>
            <w14:solidFill>
              <w14:srgbClr w14:val="000000"/>
            </w14:solidFill>
          </w14:textFill>
        </w:rPr>
      </w:pPr>
    </w:p>
    <w:p>
      <w:pPr>
        <w:pStyle w:val="Heading 3"/>
        <w:widowControl w:val="0"/>
        <w:pBdr>
          <w:top w:val="nil"/>
          <w:left w:val="nil"/>
          <w:bottom w:val="nil"/>
          <w:right w:val="nil"/>
        </w:pBdr>
        <w:spacing w:before="0" w:after="0" w:line="240" w:lineRule="auto"/>
        <w:jc w:val="center"/>
        <w:outlineLvl w:val="2"/>
        <w:rPr>
          <w:rFonts w:ascii="Trebuchet MS" w:cs="Trebuchet MS" w:hAnsi="Trebuchet MS" w:eastAsia="Trebuchet MS"/>
          <w:b w:val="1"/>
          <w:bCs w:val="1"/>
          <w:spacing w:val="0"/>
          <w:sz w:val="20"/>
          <w:szCs w:val="20"/>
          <w:u w:color="000000"/>
          <w:lang w:val="en-US"/>
        </w:rPr>
      </w:pPr>
    </w:p>
    <w:p>
      <w:pPr>
        <w:pStyle w:val="Body A"/>
      </w:pPr>
      <w:r>
        <w:rPr>
          <w:rFonts w:ascii="Arial Unicode MS" w:cs="Arial Unicode MS" w:hAnsi="Arial Unicode MS" w:eastAsia="Arial Unicode MS"/>
          <w:b w:val="0"/>
          <w:bCs w:val="0"/>
          <w:i w:val="0"/>
          <w:iCs w:val="0"/>
        </w:rPr>
        <w:br w:type="page"/>
      </w:r>
    </w:p>
    <w:p>
      <w:pPr>
        <w:pStyle w:val="Body A"/>
        <w:rPr>
          <w:b w:val="1"/>
          <w:bCs w:val="1"/>
        </w:rPr>
      </w:pPr>
      <w:r>
        <w:rPr>
          <w:b w:val="1"/>
          <w:bCs w:val="1"/>
          <w:rtl w:val="0"/>
          <w:lang w:val="en-US"/>
        </w:rPr>
        <w:t>Exploring fear and fascination in the Sky</w:t>
      </w:r>
    </w:p>
    <w:p>
      <w:pPr>
        <w:pStyle w:val="Body A"/>
      </w:pPr>
    </w:p>
    <w:p>
      <w:pPr>
        <w:pStyle w:val="Body A"/>
      </w:pPr>
      <w:r>
        <w:rPr>
          <w:rtl w:val="0"/>
          <w:lang w:val="en-US"/>
        </w:rPr>
        <w:t>The aim of this essay was to observe the sky for a month, focusing on celestial phenomena and their cultural and personal significance between 18 October and 20 November 2024, documenting my observations in a sky journal alongside self-reflective notes, treated as primary source. While the original intention was to frame these observations within a mythological context, the project significantly changed due to the worsening geopolitical circumstances that impacted my personal mental health. This shift led to an exploration of the duality of fear and fascination in a relationship with the sky, viewed through Vincent Van Gogh</w:t>
      </w:r>
      <w:r>
        <w:rPr>
          <w:rFonts w:ascii="Arial Unicode MS" w:hAnsi="Arial Unicode MS" w:hint="default"/>
          <w:rtl w:val="1"/>
        </w:rPr>
        <w:t>’</w:t>
      </w:r>
      <w:r>
        <w:rPr>
          <w:rtl w:val="0"/>
        </w:rPr>
        <w:t xml:space="preserve">s </w:t>
      </w:r>
      <w:r>
        <w:rPr>
          <w:rtl w:val="0"/>
          <w:lang w:val="en-US"/>
        </w:rPr>
        <w:t xml:space="preserve">quote </w:t>
      </w:r>
      <w:r>
        <w:rPr>
          <w:rtl w:val="0"/>
          <w:lang w:val="ru-RU"/>
        </w:rPr>
        <w:t>"</w:t>
      </w:r>
      <w:r>
        <w:rPr>
          <w:rtl w:val="0"/>
          <w:lang w:val="en-US"/>
        </w:rPr>
        <w:t>be clearly aware of the stars and infinity on high, then life seems almost enchanted after all</w:t>
      </w:r>
      <w:r>
        <w:rPr>
          <w:rtl w:val="0"/>
          <w:lang w:val="en-US"/>
        </w:rPr>
        <w:t>”</w:t>
      </w:r>
      <w:r>
        <w:rPr>
          <w:rtl w:val="0"/>
          <w:lang w:val="en-US"/>
        </w:rPr>
        <w:t>.</w:t>
      </w:r>
      <w:r>
        <w:rPr>
          <w:rFonts w:ascii="Helvetica Neue" w:cs="Helvetica Neue" w:hAnsi="Helvetica Neue" w:eastAsia="Helvetica Neue"/>
          <w:b w:val="0"/>
          <w:bCs w:val="0"/>
          <w:i w:val="0"/>
          <w:iCs w:val="0"/>
          <w:vertAlign w:val="superscript"/>
        </w:rPr>
        <w:footnoteReference w:id="1"/>
      </w:r>
      <w:r>
        <w:rPr>
          <w:rtl w:val="0"/>
          <w:lang w:val="en-US"/>
        </w:rPr>
        <w:t xml:space="preserve"> By examining the sky as both an immediate presence and as mediated through myths, films, and paintings that I encountered with during that month, I investigate how it becomes a site of profound anxiety and inspiration.</w:t>
      </w:r>
    </w:p>
    <w:p>
      <w:pPr>
        <w:pStyle w:val="Body A"/>
      </w:pPr>
    </w:p>
    <w:p>
      <w:pPr>
        <w:pStyle w:val="Body A"/>
        <w:rPr>
          <w:b w:val="1"/>
          <w:bCs w:val="1"/>
        </w:rPr>
      </w:pPr>
      <w:r>
        <w:rPr>
          <w:b w:val="1"/>
          <w:bCs w:val="1"/>
          <w:rtl w:val="0"/>
          <w:lang w:val="en-US"/>
        </w:rPr>
        <w:t>Methodology and Context of the Observer</w:t>
      </w:r>
    </w:p>
    <w:p>
      <w:pPr>
        <w:pStyle w:val="Body A"/>
      </w:pPr>
    </w:p>
    <w:p>
      <w:pPr>
        <w:pStyle w:val="Body A"/>
      </w:pPr>
      <w:r>
        <w:rPr>
          <w:rtl w:val="0"/>
          <w:lang w:val="en-US"/>
        </w:rPr>
        <w:t xml:space="preserve">I conducted my observations from the Moscow suburbs, using my iPhone and the Stellarium app during walks with the family dog to capture and analyse celestial phenomena. I observed the sky, took a photo, checked the same area of the sky with Stellarium app and then also overlayed the real sky with augmented visuals from the app. Additionally, during this month, I watched a couple of films and visited an art exhibition, where, following my usual </w:t>
      </w:r>
      <w:r>
        <w:rPr>
          <w:rtl w:val="0"/>
          <w:lang w:val="es-ES_tradnl"/>
        </w:rPr>
        <w:t>habit</w:t>
      </w:r>
      <w:r>
        <w:rPr>
          <w:rtl w:val="0"/>
          <w:lang w:val="en-US"/>
        </w:rPr>
        <w:t>, I also observed representations of the sky. These unplanned intersections of elements of visual culture and celestial observations became an unexpected and intriguing dimension of my methodology, and they will be explored further in the remainder of this essay.</w:t>
      </w:r>
    </w:p>
    <w:p>
      <w:pPr>
        <w:pStyle w:val="Body A"/>
      </w:pPr>
    </w:p>
    <w:p>
      <w:pPr>
        <w:pStyle w:val="Body A"/>
      </w:pPr>
      <w:r>
        <w:rPr>
          <w:rtl w:val="0"/>
          <w:lang w:val="en-US"/>
        </w:rPr>
        <w:t xml:space="preserve">I am a woman in early thirties, born under Taurus sun-sign, currently living in the Moscow suburbs. I am a consulting astrologer, educator, researcher. Also I have a profound interest in mythology, which I use as a tool for guiding myself and others through crises. For several years prior to Sky Journal project, I had been observing the sky, luminaries, and visible planets moving through constellations, reflecting on these observations through a mythological lens. Patric Curry defines astrology as </w:t>
      </w:r>
      <w:r>
        <w:rPr>
          <w:rFonts w:ascii="Arial Unicode MS" w:hAnsi="Arial Unicode MS" w:hint="default"/>
          <w:rtl w:val="1"/>
          <w:lang w:val="ar-SA" w:bidi="ar-SA"/>
        </w:rPr>
        <w:t>“</w:t>
      </w:r>
      <w:r>
        <w:rPr>
          <w:rtl w:val="0"/>
          <w:lang w:val="en-US"/>
        </w:rPr>
        <w:t>the practice of relating the heavenly bodies to lives and events on earth, and the tradition that has thus been generated</w:t>
      </w:r>
      <w:r>
        <w:rPr>
          <w:rtl w:val="0"/>
        </w:rPr>
        <w:t>”</w:t>
      </w:r>
      <w:r>
        <w:rPr>
          <w:rtl w:val="0"/>
          <w:lang w:val="en-US"/>
        </w:rPr>
        <w:t>.</w:t>
      </w:r>
      <w:r>
        <w:rPr>
          <w:rFonts w:ascii="Helvetica Neue" w:cs="Helvetica Neue" w:hAnsi="Helvetica Neue" w:eastAsia="Helvetica Neue"/>
          <w:b w:val="0"/>
          <w:bCs w:val="0"/>
          <w:i w:val="0"/>
          <w:iCs w:val="0"/>
          <w:vertAlign w:val="superscript"/>
        </w:rPr>
        <w:footnoteReference w:id="2"/>
      </w:r>
      <w:r>
        <w:rPr>
          <w:rtl w:val="0"/>
          <w:lang w:val="en-US"/>
        </w:rPr>
        <w:t xml:space="preserve"> For me, this practice served as a way to reconnect with the living sky, beyond the two-dimensional projections of schematic horoscopes, and to</w:t>
      </w:r>
      <w:r>
        <w:rPr>
          <w:rtl w:val="0"/>
        </w:rPr>
        <w:t xml:space="preserve"> </w:t>
      </w:r>
      <w:r>
        <w:rPr>
          <w:rtl w:val="0"/>
          <w:lang w:val="en-US"/>
        </w:rPr>
        <w:t>build deeply personal relationship with the dynamic, living sky and the stories it revealed through the myths associated with planets, stars, and constellations.</w:t>
      </w:r>
    </w:p>
    <w:p>
      <w:pPr>
        <w:pStyle w:val="Body A"/>
      </w:pPr>
    </w:p>
    <w:p>
      <w:pPr>
        <w:pStyle w:val="Body A"/>
      </w:pPr>
      <w:r>
        <w:rPr>
          <w:rtl w:val="0"/>
          <w:lang w:val="en-US"/>
        </w:rPr>
        <w:t xml:space="preserve">However, when this practice was reframed as an academic task to be assessed, it triggered significant anxiety and avoidance. I found myself refusing to take pictures of the sky, avoiding looking up, and withdrawing from paying attention to the heavens </w:t>
      </w:r>
      <w:r>
        <w:rPr>
          <w:rtl w:val="0"/>
          <w:lang w:val="en-US"/>
        </w:rPr>
        <w:t>– </w:t>
      </w:r>
      <w:r>
        <w:rPr>
          <w:rtl w:val="0"/>
          <w:lang w:val="en-US"/>
        </w:rPr>
        <w:t>an effort to protect the meaningful relationship I had built from being reduced to a graded task. This personal struggle was further compounded by the worsening geopolitical situation, including the USA elections and the ongoing NATO-Russia conflict. Living near one of Moscow</w:t>
      </w:r>
      <w:r>
        <w:rPr>
          <w:rFonts w:ascii="Arial Unicode MS" w:hAnsi="Arial Unicode MS" w:hint="default"/>
          <w:rtl w:val="1"/>
        </w:rPr>
        <w:t>’</w:t>
      </w:r>
      <w:r>
        <w:rPr>
          <w:rtl w:val="0"/>
        </w:rPr>
        <w:t xml:space="preserve">s </w:t>
      </w:r>
      <w:r>
        <w:rPr>
          <w:rtl w:val="0"/>
          <w:lang w:val="en-US"/>
        </w:rPr>
        <w:t>biggest airports, I was stressed from the frequent drone attacks and air defence operations. Monthly waves of massive attacks, and</w:t>
      </w:r>
      <w:r>
        <w:rPr>
          <w:rtl w:val="0"/>
          <w:lang w:val="da-DK"/>
        </w:rPr>
        <w:t xml:space="preserve"> media</w:t>
      </w:r>
      <w:r>
        <w:rPr>
          <w:rFonts w:ascii="Arial Unicode MS" w:hAnsi="Arial Unicode MS" w:hint="default"/>
          <w:rtl w:val="1"/>
        </w:rPr>
        <w:t>’</w:t>
      </w:r>
      <w:r>
        <w:rPr>
          <w:rtl w:val="0"/>
          <w:lang w:val="en-US"/>
        </w:rPr>
        <w:t>s persistent discussions of long-distance rockets, heightened my fears and anxieties, placing both the physical and symbolic sky in danger. My relationship with the sky, rooted in years of mythological exploration, was challenged by external anxieties. Despite these obstacles, I documented my observations and reflections during evening walks and explored celestial themes through visual and cultural mediums.</w:t>
      </w:r>
    </w:p>
    <w:p>
      <w:pPr>
        <w:pStyle w:val="Body A"/>
      </w:pPr>
    </w:p>
    <w:p>
      <w:pPr>
        <w:pStyle w:val="Body A"/>
        <w:rPr>
          <w:b w:val="1"/>
          <w:bCs w:val="1"/>
          <w:lang w:val="en-US"/>
        </w:rPr>
      </w:pPr>
      <w:r>
        <w:rPr>
          <w:b w:val="1"/>
          <w:bCs w:val="1"/>
          <w:rtl w:val="0"/>
          <w:lang w:val="en-US"/>
        </w:rPr>
        <w:t>Inspiration, Synchronicity, and the Sky</w:t>
      </w:r>
    </w:p>
    <w:p>
      <w:pPr>
        <w:pStyle w:val="Body A"/>
      </w:pPr>
    </w:p>
    <w:p>
      <w:pPr>
        <w:pStyle w:val="Body A"/>
      </w:pPr>
      <w:r>
        <w:rPr>
          <w:rtl w:val="0"/>
          <w:lang w:val="en-US"/>
        </w:rPr>
        <w:t>As the warmth fades, autumn draws my attention to Taurus constellation (fig. 1, 2, 3)., which became the main theme of my observations. Astrologically, Taurus is an earth sign associated with grounding, nourishment, comfort, and the cultivation of resources, which perfectly aligns with seasonal demands for warmth, nourishment, and grounded routine for stability and stamina.</w:t>
      </w:r>
      <w:r>
        <w:rPr>
          <w:rFonts w:ascii="Helvetica Neue" w:cs="Helvetica Neue" w:hAnsi="Helvetica Neue" w:eastAsia="Helvetica Neue"/>
          <w:b w:val="0"/>
          <w:bCs w:val="0"/>
          <w:i w:val="0"/>
          <w:iCs w:val="0"/>
          <w:vertAlign w:val="superscript"/>
        </w:rPr>
        <w:footnoteReference w:id="3"/>
      </w:r>
      <w:r>
        <w:rPr>
          <w:rtl w:val="0"/>
          <w:lang w:val="en-US"/>
        </w:rPr>
        <w:t xml:space="preserve"> Additionally, being born under the astrological sign of Taurus makes these observations a source of personal self-reflection. As an educator, autumn requires me to create and maintain a stable intellectual environment for my students and myself. It feels similar to tilling and cultivating the soil for growth of knowledge and ideas, aligning with Terry Eagleton</w:t>
      </w:r>
      <w:r>
        <w:rPr>
          <w:rFonts w:ascii="Arial Unicode MS" w:hAnsi="Arial Unicode MS" w:hint="default"/>
          <w:rtl w:val="1"/>
        </w:rPr>
        <w:t>’</w:t>
      </w:r>
      <w:r>
        <w:rPr>
          <w:rtl w:val="0"/>
          <w:lang w:val="en-US"/>
        </w:rPr>
        <w:t xml:space="preserve">s etymological insight that culture derives from nature and is inherently about cultivation. He explains that </w:t>
      </w:r>
      <w:r>
        <w:rPr>
          <w:rtl w:val="0"/>
          <w:lang w:val="en-US"/>
        </w:rPr>
        <w:t>‘</w:t>
      </w:r>
      <w:r>
        <w:rPr>
          <w:rtl w:val="0"/>
          <w:lang w:val="fr-FR"/>
        </w:rPr>
        <w:t>culture</w:t>
      </w:r>
      <w:r>
        <w:rPr>
          <w:rtl w:val="0"/>
          <w:lang w:val="en-US"/>
        </w:rPr>
        <w:t>’</w:t>
      </w:r>
      <w:r>
        <w:rPr>
          <w:rtl w:val="0"/>
          <w:lang w:val="en-US"/>
        </w:rPr>
        <w:t xml:space="preserve">, originally linked to agriculture and labour, denotes the </w:t>
      </w:r>
      <w:r>
        <w:rPr>
          <w:rtl w:val="0"/>
          <w:lang w:val="en-US"/>
        </w:rPr>
        <w:t>‘</w:t>
      </w:r>
      <w:r>
        <w:rPr>
          <w:rtl w:val="0"/>
          <w:lang w:val="en-US"/>
        </w:rPr>
        <w:t>finest of human activities</w:t>
      </w:r>
      <w:r>
        <w:rPr>
          <w:rtl w:val="0"/>
          <w:lang w:val="en-US"/>
        </w:rPr>
        <w:t xml:space="preserve">’ </w:t>
      </w:r>
      <w:r>
        <w:rPr>
          <w:rtl w:val="0"/>
          <w:lang w:val="en-US"/>
        </w:rPr>
        <w:t xml:space="preserve">and was historically seen as a thoroughly material process. Similarly, my observation of the sky for the last few years represented a form of personal cultivation </w:t>
      </w:r>
      <w:r>
        <w:rPr>
          <w:rtl w:val="0"/>
          <w:lang w:val="en-US"/>
        </w:rPr>
        <w:t>– </w:t>
      </w:r>
      <w:r>
        <w:rPr>
          <w:rtl w:val="0"/>
          <w:lang w:val="en-US"/>
        </w:rPr>
        <w:t>building a connection with the cosmos as a stabilising force in a period of chronic instability.</w:t>
      </w:r>
      <w:r>
        <w:drawing xmlns:a="http://schemas.openxmlformats.org/drawingml/2006/main">
          <wp:anchor distT="152400" distB="152400" distL="152400" distR="152400" simplePos="0" relativeHeight="251659264" behindDoc="0" locked="0" layoutInCell="1" allowOverlap="1">
            <wp:simplePos x="0" y="0"/>
            <wp:positionH relativeFrom="page">
              <wp:posOffset>713740</wp:posOffset>
            </wp:positionH>
            <wp:positionV relativeFrom="line">
              <wp:posOffset>152400</wp:posOffset>
            </wp:positionV>
            <wp:extent cx="6120058" cy="2448024"/>
            <wp:effectExtent l="0" t="0" r="0" b="0"/>
            <wp:wrapTopAndBottom distT="152400" distB="152400"/>
            <wp:docPr id="1073741826" name="officeArt object" descr="Screenshot 2024-11-24 at 19.46.58.png"/>
            <wp:cNvGraphicFramePr/>
            <a:graphic xmlns:a="http://schemas.openxmlformats.org/drawingml/2006/main">
              <a:graphicData uri="http://schemas.openxmlformats.org/drawingml/2006/picture">
                <pic:pic xmlns:pic="http://schemas.openxmlformats.org/drawingml/2006/picture">
                  <pic:nvPicPr>
                    <pic:cNvPr id="1073741826" name="Screenshot 2024-11-24 at 19.46.58.png" descr="Screenshot 2024-11-24 at 19.46.58.png"/>
                    <pic:cNvPicPr>
                      <a:picLocks noChangeAspect="1"/>
                    </pic:cNvPicPr>
                  </pic:nvPicPr>
                  <pic:blipFill>
                    <a:blip r:embed="rId5">
                      <a:extLst/>
                    </a:blip>
                    <a:stretch>
                      <a:fillRect/>
                    </a:stretch>
                  </pic:blipFill>
                  <pic:spPr>
                    <a:xfrm>
                      <a:off x="0" y="0"/>
                      <a:ext cx="6120058" cy="2448024"/>
                    </a:xfrm>
                    <a:prstGeom prst="rect">
                      <a:avLst/>
                    </a:prstGeom>
                    <a:ln w="12700" cap="flat">
                      <a:noFill/>
                      <a:miter lim="400000"/>
                    </a:ln>
                    <a:effectLst/>
                  </pic:spPr>
                </pic:pic>
              </a:graphicData>
            </a:graphic>
          </wp:anchor>
        </w:drawing>
      </w:r>
    </w:p>
    <w:p>
      <w:pPr>
        <w:pStyle w:val="Body A"/>
        <w:rPr>
          <w:b w:val="1"/>
          <w:bCs w:val="1"/>
          <w:sz w:val="20"/>
          <w:szCs w:val="20"/>
        </w:rPr>
      </w:pPr>
      <w:r>
        <w:rPr>
          <w:b w:val="1"/>
          <w:bCs w:val="1"/>
          <w:sz w:val="20"/>
          <w:szCs w:val="20"/>
          <w:rtl w:val="0"/>
          <w:lang w:val="en-US"/>
        </w:rPr>
        <w:t xml:space="preserve">Figure 1 (left). </w:t>
      </w:r>
      <w:r>
        <w:rPr>
          <w:b w:val="1"/>
          <w:bCs w:val="1"/>
          <w:i w:val="1"/>
          <w:iCs w:val="1"/>
          <w:sz w:val="20"/>
          <w:szCs w:val="20"/>
          <w:rtl w:val="0"/>
          <w:lang w:val="en-US"/>
        </w:rPr>
        <w:t>Actual sky, Moon, Jupiter and Pleiades</w:t>
      </w:r>
      <w:r>
        <w:rPr>
          <w:b w:val="1"/>
          <w:bCs w:val="1"/>
          <w:sz w:val="20"/>
          <w:szCs w:val="20"/>
          <w:rtl w:val="0"/>
          <w:lang w:val="en-US"/>
        </w:rPr>
        <w:t>.</w:t>
      </w:r>
    </w:p>
    <w:p>
      <w:pPr>
        <w:pStyle w:val="Body A"/>
        <w:rPr>
          <w:b w:val="1"/>
          <w:bCs w:val="1"/>
          <w:sz w:val="20"/>
          <w:szCs w:val="20"/>
        </w:rPr>
      </w:pPr>
      <w:r>
        <w:rPr>
          <w:b w:val="1"/>
          <w:bCs w:val="1"/>
          <w:sz w:val="20"/>
          <w:szCs w:val="20"/>
          <w:rtl w:val="0"/>
          <w:lang w:val="en-US"/>
        </w:rPr>
        <w:t xml:space="preserve">Figure 2 (middle). </w:t>
      </w:r>
      <w:r>
        <w:rPr>
          <w:b w:val="1"/>
          <w:bCs w:val="1"/>
          <w:i w:val="1"/>
          <w:iCs w:val="1"/>
          <w:sz w:val="20"/>
          <w:szCs w:val="20"/>
          <w:rtl w:val="0"/>
          <w:lang w:val="en-US"/>
        </w:rPr>
        <w:t>Actual sky overlayed with Stellarium image, augmented reality with an image of Taurus Constellation</w:t>
      </w:r>
      <w:r>
        <w:rPr>
          <w:b w:val="1"/>
          <w:bCs w:val="1"/>
          <w:sz w:val="20"/>
          <w:szCs w:val="20"/>
          <w:rtl w:val="0"/>
          <w:lang w:val="en-US"/>
        </w:rPr>
        <w:t xml:space="preserve">. </w:t>
      </w:r>
    </w:p>
    <w:p>
      <w:pPr>
        <w:pStyle w:val="Body A"/>
        <w:rPr>
          <w:b w:val="1"/>
          <w:bCs w:val="1"/>
          <w:i w:val="1"/>
          <w:iCs w:val="1"/>
          <w:sz w:val="20"/>
          <w:szCs w:val="20"/>
        </w:rPr>
      </w:pPr>
      <w:r>
        <w:rPr>
          <w:b w:val="1"/>
          <w:bCs w:val="1"/>
          <w:sz w:val="20"/>
          <w:szCs w:val="20"/>
          <w:rtl w:val="0"/>
          <w:lang w:val="en-US"/>
        </w:rPr>
        <w:t xml:space="preserve">Figure 3 (right). </w:t>
      </w:r>
      <w:r>
        <w:rPr>
          <w:b w:val="1"/>
          <w:bCs w:val="1"/>
          <w:i w:val="1"/>
          <w:iCs w:val="1"/>
          <w:sz w:val="20"/>
          <w:szCs w:val="20"/>
          <w:rtl w:val="0"/>
          <w:lang w:val="en-US"/>
        </w:rPr>
        <w:t>A screenshot from Stellarium mobile app, depicts Moon, Jupiter, Pleiades and Taurus Constellation; real time sky but technological representation.</w:t>
      </w:r>
    </w:p>
    <w:p>
      <w:pPr>
        <w:pStyle w:val="Body A"/>
        <w:rPr>
          <w:b w:val="1"/>
          <w:bCs w:val="1"/>
        </w:rPr>
      </w:pPr>
    </w:p>
    <w:p>
      <w:pPr>
        <w:pStyle w:val="Body A"/>
      </w:pPr>
      <w:r>
        <w:rPr>
          <w:rtl w:val="0"/>
          <w:lang w:val="en-US"/>
        </w:rPr>
        <w:t>Beyond its symbolic resonance, Taurus also emerged in unexpected moments of synchronicity. A few days after capturing images of the constellation and the Pleiades on 22 October 2024, I visited an art exhibition showing the works of Viktor Vasnetsov (1848-1926), a Russian painter renowned for his folklorist and romantic nationalistic style.</w:t>
      </w:r>
      <w:r>
        <w:rPr>
          <w:rFonts w:ascii="Helvetica Neue" w:cs="Helvetica Neue" w:hAnsi="Helvetica Neue" w:eastAsia="Helvetica Neue"/>
          <w:b w:val="0"/>
          <w:bCs w:val="0"/>
          <w:i w:val="0"/>
          <w:iCs w:val="0"/>
          <w:vertAlign w:val="superscript"/>
        </w:rPr>
        <w:footnoteReference w:id="4"/>
      </w:r>
      <w:r>
        <w:rPr>
          <w:rtl w:val="0"/>
          <w:lang w:val="en-US"/>
        </w:rPr>
        <w:t xml:space="preserve"> Francis Haffkine Snow describes his ability to convey </w:t>
      </w:r>
      <w:r>
        <w:rPr>
          <w:rFonts w:ascii="Arial Unicode MS" w:hAnsi="Arial Unicode MS" w:hint="default"/>
          <w:rtl w:val="1"/>
          <w:lang w:val="ar-SA" w:bidi="ar-SA"/>
        </w:rPr>
        <w:t>“</w:t>
      </w:r>
      <w:r>
        <w:rPr>
          <w:rtl w:val="0"/>
          <w:lang w:val="en-US"/>
        </w:rPr>
        <w:t>trans-illumination, ecstasy, and mystical beauty</w:t>
      </w:r>
      <w:r>
        <w:rPr>
          <w:rtl w:val="0"/>
        </w:rPr>
        <w:t xml:space="preserve">” </w:t>
      </w:r>
      <w:r>
        <w:rPr>
          <w:rtl w:val="0"/>
          <w:lang w:val="en-US"/>
        </w:rPr>
        <w:t xml:space="preserve">in his religious works, </w:t>
      </w:r>
      <w:r>
        <w:rPr>
          <w:rtl w:val="0"/>
        </w:rPr>
        <w:t>a</w:t>
      </w:r>
      <w:r>
        <w:rPr>
          <w:rtl w:val="0"/>
          <w:lang w:val="en-US"/>
        </w:rPr>
        <w:t>nd in folklore-inspired paintings, which often feel enchanting to me.</w:t>
      </w:r>
      <w:r>
        <w:rPr>
          <w:rFonts w:ascii="Helvetica Neue" w:cs="Helvetica Neue" w:hAnsi="Helvetica Neue" w:eastAsia="Helvetica Neue"/>
          <w:b w:val="0"/>
          <w:bCs w:val="0"/>
          <w:i w:val="0"/>
          <w:iCs w:val="0"/>
          <w:vertAlign w:val="superscript"/>
        </w:rPr>
        <w:footnoteReference w:id="5"/>
      </w:r>
      <w:r>
        <w:rPr>
          <w:rtl w:val="0"/>
          <w:lang w:val="en-US"/>
        </w:rPr>
        <w:t xml:space="preserve"> At the exhibition, I discovered an interesting coincidence: Vasnetsov was born under the astrological sign of Taurus. As I moved through the gallery, I found myself unconsciously drawn to the luminaries in his paintings. Most of his works feature either a vivid red setting Sun or a C</w:t>
      </w:r>
      <w:r>
        <w:rPr>
          <w:rtl w:val="0"/>
          <w:lang w:val="pt-PT"/>
        </w:rPr>
        <w:t xml:space="preserve">rescent </w:t>
      </w:r>
      <w:r>
        <w:rPr>
          <w:rtl w:val="0"/>
          <w:lang w:val="en-US"/>
        </w:rPr>
        <w:t>M</w:t>
      </w:r>
      <w:r>
        <w:rPr>
          <w:rtl w:val="0"/>
          <w:lang w:val="nl-NL"/>
        </w:rPr>
        <w:t>oon</w:t>
      </w:r>
      <w:r>
        <w:rPr>
          <w:rtl w:val="0"/>
          <w:lang w:val="en-US"/>
        </w:rPr>
        <w:t xml:space="preserve">, often faint or similarly painted red. When neither is present, he scatters stars across his skies, and rarely are his skies absent or without any dramatic effect. </w:t>
      </w:r>
    </w:p>
    <w:p>
      <w:pPr>
        <w:pStyle w:val="Body A"/>
      </w:pPr>
    </w:p>
    <w:p>
      <w:pPr>
        <w:pStyle w:val="Body A"/>
      </w:pPr>
      <w:r>
        <w:rPr>
          <w:rtl w:val="0"/>
          <w:lang w:val="en-US"/>
        </w:rPr>
        <w:t xml:space="preserve">One painting in particular caught my attention: </w:t>
      </w:r>
      <w:r>
        <w:rPr>
          <w:i w:val="1"/>
          <w:iCs w:val="1"/>
          <w:rtl w:val="0"/>
          <w:lang w:val="en-US"/>
        </w:rPr>
        <w:t>The Snow Maiden</w:t>
      </w:r>
      <w:r>
        <w:rPr>
          <w:rtl w:val="0"/>
          <w:lang w:val="en-US"/>
        </w:rPr>
        <w:t xml:space="preserve"> (fig. 4), which, according to the gallery</w:t>
      </w:r>
      <w:r>
        <w:rPr>
          <w:rFonts w:ascii="Arial Unicode MS" w:hAnsi="Arial Unicode MS" w:hint="default"/>
          <w:rtl w:val="1"/>
        </w:rPr>
        <w:t>’</w:t>
      </w:r>
      <w:r>
        <w:rPr>
          <w:rtl w:val="0"/>
          <w:lang w:val="en-US"/>
        </w:rPr>
        <w:t>s description, was painted in 1899</w:t>
      </w:r>
      <w:r>
        <w:rPr>
          <w:rFonts w:ascii="Arial Unicode MS" w:hAnsi="Arial Unicode MS" w:hint="default"/>
          <w:rtl w:val="1"/>
          <w:lang w:val="ar-SA" w:bidi="ar-SA"/>
        </w:rPr>
        <w:t xml:space="preserve"> “</w:t>
      </w:r>
      <w:r>
        <w:rPr>
          <w:rtl w:val="0"/>
          <w:lang w:val="en-US"/>
        </w:rPr>
        <w:t>in one take on the morning after he was inspired by the winter landscape illuminated by the Moon</w:t>
      </w:r>
      <w:r>
        <w:rPr>
          <w:rtl w:val="0"/>
        </w:rPr>
        <w:t>”</w:t>
      </w:r>
      <w:r>
        <w:rPr>
          <w:rtl w:val="0"/>
          <w:lang w:val="en-US"/>
        </w:rPr>
        <w:t xml:space="preserve">. As I observed the painting, I noticed a cluster of stars that resembled the Pleiades (fig. 5). This moment felt serendipitous, as if my recent observations of the night sky had followed me into the gallery. Richard Tarnas writes in </w:t>
      </w:r>
      <w:r>
        <w:rPr>
          <w:i w:val="1"/>
          <w:iCs w:val="1"/>
          <w:rtl w:val="0"/>
          <w:lang w:val="en-US"/>
        </w:rPr>
        <w:t>Cosmos and Psyche</w:t>
      </w:r>
      <w:r>
        <w:rPr>
          <w:rtl w:val="0"/>
          <w:lang w:val="en-US"/>
        </w:rPr>
        <w:t xml:space="preserve"> that </w:t>
      </w:r>
      <w:r>
        <w:rPr>
          <w:rFonts w:ascii="Arial Unicode MS" w:hAnsi="Arial Unicode MS" w:hint="default"/>
          <w:rtl w:val="1"/>
          <w:lang w:val="ar-SA" w:bidi="ar-SA"/>
        </w:rPr>
        <w:t>“</w:t>
      </w:r>
      <w:r>
        <w:rPr>
          <w:rtl w:val="0"/>
          <w:lang w:val="en-US"/>
        </w:rPr>
        <w:t>between the astronomical and human is an archetypally informed synchronicity,</w:t>
      </w:r>
      <w:r>
        <w:rPr>
          <w:rtl w:val="0"/>
        </w:rPr>
        <w:t xml:space="preserve">” </w:t>
      </w:r>
      <w:r>
        <w:rPr>
          <w:rtl w:val="0"/>
          <w:lang w:val="en-US"/>
        </w:rPr>
        <w:t>and this idea resonated deeply with what I experienced in that moment.</w:t>
      </w:r>
      <w:r>
        <w:rPr>
          <w:rFonts w:ascii="Helvetica Neue" w:cs="Helvetica Neue" w:hAnsi="Helvetica Neue" w:eastAsia="Helvetica Neue"/>
          <w:b w:val="0"/>
          <w:bCs w:val="0"/>
          <w:i w:val="0"/>
          <w:iCs w:val="0"/>
          <w:vertAlign w:val="superscript"/>
        </w:rPr>
        <w:footnoteReference w:id="6"/>
      </w:r>
      <w:r>
        <w:rPr>
          <w:rtl w:val="0"/>
          <w:lang w:val="en-US"/>
        </w:rPr>
        <w:t xml:space="preserve"> Vasnetsov, deeply immersed in mythology and mysticism, may have been aware of his astrological connection to Taurus and the Pleiades, a cluster linked to the constellation.</w:t>
      </w:r>
      <w:r>
        <w:drawing xmlns:a="http://schemas.openxmlformats.org/drawingml/2006/main">
          <wp:anchor distT="152400" distB="152400" distL="152400" distR="152400" simplePos="0" relativeHeight="251660288" behindDoc="0" locked="0" layoutInCell="1" allowOverlap="1">
            <wp:simplePos x="0" y="0"/>
            <wp:positionH relativeFrom="page">
              <wp:posOffset>713740</wp:posOffset>
            </wp:positionH>
            <wp:positionV relativeFrom="line">
              <wp:posOffset>162986</wp:posOffset>
            </wp:positionV>
            <wp:extent cx="6120057" cy="3308139"/>
            <wp:effectExtent l="0" t="0" r="0" b="0"/>
            <wp:wrapThrough wrapText="bothSides" distL="152400" distR="152400">
              <wp:wrapPolygon edited="1">
                <wp:start x="0" y="0"/>
                <wp:lineTo x="21621" y="0"/>
                <wp:lineTo x="21621" y="21619"/>
                <wp:lineTo x="0" y="21619"/>
                <wp:lineTo x="0" y="0"/>
              </wp:wrapPolygon>
            </wp:wrapThrough>
            <wp:docPr id="1073741827" name="officeArt object" descr="Screenshot 2024-11-24 at 23.16.32.png"/>
            <wp:cNvGraphicFramePr/>
            <a:graphic xmlns:a="http://schemas.openxmlformats.org/drawingml/2006/main">
              <a:graphicData uri="http://schemas.openxmlformats.org/drawingml/2006/picture">
                <pic:pic xmlns:pic="http://schemas.openxmlformats.org/drawingml/2006/picture">
                  <pic:nvPicPr>
                    <pic:cNvPr id="1073741827" name="Screenshot 2024-11-24 at 23.16.32.png" descr="Screenshot 2024-11-24 at 23.16.32.png"/>
                    <pic:cNvPicPr>
                      <a:picLocks noChangeAspect="1"/>
                    </pic:cNvPicPr>
                  </pic:nvPicPr>
                  <pic:blipFill>
                    <a:blip r:embed="rId6">
                      <a:extLst/>
                    </a:blip>
                    <a:stretch>
                      <a:fillRect/>
                    </a:stretch>
                  </pic:blipFill>
                  <pic:spPr>
                    <a:xfrm>
                      <a:off x="0" y="0"/>
                      <a:ext cx="6120057" cy="3308139"/>
                    </a:xfrm>
                    <a:prstGeom prst="rect">
                      <a:avLst/>
                    </a:prstGeom>
                    <a:ln w="12700" cap="flat">
                      <a:noFill/>
                      <a:miter lim="400000"/>
                    </a:ln>
                    <a:effectLst/>
                  </pic:spPr>
                </pic:pic>
              </a:graphicData>
            </a:graphic>
          </wp:anchor>
        </w:drawing>
      </w:r>
    </w:p>
    <w:p>
      <w:pPr>
        <w:pStyle w:val="Body A"/>
        <w:rPr>
          <w:b w:val="1"/>
          <w:bCs w:val="1"/>
          <w:sz w:val="20"/>
          <w:szCs w:val="20"/>
        </w:rPr>
      </w:pPr>
      <w:r>
        <w:rPr>
          <w:b w:val="1"/>
          <w:bCs w:val="1"/>
          <w:sz w:val="20"/>
          <w:szCs w:val="20"/>
          <w:rtl w:val="0"/>
          <w:lang w:val="en-US"/>
        </w:rPr>
        <w:t xml:space="preserve">Figure 4 (left). The Snow Maiden, painted by Victor Vasnetsov. </w:t>
      </w:r>
    </w:p>
    <w:p>
      <w:pPr>
        <w:pStyle w:val="Body A"/>
        <w:rPr>
          <w:b w:val="1"/>
          <w:bCs w:val="1"/>
          <w:sz w:val="20"/>
          <w:szCs w:val="20"/>
        </w:rPr>
      </w:pPr>
      <w:r>
        <w:rPr>
          <w:b w:val="1"/>
          <w:bCs w:val="1"/>
          <w:sz w:val="20"/>
          <w:szCs w:val="20"/>
          <w:rtl w:val="0"/>
          <w:lang w:val="en-US"/>
        </w:rPr>
        <w:t>Figure 5 (right). Suspecting Pleiades star cluster.</w:t>
      </w:r>
    </w:p>
    <w:p>
      <w:pPr>
        <w:pStyle w:val="Body A"/>
        <w:rPr>
          <w:b w:val="1"/>
          <w:bCs w:val="1"/>
        </w:rPr>
      </w:pPr>
    </w:p>
    <w:p>
      <w:pPr>
        <w:pStyle w:val="Body A"/>
      </w:pPr>
      <w:r>
        <w:rPr>
          <w:rtl w:val="0"/>
          <w:lang w:val="en-US"/>
        </w:rPr>
        <w:t>However, my research into Vasnetsov</w:t>
      </w:r>
      <w:r>
        <w:rPr>
          <w:rFonts w:ascii="Arial Unicode MS" w:hAnsi="Arial Unicode MS" w:hint="default"/>
          <w:rtl w:val="1"/>
        </w:rPr>
        <w:t>’</w:t>
      </w:r>
      <w:r>
        <w:rPr>
          <w:rtl w:val="0"/>
          <w:lang w:val="en-US"/>
        </w:rPr>
        <w:t xml:space="preserve">s life revealed no mention of his relationship with the sky, stars, or celestial objects. Initially avoiding to take this discovery seriously, I decided to make another circle through the exhibition with a specific focus on the skies depicted in his paintings. My second round revealed another instance of the Pleiades in </w:t>
      </w:r>
      <w:r>
        <w:rPr>
          <w:i w:val="1"/>
          <w:iCs w:val="1"/>
          <w:rtl w:val="0"/>
          <w:lang w:val="en-US"/>
        </w:rPr>
        <w:t xml:space="preserve">Christ Almighty </w:t>
      </w:r>
      <w:r>
        <w:rPr>
          <w:rtl w:val="0"/>
        </w:rPr>
        <w:t>(figs. 6, 7)</w:t>
      </w:r>
      <w:r>
        <w:rPr>
          <w:i w:val="1"/>
          <w:iCs w:val="1"/>
          <w:rtl w:val="0"/>
          <w:lang w:val="en-US"/>
        </w:rPr>
        <w:t xml:space="preserve">, </w:t>
      </w:r>
      <w:r>
        <w:rPr>
          <w:rtl w:val="0"/>
          <w:lang w:val="en-US"/>
        </w:rPr>
        <w:t>a painting that features a scattering of stars reminiscent of the cluster I had observed in the night sky. In Jungian terms, this discovery represented a moment of synchronicity, a coincidence in time and meaning that felt profoundly enchanting. As Jung wrote in a letter to astrologer B.V. Raman, such alignments between psychological and astronomical phenomena reflect the structure of the human mind, which perceives these connections as meaningful rather than random.</w:t>
      </w:r>
      <w:r>
        <w:rPr>
          <w:rFonts w:ascii="Helvetica Neue" w:cs="Helvetica Neue" w:hAnsi="Helvetica Neue" w:eastAsia="Helvetica Neue"/>
          <w:b w:val="0"/>
          <w:bCs w:val="0"/>
          <w:i w:val="0"/>
          <w:iCs w:val="0"/>
          <w:vertAlign w:val="superscript"/>
        </w:rPr>
        <w:footnoteReference w:id="7"/>
      </w:r>
      <w:r>
        <w:rPr>
          <w:rtl w:val="0"/>
          <w:lang w:val="en-US"/>
        </w:rPr>
        <w:t xml:space="preserve"> Patrick Curry described experience of enchantment as perception of the world  meaningful, significant, whole, fundamentally mysterious and inclusive of oneself.</w:t>
      </w:r>
      <w:r>
        <w:rPr>
          <w:rFonts w:ascii="Helvetica Neue" w:cs="Helvetica Neue" w:hAnsi="Helvetica Neue" w:eastAsia="Helvetica Neue"/>
          <w:b w:val="0"/>
          <w:bCs w:val="0"/>
          <w:i w:val="0"/>
          <w:iCs w:val="0"/>
          <w:vertAlign w:val="superscript"/>
        </w:rPr>
        <w:footnoteReference w:id="8"/>
      </w:r>
      <w:r>
        <w:rPr>
          <w:rtl w:val="0"/>
          <w:lang w:val="en-US"/>
        </w:rPr>
        <w:t xml:space="preserve"> Moments of small coincidences and the unfolding patterns of correlation have always had a breathtakingly enchanting effect on me, as if I were touching something infinite. This echoes Van Gogh</w:t>
      </w:r>
      <w:r>
        <w:rPr>
          <w:rtl w:val="0"/>
          <w:lang w:val="en-US"/>
        </w:rPr>
        <w:t>’</w:t>
      </w:r>
      <w:r>
        <w:rPr>
          <w:rtl w:val="0"/>
          <w:lang w:val="en-US"/>
        </w:rPr>
        <w:t xml:space="preserve">s suggestion to be </w:t>
      </w:r>
      <w:r>
        <w:rPr>
          <w:rFonts w:ascii="Arial Unicode MS" w:hAnsi="Arial Unicode MS" w:hint="default"/>
          <w:rtl w:val="1"/>
          <w:lang w:val="ar-SA" w:bidi="ar-SA"/>
        </w:rPr>
        <w:t>“</w:t>
      </w:r>
      <w:r>
        <w:rPr>
          <w:rtl w:val="0"/>
          <w:lang w:val="en-US"/>
        </w:rPr>
        <w:t>clearly aware of the stars and infinity on high</w:t>
      </w:r>
      <w:r>
        <w:rPr>
          <w:rtl w:val="0"/>
        </w:rPr>
        <w:t>”</w:t>
      </w:r>
      <w:r>
        <w:rPr>
          <w:rtl w:val="0"/>
          <w:lang w:val="en-US"/>
        </w:rPr>
        <w:t>, to glimpse a world that is both enchanting and boundless. For me, these moments of synchronicity with Taurus and the Pleiades were not merely coincidences but affirmations of a deeper relationship with the sky, one that bridges the physical and the symbolic, the seen and the imagined.</w:t>
      </w:r>
      <w:r>
        <w:drawing xmlns:a="http://schemas.openxmlformats.org/drawingml/2006/main">
          <wp:anchor distT="152400" distB="152400" distL="152400" distR="152400" simplePos="0" relativeHeight="251661312" behindDoc="0" locked="0" layoutInCell="1" allowOverlap="1">
            <wp:simplePos x="0" y="0"/>
            <wp:positionH relativeFrom="page">
              <wp:posOffset>622301</wp:posOffset>
            </wp:positionH>
            <wp:positionV relativeFrom="line">
              <wp:posOffset>203200</wp:posOffset>
            </wp:positionV>
            <wp:extent cx="6120058" cy="2824642"/>
            <wp:effectExtent l="0" t="0" r="0" b="0"/>
            <wp:wrapThrough wrapText="bothSides" distL="152400" distR="152400">
              <wp:wrapPolygon edited="1">
                <wp:start x="0" y="0"/>
                <wp:lineTo x="21600" y="0"/>
                <wp:lineTo x="21600" y="21618"/>
                <wp:lineTo x="0" y="21618"/>
                <wp:lineTo x="0" y="0"/>
              </wp:wrapPolygon>
            </wp:wrapThrough>
            <wp:docPr id="1073741828" name="officeArt object" descr="Screenshot 2024-11-24 at 23.38.12.png"/>
            <wp:cNvGraphicFramePr/>
            <a:graphic xmlns:a="http://schemas.openxmlformats.org/drawingml/2006/main">
              <a:graphicData uri="http://schemas.openxmlformats.org/drawingml/2006/picture">
                <pic:pic xmlns:pic="http://schemas.openxmlformats.org/drawingml/2006/picture">
                  <pic:nvPicPr>
                    <pic:cNvPr id="1073741828" name="Screenshot 2024-11-24 at 23.38.12.png" descr="Screenshot 2024-11-24 at 23.38.12.png"/>
                    <pic:cNvPicPr>
                      <a:picLocks noChangeAspect="1"/>
                    </pic:cNvPicPr>
                  </pic:nvPicPr>
                  <pic:blipFill>
                    <a:blip r:embed="rId7">
                      <a:extLst/>
                    </a:blip>
                    <a:stretch>
                      <a:fillRect/>
                    </a:stretch>
                  </pic:blipFill>
                  <pic:spPr>
                    <a:xfrm>
                      <a:off x="0" y="0"/>
                      <a:ext cx="6120058" cy="2824642"/>
                    </a:xfrm>
                    <a:prstGeom prst="rect">
                      <a:avLst/>
                    </a:prstGeom>
                    <a:ln w="12700" cap="flat">
                      <a:noFill/>
                      <a:miter lim="400000"/>
                    </a:ln>
                    <a:effectLst/>
                  </pic:spPr>
                </pic:pic>
              </a:graphicData>
            </a:graphic>
          </wp:anchor>
        </w:drawing>
      </w:r>
    </w:p>
    <w:p>
      <w:pPr>
        <w:pStyle w:val="Body A"/>
        <w:rPr>
          <w:b w:val="1"/>
          <w:bCs w:val="1"/>
          <w:sz w:val="20"/>
          <w:szCs w:val="20"/>
        </w:rPr>
      </w:pPr>
      <w:r>
        <w:rPr>
          <w:b w:val="1"/>
          <w:bCs w:val="1"/>
          <w:sz w:val="20"/>
          <w:szCs w:val="20"/>
          <w:rtl w:val="0"/>
          <w:lang w:val="en-US"/>
        </w:rPr>
        <w:t xml:space="preserve">Figure 6 (left). Christ Almighty, painted by Victor Vasnetsov. </w:t>
      </w:r>
    </w:p>
    <w:p>
      <w:pPr>
        <w:pStyle w:val="Body A"/>
        <w:rPr>
          <w:b w:val="1"/>
          <w:bCs w:val="1"/>
          <w:sz w:val="20"/>
          <w:szCs w:val="20"/>
        </w:rPr>
      </w:pPr>
      <w:r>
        <w:rPr>
          <w:b w:val="1"/>
          <w:bCs w:val="1"/>
          <w:sz w:val="20"/>
          <w:szCs w:val="20"/>
          <w:rtl w:val="0"/>
          <w:lang w:val="en-US"/>
        </w:rPr>
        <w:t>Figure 7 (right). Seeing Pleiades star cluster again.</w:t>
      </w:r>
    </w:p>
    <w:p>
      <w:pPr>
        <w:pStyle w:val="Body A"/>
        <w:rPr>
          <w:b w:val="1"/>
          <w:bCs w:val="1"/>
        </w:rPr>
      </w:pPr>
    </w:p>
    <w:p>
      <w:pPr>
        <w:pStyle w:val="Body A"/>
        <w:rPr>
          <w:b w:val="1"/>
          <w:bCs w:val="1"/>
        </w:rPr>
      </w:pPr>
      <w:r>
        <w:rPr>
          <w:b w:val="1"/>
          <w:bCs w:val="1"/>
          <w:rtl w:val="0"/>
          <w:lang w:val="en-US"/>
        </w:rPr>
        <w:t>Fear, Technology, and the Dual Nature of Enchantment</w:t>
      </w:r>
    </w:p>
    <w:p>
      <w:pPr>
        <w:pStyle w:val="Body A"/>
        <w:rPr>
          <w:b w:val="1"/>
          <w:bCs w:val="1"/>
        </w:rPr>
      </w:pPr>
    </w:p>
    <w:p>
      <w:pPr>
        <w:pStyle w:val="Body A"/>
      </w:pPr>
      <w:r>
        <w:rPr>
          <w:rtl w:val="0"/>
          <w:lang w:val="en-US"/>
        </w:rPr>
        <w:t>While the constellation of Taurus inspired awe and synchronicity, the sky during this period became more of a source of fear and anxiety. Living in the Moscow suburbs, close to a major airport, I experienced the unsettling presence of frequent drone attacks and the increasing threat of long-distance rockets, discussions of which dominated the media throughout November. These geopolitical anxieties transformed the sky from a space of enchantment into a place of potential danger, heightening my awareness of its dual nature.</w:t>
      </w:r>
    </w:p>
    <w:p>
      <w:pPr>
        <w:pStyle w:val="Body A"/>
      </w:pPr>
    </w:p>
    <w:p>
      <w:pPr>
        <w:pStyle w:val="Body A"/>
      </w:pPr>
      <w:r>
        <w:rPr>
          <w:rtl w:val="0"/>
          <w:lang w:val="en-US"/>
        </w:rPr>
        <w:t xml:space="preserve">This duality resonated with representations of the sky in contemporary film. In </w:t>
      </w:r>
      <w:r>
        <w:rPr>
          <w:i w:val="1"/>
          <w:iCs w:val="1"/>
          <w:rtl w:val="0"/>
          <w:lang w:val="en-US"/>
        </w:rPr>
        <w:t>The Matrix</w:t>
      </w:r>
      <w:r>
        <w:rPr>
          <w:rtl w:val="0"/>
          <w:lang w:val="en-US"/>
        </w:rPr>
        <w:t xml:space="preserve"> (1999), humanity scorched the sky to sever the machines</w:t>
      </w:r>
      <w:r>
        <w:rPr>
          <w:rFonts w:ascii="Arial Unicode MS" w:hAnsi="Arial Unicode MS" w:hint="default"/>
          <w:rtl w:val="1"/>
        </w:rPr>
        <w:t xml:space="preserve">’ </w:t>
      </w:r>
      <w:r>
        <w:rPr>
          <w:rtl w:val="0"/>
          <w:lang w:val="en-US"/>
        </w:rPr>
        <w:t>access to solar power, creating a perpetually overcast and lifeless world.</w:t>
      </w:r>
      <w:r>
        <w:rPr>
          <w:rFonts w:ascii="Helvetica Neue" w:cs="Helvetica Neue" w:hAnsi="Helvetica Neue" w:eastAsia="Helvetica Neue"/>
          <w:b w:val="0"/>
          <w:bCs w:val="0"/>
          <w:i w:val="0"/>
          <w:iCs w:val="0"/>
          <w:vertAlign w:val="superscript"/>
        </w:rPr>
        <w:footnoteReference w:id="9"/>
      </w:r>
      <w:r>
        <w:rPr>
          <w:rtl w:val="0"/>
          <w:lang w:val="en-US"/>
        </w:rPr>
        <w:t xml:space="preserve"> Watching the film during my observation period, I was reminded of my trip to the Arctic in July 2023, where the Sun never set during summer. The continuous daylight disrupted my sense of time and rhythm, leaving me feeling abandoned by the Sun</w:t>
      </w:r>
      <w:r>
        <w:rPr>
          <w:rFonts w:ascii="Arial Unicode MS" w:hAnsi="Arial Unicode MS" w:hint="default"/>
          <w:rtl w:val="1"/>
        </w:rPr>
        <w:t>’</w:t>
      </w:r>
      <w:r>
        <w:rPr>
          <w:rtl w:val="0"/>
          <w:lang w:val="en-US"/>
        </w:rPr>
        <w:t xml:space="preserve">s usual guidance. Since then, I have focused my observations, as Van Gogh suggested, on the night sky, seeking comfort and inspiration in the stars. This mirrors the shift in </w:t>
      </w:r>
      <w:r>
        <w:rPr>
          <w:i w:val="1"/>
          <w:iCs w:val="1"/>
          <w:rtl w:val="0"/>
          <w:lang w:val="en-US"/>
        </w:rPr>
        <w:t>The Matrix</w:t>
      </w:r>
      <w:r>
        <w:rPr>
          <w:rtl w:val="0"/>
          <w:lang w:val="en-US"/>
        </w:rPr>
        <w:t>, where humanity, forced underground, becomes disconnected from the natural day sky, yet retains awareness of its loss.</w:t>
      </w:r>
    </w:p>
    <w:p>
      <w:pPr>
        <w:pStyle w:val="Body A"/>
      </w:pPr>
    </w:p>
    <w:p>
      <w:pPr>
        <w:pStyle w:val="Body A"/>
      </w:pPr>
      <w:r>
        <w:rPr>
          <w:rtl w:val="0"/>
          <w:lang w:val="en-US"/>
        </w:rPr>
        <w:t xml:space="preserve">On 10 of November, in the morning, a massive drone attack happened just kilometres away from my home. As means of relaxing after stressful day I decided, ironically, to watch a film called </w:t>
      </w:r>
      <w:r>
        <w:rPr>
          <w:i w:val="1"/>
          <w:iCs w:val="1"/>
          <w:rtl w:val="0"/>
          <w:lang w:val="en-US"/>
        </w:rPr>
        <w:t>Don</w:t>
      </w:r>
      <w:r>
        <w:rPr>
          <w:i w:val="1"/>
          <w:iCs w:val="1"/>
          <w:rtl w:val="0"/>
          <w:lang w:val="en-US"/>
        </w:rPr>
        <w:t>’</w:t>
      </w:r>
      <w:r>
        <w:rPr>
          <w:i w:val="1"/>
          <w:iCs w:val="1"/>
          <w:rtl w:val="0"/>
          <w:lang w:val="en-US"/>
        </w:rPr>
        <w:t>t Look Up</w:t>
      </w:r>
      <w:r>
        <w:rPr>
          <w:rtl w:val="0"/>
          <w:lang w:val="en-US"/>
        </w:rPr>
        <w:t xml:space="preserve"> (2021).</w:t>
      </w:r>
      <w:r>
        <w:rPr>
          <w:rFonts w:ascii="Helvetica Neue" w:cs="Helvetica Neue" w:hAnsi="Helvetica Neue" w:eastAsia="Helvetica Neue"/>
          <w:b w:val="0"/>
          <w:bCs w:val="0"/>
          <w:i w:val="0"/>
          <w:iCs w:val="0"/>
          <w:vertAlign w:val="superscript"/>
        </w:rPr>
        <w:footnoteReference w:id="10"/>
      </w:r>
      <w:r>
        <w:rPr>
          <w:rtl w:val="0"/>
          <w:lang w:val="en-US"/>
        </w:rPr>
        <w:t xml:space="preserve"> Similarly, it</w:t>
      </w:r>
      <w:r>
        <w:rPr>
          <w:rtl w:val="0"/>
          <w:lang w:val="pt-PT"/>
        </w:rPr>
        <w:t xml:space="preserve"> explores humanity</w:t>
      </w:r>
      <w:r>
        <w:rPr>
          <w:rFonts w:ascii="Arial Unicode MS" w:hAnsi="Arial Unicode MS" w:hint="default"/>
          <w:rtl w:val="1"/>
        </w:rPr>
        <w:t>’</w:t>
      </w:r>
      <w:r>
        <w:rPr>
          <w:rtl w:val="0"/>
          <w:lang w:val="en-US"/>
        </w:rPr>
        <w:t>s avoidance of celestial threats, depicting a catastrophic comet approaching Earth while people remain distracted by, coincidently, politics and USA presidential elections and gossips about celebrities in yellow media. The film reflects how avoidance can become a coping mechanism, not unlike my own hesitancy to engage with the sky during moments of fear. Yet, despite these cultural representations of a disconnected or threatening sky, my observations revealed moments of wonder facilitated by technology.</w:t>
      </w:r>
    </w:p>
    <w:p>
      <w:pPr>
        <w:pStyle w:val="Body A"/>
      </w:pPr>
    </w:p>
    <w:p>
      <w:pPr>
        <w:pStyle w:val="Body A"/>
      </w:pPr>
      <w:r>
        <w:rPr>
          <w:rtl w:val="0"/>
          <w:lang w:val="en-US"/>
        </w:rPr>
        <w:t>The Stellarium app, for instance, became an essential tool for reconnecting with the sky. Its augmented reality overlays allowed me to identify constellations and see them while they were hidden by the clouds, as it was almost always the case (fig. 8, 9, 10). Through this app, the sky became more accessible, helping me to bridge the gap between fear and curiosity. Nicholas Campion argues that science and technology are not inherently disenchanting but can serve as instruments for rediscovering the "magical aliveness" of the cosmos.</w:t>
      </w:r>
      <w:r>
        <w:rPr>
          <w:rFonts w:ascii="Helvetica Neue" w:cs="Helvetica Neue" w:hAnsi="Helvetica Neue" w:eastAsia="Helvetica Neue"/>
          <w:b w:val="0"/>
          <w:bCs w:val="0"/>
          <w:i w:val="0"/>
          <w:iCs w:val="0"/>
          <w:vertAlign w:val="superscript"/>
        </w:rPr>
        <w:footnoteReference w:id="11"/>
      </w:r>
      <w:r>
        <w:rPr>
          <w:rtl w:val="0"/>
          <w:lang w:val="en-US"/>
        </w:rPr>
        <w:t xml:space="preserve"> In my case, technology mediated my relationship with the heavens, allowing me to perceive the sky in new and enriching ways. This dual nature of the sky, both enchanting and threatening, is reflected in its relationship with human innovation. On one hand, technological tools like Stellarium foster awe and connection by revealing hidden patterns in the sky. On the other hand, the very technologies that make the sky accessible, such as </w:t>
      </w:r>
      <w:r>
        <w:rPr>
          <w:rtl w:val="0"/>
          <w:lang w:val="es-ES_tradnl"/>
        </w:rPr>
        <w:t>drones</w:t>
      </w:r>
      <w:r>
        <w:rPr>
          <w:rtl w:val="0"/>
          <w:lang w:val="en-US"/>
        </w:rPr>
        <w:t>, satellites, and rockets, can make the sky become a source of fear and danger.</w:t>
      </w:r>
      <w:r>
        <w:drawing xmlns:a="http://schemas.openxmlformats.org/drawingml/2006/main">
          <wp:anchor distT="152400" distB="152400" distL="152400" distR="152400" simplePos="0" relativeHeight="251662336" behindDoc="0" locked="0" layoutInCell="1" allowOverlap="1">
            <wp:simplePos x="0" y="0"/>
            <wp:positionH relativeFrom="page">
              <wp:posOffset>713741</wp:posOffset>
            </wp:positionH>
            <wp:positionV relativeFrom="line">
              <wp:posOffset>157698</wp:posOffset>
            </wp:positionV>
            <wp:extent cx="6120058" cy="2785634"/>
            <wp:effectExtent l="0" t="0" r="0" b="0"/>
            <wp:wrapTopAndBottom distT="152400" distB="152400"/>
            <wp:docPr id="1073741829" name="officeArt object" descr="Screenshot 2024-11-26 at 20.51.59.png"/>
            <wp:cNvGraphicFramePr/>
            <a:graphic xmlns:a="http://schemas.openxmlformats.org/drawingml/2006/main">
              <a:graphicData uri="http://schemas.openxmlformats.org/drawingml/2006/picture">
                <pic:pic xmlns:pic="http://schemas.openxmlformats.org/drawingml/2006/picture">
                  <pic:nvPicPr>
                    <pic:cNvPr id="1073741829" name="Screenshot 2024-11-26 at 20.51.59.png" descr="Screenshot 2024-11-26 at 20.51.59.png"/>
                    <pic:cNvPicPr>
                      <a:picLocks noChangeAspect="1"/>
                    </pic:cNvPicPr>
                  </pic:nvPicPr>
                  <pic:blipFill>
                    <a:blip r:embed="rId8">
                      <a:extLst/>
                    </a:blip>
                    <a:stretch>
                      <a:fillRect/>
                    </a:stretch>
                  </pic:blipFill>
                  <pic:spPr>
                    <a:xfrm>
                      <a:off x="0" y="0"/>
                      <a:ext cx="6120058" cy="2785634"/>
                    </a:xfrm>
                    <a:prstGeom prst="rect">
                      <a:avLst/>
                    </a:prstGeom>
                    <a:ln w="12700" cap="flat">
                      <a:noFill/>
                      <a:miter lim="400000"/>
                    </a:ln>
                    <a:effectLst/>
                  </pic:spPr>
                </pic:pic>
              </a:graphicData>
            </a:graphic>
          </wp:anchor>
        </w:drawing>
      </w:r>
      <w:r>
        <w:rPr>
          <w:rtl w:val="0"/>
          <w:lang w:val="en-US"/>
        </w:rPr>
        <w:t xml:space="preserve"> </w:t>
      </w:r>
    </w:p>
    <w:p>
      <w:pPr>
        <w:pStyle w:val="Body A"/>
        <w:rPr>
          <w:b w:val="1"/>
          <w:bCs w:val="1"/>
          <w:sz w:val="20"/>
          <w:szCs w:val="20"/>
        </w:rPr>
      </w:pPr>
      <w:r>
        <w:rPr>
          <w:b w:val="1"/>
          <w:bCs w:val="1"/>
          <w:sz w:val="20"/>
          <w:szCs w:val="20"/>
          <w:rtl w:val="0"/>
          <w:lang w:val="en-US"/>
        </w:rPr>
        <w:t xml:space="preserve">Figure 8 (left). </w:t>
      </w:r>
      <w:r>
        <w:rPr>
          <w:b w:val="1"/>
          <w:bCs w:val="1"/>
          <w:i w:val="1"/>
          <w:iCs w:val="1"/>
          <w:sz w:val="20"/>
          <w:szCs w:val="20"/>
          <w:rtl w:val="0"/>
          <w:lang w:val="en-US"/>
        </w:rPr>
        <w:t>Actual sky, Jupiter and foggy clouds</w:t>
      </w:r>
      <w:r>
        <w:rPr>
          <w:b w:val="1"/>
          <w:bCs w:val="1"/>
          <w:sz w:val="20"/>
          <w:szCs w:val="20"/>
          <w:rtl w:val="0"/>
          <w:lang w:val="en-US"/>
        </w:rPr>
        <w:t xml:space="preserve">. </w:t>
      </w:r>
    </w:p>
    <w:p>
      <w:pPr>
        <w:pStyle w:val="Body A"/>
        <w:rPr>
          <w:b w:val="1"/>
          <w:bCs w:val="1"/>
          <w:sz w:val="20"/>
          <w:szCs w:val="20"/>
        </w:rPr>
      </w:pPr>
      <w:r>
        <w:rPr>
          <w:b w:val="1"/>
          <w:bCs w:val="1"/>
          <w:sz w:val="20"/>
          <w:szCs w:val="20"/>
          <w:rtl w:val="0"/>
          <w:lang w:val="en-US"/>
        </w:rPr>
        <w:t xml:space="preserve">Figure 9 (middle). </w:t>
      </w:r>
      <w:r>
        <w:rPr>
          <w:b w:val="1"/>
          <w:bCs w:val="1"/>
          <w:i w:val="1"/>
          <w:iCs w:val="1"/>
          <w:sz w:val="20"/>
          <w:szCs w:val="20"/>
          <w:rtl w:val="0"/>
          <w:lang w:val="en-US"/>
        </w:rPr>
        <w:t>A screenshot from Stellarium, depicts Jupiter and Taurus.</w:t>
      </w:r>
    </w:p>
    <w:p>
      <w:pPr>
        <w:pStyle w:val="Body A"/>
        <w:rPr>
          <w:b w:val="1"/>
          <w:bCs w:val="1"/>
          <w:sz w:val="20"/>
          <w:szCs w:val="20"/>
        </w:rPr>
      </w:pPr>
      <w:r>
        <w:rPr>
          <w:b w:val="1"/>
          <w:bCs w:val="1"/>
          <w:sz w:val="20"/>
          <w:szCs w:val="20"/>
          <w:rtl w:val="0"/>
          <w:lang w:val="en-US"/>
        </w:rPr>
        <w:t xml:space="preserve">Figure 10 (right). </w:t>
      </w:r>
      <w:r>
        <w:rPr>
          <w:b w:val="1"/>
          <w:bCs w:val="1"/>
          <w:i w:val="1"/>
          <w:iCs w:val="1"/>
          <w:sz w:val="20"/>
          <w:szCs w:val="20"/>
          <w:rtl w:val="0"/>
          <w:lang w:val="en-US"/>
        </w:rPr>
        <w:t>Actual sky overlayed with Stellarium, augmented reality with an image of Taurus and Jupiter.</w:t>
      </w:r>
    </w:p>
    <w:p>
      <w:pPr>
        <w:pStyle w:val="Body A"/>
      </w:pPr>
    </w:p>
    <w:p>
      <w:pPr>
        <w:pStyle w:val="Body A"/>
        <w:rPr>
          <w:b w:val="1"/>
          <w:bCs w:val="1"/>
        </w:rPr>
      </w:pPr>
      <w:r>
        <w:rPr>
          <w:b w:val="1"/>
          <w:bCs w:val="1"/>
          <w:rtl w:val="0"/>
          <w:lang w:val="en-US"/>
        </w:rPr>
        <w:t>Conclusion</w:t>
      </w:r>
    </w:p>
    <w:p>
      <w:pPr>
        <w:pStyle w:val="Body A"/>
      </w:pPr>
    </w:p>
    <w:p>
      <w:pPr>
        <w:pStyle w:val="Body A"/>
      </w:pPr>
      <w:r>
        <w:rPr>
          <w:rtl w:val="0"/>
          <w:lang w:val="en-US"/>
        </w:rPr>
        <w:t>Through this month-long observation two central themes emerged: the inspirational quality of Taurus constellation, it</w:t>
      </w:r>
      <w:r>
        <w:rPr>
          <w:rtl w:val="0"/>
          <w:lang w:val="en-US"/>
        </w:rPr>
        <w:t>’</w:t>
      </w:r>
      <w:r>
        <w:rPr>
          <w:rtl w:val="0"/>
          <w:lang w:val="en-US"/>
        </w:rPr>
        <w:t>s astrological significance, and the Pleiades, reflecting my personal relationship with the sky that bridges the physical and the symbolic; and the dual nature of the sky as both enchanting and threatening, mediated through technology and film representations. These themes highlight the complexity of the relationship with the cosmos, a space of both awe and anxiety. As Van Gogh suggested, the stars and infinity invite us to find enchantment even amidst uncertainty, reaffirming the sky</w:t>
      </w:r>
      <w:r>
        <w:rPr>
          <w:rFonts w:ascii="Arial Unicode MS" w:hAnsi="Arial Unicode MS" w:hint="default"/>
          <w:rtl w:val="1"/>
        </w:rPr>
        <w:t>’</w:t>
      </w:r>
      <w:r>
        <w:rPr>
          <w:rtl w:val="0"/>
          <w:lang w:val="en-US"/>
        </w:rPr>
        <w:t>s capacity to inspire wonder and connection across physical, symbolic, and technological boundaries. His reflection on the night sky resonates here: despite the fears surrounding modern sky, moments of awe persist, offering hope and reminding of the infinite and mysterious connection between the cosmos and the human experience. Whether seen through the lens of mythology, technology, or visual culture, the sky remains a realm where fear and wonder coexist, providing both challenges and opportunities for reflection and inspiration.</w:t>
      </w:r>
    </w:p>
    <w:p>
      <w:pPr>
        <w:pStyle w:val="Body A"/>
      </w:pPr>
    </w:p>
    <w:p>
      <w:pPr>
        <w:pStyle w:val="Body A"/>
      </w:pPr>
    </w:p>
    <w:p>
      <w:pPr>
        <w:pStyle w:val="Body A"/>
      </w:pPr>
    </w:p>
    <w:p>
      <w:pPr>
        <w:pStyle w:val="Body A"/>
        <w:jc w:val="right"/>
      </w:pPr>
      <w:r>
        <w:rPr>
          <w:rtl w:val="0"/>
          <w:lang w:val="en-US"/>
        </w:rPr>
        <w:t xml:space="preserve">Word count </w:t>
      </w:r>
      <w:r>
        <w:rPr>
          <w:rtl w:val="0"/>
          <w:lang w:val="en-US"/>
        </w:rPr>
        <w:t>– </w:t>
      </w:r>
      <w:r>
        <w:rPr>
          <w:rtl w:val="0"/>
          <w:lang w:val="en-US"/>
        </w:rPr>
        <w:t>1965</w:t>
      </w:r>
      <w:r>
        <w:rPr>
          <w:rFonts w:ascii="Arial Unicode MS" w:cs="Arial Unicode MS" w:hAnsi="Arial Unicode MS" w:eastAsia="Arial Unicode MS"/>
          <w:b w:val="0"/>
          <w:bCs w:val="0"/>
          <w:i w:val="0"/>
          <w:iCs w:val="0"/>
        </w:rPr>
        <w:br w:type="page"/>
      </w:r>
    </w:p>
    <w:p>
      <w:pPr>
        <w:pStyle w:val="Body A"/>
        <w:rPr>
          <w:b w:val="1"/>
          <w:bCs w:val="1"/>
        </w:rPr>
      </w:pPr>
    </w:p>
    <w:p>
      <w:pPr>
        <w:pStyle w:val="Body A"/>
        <w:rPr>
          <w:b w:val="1"/>
          <w:bCs w:val="1"/>
        </w:rPr>
      </w:pPr>
      <w:r>
        <w:rPr>
          <w:b w:val="1"/>
          <w:bCs w:val="1"/>
          <w:rtl w:val="0"/>
          <w:lang w:val="en-US"/>
        </w:rPr>
        <w:t>Bibliography</w:t>
      </w:r>
    </w:p>
    <w:p>
      <w:pPr>
        <w:pStyle w:val="Body A"/>
      </w:pPr>
    </w:p>
    <w:p>
      <w:pPr>
        <w:pStyle w:val="Footnote"/>
      </w:pPr>
      <w:r>
        <w:rPr>
          <w:rFonts w:cs="Arial Unicode MS" w:eastAsia="Arial Unicode MS"/>
          <w:rtl w:val="0"/>
          <w:lang w:val="nl-NL"/>
        </w:rPr>
        <w:t>Campion, Nick</w:t>
      </w:r>
      <w:r>
        <w:rPr>
          <w:rFonts w:cs="Arial Unicode MS" w:eastAsia="Arial Unicode MS"/>
          <w:rtl w:val="0"/>
          <w:lang w:val="en-US"/>
        </w:rPr>
        <w:t xml:space="preserve">, </w:t>
      </w:r>
      <w:r>
        <w:rPr>
          <w:rFonts w:cs="Arial Unicode MS" w:eastAsia="Arial Unicode MS"/>
          <w:i w:val="1"/>
          <w:iCs w:val="1"/>
          <w:rtl w:val="0"/>
          <w:lang w:val="en-US"/>
        </w:rPr>
        <w:t>Enchantment and the Awe of the Heavens</w:t>
      </w:r>
      <w:r>
        <w:rPr>
          <w:rFonts w:cs="Arial Unicode MS" w:eastAsia="Arial Unicode MS"/>
          <w:rtl w:val="0"/>
          <w:lang w:val="en-US"/>
        </w:rPr>
        <w:t>, The Inspiration of Astronomical Phenomena VI, (</w:t>
      </w:r>
      <w:r>
        <w:rPr>
          <w:rFonts w:cs="Arial Unicode MS" w:eastAsia="Arial Unicode MS"/>
          <w:rtl w:val="0"/>
        </w:rPr>
        <w:t>2011</w:t>
      </w:r>
      <w:r>
        <w:rPr>
          <w:rFonts w:cs="Arial Unicode MS" w:eastAsia="Arial Unicode MS"/>
          <w:rtl w:val="0"/>
          <w:lang w:val="en-US"/>
        </w:rPr>
        <w:t>).</w:t>
      </w:r>
    </w:p>
    <w:p>
      <w:pPr>
        <w:pStyle w:val="Footnote"/>
      </w:pPr>
    </w:p>
    <w:p>
      <w:pPr>
        <w:pStyle w:val="Footnote"/>
        <w:rPr>
          <w:sz w:val="24"/>
          <w:szCs w:val="24"/>
        </w:rPr>
      </w:pPr>
      <w:r>
        <w:rPr>
          <w:rFonts w:cs="Arial Unicode MS" w:eastAsia="Arial Unicode MS"/>
          <w:rtl w:val="0"/>
          <w:lang w:val="en-US"/>
        </w:rPr>
        <w:t xml:space="preserve">Curry, Patrick, </w:t>
      </w:r>
      <w:r>
        <w:rPr>
          <w:rFonts w:ascii="Arial Unicode MS" w:hAnsi="Arial Unicode MS" w:hint="default"/>
          <w:rtl w:val="1"/>
        </w:rPr>
        <w:t>‘</w:t>
      </w:r>
      <w:r>
        <w:rPr>
          <w:rFonts w:cs="Arial Unicode MS" w:eastAsia="Arial Unicode MS"/>
          <w:rtl w:val="0"/>
        </w:rPr>
        <w:t>Astrology</w:t>
      </w:r>
      <w:r>
        <w:rPr>
          <w:rFonts w:ascii="Arial Unicode MS" w:hAnsi="Arial Unicode MS" w:hint="default"/>
          <w:rtl w:val="1"/>
        </w:rPr>
        <w:t>’</w:t>
      </w:r>
      <w:r>
        <w:rPr>
          <w:rFonts w:cs="Arial Unicode MS" w:eastAsia="Arial Unicode MS"/>
          <w:rtl w:val="0"/>
          <w:lang w:val="en-US"/>
        </w:rPr>
        <w:t xml:space="preserve">, in Boyd, Kelly (ed.) </w:t>
      </w:r>
      <w:r>
        <w:rPr>
          <w:rFonts w:cs="Arial Unicode MS" w:eastAsia="Arial Unicode MS"/>
          <w:i w:val="1"/>
          <w:iCs w:val="1"/>
          <w:rtl w:val="0"/>
          <w:lang w:val="en-US"/>
        </w:rPr>
        <w:t>The Encyclopaedia of Historians and Historical Writing</w:t>
      </w:r>
      <w:r>
        <w:rPr>
          <w:rFonts w:cs="Arial Unicode MS" w:eastAsia="Arial Unicode MS"/>
          <w:rtl w:val="0"/>
          <w:lang w:val="pt-PT"/>
        </w:rPr>
        <w:t xml:space="preserve">, 2 Vols. </w:t>
      </w:r>
      <w:r>
        <w:rPr>
          <w:rFonts w:cs="Arial Unicode MS" w:eastAsia="Arial Unicode MS"/>
          <w:rtl w:val="0"/>
          <w:lang w:val="en-US"/>
        </w:rPr>
        <w:t>(London: Fitzroy Dearborn,</w:t>
      </w:r>
      <w:r>
        <w:rPr>
          <w:rFonts w:cs="Arial Unicode MS" w:eastAsia="Arial Unicode MS"/>
          <w:rtl w:val="0"/>
        </w:rPr>
        <w:t xml:space="preserve"> 1999</w:t>
      </w:r>
      <w:r>
        <w:rPr>
          <w:rFonts w:cs="Arial Unicode MS" w:eastAsia="Arial Unicode MS"/>
          <w:rtl w:val="0"/>
          <w:lang w:val="en-US"/>
        </w:rPr>
        <w:t>)</w:t>
      </w:r>
      <w:r>
        <w:rPr>
          <w:rFonts w:cs="Arial Unicode MS" w:eastAsia="Arial Unicode MS"/>
          <w:rtl w:val="0"/>
          <w:lang w:val="nl-NL"/>
        </w:rPr>
        <w:t>, Vol. 1</w:t>
      </w:r>
      <w:r>
        <w:rPr>
          <w:rFonts w:cs="Arial Unicode MS" w:eastAsia="Arial Unicode MS"/>
          <w:sz w:val="24"/>
          <w:szCs w:val="24"/>
          <w:rtl w:val="0"/>
          <w:lang w:val="en-US"/>
        </w:rPr>
        <w:t>.</w:t>
      </w:r>
    </w:p>
    <w:p>
      <w:pPr>
        <w:pStyle w:val="Footnote"/>
        <w:rPr>
          <w:sz w:val="24"/>
          <w:szCs w:val="24"/>
        </w:rPr>
      </w:pPr>
    </w:p>
    <w:p>
      <w:pPr>
        <w:pStyle w:val="Footnote"/>
      </w:pPr>
      <w:r>
        <w:rPr>
          <w:rFonts w:cs="Arial Unicode MS" w:eastAsia="Arial Unicode MS"/>
          <w:rtl w:val="0"/>
          <w:lang w:val="nl-NL"/>
        </w:rPr>
        <w:t xml:space="preserve">Gogh, Vincent van, and Ronald de Leeuw. </w:t>
      </w:r>
      <w:r>
        <w:rPr>
          <w:rFonts w:cs="Arial Unicode MS" w:eastAsia="Arial Unicode MS"/>
          <w:i w:val="1"/>
          <w:iCs w:val="1"/>
          <w:rtl w:val="0"/>
          <w:lang w:val="en-US"/>
        </w:rPr>
        <w:t>The Letters of Vincent Van Gogh</w:t>
      </w:r>
      <w:r>
        <w:rPr>
          <w:rFonts w:cs="Arial Unicode MS" w:eastAsia="Arial Unicode MS"/>
          <w:rtl w:val="0"/>
        </w:rPr>
        <w:t xml:space="preserve">. </w:t>
      </w:r>
      <w:r>
        <w:rPr>
          <w:rFonts w:cs="Arial Unicode MS" w:eastAsia="Arial Unicode MS"/>
          <w:rtl w:val="0"/>
          <w:lang w:val="en-US"/>
        </w:rPr>
        <w:t>(London: Penguin Books, 1997)</w:t>
      </w:r>
      <w:r>
        <w:rPr>
          <w:rFonts w:cs="Arial Unicode MS" w:eastAsia="Arial Unicode MS"/>
          <w:rtl w:val="0"/>
        </w:rPr>
        <w:t>.</w:t>
      </w:r>
    </w:p>
    <w:p>
      <w:pPr>
        <w:pStyle w:val="Footnote"/>
      </w:pPr>
    </w:p>
    <w:p>
      <w:pPr>
        <w:pStyle w:val="Footnote"/>
      </w:pPr>
      <w:r>
        <w:rPr>
          <w:rFonts w:cs="Arial Unicode MS" w:eastAsia="Arial Unicode MS"/>
          <w:rtl w:val="0"/>
          <w:lang w:val="de-DE"/>
        </w:rPr>
        <w:t xml:space="preserve">Jung, C.G. </w:t>
      </w:r>
      <w:r>
        <w:rPr>
          <w:rFonts w:cs="Arial Unicode MS" w:eastAsia="Arial Unicode MS"/>
          <w:i w:val="1"/>
          <w:iCs w:val="1"/>
          <w:rtl w:val="0"/>
          <w:lang w:val="en-US"/>
        </w:rPr>
        <w:t>Letters Volume I: 1906</w:t>
      </w:r>
      <w:r>
        <w:rPr>
          <w:rFonts w:cs="Arial Unicode MS" w:eastAsia="Arial Unicode MS" w:hint="default"/>
          <w:i w:val="1"/>
          <w:iCs w:val="1"/>
          <w:rtl w:val="0"/>
        </w:rPr>
        <w:t>–</w:t>
      </w:r>
      <w:r>
        <w:rPr>
          <w:rFonts w:cs="Arial Unicode MS" w:eastAsia="Arial Unicode MS"/>
          <w:i w:val="1"/>
          <w:iCs w:val="1"/>
          <w:rtl w:val="0"/>
        </w:rPr>
        <w:t>1950</w:t>
      </w:r>
      <w:r>
        <w:rPr>
          <w:rFonts w:cs="Arial Unicode MS" w:eastAsia="Arial Unicode MS"/>
          <w:rtl w:val="0"/>
          <w:lang w:val="de-DE"/>
        </w:rPr>
        <w:t>, ed. Gerhard Adler and Aniela Jaff</w:t>
      </w:r>
      <w:r>
        <w:rPr>
          <w:rFonts w:cs="Arial Unicode MS" w:eastAsia="Arial Unicode MS" w:hint="default"/>
          <w:rtl w:val="0"/>
          <w:lang w:val="fr-FR"/>
        </w:rPr>
        <w:t>é</w:t>
      </w:r>
      <w:r>
        <w:rPr>
          <w:rFonts w:cs="Arial Unicode MS" w:eastAsia="Arial Unicode MS"/>
          <w:rtl w:val="0"/>
          <w:lang w:val="it-IT"/>
        </w:rPr>
        <w:t>, trans. R.F.C. Hull (Princeton: Princeton University Press, 1973)</w:t>
      </w:r>
      <w:r>
        <w:rPr>
          <w:rFonts w:cs="Arial Unicode MS" w:eastAsia="Arial Unicode MS"/>
          <w:rtl w:val="0"/>
          <w:lang w:val="en-US"/>
        </w:rPr>
        <w:t>.</w:t>
      </w:r>
    </w:p>
    <w:p>
      <w:pPr>
        <w:pStyle w:val="Footnote"/>
      </w:pPr>
    </w:p>
    <w:p>
      <w:pPr>
        <w:pStyle w:val="Footnote"/>
      </w:pPr>
      <w:r>
        <w:rPr>
          <w:rFonts w:cs="Arial Unicode MS" w:eastAsia="Arial Unicode MS"/>
          <w:rtl w:val="0"/>
          <w:lang w:val="en-US"/>
        </w:rPr>
        <w:t xml:space="preserve">Roy Willis and Patrick Curry, </w:t>
      </w:r>
      <w:r>
        <w:rPr>
          <w:rFonts w:cs="Arial Unicode MS" w:eastAsia="Arial Unicode MS"/>
          <w:i w:val="1"/>
          <w:iCs w:val="1"/>
          <w:rtl w:val="0"/>
          <w:lang w:val="en-US"/>
        </w:rPr>
        <w:t>Astrology, Science and Culture: Pulling Down the Moon. (</w:t>
      </w:r>
      <w:r>
        <w:rPr>
          <w:rFonts w:cs="Arial Unicode MS" w:eastAsia="Arial Unicode MS"/>
          <w:rtl w:val="0"/>
          <w:lang w:val="en-US"/>
        </w:rPr>
        <w:t>Oxford: Berg, 2004).</w:t>
      </w:r>
    </w:p>
    <w:p>
      <w:pPr>
        <w:pStyle w:val="Footnote"/>
      </w:pPr>
    </w:p>
    <w:p>
      <w:pPr>
        <w:pStyle w:val="Footnote"/>
      </w:pPr>
      <w:r>
        <w:rPr>
          <w:rFonts w:cs="Arial Unicode MS" w:eastAsia="Arial Unicode MS"/>
          <w:rtl w:val="0"/>
          <w:lang w:val="en-US"/>
        </w:rPr>
        <w:t xml:space="preserve">Snow, Francis Haffkine. </w:t>
      </w:r>
      <w:r>
        <w:rPr>
          <w:rFonts w:cs="Arial Unicode MS" w:eastAsia="Arial Unicode MS" w:hint="default"/>
          <w:rtl w:val="0"/>
          <w:lang w:val="en-US"/>
        </w:rPr>
        <w:t>‘</w:t>
      </w:r>
      <w:r>
        <w:rPr>
          <w:rFonts w:cs="Arial Unicode MS" w:eastAsia="Arial Unicode MS"/>
          <w:rtl w:val="0"/>
          <w:lang w:val="en-US"/>
        </w:rPr>
        <w:t>Ten Centuries of Russian Art</w:t>
      </w:r>
      <w:r>
        <w:rPr>
          <w:rFonts w:cs="Arial Unicode MS" w:eastAsia="Arial Unicode MS" w:hint="default"/>
          <w:rtl w:val="0"/>
          <w:lang w:val="en-US"/>
        </w:rPr>
        <w:t>’</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 xml:space="preserve">The Art World, </w:t>
      </w:r>
      <w:r>
        <w:rPr>
          <w:rFonts w:cs="Arial Unicode MS" w:eastAsia="Arial Unicode MS"/>
          <w:rtl w:val="0"/>
          <w:lang w:val="en-US"/>
        </w:rPr>
        <w:t xml:space="preserve">Vol </w:t>
      </w:r>
      <w:r>
        <w:rPr>
          <w:rFonts w:cs="Arial Unicode MS" w:eastAsia="Arial Unicode MS"/>
          <w:rtl w:val="0"/>
          <w:lang w:val="it-IT"/>
        </w:rPr>
        <w:t>1, no. 3 (1916): 190</w:t>
      </w:r>
      <w:r>
        <w:rPr>
          <w:rFonts w:cs="Arial Unicode MS" w:eastAsia="Arial Unicode MS"/>
          <w:rtl w:val="0"/>
          <w:lang w:val="en-US"/>
        </w:rPr>
        <w:t>-</w:t>
      </w:r>
      <w:r>
        <w:rPr>
          <w:rFonts w:cs="Arial Unicode MS" w:eastAsia="Arial Unicode MS"/>
          <w:rtl w:val="0"/>
        </w:rPr>
        <w:t>1</w:t>
      </w:r>
      <w:r>
        <w:rPr>
          <w:rFonts w:cs="Arial Unicode MS" w:eastAsia="Arial Unicode MS"/>
          <w:rtl w:val="0"/>
          <w:lang w:val="en-US"/>
        </w:rPr>
        <w:t>9</w:t>
      </w:r>
      <w:r>
        <w:rPr>
          <w:rFonts w:cs="Arial Unicode MS" w:eastAsia="Arial Unicode MS"/>
          <w:rtl w:val="0"/>
        </w:rPr>
        <w:t>8</w:t>
      </w:r>
      <w:r>
        <w:rPr>
          <w:rFonts w:cs="Arial Unicode MS" w:eastAsia="Arial Unicode MS"/>
          <w:rtl w:val="0"/>
          <w:lang w:val="en-US"/>
        </w:rPr>
        <w:t>.</w:t>
      </w:r>
    </w:p>
    <w:p>
      <w:pPr>
        <w:pStyle w:val="Footnote"/>
      </w:pPr>
    </w:p>
    <w:p>
      <w:pPr>
        <w:pStyle w:val="Footnote"/>
      </w:pPr>
      <w:r>
        <w:rPr>
          <w:rFonts w:cs="Arial Unicode MS" w:eastAsia="Arial Unicode MS"/>
          <w:rtl w:val="0"/>
          <w:lang w:val="pt-PT"/>
        </w:rPr>
        <w:t xml:space="preserve">Tarnas, Richard, </w:t>
      </w:r>
      <w:r>
        <w:rPr>
          <w:rFonts w:cs="Arial Unicode MS" w:eastAsia="Arial Unicode MS"/>
          <w:i w:val="1"/>
          <w:iCs w:val="1"/>
          <w:rtl w:val="0"/>
          <w:lang w:val="en-US"/>
        </w:rPr>
        <w:t>Cosmos and Psyche: Intimations of a New World View.</w:t>
      </w:r>
      <w:r>
        <w:rPr>
          <w:rFonts w:cs="Arial Unicode MS" w:eastAsia="Arial Unicode MS"/>
          <w:rtl w:val="0"/>
        </w:rPr>
        <w:t xml:space="preserve"> </w:t>
      </w:r>
      <w:r>
        <w:rPr>
          <w:rFonts w:cs="Arial Unicode MS" w:eastAsia="Arial Unicode MS"/>
          <w:rtl w:val="0"/>
          <w:lang w:val="en-US"/>
        </w:rPr>
        <w:t>(New York: Viking, 2006).</w:t>
      </w:r>
    </w:p>
    <w:p>
      <w:pPr>
        <w:pStyle w:val="Footnote"/>
      </w:pPr>
    </w:p>
    <w:p>
      <w:pPr>
        <w:pStyle w:val="Footnote"/>
      </w:pPr>
      <w:r>
        <w:rPr>
          <w:rFonts w:cs="Arial Unicode MS" w:eastAsia="Arial Unicode MS"/>
          <w:rtl w:val="0"/>
          <w:lang w:val="en-US"/>
        </w:rPr>
        <w:t xml:space="preserve">Tompkins, Sue, </w:t>
      </w:r>
      <w:r>
        <w:rPr>
          <w:rFonts w:cs="Arial Unicode MS" w:eastAsia="Arial Unicode MS"/>
          <w:i w:val="1"/>
          <w:iCs w:val="1"/>
          <w:rtl w:val="0"/>
          <w:lang w:val="en-US"/>
        </w:rPr>
        <w:t>The Contemporary Astrologer</w:t>
      </w:r>
      <w:r>
        <w:rPr>
          <w:rFonts w:cs="Arial Unicode MS" w:eastAsia="Arial Unicode MS" w:hint="default"/>
          <w:i w:val="1"/>
          <w:iCs w:val="1"/>
          <w:rtl w:val="0"/>
          <w:lang w:val="en-US"/>
        </w:rPr>
        <w:t>’</w:t>
      </w:r>
      <w:r>
        <w:rPr>
          <w:rFonts w:cs="Arial Unicode MS" w:eastAsia="Arial Unicode MS"/>
          <w:i w:val="1"/>
          <w:iCs w:val="1"/>
          <w:rtl w:val="0"/>
          <w:lang w:val="en-US"/>
        </w:rPr>
        <w:t>s Handbook: An In-Depth Guide To Interpreting Your Horoscope</w:t>
      </w:r>
      <w:r>
        <w:rPr>
          <w:rFonts w:cs="Arial Unicode MS" w:eastAsia="Arial Unicode MS"/>
          <w:rtl w:val="0"/>
          <w:lang w:val="en-US"/>
        </w:rPr>
        <w:t>, (London: Flare Publications in conj. with London School of Astrology, 2006).</w:t>
      </w:r>
    </w:p>
    <w:p>
      <w:pPr>
        <w:pStyle w:val="Footnote"/>
      </w:pPr>
    </w:p>
    <w:p>
      <w:pPr>
        <w:pStyle w:val="Footnote"/>
      </w:pPr>
    </w:p>
    <w:p>
      <w:pPr>
        <w:pStyle w:val="Footnote"/>
        <w:rPr>
          <w:b w:val="1"/>
          <w:bCs w:val="1"/>
        </w:rPr>
      </w:pPr>
      <w:r>
        <w:rPr>
          <w:rFonts w:cs="Arial Unicode MS" w:eastAsia="Arial Unicode MS"/>
          <w:b w:val="1"/>
          <w:bCs w:val="1"/>
          <w:rtl w:val="0"/>
          <w:lang w:val="en-US"/>
        </w:rPr>
        <w:t>Visual references</w:t>
      </w:r>
    </w:p>
    <w:p>
      <w:pPr>
        <w:pStyle w:val="Footnote"/>
      </w:pPr>
    </w:p>
    <w:p>
      <w:pPr>
        <w:pStyle w:val="Footnote"/>
      </w:pPr>
      <w:r>
        <w:rPr>
          <w:rFonts w:cs="Arial Unicode MS" w:eastAsia="Arial Unicode MS"/>
          <w:rtl w:val="0"/>
        </w:rPr>
        <w:t>McKay</w:t>
      </w:r>
      <w:r>
        <w:rPr>
          <w:rFonts w:cs="Arial Unicode MS" w:eastAsia="Arial Unicode MS"/>
          <w:rtl w:val="0"/>
          <w:lang w:val="en-US"/>
        </w:rPr>
        <w:t xml:space="preserve">, </w:t>
      </w:r>
      <w:r>
        <w:rPr>
          <w:rFonts w:cs="Arial Unicode MS" w:eastAsia="Arial Unicode MS"/>
          <w:rtl w:val="0"/>
        </w:rPr>
        <w:t xml:space="preserve">Adam (dir.), </w:t>
      </w:r>
      <w:r>
        <w:rPr>
          <w:rFonts w:cs="Arial Unicode MS" w:eastAsia="Arial Unicode MS"/>
          <w:i w:val="1"/>
          <w:iCs w:val="1"/>
          <w:rtl w:val="0"/>
          <w:lang w:val="en-US"/>
        </w:rPr>
        <w:t>Don't Look Up</w:t>
      </w:r>
      <w:r>
        <w:rPr>
          <w:rFonts w:cs="Arial Unicode MS" w:eastAsia="Arial Unicode MS"/>
          <w:rtl w:val="0"/>
          <w:lang w:val="en-US"/>
        </w:rPr>
        <w:t xml:space="preserve"> [Film] (Los Angeles, CA: Netflix, 2021).</w:t>
      </w:r>
    </w:p>
    <w:p>
      <w:pPr>
        <w:pStyle w:val="Footnote"/>
      </w:pPr>
    </w:p>
    <w:p>
      <w:pPr>
        <w:pStyle w:val="Footnote"/>
      </w:pPr>
      <w:r>
        <w:rPr>
          <w:rFonts w:cs="Arial Unicode MS" w:eastAsia="Arial Unicode MS"/>
          <w:i w:val="1"/>
          <w:iCs w:val="1"/>
          <w:rtl w:val="0"/>
          <w:lang w:val="en-US"/>
        </w:rPr>
        <w:t>Vasnetsov: A connection through generations from XIX to XXI century</w:t>
      </w:r>
      <w:r>
        <w:rPr>
          <w:rFonts w:cs="Arial Unicode MS" w:eastAsia="Arial Unicode MS"/>
          <w:rtl w:val="0"/>
          <w:lang w:val="en-US"/>
        </w:rPr>
        <w:t xml:space="preserve"> </w:t>
      </w:r>
      <w:r>
        <w:rPr>
          <w:rFonts w:cs="Arial Unicode MS" w:eastAsia="Arial Unicode MS"/>
          <w:rtl w:val="0"/>
          <w:lang w:val="ru-RU"/>
        </w:rPr>
        <w:t>[</w:t>
      </w:r>
      <w:r>
        <w:rPr>
          <w:rFonts w:cs="Arial Unicode MS" w:eastAsia="Arial Unicode MS"/>
          <w:rtl w:val="0"/>
          <w:lang w:val="en-US"/>
        </w:rPr>
        <w:t>Exhibition</w:t>
      </w:r>
      <w:r>
        <w:rPr>
          <w:rFonts w:cs="Arial Unicode MS" w:eastAsia="Arial Unicode MS"/>
          <w:rtl w:val="0"/>
          <w:lang w:val="ru-RU"/>
        </w:rPr>
        <w:t>]</w:t>
      </w:r>
      <w:r>
        <w:rPr>
          <w:rFonts w:cs="Arial Unicode MS" w:eastAsia="Arial Unicode MS"/>
          <w:rtl w:val="0"/>
          <w:lang w:val="en-US"/>
        </w:rPr>
        <w:t xml:space="preserve">. (Tretyakov Gallery, Moscow. 23 May 2024 </w:t>
      </w:r>
      <w:r>
        <w:rPr>
          <w:rFonts w:cs="Arial Unicode MS" w:eastAsia="Arial Unicode MS" w:hint="default"/>
          <w:rtl w:val="0"/>
          <w:lang w:val="en-US"/>
        </w:rPr>
        <w:t>– </w:t>
      </w:r>
      <w:r>
        <w:rPr>
          <w:rFonts w:cs="Arial Unicode MS" w:eastAsia="Arial Unicode MS"/>
          <w:rtl w:val="0"/>
          <w:lang w:val="en-US"/>
        </w:rPr>
        <w:t>4 November 2024).</w:t>
      </w:r>
    </w:p>
    <w:p>
      <w:pPr>
        <w:pStyle w:val="Footnote"/>
      </w:pPr>
    </w:p>
    <w:p>
      <w:pPr>
        <w:pStyle w:val="Footnote"/>
      </w:pPr>
      <w:r>
        <w:rPr>
          <w:rFonts w:cs="Arial Unicode MS" w:eastAsia="Arial Unicode MS"/>
          <w:rtl w:val="0"/>
        </w:rPr>
        <w:t>Wachowski</w:t>
      </w:r>
      <w:r>
        <w:rPr>
          <w:rFonts w:cs="Arial Unicode MS" w:eastAsia="Arial Unicode MS"/>
          <w:rtl w:val="0"/>
          <w:lang w:val="en-US"/>
        </w:rPr>
        <w:t>, Lana and Lilly</w:t>
      </w:r>
      <w:r>
        <w:rPr>
          <w:rFonts w:cs="Arial Unicode MS" w:eastAsia="Arial Unicode MS"/>
          <w:rtl w:val="0"/>
          <w:lang w:val="it-IT"/>
        </w:rPr>
        <w:t xml:space="preserve"> (dirs.), </w:t>
      </w:r>
      <w:r>
        <w:rPr>
          <w:rFonts w:cs="Arial Unicode MS" w:eastAsia="Arial Unicode MS"/>
          <w:i w:val="1"/>
          <w:iCs w:val="1"/>
          <w:rtl w:val="0"/>
          <w:lang w:val="en-US"/>
        </w:rPr>
        <w:t>The Matrix</w:t>
      </w:r>
      <w:r>
        <w:rPr>
          <w:rFonts w:cs="Arial Unicode MS" w:eastAsia="Arial Unicode MS"/>
          <w:rtl w:val="0"/>
          <w:lang w:val="en-US"/>
        </w:rPr>
        <w:t xml:space="preserve"> [Film] (Burbank, CA: Warner Bros. Pictures, 1999)</w:t>
      </w:r>
    </w:p>
    <w:sectPr>
      <w:headerReference w:type="default" r:id="rId9"/>
      <w:footerReference w:type="default" r:id="rId10"/>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Georgia">
    <w:charset w:val="00"/>
    <w:family w:val="roman"/>
    <w:pitch w:val="default"/>
  </w:font>
  <w:font w:name="Trebuchet MS">
    <w:charset w:val="00"/>
    <w:family w:val="roman"/>
    <w:pitch w:val="default"/>
  </w:font>
  <w:font w:name="Calibri">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sz w:val="22"/>
        <w:szCs w:val="22"/>
      </w:rPr>
      <w:tab/>
    </w:r>
    <w:r>
      <w:rPr>
        <w:sz w:val="22"/>
        <w:szCs w:val="22"/>
      </w:rPr>
      <w:fldChar w:fldCharType="begin" w:fldLock="0"/>
    </w:r>
    <w:r>
      <w:rPr>
        <w:sz w:val="22"/>
        <w:szCs w:val="22"/>
      </w:rPr>
      <w:instrText xml:space="preserve"> PAGE </w:instrText>
    </w:r>
    <w:r>
      <w:rPr>
        <w:sz w:val="22"/>
        <w:szCs w:val="22"/>
      </w:rPr>
      <w:fldChar w:fldCharType="separate" w:fldLock="0"/>
    </w:r>
    <w:r>
      <w:rPr>
        <w:sz w:val="22"/>
        <w:szCs w:val="22"/>
      </w:rPr>
    </w:r>
    <w:r>
      <w:rPr>
        <w:sz w:val="22"/>
        <w:szCs w:val="22"/>
      </w:rPr>
      <w:fldChar w:fldCharType="end" w:fldLock="0"/>
    </w:r>
    <w:r>
      <w:rPr>
        <w:sz w:val="22"/>
        <w:szCs w:val="22"/>
        <w:rtl w:val="0"/>
        <w:lang w:val="en-US"/>
      </w:rPr>
      <w:t xml:space="preserve"> of </w:t>
    </w:r>
    <w:r>
      <w:rPr>
        <w:sz w:val="22"/>
        <w:szCs w:val="22"/>
      </w:rPr>
      <w:fldChar w:fldCharType="begin" w:fldLock="0"/>
    </w:r>
    <w:r>
      <w:rPr>
        <w:sz w:val="22"/>
        <w:szCs w:val="22"/>
      </w:rPr>
      <w:instrText xml:space="preserve"> NUMPAGES </w:instrText>
    </w:r>
    <w:r>
      <w:rPr>
        <w:sz w:val="22"/>
        <w:szCs w:val="22"/>
      </w:rPr>
      <w:fldChar w:fldCharType="separate" w:fldLock="0"/>
    </w:r>
    <w:r>
      <w:rPr>
        <w:sz w:val="22"/>
        <w:szCs w:val="22"/>
      </w:rPr>
    </w:r>
    <w:r>
      <w:rPr>
        <w:sz w:val="22"/>
        <w:szCs w:val="22"/>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pPr>
      <w:r>
        <w:rPr>
          <w:vertAlign w:val="superscript"/>
        </w:rPr>
        <w:footnoteRef/>
      </w:r>
      <w:r>
        <w:rPr>
          <w:rFonts w:cs="Arial Unicode MS" w:eastAsia="Arial Unicode MS"/>
          <w:rtl w:val="0"/>
          <w:lang w:val="nl-NL"/>
        </w:rPr>
        <w:t xml:space="preserve"> Gogh, Vincent van, and Ronald de Leeuw. </w:t>
      </w:r>
      <w:r>
        <w:rPr>
          <w:rFonts w:cs="Arial Unicode MS" w:eastAsia="Arial Unicode MS"/>
          <w:i w:val="1"/>
          <w:iCs w:val="1"/>
          <w:rtl w:val="0"/>
          <w:lang w:val="en-US"/>
        </w:rPr>
        <w:t>The Letters of Vincent Van Gogh</w:t>
      </w:r>
      <w:r>
        <w:rPr>
          <w:rFonts w:cs="Arial Unicode MS" w:eastAsia="Arial Unicode MS"/>
          <w:rtl w:val="0"/>
        </w:rPr>
        <w:t xml:space="preserve">. </w:t>
      </w:r>
      <w:r>
        <w:rPr>
          <w:rFonts w:cs="Arial Unicode MS" w:eastAsia="Arial Unicode MS"/>
          <w:rtl w:val="0"/>
          <w:lang w:val="en-US"/>
        </w:rPr>
        <w:t>(London: Penguin Books, 1997)</w:t>
      </w:r>
      <w:r>
        <w:rPr>
          <w:rFonts w:cs="Arial Unicode MS" w:eastAsia="Arial Unicode MS"/>
          <w:rtl w:val="0"/>
        </w:rPr>
        <w:t>, p.392.</w:t>
      </w:r>
    </w:p>
  </w:footnote>
  <w:footnote w:id="2">
    <w:p>
      <w:pPr>
        <w:pStyle w:val="Footnote"/>
      </w:pPr>
      <w:r>
        <w:rPr>
          <w:vertAlign w:val="superscript"/>
        </w:rPr>
        <w:footnoteRef/>
      </w:r>
      <w:r>
        <w:rPr>
          <w:rFonts w:cs="Arial Unicode MS" w:eastAsia="Arial Unicode MS"/>
          <w:rtl w:val="0"/>
          <w:lang w:val="en-US"/>
        </w:rPr>
        <w:t xml:space="preserve"> Curry, Patrick, </w:t>
      </w:r>
      <w:r>
        <w:rPr>
          <w:rFonts w:ascii="Arial Unicode MS" w:hAnsi="Arial Unicode MS" w:hint="default"/>
          <w:rtl w:val="1"/>
        </w:rPr>
        <w:t>‘</w:t>
      </w:r>
      <w:r>
        <w:rPr>
          <w:rFonts w:cs="Arial Unicode MS" w:eastAsia="Arial Unicode MS"/>
          <w:rtl w:val="0"/>
        </w:rPr>
        <w:t>Astrology</w:t>
      </w:r>
      <w:r>
        <w:rPr>
          <w:rFonts w:ascii="Arial Unicode MS" w:hAnsi="Arial Unicode MS" w:hint="default"/>
          <w:rtl w:val="1"/>
        </w:rPr>
        <w:t>’</w:t>
      </w:r>
      <w:r>
        <w:rPr>
          <w:rFonts w:cs="Arial Unicode MS" w:eastAsia="Arial Unicode MS"/>
          <w:rtl w:val="0"/>
          <w:lang w:val="en-US"/>
        </w:rPr>
        <w:t xml:space="preserve">, in Boyd, Kelly (ed.) </w:t>
      </w:r>
      <w:r>
        <w:rPr>
          <w:rFonts w:cs="Arial Unicode MS" w:eastAsia="Arial Unicode MS"/>
          <w:i w:val="1"/>
          <w:iCs w:val="1"/>
          <w:rtl w:val="0"/>
          <w:lang w:val="en-US"/>
        </w:rPr>
        <w:t>The Encyclopaedia of Historians and Historical Writing</w:t>
      </w:r>
      <w:r>
        <w:rPr>
          <w:rFonts w:cs="Arial Unicode MS" w:eastAsia="Arial Unicode MS"/>
          <w:rtl w:val="0"/>
          <w:lang w:val="pt-PT"/>
        </w:rPr>
        <w:t xml:space="preserve">, 2 Vols. </w:t>
      </w:r>
      <w:r>
        <w:rPr>
          <w:rFonts w:cs="Arial Unicode MS" w:eastAsia="Arial Unicode MS"/>
          <w:rtl w:val="0"/>
          <w:lang w:val="en-US"/>
        </w:rPr>
        <w:t>(London: Fitzroy Dearborn,</w:t>
      </w:r>
      <w:r>
        <w:rPr>
          <w:rFonts w:cs="Arial Unicode MS" w:eastAsia="Arial Unicode MS"/>
          <w:rtl w:val="0"/>
        </w:rPr>
        <w:t xml:space="preserve"> 1999</w:t>
      </w:r>
      <w:r>
        <w:rPr>
          <w:rFonts w:cs="Arial Unicode MS" w:eastAsia="Arial Unicode MS"/>
          <w:rtl w:val="0"/>
          <w:lang w:val="en-US"/>
        </w:rPr>
        <w:t>)</w:t>
      </w:r>
      <w:r>
        <w:rPr>
          <w:rFonts w:cs="Arial Unicode MS" w:eastAsia="Arial Unicode MS"/>
          <w:rtl w:val="0"/>
        </w:rPr>
        <w:t>, Vol. 1, pp 55-7</w:t>
      </w:r>
      <w:r>
        <w:rPr>
          <w:rFonts w:cs="Arial Unicode MS" w:eastAsia="Arial Unicode MS"/>
          <w:rtl w:val="0"/>
          <w:lang w:val="en-US"/>
        </w:rPr>
        <w:t>,</w:t>
      </w:r>
      <w:r>
        <w:rPr>
          <w:rFonts w:cs="Arial Unicode MS" w:eastAsia="Arial Unicode MS"/>
          <w:rtl w:val="0"/>
        </w:rPr>
        <w:t xml:space="preserve"> p. 55</w:t>
      </w:r>
      <w:r>
        <w:rPr>
          <w:rFonts w:cs="Arial Unicode MS" w:eastAsia="Arial Unicode MS"/>
          <w:sz w:val="24"/>
          <w:szCs w:val="24"/>
          <w:rtl w:val="0"/>
          <w:lang w:val="en-US"/>
        </w:rPr>
        <w:t>.</w:t>
      </w:r>
    </w:p>
  </w:footnote>
  <w:footnote w:id="3">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Tompkins, Sue, </w:t>
      </w:r>
      <w:r>
        <w:rPr>
          <w:rFonts w:cs="Arial Unicode MS" w:eastAsia="Arial Unicode MS"/>
          <w:i w:val="1"/>
          <w:iCs w:val="1"/>
          <w:rtl w:val="0"/>
          <w:lang w:val="en-US"/>
        </w:rPr>
        <w:t>The Contemporary Astrologer</w:t>
      </w:r>
      <w:r>
        <w:rPr>
          <w:rFonts w:cs="Arial Unicode MS" w:eastAsia="Arial Unicode MS" w:hint="default"/>
          <w:i w:val="1"/>
          <w:iCs w:val="1"/>
          <w:rtl w:val="0"/>
          <w:lang w:val="en-US"/>
        </w:rPr>
        <w:t>’</w:t>
      </w:r>
      <w:r>
        <w:rPr>
          <w:rFonts w:cs="Arial Unicode MS" w:eastAsia="Arial Unicode MS"/>
          <w:i w:val="1"/>
          <w:iCs w:val="1"/>
          <w:rtl w:val="0"/>
          <w:lang w:val="en-US"/>
        </w:rPr>
        <w:t>s Handbook: An In-Depth Guide To Interpreting Your Horoscope</w:t>
      </w:r>
      <w:r>
        <w:rPr>
          <w:rFonts w:cs="Arial Unicode MS" w:eastAsia="Arial Unicode MS"/>
          <w:rtl w:val="0"/>
          <w:lang w:val="en-US"/>
        </w:rPr>
        <w:t>, (London: Flare Publications in conj. with London School of Astrology, 2006), p.36-37.</w:t>
      </w:r>
    </w:p>
  </w:footnote>
  <w:footnote w:id="4">
    <w:p>
      <w:pPr>
        <w:pStyle w:val="Footnote"/>
      </w:pPr>
      <w:r>
        <w:rPr>
          <w:vertAlign w:val="superscript"/>
        </w:rPr>
        <w:footnoteRef/>
      </w:r>
      <w:r>
        <w:rPr>
          <w:rFonts w:cs="Arial Unicode MS" w:eastAsia="Arial Unicode MS"/>
          <w:rtl w:val="0"/>
        </w:rPr>
        <w:t xml:space="preserve"> </w:t>
      </w:r>
      <w:r>
        <w:rPr>
          <w:rFonts w:cs="Arial Unicode MS" w:eastAsia="Arial Unicode MS"/>
          <w:i w:val="1"/>
          <w:iCs w:val="1"/>
          <w:rtl w:val="0"/>
          <w:lang w:val="en-US"/>
        </w:rPr>
        <w:t>Vasnetsov: A connection through generations from XIX to XXI century</w:t>
      </w:r>
      <w:r>
        <w:rPr>
          <w:rFonts w:cs="Arial Unicode MS" w:eastAsia="Arial Unicode MS"/>
          <w:rtl w:val="0"/>
          <w:lang w:val="en-US"/>
        </w:rPr>
        <w:t xml:space="preserve"> </w:t>
      </w:r>
      <w:r>
        <w:rPr>
          <w:rFonts w:cs="Arial Unicode MS" w:eastAsia="Arial Unicode MS"/>
          <w:rtl w:val="0"/>
          <w:lang w:val="ru-RU"/>
        </w:rPr>
        <w:t>[</w:t>
      </w:r>
      <w:r>
        <w:rPr>
          <w:rFonts w:cs="Arial Unicode MS" w:eastAsia="Arial Unicode MS"/>
          <w:rtl w:val="0"/>
          <w:lang w:val="en-US"/>
        </w:rPr>
        <w:t>Exhibition</w:t>
      </w:r>
      <w:r>
        <w:rPr>
          <w:rFonts w:cs="Arial Unicode MS" w:eastAsia="Arial Unicode MS"/>
          <w:rtl w:val="0"/>
          <w:lang w:val="ru-RU"/>
        </w:rPr>
        <w:t>]</w:t>
      </w:r>
      <w:r>
        <w:rPr>
          <w:rFonts w:cs="Arial Unicode MS" w:eastAsia="Arial Unicode MS"/>
          <w:rtl w:val="0"/>
          <w:lang w:val="en-US"/>
        </w:rPr>
        <w:t xml:space="preserve">. (Tretyakov Gallery, Moscow. 23 May 2024 </w:t>
      </w:r>
      <w:r>
        <w:rPr>
          <w:rFonts w:cs="Arial Unicode MS" w:eastAsia="Arial Unicode MS" w:hint="default"/>
          <w:rtl w:val="0"/>
          <w:lang w:val="en-US"/>
        </w:rPr>
        <w:t>– </w:t>
      </w:r>
      <w:r>
        <w:rPr>
          <w:rFonts w:cs="Arial Unicode MS" w:eastAsia="Arial Unicode MS"/>
          <w:rtl w:val="0"/>
          <w:lang w:val="en-US"/>
        </w:rPr>
        <w:t>4 November 2024).</w:t>
      </w:r>
    </w:p>
  </w:footnote>
  <w:footnote w:id="5">
    <w:p>
      <w:pPr>
        <w:pStyle w:val="Footnote"/>
      </w:pPr>
      <w:r>
        <w:rPr>
          <w:vertAlign w:val="superscript"/>
        </w:rPr>
        <w:footnoteRef/>
      </w:r>
      <w:r>
        <w:rPr>
          <w:rFonts w:cs="Arial Unicode MS" w:eastAsia="Arial Unicode MS"/>
          <w:rtl w:val="0"/>
          <w:lang w:val="en-US"/>
        </w:rPr>
        <w:t xml:space="preserve"> Snow, Francis Haffkine,</w:t>
      </w:r>
      <w:r>
        <w:rPr>
          <w:rFonts w:cs="Arial Unicode MS" w:eastAsia="Arial Unicode MS"/>
          <w:rtl w:val="0"/>
        </w:rPr>
        <w:t xml:space="preserve"> </w:t>
      </w:r>
      <w:r>
        <w:rPr>
          <w:rFonts w:cs="Arial Unicode MS" w:eastAsia="Arial Unicode MS" w:hint="default"/>
          <w:rtl w:val="0"/>
          <w:lang w:val="en-US"/>
        </w:rPr>
        <w:t>‘</w:t>
      </w:r>
      <w:r>
        <w:rPr>
          <w:rFonts w:cs="Arial Unicode MS" w:eastAsia="Arial Unicode MS"/>
          <w:rtl w:val="0"/>
          <w:lang w:val="en-US"/>
        </w:rPr>
        <w:t>Ten Centuries of Russian Art</w:t>
      </w:r>
      <w:r>
        <w:rPr>
          <w:rFonts w:cs="Arial Unicode MS" w:eastAsia="Arial Unicode MS" w:hint="default"/>
          <w:rtl w:val="0"/>
          <w:lang w:val="en-US"/>
        </w:rPr>
        <w:t>’</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lang w:val="en-US"/>
        </w:rPr>
        <w:t xml:space="preserve">The Art World, </w:t>
      </w:r>
      <w:r>
        <w:rPr>
          <w:rFonts w:cs="Arial Unicode MS" w:eastAsia="Arial Unicode MS"/>
          <w:rtl w:val="0"/>
          <w:lang w:val="en-US"/>
        </w:rPr>
        <w:t xml:space="preserve">Vol </w:t>
      </w:r>
      <w:r>
        <w:rPr>
          <w:rFonts w:cs="Arial Unicode MS" w:eastAsia="Arial Unicode MS"/>
          <w:rtl w:val="0"/>
          <w:lang w:val="it-IT"/>
        </w:rPr>
        <w:t>1, no. 3 (1916): 190</w:t>
      </w:r>
      <w:r>
        <w:rPr>
          <w:rFonts w:cs="Arial Unicode MS" w:eastAsia="Arial Unicode MS"/>
          <w:rtl w:val="0"/>
          <w:lang w:val="en-US"/>
        </w:rPr>
        <w:t>-</w:t>
      </w:r>
      <w:r>
        <w:rPr>
          <w:rFonts w:cs="Arial Unicode MS" w:eastAsia="Arial Unicode MS"/>
          <w:rtl w:val="0"/>
        </w:rPr>
        <w:t>1</w:t>
      </w:r>
      <w:r>
        <w:rPr>
          <w:rFonts w:cs="Arial Unicode MS" w:eastAsia="Arial Unicode MS"/>
          <w:rtl w:val="0"/>
          <w:lang w:val="en-US"/>
        </w:rPr>
        <w:t>9</w:t>
      </w:r>
      <w:r>
        <w:rPr>
          <w:rFonts w:cs="Arial Unicode MS" w:eastAsia="Arial Unicode MS"/>
          <w:rtl w:val="0"/>
        </w:rPr>
        <w:t>8</w:t>
      </w:r>
      <w:r>
        <w:rPr>
          <w:rFonts w:cs="Arial Unicode MS" w:eastAsia="Arial Unicode MS"/>
          <w:rtl w:val="0"/>
          <w:lang w:val="en-US"/>
        </w:rPr>
        <w:t>, p 195.</w:t>
      </w:r>
    </w:p>
  </w:footnote>
  <w:footnote w:id="6">
    <w:p>
      <w:pPr>
        <w:pStyle w:val="Footnote"/>
      </w:pPr>
      <w:r>
        <w:rPr>
          <w:vertAlign w:val="superscript"/>
        </w:rPr>
        <w:footnoteRef/>
      </w:r>
      <w:r>
        <w:rPr>
          <w:rFonts w:cs="Arial Unicode MS" w:eastAsia="Arial Unicode MS"/>
          <w:rtl w:val="0"/>
          <w:lang w:val="pt-PT"/>
        </w:rPr>
        <w:t xml:space="preserve"> Tarnas, Richard, </w:t>
      </w:r>
      <w:r>
        <w:rPr>
          <w:rFonts w:cs="Arial Unicode MS" w:eastAsia="Arial Unicode MS"/>
          <w:i w:val="1"/>
          <w:iCs w:val="1"/>
          <w:rtl w:val="0"/>
          <w:lang w:val="en-US"/>
        </w:rPr>
        <w:t>Cosmos and Psyche: Intimations of a New World View.</w:t>
      </w:r>
      <w:r>
        <w:rPr>
          <w:rFonts w:cs="Arial Unicode MS" w:eastAsia="Arial Unicode MS"/>
          <w:rtl w:val="0"/>
        </w:rPr>
        <w:t xml:space="preserve"> </w:t>
      </w:r>
      <w:r>
        <w:rPr>
          <w:rFonts w:cs="Arial Unicode MS" w:eastAsia="Arial Unicode MS"/>
          <w:rtl w:val="0"/>
          <w:lang w:val="en-US"/>
        </w:rPr>
        <w:t>(New York: Viking, 2006), p. 69.</w:t>
      </w:r>
      <w:r>
        <w:rPr>
          <w:rFonts w:cs="Arial Unicode MS" w:eastAsia="Arial Unicode MS"/>
          <w:rtl w:val="0"/>
        </w:rPr>
        <w:t xml:space="preserve"> </w:t>
      </w:r>
    </w:p>
  </w:footnote>
  <w:footnote w:id="7">
    <w:p>
      <w:pPr>
        <w:pStyle w:val="Footnote"/>
      </w:pPr>
      <w:r>
        <w:rPr>
          <w:vertAlign w:val="superscript"/>
        </w:rPr>
        <w:footnoteRef/>
      </w:r>
      <w:r>
        <w:rPr>
          <w:rFonts w:cs="Arial Unicode MS" w:eastAsia="Arial Unicode MS"/>
          <w:rtl w:val="0"/>
          <w:lang w:val="de-DE"/>
        </w:rPr>
        <w:t xml:space="preserve"> Jung, C.G. </w:t>
      </w:r>
      <w:r>
        <w:rPr>
          <w:rFonts w:cs="Arial Unicode MS" w:eastAsia="Arial Unicode MS"/>
          <w:i w:val="1"/>
          <w:iCs w:val="1"/>
          <w:rtl w:val="0"/>
          <w:lang w:val="en-US"/>
        </w:rPr>
        <w:t>Letters Volume I: 1906</w:t>
      </w:r>
      <w:r>
        <w:rPr>
          <w:rFonts w:cs="Arial Unicode MS" w:eastAsia="Arial Unicode MS" w:hint="default"/>
          <w:i w:val="1"/>
          <w:iCs w:val="1"/>
          <w:rtl w:val="0"/>
        </w:rPr>
        <w:t>–</w:t>
      </w:r>
      <w:r>
        <w:rPr>
          <w:rFonts w:cs="Arial Unicode MS" w:eastAsia="Arial Unicode MS"/>
          <w:i w:val="1"/>
          <w:iCs w:val="1"/>
          <w:rtl w:val="0"/>
        </w:rPr>
        <w:t>1950</w:t>
      </w:r>
      <w:r>
        <w:rPr>
          <w:rFonts w:cs="Arial Unicode MS" w:eastAsia="Arial Unicode MS"/>
          <w:rtl w:val="0"/>
          <w:lang w:val="de-DE"/>
        </w:rPr>
        <w:t>, ed. Gerhard Adler and Aniela Jaff</w:t>
      </w:r>
      <w:r>
        <w:rPr>
          <w:rFonts w:cs="Arial Unicode MS" w:eastAsia="Arial Unicode MS" w:hint="default"/>
          <w:rtl w:val="0"/>
          <w:lang w:val="fr-FR"/>
        </w:rPr>
        <w:t>é</w:t>
      </w:r>
      <w:r>
        <w:rPr>
          <w:rFonts w:cs="Arial Unicode MS" w:eastAsia="Arial Unicode MS"/>
          <w:rtl w:val="0"/>
          <w:lang w:val="it-IT"/>
        </w:rPr>
        <w:t>, trans. R.F.C. Hull (Princeton: Princeton University Press, 1973), pp. 475</w:t>
      </w:r>
      <w:r>
        <w:rPr>
          <w:rFonts w:cs="Arial Unicode MS" w:eastAsia="Arial Unicode MS" w:hint="default"/>
          <w:rtl w:val="0"/>
        </w:rPr>
        <w:t>–</w:t>
      </w:r>
      <w:r>
        <w:rPr>
          <w:rFonts w:cs="Arial Unicode MS" w:eastAsia="Arial Unicode MS"/>
          <w:rtl w:val="0"/>
        </w:rPr>
        <w:t>476</w:t>
      </w:r>
      <w:r>
        <w:rPr>
          <w:rFonts w:cs="Arial Unicode MS" w:eastAsia="Arial Unicode MS"/>
          <w:rtl w:val="0"/>
          <w:lang w:val="en-US"/>
        </w:rPr>
        <w:t>.</w:t>
      </w:r>
    </w:p>
  </w:footnote>
  <w:footnote w:id="8">
    <w:p>
      <w:pPr>
        <w:pStyle w:val="Footnote"/>
      </w:pPr>
      <w:r>
        <w:rPr>
          <w:vertAlign w:val="superscript"/>
        </w:rPr>
        <w:footnoteRef/>
      </w:r>
      <w:r>
        <w:rPr>
          <w:rFonts w:cs="Arial Unicode MS" w:eastAsia="Arial Unicode MS"/>
          <w:rtl w:val="0"/>
        </w:rPr>
        <w:t xml:space="preserve"> </w:t>
      </w:r>
      <w:r>
        <w:rPr>
          <w:rFonts w:cs="Arial Unicode MS" w:eastAsia="Arial Unicode MS"/>
          <w:rtl w:val="0"/>
          <w:lang w:val="en-US"/>
        </w:rPr>
        <w:t xml:space="preserve">Roy Willis and Patrick Curry, </w:t>
      </w:r>
      <w:r>
        <w:rPr>
          <w:rFonts w:cs="Arial Unicode MS" w:eastAsia="Arial Unicode MS"/>
          <w:i w:val="1"/>
          <w:iCs w:val="1"/>
          <w:rtl w:val="0"/>
          <w:lang w:val="en-US"/>
        </w:rPr>
        <w:t>Astrology, Science and Culture: Pulling Down the Moon. (</w:t>
      </w:r>
      <w:r>
        <w:rPr>
          <w:rFonts w:cs="Arial Unicode MS" w:eastAsia="Arial Unicode MS"/>
          <w:rtl w:val="0"/>
          <w:lang w:val="en-US"/>
        </w:rPr>
        <w:t>Oxford: Berg, 2004), p. 112.</w:t>
      </w:r>
    </w:p>
  </w:footnote>
  <w:footnote w:id="9">
    <w:p>
      <w:pPr>
        <w:pStyle w:val="Footnote"/>
      </w:pPr>
      <w:r>
        <w:rPr>
          <w:vertAlign w:val="superscript"/>
        </w:rPr>
        <w:footnoteRef/>
      </w:r>
      <w:r>
        <w:rPr>
          <w:rFonts w:cs="Arial Unicode MS" w:eastAsia="Arial Unicode MS"/>
          <w:rtl w:val="0"/>
          <w:lang w:val="en-US"/>
        </w:rPr>
        <w:t xml:space="preserve"> </w:t>
      </w:r>
      <w:r>
        <w:rPr>
          <w:rFonts w:cs="Arial Unicode MS" w:eastAsia="Arial Unicode MS"/>
          <w:rtl w:val="0"/>
        </w:rPr>
        <w:t>Wachowski</w:t>
      </w:r>
      <w:r>
        <w:rPr>
          <w:rFonts w:cs="Arial Unicode MS" w:eastAsia="Arial Unicode MS"/>
          <w:rtl w:val="0"/>
          <w:lang w:val="en-US"/>
        </w:rPr>
        <w:t>, Lana and Lilly</w:t>
      </w:r>
      <w:r>
        <w:rPr>
          <w:rFonts w:cs="Arial Unicode MS" w:eastAsia="Arial Unicode MS"/>
          <w:rtl w:val="0"/>
          <w:lang w:val="it-IT"/>
        </w:rPr>
        <w:t xml:space="preserve"> (dirs.), </w:t>
      </w:r>
      <w:r>
        <w:rPr>
          <w:rFonts w:cs="Arial Unicode MS" w:eastAsia="Arial Unicode MS"/>
          <w:i w:val="1"/>
          <w:iCs w:val="1"/>
          <w:rtl w:val="0"/>
          <w:lang w:val="en-US"/>
        </w:rPr>
        <w:t>The Matrix</w:t>
      </w:r>
      <w:r>
        <w:rPr>
          <w:rFonts w:cs="Arial Unicode MS" w:eastAsia="Arial Unicode MS"/>
          <w:rtl w:val="0"/>
          <w:lang w:val="en-US"/>
        </w:rPr>
        <w:t xml:space="preserve"> [Film] (Burbank, CA: Warner Bros. Pictures, 1999).</w:t>
      </w:r>
    </w:p>
  </w:footnote>
  <w:footnote w:id="10">
    <w:p>
      <w:pPr>
        <w:pStyle w:val="Footnote"/>
      </w:pPr>
      <w:r>
        <w:rPr>
          <w:vertAlign w:val="superscript"/>
        </w:rPr>
        <w:footnoteRef/>
      </w:r>
      <w:r>
        <w:rPr>
          <w:rFonts w:cs="Arial Unicode MS" w:eastAsia="Arial Unicode MS"/>
          <w:rtl w:val="0"/>
        </w:rPr>
        <w:t xml:space="preserve"> McKay</w:t>
      </w:r>
      <w:r>
        <w:rPr>
          <w:rFonts w:cs="Arial Unicode MS" w:eastAsia="Arial Unicode MS"/>
          <w:rtl w:val="0"/>
          <w:lang w:val="en-US"/>
        </w:rPr>
        <w:t xml:space="preserve">, </w:t>
      </w:r>
      <w:r>
        <w:rPr>
          <w:rFonts w:cs="Arial Unicode MS" w:eastAsia="Arial Unicode MS"/>
          <w:rtl w:val="0"/>
        </w:rPr>
        <w:t xml:space="preserve">Adam (dir.), </w:t>
      </w:r>
      <w:r>
        <w:rPr>
          <w:rFonts w:cs="Arial Unicode MS" w:eastAsia="Arial Unicode MS"/>
          <w:i w:val="1"/>
          <w:iCs w:val="1"/>
          <w:rtl w:val="0"/>
          <w:lang w:val="en-US"/>
        </w:rPr>
        <w:t>Don't Look Up</w:t>
      </w:r>
      <w:r>
        <w:rPr>
          <w:rFonts w:cs="Arial Unicode MS" w:eastAsia="Arial Unicode MS"/>
          <w:rtl w:val="0"/>
          <w:lang w:val="en-US"/>
        </w:rPr>
        <w:t xml:space="preserve"> [Film] (Los Angeles, CA: Netflix, 2021).</w:t>
      </w:r>
    </w:p>
  </w:footnote>
  <w:footnote w:id="11">
    <w:p>
      <w:pPr>
        <w:pStyle w:val="Footnote"/>
      </w:pPr>
      <w:r>
        <w:rPr>
          <w:vertAlign w:val="superscript"/>
        </w:rPr>
        <w:footnoteRef/>
      </w:r>
      <w:r>
        <w:rPr>
          <w:rFonts w:cs="Arial Unicode MS" w:eastAsia="Arial Unicode MS"/>
          <w:rtl w:val="0"/>
          <w:lang w:val="nl-NL"/>
        </w:rPr>
        <w:t xml:space="preserve"> Campion, Nick</w:t>
      </w:r>
      <w:r>
        <w:rPr>
          <w:rFonts w:cs="Arial Unicode MS" w:eastAsia="Arial Unicode MS"/>
          <w:rtl w:val="0"/>
          <w:lang w:val="en-US"/>
        </w:rPr>
        <w:t xml:space="preserve">, </w:t>
      </w:r>
      <w:r>
        <w:rPr>
          <w:rFonts w:cs="Arial Unicode MS" w:eastAsia="Arial Unicode MS"/>
          <w:i w:val="1"/>
          <w:iCs w:val="1"/>
          <w:rtl w:val="0"/>
          <w:lang w:val="en-US"/>
        </w:rPr>
        <w:t>Enchantment and the Awe of the Heavens</w:t>
      </w:r>
      <w:r>
        <w:rPr>
          <w:rFonts w:cs="Arial Unicode MS" w:eastAsia="Arial Unicode MS"/>
          <w:rtl w:val="0"/>
          <w:lang w:val="en-US"/>
        </w:rPr>
        <w:t>, The Inspiration of Astronomical Phenomena VI, (</w:t>
      </w:r>
      <w:r>
        <w:rPr>
          <w:rFonts w:cs="Arial Unicode MS" w:eastAsia="Arial Unicode MS"/>
          <w:rtl w:val="0"/>
        </w:rPr>
        <w:t>2011</w:t>
      </w:r>
      <w:r>
        <w:rPr>
          <w:rFonts w:cs="Arial Unicode MS" w:eastAsia="Arial Unicode MS"/>
          <w:rtl w:val="0"/>
          <w:lang w:val="en-US"/>
        </w:rPr>
        <w:t>), p 10.</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12"/>
        <w:tab w:val="clear" w:pos="9020"/>
      </w:tabs>
    </w:pPr>
    <w:r>
      <w:rPr>
        <w:sz w:val="22"/>
        <w:szCs w:val="22"/>
        <w:rtl w:val="0"/>
        <w:lang w:val="en-US"/>
      </w:rPr>
      <w:t>Marina Rimsha 1706052</w:t>
      <w:tab/>
      <w:tab/>
      <w:t>HPCA7015</w:t>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Heading 3">
    <w:name w:val="Heading 3"/>
    <w:next w:val="Body A"/>
    <w:pPr>
      <w:keepNext w:val="1"/>
      <w:keepLines w:val="0"/>
      <w:pageBreakBefore w:val="0"/>
      <w:widowControl w:val="1"/>
      <w:pBdr>
        <w:top w:val="single" w:color="515151" w:sz="4" w:space="0" w:shadow="0" w:frame="0"/>
        <w:left w:val="nil"/>
        <w:bottom w:val="nil"/>
        <w:right w:val="nil"/>
      </w:pBdr>
      <w:shd w:val="clear" w:color="auto" w:fill="auto"/>
      <w:suppressAutoHyphens w:val="0"/>
      <w:bidi w:val="0"/>
      <w:spacing w:before="360" w:after="40" w:line="288" w:lineRule="auto"/>
      <w:ind w:left="0" w:right="0" w:firstLine="0"/>
      <w:jc w:val="left"/>
      <w:outlineLvl w:val="0"/>
    </w:pPr>
    <w:rPr>
      <w:rFonts w:ascii="Helvetica Neue" w:cs="Helvetica Neue" w:hAnsi="Helvetica Neue" w:eastAsia="Helvetica Neue"/>
      <w:b w:val="0"/>
      <w:bCs w:val="0"/>
      <w:i w:val="0"/>
      <w:iCs w:val="0"/>
      <w:caps w:val="0"/>
      <w:smallCaps w:val="0"/>
      <w:strike w:val="0"/>
      <w:dstrike w:val="0"/>
      <w:outline w:val="0"/>
      <w:color w:val="000000"/>
      <w:spacing w:val="5"/>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w="12700" w14:cap="flat">
        <w14:noFill/>
        <w14:miter w14:lim="400000"/>
      </w14:textOutline>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footer" Target="footer1.xml"/><Relationship Id="rId11" Type="http://schemas.openxmlformats.org/officeDocument/2006/relationships/footnotes" Target="footnotes.xml"/><Relationship Id="rId12"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