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F22D2" w:rsidRDefault="006D4BB9">
      <w:pPr>
        <w:pStyle w:val="Title"/>
        <w:jc w:val="center"/>
        <w:rPr>
          <w:rFonts w:ascii="Bodoni SvtyTwo OS ITC TT-Bold" w:eastAsia="Bodoni SvtyTwo OS ITC TT-Bold" w:hAnsi="Bodoni SvtyTwo OS ITC TT-Bold" w:cs="Bodoni SvtyTwo OS ITC TT-Bold"/>
          <w:b w:val="0"/>
          <w:bCs w:val="0"/>
          <w:color w:val="5E5E5E"/>
          <w:sz w:val="70"/>
          <w:szCs w:val="70"/>
        </w:rPr>
      </w:pPr>
      <w:r>
        <w:rPr>
          <w:rFonts w:ascii="Bodoni SvtyTwo OS ITC TT-Bold" w:hAnsi="Bodoni SvtyTwo OS ITC TT-Bold"/>
          <w:b w:val="0"/>
          <w:bCs w:val="0"/>
          <w:color w:val="5E5E5E"/>
          <w:sz w:val="74"/>
          <w:szCs w:val="74"/>
        </w:rPr>
        <w:t xml:space="preserve">Kings of Justice: </w:t>
      </w:r>
    </w:p>
    <w:p w:rsidR="009F22D2" w:rsidRDefault="006D4BB9">
      <w:pPr>
        <w:pStyle w:val="Subtitle"/>
        <w:jc w:val="center"/>
        <w:rPr>
          <w:sz w:val="60"/>
          <w:szCs w:val="60"/>
        </w:rPr>
      </w:pPr>
      <w:r>
        <w:rPr>
          <w:sz w:val="60"/>
          <w:szCs w:val="60"/>
        </w:rPr>
        <w:t xml:space="preserve">Law as a Political Tool of Mesopotamian Rulers </w:t>
      </w:r>
    </w:p>
    <w:p w:rsidR="009F22D2" w:rsidRDefault="009F22D2">
      <w:pPr>
        <w:pStyle w:val="Body"/>
      </w:pPr>
    </w:p>
    <w:p w:rsidR="009F22D2" w:rsidRDefault="009F22D2">
      <w:pPr>
        <w:pStyle w:val="Body"/>
        <w:jc w:val="center"/>
        <w:rPr>
          <w:rFonts w:ascii="Bodoni SvtyTwo OS ITC TT-BookIt" w:eastAsia="Bodoni SvtyTwo OS ITC TT-BookIt" w:hAnsi="Bodoni SvtyTwo OS ITC TT-BookIt" w:cs="Bodoni SvtyTwo OS ITC TT-BookIt"/>
          <w:color w:val="919191"/>
          <w:sz w:val="40"/>
          <w:szCs w:val="40"/>
        </w:rPr>
      </w:pPr>
    </w:p>
    <w:p w:rsidR="009F22D2" w:rsidRDefault="009F22D2">
      <w:pPr>
        <w:pStyle w:val="Body"/>
        <w:jc w:val="center"/>
        <w:rPr>
          <w:rFonts w:ascii="Bodoni SvtyTwo OS ITC TT-BookIt" w:eastAsia="Bodoni SvtyTwo OS ITC TT-BookIt" w:hAnsi="Bodoni SvtyTwo OS ITC TT-BookIt" w:cs="Bodoni SvtyTwo OS ITC TT-BookIt"/>
          <w:color w:val="919191"/>
          <w:sz w:val="40"/>
          <w:szCs w:val="40"/>
        </w:rPr>
      </w:pPr>
    </w:p>
    <w:p w:rsidR="009F22D2" w:rsidRDefault="009F22D2">
      <w:pPr>
        <w:pStyle w:val="Body"/>
        <w:jc w:val="center"/>
        <w:rPr>
          <w:rFonts w:ascii="Bodoni SvtyTwo OS ITC TT-BookIt" w:eastAsia="Bodoni SvtyTwo OS ITC TT-BookIt" w:hAnsi="Bodoni SvtyTwo OS ITC TT-BookIt" w:cs="Bodoni SvtyTwo OS ITC TT-BookIt"/>
          <w:color w:val="919191"/>
          <w:sz w:val="40"/>
          <w:szCs w:val="40"/>
        </w:rPr>
      </w:pPr>
    </w:p>
    <w:p w:rsidR="009F22D2" w:rsidRDefault="009F22D2">
      <w:pPr>
        <w:pStyle w:val="Body"/>
        <w:jc w:val="center"/>
        <w:rPr>
          <w:rFonts w:ascii="Bodoni SvtyTwo OS ITC TT-BookIt" w:eastAsia="Bodoni SvtyTwo OS ITC TT-BookIt" w:hAnsi="Bodoni SvtyTwo OS ITC TT-BookIt" w:cs="Bodoni SvtyTwo OS ITC TT-BookIt"/>
          <w:color w:val="919191"/>
          <w:sz w:val="40"/>
          <w:szCs w:val="40"/>
        </w:rPr>
      </w:pPr>
    </w:p>
    <w:p w:rsidR="009F22D2" w:rsidRDefault="009F22D2">
      <w:pPr>
        <w:pStyle w:val="Body"/>
        <w:jc w:val="center"/>
        <w:rPr>
          <w:rFonts w:ascii="Bodoni SvtyTwo OS ITC TT-BookIt" w:eastAsia="Bodoni SvtyTwo OS ITC TT-BookIt" w:hAnsi="Bodoni SvtyTwo OS ITC TT-BookIt" w:cs="Bodoni SvtyTwo OS ITC TT-BookIt"/>
          <w:color w:val="919191"/>
          <w:sz w:val="40"/>
          <w:szCs w:val="40"/>
        </w:rPr>
      </w:pPr>
    </w:p>
    <w:p w:rsidR="009F22D2" w:rsidRPr="00030275" w:rsidRDefault="006D4BB9">
      <w:pPr>
        <w:pStyle w:val="Heading"/>
        <w:jc w:val="center"/>
        <w:rPr>
          <w:rFonts w:ascii="Bodoni SvtyTwo OS ITC TT-Book" w:eastAsia="Bodoni SvtyTwo OS ITC TT-Book" w:hAnsi="Bodoni SvtyTwo OS ITC TT-Book" w:cs="Bodoni SvtyTwo OS ITC TT-Book"/>
          <w:b w:val="0"/>
          <w:bCs w:val="0"/>
          <w:i/>
          <w:color w:val="919191"/>
          <w:sz w:val="44"/>
          <w:szCs w:val="44"/>
        </w:rPr>
      </w:pPr>
      <w:r w:rsidRPr="00030275">
        <w:rPr>
          <w:rFonts w:ascii="Bodoni SvtyTwo OS ITC TT-BookIt" w:hAnsi="Bodoni SvtyTwo OS ITC TT-BookIt"/>
          <w:b w:val="0"/>
          <w:bCs w:val="0"/>
          <w:i/>
          <w:color w:val="919191"/>
          <w:sz w:val="44"/>
          <w:szCs w:val="44"/>
        </w:rPr>
        <w:t xml:space="preserve">How could </w:t>
      </w:r>
      <w:proofErr w:type="gramStart"/>
      <w:r w:rsidRPr="00030275">
        <w:rPr>
          <w:rFonts w:ascii="Bodoni SvtyTwo OS ITC TT-BookIt" w:hAnsi="Bodoni SvtyTwo OS ITC TT-BookIt"/>
          <w:b w:val="0"/>
          <w:bCs w:val="0"/>
          <w:i/>
          <w:color w:val="919191"/>
          <w:sz w:val="44"/>
          <w:szCs w:val="44"/>
        </w:rPr>
        <w:t>the  legal</w:t>
      </w:r>
      <w:proofErr w:type="gramEnd"/>
      <w:r w:rsidRPr="00030275">
        <w:rPr>
          <w:rFonts w:ascii="Bodoni SvtyTwo OS ITC TT-BookIt" w:hAnsi="Bodoni SvtyTwo OS ITC TT-BookIt"/>
          <w:b w:val="0"/>
          <w:bCs w:val="0"/>
          <w:i/>
          <w:color w:val="919191"/>
          <w:sz w:val="44"/>
          <w:szCs w:val="44"/>
        </w:rPr>
        <w:t xml:space="preserve"> codes of kings be successfully used in maintaining their empire?</w:t>
      </w:r>
      <w:r w:rsidRPr="00030275">
        <w:rPr>
          <w:rFonts w:ascii="Bodoni SvtyTwo OS ITC TT-Book" w:hAnsi="Bodoni SvtyTwo OS ITC TT-Book"/>
          <w:b w:val="0"/>
          <w:bCs w:val="0"/>
          <w:i/>
          <w:color w:val="919191"/>
          <w:sz w:val="44"/>
          <w:szCs w:val="44"/>
        </w:rPr>
        <w:t xml:space="preserve"> </w:t>
      </w:r>
    </w:p>
    <w:p w:rsidR="009F22D2" w:rsidRPr="00030275" w:rsidRDefault="009F22D2">
      <w:pPr>
        <w:pStyle w:val="Body"/>
        <w:rPr>
          <w:rFonts w:ascii="Helvetica Neue Medium" w:eastAsia="Helvetica Neue Medium" w:hAnsi="Helvetica Neue Medium" w:cs="Helvetica Neue Medium"/>
          <w:i/>
        </w:rPr>
      </w:pPr>
    </w:p>
    <w:p w:rsidR="009F22D2" w:rsidRDefault="009F22D2">
      <w:pPr>
        <w:pStyle w:val="Body"/>
        <w:rPr>
          <w:rFonts w:ascii="Helvetica Neue Medium" w:eastAsia="Helvetica Neue Medium" w:hAnsi="Helvetica Neue Medium" w:cs="Helvetica Neue Medium"/>
        </w:rPr>
      </w:pPr>
    </w:p>
    <w:p w:rsidR="009F22D2" w:rsidRDefault="009F22D2">
      <w:pPr>
        <w:pStyle w:val="Body"/>
        <w:rPr>
          <w:rFonts w:ascii="Helvetica Neue Medium" w:eastAsia="Helvetica Neue Medium" w:hAnsi="Helvetica Neue Medium" w:cs="Helvetica Neue Medium"/>
        </w:rPr>
      </w:pPr>
    </w:p>
    <w:p w:rsidR="009F22D2" w:rsidRDefault="009F22D2">
      <w:pPr>
        <w:pStyle w:val="Body"/>
        <w:rPr>
          <w:rFonts w:ascii="Helvetica Neue Medium" w:eastAsia="Helvetica Neue Medium" w:hAnsi="Helvetica Neue Medium" w:cs="Helvetica Neue Medium"/>
        </w:rPr>
      </w:pPr>
    </w:p>
    <w:p w:rsidR="009F22D2" w:rsidRDefault="009F22D2">
      <w:pPr>
        <w:pStyle w:val="Body"/>
        <w:rPr>
          <w:rFonts w:ascii="Helvetica Neue Medium" w:eastAsia="Helvetica Neue Medium" w:hAnsi="Helvetica Neue Medium" w:cs="Helvetica Neue Medium"/>
        </w:rPr>
      </w:pPr>
    </w:p>
    <w:p w:rsidR="009F22D2" w:rsidRDefault="009F22D2">
      <w:pPr>
        <w:pStyle w:val="Body"/>
        <w:rPr>
          <w:rFonts w:ascii="Helvetica Neue Medium" w:eastAsia="Helvetica Neue Medium" w:hAnsi="Helvetica Neue Medium" w:cs="Helvetica Neue Medium"/>
        </w:rPr>
      </w:pPr>
    </w:p>
    <w:p w:rsidR="009F22D2" w:rsidRDefault="009F22D2">
      <w:pPr>
        <w:pStyle w:val="Body"/>
        <w:rPr>
          <w:rFonts w:ascii="Helvetica Neue Medium" w:eastAsia="Helvetica Neue Medium" w:hAnsi="Helvetica Neue Medium" w:cs="Helvetica Neue Medium"/>
        </w:rPr>
      </w:pPr>
    </w:p>
    <w:p w:rsidR="009F22D2" w:rsidRDefault="009F22D2">
      <w:pPr>
        <w:pStyle w:val="Body"/>
        <w:rPr>
          <w:rFonts w:ascii="Helvetica Neue Medium" w:eastAsia="Helvetica Neue Medium" w:hAnsi="Helvetica Neue Medium" w:cs="Helvetica Neue Medium"/>
        </w:rPr>
      </w:pPr>
    </w:p>
    <w:p w:rsidR="009F22D2" w:rsidRDefault="009F22D2">
      <w:pPr>
        <w:pStyle w:val="Body"/>
        <w:rPr>
          <w:rFonts w:ascii="Helvetica Neue Medium" w:eastAsia="Helvetica Neue Medium" w:hAnsi="Helvetica Neue Medium" w:cs="Helvetica Neue Medium"/>
        </w:rPr>
      </w:pPr>
    </w:p>
    <w:p w:rsidR="009F22D2" w:rsidRDefault="009F22D2">
      <w:pPr>
        <w:pStyle w:val="Body"/>
        <w:rPr>
          <w:rFonts w:ascii="Helvetica Neue Medium" w:eastAsia="Helvetica Neue Medium" w:hAnsi="Helvetica Neue Medium" w:cs="Helvetica Neue Medium"/>
        </w:rPr>
      </w:pPr>
    </w:p>
    <w:p w:rsidR="009F22D2" w:rsidRDefault="009F22D2">
      <w:pPr>
        <w:pStyle w:val="Body"/>
        <w:rPr>
          <w:rFonts w:ascii="Helvetica Neue Medium" w:eastAsia="Helvetica Neue Medium" w:hAnsi="Helvetica Neue Medium" w:cs="Helvetica Neue Medium"/>
        </w:rPr>
      </w:pPr>
    </w:p>
    <w:p w:rsidR="009F22D2" w:rsidRDefault="009F22D2">
      <w:pPr>
        <w:pStyle w:val="Body"/>
        <w:rPr>
          <w:rFonts w:ascii="Helvetica Neue Medium" w:eastAsia="Helvetica Neue Medium" w:hAnsi="Helvetica Neue Medium" w:cs="Helvetica Neue Medium"/>
        </w:rPr>
      </w:pPr>
    </w:p>
    <w:p w:rsidR="009F22D2" w:rsidRDefault="009F22D2">
      <w:pPr>
        <w:pStyle w:val="Body"/>
        <w:rPr>
          <w:rFonts w:ascii="Helvetica Neue Medium" w:eastAsia="Helvetica Neue Medium" w:hAnsi="Helvetica Neue Medium" w:cs="Helvetica Neue Medium"/>
        </w:rPr>
      </w:pPr>
    </w:p>
    <w:p w:rsidR="009F22D2" w:rsidRDefault="009F22D2">
      <w:pPr>
        <w:pStyle w:val="Body"/>
        <w:rPr>
          <w:rFonts w:ascii="Helvetica Neue Medium" w:eastAsia="Helvetica Neue Medium" w:hAnsi="Helvetica Neue Medium" w:cs="Helvetica Neue Medium"/>
        </w:rPr>
      </w:pPr>
    </w:p>
    <w:p w:rsidR="009F22D2" w:rsidRDefault="009F22D2">
      <w:pPr>
        <w:pStyle w:val="Body"/>
        <w:rPr>
          <w:rFonts w:ascii="Helvetica Neue Medium" w:eastAsia="Helvetica Neue Medium" w:hAnsi="Helvetica Neue Medium" w:cs="Helvetica Neue Medium"/>
        </w:rPr>
      </w:pPr>
    </w:p>
    <w:p w:rsidR="009F22D2" w:rsidRDefault="009F22D2">
      <w:pPr>
        <w:pStyle w:val="Body"/>
        <w:rPr>
          <w:rFonts w:ascii="Helvetica Neue Medium" w:eastAsia="Helvetica Neue Medium" w:hAnsi="Helvetica Neue Medium" w:cs="Helvetica Neue Medium"/>
        </w:rPr>
      </w:pPr>
    </w:p>
    <w:p w:rsidR="009F22D2" w:rsidRDefault="009F22D2">
      <w:pPr>
        <w:pStyle w:val="Body"/>
        <w:rPr>
          <w:rFonts w:ascii="Helvetica Neue Medium" w:eastAsia="Helvetica Neue Medium" w:hAnsi="Helvetica Neue Medium" w:cs="Helvetica Neue Medium"/>
        </w:rPr>
      </w:pPr>
    </w:p>
    <w:p w:rsidR="009F22D2" w:rsidRDefault="009F22D2">
      <w:pPr>
        <w:pStyle w:val="Body"/>
        <w:rPr>
          <w:rFonts w:ascii="Helvetica Neue Medium" w:eastAsia="Helvetica Neue Medium" w:hAnsi="Helvetica Neue Medium" w:cs="Helvetica Neue Medium"/>
        </w:rPr>
      </w:pPr>
    </w:p>
    <w:p w:rsidR="009F22D2" w:rsidRDefault="009F22D2">
      <w:pPr>
        <w:pStyle w:val="Body"/>
        <w:rPr>
          <w:rFonts w:ascii="Helvetica Neue Medium" w:eastAsia="Helvetica Neue Medium" w:hAnsi="Helvetica Neue Medium" w:cs="Helvetica Neue Medium"/>
        </w:rPr>
      </w:pPr>
    </w:p>
    <w:p w:rsidR="009F22D2" w:rsidRDefault="009F22D2">
      <w:pPr>
        <w:pStyle w:val="Body"/>
        <w:rPr>
          <w:rFonts w:ascii="Helvetica Neue Medium" w:eastAsia="Helvetica Neue Medium" w:hAnsi="Helvetica Neue Medium" w:cs="Helvetica Neue Medium"/>
        </w:rPr>
      </w:pPr>
    </w:p>
    <w:p w:rsidR="009F22D2" w:rsidRDefault="009F22D2">
      <w:pPr>
        <w:pStyle w:val="Body"/>
        <w:rPr>
          <w:rFonts w:ascii="Helvetica Neue Medium" w:eastAsia="Helvetica Neue Medium" w:hAnsi="Helvetica Neue Medium" w:cs="Helvetica Neue Medium"/>
        </w:rPr>
      </w:pPr>
    </w:p>
    <w:p w:rsidR="009F22D2" w:rsidRDefault="009F22D2">
      <w:pPr>
        <w:pStyle w:val="Body"/>
        <w:rPr>
          <w:rFonts w:ascii="Helvetica Neue Medium" w:eastAsia="Helvetica Neue Medium" w:hAnsi="Helvetica Neue Medium" w:cs="Helvetica Neue Medium"/>
        </w:rPr>
      </w:pPr>
    </w:p>
    <w:p w:rsidR="009F22D2" w:rsidRDefault="009F22D2">
      <w:pPr>
        <w:pStyle w:val="Body"/>
        <w:rPr>
          <w:rFonts w:ascii="Helvetica Neue Medium" w:eastAsia="Helvetica Neue Medium" w:hAnsi="Helvetica Neue Medium" w:cs="Helvetica Neue Medium"/>
        </w:rPr>
      </w:pPr>
    </w:p>
    <w:p w:rsidR="009F22D2" w:rsidRDefault="009F22D2">
      <w:pPr>
        <w:pStyle w:val="Body"/>
        <w:rPr>
          <w:rFonts w:ascii="Helvetica Neue Medium" w:eastAsia="Helvetica Neue Medium" w:hAnsi="Helvetica Neue Medium" w:cs="Helvetica Neue Medium"/>
        </w:rPr>
      </w:pPr>
    </w:p>
    <w:p w:rsidR="009F22D2" w:rsidRDefault="009F22D2">
      <w:pPr>
        <w:pStyle w:val="Body"/>
        <w:rPr>
          <w:rFonts w:ascii="Helvetica Neue Medium" w:eastAsia="Helvetica Neue Medium" w:hAnsi="Helvetica Neue Medium" w:cs="Helvetica Neue Medium"/>
        </w:rPr>
      </w:pPr>
    </w:p>
    <w:p w:rsidR="009F22D2" w:rsidRDefault="009F22D2">
      <w:pPr>
        <w:pStyle w:val="Body"/>
        <w:rPr>
          <w:rFonts w:ascii="Helvetica Neue Medium" w:eastAsia="Helvetica Neue Medium" w:hAnsi="Helvetica Neue Medium" w:cs="Helvetica Neue Medium"/>
        </w:rPr>
      </w:pPr>
    </w:p>
    <w:p w:rsidR="009F22D2" w:rsidRDefault="009F22D2">
      <w:pPr>
        <w:pStyle w:val="Body"/>
        <w:rPr>
          <w:rFonts w:ascii="Helvetica Neue Medium" w:eastAsia="Helvetica Neue Medium" w:hAnsi="Helvetica Neue Medium" w:cs="Helvetica Neue Medium"/>
        </w:rPr>
      </w:pPr>
    </w:p>
    <w:p w:rsidR="009F22D2" w:rsidRDefault="009F22D2">
      <w:pPr>
        <w:pStyle w:val="Body"/>
        <w:rPr>
          <w:rFonts w:ascii="Helvetica Neue Medium" w:eastAsia="Helvetica Neue Medium" w:hAnsi="Helvetica Neue Medium" w:cs="Helvetica Neue Medium"/>
        </w:rPr>
      </w:pPr>
    </w:p>
    <w:p w:rsidR="009F22D2" w:rsidRDefault="009F22D2">
      <w:pPr>
        <w:pStyle w:val="Body"/>
        <w:rPr>
          <w:rFonts w:ascii="Helvetica Neue Medium" w:eastAsia="Helvetica Neue Medium" w:hAnsi="Helvetica Neue Medium" w:cs="Helvetica Neue Medium"/>
        </w:rPr>
      </w:pPr>
    </w:p>
    <w:p w:rsidR="009F22D2" w:rsidRDefault="009F22D2">
      <w:pPr>
        <w:pStyle w:val="Body"/>
        <w:rPr>
          <w:rFonts w:ascii="Helvetica Neue Medium" w:eastAsia="Helvetica Neue Medium" w:hAnsi="Helvetica Neue Medium" w:cs="Helvetica Neue Medium"/>
        </w:rPr>
      </w:pPr>
    </w:p>
    <w:p w:rsidR="009F22D2" w:rsidRDefault="006D4BB9">
      <w:pPr>
        <w:pStyle w:val="Body"/>
        <w:jc w:val="center"/>
        <w:rPr>
          <w:rFonts w:ascii="Bodoni SvtyTwo OS ITC TT-Book" w:eastAsia="Bodoni SvtyTwo OS ITC TT-Book" w:hAnsi="Bodoni SvtyTwo OS ITC TT-Book" w:cs="Bodoni SvtyTwo OS ITC TT-Book"/>
        </w:rPr>
      </w:pPr>
      <w:r>
        <w:rPr>
          <w:rFonts w:ascii="Bodoni SvtyTwo OS ITC TT-Book" w:hAnsi="Bodoni SvtyTwo OS ITC TT-Book"/>
        </w:rPr>
        <w:t>By Elizabeth A. Bull</w:t>
      </w:r>
    </w:p>
    <w:p w:rsidR="009F22D2" w:rsidRDefault="006D4BB9">
      <w:pPr>
        <w:pStyle w:val="Body"/>
        <w:jc w:val="center"/>
        <w:rPr>
          <w:rFonts w:ascii="Bodoni SvtyTwo OS ITC TT-Book" w:eastAsia="Bodoni SvtyTwo OS ITC TT-Book" w:hAnsi="Bodoni SvtyTwo OS ITC TT-Book" w:cs="Bodoni SvtyTwo OS ITC TT-Book"/>
        </w:rPr>
      </w:pPr>
      <w:r>
        <w:rPr>
          <w:rFonts w:ascii="Bodoni SvtyTwo OS ITC TT-Book" w:hAnsi="Bodoni SvtyTwo OS ITC TT-Book"/>
        </w:rPr>
        <w:t>1600598</w:t>
      </w:r>
    </w:p>
    <w:p w:rsidR="009F22D2" w:rsidRDefault="006D4BB9">
      <w:pPr>
        <w:pStyle w:val="Subtitle"/>
        <w:jc w:val="center"/>
      </w:pPr>
      <w:r>
        <w:lastRenderedPageBreak/>
        <w:t>Contents:</w:t>
      </w:r>
    </w:p>
    <w:p w:rsidR="009F22D2" w:rsidRDefault="009F22D2">
      <w:pPr>
        <w:pStyle w:val="Heading"/>
        <w:jc w:val="center"/>
        <w:rPr>
          <w:rFonts w:ascii="Bodoni SvtyTwo OS ITC TT-Book" w:eastAsia="Bodoni SvtyTwo OS ITC TT-Book" w:hAnsi="Bodoni SvtyTwo OS ITC TT-Book" w:cs="Bodoni SvtyTwo OS ITC TT-Book"/>
          <w:b w:val="0"/>
          <w:bCs w:val="0"/>
          <w:color w:val="919191"/>
          <w:sz w:val="38"/>
          <w:szCs w:val="38"/>
        </w:rPr>
      </w:pPr>
    </w:p>
    <w:p w:rsidR="009F22D2" w:rsidRDefault="009F22D2">
      <w:pPr>
        <w:pStyle w:val="Heading"/>
        <w:jc w:val="center"/>
        <w:rPr>
          <w:rFonts w:ascii="Bodoni SvtyTwo OS ITC TT-Book" w:eastAsia="Bodoni SvtyTwo OS ITC TT-Book" w:hAnsi="Bodoni SvtyTwo OS ITC TT-Book" w:cs="Bodoni SvtyTwo OS ITC TT-Book"/>
          <w:b w:val="0"/>
          <w:bCs w:val="0"/>
          <w:color w:val="919191"/>
          <w:sz w:val="38"/>
          <w:szCs w:val="38"/>
        </w:rPr>
      </w:pPr>
    </w:p>
    <w:p w:rsidR="009F22D2" w:rsidRPr="00030275" w:rsidRDefault="006D4BB9">
      <w:pPr>
        <w:pStyle w:val="Heading"/>
        <w:jc w:val="center"/>
        <w:rPr>
          <w:rFonts w:ascii="Bodoni SvtyTwo OS ITC TT-Book" w:eastAsia="Bodoni SvtyTwo OS ITC TT-Book" w:hAnsi="Bodoni SvtyTwo OS ITC TT-Book" w:cs="Bodoni SvtyTwo OS ITC TT-Book"/>
          <w:b w:val="0"/>
          <w:bCs w:val="0"/>
          <w:i/>
          <w:color w:val="919191"/>
          <w:sz w:val="38"/>
          <w:szCs w:val="38"/>
        </w:rPr>
      </w:pPr>
      <w:r w:rsidRPr="00030275">
        <w:rPr>
          <w:rFonts w:ascii="Bodoni SvtyTwo OS ITC TT-BookIt" w:hAnsi="Bodoni SvtyTwo OS ITC TT-BookIt"/>
          <w:b w:val="0"/>
          <w:bCs w:val="0"/>
          <w:i/>
          <w:color w:val="919191"/>
          <w:sz w:val="38"/>
          <w:szCs w:val="38"/>
        </w:rPr>
        <w:t xml:space="preserve">Research Proposal </w:t>
      </w:r>
    </w:p>
    <w:p w:rsidR="009F22D2" w:rsidRDefault="006D4BB9">
      <w:pPr>
        <w:pStyle w:val="Heading"/>
        <w:jc w:val="center"/>
        <w:rPr>
          <w:rFonts w:ascii="Bodoni SvtyTwo OS ITC TT-Book" w:eastAsia="Bodoni SvtyTwo OS ITC TT-Book" w:hAnsi="Bodoni SvtyTwo OS ITC TT-Book" w:cs="Bodoni SvtyTwo OS ITC TT-Book"/>
          <w:b w:val="0"/>
          <w:bCs w:val="0"/>
          <w:color w:val="FF9300"/>
          <w:sz w:val="38"/>
          <w:szCs w:val="38"/>
        </w:rPr>
      </w:pPr>
      <w:r>
        <w:rPr>
          <w:rFonts w:ascii="Arial Unicode MS" w:hAnsi="Arial Unicode MS"/>
          <w:b w:val="0"/>
          <w:bCs w:val="0"/>
          <w:color w:val="FF9300"/>
          <w:sz w:val="38"/>
          <w:szCs w:val="38"/>
        </w:rPr>
        <w:t>❖</w:t>
      </w:r>
    </w:p>
    <w:p w:rsidR="009F22D2" w:rsidRPr="00030275" w:rsidRDefault="006D4BB9">
      <w:pPr>
        <w:pStyle w:val="Heading"/>
        <w:jc w:val="center"/>
        <w:rPr>
          <w:rFonts w:ascii="Bodoni SvtyTwo OS ITC TT-Book" w:eastAsia="Bodoni SvtyTwo OS ITC TT-Book" w:hAnsi="Bodoni SvtyTwo OS ITC TT-Book" w:cs="Bodoni SvtyTwo OS ITC TT-Book"/>
          <w:b w:val="0"/>
          <w:bCs w:val="0"/>
          <w:i/>
          <w:color w:val="919191"/>
          <w:sz w:val="38"/>
          <w:szCs w:val="38"/>
        </w:rPr>
      </w:pPr>
      <w:r w:rsidRPr="00030275">
        <w:rPr>
          <w:rFonts w:ascii="Bodoni SvtyTwo OS ITC TT-BookIt" w:hAnsi="Bodoni SvtyTwo OS ITC TT-BookIt"/>
          <w:b w:val="0"/>
          <w:bCs w:val="0"/>
          <w:i/>
          <w:color w:val="919191"/>
          <w:sz w:val="38"/>
          <w:szCs w:val="38"/>
        </w:rPr>
        <w:t>Literature Review</w:t>
      </w:r>
      <w:r w:rsidRPr="00030275">
        <w:rPr>
          <w:rFonts w:ascii="Bodoni SvtyTwo OS ITC TT-Book" w:hAnsi="Bodoni SvtyTwo OS ITC TT-Book"/>
          <w:b w:val="0"/>
          <w:bCs w:val="0"/>
          <w:i/>
          <w:color w:val="919191"/>
          <w:sz w:val="38"/>
          <w:szCs w:val="38"/>
        </w:rPr>
        <w:t xml:space="preserve"> </w:t>
      </w:r>
    </w:p>
    <w:p w:rsidR="009F22D2" w:rsidRDefault="006D4BB9">
      <w:pPr>
        <w:pStyle w:val="Heading"/>
        <w:jc w:val="center"/>
        <w:rPr>
          <w:rFonts w:ascii="Bodoni SvtyTwo OS ITC TT-Book" w:eastAsia="Bodoni SvtyTwo OS ITC TT-Book" w:hAnsi="Bodoni SvtyTwo OS ITC TT-Book" w:cs="Bodoni SvtyTwo OS ITC TT-Book"/>
          <w:b w:val="0"/>
          <w:bCs w:val="0"/>
          <w:color w:val="FF9300"/>
          <w:sz w:val="38"/>
          <w:szCs w:val="38"/>
        </w:rPr>
      </w:pPr>
      <w:r>
        <w:rPr>
          <w:rFonts w:ascii="Arial Unicode MS" w:hAnsi="Arial Unicode MS"/>
          <w:b w:val="0"/>
          <w:bCs w:val="0"/>
          <w:color w:val="FF9300"/>
          <w:sz w:val="38"/>
          <w:szCs w:val="38"/>
        </w:rPr>
        <w:t>❖</w:t>
      </w:r>
    </w:p>
    <w:p w:rsidR="009F22D2" w:rsidRDefault="006D4BB9">
      <w:pPr>
        <w:pStyle w:val="Heading"/>
        <w:jc w:val="center"/>
        <w:rPr>
          <w:rFonts w:ascii="Bodoni SvtyTwo OS ITC TT-Book" w:eastAsia="Bodoni SvtyTwo OS ITC TT-Book" w:hAnsi="Bodoni SvtyTwo OS ITC TT-Book" w:cs="Bodoni SvtyTwo OS ITC TT-Book"/>
          <w:b w:val="0"/>
          <w:bCs w:val="0"/>
          <w:color w:val="919191"/>
          <w:sz w:val="38"/>
          <w:szCs w:val="38"/>
        </w:rPr>
      </w:pPr>
      <w:r>
        <w:rPr>
          <w:rFonts w:ascii="Bodoni SvtyTwo OS ITC TT-Book" w:hAnsi="Bodoni SvtyTwo OS ITC TT-Book"/>
          <w:b w:val="0"/>
          <w:bCs w:val="0"/>
          <w:color w:val="919191"/>
          <w:sz w:val="38"/>
          <w:szCs w:val="38"/>
        </w:rPr>
        <w:t>Measuring Success (Methodology)</w:t>
      </w:r>
    </w:p>
    <w:p w:rsidR="009F22D2" w:rsidRDefault="006D4BB9">
      <w:pPr>
        <w:pStyle w:val="Heading"/>
        <w:jc w:val="center"/>
        <w:rPr>
          <w:rFonts w:ascii="Bodoni SvtyTwo OS ITC TT-Book" w:eastAsia="Bodoni SvtyTwo OS ITC TT-Book" w:hAnsi="Bodoni SvtyTwo OS ITC TT-Book" w:cs="Bodoni SvtyTwo OS ITC TT-Book"/>
          <w:b w:val="0"/>
          <w:bCs w:val="0"/>
          <w:color w:val="FF9300"/>
          <w:sz w:val="38"/>
          <w:szCs w:val="38"/>
        </w:rPr>
      </w:pPr>
      <w:r>
        <w:rPr>
          <w:rFonts w:ascii="Arial Unicode MS" w:hAnsi="Arial Unicode MS"/>
          <w:b w:val="0"/>
          <w:bCs w:val="0"/>
          <w:color w:val="FF9300"/>
          <w:sz w:val="38"/>
          <w:szCs w:val="38"/>
        </w:rPr>
        <w:t>❖</w:t>
      </w:r>
    </w:p>
    <w:p w:rsidR="009F22D2" w:rsidRDefault="006D4BB9">
      <w:pPr>
        <w:pStyle w:val="Heading"/>
        <w:jc w:val="center"/>
        <w:rPr>
          <w:rFonts w:ascii="Bodoni SvtyTwo OS ITC TT-Book" w:eastAsia="Bodoni SvtyTwo OS ITC TT-Book" w:hAnsi="Bodoni SvtyTwo OS ITC TT-Book" w:cs="Bodoni SvtyTwo OS ITC TT-Book"/>
          <w:b w:val="0"/>
          <w:bCs w:val="0"/>
          <w:color w:val="919191"/>
          <w:sz w:val="38"/>
          <w:szCs w:val="38"/>
        </w:rPr>
      </w:pPr>
      <w:r>
        <w:rPr>
          <w:rFonts w:ascii="Bodoni SvtyTwo OS ITC TT-Book" w:hAnsi="Bodoni SvtyTwo OS ITC TT-Book"/>
          <w:b w:val="0"/>
          <w:bCs w:val="0"/>
          <w:color w:val="919191"/>
          <w:sz w:val="38"/>
          <w:szCs w:val="38"/>
        </w:rPr>
        <w:t xml:space="preserve">Results </w:t>
      </w:r>
    </w:p>
    <w:p w:rsidR="009F22D2" w:rsidRDefault="006D4BB9">
      <w:pPr>
        <w:pStyle w:val="Heading"/>
        <w:jc w:val="center"/>
        <w:rPr>
          <w:rFonts w:ascii="Bodoni SvtyTwo OS ITC TT-BookIt" w:eastAsia="Bodoni SvtyTwo OS ITC TT-BookIt" w:hAnsi="Bodoni SvtyTwo OS ITC TT-BookIt" w:cs="Bodoni SvtyTwo OS ITC TT-BookIt"/>
          <w:b w:val="0"/>
          <w:bCs w:val="0"/>
          <w:color w:val="FF9300"/>
          <w:sz w:val="38"/>
          <w:szCs w:val="38"/>
        </w:rPr>
      </w:pPr>
      <w:r>
        <w:rPr>
          <w:rFonts w:ascii="Arial Unicode MS" w:hAnsi="Arial Unicode MS"/>
          <w:b w:val="0"/>
          <w:bCs w:val="0"/>
          <w:color w:val="FF9300"/>
          <w:sz w:val="38"/>
          <w:szCs w:val="38"/>
        </w:rPr>
        <w:t>❖</w:t>
      </w:r>
    </w:p>
    <w:p w:rsidR="009F22D2" w:rsidRPr="00030275" w:rsidRDefault="006D4BB9">
      <w:pPr>
        <w:pStyle w:val="Heading"/>
        <w:jc w:val="center"/>
        <w:rPr>
          <w:rFonts w:ascii="Bodoni SvtyTwo OS ITC TT-BookIt" w:eastAsia="Bodoni SvtyTwo OS ITC TT-BookIt" w:hAnsi="Bodoni SvtyTwo OS ITC TT-BookIt" w:cs="Bodoni SvtyTwo OS ITC TT-BookIt"/>
          <w:b w:val="0"/>
          <w:bCs w:val="0"/>
          <w:i/>
          <w:color w:val="919191"/>
          <w:sz w:val="38"/>
          <w:szCs w:val="38"/>
        </w:rPr>
      </w:pPr>
      <w:r w:rsidRPr="00030275">
        <w:rPr>
          <w:rFonts w:ascii="Bodoni SvtyTwo OS ITC TT-BookIt" w:hAnsi="Bodoni SvtyTwo OS ITC TT-BookIt"/>
          <w:b w:val="0"/>
          <w:bCs w:val="0"/>
          <w:i/>
          <w:color w:val="919191"/>
          <w:sz w:val="38"/>
          <w:szCs w:val="38"/>
        </w:rPr>
        <w:t>Bibliography</w:t>
      </w:r>
    </w:p>
    <w:p w:rsidR="009F22D2" w:rsidRDefault="006D4BB9">
      <w:pPr>
        <w:pStyle w:val="Heading"/>
        <w:jc w:val="center"/>
        <w:rPr>
          <w:rFonts w:ascii="Bodoni SvtyTwo OS ITC TT-Book" w:eastAsia="Bodoni SvtyTwo OS ITC TT-Book" w:hAnsi="Bodoni SvtyTwo OS ITC TT-Book" w:cs="Bodoni SvtyTwo OS ITC TT-Book"/>
          <w:b w:val="0"/>
          <w:bCs w:val="0"/>
          <w:color w:val="FF9300"/>
          <w:sz w:val="38"/>
          <w:szCs w:val="38"/>
        </w:rPr>
      </w:pPr>
      <w:r>
        <w:rPr>
          <w:rFonts w:ascii="Arial Unicode MS" w:hAnsi="Arial Unicode MS"/>
          <w:b w:val="0"/>
          <w:bCs w:val="0"/>
          <w:color w:val="FF9300"/>
          <w:sz w:val="38"/>
          <w:szCs w:val="38"/>
        </w:rPr>
        <w:t>❖</w:t>
      </w:r>
    </w:p>
    <w:p w:rsidR="009F22D2" w:rsidRPr="00030275" w:rsidRDefault="006D4BB9">
      <w:pPr>
        <w:pStyle w:val="Heading"/>
        <w:jc w:val="center"/>
        <w:rPr>
          <w:rFonts w:ascii="Bodoni SvtyTwo OS ITC TT-BookIt" w:eastAsia="Bodoni SvtyTwo OS ITC TT-BookIt" w:hAnsi="Bodoni SvtyTwo OS ITC TT-BookIt" w:cs="Bodoni SvtyTwo OS ITC TT-BookIt"/>
          <w:b w:val="0"/>
          <w:bCs w:val="0"/>
          <w:color w:val="919191"/>
          <w:sz w:val="38"/>
          <w:szCs w:val="38"/>
        </w:rPr>
      </w:pPr>
      <w:r w:rsidRPr="00030275">
        <w:rPr>
          <w:rFonts w:ascii="Bodoni SvtyTwo OS ITC TT-BookIt" w:hAnsi="Bodoni SvtyTwo OS ITC TT-BookIt"/>
          <w:b w:val="0"/>
          <w:bCs w:val="0"/>
          <w:color w:val="919191"/>
          <w:sz w:val="38"/>
          <w:szCs w:val="38"/>
        </w:rPr>
        <w:t xml:space="preserve">2 Sources: a Reflection </w:t>
      </w:r>
    </w:p>
    <w:p w:rsidR="009F22D2" w:rsidRDefault="006D4BB9">
      <w:pPr>
        <w:pStyle w:val="Heading"/>
        <w:jc w:val="center"/>
        <w:rPr>
          <w:rFonts w:ascii="Bodoni SvtyTwo OS ITC TT-Book" w:eastAsia="Bodoni SvtyTwo OS ITC TT-Book" w:hAnsi="Bodoni SvtyTwo OS ITC TT-Book" w:cs="Bodoni SvtyTwo OS ITC TT-Book"/>
          <w:b w:val="0"/>
          <w:bCs w:val="0"/>
          <w:color w:val="FF9300"/>
          <w:sz w:val="38"/>
          <w:szCs w:val="38"/>
        </w:rPr>
      </w:pPr>
      <w:r>
        <w:rPr>
          <w:rFonts w:ascii="Arial Unicode MS" w:hAnsi="Arial Unicode MS"/>
          <w:b w:val="0"/>
          <w:bCs w:val="0"/>
          <w:color w:val="FF9300"/>
          <w:sz w:val="38"/>
          <w:szCs w:val="38"/>
        </w:rPr>
        <w:t>❖</w:t>
      </w:r>
    </w:p>
    <w:p w:rsidR="009F22D2" w:rsidRPr="00030275" w:rsidRDefault="006D4BB9">
      <w:pPr>
        <w:pStyle w:val="Heading"/>
        <w:jc w:val="center"/>
        <w:rPr>
          <w:rFonts w:ascii="Bodoni SvtyTwo OS ITC TT-BookIt" w:eastAsia="Bodoni SvtyTwo OS ITC TT-BookIt" w:hAnsi="Bodoni SvtyTwo OS ITC TT-BookIt" w:cs="Bodoni SvtyTwo OS ITC TT-BookIt"/>
          <w:b w:val="0"/>
          <w:bCs w:val="0"/>
          <w:color w:val="919191"/>
          <w:sz w:val="38"/>
          <w:szCs w:val="38"/>
        </w:rPr>
      </w:pPr>
      <w:r w:rsidRPr="00030275">
        <w:rPr>
          <w:rFonts w:ascii="Bodoni SvtyTwo OS ITC TT-BookIt" w:hAnsi="Bodoni SvtyTwo OS ITC TT-BookIt"/>
          <w:b w:val="0"/>
          <w:bCs w:val="0"/>
          <w:color w:val="919191"/>
          <w:sz w:val="38"/>
          <w:szCs w:val="38"/>
        </w:rPr>
        <w:t xml:space="preserve">Annotated Bibliography </w:t>
      </w:r>
    </w:p>
    <w:p w:rsidR="009F22D2" w:rsidRDefault="006D4BB9">
      <w:pPr>
        <w:pStyle w:val="Heading"/>
        <w:jc w:val="center"/>
        <w:rPr>
          <w:rFonts w:ascii="Bodoni SvtyTwo OS ITC TT-Book" w:eastAsia="Bodoni SvtyTwo OS ITC TT-Book" w:hAnsi="Bodoni SvtyTwo OS ITC TT-Book" w:cs="Bodoni SvtyTwo OS ITC TT-Book"/>
          <w:b w:val="0"/>
          <w:bCs w:val="0"/>
          <w:color w:val="FF9300"/>
          <w:sz w:val="38"/>
          <w:szCs w:val="38"/>
        </w:rPr>
      </w:pPr>
      <w:r>
        <w:rPr>
          <w:rFonts w:ascii="Arial Unicode MS" w:hAnsi="Arial Unicode MS"/>
          <w:b w:val="0"/>
          <w:bCs w:val="0"/>
          <w:color w:val="FF9300"/>
          <w:sz w:val="38"/>
          <w:szCs w:val="38"/>
        </w:rPr>
        <w:t>❖</w:t>
      </w:r>
    </w:p>
    <w:p w:rsidR="009F22D2" w:rsidRDefault="006D4BB9">
      <w:pPr>
        <w:pStyle w:val="Heading"/>
        <w:jc w:val="center"/>
        <w:rPr>
          <w:rFonts w:ascii="Bodoni SvtyTwo OS ITC TT-BookIt" w:eastAsia="Bodoni SvtyTwo OS ITC TT-BookIt" w:hAnsi="Bodoni SvtyTwo OS ITC TT-BookIt" w:cs="Bodoni SvtyTwo OS ITC TT-BookIt"/>
          <w:b w:val="0"/>
          <w:bCs w:val="0"/>
          <w:color w:val="919191"/>
          <w:sz w:val="38"/>
          <w:szCs w:val="38"/>
        </w:rPr>
      </w:pPr>
      <w:r>
        <w:rPr>
          <w:rFonts w:ascii="Bodoni SvtyTwo OS ITC TT-BookIt" w:hAnsi="Bodoni SvtyTwo OS ITC TT-BookIt"/>
          <w:b w:val="0"/>
          <w:bCs w:val="0"/>
          <w:color w:val="919191"/>
          <w:sz w:val="38"/>
          <w:szCs w:val="38"/>
        </w:rPr>
        <w:t>Further Reading</w:t>
      </w:r>
    </w:p>
    <w:p w:rsidR="009F22D2" w:rsidRDefault="009F22D2">
      <w:pPr>
        <w:pStyle w:val="Body"/>
      </w:pPr>
    </w:p>
    <w:p w:rsidR="009F22D2" w:rsidRDefault="009F22D2">
      <w:pPr>
        <w:pStyle w:val="Heading"/>
        <w:jc w:val="center"/>
        <w:rPr>
          <w:rFonts w:ascii="Bodoni SvtyTwo OS ITC TT-Book" w:eastAsia="Bodoni SvtyTwo OS ITC TT-Book" w:hAnsi="Bodoni SvtyTwo OS ITC TT-Book" w:cs="Bodoni SvtyTwo OS ITC TT-Book"/>
          <w:b w:val="0"/>
          <w:bCs w:val="0"/>
          <w:color w:val="FF9300"/>
          <w:sz w:val="38"/>
          <w:szCs w:val="38"/>
        </w:rPr>
      </w:pPr>
    </w:p>
    <w:p w:rsidR="009F22D2" w:rsidRDefault="009F22D2">
      <w:pPr>
        <w:pStyle w:val="Body"/>
      </w:pPr>
    </w:p>
    <w:p w:rsidR="009F22D2" w:rsidRDefault="009F22D2">
      <w:pPr>
        <w:pStyle w:val="Body"/>
      </w:pPr>
    </w:p>
    <w:p w:rsidR="009F22D2" w:rsidRDefault="009F22D2">
      <w:pPr>
        <w:pStyle w:val="Heading"/>
        <w:jc w:val="center"/>
        <w:rPr>
          <w:rFonts w:ascii="Bodoni SvtyTwo OS ITC TT-Book" w:eastAsia="Bodoni SvtyTwo OS ITC TT-Book" w:hAnsi="Bodoni SvtyTwo OS ITC TT-Book" w:cs="Bodoni SvtyTwo OS ITC TT-Book"/>
          <w:b w:val="0"/>
          <w:bCs w:val="0"/>
          <w:color w:val="919191"/>
          <w:sz w:val="44"/>
          <w:szCs w:val="44"/>
        </w:rPr>
      </w:pPr>
    </w:p>
    <w:p w:rsidR="009F22D2" w:rsidRDefault="009F22D2">
      <w:pPr>
        <w:pStyle w:val="Heading"/>
        <w:jc w:val="center"/>
        <w:rPr>
          <w:rFonts w:ascii="Bodoni SvtyTwo OS ITC TT-Book" w:eastAsia="Bodoni SvtyTwo OS ITC TT-Book" w:hAnsi="Bodoni SvtyTwo OS ITC TT-Book" w:cs="Bodoni SvtyTwo OS ITC TT-Book"/>
          <w:b w:val="0"/>
          <w:bCs w:val="0"/>
          <w:color w:val="FF9300"/>
          <w:sz w:val="38"/>
          <w:szCs w:val="38"/>
        </w:rPr>
      </w:pPr>
    </w:p>
    <w:p w:rsidR="009F22D2" w:rsidRDefault="009F22D2">
      <w:pPr>
        <w:pStyle w:val="Body"/>
        <w:rPr>
          <w:rFonts w:ascii="Bodoni SvtyTwo OS ITC TT-Book" w:eastAsia="Bodoni SvtyTwo OS ITC TT-Book" w:hAnsi="Bodoni SvtyTwo OS ITC TT-Book" w:cs="Bodoni SvtyTwo OS ITC TT-Book"/>
        </w:rPr>
      </w:pPr>
    </w:p>
    <w:p w:rsidR="009F22D2" w:rsidRDefault="009F22D2">
      <w:pPr>
        <w:pStyle w:val="Body"/>
        <w:rPr>
          <w:rFonts w:ascii="Bodoni SvtyTwo OS ITC TT-Book" w:eastAsia="Bodoni SvtyTwo OS ITC TT-Book" w:hAnsi="Bodoni SvtyTwo OS ITC TT-Book" w:cs="Bodoni SvtyTwo OS ITC TT-Book"/>
        </w:rPr>
      </w:pPr>
    </w:p>
    <w:p w:rsidR="009F22D2" w:rsidRDefault="009F22D2">
      <w:pPr>
        <w:pStyle w:val="Body"/>
        <w:rPr>
          <w:rFonts w:ascii="Bodoni SvtyTwo OS ITC TT-Book" w:eastAsia="Bodoni SvtyTwo OS ITC TT-Book" w:hAnsi="Bodoni SvtyTwo OS ITC TT-Book" w:cs="Bodoni SvtyTwo OS ITC TT-Book"/>
        </w:rPr>
      </w:pPr>
    </w:p>
    <w:p w:rsidR="009F22D2" w:rsidRDefault="009F22D2">
      <w:pPr>
        <w:pStyle w:val="Body"/>
        <w:rPr>
          <w:rFonts w:ascii="Bodoni SvtyTwo OS ITC TT-Book" w:eastAsia="Bodoni SvtyTwo OS ITC TT-Book" w:hAnsi="Bodoni SvtyTwo OS ITC TT-Book" w:cs="Bodoni SvtyTwo OS ITC TT-Book"/>
        </w:rPr>
      </w:pPr>
    </w:p>
    <w:p w:rsidR="009F22D2" w:rsidRDefault="009F22D2">
      <w:pPr>
        <w:pStyle w:val="Body"/>
        <w:rPr>
          <w:rFonts w:ascii="Bodoni SvtyTwo OS ITC TT-Book" w:eastAsia="Bodoni SvtyTwo OS ITC TT-Book" w:hAnsi="Bodoni SvtyTwo OS ITC TT-Book" w:cs="Bodoni SvtyTwo OS ITC TT-Book"/>
        </w:rPr>
      </w:pPr>
    </w:p>
    <w:p w:rsidR="009F22D2" w:rsidRDefault="009F22D2">
      <w:pPr>
        <w:pStyle w:val="Body"/>
        <w:rPr>
          <w:rFonts w:ascii="Bodoni SvtyTwo OS ITC TT-Book" w:eastAsia="Bodoni SvtyTwo OS ITC TT-Book" w:hAnsi="Bodoni SvtyTwo OS ITC TT-Book" w:cs="Bodoni SvtyTwo OS ITC TT-Book"/>
        </w:rPr>
      </w:pPr>
    </w:p>
    <w:p w:rsidR="009F22D2" w:rsidRDefault="009F22D2">
      <w:pPr>
        <w:pStyle w:val="Body"/>
        <w:rPr>
          <w:rFonts w:ascii="Bodoni SvtyTwo OS ITC TT-Book" w:eastAsia="Bodoni SvtyTwo OS ITC TT-Book" w:hAnsi="Bodoni SvtyTwo OS ITC TT-Book" w:cs="Bodoni SvtyTwo OS ITC TT-Book"/>
        </w:rPr>
      </w:pPr>
    </w:p>
    <w:p w:rsidR="009F22D2" w:rsidRDefault="009F22D2">
      <w:pPr>
        <w:pStyle w:val="Body"/>
        <w:rPr>
          <w:rFonts w:ascii="Bodoni SvtyTwo OS ITC TT-Book" w:eastAsia="Bodoni SvtyTwo OS ITC TT-Book" w:hAnsi="Bodoni SvtyTwo OS ITC TT-Book" w:cs="Bodoni SvtyTwo OS ITC TT-Book"/>
        </w:rPr>
      </w:pPr>
    </w:p>
    <w:p w:rsidR="009F22D2" w:rsidRDefault="009F22D2">
      <w:pPr>
        <w:pStyle w:val="Body"/>
        <w:rPr>
          <w:rFonts w:ascii="Bodoni SvtyTwo OS ITC TT-Book" w:eastAsia="Bodoni SvtyTwo OS ITC TT-Book" w:hAnsi="Bodoni SvtyTwo OS ITC TT-Book" w:cs="Bodoni SvtyTwo OS ITC TT-Book"/>
        </w:rPr>
      </w:pPr>
    </w:p>
    <w:p w:rsidR="009F22D2" w:rsidRDefault="009F22D2">
      <w:pPr>
        <w:pStyle w:val="Body"/>
        <w:rPr>
          <w:rFonts w:ascii="Bodoni SvtyTwo OS ITC TT-BookIt" w:eastAsia="Bodoni SvtyTwo OS ITC TT-BookIt" w:hAnsi="Bodoni SvtyTwo OS ITC TT-BookIt" w:cs="Bodoni SvtyTwo OS ITC TT-BookIt"/>
        </w:rPr>
      </w:pPr>
    </w:p>
    <w:p w:rsidR="009F22D2" w:rsidRPr="00030275" w:rsidRDefault="00030275" w:rsidP="00030275">
      <w:pPr>
        <w:pStyle w:val="Heading"/>
        <w:jc w:val="center"/>
        <w:rPr>
          <w:rFonts w:ascii="Bodoni SvtyTwo OS ITC TT-Book" w:eastAsia="Bodoni SvtyTwo OS ITC TT-Book" w:hAnsi="Bodoni SvtyTwo OS ITC TT-Book" w:cs="Bodoni SvtyTwo OS ITC TT-Book"/>
          <w:b w:val="0"/>
          <w:bCs w:val="0"/>
          <w:color w:val="FF9300"/>
          <w:sz w:val="38"/>
          <w:szCs w:val="38"/>
        </w:rPr>
      </w:pPr>
      <w:r>
        <w:rPr>
          <w:rFonts w:ascii="Arial Unicode MS" w:hAnsi="Arial Unicode MS"/>
          <w:b w:val="0"/>
          <w:bCs w:val="0"/>
          <w:color w:val="FF9300"/>
          <w:sz w:val="38"/>
          <w:szCs w:val="38"/>
        </w:rPr>
        <w:lastRenderedPageBreak/>
        <w:t>❖</w:t>
      </w:r>
    </w:p>
    <w:p w:rsidR="009F22D2" w:rsidRDefault="006D4BB9">
      <w:pPr>
        <w:pStyle w:val="Subtitle"/>
        <w:jc w:val="center"/>
        <w:rPr>
          <w:rFonts w:ascii="Bodoni SvtyTwo OS ITC TT-BookIt" w:hAnsi="Bodoni SvtyTwo OS ITC TT-BookIt"/>
          <w:i/>
          <w:color w:val="5E5E5E"/>
          <w:sz w:val="36"/>
          <w:szCs w:val="32"/>
        </w:rPr>
      </w:pPr>
      <w:r w:rsidRPr="00030275">
        <w:rPr>
          <w:rFonts w:ascii="Bodoni SvtyTwo OS ITC TT-BookIt" w:hAnsi="Bodoni SvtyTwo OS ITC TT-BookIt"/>
          <w:i/>
          <w:color w:val="5E5E5E"/>
          <w:sz w:val="36"/>
          <w:szCs w:val="32"/>
        </w:rPr>
        <w:t xml:space="preserve">Research Proposal </w:t>
      </w:r>
    </w:p>
    <w:p w:rsidR="00030275" w:rsidRPr="00030275" w:rsidRDefault="00030275" w:rsidP="00030275">
      <w:pPr>
        <w:pStyle w:val="Body"/>
      </w:pPr>
    </w:p>
    <w:p w:rsidR="009F22D2" w:rsidRPr="00030275" w:rsidRDefault="006D4BB9">
      <w:pPr>
        <w:pStyle w:val="Body"/>
        <w:jc w:val="both"/>
        <w:rPr>
          <w:rFonts w:ascii="Bodoni SvtyTwo OS ITC TT-BookIt" w:eastAsia="Bodoni SvtyTwo OS ITC TT-BookIt" w:hAnsi="Bodoni SvtyTwo OS ITC TT-BookIt" w:cs="Bodoni SvtyTwo OS ITC TT-BookIt"/>
          <w:i/>
        </w:rPr>
      </w:pPr>
      <w:r w:rsidRPr="00030275">
        <w:rPr>
          <w:rFonts w:ascii="Bodoni SvtyTwo OS ITC TT-BookIt" w:hAnsi="Bodoni SvtyTwo OS ITC TT-BookIt"/>
          <w:i/>
        </w:rPr>
        <w:t xml:space="preserve">For my project I initially set out to see how law codes </w:t>
      </w:r>
      <w:r w:rsidRPr="00030275">
        <w:rPr>
          <w:rFonts w:ascii="Bodoni SvtyTwo OS ITC TT-BookIt" w:hAnsi="Bodoni SvtyTwo OS ITC TT-BookIt"/>
          <w:i/>
        </w:rPr>
        <w:t xml:space="preserve">aided a </w:t>
      </w:r>
      <w:proofErr w:type="spellStart"/>
      <w:r w:rsidRPr="00030275">
        <w:rPr>
          <w:rFonts w:ascii="Bodoni SvtyTwo OS ITC TT-BookIt" w:hAnsi="Bodoni SvtyTwo OS ITC TT-BookIt"/>
          <w:i/>
        </w:rPr>
        <w:t>civilisation</w:t>
      </w:r>
      <w:r w:rsidRPr="00030275">
        <w:rPr>
          <w:rFonts w:ascii="Bodoni SvtyTwo OS ITC TT-BookIt" w:hAnsi="Bodoni SvtyTwo OS ITC TT-BookIt"/>
          <w:i/>
        </w:rPr>
        <w:t>’</w:t>
      </w:r>
      <w:r w:rsidRPr="00030275">
        <w:rPr>
          <w:rFonts w:ascii="Bodoni SvtyTwo OS ITC TT-BookIt" w:hAnsi="Bodoni SvtyTwo OS ITC TT-BookIt"/>
          <w:i/>
        </w:rPr>
        <w:t>s</w:t>
      </w:r>
      <w:proofErr w:type="spellEnd"/>
      <w:r w:rsidRPr="00030275">
        <w:rPr>
          <w:rFonts w:ascii="Bodoni SvtyTwo OS ITC TT-BookIt" w:hAnsi="Bodoni SvtyTwo OS ITC TT-BookIt"/>
          <w:i/>
        </w:rPr>
        <w:t xml:space="preserve"> success, pertaining to the Code of Hammurabi and Mesopotamia. My first problem arose when I sought to quantify the success of a </w:t>
      </w:r>
      <w:proofErr w:type="spellStart"/>
      <w:r w:rsidRPr="00030275">
        <w:rPr>
          <w:rFonts w:ascii="Bodoni SvtyTwo OS ITC TT-BookIt" w:hAnsi="Bodoni SvtyTwo OS ITC TT-BookIt"/>
          <w:i/>
        </w:rPr>
        <w:t>civilisation</w:t>
      </w:r>
      <w:proofErr w:type="spellEnd"/>
      <w:r w:rsidRPr="00030275">
        <w:rPr>
          <w:rFonts w:ascii="Bodoni SvtyTwo OS ITC TT-BookIt" w:hAnsi="Bodoni SvtyTwo OS ITC TT-BookIt"/>
          <w:i/>
        </w:rPr>
        <w:t xml:space="preserve"> and then apply it to Mesopotamia. The difficulty was a flawed perception of the Near East, i</w:t>
      </w:r>
      <w:r w:rsidRPr="00030275">
        <w:rPr>
          <w:rFonts w:ascii="Bodoni SvtyTwo OS ITC TT-BookIt" w:hAnsi="Bodoni SvtyTwo OS ITC TT-BookIt"/>
          <w:i/>
        </w:rPr>
        <w:t xml:space="preserve">n which many academic papers </w:t>
      </w:r>
      <w:proofErr w:type="spellStart"/>
      <w:r w:rsidRPr="00030275">
        <w:rPr>
          <w:rFonts w:ascii="Bodoni SvtyTwo OS ITC TT-BookIt" w:hAnsi="Bodoni SvtyTwo OS ITC TT-BookIt"/>
          <w:i/>
        </w:rPr>
        <w:t>generalise</w:t>
      </w:r>
      <w:proofErr w:type="spellEnd"/>
      <w:r w:rsidRPr="00030275">
        <w:rPr>
          <w:rFonts w:ascii="Bodoni SvtyTwo OS ITC TT-BookIt" w:hAnsi="Bodoni SvtyTwo OS ITC TT-BookIt"/>
          <w:i/>
        </w:rPr>
        <w:t xml:space="preserve"> the region under </w:t>
      </w:r>
      <w:r w:rsidRPr="00030275">
        <w:rPr>
          <w:rFonts w:ascii="Bodoni SvtyTwo OS ITC TT-BookIt" w:hAnsi="Bodoni SvtyTwo OS ITC TT-BookIt"/>
          <w:i/>
        </w:rPr>
        <w:t>‘</w:t>
      </w:r>
      <w:r w:rsidRPr="00030275">
        <w:rPr>
          <w:rFonts w:ascii="Bodoni SvtyTwo OS ITC TT-BookIt" w:hAnsi="Bodoni SvtyTwo OS ITC TT-BookIt"/>
          <w:i/>
        </w:rPr>
        <w:t>Mesopotamia</w:t>
      </w:r>
      <w:r w:rsidRPr="00030275">
        <w:rPr>
          <w:rFonts w:ascii="Bodoni SvtyTwo OS ITC TT-BookIt" w:hAnsi="Bodoni SvtyTwo OS ITC TT-BookIt"/>
          <w:i/>
        </w:rPr>
        <w:t>’</w:t>
      </w:r>
      <w:r w:rsidRPr="00030275">
        <w:rPr>
          <w:rFonts w:ascii="Bodoni SvtyTwo OS ITC TT-BookIt" w:hAnsi="Bodoni SvtyTwo OS ITC TT-BookIt"/>
          <w:i/>
        </w:rPr>
        <w:t xml:space="preserve">, this is impossible to do due the lack of a central government for the </w:t>
      </w:r>
      <w:proofErr w:type="gramStart"/>
      <w:r w:rsidRPr="00030275">
        <w:rPr>
          <w:rFonts w:ascii="Bodoni SvtyTwo OS ITC TT-BookIt" w:hAnsi="Bodoni SvtyTwo OS ITC TT-BookIt"/>
          <w:i/>
        </w:rPr>
        <w:t>whole  of</w:t>
      </w:r>
      <w:proofErr w:type="gramEnd"/>
      <w:r w:rsidRPr="00030275">
        <w:rPr>
          <w:rFonts w:ascii="Bodoni SvtyTwo OS ITC TT-BookIt" w:hAnsi="Bodoni SvtyTwo OS ITC TT-BookIt"/>
          <w:i/>
        </w:rPr>
        <w:t xml:space="preserve"> Mesopotamia. Regional divisions meant any empires were short lived and self-contained in parts of the Ne</w:t>
      </w:r>
      <w:r w:rsidRPr="00030275">
        <w:rPr>
          <w:rFonts w:ascii="Bodoni SvtyTwo OS ITC TT-BookIt" w:hAnsi="Bodoni SvtyTwo OS ITC TT-BookIt"/>
          <w:i/>
        </w:rPr>
        <w:t>ar East (</w:t>
      </w:r>
      <w:proofErr w:type="spellStart"/>
      <w:r w:rsidRPr="00030275">
        <w:rPr>
          <w:rFonts w:ascii="Bodoni SvtyTwo OS ITC TT-BookIt" w:hAnsi="Bodoni SvtyTwo OS ITC TT-BookIt"/>
          <w:i/>
        </w:rPr>
        <w:t>Tainter</w:t>
      </w:r>
      <w:proofErr w:type="spellEnd"/>
      <w:r w:rsidRPr="00030275">
        <w:rPr>
          <w:rFonts w:ascii="Bodoni SvtyTwo OS ITC TT-BookIt" w:hAnsi="Bodoni SvtyTwo OS ITC TT-BookIt"/>
          <w:i/>
        </w:rPr>
        <w:t>, 1988).  I therefore wanted to deconstruct the idea of Mesopotamia as united region; instead I propose that from the perspective of my research, it should be seen as a collection of states that each rose to dominate over the other, consequ</w:t>
      </w:r>
      <w:r w:rsidRPr="00030275">
        <w:rPr>
          <w:rFonts w:ascii="Bodoni SvtyTwo OS ITC TT-BookIt" w:hAnsi="Bodoni SvtyTwo OS ITC TT-BookIt"/>
          <w:i/>
        </w:rPr>
        <w:t xml:space="preserve">ently it could not be regarded as a </w:t>
      </w:r>
      <w:r w:rsidRPr="00030275">
        <w:rPr>
          <w:rFonts w:ascii="Bodoni SvtyTwo OS ITC TT-BookIt" w:hAnsi="Bodoni SvtyTwo OS ITC TT-BookIt"/>
          <w:i/>
        </w:rPr>
        <w:t>‘</w:t>
      </w:r>
      <w:r w:rsidRPr="00030275">
        <w:rPr>
          <w:rFonts w:ascii="Bodoni SvtyTwo OS ITC TT-BookIt" w:hAnsi="Bodoni SvtyTwo OS ITC TT-BookIt"/>
          <w:i/>
        </w:rPr>
        <w:t>whole</w:t>
      </w:r>
      <w:r w:rsidRPr="00030275">
        <w:rPr>
          <w:rFonts w:ascii="Bodoni SvtyTwo OS ITC TT-BookIt" w:hAnsi="Bodoni SvtyTwo OS ITC TT-BookIt"/>
          <w:i/>
        </w:rPr>
        <w:t>’</w:t>
      </w:r>
      <w:r w:rsidRPr="00030275">
        <w:rPr>
          <w:rFonts w:ascii="Bodoni SvtyTwo OS ITC TT-BookIt" w:hAnsi="Bodoni SvtyTwo OS ITC TT-BookIt"/>
          <w:i/>
        </w:rPr>
        <w:t xml:space="preserve">. In order to do this I chose to focus on specific case studies of the Law Codes of individual kings and their potential effects on their dynasties, thus I researched the individual cases of </w:t>
      </w:r>
      <w:proofErr w:type="spellStart"/>
      <w:r w:rsidRPr="00030275">
        <w:rPr>
          <w:rFonts w:ascii="Bodoni SvtyTwo OS ITC TT-BookIt" w:hAnsi="Bodoni SvtyTwo OS ITC TT-BookIt"/>
          <w:i/>
        </w:rPr>
        <w:t>Lipit</w:t>
      </w:r>
      <w:proofErr w:type="spellEnd"/>
      <w:r w:rsidRPr="00030275">
        <w:rPr>
          <w:rFonts w:ascii="Bodoni SvtyTwo OS ITC TT-BookIt" w:hAnsi="Bodoni SvtyTwo OS ITC TT-BookIt"/>
          <w:i/>
        </w:rPr>
        <w:t>-Ishtar and Hammu</w:t>
      </w:r>
      <w:r w:rsidRPr="00030275">
        <w:rPr>
          <w:rFonts w:ascii="Bodoni SvtyTwo OS ITC TT-BookIt" w:hAnsi="Bodoni SvtyTwo OS ITC TT-BookIt"/>
          <w:i/>
        </w:rPr>
        <w:t>rabi for comparison, with an emphasis on the latter. I used a variety of academic texts on both Mesopotamian Archaeology as well as Historical Anthropology as well as further reading of translations of each Law Code, with a particular focus on Prologues an</w:t>
      </w:r>
      <w:r w:rsidRPr="00030275">
        <w:rPr>
          <w:rFonts w:ascii="Bodoni SvtyTwo OS ITC TT-BookIt" w:hAnsi="Bodoni SvtyTwo OS ITC TT-BookIt"/>
          <w:i/>
        </w:rPr>
        <w:t xml:space="preserve">d Epilogues. I wanted to look at the social implications </w:t>
      </w:r>
      <w:proofErr w:type="gramStart"/>
      <w:r w:rsidRPr="00030275">
        <w:rPr>
          <w:rFonts w:ascii="Bodoni SvtyTwo OS ITC TT-BookIt" w:hAnsi="Bodoni SvtyTwo OS ITC TT-BookIt"/>
          <w:i/>
        </w:rPr>
        <w:t>of such a texts, why they were written,</w:t>
      </w:r>
      <w:proofErr w:type="gramEnd"/>
      <w:r w:rsidRPr="00030275">
        <w:rPr>
          <w:rFonts w:ascii="Bodoni SvtyTwo OS ITC TT-BookIt" w:hAnsi="Bodoni SvtyTwo OS ITC TT-BookIt"/>
          <w:i/>
        </w:rPr>
        <w:t xml:space="preserve"> what that reflected of society at the time and how it was used, ultimately to assess in what way it contributed to success, deriving my measurement from Gordon</w:t>
      </w:r>
      <w:r w:rsidRPr="00030275">
        <w:rPr>
          <w:rFonts w:ascii="Bodoni SvtyTwo OS ITC TT-BookIt" w:hAnsi="Bodoni SvtyTwo OS ITC TT-BookIt"/>
          <w:i/>
        </w:rPr>
        <w:t xml:space="preserve"> V. Childe (1936). My interest came from my consideration of law to be a highly sophisticated tool of social </w:t>
      </w:r>
      <w:proofErr w:type="spellStart"/>
      <w:r w:rsidRPr="00030275">
        <w:rPr>
          <w:rFonts w:ascii="Bodoni SvtyTwo OS ITC TT-BookIt" w:hAnsi="Bodoni SvtyTwo OS ITC TT-BookIt"/>
          <w:i/>
        </w:rPr>
        <w:t>organisation</w:t>
      </w:r>
      <w:proofErr w:type="spellEnd"/>
      <w:r w:rsidRPr="00030275">
        <w:rPr>
          <w:rFonts w:ascii="Bodoni SvtyTwo OS ITC TT-BookIt" w:hAnsi="Bodoni SvtyTwo OS ITC TT-BookIt"/>
          <w:i/>
        </w:rPr>
        <w:t xml:space="preserve">, perceived to be a modern </w:t>
      </w:r>
      <w:proofErr w:type="gramStart"/>
      <w:r w:rsidRPr="00030275">
        <w:rPr>
          <w:rFonts w:ascii="Bodoni SvtyTwo OS ITC TT-BookIt" w:hAnsi="Bodoni SvtyTwo OS ITC TT-BookIt"/>
          <w:i/>
        </w:rPr>
        <w:t>invention,</w:t>
      </w:r>
      <w:proofErr w:type="gramEnd"/>
      <w:r w:rsidRPr="00030275">
        <w:rPr>
          <w:rFonts w:ascii="Bodoni SvtyTwo OS ITC TT-BookIt" w:hAnsi="Bodoni SvtyTwo OS ITC TT-BookIt"/>
          <w:i/>
        </w:rPr>
        <w:t xml:space="preserve"> I was therefore intrigued by what role the Law would have to play in the ancient world. </w:t>
      </w:r>
    </w:p>
    <w:p w:rsidR="009F22D2" w:rsidRDefault="006D4BB9">
      <w:pPr>
        <w:pStyle w:val="Heading"/>
        <w:jc w:val="center"/>
        <w:rPr>
          <w:rFonts w:ascii="Arial Unicode MS" w:hAnsi="Arial Unicode MS"/>
          <w:b w:val="0"/>
          <w:bCs w:val="0"/>
          <w:color w:val="FF9300"/>
          <w:sz w:val="32"/>
          <w:szCs w:val="32"/>
        </w:rPr>
      </w:pPr>
      <w:r>
        <w:rPr>
          <w:rFonts w:ascii="Arial Unicode MS" w:hAnsi="Arial Unicode MS"/>
          <w:b w:val="0"/>
          <w:bCs w:val="0"/>
          <w:color w:val="FF9300"/>
          <w:sz w:val="32"/>
          <w:szCs w:val="32"/>
        </w:rPr>
        <w:t>❖</w:t>
      </w:r>
    </w:p>
    <w:p w:rsidR="00030275" w:rsidRPr="00030275" w:rsidRDefault="00030275" w:rsidP="00030275">
      <w:pPr>
        <w:pStyle w:val="Body"/>
      </w:pPr>
    </w:p>
    <w:p w:rsidR="009F22D2" w:rsidRDefault="006D4BB9">
      <w:pPr>
        <w:pStyle w:val="Body"/>
        <w:jc w:val="center"/>
        <w:rPr>
          <w:rFonts w:ascii="Bodoni SvtyTwo OS ITC TT-BookIt" w:hAnsi="Bodoni SvtyTwo OS ITC TT-BookIt"/>
          <w:i/>
          <w:color w:val="5E5E5E"/>
          <w:sz w:val="32"/>
          <w:szCs w:val="30"/>
        </w:rPr>
      </w:pPr>
      <w:r w:rsidRPr="00030275">
        <w:rPr>
          <w:rFonts w:ascii="Bodoni SvtyTwo OS ITC TT-BookIt" w:hAnsi="Bodoni SvtyTwo OS ITC TT-BookIt"/>
          <w:i/>
          <w:color w:val="5E5E5E"/>
          <w:sz w:val="32"/>
          <w:szCs w:val="30"/>
        </w:rPr>
        <w:t>Literary Review</w:t>
      </w:r>
    </w:p>
    <w:p w:rsidR="00030275" w:rsidRPr="00030275" w:rsidRDefault="00030275">
      <w:pPr>
        <w:pStyle w:val="Body"/>
        <w:jc w:val="center"/>
        <w:rPr>
          <w:rFonts w:ascii="Bodoni SvtyTwo OS ITC TT-BookIt" w:eastAsia="Bodoni SvtyTwo OS ITC TT-BookIt" w:hAnsi="Bodoni SvtyTwo OS ITC TT-BookIt" w:cs="Bodoni SvtyTwo OS ITC TT-BookIt"/>
          <w:i/>
          <w:color w:val="5E5E5E"/>
          <w:sz w:val="32"/>
          <w:szCs w:val="30"/>
        </w:rPr>
      </w:pPr>
    </w:p>
    <w:p w:rsidR="009F22D2" w:rsidRDefault="006D4BB9">
      <w:pPr>
        <w:pStyle w:val="Body"/>
        <w:jc w:val="both"/>
        <w:rPr>
          <w:rFonts w:ascii="Bodoni SvtyTwo OS ITC TT-Book" w:eastAsia="Bodoni SvtyTwo OS ITC TT-Book" w:hAnsi="Bodoni SvtyTwo OS ITC TT-Book" w:cs="Bodoni SvtyTwo OS ITC TT-Book"/>
        </w:rPr>
      </w:pPr>
      <w:r>
        <w:rPr>
          <w:rFonts w:ascii="Bodoni SvtyTwo OS ITC TT-Book" w:hAnsi="Bodoni SvtyTwo OS ITC TT-Book"/>
        </w:rPr>
        <w:t xml:space="preserve">Before </w:t>
      </w:r>
      <w:proofErr w:type="spellStart"/>
      <w:r>
        <w:rPr>
          <w:rFonts w:ascii="Bodoni SvtyTwo OS ITC TT-Book" w:hAnsi="Bodoni SvtyTwo OS ITC TT-Book"/>
        </w:rPr>
        <w:t>summarising</w:t>
      </w:r>
      <w:proofErr w:type="spellEnd"/>
      <w:r>
        <w:rPr>
          <w:rFonts w:ascii="Bodoni SvtyTwo OS ITC TT-Book" w:hAnsi="Bodoni SvtyTwo OS ITC TT-Book"/>
        </w:rPr>
        <w:t xml:space="preserve"> my results I would first like to critically asses the field in which my research sits, as upon my investigation I came across many limitations in Mesopotamian Archaeology. Firstly there appears to be a bias towards the St</w:t>
      </w:r>
      <w:r>
        <w:rPr>
          <w:rFonts w:ascii="Bodoni SvtyTwo OS ITC TT-Book" w:hAnsi="Bodoni SvtyTwo OS ITC TT-Book"/>
        </w:rPr>
        <w:t>ele of Hammurabi, which I admit is reflected in my work due to the availability of theory and resources. This is for many reasons; firstly, it is one of the most complete texts, as well as having been better preserved in general it is also the most aesthet</w:t>
      </w:r>
      <w:r>
        <w:rPr>
          <w:rFonts w:ascii="Bodoni SvtyTwo OS ITC TT-Book" w:hAnsi="Bodoni SvtyTwo OS ITC TT-Book"/>
        </w:rPr>
        <w:t>ically pleasing, which I believe may be evidence of the other bias in antiquity scholarship: elitism. It can be suggested that most archaeologists from the 19</w:t>
      </w:r>
      <w:r>
        <w:rPr>
          <w:rFonts w:ascii="Bodoni SvtyTwo OS ITC TT-Book" w:hAnsi="Bodoni SvtyTwo OS ITC TT-Book"/>
          <w:vertAlign w:val="superscript"/>
        </w:rPr>
        <w:t>th</w:t>
      </w:r>
      <w:r>
        <w:rPr>
          <w:rFonts w:ascii="Bodoni SvtyTwo OS ITC TT-Book" w:hAnsi="Bodoni SvtyTwo OS ITC TT-Book"/>
        </w:rPr>
        <w:t xml:space="preserve"> and early 20</w:t>
      </w:r>
      <w:r>
        <w:rPr>
          <w:rFonts w:ascii="Bodoni SvtyTwo OS ITC TT-Book" w:hAnsi="Bodoni SvtyTwo OS ITC TT-Book"/>
          <w:vertAlign w:val="superscript"/>
        </w:rPr>
        <w:t>th</w:t>
      </w:r>
      <w:r>
        <w:rPr>
          <w:rFonts w:ascii="Bodoni SvtyTwo OS ITC TT-Book" w:hAnsi="Bodoni SvtyTwo OS ITC TT-Book"/>
        </w:rPr>
        <w:t xml:space="preserve"> century were more drawn to </w:t>
      </w:r>
      <w:proofErr w:type="spellStart"/>
      <w:r>
        <w:rPr>
          <w:rFonts w:ascii="Bodoni SvtyTwo OS ITC TT-Book" w:hAnsi="Bodoni SvtyTwo OS ITC TT-Book"/>
        </w:rPr>
        <w:t>artefacts</w:t>
      </w:r>
      <w:proofErr w:type="spellEnd"/>
      <w:r>
        <w:rPr>
          <w:rFonts w:ascii="Bodoni SvtyTwo OS ITC TT-Book" w:hAnsi="Bodoni SvtyTwo OS ITC TT-Book"/>
        </w:rPr>
        <w:t xml:space="preserve"> that were of a higher </w:t>
      </w:r>
      <w:proofErr w:type="spellStart"/>
      <w:r>
        <w:rPr>
          <w:rFonts w:ascii="Bodoni SvtyTwo OS ITC TT-Book" w:hAnsi="Bodoni SvtyTwo OS ITC TT-Book"/>
        </w:rPr>
        <w:t>calibre</w:t>
      </w:r>
      <w:proofErr w:type="spellEnd"/>
      <w:r>
        <w:rPr>
          <w:rFonts w:ascii="Bodoni SvtyTwo OS ITC TT-Book" w:hAnsi="Bodoni SvtyTwo OS ITC TT-Book"/>
        </w:rPr>
        <w:t xml:space="preserve"> of craftsmans</w:t>
      </w:r>
      <w:r>
        <w:rPr>
          <w:rFonts w:ascii="Bodoni SvtyTwo OS ITC TT-Book" w:hAnsi="Bodoni SvtyTwo OS ITC TT-Book"/>
        </w:rPr>
        <w:t xml:space="preserve">hip and material value, thus overlooking other </w:t>
      </w:r>
      <w:proofErr w:type="spellStart"/>
      <w:r>
        <w:rPr>
          <w:rFonts w:ascii="Bodoni SvtyTwo OS ITC TT-Book" w:hAnsi="Bodoni SvtyTwo OS ITC TT-Book"/>
        </w:rPr>
        <w:t>artefacts</w:t>
      </w:r>
      <w:proofErr w:type="spellEnd"/>
      <w:r>
        <w:rPr>
          <w:rFonts w:ascii="Bodoni SvtyTwo OS ITC TT-Book" w:hAnsi="Bodoni SvtyTwo OS ITC TT-Book"/>
        </w:rPr>
        <w:t xml:space="preserve"> that held more intellectual value. A prime example of this is the Code of </w:t>
      </w:r>
      <w:proofErr w:type="spellStart"/>
      <w:r>
        <w:rPr>
          <w:rFonts w:ascii="Bodoni SvtyTwo OS ITC TT-Book" w:hAnsi="Bodoni SvtyTwo OS ITC TT-Book"/>
        </w:rPr>
        <w:t>Lipit</w:t>
      </w:r>
      <w:proofErr w:type="spellEnd"/>
      <w:r>
        <w:rPr>
          <w:rFonts w:ascii="Bodoni SvtyTwo OS ITC TT-Book" w:hAnsi="Bodoni SvtyTwo OS ITC TT-Book"/>
        </w:rPr>
        <w:t xml:space="preserve">-Ishtar that was discovered 3 years prior to the Stele of Hammurabi but was not translated and published until the late </w:t>
      </w:r>
      <w:r>
        <w:rPr>
          <w:rFonts w:ascii="Bodoni SvtyTwo OS ITC TT-Book" w:hAnsi="Bodoni SvtyTwo OS ITC TT-Book"/>
        </w:rPr>
        <w:t>1920s</w:t>
      </w:r>
      <w:r>
        <w:rPr>
          <w:rFonts w:ascii="Bodoni SvtyTwo OS ITC TT-Book" w:eastAsia="Bodoni SvtyTwo OS ITC TT-Book" w:hAnsi="Bodoni SvtyTwo OS ITC TT-Book" w:cs="Bodoni SvtyTwo OS ITC TT-Book"/>
          <w:vertAlign w:val="superscript"/>
        </w:rPr>
        <w:footnoteReference w:id="2"/>
      </w:r>
      <w:r>
        <w:rPr>
          <w:rFonts w:ascii="Bodoni SvtyTwo OS ITC TT-Book" w:hAnsi="Bodoni SvtyTwo OS ITC TT-Book"/>
        </w:rPr>
        <w:t>, leading to many misconceptions in the field of Mesopotamian archaeology due to the misrepresentation of Law Codes. This misrepresentation is exacerbated by the largely dated literature in this field, such as Steele</w:t>
      </w:r>
      <w:r>
        <w:rPr>
          <w:rFonts w:ascii="Bodoni SvtyTwo OS ITC TT-Book" w:hAnsi="Bodoni SvtyTwo OS ITC TT-Book"/>
        </w:rPr>
        <w:t>’</w:t>
      </w:r>
      <w:r>
        <w:rPr>
          <w:rFonts w:ascii="Bodoni SvtyTwo OS ITC TT-Book" w:hAnsi="Bodoni SvtyTwo OS ITC TT-Book"/>
        </w:rPr>
        <w:t>s 1947 article</w:t>
      </w:r>
      <w:r>
        <w:rPr>
          <w:rFonts w:ascii="Bodoni SvtyTwo OS ITC TT-Book" w:eastAsia="Bodoni SvtyTwo OS ITC TT-Book" w:hAnsi="Bodoni SvtyTwo OS ITC TT-Book" w:cs="Bodoni SvtyTwo OS ITC TT-Book"/>
          <w:vertAlign w:val="superscript"/>
        </w:rPr>
        <w:footnoteReference w:id="3"/>
      </w:r>
      <w:r>
        <w:rPr>
          <w:rFonts w:ascii="Bodoni SvtyTwo OS ITC TT-Book" w:hAnsi="Bodoni SvtyTwo OS ITC TT-Book"/>
        </w:rPr>
        <w:t>, with many papers</w:t>
      </w:r>
      <w:r>
        <w:rPr>
          <w:rFonts w:ascii="Bodoni SvtyTwo OS ITC TT-Book" w:hAnsi="Bodoni SvtyTwo OS ITC TT-Book"/>
        </w:rPr>
        <w:t xml:space="preserve"> published or relying on their predecessors that have since been proven to offer an incomplete understanding of Mesopotamia. Nonetheless it is this academia that has fuelled many attitudes still applied today. Finally I would like to comment on the current</w:t>
      </w:r>
      <w:r>
        <w:rPr>
          <w:rFonts w:ascii="Bodoni SvtyTwo OS ITC TT-Book" w:hAnsi="Bodoni SvtyTwo OS ITC TT-Book"/>
        </w:rPr>
        <w:t xml:space="preserve"> difficulties in researching Mesopotamian sites due to political tensions in the East, these limitations have caused a reliance on previous discoveries that were not always properly published. It also leaves many theories unproven, such as locating the ste</w:t>
      </w:r>
      <w:r>
        <w:rPr>
          <w:rFonts w:ascii="Bodoni SvtyTwo OS ITC TT-Book" w:hAnsi="Bodoni SvtyTwo OS ITC TT-Book"/>
        </w:rPr>
        <w:t xml:space="preserve">le of </w:t>
      </w:r>
      <w:proofErr w:type="spellStart"/>
      <w:r>
        <w:rPr>
          <w:rFonts w:ascii="Bodoni SvtyTwo OS ITC TT-Book" w:hAnsi="Bodoni SvtyTwo OS ITC TT-Book"/>
        </w:rPr>
        <w:t>Lipit</w:t>
      </w:r>
      <w:proofErr w:type="spellEnd"/>
      <w:r>
        <w:rPr>
          <w:rFonts w:ascii="Bodoni SvtyTwo OS ITC TT-Book" w:hAnsi="Bodoni SvtyTwo OS ITC TT-Book"/>
        </w:rPr>
        <w:t xml:space="preserve">-Ishtar referenced by the tablet which might still be undiscovered in </w:t>
      </w:r>
      <w:proofErr w:type="spellStart"/>
      <w:r>
        <w:rPr>
          <w:rFonts w:ascii="Bodoni SvtyTwo OS ITC TT-Book" w:hAnsi="Bodoni SvtyTwo OS ITC TT-Book"/>
        </w:rPr>
        <w:t>Isin</w:t>
      </w:r>
      <w:proofErr w:type="spellEnd"/>
      <w:r>
        <w:rPr>
          <w:rFonts w:ascii="Bodoni SvtyTwo OS ITC TT-Book" w:hAnsi="Bodoni SvtyTwo OS ITC TT-Book"/>
        </w:rPr>
        <w:t xml:space="preserve"> (Steele, 1947.) </w:t>
      </w:r>
    </w:p>
    <w:p w:rsidR="009F22D2" w:rsidRDefault="006D4BB9">
      <w:pPr>
        <w:pStyle w:val="Body"/>
        <w:jc w:val="both"/>
        <w:rPr>
          <w:rFonts w:ascii="Bodoni SvtyTwo OS ITC TT-Book" w:eastAsia="Bodoni SvtyTwo OS ITC TT-Book" w:hAnsi="Bodoni SvtyTwo OS ITC TT-Book" w:cs="Bodoni SvtyTwo OS ITC TT-Book"/>
        </w:rPr>
      </w:pPr>
      <w:r>
        <w:rPr>
          <w:rFonts w:ascii="Bodoni SvtyTwo OS ITC TT-Book" w:eastAsia="Bodoni SvtyTwo OS ITC TT-Book" w:hAnsi="Bodoni SvtyTwo OS ITC TT-Book" w:cs="Bodoni SvtyTwo OS ITC TT-Book"/>
        </w:rPr>
        <w:tab/>
        <w:t>Despite the above many shortcomings, there were also many useful resources that provided insight into Mesopotamian culture which helped apply the deeper</w:t>
      </w:r>
      <w:r>
        <w:rPr>
          <w:rFonts w:ascii="Bodoni SvtyTwo OS ITC TT-Book" w:eastAsia="Bodoni SvtyTwo OS ITC TT-Book" w:hAnsi="Bodoni SvtyTwo OS ITC TT-Book" w:cs="Bodoni SvtyTwo OS ITC TT-Book"/>
        </w:rPr>
        <w:t xml:space="preserve"> connotations of Law codes. One article in particular, </w:t>
      </w:r>
      <w:r>
        <w:rPr>
          <w:rFonts w:ascii="Bodoni SvtyTwo OS ITC TT-Book" w:hAnsi="Bodoni SvtyTwo OS ITC TT-Book"/>
        </w:rPr>
        <w:t>“</w:t>
      </w:r>
      <w:r>
        <w:rPr>
          <w:rFonts w:ascii="Bodoni SvtyTwo OS ITC TT-Book" w:hAnsi="Bodoni SvtyTwo OS ITC TT-Book"/>
        </w:rPr>
        <w:t>Hammurabi</w:t>
      </w:r>
      <w:r>
        <w:rPr>
          <w:rFonts w:ascii="Bodoni SvtyTwo OS ITC TT-Book" w:hAnsi="Bodoni SvtyTwo OS ITC TT-Book"/>
        </w:rPr>
        <w:t>’</w:t>
      </w:r>
      <w:r>
        <w:rPr>
          <w:rFonts w:ascii="Bodoni SvtyTwo OS ITC TT-Book" w:hAnsi="Bodoni SvtyTwo OS ITC TT-Book"/>
        </w:rPr>
        <w:t>s Wronged Man</w:t>
      </w:r>
      <w:r>
        <w:rPr>
          <w:rFonts w:ascii="Bodoni SvtyTwo OS ITC TT-Book" w:hAnsi="Bodoni SvtyTwo OS ITC TT-Book"/>
        </w:rPr>
        <w:t xml:space="preserve">” </w:t>
      </w:r>
      <w:r>
        <w:rPr>
          <w:rFonts w:ascii="Bodoni SvtyTwo OS ITC TT-Book" w:hAnsi="Bodoni SvtyTwo OS ITC TT-Book"/>
        </w:rPr>
        <w:t>(Roth, 2002), helped direct my research to the benefits of the stele beyond the material results of fixed Law codes and to deeper cultural uses. Therefore I believe my researc</w:t>
      </w:r>
      <w:r>
        <w:rPr>
          <w:rFonts w:ascii="Bodoni SvtyTwo OS ITC TT-Book" w:hAnsi="Bodoni SvtyTwo OS ITC TT-Book"/>
        </w:rPr>
        <w:t xml:space="preserve">h has lead me into a very recent field of Historical Anthropology that looks at the social and psychological agency of </w:t>
      </w:r>
      <w:proofErr w:type="spellStart"/>
      <w:r>
        <w:rPr>
          <w:rFonts w:ascii="Bodoni SvtyTwo OS ITC TT-Book" w:hAnsi="Bodoni SvtyTwo OS ITC TT-Book"/>
        </w:rPr>
        <w:t>artefacts</w:t>
      </w:r>
      <w:proofErr w:type="spellEnd"/>
      <w:r>
        <w:rPr>
          <w:rFonts w:ascii="Bodoni SvtyTwo OS ITC TT-Book" w:hAnsi="Bodoni SvtyTwo OS ITC TT-Book"/>
        </w:rPr>
        <w:t xml:space="preserve">, often overlooked in </w:t>
      </w:r>
      <w:proofErr w:type="spellStart"/>
      <w:r>
        <w:rPr>
          <w:rFonts w:ascii="Bodoni SvtyTwo OS ITC TT-Book" w:hAnsi="Bodoni SvtyTwo OS ITC TT-Book"/>
        </w:rPr>
        <w:t>favour</w:t>
      </w:r>
      <w:proofErr w:type="spellEnd"/>
      <w:r>
        <w:rPr>
          <w:rFonts w:ascii="Bodoni SvtyTwo OS ITC TT-Book" w:hAnsi="Bodoni SvtyTwo OS ITC TT-Book"/>
        </w:rPr>
        <w:t xml:space="preserve"> of materialistic assessment. </w:t>
      </w:r>
    </w:p>
    <w:p w:rsidR="009F22D2" w:rsidRDefault="006D4BB9">
      <w:pPr>
        <w:pStyle w:val="Heading"/>
        <w:jc w:val="center"/>
        <w:rPr>
          <w:rFonts w:ascii="Arial Unicode MS" w:hAnsi="Arial Unicode MS"/>
          <w:b w:val="0"/>
          <w:bCs w:val="0"/>
          <w:color w:val="FF9300"/>
          <w:sz w:val="32"/>
          <w:szCs w:val="32"/>
        </w:rPr>
      </w:pPr>
      <w:r>
        <w:rPr>
          <w:rFonts w:ascii="Arial Unicode MS" w:hAnsi="Arial Unicode MS"/>
          <w:b w:val="0"/>
          <w:bCs w:val="0"/>
          <w:color w:val="FF9300"/>
          <w:sz w:val="32"/>
          <w:szCs w:val="32"/>
        </w:rPr>
        <w:lastRenderedPageBreak/>
        <w:t>❖</w:t>
      </w:r>
    </w:p>
    <w:p w:rsidR="00030275" w:rsidRPr="00030275" w:rsidRDefault="00030275" w:rsidP="00030275">
      <w:pPr>
        <w:pStyle w:val="Body"/>
      </w:pPr>
    </w:p>
    <w:p w:rsidR="009F22D2" w:rsidRDefault="006D4BB9">
      <w:pPr>
        <w:pStyle w:val="Body"/>
        <w:jc w:val="center"/>
        <w:rPr>
          <w:rFonts w:ascii="Bodoni SvtyTwo OS ITC TT-BookIt" w:hAnsi="Bodoni SvtyTwo OS ITC TT-BookIt"/>
          <w:color w:val="5E5E5E"/>
          <w:sz w:val="32"/>
          <w:szCs w:val="32"/>
        </w:rPr>
      </w:pPr>
      <w:r>
        <w:rPr>
          <w:rFonts w:ascii="Bodoni SvtyTwo OS ITC TT-BookIt" w:hAnsi="Bodoni SvtyTwo OS ITC TT-BookIt"/>
          <w:color w:val="5E5E5E"/>
          <w:sz w:val="32"/>
          <w:szCs w:val="32"/>
        </w:rPr>
        <w:t>Measuring Success</w:t>
      </w:r>
    </w:p>
    <w:p w:rsidR="00030275" w:rsidRDefault="00030275">
      <w:pPr>
        <w:pStyle w:val="Body"/>
        <w:jc w:val="center"/>
        <w:rPr>
          <w:rFonts w:ascii="Bodoni SvtyTwo OS ITC TT-BookIt" w:eastAsia="Bodoni SvtyTwo OS ITC TT-BookIt" w:hAnsi="Bodoni SvtyTwo OS ITC TT-BookIt" w:cs="Bodoni SvtyTwo OS ITC TT-BookIt"/>
          <w:color w:val="5E5E5E"/>
          <w:sz w:val="32"/>
          <w:szCs w:val="32"/>
        </w:rPr>
      </w:pPr>
    </w:p>
    <w:p w:rsidR="009F22D2" w:rsidRDefault="006D4BB9">
      <w:pPr>
        <w:pStyle w:val="Body"/>
        <w:jc w:val="both"/>
        <w:rPr>
          <w:rFonts w:ascii="Bodoni SvtyTwo OS ITC TT-Book" w:hAnsi="Bodoni SvtyTwo OS ITC TT-Book"/>
        </w:rPr>
      </w:pPr>
      <w:r>
        <w:rPr>
          <w:rFonts w:ascii="Bodoni SvtyTwo OS ITC TT-Book" w:hAnsi="Bodoni SvtyTwo OS ITC TT-Book"/>
        </w:rPr>
        <w:t xml:space="preserve">Childe proposed that the success of a </w:t>
      </w:r>
      <w:proofErr w:type="spellStart"/>
      <w:r>
        <w:rPr>
          <w:rFonts w:ascii="Bodoni SvtyTwo OS ITC TT-Book" w:hAnsi="Bodoni SvtyTwo OS ITC TT-Book"/>
        </w:rPr>
        <w:t>civilisation</w:t>
      </w:r>
      <w:proofErr w:type="spellEnd"/>
      <w:r>
        <w:rPr>
          <w:rFonts w:ascii="Bodoni SvtyTwo OS ITC TT-Book" w:hAnsi="Bodoni SvtyTwo OS ITC TT-Book"/>
        </w:rPr>
        <w:t xml:space="preserve"> can logically be measured by quantity, using population growth and technological advances; he </w:t>
      </w:r>
      <w:proofErr w:type="spellStart"/>
      <w:r>
        <w:rPr>
          <w:rFonts w:ascii="Bodoni SvtyTwo OS ITC TT-Book" w:hAnsi="Bodoni SvtyTwo OS ITC TT-Book"/>
        </w:rPr>
        <w:t>theorised</w:t>
      </w:r>
      <w:proofErr w:type="spellEnd"/>
      <w:r>
        <w:rPr>
          <w:rFonts w:ascii="Bodoni SvtyTwo OS ITC TT-Book" w:hAnsi="Bodoni SvtyTwo OS ITC TT-Book"/>
        </w:rPr>
        <w:t xml:space="preserve"> a </w:t>
      </w:r>
      <w:proofErr w:type="spellStart"/>
      <w:r>
        <w:rPr>
          <w:rFonts w:ascii="Bodoni SvtyTwo OS ITC TT-Book" w:hAnsi="Bodoni SvtyTwo OS ITC TT-Book"/>
        </w:rPr>
        <w:t>correlational</w:t>
      </w:r>
      <w:proofErr w:type="spellEnd"/>
      <w:r>
        <w:rPr>
          <w:rFonts w:ascii="Bodoni SvtyTwo OS ITC TT-Book" w:hAnsi="Bodoni SvtyTwo OS ITC TT-Book"/>
        </w:rPr>
        <w:t xml:space="preserve"> increase in both </w:t>
      </w:r>
      <w:proofErr w:type="spellStart"/>
      <w:r>
        <w:rPr>
          <w:rFonts w:ascii="Bodoni SvtyTwo OS ITC TT-Book" w:hAnsi="Bodoni SvtyTwo OS ITC TT-Book"/>
        </w:rPr>
        <w:t>signalled</w:t>
      </w:r>
      <w:proofErr w:type="spellEnd"/>
      <w:r>
        <w:rPr>
          <w:rFonts w:ascii="Bodoni SvtyTwo OS ITC TT-Book" w:hAnsi="Bodoni SvtyTwo OS ITC TT-Book"/>
        </w:rPr>
        <w:t xml:space="preserve"> </w:t>
      </w:r>
      <w:proofErr w:type="gramStart"/>
      <w:r>
        <w:rPr>
          <w:rFonts w:ascii="Bodoni SvtyTwo OS ITC TT-Book" w:hAnsi="Bodoni SvtyTwo OS ITC TT-Book"/>
        </w:rPr>
        <w:t>success(</w:t>
      </w:r>
      <w:proofErr w:type="spellStart"/>
      <w:proofErr w:type="gramEnd"/>
      <w:r>
        <w:rPr>
          <w:rFonts w:ascii="Bodoni SvtyTwo OS ITC TT-Book" w:hAnsi="Bodoni SvtyTwo OS ITC TT-Book"/>
        </w:rPr>
        <w:t>McNain</w:t>
      </w:r>
      <w:proofErr w:type="spellEnd"/>
      <w:r>
        <w:rPr>
          <w:rFonts w:ascii="Bodoni SvtyTwo OS ITC TT-Book" w:hAnsi="Bodoni SvtyTwo OS ITC TT-Book"/>
        </w:rPr>
        <w:t>, 1980). However, this assumption is very broad and cannot be applied to Mesopotam</w:t>
      </w:r>
      <w:r>
        <w:rPr>
          <w:rFonts w:ascii="Bodoni SvtyTwo OS ITC TT-Book" w:hAnsi="Bodoni SvtyTwo OS ITC TT-Book"/>
        </w:rPr>
        <w:t xml:space="preserve">ia, for most cases of accelerated population growth were swiftly followed by collapse of the </w:t>
      </w:r>
      <w:proofErr w:type="spellStart"/>
      <w:r>
        <w:rPr>
          <w:rFonts w:ascii="Bodoni SvtyTwo OS ITC TT-Book" w:hAnsi="Bodoni SvtyTwo OS ITC TT-Book"/>
        </w:rPr>
        <w:t>civilisation</w:t>
      </w:r>
      <w:proofErr w:type="spellEnd"/>
      <w:r>
        <w:rPr>
          <w:rFonts w:ascii="Bodoni SvtyTwo OS ITC TT-Book" w:hAnsi="Bodoni SvtyTwo OS ITC TT-Book"/>
        </w:rPr>
        <w:t>, such as with the Third Dynasty of Ur (</w:t>
      </w:r>
      <w:proofErr w:type="spellStart"/>
      <w:r>
        <w:rPr>
          <w:rFonts w:ascii="Bodoni SvtyTwo OS ITC TT-Book" w:hAnsi="Bodoni SvtyTwo OS ITC TT-Book"/>
        </w:rPr>
        <w:t>Tainter</w:t>
      </w:r>
      <w:proofErr w:type="spellEnd"/>
      <w:r>
        <w:rPr>
          <w:rFonts w:ascii="Bodoni SvtyTwo OS ITC TT-Book" w:hAnsi="Bodoni SvtyTwo OS ITC TT-Book"/>
        </w:rPr>
        <w:t xml:space="preserve">, 1988). I therefore propose applying the foundation of </w:t>
      </w:r>
      <w:proofErr w:type="spellStart"/>
      <w:r>
        <w:rPr>
          <w:rFonts w:ascii="Bodoni SvtyTwo OS ITC TT-Book" w:hAnsi="Bodoni SvtyTwo OS ITC TT-Book"/>
        </w:rPr>
        <w:t>Childe</w:t>
      </w:r>
      <w:r>
        <w:rPr>
          <w:rFonts w:ascii="Bodoni SvtyTwo OS ITC TT-Book" w:hAnsi="Bodoni SvtyTwo OS ITC TT-Book"/>
        </w:rPr>
        <w:t>’</w:t>
      </w:r>
      <w:r>
        <w:rPr>
          <w:rFonts w:ascii="Bodoni SvtyTwo OS ITC TT-Book" w:hAnsi="Bodoni SvtyTwo OS ITC TT-Book"/>
        </w:rPr>
        <w:t>s</w:t>
      </w:r>
      <w:proofErr w:type="spellEnd"/>
      <w:r>
        <w:rPr>
          <w:rFonts w:ascii="Bodoni SvtyTwo OS ITC TT-Book" w:hAnsi="Bodoni SvtyTwo OS ITC TT-Book"/>
        </w:rPr>
        <w:t xml:space="preserve"> theory to such an unstable political cl</w:t>
      </w:r>
      <w:r>
        <w:rPr>
          <w:rFonts w:ascii="Bodoni SvtyTwo OS ITC TT-Book" w:hAnsi="Bodoni SvtyTwo OS ITC TT-Book"/>
        </w:rPr>
        <w:t>imate by quantifying success through longevity of stability as opposed to an increase in material wealth, as I believe the latter to be the symptom of success but not an identifier. The power dynamics in Mesopotamia was fractured in to regions of independe</w:t>
      </w:r>
      <w:r>
        <w:rPr>
          <w:rFonts w:ascii="Bodoni SvtyTwo OS ITC TT-Book" w:hAnsi="Bodoni SvtyTwo OS ITC TT-Book"/>
        </w:rPr>
        <w:t>nt city states that fluctuated between peace and war with each other, often only achieving peace by dominating surrounding cities and establishing a dynasty (</w:t>
      </w:r>
      <w:proofErr w:type="spellStart"/>
      <w:r>
        <w:rPr>
          <w:rFonts w:ascii="Bodoni SvtyTwo OS ITC TT-Book" w:hAnsi="Bodoni SvtyTwo OS ITC TT-Book"/>
        </w:rPr>
        <w:t>Postgate</w:t>
      </w:r>
      <w:proofErr w:type="spellEnd"/>
      <w:r>
        <w:rPr>
          <w:rFonts w:ascii="Bodoni SvtyTwo OS ITC TT-Book" w:hAnsi="Bodoni SvtyTwo OS ITC TT-Book"/>
        </w:rPr>
        <w:t>, 1992). This led to periods of stability that may have allowed for accelerated social dev</w:t>
      </w:r>
      <w:r>
        <w:rPr>
          <w:rFonts w:ascii="Bodoni SvtyTwo OS ITC TT-Book" w:hAnsi="Bodoni SvtyTwo OS ITC TT-Book"/>
        </w:rPr>
        <w:t xml:space="preserve">elopment. In my research I will be paying particular attention to the role of law and social order in contributing to the stability of a dynasty, through the study of translations of the Codes as well as supporting academic literature. </w:t>
      </w:r>
    </w:p>
    <w:p w:rsidR="00030275" w:rsidRDefault="00030275">
      <w:pPr>
        <w:pStyle w:val="Body"/>
        <w:jc w:val="both"/>
        <w:rPr>
          <w:rFonts w:ascii="Bodoni SvtyTwo OS ITC TT-Book" w:eastAsia="Bodoni SvtyTwo OS ITC TT-Book" w:hAnsi="Bodoni SvtyTwo OS ITC TT-Book" w:cs="Bodoni SvtyTwo OS ITC TT-Book"/>
        </w:rPr>
      </w:pPr>
    </w:p>
    <w:p w:rsidR="009F22D2" w:rsidRDefault="006D4BB9">
      <w:pPr>
        <w:pStyle w:val="Heading"/>
        <w:jc w:val="center"/>
        <w:rPr>
          <w:rFonts w:ascii="Arial Unicode MS" w:hAnsi="Arial Unicode MS"/>
          <w:b w:val="0"/>
          <w:bCs w:val="0"/>
          <w:color w:val="FF9300"/>
          <w:sz w:val="32"/>
          <w:szCs w:val="32"/>
        </w:rPr>
      </w:pPr>
      <w:r>
        <w:rPr>
          <w:rFonts w:ascii="Arial Unicode MS" w:hAnsi="Arial Unicode MS"/>
          <w:b w:val="0"/>
          <w:bCs w:val="0"/>
          <w:color w:val="FF9300"/>
          <w:sz w:val="32"/>
          <w:szCs w:val="32"/>
        </w:rPr>
        <w:t>❖</w:t>
      </w:r>
    </w:p>
    <w:p w:rsidR="00030275" w:rsidRPr="00030275" w:rsidRDefault="00030275" w:rsidP="00030275">
      <w:pPr>
        <w:pStyle w:val="Body"/>
      </w:pPr>
    </w:p>
    <w:p w:rsidR="009F22D2" w:rsidRDefault="006D4BB9">
      <w:pPr>
        <w:pStyle w:val="Body"/>
        <w:jc w:val="center"/>
        <w:rPr>
          <w:rFonts w:ascii="Bodoni SvtyTwo OS ITC TT-Book" w:hAnsi="Bodoni SvtyTwo OS ITC TT-Book"/>
          <w:color w:val="5E5E5E"/>
          <w:sz w:val="40"/>
          <w:szCs w:val="40"/>
          <w:u w:val="single"/>
        </w:rPr>
      </w:pPr>
      <w:r>
        <w:rPr>
          <w:rFonts w:ascii="Bodoni SvtyTwo OS ITC TT-Book" w:hAnsi="Bodoni SvtyTwo OS ITC TT-Book"/>
          <w:color w:val="5E5E5E"/>
          <w:sz w:val="40"/>
          <w:szCs w:val="40"/>
          <w:u w:val="single"/>
        </w:rPr>
        <w:t>Results</w:t>
      </w:r>
    </w:p>
    <w:p w:rsidR="00030275" w:rsidRDefault="00030275">
      <w:pPr>
        <w:pStyle w:val="Body"/>
        <w:jc w:val="center"/>
        <w:rPr>
          <w:rFonts w:ascii="Bodoni SvtyTwo OS ITC TT-Book" w:eastAsia="Bodoni SvtyTwo OS ITC TT-Book" w:hAnsi="Bodoni SvtyTwo OS ITC TT-Book" w:cs="Bodoni SvtyTwo OS ITC TT-Book"/>
          <w:color w:val="5E5E5E"/>
          <w:sz w:val="40"/>
          <w:szCs w:val="40"/>
          <w:u w:val="single"/>
        </w:rPr>
      </w:pPr>
    </w:p>
    <w:p w:rsidR="009F22D2" w:rsidRDefault="006D4BB9">
      <w:pPr>
        <w:pStyle w:val="Body"/>
        <w:rPr>
          <w:rFonts w:ascii="Bodoni SvtyTwo OS ITC TT-Book" w:eastAsia="Bodoni SvtyTwo OS ITC TT-Book" w:hAnsi="Bodoni SvtyTwo OS ITC TT-Book" w:cs="Bodoni SvtyTwo OS ITC TT-Book"/>
          <w:color w:val="5E5E5E"/>
          <w:sz w:val="26"/>
          <w:szCs w:val="26"/>
        </w:rPr>
      </w:pPr>
      <w:r>
        <w:rPr>
          <w:rFonts w:ascii="Bodoni SvtyTwo OS ITC TT-Book" w:hAnsi="Bodoni SvtyTwo OS ITC TT-Book"/>
          <w:color w:val="5E5E5E"/>
          <w:sz w:val="26"/>
          <w:szCs w:val="26"/>
        </w:rPr>
        <w:t>The Polit</w:t>
      </w:r>
      <w:r>
        <w:rPr>
          <w:rFonts w:ascii="Bodoni SvtyTwo OS ITC TT-Book" w:hAnsi="Bodoni SvtyTwo OS ITC TT-Book"/>
          <w:color w:val="5E5E5E"/>
          <w:sz w:val="26"/>
          <w:szCs w:val="26"/>
        </w:rPr>
        <w:t>ical State of Mesopotamia &amp; Kingship</w:t>
      </w:r>
    </w:p>
    <w:p w:rsidR="009F22D2" w:rsidRDefault="006D4BB9">
      <w:pPr>
        <w:pStyle w:val="Body"/>
        <w:jc w:val="both"/>
        <w:rPr>
          <w:rFonts w:ascii="Bodoni SvtyTwo OS ITC TT-Book" w:eastAsia="Bodoni SvtyTwo OS ITC TT-Book" w:hAnsi="Bodoni SvtyTwo OS ITC TT-Book" w:cs="Bodoni SvtyTwo OS ITC TT-Book"/>
        </w:rPr>
      </w:pPr>
      <w:r>
        <w:rPr>
          <w:rFonts w:ascii="Bodoni SvtyTwo OS ITC TT-Book" w:hAnsi="Bodoni SvtyTwo OS ITC TT-Book"/>
        </w:rPr>
        <w:t xml:space="preserve">The political environment of Mesopotamia makes it nearly impossible to measure the success of the </w:t>
      </w:r>
      <w:proofErr w:type="spellStart"/>
      <w:r>
        <w:rPr>
          <w:rFonts w:ascii="Bodoni SvtyTwo OS ITC TT-Book" w:hAnsi="Bodoni SvtyTwo OS ITC TT-Book"/>
        </w:rPr>
        <w:t>civilisation</w:t>
      </w:r>
      <w:proofErr w:type="spellEnd"/>
      <w:r>
        <w:rPr>
          <w:rFonts w:ascii="Bodoni SvtyTwo OS ITC TT-Book" w:hAnsi="Bodoni SvtyTwo OS ITC TT-Book"/>
        </w:rPr>
        <w:t xml:space="preserve"> as a whole, therefore I will be looking at individual dynasties, primarily Hammurabi</w:t>
      </w:r>
      <w:r>
        <w:rPr>
          <w:rFonts w:ascii="Bodoni SvtyTwo OS ITC TT-Book" w:hAnsi="Bodoni SvtyTwo OS ITC TT-Book"/>
        </w:rPr>
        <w:t>’</w:t>
      </w:r>
      <w:r>
        <w:rPr>
          <w:rFonts w:ascii="Bodoni SvtyTwo OS ITC TT-Book" w:hAnsi="Bodoni SvtyTwo OS ITC TT-Book"/>
        </w:rPr>
        <w:t>s, as they rose to prom</w:t>
      </w:r>
      <w:r>
        <w:rPr>
          <w:rFonts w:ascii="Bodoni SvtyTwo OS ITC TT-Book" w:hAnsi="Bodoni SvtyTwo OS ITC TT-Book"/>
        </w:rPr>
        <w:t>inence, and evaluating how law codes aided their success. The natural tension between cities could be the result of strong sub-cultural identities that divided the regions, fuelled by the belief system that assigned a deity to each city (Kramer, 1963). Thu</w:t>
      </w:r>
      <w:r>
        <w:rPr>
          <w:rFonts w:ascii="Bodoni SvtyTwo OS ITC TT-Book" w:hAnsi="Bodoni SvtyTwo OS ITC TT-Book"/>
        </w:rPr>
        <w:t>s not only was an individual identity established, it was also backed by divine recognition; this would have made the wider population harder to suppress and unify as there was an inability to claim divine right over other cities. This was perhaps a drivin</w:t>
      </w:r>
      <w:r>
        <w:rPr>
          <w:rFonts w:ascii="Bodoni SvtyTwo OS ITC TT-Book" w:hAnsi="Bodoni SvtyTwo OS ITC TT-Book"/>
        </w:rPr>
        <w:t>g cause of internal disputes for centuries as cities would try to overpower others, reasoning that the gods willed either their success or their failure depending on the outcome, giving the gods the cultural reputation as being unpredictable (Kramer, 1963)</w:t>
      </w:r>
      <w:r>
        <w:rPr>
          <w:rFonts w:ascii="Bodoni SvtyTwo OS ITC TT-Book" w:hAnsi="Bodoni SvtyTwo OS ITC TT-Book"/>
        </w:rPr>
        <w:t xml:space="preserve">. With such an insubstantial base of political power, any claim would have been in the changeable decree of the </w:t>
      </w:r>
      <w:proofErr w:type="gramStart"/>
      <w:r>
        <w:rPr>
          <w:rFonts w:ascii="Bodoni SvtyTwo OS ITC TT-Book" w:hAnsi="Bodoni SvtyTwo OS ITC TT-Book"/>
        </w:rPr>
        <w:t>gods,</w:t>
      </w:r>
      <w:proofErr w:type="gramEnd"/>
      <w:r>
        <w:rPr>
          <w:rFonts w:ascii="Bodoni SvtyTwo OS ITC TT-Book" w:hAnsi="Bodoni SvtyTwo OS ITC TT-Book"/>
        </w:rPr>
        <w:t xml:space="preserve"> it is therefore understandable why Law became an attractive tool for stability. </w:t>
      </w:r>
    </w:p>
    <w:p w:rsidR="009F22D2" w:rsidRDefault="006D4BB9">
      <w:pPr>
        <w:pStyle w:val="Body"/>
        <w:jc w:val="both"/>
      </w:pPr>
      <w:r>
        <w:tab/>
      </w:r>
      <w:r>
        <w:rPr>
          <w:rFonts w:ascii="Bodoni SvtyTwo OS ITC TT-Book" w:hAnsi="Bodoni SvtyTwo OS ITC TT-Book"/>
        </w:rPr>
        <w:t>Within this political climate the office of King was har</w:t>
      </w:r>
      <w:r>
        <w:rPr>
          <w:rFonts w:ascii="Bodoni SvtyTwo OS ITC TT-Book" w:hAnsi="Bodoni SvtyTwo OS ITC TT-Book"/>
        </w:rPr>
        <w:t>d won and harder maintained; the independent nature of city states meant that conflict over circles of influence was often only resolved by conquering their competitors (</w:t>
      </w:r>
      <w:proofErr w:type="spellStart"/>
      <w:r>
        <w:rPr>
          <w:rFonts w:ascii="Bodoni SvtyTwo OS ITC TT-Book" w:hAnsi="Bodoni SvtyTwo OS ITC TT-Book"/>
        </w:rPr>
        <w:t>Postgate</w:t>
      </w:r>
      <w:proofErr w:type="spellEnd"/>
      <w:r>
        <w:rPr>
          <w:rFonts w:ascii="Bodoni SvtyTwo OS ITC TT-Book" w:hAnsi="Bodoni SvtyTwo OS ITC TT-Book"/>
        </w:rPr>
        <w:t>, 1992). Thus the ascension to power in Mesopotamia was based in unrest and co</w:t>
      </w:r>
      <w:r>
        <w:rPr>
          <w:rFonts w:ascii="Bodoni SvtyTwo OS ITC TT-Book" w:hAnsi="Bodoni SvtyTwo OS ITC TT-Book"/>
        </w:rPr>
        <w:t xml:space="preserve">nflict, two of the most destructive influences to a </w:t>
      </w:r>
      <w:proofErr w:type="spellStart"/>
      <w:r>
        <w:rPr>
          <w:rFonts w:ascii="Bodoni SvtyTwo OS ITC TT-Book" w:hAnsi="Bodoni SvtyTwo OS ITC TT-Book"/>
        </w:rPr>
        <w:t>centralised</w:t>
      </w:r>
      <w:proofErr w:type="spellEnd"/>
      <w:r>
        <w:rPr>
          <w:rFonts w:ascii="Bodoni SvtyTwo OS ITC TT-Book" w:hAnsi="Bodoni SvtyTwo OS ITC TT-Book"/>
        </w:rPr>
        <w:t xml:space="preserve"> body of government; consequently Mesopotamian kings were often faced with the problem of how to </w:t>
      </w:r>
      <w:proofErr w:type="spellStart"/>
      <w:r>
        <w:rPr>
          <w:rFonts w:ascii="Bodoni SvtyTwo OS ITC TT-Book" w:hAnsi="Bodoni SvtyTwo OS ITC TT-Book"/>
        </w:rPr>
        <w:t>legitimise</w:t>
      </w:r>
      <w:proofErr w:type="spellEnd"/>
      <w:r>
        <w:rPr>
          <w:rFonts w:ascii="Bodoni SvtyTwo OS ITC TT-Book" w:hAnsi="Bodoni SvtyTwo OS ITC TT-Book"/>
        </w:rPr>
        <w:t xml:space="preserve"> their power without resorting to violence. The solution, as with most bodies of absol</w:t>
      </w:r>
      <w:r>
        <w:rPr>
          <w:rFonts w:ascii="Bodoni SvtyTwo OS ITC TT-Book" w:hAnsi="Bodoni SvtyTwo OS ITC TT-Book"/>
        </w:rPr>
        <w:t xml:space="preserve">ute power, was to turn to a belief system in which an </w:t>
      </w:r>
      <w:proofErr w:type="spellStart"/>
      <w:r>
        <w:rPr>
          <w:rFonts w:ascii="Bodoni SvtyTwo OS ITC TT-Book" w:hAnsi="Bodoni SvtyTwo OS ITC TT-Book"/>
        </w:rPr>
        <w:t>idealised</w:t>
      </w:r>
      <w:proofErr w:type="spellEnd"/>
      <w:r>
        <w:rPr>
          <w:rFonts w:ascii="Bodoni SvtyTwo OS ITC TT-Book" w:hAnsi="Bodoni SvtyTwo OS ITC TT-Book"/>
        </w:rPr>
        <w:t xml:space="preserve"> society was promised if citizens adhered to a rigid structure of social norms. Within Mesopotamia this was a twofold process with the embodiment </w:t>
      </w:r>
      <w:proofErr w:type="gramStart"/>
      <w:r>
        <w:rPr>
          <w:rFonts w:ascii="Bodoni SvtyTwo OS ITC TT-Book" w:hAnsi="Bodoni SvtyTwo OS ITC TT-Book"/>
        </w:rPr>
        <w:t>of  law</w:t>
      </w:r>
      <w:proofErr w:type="gramEnd"/>
      <w:r>
        <w:rPr>
          <w:rFonts w:ascii="Bodoni SvtyTwo OS ITC TT-Book" w:hAnsi="Bodoni SvtyTwo OS ITC TT-Book"/>
        </w:rPr>
        <w:t>, which was then seen as a gift from the</w:t>
      </w:r>
      <w:r>
        <w:rPr>
          <w:rFonts w:ascii="Bodoni SvtyTwo OS ITC TT-Book" w:hAnsi="Bodoni SvtyTwo OS ITC TT-Book"/>
        </w:rPr>
        <w:t xml:space="preserve"> gods to maintain the cosmic order that had been derived from chaos (</w:t>
      </w:r>
      <w:proofErr w:type="spellStart"/>
      <w:r>
        <w:rPr>
          <w:rFonts w:ascii="Bodoni SvtyTwo OS ITC TT-Book" w:hAnsi="Bodoni SvtyTwo OS ITC TT-Book"/>
        </w:rPr>
        <w:t>Bertman</w:t>
      </w:r>
      <w:proofErr w:type="spellEnd"/>
      <w:r>
        <w:rPr>
          <w:rFonts w:ascii="Bodoni SvtyTwo OS ITC TT-Book" w:hAnsi="Bodoni SvtyTwo OS ITC TT-Book"/>
        </w:rPr>
        <w:t>, 2003). It was this alignment with the gods as an enforcer of their will that allowed a King to assert social order that would allow for a more stable rule (</w:t>
      </w:r>
      <w:proofErr w:type="spellStart"/>
      <w:r>
        <w:rPr>
          <w:rFonts w:ascii="Bodoni SvtyTwo OS ITC TT-Book" w:hAnsi="Bodoni SvtyTwo OS ITC TT-Book"/>
        </w:rPr>
        <w:t>Assman</w:t>
      </w:r>
      <w:proofErr w:type="spellEnd"/>
      <w:r>
        <w:rPr>
          <w:rFonts w:ascii="Bodoni SvtyTwo OS ITC TT-Book" w:hAnsi="Bodoni SvtyTwo OS ITC TT-Book"/>
        </w:rPr>
        <w:t>, 2011</w:t>
      </w:r>
      <w:proofErr w:type="gramStart"/>
      <w:r>
        <w:rPr>
          <w:rFonts w:ascii="Bodoni SvtyTwo OS ITC TT-Book" w:hAnsi="Bodoni SvtyTwo OS ITC TT-Book"/>
        </w:rPr>
        <w:t>) .</w:t>
      </w:r>
      <w:proofErr w:type="gramEnd"/>
      <w:r>
        <w:rPr>
          <w:rFonts w:ascii="Bodoni SvtyTwo OS ITC TT-Book" w:hAnsi="Bodoni SvtyTwo OS ITC TT-Book"/>
        </w:rPr>
        <w:t xml:space="preserve"> Law Co</w:t>
      </w:r>
      <w:r>
        <w:rPr>
          <w:rFonts w:ascii="Bodoni SvtyTwo OS ITC TT-Book" w:hAnsi="Bodoni SvtyTwo OS ITC TT-Book"/>
        </w:rPr>
        <w:t>des were published on stele, erected in the king</w:t>
      </w:r>
      <w:r>
        <w:rPr>
          <w:rFonts w:ascii="Bodoni SvtyTwo OS ITC TT-Book" w:hAnsi="Bodoni SvtyTwo OS ITC TT-Book"/>
        </w:rPr>
        <w:t>’</w:t>
      </w:r>
      <w:r>
        <w:rPr>
          <w:rFonts w:ascii="Bodoni SvtyTwo OS ITC TT-Book" w:hAnsi="Bodoni SvtyTwo OS ITC TT-Book"/>
        </w:rPr>
        <w:t>s capital city and other major sites, spreading the codes but also representing a royal presence throughout the kingdoms (</w:t>
      </w:r>
      <w:proofErr w:type="spellStart"/>
      <w:r>
        <w:rPr>
          <w:rFonts w:ascii="Bodoni SvtyTwo OS ITC TT-Book" w:hAnsi="Bodoni SvtyTwo OS ITC TT-Book"/>
        </w:rPr>
        <w:t>Bertman</w:t>
      </w:r>
      <w:proofErr w:type="spellEnd"/>
      <w:r>
        <w:rPr>
          <w:rFonts w:ascii="Bodoni SvtyTwo OS ITC TT-Book" w:hAnsi="Bodoni SvtyTwo OS ITC TT-Book"/>
        </w:rPr>
        <w:t xml:space="preserve">, 2003). </w:t>
      </w:r>
    </w:p>
    <w:p w:rsidR="009F22D2" w:rsidRDefault="009F22D2">
      <w:pPr>
        <w:pStyle w:val="Body"/>
        <w:rPr>
          <w:b/>
          <w:bCs/>
        </w:rPr>
      </w:pPr>
    </w:p>
    <w:p w:rsidR="009F22D2" w:rsidRDefault="006D4BB9">
      <w:pPr>
        <w:pStyle w:val="Body"/>
        <w:rPr>
          <w:rFonts w:ascii="Bodoni SvtyTwo OS ITC TT-Book" w:eastAsia="Bodoni SvtyTwo OS ITC TT-Book" w:hAnsi="Bodoni SvtyTwo OS ITC TT-Book" w:cs="Bodoni SvtyTwo OS ITC TT-Book"/>
          <w:color w:val="5E5E5E"/>
          <w:sz w:val="26"/>
          <w:szCs w:val="26"/>
        </w:rPr>
      </w:pPr>
      <w:r>
        <w:rPr>
          <w:rFonts w:ascii="Bodoni SvtyTwo OS ITC TT-Book" w:hAnsi="Bodoni SvtyTwo OS ITC TT-Book"/>
          <w:color w:val="5E5E5E"/>
          <w:sz w:val="26"/>
          <w:szCs w:val="26"/>
        </w:rPr>
        <w:t xml:space="preserve">The Origins of Law </w:t>
      </w:r>
    </w:p>
    <w:p w:rsidR="009F22D2" w:rsidRDefault="006D4BB9">
      <w:pPr>
        <w:pStyle w:val="Body"/>
        <w:jc w:val="both"/>
        <w:rPr>
          <w:rFonts w:ascii="Bodoni SvtyTwo OS ITC TT-Book" w:eastAsia="Bodoni SvtyTwo OS ITC TT-Book" w:hAnsi="Bodoni SvtyTwo OS ITC TT-Book" w:cs="Bodoni SvtyTwo OS ITC TT-Book"/>
        </w:rPr>
      </w:pPr>
      <w:r>
        <w:rPr>
          <w:rFonts w:ascii="Bodoni SvtyTwo OS ITC TT-Book" w:hAnsi="Bodoni SvtyTwo OS ITC TT-Book"/>
        </w:rPr>
        <w:t xml:space="preserve">Dating the origins </w:t>
      </w:r>
      <w:proofErr w:type="gramStart"/>
      <w:r>
        <w:rPr>
          <w:rFonts w:ascii="Bodoni SvtyTwo OS ITC TT-Book" w:hAnsi="Bodoni SvtyTwo OS ITC TT-Book"/>
        </w:rPr>
        <w:t>of  law</w:t>
      </w:r>
      <w:proofErr w:type="gramEnd"/>
      <w:r>
        <w:rPr>
          <w:rFonts w:ascii="Bodoni SvtyTwo OS ITC TT-Book" w:hAnsi="Bodoni SvtyTwo OS ITC TT-Book"/>
        </w:rPr>
        <w:t xml:space="preserve"> codes themselves is </w:t>
      </w:r>
      <w:r>
        <w:rPr>
          <w:rFonts w:ascii="Bodoni SvtyTwo OS ITC TT-Book" w:hAnsi="Bodoni SvtyTwo OS ITC TT-Book"/>
        </w:rPr>
        <w:t xml:space="preserve">the first difficulty in studying Mesopotamian archaeology, as those </w:t>
      </w:r>
      <w:proofErr w:type="spellStart"/>
      <w:r>
        <w:rPr>
          <w:rFonts w:ascii="Bodoni SvtyTwo OS ITC TT-Book" w:hAnsi="Bodoni SvtyTwo OS ITC TT-Book"/>
        </w:rPr>
        <w:t>artefacts</w:t>
      </w:r>
      <w:proofErr w:type="spellEnd"/>
      <w:r>
        <w:rPr>
          <w:rFonts w:ascii="Bodoni SvtyTwo OS ITC TT-Book" w:hAnsi="Bodoni SvtyTwo OS ITC TT-Book"/>
        </w:rPr>
        <w:t xml:space="preserve"> that have been recovered cannot identify a direct conception of the law. The first published discovery was of Hammurabi</w:t>
      </w:r>
      <w:r>
        <w:rPr>
          <w:rFonts w:ascii="Bodoni SvtyTwo OS ITC TT-Book" w:hAnsi="Bodoni SvtyTwo OS ITC TT-Book"/>
        </w:rPr>
        <w:t>’</w:t>
      </w:r>
      <w:r>
        <w:rPr>
          <w:rFonts w:ascii="Bodoni SvtyTwo OS ITC TT-Book" w:hAnsi="Bodoni SvtyTwo OS ITC TT-Book"/>
        </w:rPr>
        <w:t>s stele, dated to circa 1780 BC, gaining the reputation of</w:t>
      </w:r>
      <w:r>
        <w:rPr>
          <w:rFonts w:ascii="Bodoni SvtyTwo OS ITC TT-Book" w:hAnsi="Bodoni SvtyTwo OS ITC TT-Book"/>
        </w:rPr>
        <w:t xml:space="preserve"> being the oldest legal </w:t>
      </w:r>
      <w:r>
        <w:rPr>
          <w:rFonts w:ascii="Bodoni SvtyTwo OS ITC TT-Book" w:hAnsi="Bodoni SvtyTwo OS ITC TT-Book"/>
        </w:rPr>
        <w:lastRenderedPageBreak/>
        <w:t xml:space="preserve">code in the world; however the clay tablet of </w:t>
      </w:r>
      <w:proofErr w:type="spellStart"/>
      <w:r>
        <w:rPr>
          <w:rFonts w:ascii="Bodoni SvtyTwo OS ITC TT-Book" w:hAnsi="Bodoni SvtyTwo OS ITC TT-Book"/>
        </w:rPr>
        <w:t>Lipit</w:t>
      </w:r>
      <w:proofErr w:type="spellEnd"/>
      <w:r>
        <w:rPr>
          <w:rFonts w:ascii="Bodoni SvtyTwo OS ITC TT-Book" w:hAnsi="Bodoni SvtyTwo OS ITC TT-Book"/>
        </w:rPr>
        <w:t>- Ishtar</w:t>
      </w:r>
      <w:r>
        <w:rPr>
          <w:rFonts w:ascii="Bodoni SvtyTwo OS ITC TT-Book" w:hAnsi="Bodoni SvtyTwo OS ITC TT-Book"/>
        </w:rPr>
        <w:t>’</w:t>
      </w:r>
      <w:r>
        <w:rPr>
          <w:rFonts w:ascii="Bodoni SvtyTwo OS ITC TT-Book" w:hAnsi="Bodoni SvtyTwo OS ITC TT-Book"/>
        </w:rPr>
        <w:t>s Code, published in 1929, predates Hammurabi by nearly 200 years. This too was then displaced as the oldest law code in 1952 by the discovery of the tablet of Ur-</w:t>
      </w:r>
      <w:proofErr w:type="spellStart"/>
      <w:r>
        <w:rPr>
          <w:rFonts w:ascii="Bodoni SvtyTwo OS ITC TT-Book" w:hAnsi="Bodoni SvtyTwo OS ITC TT-Book"/>
        </w:rPr>
        <w:t>Nammu</w:t>
      </w:r>
      <w:proofErr w:type="spellEnd"/>
      <w:r>
        <w:rPr>
          <w:rFonts w:ascii="Bodoni SvtyTwo OS ITC TT-Book" w:hAnsi="Bodoni SvtyTwo OS ITC TT-Book"/>
        </w:rPr>
        <w:t xml:space="preserve"> whi</w:t>
      </w:r>
      <w:r>
        <w:rPr>
          <w:rFonts w:ascii="Bodoni SvtyTwo OS ITC TT-Book" w:hAnsi="Bodoni SvtyTwo OS ITC TT-Book"/>
        </w:rPr>
        <w:t>ch originated from 2100 BCE. Although an earlier law code has yet to be discovered, the evidence provided by the shared format and content of these law codes suggests that the tradition of law making in relation to the king is a tradition that predated Ham</w:t>
      </w:r>
      <w:r>
        <w:rPr>
          <w:rFonts w:ascii="Bodoni SvtyTwo OS ITC TT-Book" w:hAnsi="Bodoni SvtyTwo OS ITC TT-Book"/>
        </w:rPr>
        <w:t>murabi by centuries, potentially millennia.</w:t>
      </w:r>
    </w:p>
    <w:p w:rsidR="009F22D2" w:rsidRDefault="006D4BB9">
      <w:pPr>
        <w:pStyle w:val="Body"/>
        <w:jc w:val="both"/>
      </w:pPr>
      <w:r>
        <w:rPr>
          <w:rFonts w:ascii="Bodoni SvtyTwo OS ITC TT-Book" w:eastAsia="Bodoni SvtyTwo OS ITC TT-Book" w:hAnsi="Bodoni SvtyTwo OS ITC TT-Book" w:cs="Bodoni SvtyTwo OS ITC TT-Book"/>
        </w:rPr>
        <w:tab/>
        <w:t xml:space="preserve">  This has many connotations; an initial interpretation of this practice is that law was reflection of the values of the </w:t>
      </w:r>
      <w:proofErr w:type="spellStart"/>
      <w:r>
        <w:rPr>
          <w:rFonts w:ascii="Bodoni SvtyTwo OS ITC TT-Book" w:eastAsia="Bodoni SvtyTwo OS ITC TT-Book" w:hAnsi="Bodoni SvtyTwo OS ITC TT-Book" w:cs="Bodoni SvtyTwo OS ITC TT-Book"/>
        </w:rPr>
        <w:t>civilisation</w:t>
      </w:r>
      <w:proofErr w:type="spellEnd"/>
      <w:r>
        <w:rPr>
          <w:rFonts w:ascii="Bodoni SvtyTwo OS ITC TT-Book" w:eastAsia="Bodoni SvtyTwo OS ITC TT-Book" w:hAnsi="Bodoni SvtyTwo OS ITC TT-Book" w:cs="Bodoni SvtyTwo OS ITC TT-Book"/>
        </w:rPr>
        <w:t xml:space="preserve">, in particular a high regard for </w:t>
      </w:r>
      <w:r w:rsidRPr="00030275">
        <w:rPr>
          <w:rFonts w:ascii="Bodoni SvtyTwo OS ITC TT-BookIt" w:hAnsi="Bodoni SvtyTwo OS ITC TT-BookIt"/>
          <w:i/>
        </w:rPr>
        <w:t>“</w:t>
      </w:r>
      <w:r w:rsidRPr="00030275">
        <w:rPr>
          <w:rFonts w:ascii="Bodoni SvtyTwo OS ITC TT-BookIt" w:hAnsi="Bodoni SvtyTwo OS ITC TT-BookIt"/>
          <w:i/>
        </w:rPr>
        <w:t xml:space="preserve">goodness and truth, law and order, justice </w:t>
      </w:r>
      <w:r w:rsidRPr="00030275">
        <w:rPr>
          <w:rFonts w:ascii="Bodoni SvtyTwo OS ITC TT-BookIt" w:hAnsi="Bodoni SvtyTwo OS ITC TT-BookIt"/>
          <w:i/>
        </w:rPr>
        <w:t>and freedom, wisdom and learning, courage and loyalty - in short, all of man</w:t>
      </w:r>
      <w:r w:rsidRPr="00030275">
        <w:rPr>
          <w:rFonts w:ascii="Bodoni SvtyTwo OS ITC TT-BookIt" w:hAnsi="Bodoni SvtyTwo OS ITC TT-BookIt"/>
          <w:i/>
        </w:rPr>
        <w:t>’</w:t>
      </w:r>
      <w:r w:rsidRPr="00030275">
        <w:rPr>
          <w:rFonts w:ascii="Bodoni SvtyTwo OS ITC TT-BookIt" w:hAnsi="Bodoni SvtyTwo OS ITC TT-BookIt"/>
          <w:i/>
        </w:rPr>
        <w:t>s most desirable virtues and qualities</w:t>
      </w:r>
      <w:r w:rsidRPr="00030275">
        <w:rPr>
          <w:rFonts w:ascii="Bodoni SvtyTwo OS ITC TT-BookIt" w:hAnsi="Bodoni SvtyTwo OS ITC TT-BookIt"/>
          <w:i/>
        </w:rPr>
        <w:t>”</w:t>
      </w:r>
      <w:r>
        <w:rPr>
          <w:rFonts w:ascii="Bodoni SvtyTwo OS ITC TT-Book" w:hAnsi="Bodoni SvtyTwo OS ITC TT-Book"/>
        </w:rPr>
        <w:t xml:space="preserve"> (Kramer, 1963. pg. 264). A deeper evaluation of the social implications of law suggests that it has long been a tool used by those in power</w:t>
      </w:r>
      <w:r>
        <w:rPr>
          <w:rFonts w:ascii="Bodoni SvtyTwo OS ITC TT-Book" w:hAnsi="Bodoni SvtyTwo OS ITC TT-Book"/>
        </w:rPr>
        <w:t xml:space="preserve"> to suppress internal uprisings. In order to be King, one had to assume control of regions with a strong cultural identity, such as Sumerians or </w:t>
      </w:r>
      <w:proofErr w:type="spellStart"/>
      <w:r>
        <w:rPr>
          <w:rFonts w:ascii="Bodoni SvtyTwo OS ITC TT-Book" w:hAnsi="Bodoni SvtyTwo OS ITC TT-Book"/>
        </w:rPr>
        <w:t>Akkadians</w:t>
      </w:r>
      <w:proofErr w:type="spellEnd"/>
      <w:r>
        <w:rPr>
          <w:rFonts w:ascii="Bodoni SvtyTwo OS ITC TT-Book" w:hAnsi="Bodoni SvtyTwo OS ITC TT-Book"/>
        </w:rPr>
        <w:t xml:space="preserve">; it is therefore understandable that internal tensions between these groups would have to be managed </w:t>
      </w:r>
      <w:r>
        <w:rPr>
          <w:rFonts w:ascii="Bodoni SvtyTwo OS ITC TT-Book" w:hAnsi="Bodoni SvtyTwo OS ITC TT-Book"/>
        </w:rPr>
        <w:t>to prevent internal rifts that were just as destructive as external enemies (</w:t>
      </w:r>
      <w:proofErr w:type="spellStart"/>
      <w:r>
        <w:rPr>
          <w:rFonts w:ascii="Bodoni SvtyTwo OS ITC TT-Book" w:hAnsi="Bodoni SvtyTwo OS ITC TT-Book"/>
        </w:rPr>
        <w:t>Selz</w:t>
      </w:r>
      <w:proofErr w:type="spellEnd"/>
      <w:r>
        <w:rPr>
          <w:rFonts w:ascii="Bodoni SvtyTwo OS ITC TT-Book" w:hAnsi="Bodoni SvtyTwo OS ITC TT-Book"/>
        </w:rPr>
        <w:t>, 2007</w:t>
      </w:r>
      <w:r>
        <w:t xml:space="preserve">). </w:t>
      </w:r>
    </w:p>
    <w:p w:rsidR="009F22D2" w:rsidRDefault="009F22D2">
      <w:pPr>
        <w:pStyle w:val="Body"/>
      </w:pPr>
    </w:p>
    <w:p w:rsidR="009F22D2" w:rsidRDefault="006D4BB9">
      <w:pPr>
        <w:pStyle w:val="Body"/>
      </w:pPr>
      <w:r>
        <w:rPr>
          <w:rFonts w:ascii="Bodoni SvtyTwo OS ITC TT-Book" w:hAnsi="Bodoni SvtyTwo OS ITC TT-Book"/>
          <w:color w:val="5E5E5E"/>
          <w:sz w:val="26"/>
          <w:szCs w:val="26"/>
        </w:rPr>
        <w:t>The Role of a Law Code</w:t>
      </w:r>
      <w:r>
        <w:t xml:space="preserve"> </w:t>
      </w:r>
    </w:p>
    <w:p w:rsidR="009F22D2" w:rsidRDefault="006D4BB9">
      <w:pPr>
        <w:pStyle w:val="Body"/>
        <w:jc w:val="both"/>
        <w:rPr>
          <w:rFonts w:ascii="Bodoni SvtyTwo OS ITC TT-Book" w:eastAsia="Bodoni SvtyTwo OS ITC TT-Book" w:hAnsi="Bodoni SvtyTwo OS ITC TT-Book" w:cs="Bodoni SvtyTwo OS ITC TT-Book"/>
        </w:rPr>
      </w:pPr>
      <w:r>
        <w:rPr>
          <w:rFonts w:ascii="Bodoni SvtyTwo OS ITC TT-Book" w:hAnsi="Bodoni SvtyTwo OS ITC TT-Book"/>
        </w:rPr>
        <w:t>As a political tool, Law Codes may have been multi-</w:t>
      </w:r>
      <w:proofErr w:type="gramStart"/>
      <w:r>
        <w:rPr>
          <w:rFonts w:ascii="Bodoni SvtyTwo OS ITC TT-Book" w:hAnsi="Bodoni SvtyTwo OS ITC TT-Book"/>
        </w:rPr>
        <w:t>functional,</w:t>
      </w:r>
      <w:proofErr w:type="gramEnd"/>
      <w:r>
        <w:rPr>
          <w:rFonts w:ascii="Bodoni SvtyTwo OS ITC TT-Book" w:hAnsi="Bodoni SvtyTwo OS ITC TT-Book"/>
        </w:rPr>
        <w:t xml:space="preserve"> they established social order, acted as propaganda for the King and finally w</w:t>
      </w:r>
      <w:r>
        <w:rPr>
          <w:rFonts w:ascii="Bodoni SvtyTwo OS ITC TT-Book" w:hAnsi="Bodoni SvtyTwo OS ITC TT-Book"/>
        </w:rPr>
        <w:t xml:space="preserve">ere an effective pacifier for the dissatisfied masses. </w:t>
      </w:r>
    </w:p>
    <w:p w:rsidR="009F22D2" w:rsidRDefault="006D4BB9">
      <w:pPr>
        <w:pStyle w:val="Body"/>
        <w:jc w:val="both"/>
        <w:rPr>
          <w:rFonts w:ascii="Bodoni SvtyTwo OS ITC TT-Book" w:eastAsia="Bodoni SvtyTwo OS ITC TT-Book" w:hAnsi="Bodoni SvtyTwo OS ITC TT-Book" w:cs="Bodoni SvtyTwo OS ITC TT-Book"/>
        </w:rPr>
      </w:pPr>
      <w:r>
        <w:rPr>
          <w:rFonts w:ascii="Bodoni SvtyTwo OS ITC TT-Book" w:eastAsia="Bodoni SvtyTwo OS ITC TT-Book" w:hAnsi="Bodoni SvtyTwo OS ITC TT-Book" w:cs="Bodoni SvtyTwo OS ITC TT-Book"/>
        </w:rPr>
        <w:tab/>
        <w:t>In regards to social order, Law Codes secured class boundaries through decreeing different levels of punishment based on an individual</w:t>
      </w:r>
      <w:r>
        <w:rPr>
          <w:rFonts w:ascii="Bodoni SvtyTwo OS ITC TT-Book" w:hAnsi="Bodoni SvtyTwo OS ITC TT-Book"/>
        </w:rPr>
        <w:t>’</w:t>
      </w:r>
      <w:r>
        <w:rPr>
          <w:rFonts w:ascii="Bodoni SvtyTwo OS ITC TT-Book" w:hAnsi="Bodoni SvtyTwo OS ITC TT-Book"/>
        </w:rPr>
        <w:t xml:space="preserve">s standing within society. Such was the case of Hammurabi Codes </w:t>
      </w:r>
      <w:r>
        <w:rPr>
          <w:rFonts w:ascii="Bodoni SvtyTwo OS ITC TT-Book" w:hAnsi="Bodoni SvtyTwo OS ITC TT-Book"/>
        </w:rPr>
        <w:t>202-205:</w:t>
      </w:r>
    </w:p>
    <w:p w:rsidR="009F22D2" w:rsidRPr="00030275" w:rsidRDefault="006D4BB9">
      <w:pPr>
        <w:pStyle w:val="Default"/>
        <w:ind w:left="720"/>
        <w:rPr>
          <w:rFonts w:ascii="Bodoni SvtyTwo OS ITC TT-BookIt" w:eastAsia="Bodoni SvtyTwo OS ITC TT-BookIt" w:hAnsi="Bodoni SvtyTwo OS ITC TT-BookIt" w:cs="Bodoni SvtyTwo OS ITC TT-BookIt"/>
          <w:i/>
        </w:rPr>
      </w:pPr>
      <w:r w:rsidRPr="00030275">
        <w:rPr>
          <w:rFonts w:ascii="Bodoni SvtyTwo OS ITC TT-BookIt" w:hAnsi="Bodoni SvtyTwo OS ITC TT-BookIt"/>
          <w:i/>
        </w:rPr>
        <w:t>202. If any one strike the body of a man higher in rank than he, he shall receive sixty blows with an ox-whip in public.</w:t>
      </w:r>
    </w:p>
    <w:p w:rsidR="009F22D2" w:rsidRPr="00030275" w:rsidRDefault="006D4BB9">
      <w:pPr>
        <w:pStyle w:val="Default"/>
        <w:ind w:left="720"/>
        <w:rPr>
          <w:rFonts w:ascii="Bodoni SvtyTwo OS ITC TT-BookIt" w:eastAsia="Bodoni SvtyTwo OS ITC TT-BookIt" w:hAnsi="Bodoni SvtyTwo OS ITC TT-BookIt" w:cs="Bodoni SvtyTwo OS ITC TT-BookIt"/>
          <w:i/>
        </w:rPr>
      </w:pPr>
      <w:r w:rsidRPr="00030275">
        <w:rPr>
          <w:rFonts w:ascii="Bodoni SvtyTwo OS ITC TT-BookIt" w:hAnsi="Bodoni SvtyTwo OS ITC TT-BookIt"/>
          <w:i/>
        </w:rPr>
        <w:t xml:space="preserve">203. If </w:t>
      </w:r>
      <w:proofErr w:type="gramStart"/>
      <w:r w:rsidRPr="00030275">
        <w:rPr>
          <w:rFonts w:ascii="Bodoni SvtyTwo OS ITC TT-BookIt" w:hAnsi="Bodoni SvtyTwo OS ITC TT-BookIt"/>
          <w:i/>
        </w:rPr>
        <w:t>a free-born man strike</w:t>
      </w:r>
      <w:proofErr w:type="gramEnd"/>
      <w:r w:rsidRPr="00030275">
        <w:rPr>
          <w:rFonts w:ascii="Bodoni SvtyTwo OS ITC TT-BookIt" w:hAnsi="Bodoni SvtyTwo OS ITC TT-BookIt"/>
          <w:i/>
        </w:rPr>
        <w:t xml:space="preserve"> the body of another free-born man or equal rank, he shall pay one gold </w:t>
      </w:r>
      <w:proofErr w:type="spellStart"/>
      <w:r w:rsidRPr="00030275">
        <w:rPr>
          <w:rFonts w:ascii="Bodoni SvtyTwo OS ITC TT-BookIt" w:hAnsi="Bodoni SvtyTwo OS ITC TT-BookIt"/>
          <w:i/>
        </w:rPr>
        <w:t>mina</w:t>
      </w:r>
      <w:proofErr w:type="spellEnd"/>
      <w:r w:rsidRPr="00030275">
        <w:rPr>
          <w:rFonts w:ascii="Bodoni SvtyTwo OS ITC TT-BookIt" w:hAnsi="Bodoni SvtyTwo OS ITC TT-BookIt"/>
          <w:i/>
        </w:rPr>
        <w:t>.</w:t>
      </w:r>
    </w:p>
    <w:p w:rsidR="009F22D2" w:rsidRPr="00030275" w:rsidRDefault="006D4BB9">
      <w:pPr>
        <w:pStyle w:val="Default"/>
        <w:ind w:left="720"/>
        <w:rPr>
          <w:rFonts w:ascii="Bodoni SvtyTwo OS ITC TT-BookIt" w:eastAsia="Bodoni SvtyTwo OS ITC TT-BookIt" w:hAnsi="Bodoni SvtyTwo OS ITC TT-BookIt" w:cs="Bodoni SvtyTwo OS ITC TT-BookIt"/>
          <w:i/>
        </w:rPr>
      </w:pPr>
      <w:r w:rsidRPr="00030275">
        <w:rPr>
          <w:rFonts w:ascii="Bodoni SvtyTwo OS ITC TT-BookIt" w:hAnsi="Bodoni SvtyTwo OS ITC TT-BookIt"/>
          <w:i/>
        </w:rPr>
        <w:t xml:space="preserve">204. If a freed </w:t>
      </w:r>
      <w:r w:rsidRPr="00030275">
        <w:rPr>
          <w:rFonts w:ascii="Bodoni SvtyTwo OS ITC TT-BookIt" w:hAnsi="Bodoni SvtyTwo OS ITC TT-BookIt"/>
          <w:i/>
        </w:rPr>
        <w:t>man strike the body of another freed man, he shall pay ten shekels in money.</w:t>
      </w:r>
    </w:p>
    <w:p w:rsidR="009F22D2" w:rsidRPr="00030275" w:rsidRDefault="006D4BB9">
      <w:pPr>
        <w:pStyle w:val="Default"/>
        <w:ind w:left="720"/>
        <w:rPr>
          <w:rFonts w:ascii="Bodoni SvtyTwo OS ITC TT-BookIt" w:eastAsia="Bodoni SvtyTwo OS ITC TT-BookIt" w:hAnsi="Bodoni SvtyTwo OS ITC TT-BookIt" w:cs="Bodoni SvtyTwo OS ITC TT-BookIt"/>
          <w:i/>
        </w:rPr>
      </w:pPr>
      <w:r w:rsidRPr="00030275">
        <w:rPr>
          <w:rFonts w:ascii="Bodoni SvtyTwo OS ITC TT-BookIt" w:hAnsi="Bodoni SvtyTwo OS ITC TT-BookIt"/>
          <w:i/>
        </w:rPr>
        <w:t>205. If the slave of a freed man strike the body of a freed man, his ear shall be cut off.</w:t>
      </w:r>
      <w:r w:rsidRPr="00030275">
        <w:rPr>
          <w:rFonts w:ascii="Bodoni SvtyTwo OS ITC TT-BookIt" w:hAnsi="Bodoni SvtyTwo OS ITC TT-BookIt"/>
          <w:i/>
        </w:rPr>
        <w:t>’</w:t>
      </w:r>
      <w:r w:rsidRPr="00030275">
        <w:rPr>
          <w:rFonts w:ascii="Bodoni SvtyTwo OS ITC TT-BookIt" w:hAnsi="Bodoni SvtyTwo OS ITC TT-BookIt"/>
          <w:i/>
        </w:rPr>
        <w:t>(King, 1910)</w:t>
      </w:r>
    </w:p>
    <w:p w:rsidR="00030275" w:rsidRDefault="006D4BB9">
      <w:pPr>
        <w:pStyle w:val="Default"/>
        <w:jc w:val="both"/>
        <w:rPr>
          <w:rFonts w:ascii="Bodoni SvtyTwo OS ITC TT-Book" w:eastAsia="Bodoni SvtyTwo OS ITC TT-Book" w:hAnsi="Bodoni SvtyTwo OS ITC TT-Book" w:cs="Bodoni SvtyTwo OS ITC TT-Book"/>
        </w:rPr>
      </w:pPr>
      <w:r>
        <w:rPr>
          <w:rFonts w:ascii="Bodoni SvtyTwo OS ITC TT-Book" w:hAnsi="Bodoni SvtyTwo OS ITC TT-Book"/>
        </w:rPr>
        <w:t>Here social boundaries are enforced legally, with harsher punishments on th</w:t>
      </w:r>
      <w:r>
        <w:rPr>
          <w:rFonts w:ascii="Bodoni SvtyTwo OS ITC TT-Book" w:hAnsi="Bodoni SvtyTwo OS ITC TT-Book"/>
        </w:rPr>
        <w:t>e lower classes or those who dare to commit crimes against their superiors (Roth, 2002). These laws are evidence of the influence of the elite classes to the point of lighter legal reprimand. However it also highlights the imbalance between social order an</w:t>
      </w:r>
      <w:r>
        <w:rPr>
          <w:rFonts w:ascii="Bodoni SvtyTwo OS ITC TT-Book" w:hAnsi="Bodoni SvtyTwo OS ITC TT-Book"/>
        </w:rPr>
        <w:t xml:space="preserve">d justice, which could encourage rebellion. </w:t>
      </w:r>
    </w:p>
    <w:p w:rsidR="009F22D2" w:rsidRDefault="006D4BB9" w:rsidP="00030275">
      <w:pPr>
        <w:pStyle w:val="Default"/>
        <w:ind w:firstLine="720"/>
        <w:jc w:val="both"/>
        <w:rPr>
          <w:rFonts w:ascii="Bodoni SvtyTwo OS ITC TT-Book" w:eastAsia="Bodoni SvtyTwo OS ITC TT-Book" w:hAnsi="Bodoni SvtyTwo OS ITC TT-Book" w:cs="Bodoni SvtyTwo OS ITC TT-Book"/>
        </w:rPr>
      </w:pPr>
      <w:r>
        <w:rPr>
          <w:rFonts w:ascii="Bodoni SvtyTwo OS ITC TT-Book" w:eastAsia="Bodoni SvtyTwo OS ITC TT-Book" w:hAnsi="Bodoni SvtyTwo OS ITC TT-Book" w:cs="Bodoni SvtyTwo OS ITC TT-Book"/>
        </w:rPr>
        <w:t>The representation of the King in these Legal Codes is thus one of the most important tools in securing his position as beyond compromise. As previously stated, the Law was seen as the practice of cosmic order,</w:t>
      </w:r>
      <w:r>
        <w:rPr>
          <w:rFonts w:ascii="Bodoni SvtyTwo OS ITC TT-Book" w:eastAsia="Bodoni SvtyTwo OS ITC TT-Book" w:hAnsi="Bodoni SvtyTwo OS ITC TT-Book" w:cs="Bodoni SvtyTwo OS ITC TT-Book"/>
        </w:rPr>
        <w:t xml:space="preserve"> this association with the gods was an effective tool Kings used, often establishing themselves </w:t>
      </w:r>
      <w:r>
        <w:rPr>
          <w:rFonts w:ascii="Bodoni SvtyTwo OS ITC TT-Book" w:eastAsia="Bodoni SvtyTwo OS ITC TT-Book" w:hAnsi="Bodoni SvtyTwo OS ITC TT-Book" w:cs="Bodoni SvtyTwo OS ITC TT-Book"/>
        </w:rPr>
        <w:t>as an intermediary between man and gods (</w:t>
      </w:r>
      <w:proofErr w:type="spellStart"/>
      <w:r>
        <w:rPr>
          <w:rFonts w:ascii="Bodoni SvtyTwo OS ITC TT-Book" w:eastAsia="Bodoni SvtyTwo OS ITC TT-Book" w:hAnsi="Bodoni SvtyTwo OS ITC TT-Book" w:cs="Bodoni SvtyTwo OS ITC TT-Book"/>
        </w:rPr>
        <w:t>Selz</w:t>
      </w:r>
      <w:proofErr w:type="spellEnd"/>
      <w:r>
        <w:rPr>
          <w:rFonts w:ascii="Bodoni SvtyTwo OS ITC TT-Book" w:eastAsia="Bodoni SvtyTwo OS ITC TT-Book" w:hAnsi="Bodoni SvtyTwo OS ITC TT-Book" w:cs="Bodoni SvtyTwo OS ITC TT-Book"/>
        </w:rPr>
        <w:t>, 2007) within the prologue. The idea behind divine kingship is a cross-cultural mechanism which is used throughout</w:t>
      </w:r>
      <w:r>
        <w:rPr>
          <w:rFonts w:ascii="Bodoni SvtyTwo OS ITC TT-Book" w:eastAsia="Bodoni SvtyTwo OS ITC TT-Book" w:hAnsi="Bodoni SvtyTwo OS ITC TT-Book" w:cs="Bodoni SvtyTwo OS ITC TT-Book"/>
        </w:rPr>
        <w:t xml:space="preserve"> the world to explain the prominence of an individual. </w:t>
      </w:r>
      <w:r>
        <w:rPr>
          <w:rFonts w:ascii="Bodoni SvtyTwo OS ITC TT-Book" w:eastAsia="Bodoni SvtyTwo OS ITC TT-Book" w:hAnsi="Bodoni SvtyTwo OS ITC TT-Book" w:cs="Bodoni SvtyTwo OS ITC TT-Book"/>
        </w:rPr>
        <w:t>Where Mesopotamians differed is that they rarely express themselves as a direct relation to the gods, unlike some cultures in which rulers claim to be embodiments or descendants of Gods. In Hammurabi</w:t>
      </w:r>
      <w:r>
        <w:rPr>
          <w:rFonts w:ascii="Bodoni SvtyTwo OS ITC TT-Book" w:hAnsi="Bodoni SvtyTwo OS ITC TT-Book"/>
        </w:rPr>
        <w:t>’</w:t>
      </w:r>
      <w:r>
        <w:rPr>
          <w:rFonts w:ascii="Bodoni SvtyTwo OS ITC TT-Book" w:hAnsi="Bodoni SvtyTwo OS ITC TT-Book"/>
        </w:rPr>
        <w:t>s</w:t>
      </w:r>
      <w:r>
        <w:rPr>
          <w:rFonts w:ascii="Bodoni SvtyTwo OS ITC TT-Book" w:hAnsi="Bodoni SvtyTwo OS ITC TT-Book"/>
        </w:rPr>
        <w:t xml:space="preserve"> code he </w:t>
      </w:r>
      <w:r>
        <w:rPr>
          <w:rFonts w:ascii="Bodoni SvtyTwo OS ITC TT-Book" w:hAnsi="Bodoni SvtyTwo OS ITC TT-Book"/>
        </w:rPr>
        <w:t xml:space="preserve">claims to be chosen by the Sky god </w:t>
      </w:r>
      <w:proofErr w:type="spellStart"/>
      <w:r>
        <w:rPr>
          <w:rFonts w:ascii="Bodoni SvtyTwo OS ITC TT-Book" w:hAnsi="Bodoni SvtyTwo OS ITC TT-Book"/>
        </w:rPr>
        <w:t>Anu</w:t>
      </w:r>
      <w:proofErr w:type="spellEnd"/>
      <w:r>
        <w:rPr>
          <w:rFonts w:ascii="Bodoni SvtyTwo OS ITC TT-Book" w:hAnsi="Bodoni SvtyTwo OS ITC TT-Book"/>
        </w:rPr>
        <w:t xml:space="preserve">: </w:t>
      </w:r>
      <w:r>
        <w:rPr>
          <w:rFonts w:ascii="Bodoni SvtyTwo OS ITC TT-BookIt" w:hAnsi="Bodoni SvtyTwo OS ITC TT-BookIt"/>
        </w:rPr>
        <w:t xml:space="preserve"> “</w:t>
      </w:r>
      <w:r w:rsidRPr="00030275">
        <w:rPr>
          <w:rFonts w:ascii="Bodoni SvtyTwo OS ITC TT-BookIt" w:hAnsi="Bodoni SvtyTwo OS ITC TT-BookIt"/>
          <w:i/>
        </w:rPr>
        <w:t xml:space="preserve">then </w:t>
      </w:r>
      <w:proofErr w:type="spellStart"/>
      <w:r w:rsidRPr="00030275">
        <w:rPr>
          <w:rFonts w:ascii="Bodoni SvtyTwo OS ITC TT-BookIt" w:hAnsi="Bodoni SvtyTwo OS ITC TT-BookIt"/>
          <w:i/>
        </w:rPr>
        <w:t>Anu</w:t>
      </w:r>
      <w:proofErr w:type="spellEnd"/>
      <w:r w:rsidRPr="00030275">
        <w:rPr>
          <w:rFonts w:ascii="Bodoni SvtyTwo OS ITC TT-BookIt" w:hAnsi="Bodoni SvtyTwo OS ITC TT-BookIt"/>
          <w:i/>
        </w:rPr>
        <w:t xml:space="preserve"> and </w:t>
      </w:r>
      <w:proofErr w:type="spellStart"/>
      <w:r w:rsidRPr="00030275">
        <w:rPr>
          <w:rFonts w:ascii="Bodoni SvtyTwo OS ITC TT-BookIt" w:hAnsi="Bodoni SvtyTwo OS ITC TT-BookIt"/>
          <w:i/>
        </w:rPr>
        <w:t>Bel</w:t>
      </w:r>
      <w:proofErr w:type="spellEnd"/>
      <w:r w:rsidRPr="00030275">
        <w:rPr>
          <w:rFonts w:ascii="Bodoni SvtyTwo OS ITC TT-BookIt" w:hAnsi="Bodoni SvtyTwo OS ITC TT-BookIt"/>
          <w:i/>
        </w:rPr>
        <w:t xml:space="preserve"> called by name me, Hammurabi, the exalted prince</w:t>
      </w:r>
      <w:r>
        <w:rPr>
          <w:rFonts w:ascii="Bodoni SvtyTwo OS ITC TT-BookIt" w:hAnsi="Bodoni SvtyTwo OS ITC TT-BookIt"/>
        </w:rPr>
        <w:t xml:space="preserve">” </w:t>
      </w:r>
      <w:r>
        <w:rPr>
          <w:rFonts w:ascii="Bodoni SvtyTwo OS ITC TT-Book" w:hAnsi="Bodoni SvtyTwo OS ITC TT-Book"/>
        </w:rPr>
        <w:t xml:space="preserve">(King, 1910). </w:t>
      </w:r>
      <w:r>
        <w:rPr>
          <w:rFonts w:ascii="Bodoni SvtyTwo OS ITC TT-BookIt" w:hAnsi="Bodoni SvtyTwo OS ITC TT-BookIt"/>
        </w:rPr>
        <w:t xml:space="preserve"> </w:t>
      </w:r>
      <w:r>
        <w:rPr>
          <w:rFonts w:ascii="Bodoni SvtyTwo OS ITC TT-Book" w:hAnsi="Bodoni SvtyTwo OS ITC TT-Book"/>
        </w:rPr>
        <w:t xml:space="preserve">This is the tradition of most prologues, as corroborated by the Codes of </w:t>
      </w:r>
      <w:proofErr w:type="spellStart"/>
      <w:r>
        <w:rPr>
          <w:rFonts w:ascii="Bodoni SvtyTwo OS ITC TT-Book" w:hAnsi="Bodoni SvtyTwo OS ITC TT-Book"/>
        </w:rPr>
        <w:t>Lipit</w:t>
      </w:r>
      <w:proofErr w:type="spellEnd"/>
      <w:r>
        <w:rPr>
          <w:rFonts w:ascii="Bodoni SvtyTwo OS ITC TT-Book" w:hAnsi="Bodoni SvtyTwo OS ITC TT-Book"/>
        </w:rPr>
        <w:t xml:space="preserve">-Ishtar </w:t>
      </w:r>
      <w:r>
        <w:rPr>
          <w:rFonts w:ascii="Bodoni SvtyTwo OS ITC TT-Book" w:hAnsi="Bodoni SvtyTwo OS ITC TT-Book"/>
        </w:rPr>
        <w:t>who describes his ascension to the th</w:t>
      </w:r>
      <w:r>
        <w:rPr>
          <w:rFonts w:ascii="Bodoni SvtyTwo OS ITC TT-Book" w:hAnsi="Bodoni SvtyTwo OS ITC TT-Book"/>
        </w:rPr>
        <w:t xml:space="preserve">rone as being </w:t>
      </w:r>
      <w:r w:rsidR="00030275" w:rsidRPr="009F22D2">
        <w:rPr>
          <w:rFonts w:ascii="Bodoni SvtyTwo OS ITC TT-Book" w:eastAsia="Bodoni SvtyTwo OS ITC TT-Book" w:hAnsi="Bodoni SvtyTwo OS ITC TT-Book" w:cs="Bodoni SvtyTwo OS ITC TT-Book"/>
        </w:rPr>
        <w:pict>
          <v:group id="_x0000_s1026" style="position:absolute;left:0;text-align:left;margin-left:-7.8pt;margin-top:13.85pt;width:195.8pt;height:194.8pt;z-index:-251654144;mso-wrap-distance-left:12pt;mso-wrap-distance-top:12pt;mso-wrap-distance-right:12pt;mso-wrap-distance-bottom:12pt;mso-position-horizontal-relative:margin;mso-position-vertical-relative:line" coordsize="2486150,2473783" wrapcoords="2814 0 2814 19440 18703 19440 18703 0 2814 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345123;width:1795905;height:2233713">
              <v:imagedata r:id="rId6" o:title="pasted-image"/>
            </v:shape>
            <v:shapetype id="_x0000_t202" coordsize="21600,21600" o:spt="202" path="m,l,21600r21600,l21600,xe">
              <v:stroke joinstyle="miter"/>
              <v:path gradientshapeok="t" o:connecttype="rect"/>
            </v:shapetype>
            <v:shape id="_x0000_s1028" type="#_x0000_t202" style="position:absolute;top:2233713;width:2486150;height:240070" filled="f" stroked="f" strokeweight="1pt">
              <v:stroke miterlimit="4"/>
              <v:textbox style="mso-next-textbox:#_x0000_s1028">
                <w:txbxContent>
                  <w:p w:rsidR="009F22D2" w:rsidRDefault="006D4BB9">
                    <w:pPr>
                      <w:pStyle w:val="Caption"/>
                    </w:pPr>
                    <w:r>
                      <w:rPr>
                        <w:rFonts w:ascii="Bodoni SvtyTwo OS ITC TT-Bold" w:hAnsi="Bodoni SvtyTwo OS ITC TT-Bold"/>
                        <w:b w:val="0"/>
                        <w:bCs w:val="0"/>
                        <w:color w:val="FF9300"/>
                      </w:rPr>
                      <w:t>Hammurabi and Shamash (MbZT, 2012)</w:t>
                    </w:r>
                  </w:p>
                </w:txbxContent>
              </v:textbox>
            </v:shape>
            <w10:wrap type="square" anchorx="margin"/>
          </v:group>
        </w:pict>
      </w:r>
      <w:r>
        <w:rPr>
          <w:rFonts w:ascii="Bodoni SvtyTwo OS ITC TT-Book" w:hAnsi="Bodoni SvtyTwo OS ITC TT-Book"/>
        </w:rPr>
        <w:t xml:space="preserve">called upon </w:t>
      </w:r>
      <w:r>
        <w:rPr>
          <w:rFonts w:ascii="Bodoni SvtyTwo OS ITC TT-Book" w:hAnsi="Bodoni SvtyTwo OS ITC TT-Book"/>
        </w:rPr>
        <w:t xml:space="preserve">by </w:t>
      </w:r>
      <w:proofErr w:type="spellStart"/>
      <w:r>
        <w:rPr>
          <w:rFonts w:ascii="Bodoni SvtyTwo OS ITC TT-Book" w:hAnsi="Bodoni SvtyTwo OS ITC TT-Book"/>
        </w:rPr>
        <w:t>Anu</w:t>
      </w:r>
      <w:proofErr w:type="spellEnd"/>
      <w:r>
        <w:rPr>
          <w:rFonts w:ascii="Bodoni SvtyTwo OS ITC TT-Book" w:hAnsi="Bodoni SvtyTwo OS ITC TT-Book"/>
        </w:rPr>
        <w:t xml:space="preserve"> </w:t>
      </w:r>
      <w:r>
        <w:rPr>
          <w:rFonts w:ascii="Bodoni SvtyTwo OS ITC TT-Book" w:hAnsi="Bodoni SvtyTwo OS ITC TT-Book"/>
        </w:rPr>
        <w:t xml:space="preserve">and </w:t>
      </w:r>
      <w:proofErr w:type="spellStart"/>
      <w:r>
        <w:rPr>
          <w:rFonts w:ascii="Bodoni SvtyTwo OS ITC TT-Book" w:hAnsi="Bodoni SvtyTwo OS ITC TT-Book"/>
        </w:rPr>
        <w:t>Enlil</w:t>
      </w:r>
      <w:proofErr w:type="spellEnd"/>
      <w:r>
        <w:rPr>
          <w:rFonts w:ascii="Bodoni SvtyTwo OS ITC TT-Book" w:hAnsi="Bodoni SvtyTwo OS ITC TT-Book"/>
        </w:rPr>
        <w:t xml:space="preserve">, referring to himself as the </w:t>
      </w:r>
      <w:r>
        <w:rPr>
          <w:rFonts w:ascii="Bodoni SvtyTwo OS ITC TT-Book" w:hAnsi="Bodoni SvtyTwo OS ITC TT-Book"/>
        </w:rPr>
        <w:t>“</w:t>
      </w:r>
      <w:r w:rsidRPr="00030275">
        <w:rPr>
          <w:rFonts w:ascii="Bodoni SvtyTwo OS ITC TT-BookIt" w:hAnsi="Bodoni SvtyTwo OS ITC TT-BookIt"/>
          <w:i/>
        </w:rPr>
        <w:t xml:space="preserve">the wise shepherd, whose name had been pronounced by </w:t>
      </w:r>
      <w:proofErr w:type="spellStart"/>
      <w:r w:rsidRPr="00030275">
        <w:rPr>
          <w:rFonts w:ascii="Bodoni SvtyTwo OS ITC TT-BookIt" w:hAnsi="Bodoni SvtyTwo OS ITC TT-BookIt"/>
          <w:i/>
        </w:rPr>
        <w:t>Nunamnir</w:t>
      </w:r>
      <w:proofErr w:type="spellEnd"/>
      <w:r w:rsidRPr="00030275">
        <w:rPr>
          <w:rFonts w:ascii="Bodoni SvtyTwo OS ITC TT-BookIt" w:hAnsi="Bodoni SvtyTwo OS ITC TT-BookIt"/>
          <w:i/>
        </w:rPr>
        <w:t>”</w:t>
      </w:r>
      <w:r>
        <w:rPr>
          <w:rFonts w:ascii="Bodoni SvtyTwo OS ITC TT-BookIt" w:hAnsi="Bodoni SvtyTwo OS ITC TT-BookIt"/>
        </w:rPr>
        <w:t xml:space="preserve"> </w:t>
      </w:r>
      <w:r>
        <w:rPr>
          <w:rFonts w:ascii="Bodoni SvtyTwo OS ITC TT-Book" w:hAnsi="Bodoni SvtyTwo OS ITC TT-Book"/>
        </w:rPr>
        <w:t>(Kramer, 1963).</w:t>
      </w:r>
      <w:r>
        <w:rPr>
          <w:rFonts w:ascii="Bodoni SvtyTwo OS ITC TT-BookIt" w:hAnsi="Bodoni SvtyTwo OS ITC TT-BookIt"/>
        </w:rPr>
        <w:t xml:space="preserve">  </w:t>
      </w:r>
      <w:r>
        <w:rPr>
          <w:rFonts w:ascii="Bodoni SvtyTwo OS ITC TT-Book" w:hAnsi="Bodoni SvtyTwo OS ITC TT-Book"/>
        </w:rPr>
        <w:t xml:space="preserve">However in his epilogue he extends his identity into the divine when he </w:t>
      </w:r>
      <w:r w:rsidRPr="00030275">
        <w:rPr>
          <w:rFonts w:ascii="Bodoni SvtyTwo OS ITC TT-Book" w:hAnsi="Bodoni SvtyTwo OS ITC TT-Book"/>
          <w:i/>
        </w:rPr>
        <w:t xml:space="preserve">claims </w:t>
      </w:r>
      <w:r w:rsidRPr="00030275">
        <w:rPr>
          <w:rFonts w:ascii="Bodoni SvtyTwo OS ITC TT-BookIt" w:hAnsi="Bodoni SvtyTwo OS ITC TT-BookIt"/>
          <w:i/>
        </w:rPr>
        <w:t>“</w:t>
      </w:r>
      <w:r w:rsidRPr="00030275">
        <w:rPr>
          <w:rFonts w:ascii="Bodoni SvtyTwo OS ITC TT-BookIt" w:hAnsi="Bodoni SvtyTwo OS ITC TT-BookIt"/>
          <w:i/>
        </w:rPr>
        <w:t xml:space="preserve">I, </w:t>
      </w:r>
      <w:proofErr w:type="spellStart"/>
      <w:r w:rsidRPr="00030275">
        <w:rPr>
          <w:rFonts w:ascii="Bodoni SvtyTwo OS ITC TT-BookIt" w:hAnsi="Bodoni SvtyTwo OS ITC TT-BookIt"/>
          <w:i/>
        </w:rPr>
        <w:t>Lipit</w:t>
      </w:r>
      <w:proofErr w:type="spellEnd"/>
      <w:r w:rsidRPr="00030275">
        <w:rPr>
          <w:rFonts w:ascii="Bodoni SvtyTwo OS ITC TT-BookIt" w:hAnsi="Bodoni SvtyTwo OS ITC TT-BookIt"/>
          <w:i/>
        </w:rPr>
        <w:t>-Ishtar, son of</w:t>
      </w:r>
      <w:r w:rsidRPr="00030275">
        <w:rPr>
          <w:rFonts w:ascii="Bodoni SvtyTwo OS ITC TT-BookIt" w:hAnsi="Bodoni SvtyTwo OS ITC TT-BookIt"/>
          <w:i/>
        </w:rPr>
        <w:t xml:space="preserve"> </w:t>
      </w:r>
      <w:proofErr w:type="spellStart"/>
      <w:r w:rsidRPr="00030275">
        <w:rPr>
          <w:rFonts w:ascii="Bodoni SvtyTwo OS ITC TT-BookIt" w:hAnsi="Bodoni SvtyTwo OS ITC TT-BookIt"/>
          <w:i/>
        </w:rPr>
        <w:t>Enlil</w:t>
      </w:r>
      <w:proofErr w:type="spellEnd"/>
      <w:r w:rsidRPr="00030275">
        <w:rPr>
          <w:rFonts w:ascii="Bodoni SvtyTwo OS ITC TT-BookIt" w:hAnsi="Bodoni SvtyTwo OS ITC TT-BookIt"/>
          <w:i/>
        </w:rPr>
        <w:t>”</w:t>
      </w:r>
      <w:r>
        <w:rPr>
          <w:rFonts w:ascii="Bodoni SvtyTwo OS ITC TT-Book" w:hAnsi="Bodoni SvtyTwo OS ITC TT-Book"/>
        </w:rPr>
        <w:t xml:space="preserve"> (Kramer, 1963). This imagery of the King sharing space with the Gods is best shown at the head of Hammurabi</w:t>
      </w:r>
      <w:r>
        <w:rPr>
          <w:rFonts w:ascii="Bodoni SvtyTwo OS ITC TT-Book" w:hAnsi="Bodoni SvtyTwo OS ITC TT-Book"/>
        </w:rPr>
        <w:t>’</w:t>
      </w:r>
      <w:r>
        <w:rPr>
          <w:rFonts w:ascii="Bodoni SvtyTwo OS ITC TT-Book" w:hAnsi="Bodoni SvtyTwo OS ITC TT-Book"/>
        </w:rPr>
        <w:t xml:space="preserve">s Stele (depicted </w:t>
      </w:r>
      <w:r w:rsidR="00030275">
        <w:rPr>
          <w:rFonts w:ascii="Bodoni SvtyTwo OS ITC TT-Book" w:hAnsi="Bodoni SvtyTwo OS ITC TT-Book"/>
        </w:rPr>
        <w:t>left</w:t>
      </w:r>
      <w:r>
        <w:rPr>
          <w:rFonts w:ascii="Bodoni SvtyTwo OS ITC TT-Book" w:hAnsi="Bodoni SvtyTwo OS ITC TT-Book"/>
        </w:rPr>
        <w:t xml:space="preserve">) where the </w:t>
      </w:r>
      <w:r>
        <w:rPr>
          <w:rFonts w:ascii="Bodoni SvtyTwo OS ITC TT-Book" w:hAnsi="Bodoni SvtyTwo OS ITC TT-Book"/>
        </w:rPr>
        <w:t xml:space="preserve">King is depicted next to the god Shamash receiving the tools of justice: a measuring rope and a rod. The </w:t>
      </w:r>
      <w:r>
        <w:rPr>
          <w:rFonts w:ascii="Bodoni SvtyTwo OS ITC TT-Book" w:hAnsi="Bodoni SvtyTwo OS ITC TT-Book"/>
        </w:rPr>
        <w:t>2</w:t>
      </w:r>
      <w:r>
        <w:rPr>
          <w:rFonts w:ascii="Bodoni SvtyTwo OS ITC TT-Book" w:hAnsi="Bodoni SvtyTwo OS ITC TT-Book"/>
        </w:rPr>
        <w:t xml:space="preserve">’ </w:t>
      </w:r>
      <w:r>
        <w:rPr>
          <w:rFonts w:ascii="Bodoni SvtyTwo OS ITC TT-Book" w:hAnsi="Bodoni SvtyTwo OS ITC TT-Book"/>
        </w:rPr>
        <w:t>high relief holds many points of interest, mainly the King</w:t>
      </w:r>
      <w:r>
        <w:rPr>
          <w:rFonts w:ascii="Bodoni SvtyTwo OS ITC TT-Book" w:hAnsi="Bodoni SvtyTwo OS ITC TT-Book"/>
        </w:rPr>
        <w:t>’</w:t>
      </w:r>
      <w:r>
        <w:rPr>
          <w:rFonts w:ascii="Bodoni SvtyTwo OS ITC TT-Book" w:hAnsi="Bodoni SvtyTwo OS ITC TT-Book"/>
        </w:rPr>
        <w:t>s position on the same level, standing before a slightly larger, seated God, but nonetheless the association transfigures the King into a divinity (</w:t>
      </w:r>
      <w:proofErr w:type="spellStart"/>
      <w:r>
        <w:rPr>
          <w:rFonts w:ascii="Bodoni SvtyTwo OS ITC TT-Book" w:hAnsi="Bodoni SvtyTwo OS ITC TT-Book"/>
        </w:rPr>
        <w:t>Bahrini</w:t>
      </w:r>
      <w:proofErr w:type="spellEnd"/>
      <w:r>
        <w:rPr>
          <w:rFonts w:ascii="Bodoni SvtyTwo OS ITC TT-Book" w:hAnsi="Bodoni SvtyTwo OS ITC TT-Book"/>
        </w:rPr>
        <w:t>, 2007). Within the relief Hammurabi</w:t>
      </w:r>
      <w:r>
        <w:rPr>
          <w:rFonts w:ascii="Bodoni SvtyTwo OS ITC TT-Book" w:hAnsi="Bodoni SvtyTwo OS ITC TT-Book"/>
        </w:rPr>
        <w:t>’</w:t>
      </w:r>
      <w:r>
        <w:rPr>
          <w:rFonts w:ascii="Bodoni SvtyTwo OS ITC TT-Book" w:hAnsi="Bodoni SvtyTwo OS ITC TT-Book"/>
        </w:rPr>
        <w:t xml:space="preserve">s </w:t>
      </w:r>
      <w:r>
        <w:rPr>
          <w:rFonts w:ascii="Bodoni SvtyTwo OS ITC TT-Book" w:hAnsi="Bodoni SvtyTwo OS ITC TT-Book"/>
        </w:rPr>
        <w:t xml:space="preserve">hand is raised to his lips in prayer, painting his image as a pious king, which is reiterated within his prologue. Therefore it was important for the King </w:t>
      </w:r>
      <w:r>
        <w:rPr>
          <w:rFonts w:ascii="Bodoni SvtyTwo OS ITC TT-Book" w:hAnsi="Bodoni SvtyTwo OS ITC TT-Book"/>
        </w:rPr>
        <w:t>to not be depicted as the creator of Law but the enactor of divine will; this distinction absolved hi</w:t>
      </w:r>
      <w:r>
        <w:rPr>
          <w:rFonts w:ascii="Bodoni SvtyTwo OS ITC TT-Book" w:hAnsi="Bodoni SvtyTwo OS ITC TT-Book"/>
        </w:rPr>
        <w:t xml:space="preserve">m </w:t>
      </w:r>
      <w:r>
        <w:rPr>
          <w:rFonts w:ascii="Bodoni SvtyTwo OS ITC TT-Book" w:hAnsi="Bodoni SvtyTwo OS ITC TT-Book"/>
        </w:rPr>
        <w:t xml:space="preserve">from blame for less popular Laws as </w:t>
      </w:r>
      <w:r>
        <w:rPr>
          <w:rFonts w:ascii="Bodoni SvtyTwo OS ITC TT-Book" w:hAnsi="Bodoni SvtyTwo OS ITC TT-Book"/>
        </w:rPr>
        <w:lastRenderedPageBreak/>
        <w:t>well as granted his decrees spiritual weight (</w:t>
      </w:r>
      <w:proofErr w:type="spellStart"/>
      <w:r>
        <w:rPr>
          <w:rFonts w:ascii="Bodoni SvtyTwo OS ITC TT-Book" w:hAnsi="Bodoni SvtyTwo OS ITC TT-Book"/>
        </w:rPr>
        <w:t>Zaccagnini</w:t>
      </w:r>
      <w:proofErr w:type="spellEnd"/>
      <w:r>
        <w:rPr>
          <w:rFonts w:ascii="Bodoni SvtyTwo OS ITC TT-Book" w:hAnsi="Bodoni SvtyTwo OS ITC TT-Book"/>
        </w:rPr>
        <w:t>, 1994).</w:t>
      </w:r>
      <w:r>
        <w:rPr>
          <w:rFonts w:ascii="Bodoni SvtyTwo OS ITC TT-Book" w:hAnsi="Bodoni SvtyTwo OS ITC TT-Book"/>
        </w:rPr>
        <w:t xml:space="preserve"> </w:t>
      </w:r>
    </w:p>
    <w:p w:rsidR="009F22D2" w:rsidRDefault="006D4BB9" w:rsidP="00030275">
      <w:pPr>
        <w:pStyle w:val="Default"/>
        <w:jc w:val="both"/>
        <w:rPr>
          <w:rFonts w:ascii="Bodoni SvtyTwo OS ITC TT-Book" w:eastAsia="Bodoni SvtyTwo OS ITC TT-Book" w:hAnsi="Bodoni SvtyTwo OS ITC TT-Book" w:cs="Bodoni SvtyTwo OS ITC TT-Book"/>
        </w:rPr>
      </w:pPr>
      <w:r>
        <w:rPr>
          <w:rFonts w:ascii="Bodoni SvtyTwo OS ITC TT-Book" w:eastAsia="Bodoni SvtyTwo OS ITC TT-Book" w:hAnsi="Bodoni SvtyTwo OS ITC TT-Book" w:cs="Bodoni SvtyTwo OS ITC TT-Book"/>
        </w:rPr>
        <w:tab/>
        <w:t xml:space="preserve">The representation of the King had to incorporate a more human element than divine </w:t>
      </w:r>
      <w:r w:rsidR="00030275">
        <w:rPr>
          <w:rFonts w:ascii="Bodoni SvtyTwo OS ITC TT-Book" w:eastAsia="Bodoni SvtyTwo OS ITC TT-Book" w:hAnsi="Bodoni SvtyTwo OS ITC TT-Book" w:cs="Bodoni SvtyTwo OS ITC TT-Book"/>
        </w:rPr>
        <w:t>backing;</w:t>
      </w:r>
      <w:r>
        <w:rPr>
          <w:rFonts w:ascii="Bodoni SvtyTwo OS ITC TT-Book" w:eastAsia="Bodoni SvtyTwo OS ITC TT-Book" w:hAnsi="Bodoni SvtyTwo OS ITC TT-Book" w:cs="Bodoni SvtyTwo OS ITC TT-Book"/>
        </w:rPr>
        <w:t xml:space="preserve"> it also had to </w:t>
      </w:r>
      <w:r>
        <w:rPr>
          <w:rFonts w:ascii="Bodoni SvtyTwo OS ITC TT-Book" w:eastAsia="Bodoni SvtyTwo OS ITC TT-Book" w:hAnsi="Bodoni SvtyTwo OS ITC TT-Book" w:cs="Bodoni SvtyTwo OS ITC TT-Book"/>
        </w:rPr>
        <w:t>serve as a reminder of the King</w:t>
      </w:r>
      <w:r>
        <w:rPr>
          <w:rFonts w:ascii="Bodoni SvtyTwo OS ITC TT-Book" w:hAnsi="Bodoni SvtyTwo OS ITC TT-Book"/>
        </w:rPr>
        <w:t>’</w:t>
      </w:r>
      <w:r>
        <w:rPr>
          <w:rFonts w:ascii="Bodoni SvtyTwo OS ITC TT-Book" w:hAnsi="Bodoni SvtyTwo OS ITC TT-Book"/>
        </w:rPr>
        <w:t xml:space="preserve">s military strength. Although the emphasis was on his identity as a reverent king and servant to the gods, subtle allusions are made to military victories within the prologues and epilogues. In </w:t>
      </w:r>
      <w:proofErr w:type="spellStart"/>
      <w:r>
        <w:rPr>
          <w:rFonts w:ascii="Bodoni SvtyTwo OS ITC TT-Book" w:hAnsi="Bodoni SvtyTwo OS ITC TT-Book"/>
        </w:rPr>
        <w:t>Lipit</w:t>
      </w:r>
      <w:proofErr w:type="spellEnd"/>
      <w:r>
        <w:rPr>
          <w:rFonts w:ascii="Bodoni SvtyTwo OS ITC TT-Book" w:hAnsi="Bodoni SvtyTwo OS ITC TT-Book"/>
        </w:rPr>
        <w:t>-Ishtar</w:t>
      </w:r>
      <w:r>
        <w:rPr>
          <w:rFonts w:ascii="Bodoni SvtyTwo OS ITC TT-Book" w:hAnsi="Bodoni SvtyTwo OS ITC TT-Book"/>
        </w:rPr>
        <w:t>’</w:t>
      </w:r>
      <w:r>
        <w:rPr>
          <w:rFonts w:ascii="Bodoni SvtyTwo OS ITC TT-Book" w:hAnsi="Bodoni SvtyTwo OS ITC TT-Book"/>
        </w:rPr>
        <w:t>s prologue he pro</w:t>
      </w:r>
      <w:r>
        <w:rPr>
          <w:rFonts w:ascii="Bodoni SvtyTwo OS ITC TT-Book" w:hAnsi="Bodoni SvtyTwo OS ITC TT-Book"/>
        </w:rPr>
        <w:t xml:space="preserve">nounces his intentions </w:t>
      </w:r>
      <w:r w:rsidR="00030275">
        <w:rPr>
          <w:rFonts w:ascii="Bodoni SvtyTwo OS ITC TT-Book" w:hAnsi="Bodoni SvtyTwo OS ITC TT-Book"/>
        </w:rPr>
        <w:t xml:space="preserve">to </w:t>
      </w:r>
      <w:r w:rsidR="00030275">
        <w:rPr>
          <w:rFonts w:ascii="Bodoni SvtyTwo OS ITC TT-BookIt" w:hAnsi="Bodoni SvtyTwo OS ITC TT-BookIt"/>
        </w:rPr>
        <w:t>“</w:t>
      </w:r>
      <w:r w:rsidRPr="00030275">
        <w:rPr>
          <w:rFonts w:ascii="Bodoni SvtyTwo OS ITC TT-BookIt" w:hAnsi="Bodoni SvtyTwo OS ITC TT-BookIt"/>
          <w:i/>
        </w:rPr>
        <w:t xml:space="preserve">establish justice in the land, banish complaints, to turn back enmity (and) rebellion by the force of arm, (and) to bring well-being to the Sumerians and </w:t>
      </w:r>
      <w:proofErr w:type="spellStart"/>
      <w:r w:rsidRPr="00030275">
        <w:rPr>
          <w:rFonts w:ascii="Bodoni SvtyTwo OS ITC TT-BookIt" w:hAnsi="Bodoni SvtyTwo OS ITC TT-BookIt"/>
          <w:i/>
        </w:rPr>
        <w:t>Akkadians</w:t>
      </w:r>
      <w:proofErr w:type="spellEnd"/>
      <w:proofErr w:type="gramStart"/>
      <w:r w:rsidRPr="00030275">
        <w:rPr>
          <w:rFonts w:ascii="Bodoni SvtyTwo OS ITC TT-BookIt" w:hAnsi="Bodoni SvtyTwo OS ITC TT-BookIt"/>
          <w:i/>
        </w:rPr>
        <w:t>”</w:t>
      </w:r>
      <w:r>
        <w:rPr>
          <w:rFonts w:ascii="Bodoni SvtyTwo OS ITC TT-Book" w:hAnsi="Bodoni SvtyTwo OS ITC TT-Book"/>
        </w:rPr>
        <w:t xml:space="preserve">  (</w:t>
      </w:r>
      <w:proofErr w:type="gramEnd"/>
      <w:r>
        <w:rPr>
          <w:rFonts w:ascii="Bodoni SvtyTwo OS ITC TT-Book" w:hAnsi="Bodoni SvtyTwo OS ITC TT-Book"/>
        </w:rPr>
        <w:t>Kramer, 1963, pg. 336).</w:t>
      </w:r>
      <w:r w:rsidR="00030275">
        <w:rPr>
          <w:rFonts w:ascii="Bodoni SvtyTwo OS ITC TT-Book" w:hAnsi="Bodoni SvtyTwo OS ITC TT-Book"/>
        </w:rPr>
        <w:t xml:space="preserve"> </w:t>
      </w:r>
      <w:r>
        <w:rPr>
          <w:rFonts w:ascii="Bodoni SvtyTwo OS ITC TT-Book" w:hAnsi="Bodoni SvtyTwo OS ITC TT-Book"/>
        </w:rPr>
        <w:t>Here the threat is barely veiled by i</w:t>
      </w:r>
      <w:r>
        <w:rPr>
          <w:rFonts w:ascii="Bodoni SvtyTwo OS ITC TT-Book" w:hAnsi="Bodoni SvtyTwo OS ITC TT-Book"/>
        </w:rPr>
        <w:t xml:space="preserve">ts justification of bringing peace; </w:t>
      </w:r>
      <w:proofErr w:type="spellStart"/>
      <w:r>
        <w:rPr>
          <w:rFonts w:ascii="Bodoni SvtyTwo OS ITC TT-Book" w:hAnsi="Bodoni SvtyTwo OS ITC TT-Book"/>
        </w:rPr>
        <w:t>Lipit</w:t>
      </w:r>
      <w:proofErr w:type="spellEnd"/>
      <w:r>
        <w:rPr>
          <w:rFonts w:ascii="Bodoni SvtyTwo OS ITC TT-Book" w:hAnsi="Bodoni SvtyTwo OS ITC TT-Book"/>
        </w:rPr>
        <w:t>-Ishtar warns his people that uprising will be met and suppressed with physical force. This warning is reiterated with spiritual consequences in the epilogue, which is unfortunately partially destroyed and therefore</w:t>
      </w:r>
      <w:r>
        <w:rPr>
          <w:rFonts w:ascii="Bodoni SvtyTwo OS ITC TT-Book" w:hAnsi="Bodoni SvtyTwo OS ITC TT-Book"/>
        </w:rPr>
        <w:t xml:space="preserve"> not fully translated, and refers to a curse to anyone who defaces, destroys or writes upon his Stele (Kramer, 1963). Within Hammurabi</w:t>
      </w:r>
      <w:r>
        <w:rPr>
          <w:rFonts w:ascii="Bodoni SvtyTwo OS ITC TT-Book" w:hAnsi="Bodoni SvtyTwo OS ITC TT-Book"/>
        </w:rPr>
        <w:t>’</w:t>
      </w:r>
      <w:r>
        <w:rPr>
          <w:rFonts w:ascii="Bodoni SvtyTwo OS ITC TT-Book" w:hAnsi="Bodoni SvtyTwo OS ITC TT-Book"/>
        </w:rPr>
        <w:t xml:space="preserve">s code, which </w:t>
      </w:r>
      <w:proofErr w:type="spellStart"/>
      <w:r>
        <w:rPr>
          <w:rFonts w:ascii="Bodoni SvtyTwo OS ITC TT-Book" w:hAnsi="Bodoni SvtyTwo OS ITC TT-Book"/>
        </w:rPr>
        <w:t>emphasises</w:t>
      </w:r>
      <w:proofErr w:type="spellEnd"/>
      <w:r>
        <w:rPr>
          <w:rFonts w:ascii="Bodoni SvtyTwo OS ITC TT-Book" w:hAnsi="Bodoni SvtyTwo OS ITC TT-Book"/>
        </w:rPr>
        <w:t xml:space="preserve"> his role as the bringer of justice, his military success as the </w:t>
      </w:r>
      <w:proofErr w:type="spellStart"/>
      <w:r>
        <w:rPr>
          <w:rFonts w:ascii="Bodoni SvtyTwo OS ITC TT-Book" w:hAnsi="Bodoni SvtyTwo OS ITC TT-Book"/>
        </w:rPr>
        <w:t>conquerer</w:t>
      </w:r>
      <w:proofErr w:type="spellEnd"/>
      <w:r>
        <w:rPr>
          <w:rFonts w:ascii="Bodoni SvtyTwo OS ITC TT-Book" w:hAnsi="Bodoni SvtyTwo OS ITC TT-Book"/>
        </w:rPr>
        <w:t xml:space="preserve"> of the </w:t>
      </w:r>
      <w:r w:rsidRPr="00030275">
        <w:rPr>
          <w:rFonts w:ascii="Bodoni SvtyTwo OS ITC TT-BookIt" w:hAnsi="Bodoni SvtyTwo OS ITC TT-BookIt"/>
          <w:i/>
        </w:rPr>
        <w:t>“</w:t>
      </w:r>
      <w:r w:rsidRPr="00030275">
        <w:rPr>
          <w:rFonts w:ascii="Bodoni SvtyTwo OS ITC TT-BookIt" w:hAnsi="Bodoni SvtyTwo OS ITC TT-BookIt"/>
          <w:i/>
        </w:rPr>
        <w:t xml:space="preserve">four quarters </w:t>
      </w:r>
      <w:r w:rsidRPr="00030275">
        <w:rPr>
          <w:rFonts w:ascii="Bodoni SvtyTwo OS ITC TT-BookIt" w:hAnsi="Bodoni SvtyTwo OS ITC TT-BookIt"/>
          <w:i/>
        </w:rPr>
        <w:t>of the world</w:t>
      </w:r>
      <w:r w:rsidRPr="00030275">
        <w:rPr>
          <w:rFonts w:ascii="Bodoni SvtyTwo OS ITC TT-BookIt" w:hAnsi="Bodoni SvtyTwo OS ITC TT-BookIt"/>
          <w:i/>
        </w:rPr>
        <w:t>”</w:t>
      </w:r>
      <w:r>
        <w:rPr>
          <w:rFonts w:ascii="Bodoni SvtyTwo OS ITC TT-BookIt" w:hAnsi="Bodoni SvtyTwo OS ITC TT-BookIt"/>
        </w:rPr>
        <w:t xml:space="preserve"> </w:t>
      </w:r>
      <w:r>
        <w:rPr>
          <w:rFonts w:ascii="Bodoni SvtyTwo OS ITC TT-Book" w:hAnsi="Bodoni SvtyTwo OS ITC TT-Book"/>
        </w:rPr>
        <w:t xml:space="preserve">(King, 1910) is nevertheless one of his first qualities mentioned. Therefore Legal Codes were to serve as a reminder of the physical and divinely enforced power of a King over his people; he alone could end the life and identity of a person, </w:t>
      </w:r>
      <w:r>
        <w:rPr>
          <w:rFonts w:ascii="Bodoni SvtyTwo OS ITC TT-Book" w:hAnsi="Bodoni SvtyTwo OS ITC TT-Book"/>
        </w:rPr>
        <w:t>as his codes could justify the excommunication of an individual from society (</w:t>
      </w:r>
      <w:proofErr w:type="spellStart"/>
      <w:r>
        <w:rPr>
          <w:rFonts w:ascii="Bodoni SvtyTwo OS ITC TT-Book" w:hAnsi="Bodoni SvtyTwo OS ITC TT-Book"/>
        </w:rPr>
        <w:t>Bahrani</w:t>
      </w:r>
      <w:proofErr w:type="spellEnd"/>
      <w:r>
        <w:rPr>
          <w:rFonts w:ascii="Bodoni SvtyTwo OS ITC TT-Book" w:hAnsi="Bodoni SvtyTwo OS ITC TT-Book"/>
        </w:rPr>
        <w:t xml:space="preserve">, 2007). </w:t>
      </w:r>
    </w:p>
    <w:p w:rsidR="009F22D2" w:rsidRDefault="009F22D2">
      <w:pPr>
        <w:pStyle w:val="Body"/>
        <w:jc w:val="both"/>
      </w:pPr>
    </w:p>
    <w:p w:rsidR="009F22D2" w:rsidRDefault="006D4BB9">
      <w:pPr>
        <w:pStyle w:val="Body"/>
        <w:jc w:val="both"/>
        <w:rPr>
          <w:rFonts w:ascii="Bodoni SvtyTwo OS ITC TT-Book" w:eastAsia="Bodoni SvtyTwo OS ITC TT-Book" w:hAnsi="Bodoni SvtyTwo OS ITC TT-Book" w:cs="Bodoni SvtyTwo OS ITC TT-Book"/>
        </w:rPr>
      </w:pPr>
      <w:r>
        <w:rPr>
          <w:rFonts w:ascii="Bodoni SvtyTwo OS ITC TT-Book" w:hAnsi="Bodoni SvtyTwo OS ITC TT-Book"/>
        </w:rPr>
        <w:t xml:space="preserve">The role of Law as a deterrent for unrest has been </w:t>
      </w:r>
      <w:proofErr w:type="gramStart"/>
      <w:r>
        <w:rPr>
          <w:rFonts w:ascii="Bodoni SvtyTwo OS ITC TT-Book" w:hAnsi="Bodoni SvtyTwo OS ITC TT-Book"/>
        </w:rPr>
        <w:t>established,</w:t>
      </w:r>
      <w:proofErr w:type="gramEnd"/>
      <w:r>
        <w:rPr>
          <w:rFonts w:ascii="Bodoni SvtyTwo OS ITC TT-Book" w:hAnsi="Bodoni SvtyTwo OS ITC TT-Book"/>
        </w:rPr>
        <w:t xml:space="preserve"> however threats alone did not successfully quell rebellion. Indeed the Laws offered a way for ci</w:t>
      </w:r>
      <w:r>
        <w:rPr>
          <w:rFonts w:ascii="Bodoni SvtyTwo OS ITC TT-Book" w:hAnsi="Bodoni SvtyTwo OS ITC TT-Book"/>
        </w:rPr>
        <w:t xml:space="preserve">tizens to seek satisfaction against those who wronged them, and anyone could present a legal case so long as they had evidence. This does not guarantee legal success or rectification of those wronged, therefore the question of how to console those grieved </w:t>
      </w:r>
      <w:r>
        <w:rPr>
          <w:rFonts w:ascii="Bodoni SvtyTwo OS ITC TT-Book" w:hAnsi="Bodoni SvtyTwo OS ITC TT-Book"/>
        </w:rPr>
        <w:t xml:space="preserve">without undermining a statute of law had to be reached to prevent dissatisfaction spreading and leading to insubordination. Roth (2002) argues that this is where the Stele also acted as a spiritual judge, reinterpreting the below statement to mean the </w:t>
      </w:r>
      <w:proofErr w:type="spellStart"/>
      <w:r>
        <w:rPr>
          <w:rFonts w:ascii="Bodoni SvtyTwo OS ITC TT-Book" w:hAnsi="Bodoni SvtyTwo OS ITC TT-Book"/>
        </w:rPr>
        <w:t>stel</w:t>
      </w:r>
      <w:r>
        <w:rPr>
          <w:rFonts w:ascii="Bodoni SvtyTwo OS ITC TT-Book" w:hAnsi="Bodoni SvtyTwo OS ITC TT-Book"/>
        </w:rPr>
        <w:t>e</w:t>
      </w:r>
      <w:proofErr w:type="spellEnd"/>
      <w:r>
        <w:rPr>
          <w:rFonts w:ascii="Bodoni SvtyTwo OS ITC TT-Book" w:hAnsi="Bodoni SvtyTwo OS ITC TT-Book"/>
        </w:rPr>
        <w:t xml:space="preserve"> is to be prayed to for spiritual rectification that may</w:t>
      </w:r>
      <w:r w:rsidR="00030275">
        <w:rPr>
          <w:rFonts w:ascii="Bodoni SvtyTwo OS ITC TT-Book" w:hAnsi="Bodoni SvtyTwo OS ITC TT-Book"/>
        </w:rPr>
        <w:t xml:space="preserve"> not become physically apparent:</w:t>
      </w:r>
    </w:p>
    <w:p w:rsidR="009F22D2" w:rsidRPr="00030275" w:rsidRDefault="006D4BB9" w:rsidP="00030275">
      <w:pPr>
        <w:pStyle w:val="Body"/>
        <w:ind w:left="720" w:firstLine="45"/>
        <w:rPr>
          <w:rFonts w:ascii="Bodoni SvtyTwo OS ITC TT-BookIt" w:eastAsia="Bodoni SvtyTwo OS ITC TT-BookIt" w:hAnsi="Bodoni SvtyTwo OS ITC TT-BookIt" w:cs="Bodoni SvtyTwo OS ITC TT-BookIt"/>
          <w:i/>
        </w:rPr>
      </w:pPr>
      <w:r w:rsidRPr="00030275">
        <w:rPr>
          <w:rFonts w:ascii="Bodoni SvtyTwo OS ITC TT-BookIt" w:hAnsi="Bodoni SvtyTwo OS ITC TT-BookIt"/>
          <w:i/>
        </w:rPr>
        <w:t>May the wronged man who has a law case come before the statue of me, the kin</w:t>
      </w:r>
      <w:r w:rsidR="00030275" w:rsidRPr="00030275">
        <w:rPr>
          <w:rFonts w:ascii="Bodoni SvtyTwo OS ITC TT-BookIt" w:hAnsi="Bodoni SvtyTwo OS ITC TT-BookIt"/>
          <w:i/>
        </w:rPr>
        <w:t xml:space="preserve">g of justice, and may he read  </w:t>
      </w:r>
      <w:r w:rsidRPr="00030275">
        <w:rPr>
          <w:rFonts w:ascii="Bodoni SvtyTwo OS ITC TT-BookIt" w:hAnsi="Bodoni SvtyTwo OS ITC TT-BookIt"/>
          <w:i/>
        </w:rPr>
        <w:t xml:space="preserve">aloud my inscribed </w:t>
      </w:r>
      <w:proofErr w:type="spellStart"/>
      <w:r w:rsidRPr="00030275">
        <w:rPr>
          <w:rFonts w:ascii="Bodoni SvtyTwo OS ITC TT-BookIt" w:hAnsi="Bodoni SvtyTwo OS ITC TT-BookIt"/>
          <w:i/>
        </w:rPr>
        <w:t>stela</w:t>
      </w:r>
      <w:proofErr w:type="spellEnd"/>
      <w:r w:rsidRPr="00030275">
        <w:rPr>
          <w:rFonts w:ascii="Bodoni SvtyTwo OS ITC TT-BookIt" w:hAnsi="Bodoni SvtyTwo OS ITC TT-BookIt"/>
          <w:i/>
        </w:rPr>
        <w:t>, and thus may he head my precio</w:t>
      </w:r>
      <w:r w:rsidRPr="00030275">
        <w:rPr>
          <w:rFonts w:ascii="Bodoni SvtyTwo OS ITC TT-BookIt" w:hAnsi="Bodoni SvtyTwo OS ITC TT-BookIt"/>
          <w:i/>
        </w:rPr>
        <w:t>us pronouncements,</w:t>
      </w:r>
      <w:r w:rsidR="00030275" w:rsidRPr="00030275">
        <w:rPr>
          <w:rFonts w:ascii="Bodoni SvtyTwo OS ITC TT-BookIt" w:hAnsi="Bodoni SvtyTwo OS ITC TT-BookIt"/>
          <w:i/>
        </w:rPr>
        <w:t xml:space="preserve"> and may my </w:t>
      </w:r>
      <w:proofErr w:type="spellStart"/>
      <w:r w:rsidR="00030275" w:rsidRPr="00030275">
        <w:rPr>
          <w:rFonts w:ascii="Bodoni SvtyTwo OS ITC TT-BookIt" w:hAnsi="Bodoni SvtyTwo OS ITC TT-BookIt"/>
          <w:i/>
        </w:rPr>
        <w:t>stela</w:t>
      </w:r>
      <w:proofErr w:type="spellEnd"/>
      <w:r w:rsidR="00030275" w:rsidRPr="00030275">
        <w:rPr>
          <w:rFonts w:ascii="Bodoni SvtyTwo OS ITC TT-BookIt" w:hAnsi="Bodoni SvtyTwo OS ITC TT-BookIt"/>
          <w:i/>
        </w:rPr>
        <w:t xml:space="preserve"> produce the </w:t>
      </w:r>
      <w:r w:rsidRPr="00030275">
        <w:rPr>
          <w:rFonts w:ascii="Bodoni SvtyTwo OS ITC TT-BookIt" w:hAnsi="Bodoni SvtyTwo OS ITC TT-BookIt"/>
          <w:i/>
        </w:rPr>
        <w:t>law case for him; may he perceive his case; may he ease his heart (Roth, 1995</w:t>
      </w:r>
      <w:r w:rsidRPr="00030275">
        <w:rPr>
          <w:rFonts w:ascii="Bodoni SvtyTwo OS ITC TT-BookIt" w:eastAsia="Bodoni SvtyTwo OS ITC TT-BookIt" w:hAnsi="Bodoni SvtyTwo OS ITC TT-BookIt" w:cs="Bodoni SvtyTwo OS ITC TT-BookIt"/>
          <w:i/>
          <w:vertAlign w:val="superscript"/>
        </w:rPr>
        <w:footnoteReference w:id="4"/>
      </w:r>
      <w:r w:rsidRPr="00030275">
        <w:rPr>
          <w:rFonts w:ascii="Bodoni SvtyTwo OS ITC TT-BookIt" w:hAnsi="Bodoni SvtyTwo OS ITC TT-BookIt"/>
          <w:i/>
        </w:rPr>
        <w:t xml:space="preserve">) </w:t>
      </w:r>
    </w:p>
    <w:p w:rsidR="009F22D2" w:rsidRDefault="006D4BB9">
      <w:pPr>
        <w:pStyle w:val="Body"/>
        <w:jc w:val="both"/>
        <w:rPr>
          <w:rFonts w:ascii="Bodoni SvtyTwo OS ITC TT-Book" w:eastAsia="Bodoni SvtyTwo OS ITC TT-Book" w:hAnsi="Bodoni SvtyTwo OS ITC TT-Book" w:cs="Bodoni SvtyTwo OS ITC TT-Book"/>
        </w:rPr>
      </w:pPr>
      <w:r>
        <w:rPr>
          <w:rFonts w:ascii="Bodoni SvtyTwo OS ITC TT-Book" w:hAnsi="Bodoni SvtyTwo OS ITC TT-Book"/>
        </w:rPr>
        <w:t>Roth concludes that although the wronged man may not gain the material compensation they felt entitled to, they would be ment</w:t>
      </w:r>
      <w:r>
        <w:rPr>
          <w:rFonts w:ascii="Bodoni SvtyTwo OS ITC TT-Book" w:hAnsi="Bodoni SvtyTwo OS ITC TT-Book"/>
        </w:rPr>
        <w:t xml:space="preserve">ally and emotionally satisfied with the belief that the case would be in the hands of the gods and therefore beyond physical action (Roth 2002). </w:t>
      </w:r>
    </w:p>
    <w:p w:rsidR="009F22D2" w:rsidRDefault="009F22D2">
      <w:pPr>
        <w:pStyle w:val="Body"/>
        <w:jc w:val="both"/>
        <w:rPr>
          <w:rFonts w:ascii="Bodoni SvtyTwo OS ITC TT-Book" w:eastAsia="Bodoni SvtyTwo OS ITC TT-Book" w:hAnsi="Bodoni SvtyTwo OS ITC TT-Book" w:cs="Bodoni SvtyTwo OS ITC TT-Book"/>
        </w:rPr>
      </w:pPr>
    </w:p>
    <w:p w:rsidR="009F22D2" w:rsidRDefault="006D4BB9">
      <w:pPr>
        <w:pStyle w:val="Body"/>
        <w:jc w:val="both"/>
        <w:rPr>
          <w:rFonts w:ascii="Bodoni SvtyTwo OS ITC TT-Book" w:hAnsi="Bodoni SvtyTwo OS ITC TT-Book"/>
        </w:rPr>
      </w:pPr>
      <w:r>
        <w:rPr>
          <w:rFonts w:ascii="Bodoni SvtyTwo OS ITC TT-Book" w:hAnsi="Bodoni SvtyTwo OS ITC TT-Book"/>
        </w:rPr>
        <w:t>To conclude, the Legal Codes of Mesopotamian Rulers were used as a social tool to pacify the masses by establ</w:t>
      </w:r>
      <w:r>
        <w:rPr>
          <w:rFonts w:ascii="Bodoni SvtyTwo OS ITC TT-Book" w:hAnsi="Bodoni SvtyTwo OS ITC TT-Book"/>
        </w:rPr>
        <w:t>ishing irreproachable social boundaries, promoting the image of the King as the people</w:t>
      </w:r>
      <w:r>
        <w:rPr>
          <w:rFonts w:ascii="Bodoni SvtyTwo OS ITC TT-Book" w:hAnsi="Bodoni SvtyTwo OS ITC TT-Book"/>
        </w:rPr>
        <w:t>’</w:t>
      </w:r>
      <w:r>
        <w:rPr>
          <w:rFonts w:ascii="Bodoni SvtyTwo OS ITC TT-Book" w:hAnsi="Bodoni SvtyTwo OS ITC TT-Book"/>
        </w:rPr>
        <w:t>s hero and by offering a spiritual outlet for justice when people were unsatisfied with the physical outcome of their case. In this way people were constantly reminded o</w:t>
      </w:r>
      <w:r>
        <w:rPr>
          <w:rFonts w:ascii="Bodoni SvtyTwo OS ITC TT-Book" w:hAnsi="Bodoni SvtyTwo OS ITC TT-Book"/>
        </w:rPr>
        <w:t xml:space="preserve">f the power of the King as well his influence over the daily aspects of their lives. I argue that from a social perspective the Law Codes were a successful system in preventing uprisings, as to do so would be seen as an act against the gods. Nonetheless I </w:t>
      </w:r>
      <w:r>
        <w:rPr>
          <w:rFonts w:ascii="Bodoni SvtyTwo OS ITC TT-Book" w:hAnsi="Bodoni SvtyTwo OS ITC TT-Book"/>
        </w:rPr>
        <w:t>would like to suggest that Legal Codes were only an aid and could not be identified as the single factor in maintaining a successful dynasty, as made evident by Hammurabi, whose dynasty only ended shortly after the succession of his son (</w:t>
      </w:r>
      <w:proofErr w:type="spellStart"/>
      <w:r>
        <w:rPr>
          <w:rFonts w:ascii="Bodoni SvtyTwo OS ITC TT-Book" w:hAnsi="Bodoni SvtyTwo OS ITC TT-Book"/>
        </w:rPr>
        <w:t>Bertman</w:t>
      </w:r>
      <w:proofErr w:type="spellEnd"/>
      <w:r>
        <w:rPr>
          <w:rFonts w:ascii="Bodoni SvtyTwo OS ITC TT-Book" w:hAnsi="Bodoni SvtyTwo OS ITC TT-Book"/>
        </w:rPr>
        <w:t xml:space="preserve">, 2003). </w:t>
      </w:r>
    </w:p>
    <w:p w:rsidR="00030275" w:rsidRPr="00030275" w:rsidRDefault="00030275" w:rsidP="00030275">
      <w:pPr>
        <w:rPr>
          <w:rFonts w:ascii="Bodoni SvtyTwo OS ITC TT-Book" w:hAnsi="Bodoni SvtyTwo OS ITC TT-Book" w:cs="Arial Unicode MS"/>
          <w:color w:val="000000"/>
          <w:sz w:val="22"/>
          <w:szCs w:val="22"/>
          <w:lang w:eastAsia="en-GB"/>
        </w:rPr>
      </w:pPr>
      <w:r>
        <w:rPr>
          <w:rFonts w:ascii="Bodoni SvtyTwo OS ITC TT-Book" w:hAnsi="Bodoni SvtyTwo OS ITC TT-Book" w:hint="eastAsia"/>
        </w:rPr>
        <w:br w:type="page"/>
      </w:r>
    </w:p>
    <w:p w:rsidR="009F22D2" w:rsidRDefault="006D4BB9">
      <w:pPr>
        <w:pStyle w:val="Heading"/>
        <w:jc w:val="center"/>
        <w:rPr>
          <w:rFonts w:ascii="Arial Unicode MS" w:hAnsi="Arial Unicode MS"/>
          <w:b w:val="0"/>
          <w:bCs w:val="0"/>
          <w:color w:val="FF9300"/>
          <w:sz w:val="32"/>
          <w:szCs w:val="32"/>
        </w:rPr>
      </w:pPr>
      <w:r>
        <w:rPr>
          <w:rFonts w:ascii="Arial Unicode MS" w:hAnsi="Arial Unicode MS"/>
          <w:b w:val="0"/>
          <w:bCs w:val="0"/>
          <w:color w:val="FF9300"/>
          <w:sz w:val="32"/>
          <w:szCs w:val="32"/>
        </w:rPr>
        <w:lastRenderedPageBreak/>
        <w:t>❖</w:t>
      </w:r>
    </w:p>
    <w:p w:rsidR="00030275" w:rsidRPr="00030275" w:rsidRDefault="00030275" w:rsidP="00030275">
      <w:pPr>
        <w:pStyle w:val="Body"/>
      </w:pPr>
    </w:p>
    <w:p w:rsidR="009F22D2" w:rsidRPr="00030275" w:rsidRDefault="006D4BB9">
      <w:pPr>
        <w:pStyle w:val="Body"/>
        <w:rPr>
          <w:rFonts w:ascii="Bodoni SvtyTwo OS ITC TT-Book" w:hAnsi="Bodoni SvtyTwo OS ITC TT-Book"/>
          <w:i/>
          <w:color w:val="5E5E5E"/>
          <w:sz w:val="32"/>
          <w:szCs w:val="32"/>
        </w:rPr>
      </w:pPr>
      <w:r w:rsidRPr="00030275">
        <w:rPr>
          <w:rFonts w:ascii="Bodoni SvtyTwo OS ITC TT-Book" w:hAnsi="Bodoni SvtyTwo OS ITC TT-Book"/>
          <w:i/>
          <w:color w:val="5E5E5E"/>
          <w:sz w:val="32"/>
          <w:szCs w:val="32"/>
        </w:rPr>
        <w:t>Bibliography</w:t>
      </w:r>
    </w:p>
    <w:p w:rsidR="00030275" w:rsidRDefault="00030275">
      <w:pPr>
        <w:pStyle w:val="Body"/>
        <w:rPr>
          <w:rFonts w:ascii="Bodoni SvtyTwo OS ITC TT-Book" w:eastAsia="Bodoni SvtyTwo OS ITC TT-Book" w:hAnsi="Bodoni SvtyTwo OS ITC TT-Book" w:cs="Bodoni SvtyTwo OS ITC TT-Book"/>
          <w:color w:val="5E5E5E"/>
          <w:sz w:val="32"/>
          <w:szCs w:val="32"/>
        </w:rPr>
      </w:pPr>
    </w:p>
    <w:p w:rsidR="009F22D2" w:rsidRDefault="006D4BB9">
      <w:pPr>
        <w:pStyle w:val="Body"/>
        <w:rPr>
          <w:rFonts w:ascii="Bodoni SvtyTwo OS ITC TT-Book" w:eastAsia="Bodoni SvtyTwo OS ITC TT-Book" w:hAnsi="Bodoni SvtyTwo OS ITC TT-Book" w:cs="Bodoni SvtyTwo OS ITC TT-Book"/>
        </w:rPr>
      </w:pPr>
      <w:proofErr w:type="spellStart"/>
      <w:r>
        <w:rPr>
          <w:rFonts w:ascii="Bodoni SvtyTwo OS ITC TT-Book" w:hAnsi="Bodoni SvtyTwo OS ITC TT-Book"/>
        </w:rPr>
        <w:t>Assmanm</w:t>
      </w:r>
      <w:proofErr w:type="spellEnd"/>
      <w:r>
        <w:rPr>
          <w:rFonts w:ascii="Bodoni SvtyTwo OS ITC TT-Book" w:hAnsi="Bodoni SvtyTwo OS ITC TT-Book"/>
        </w:rPr>
        <w:t xml:space="preserve"> J. 2011. </w:t>
      </w:r>
      <w:r>
        <w:rPr>
          <w:rFonts w:ascii="Bodoni SvtyTwo OS ITC TT-BookIt" w:hAnsi="Bodoni SvtyTwo OS ITC TT-BookIt"/>
        </w:rPr>
        <w:t xml:space="preserve">Cultural Memory and Early </w:t>
      </w:r>
      <w:proofErr w:type="spellStart"/>
      <w:r>
        <w:rPr>
          <w:rFonts w:ascii="Bodoni SvtyTwo OS ITC TT-BookIt" w:hAnsi="Bodoni SvtyTwo OS ITC TT-BookIt"/>
        </w:rPr>
        <w:t>Civilisations</w:t>
      </w:r>
      <w:proofErr w:type="spellEnd"/>
      <w:r>
        <w:rPr>
          <w:rFonts w:ascii="Bodoni SvtyTwo OS ITC TT-BookIt" w:hAnsi="Bodoni SvtyTwo OS ITC TT-BookIt"/>
        </w:rPr>
        <w:t>: Writing, Remembrance and Political Imagination</w:t>
      </w:r>
      <w:r>
        <w:rPr>
          <w:rFonts w:ascii="Bodoni SvtyTwo OS ITC TT-Book" w:hAnsi="Bodoni SvtyTwo OS ITC TT-Book"/>
        </w:rPr>
        <w:t>. Cambridge. Cambridge University Press</w:t>
      </w:r>
    </w:p>
    <w:p w:rsidR="009F22D2" w:rsidRDefault="009F22D2">
      <w:pPr>
        <w:pStyle w:val="Body"/>
        <w:rPr>
          <w:rFonts w:ascii="Bodoni SvtyTwo OS ITC TT-Book" w:eastAsia="Bodoni SvtyTwo OS ITC TT-Book" w:hAnsi="Bodoni SvtyTwo OS ITC TT-Book" w:cs="Bodoni SvtyTwo OS ITC TT-Book"/>
        </w:rPr>
      </w:pPr>
    </w:p>
    <w:p w:rsidR="009F22D2" w:rsidRDefault="006D4BB9">
      <w:pPr>
        <w:pStyle w:val="Body"/>
        <w:rPr>
          <w:rFonts w:ascii="Bodoni SvtyTwo OS ITC TT-Book" w:eastAsia="Bodoni SvtyTwo OS ITC TT-Book" w:hAnsi="Bodoni SvtyTwo OS ITC TT-Book" w:cs="Bodoni SvtyTwo OS ITC TT-Book"/>
        </w:rPr>
      </w:pPr>
      <w:proofErr w:type="spellStart"/>
      <w:r>
        <w:rPr>
          <w:rFonts w:ascii="Bodoni SvtyTwo OS ITC TT-Book" w:hAnsi="Bodoni SvtyTwo OS ITC TT-Book"/>
        </w:rPr>
        <w:t>Bertman</w:t>
      </w:r>
      <w:proofErr w:type="spellEnd"/>
      <w:r>
        <w:rPr>
          <w:rFonts w:ascii="Bodoni SvtyTwo OS ITC TT-Book" w:hAnsi="Bodoni SvtyTwo OS ITC TT-Book"/>
        </w:rPr>
        <w:t xml:space="preserve">, S. 2003. </w:t>
      </w:r>
      <w:proofErr w:type="gramStart"/>
      <w:r>
        <w:rPr>
          <w:rFonts w:ascii="Bodoni SvtyTwo OS ITC TT-BookIt" w:hAnsi="Bodoni SvtyTwo OS ITC TT-BookIt"/>
        </w:rPr>
        <w:t>Handbook to Life in Ancient Mesopotamia.</w:t>
      </w:r>
      <w:proofErr w:type="gramEnd"/>
      <w:r>
        <w:rPr>
          <w:rFonts w:ascii="Bodoni SvtyTwo OS ITC TT-BookIt" w:hAnsi="Bodoni SvtyTwo OS ITC TT-BookIt"/>
        </w:rPr>
        <w:t xml:space="preserve"> </w:t>
      </w:r>
      <w:r>
        <w:rPr>
          <w:rFonts w:ascii="Bodoni SvtyTwo OS ITC TT-Book" w:hAnsi="Bodoni SvtyTwo OS ITC TT-Book"/>
        </w:rPr>
        <w:t>New York. Facts on File</w:t>
      </w:r>
    </w:p>
    <w:p w:rsidR="009F22D2" w:rsidRDefault="009F22D2">
      <w:pPr>
        <w:pStyle w:val="Body"/>
        <w:rPr>
          <w:rFonts w:ascii="Bodoni SvtyTwo OS ITC TT-Book" w:eastAsia="Bodoni SvtyTwo OS ITC TT-Book" w:hAnsi="Bodoni SvtyTwo OS ITC TT-Book" w:cs="Bodoni SvtyTwo OS ITC TT-Book"/>
        </w:rPr>
      </w:pPr>
    </w:p>
    <w:p w:rsidR="009F22D2" w:rsidRDefault="006D4BB9">
      <w:pPr>
        <w:pStyle w:val="Body"/>
        <w:rPr>
          <w:rFonts w:ascii="Bodoni SvtyTwo OS ITC TT-BookIt" w:eastAsia="Bodoni SvtyTwo OS ITC TT-BookIt" w:hAnsi="Bodoni SvtyTwo OS ITC TT-BookIt" w:cs="Bodoni SvtyTwo OS ITC TT-BookIt"/>
        </w:rPr>
      </w:pPr>
      <w:r>
        <w:rPr>
          <w:rFonts w:ascii="Bodoni SvtyTwo OS ITC TT-Book" w:hAnsi="Bodoni SvtyTwo OS ITC TT-Book"/>
        </w:rPr>
        <w:t>Hammurabi. Ki</w:t>
      </w:r>
      <w:r>
        <w:rPr>
          <w:rFonts w:ascii="Bodoni SvtyTwo OS ITC TT-Book" w:hAnsi="Bodoni SvtyTwo OS ITC TT-Book"/>
        </w:rPr>
        <w:t>ng, L. W (</w:t>
      </w:r>
      <w:proofErr w:type="gramStart"/>
      <w:r>
        <w:rPr>
          <w:rFonts w:ascii="Bodoni SvtyTwo OS ITC TT-Book" w:hAnsi="Bodoni SvtyTwo OS ITC TT-Book"/>
        </w:rPr>
        <w:t>trans</w:t>
      </w:r>
      <w:proofErr w:type="gramEnd"/>
      <w:r>
        <w:rPr>
          <w:rFonts w:ascii="Bodoni SvtyTwo OS ITC TT-Book" w:hAnsi="Bodoni SvtyTwo OS ITC TT-Book"/>
        </w:rPr>
        <w:t xml:space="preserve">.). 1910. </w:t>
      </w:r>
      <w:r>
        <w:rPr>
          <w:rFonts w:ascii="Bodoni SvtyTwo OS ITC TT-BookIt" w:hAnsi="Bodoni SvtyTwo OS ITC TT-BookIt"/>
        </w:rPr>
        <w:t xml:space="preserve">The Code of Hammurabi. </w:t>
      </w:r>
      <w:r>
        <w:rPr>
          <w:rFonts w:ascii="Bodoni SvtyTwo OS ITC TT-Book" w:hAnsi="Bodoni SvtyTwo OS ITC TT-Book"/>
        </w:rPr>
        <w:t xml:space="preserve">[Available at: </w:t>
      </w:r>
      <w:hyperlink r:id="rId7" w:history="1">
        <w:r>
          <w:rPr>
            <w:rStyle w:val="Hyperlink0"/>
            <w:rFonts w:ascii="Bodoni SvtyTwo OS ITC TT-Book" w:hAnsi="Bodoni SvtyTwo OS ITC TT-Book"/>
          </w:rPr>
          <w:t>http://avalon.law.yale.edu/ancient/hamframe.asp</w:t>
        </w:r>
      </w:hyperlink>
      <w:r>
        <w:rPr>
          <w:rFonts w:ascii="Bodoni SvtyTwo OS ITC TT-Book" w:hAnsi="Bodoni SvtyTwo OS ITC TT-Book"/>
        </w:rPr>
        <w:t>] (Last Accessed: 10/03/19)</w:t>
      </w:r>
    </w:p>
    <w:p w:rsidR="009F22D2" w:rsidRDefault="009F22D2">
      <w:pPr>
        <w:pStyle w:val="Body"/>
        <w:rPr>
          <w:rFonts w:ascii="Bodoni SvtyTwo OS ITC TT-Book" w:eastAsia="Bodoni SvtyTwo OS ITC TT-Book" w:hAnsi="Bodoni SvtyTwo OS ITC TT-Book" w:cs="Bodoni SvtyTwo OS ITC TT-Book"/>
        </w:rPr>
      </w:pPr>
    </w:p>
    <w:p w:rsidR="009F22D2" w:rsidRDefault="006D4BB9">
      <w:pPr>
        <w:pStyle w:val="Body"/>
        <w:rPr>
          <w:rFonts w:ascii="Bodoni SvtyTwo OS ITC TT-Book" w:eastAsia="Bodoni SvtyTwo OS ITC TT-Book" w:hAnsi="Bodoni SvtyTwo OS ITC TT-Book" w:cs="Bodoni SvtyTwo OS ITC TT-Book"/>
        </w:rPr>
      </w:pPr>
      <w:r>
        <w:rPr>
          <w:rFonts w:ascii="Bodoni SvtyTwo OS ITC TT-Book" w:hAnsi="Bodoni SvtyTwo OS ITC TT-Book"/>
        </w:rPr>
        <w:t xml:space="preserve">Kramer, S. N. 1963. </w:t>
      </w:r>
      <w:r>
        <w:rPr>
          <w:rFonts w:ascii="Bodoni SvtyTwo OS ITC TT-BookIt" w:hAnsi="Bodoni SvtyTwo OS ITC TT-BookIt"/>
        </w:rPr>
        <w:t>The Sumerians: Their History, Cult</w:t>
      </w:r>
      <w:r>
        <w:rPr>
          <w:rFonts w:ascii="Bodoni SvtyTwo OS ITC TT-BookIt" w:hAnsi="Bodoni SvtyTwo OS ITC TT-BookIt"/>
        </w:rPr>
        <w:t xml:space="preserve">ure and Character. </w:t>
      </w:r>
      <w:r>
        <w:rPr>
          <w:rFonts w:ascii="Bodoni SvtyTwo OS ITC TT-Book" w:hAnsi="Bodoni SvtyTwo OS ITC TT-Book"/>
        </w:rPr>
        <w:t>London. University of Chicago Press</w:t>
      </w:r>
    </w:p>
    <w:p w:rsidR="009F22D2" w:rsidRDefault="009F22D2">
      <w:pPr>
        <w:pStyle w:val="Body"/>
        <w:rPr>
          <w:rFonts w:ascii="Bodoni SvtyTwo OS ITC TT-Book" w:eastAsia="Bodoni SvtyTwo OS ITC TT-Book" w:hAnsi="Bodoni SvtyTwo OS ITC TT-Book" w:cs="Bodoni SvtyTwo OS ITC TT-Book"/>
        </w:rPr>
      </w:pPr>
    </w:p>
    <w:p w:rsidR="009F22D2" w:rsidRDefault="006D4BB9">
      <w:pPr>
        <w:pStyle w:val="Body"/>
        <w:rPr>
          <w:rFonts w:ascii="Bodoni SvtyTwo OS ITC TT-BookIt" w:eastAsia="Bodoni SvtyTwo OS ITC TT-BookIt" w:hAnsi="Bodoni SvtyTwo OS ITC TT-BookIt" w:cs="Bodoni SvtyTwo OS ITC TT-BookIt"/>
        </w:rPr>
      </w:pPr>
      <w:proofErr w:type="spellStart"/>
      <w:r>
        <w:rPr>
          <w:rFonts w:ascii="Bodoni SvtyTwo OS ITC TT-Book" w:hAnsi="Bodoni SvtyTwo OS ITC TT-Book"/>
        </w:rPr>
        <w:t>Bahrani</w:t>
      </w:r>
      <w:proofErr w:type="spellEnd"/>
      <w:r>
        <w:rPr>
          <w:rFonts w:ascii="Bodoni SvtyTwo OS ITC TT-Book" w:hAnsi="Bodoni SvtyTwo OS ITC TT-Book"/>
        </w:rPr>
        <w:t xml:space="preserve">, Z. </w:t>
      </w:r>
      <w:r>
        <w:rPr>
          <w:rFonts w:ascii="Bodoni SvtyTwo OS ITC TT-BookIt" w:hAnsi="Bodoni SvtyTwo OS ITC TT-BookIt"/>
        </w:rPr>
        <w:t>The Babylonian Visual Image</w:t>
      </w:r>
    </w:p>
    <w:p w:rsidR="009F22D2" w:rsidRDefault="006D4BB9">
      <w:pPr>
        <w:pStyle w:val="Body"/>
        <w:rPr>
          <w:rFonts w:ascii="Bodoni SvtyTwo OS ITC TT-Book" w:eastAsia="Bodoni SvtyTwo OS ITC TT-Book" w:hAnsi="Bodoni SvtyTwo OS ITC TT-Book" w:cs="Bodoni SvtyTwo OS ITC TT-Book"/>
        </w:rPr>
      </w:pPr>
      <w:proofErr w:type="spellStart"/>
      <w:proofErr w:type="gramStart"/>
      <w:r>
        <w:rPr>
          <w:rFonts w:ascii="Bodoni SvtyTwo OS ITC TT-Book" w:hAnsi="Bodoni SvtyTwo OS ITC TT-Book"/>
        </w:rPr>
        <w:t>Selz</w:t>
      </w:r>
      <w:proofErr w:type="spellEnd"/>
      <w:r>
        <w:rPr>
          <w:rFonts w:ascii="Bodoni SvtyTwo OS ITC TT-Book" w:hAnsi="Bodoni SvtyTwo OS ITC TT-Book"/>
        </w:rPr>
        <w:t xml:space="preserve">, G. J. </w:t>
      </w:r>
      <w:r>
        <w:rPr>
          <w:rFonts w:ascii="Bodoni SvtyTwo OS ITC TT-BookIt" w:hAnsi="Bodoni SvtyTwo OS ITC TT-BookIt"/>
        </w:rPr>
        <w:t xml:space="preserve">Power, Economy and Social </w:t>
      </w:r>
      <w:proofErr w:type="spellStart"/>
      <w:r>
        <w:rPr>
          <w:rFonts w:ascii="Bodoni SvtyTwo OS ITC TT-BookIt" w:hAnsi="Bodoni SvtyTwo OS ITC TT-BookIt"/>
        </w:rPr>
        <w:t>Organisation</w:t>
      </w:r>
      <w:proofErr w:type="spellEnd"/>
      <w:r>
        <w:rPr>
          <w:rFonts w:ascii="Bodoni SvtyTwo OS ITC TT-BookIt" w:hAnsi="Bodoni SvtyTwo OS ITC TT-BookIt"/>
        </w:rPr>
        <w:t xml:space="preserve"> in Babylonia.</w:t>
      </w:r>
      <w:proofErr w:type="gramEnd"/>
      <w:r>
        <w:rPr>
          <w:rFonts w:ascii="Bodoni SvtyTwo OS ITC TT-BookIt" w:hAnsi="Bodoni SvtyTwo OS ITC TT-BookIt"/>
        </w:rPr>
        <w:t xml:space="preserve"> </w:t>
      </w:r>
    </w:p>
    <w:p w:rsidR="009F22D2" w:rsidRDefault="006D4BB9">
      <w:pPr>
        <w:pStyle w:val="Body"/>
        <w:rPr>
          <w:rFonts w:ascii="Bodoni SvtyTwo OS ITC TT-Book" w:eastAsia="Bodoni SvtyTwo OS ITC TT-Book" w:hAnsi="Bodoni SvtyTwo OS ITC TT-Book" w:cs="Bodoni SvtyTwo OS ITC TT-Book"/>
        </w:rPr>
      </w:pPr>
      <w:r>
        <w:rPr>
          <w:rFonts w:ascii="Bodoni SvtyTwo OS ITC TT-Book" w:eastAsia="Bodoni SvtyTwo OS ITC TT-Book" w:hAnsi="Bodoni SvtyTwo OS ITC TT-Book" w:cs="Bodoni SvtyTwo OS ITC TT-Book"/>
        </w:rPr>
        <w:tab/>
        <w:t xml:space="preserve">In </w:t>
      </w:r>
      <w:proofErr w:type="spellStart"/>
      <w:r>
        <w:rPr>
          <w:rFonts w:ascii="Bodoni SvtyTwo OS ITC TT-Book" w:eastAsia="Bodoni SvtyTwo OS ITC TT-Book" w:hAnsi="Bodoni SvtyTwo OS ITC TT-Book" w:cs="Bodoni SvtyTwo OS ITC TT-Book"/>
        </w:rPr>
        <w:t>Leik</w:t>
      </w:r>
      <w:proofErr w:type="spellEnd"/>
      <w:r>
        <w:rPr>
          <w:rFonts w:ascii="Bodoni SvtyTwo OS ITC TT-Book" w:eastAsia="Bodoni SvtyTwo OS ITC TT-Book" w:hAnsi="Bodoni SvtyTwo OS ITC TT-Book" w:cs="Bodoni SvtyTwo OS ITC TT-Book"/>
        </w:rPr>
        <w:t>, G. (</w:t>
      </w:r>
      <w:proofErr w:type="spellStart"/>
      <w:proofErr w:type="gramStart"/>
      <w:r>
        <w:rPr>
          <w:rFonts w:ascii="Bodoni SvtyTwo OS ITC TT-Book" w:eastAsia="Bodoni SvtyTwo OS ITC TT-Book" w:hAnsi="Bodoni SvtyTwo OS ITC TT-Book" w:cs="Bodoni SvtyTwo OS ITC TT-Book"/>
        </w:rPr>
        <w:t>ed</w:t>
      </w:r>
      <w:proofErr w:type="spellEnd"/>
      <w:proofErr w:type="gramEnd"/>
      <w:r>
        <w:rPr>
          <w:rFonts w:ascii="Bodoni SvtyTwo OS ITC TT-Book" w:eastAsia="Bodoni SvtyTwo OS ITC TT-Book" w:hAnsi="Bodoni SvtyTwo OS ITC TT-Book" w:cs="Bodoni SvtyTwo OS ITC TT-Book"/>
        </w:rPr>
        <w:t xml:space="preserve">). 2007. </w:t>
      </w:r>
      <w:r>
        <w:rPr>
          <w:rFonts w:ascii="Bodoni SvtyTwo OS ITC TT-BookIt" w:hAnsi="Bodoni SvtyTwo OS ITC TT-BookIt"/>
        </w:rPr>
        <w:t xml:space="preserve">The Babylonian World. </w:t>
      </w:r>
      <w:r>
        <w:rPr>
          <w:rFonts w:ascii="Bodoni SvtyTwo OS ITC TT-Book" w:hAnsi="Bodoni SvtyTwo OS ITC TT-Book"/>
        </w:rPr>
        <w:t xml:space="preserve">London. </w:t>
      </w:r>
      <w:proofErr w:type="spellStart"/>
      <w:r>
        <w:rPr>
          <w:rFonts w:ascii="Bodoni SvtyTwo OS ITC TT-Book" w:hAnsi="Bodoni SvtyTwo OS ITC TT-Book"/>
        </w:rPr>
        <w:t>Routledge</w:t>
      </w:r>
      <w:proofErr w:type="spellEnd"/>
      <w:r>
        <w:rPr>
          <w:rFonts w:ascii="Bodoni SvtyTwo OS ITC TT-Book" w:hAnsi="Bodoni SvtyTwo OS ITC TT-Book"/>
        </w:rPr>
        <w:t xml:space="preserve"> </w:t>
      </w:r>
    </w:p>
    <w:p w:rsidR="009F22D2" w:rsidRDefault="006D4BB9">
      <w:pPr>
        <w:pStyle w:val="Body"/>
        <w:rPr>
          <w:rFonts w:ascii="Bodoni SvtyTwo OS ITC TT-Book" w:eastAsia="Bodoni SvtyTwo OS ITC TT-Book" w:hAnsi="Bodoni SvtyTwo OS ITC TT-Book" w:cs="Bodoni SvtyTwo OS ITC TT-Book"/>
        </w:rPr>
      </w:pPr>
      <w:r>
        <w:rPr>
          <w:rFonts w:ascii="Bodoni SvtyTwo OS ITC TT-Book" w:hAnsi="Bodoni SvtyTwo OS ITC TT-Book"/>
        </w:rPr>
        <w:t xml:space="preserve"> </w:t>
      </w:r>
    </w:p>
    <w:p w:rsidR="009F22D2" w:rsidRDefault="006D4BB9">
      <w:pPr>
        <w:pStyle w:val="Body"/>
        <w:rPr>
          <w:rFonts w:ascii="Bodoni SvtyTwo OS ITC TT-BookIt" w:eastAsia="Bodoni SvtyTwo OS ITC TT-BookIt" w:hAnsi="Bodoni SvtyTwo OS ITC TT-BookIt" w:cs="Bodoni SvtyTwo OS ITC TT-BookIt"/>
        </w:rPr>
      </w:pPr>
      <w:proofErr w:type="spellStart"/>
      <w:r>
        <w:rPr>
          <w:rFonts w:ascii="Bodoni SvtyTwo OS ITC TT-Book" w:hAnsi="Bodoni SvtyTwo OS ITC TT-Book"/>
        </w:rPr>
        <w:t>McNairn</w:t>
      </w:r>
      <w:proofErr w:type="spellEnd"/>
      <w:r>
        <w:rPr>
          <w:rFonts w:ascii="Bodoni SvtyTwo OS ITC TT-Book" w:hAnsi="Bodoni SvtyTwo OS ITC TT-Book"/>
        </w:rPr>
        <w:t xml:space="preserve">, B.1980. </w:t>
      </w:r>
      <w:proofErr w:type="gramStart"/>
      <w:r>
        <w:rPr>
          <w:rFonts w:ascii="Bodoni SvtyTwo OS ITC TT-BookIt" w:hAnsi="Bodoni SvtyTwo OS ITC TT-BookIt"/>
        </w:rPr>
        <w:t>The Method and Theory of V. Gordon Childe.</w:t>
      </w:r>
      <w:proofErr w:type="gramEnd"/>
      <w:r>
        <w:rPr>
          <w:rFonts w:ascii="Bodoni SvtyTwo OS ITC TT-BookIt" w:hAnsi="Bodoni SvtyTwo OS ITC TT-BookIt"/>
        </w:rPr>
        <w:t xml:space="preserve"> </w:t>
      </w:r>
      <w:r>
        <w:rPr>
          <w:rFonts w:ascii="Bodoni SvtyTwo OS ITC TT-Book" w:hAnsi="Bodoni SvtyTwo OS ITC TT-Book"/>
        </w:rPr>
        <w:t>Edinburgh. Edinburgh University Press</w:t>
      </w:r>
    </w:p>
    <w:p w:rsidR="009F22D2" w:rsidRDefault="009F22D2">
      <w:pPr>
        <w:pStyle w:val="Body"/>
        <w:rPr>
          <w:rFonts w:ascii="Bodoni SvtyTwo OS ITC TT-BookIt" w:eastAsia="Bodoni SvtyTwo OS ITC TT-BookIt" w:hAnsi="Bodoni SvtyTwo OS ITC TT-BookIt" w:cs="Bodoni SvtyTwo OS ITC TT-BookIt"/>
        </w:rPr>
      </w:pPr>
    </w:p>
    <w:p w:rsidR="009F22D2" w:rsidRDefault="006D4BB9">
      <w:pPr>
        <w:pStyle w:val="Body"/>
        <w:rPr>
          <w:rFonts w:ascii="Bodoni SvtyTwo OS ITC TT-Book" w:eastAsia="Bodoni SvtyTwo OS ITC TT-Book" w:hAnsi="Bodoni SvtyTwo OS ITC TT-Book" w:cs="Bodoni SvtyTwo OS ITC TT-Book"/>
        </w:rPr>
      </w:pPr>
      <w:proofErr w:type="spellStart"/>
      <w:proofErr w:type="gramStart"/>
      <w:r>
        <w:rPr>
          <w:rFonts w:ascii="Bodoni SvtyTwo OS ITC TT-Book" w:hAnsi="Bodoni SvtyTwo OS ITC TT-Book"/>
        </w:rPr>
        <w:t>Postgate</w:t>
      </w:r>
      <w:proofErr w:type="spellEnd"/>
      <w:r>
        <w:rPr>
          <w:rFonts w:ascii="Bodoni SvtyTwo OS ITC TT-Book" w:hAnsi="Bodoni SvtyTwo OS ITC TT-Book"/>
        </w:rPr>
        <w:t>, J.N. 1992.</w:t>
      </w:r>
      <w:proofErr w:type="gramEnd"/>
      <w:r>
        <w:rPr>
          <w:rFonts w:ascii="Bodoni SvtyTwo OS ITC TT-Book" w:hAnsi="Bodoni SvtyTwo OS ITC TT-Book"/>
        </w:rPr>
        <w:t xml:space="preserve"> </w:t>
      </w:r>
      <w:r>
        <w:rPr>
          <w:rFonts w:ascii="Bodoni SvtyTwo OS ITC TT-BookIt" w:hAnsi="Bodoni SvtyTwo OS ITC TT-BookIt"/>
        </w:rPr>
        <w:t xml:space="preserve">Early Mesopotamia: Society and Economy at the Dawn of History. </w:t>
      </w:r>
      <w:r>
        <w:rPr>
          <w:rFonts w:ascii="Bodoni SvtyTwo OS ITC TT-Book" w:hAnsi="Bodoni SvtyTwo OS ITC TT-Book"/>
        </w:rPr>
        <w:t xml:space="preserve">London. </w:t>
      </w:r>
      <w:proofErr w:type="spellStart"/>
      <w:r>
        <w:rPr>
          <w:rFonts w:ascii="Bodoni SvtyTwo OS ITC TT-Book" w:hAnsi="Bodoni SvtyTwo OS ITC TT-Book"/>
        </w:rPr>
        <w:t>Routledge</w:t>
      </w:r>
      <w:proofErr w:type="spellEnd"/>
    </w:p>
    <w:p w:rsidR="009F22D2" w:rsidRDefault="009F22D2">
      <w:pPr>
        <w:pStyle w:val="Body"/>
        <w:rPr>
          <w:rFonts w:ascii="Bodoni SvtyTwo OS ITC TT-Book" w:eastAsia="Bodoni SvtyTwo OS ITC TT-Book" w:hAnsi="Bodoni SvtyTwo OS ITC TT-Book" w:cs="Bodoni SvtyTwo OS ITC TT-Book"/>
        </w:rPr>
      </w:pPr>
    </w:p>
    <w:p w:rsidR="009F22D2" w:rsidRDefault="006D4BB9">
      <w:pPr>
        <w:pStyle w:val="Body"/>
        <w:rPr>
          <w:rFonts w:ascii="Bodoni SvtyTwo OS ITC TT-Book" w:eastAsia="Bodoni SvtyTwo OS ITC TT-Book" w:hAnsi="Bodoni SvtyTwo OS ITC TT-Book" w:cs="Bodoni SvtyTwo OS ITC TT-Book"/>
        </w:rPr>
      </w:pPr>
      <w:r>
        <w:rPr>
          <w:rFonts w:ascii="Bodoni SvtyTwo OS ITC TT-Book" w:hAnsi="Bodoni SvtyTwo OS ITC TT-Book"/>
        </w:rPr>
        <w:t xml:space="preserve">Roth, M. T. 1995. </w:t>
      </w:r>
      <w:proofErr w:type="gramStart"/>
      <w:r>
        <w:rPr>
          <w:rFonts w:ascii="Bodoni SvtyTwo OS ITC TT-BookIt" w:hAnsi="Bodoni SvtyTwo OS ITC TT-BookIt"/>
        </w:rPr>
        <w:t>Law Collections from Mesopotamia and Asia Minor.</w:t>
      </w:r>
      <w:proofErr w:type="gramEnd"/>
      <w:r>
        <w:rPr>
          <w:rFonts w:ascii="Bodoni SvtyTwo OS ITC TT-BookIt" w:hAnsi="Bodoni SvtyTwo OS ITC TT-BookIt"/>
        </w:rPr>
        <w:t xml:space="preserve"> </w:t>
      </w:r>
      <w:proofErr w:type="gramStart"/>
      <w:r>
        <w:rPr>
          <w:rFonts w:ascii="Bodoni SvtyTwo OS ITC TT-Book" w:hAnsi="Bodoni SvtyTwo OS ITC TT-Book"/>
        </w:rPr>
        <w:t xml:space="preserve">SBL </w:t>
      </w:r>
      <w:r>
        <w:rPr>
          <w:rFonts w:ascii="Bodoni SvtyTwo OS ITC TT-Book" w:hAnsi="Bodoni SvtyTwo OS ITC TT-Book"/>
        </w:rPr>
        <w:t>Writings from the Ancient World, vol. 6.</w:t>
      </w:r>
      <w:proofErr w:type="gramEnd"/>
      <w:r>
        <w:rPr>
          <w:rFonts w:ascii="Bodoni SvtyTwo OS ITC TT-Book" w:hAnsi="Bodoni SvtyTwo OS ITC TT-Book"/>
        </w:rPr>
        <w:t xml:space="preserve"> </w:t>
      </w:r>
      <w:proofErr w:type="spellStart"/>
      <w:r>
        <w:rPr>
          <w:rFonts w:ascii="Bodoni SvtyTwo OS ITC TT-Book" w:hAnsi="Bodoni SvtyTwo OS ITC TT-Book"/>
        </w:rPr>
        <w:t>Alyanta</w:t>
      </w:r>
      <w:proofErr w:type="spellEnd"/>
      <w:r>
        <w:rPr>
          <w:rFonts w:ascii="Bodoni SvtyTwo OS ITC TT-Book" w:hAnsi="Bodoni SvtyTwo OS ITC TT-Book"/>
        </w:rPr>
        <w:t xml:space="preserve"> Scholars Press</w:t>
      </w:r>
    </w:p>
    <w:p w:rsidR="009F22D2" w:rsidRDefault="006D4BB9">
      <w:pPr>
        <w:pStyle w:val="Body"/>
        <w:rPr>
          <w:rFonts w:ascii="Bodoni SvtyTwo OS ITC TT-Book" w:eastAsia="Bodoni SvtyTwo OS ITC TT-Book" w:hAnsi="Bodoni SvtyTwo OS ITC TT-Book" w:cs="Bodoni SvtyTwo OS ITC TT-Book"/>
        </w:rPr>
      </w:pPr>
      <w:r>
        <w:rPr>
          <w:rFonts w:ascii="Bodoni SvtyTwo OS ITC TT-Book" w:eastAsia="Bodoni SvtyTwo OS ITC TT-Book" w:hAnsi="Bodoni SvtyTwo OS ITC TT-Book" w:cs="Bodoni SvtyTwo OS ITC TT-Book"/>
        </w:rPr>
        <w:tab/>
        <w:t xml:space="preserve">2002. </w:t>
      </w:r>
      <w:r>
        <w:rPr>
          <w:rFonts w:ascii="Bodoni SvtyTwo OS ITC TT-BookIt" w:hAnsi="Bodoni SvtyTwo OS ITC TT-BookIt"/>
        </w:rPr>
        <w:t>Hammurabi</w:t>
      </w:r>
      <w:r>
        <w:rPr>
          <w:rFonts w:ascii="Bodoni SvtyTwo OS ITC TT-BookIt" w:hAnsi="Bodoni SvtyTwo OS ITC TT-BookIt"/>
        </w:rPr>
        <w:t>’</w:t>
      </w:r>
      <w:r>
        <w:rPr>
          <w:rFonts w:ascii="Bodoni SvtyTwo OS ITC TT-BookIt" w:hAnsi="Bodoni SvtyTwo OS ITC TT-BookIt"/>
        </w:rPr>
        <w:t xml:space="preserve">s Wronged Man. </w:t>
      </w:r>
      <w:r>
        <w:rPr>
          <w:rFonts w:ascii="Bodoni SvtyTwo OS ITC TT-Book" w:hAnsi="Bodoni SvtyTwo OS ITC TT-Book"/>
        </w:rPr>
        <w:t xml:space="preserve">Journal of American Oriental Society. </w:t>
      </w:r>
      <w:proofErr w:type="gramStart"/>
      <w:r>
        <w:rPr>
          <w:rFonts w:ascii="Bodoni SvtyTwo OS ITC TT-Book" w:hAnsi="Bodoni SvtyTwo OS ITC TT-Book"/>
        </w:rPr>
        <w:t>V</w:t>
      </w:r>
      <w:r>
        <w:rPr>
          <w:rFonts w:ascii="Bodoni SvtyTwo OS ITC TT-Book" w:hAnsi="Bodoni SvtyTwo OS ITC TT-Book"/>
          <w:lang w:val="pt-PT"/>
        </w:rPr>
        <w:t>ol. 122, No. 1 (Jan-March, 2002) pgs.</w:t>
      </w:r>
      <w:proofErr w:type="gramEnd"/>
      <w:r>
        <w:rPr>
          <w:rFonts w:ascii="Bodoni SvtyTwo OS ITC TT-Book" w:hAnsi="Bodoni SvtyTwo OS ITC TT-Book"/>
          <w:lang w:val="pt-PT"/>
        </w:rPr>
        <w:t xml:space="preserve"> 38-45.</w:t>
      </w:r>
    </w:p>
    <w:p w:rsidR="009F22D2" w:rsidRDefault="009F22D2">
      <w:pPr>
        <w:pStyle w:val="Body"/>
        <w:rPr>
          <w:rFonts w:ascii="Bodoni SvtyTwo OS ITC TT-Book" w:eastAsia="Bodoni SvtyTwo OS ITC TT-Book" w:hAnsi="Bodoni SvtyTwo OS ITC TT-Book" w:cs="Bodoni SvtyTwo OS ITC TT-Book"/>
        </w:rPr>
      </w:pPr>
    </w:p>
    <w:p w:rsidR="009F22D2" w:rsidRDefault="006D4BB9">
      <w:pPr>
        <w:pStyle w:val="Body"/>
        <w:rPr>
          <w:rFonts w:ascii="Bodoni SvtyTwo OS ITC TT-Book" w:eastAsia="Bodoni SvtyTwo OS ITC TT-Book" w:hAnsi="Bodoni SvtyTwo OS ITC TT-Book" w:cs="Bodoni SvtyTwo OS ITC TT-Book"/>
        </w:rPr>
      </w:pPr>
      <w:r>
        <w:rPr>
          <w:rFonts w:ascii="Bodoni SvtyTwo OS ITC TT-Book" w:hAnsi="Bodoni SvtyTwo OS ITC TT-Book"/>
        </w:rPr>
        <w:t xml:space="preserve">Steele, F. R. 1947. </w:t>
      </w:r>
      <w:proofErr w:type="gramStart"/>
      <w:r>
        <w:rPr>
          <w:rFonts w:ascii="Bodoni SvtyTwo OS ITC TT-BookIt" w:hAnsi="Bodoni SvtyTwo OS ITC TT-BookIt"/>
        </w:rPr>
        <w:t xml:space="preserve">The </w:t>
      </w:r>
      <w:proofErr w:type="spellStart"/>
      <w:r>
        <w:rPr>
          <w:rFonts w:ascii="Bodoni SvtyTwo OS ITC TT-BookIt" w:hAnsi="Bodoni SvtyTwo OS ITC TT-BookIt"/>
        </w:rPr>
        <w:t>Lipit</w:t>
      </w:r>
      <w:proofErr w:type="spellEnd"/>
      <w:r>
        <w:rPr>
          <w:rFonts w:ascii="Bodoni SvtyTwo OS ITC TT-BookIt" w:hAnsi="Bodoni SvtyTwo OS ITC TT-BookIt"/>
        </w:rPr>
        <w:t>- Ishtar Law Code</w:t>
      </w:r>
      <w:r>
        <w:rPr>
          <w:rFonts w:ascii="Bodoni SvtyTwo OS ITC TT-Book" w:hAnsi="Bodoni SvtyTwo OS ITC TT-Book"/>
        </w:rPr>
        <w:t>.</w:t>
      </w:r>
      <w:proofErr w:type="gramEnd"/>
      <w:r>
        <w:rPr>
          <w:rFonts w:ascii="Bodoni SvtyTwo OS ITC TT-Book" w:hAnsi="Bodoni SvtyTwo OS ITC TT-Book"/>
        </w:rPr>
        <w:t xml:space="preserve"> </w:t>
      </w:r>
      <w:proofErr w:type="gramStart"/>
      <w:r>
        <w:rPr>
          <w:rFonts w:ascii="Bodoni SvtyTwo OS ITC TT-Book" w:hAnsi="Bodoni SvtyTwo OS ITC TT-Book"/>
        </w:rPr>
        <w:t>The American Journal of Arc</w:t>
      </w:r>
      <w:r>
        <w:rPr>
          <w:rFonts w:ascii="Bodoni SvtyTwo OS ITC TT-Book" w:hAnsi="Bodoni SvtyTwo OS ITC TT-Book"/>
        </w:rPr>
        <w:t>haeology Vol. 51.</w:t>
      </w:r>
      <w:proofErr w:type="gramEnd"/>
      <w:r>
        <w:rPr>
          <w:rFonts w:ascii="Bodoni SvtyTwo OS ITC TT-Book" w:hAnsi="Bodoni SvtyTwo OS ITC TT-Book"/>
        </w:rPr>
        <w:t xml:space="preserve"> </w:t>
      </w:r>
      <w:proofErr w:type="gramStart"/>
      <w:r>
        <w:rPr>
          <w:rFonts w:ascii="Bodoni SvtyTwo OS ITC TT-Book" w:hAnsi="Bodoni SvtyTwo OS ITC TT-Book"/>
        </w:rPr>
        <w:t>No. 2.</w:t>
      </w:r>
      <w:proofErr w:type="gramEnd"/>
      <w:r>
        <w:rPr>
          <w:rFonts w:ascii="Bodoni SvtyTwo OS ITC TT-Book" w:hAnsi="Bodoni SvtyTwo OS ITC TT-Book"/>
        </w:rPr>
        <w:t xml:space="preserve"> Pp. 158-164. </w:t>
      </w:r>
      <w:proofErr w:type="gramStart"/>
      <w:r>
        <w:rPr>
          <w:rFonts w:ascii="Bodoni SvtyTwo OS ITC TT-Book" w:hAnsi="Bodoni SvtyTwo OS ITC TT-Book"/>
        </w:rPr>
        <w:t>Archaeological Institute of America.</w:t>
      </w:r>
      <w:proofErr w:type="gramEnd"/>
    </w:p>
    <w:p w:rsidR="009F22D2" w:rsidRDefault="009F22D2">
      <w:pPr>
        <w:pStyle w:val="Body"/>
        <w:rPr>
          <w:rFonts w:ascii="Bodoni SvtyTwo OS ITC TT-Book" w:eastAsia="Bodoni SvtyTwo OS ITC TT-Book" w:hAnsi="Bodoni SvtyTwo OS ITC TT-Book" w:cs="Bodoni SvtyTwo OS ITC TT-Book"/>
        </w:rPr>
      </w:pPr>
    </w:p>
    <w:p w:rsidR="009F22D2" w:rsidRDefault="006D4BB9">
      <w:pPr>
        <w:pStyle w:val="Body"/>
        <w:rPr>
          <w:rFonts w:ascii="Bodoni SvtyTwo OS ITC TT-Book" w:eastAsia="Bodoni SvtyTwo OS ITC TT-Book" w:hAnsi="Bodoni SvtyTwo OS ITC TT-Book" w:cs="Bodoni SvtyTwo OS ITC TT-Book"/>
        </w:rPr>
      </w:pPr>
      <w:proofErr w:type="spellStart"/>
      <w:proofErr w:type="gramStart"/>
      <w:r>
        <w:rPr>
          <w:rFonts w:ascii="Bodoni SvtyTwo OS ITC TT-Book" w:hAnsi="Bodoni SvtyTwo OS ITC TT-Book"/>
        </w:rPr>
        <w:t>Tainter</w:t>
      </w:r>
      <w:proofErr w:type="spellEnd"/>
      <w:r>
        <w:rPr>
          <w:rFonts w:ascii="Bodoni SvtyTwo OS ITC TT-Book" w:hAnsi="Bodoni SvtyTwo OS ITC TT-Book"/>
        </w:rPr>
        <w:t>, J. 1988.</w:t>
      </w:r>
      <w:proofErr w:type="gramEnd"/>
      <w:r>
        <w:rPr>
          <w:rFonts w:ascii="Bodoni SvtyTwo OS ITC TT-Book" w:hAnsi="Bodoni SvtyTwo OS ITC TT-Book"/>
        </w:rPr>
        <w:t xml:space="preserve"> </w:t>
      </w:r>
      <w:proofErr w:type="gramStart"/>
      <w:r>
        <w:rPr>
          <w:rFonts w:ascii="Bodoni SvtyTwo OS ITC TT-BookIt" w:hAnsi="Bodoni SvtyTwo OS ITC TT-BookIt"/>
        </w:rPr>
        <w:t>The Collapse of Complex Societies.</w:t>
      </w:r>
      <w:proofErr w:type="gramEnd"/>
      <w:r>
        <w:rPr>
          <w:rFonts w:ascii="Bodoni SvtyTwo OS ITC TT-BookIt" w:hAnsi="Bodoni SvtyTwo OS ITC TT-BookIt"/>
        </w:rPr>
        <w:t xml:space="preserve"> </w:t>
      </w:r>
      <w:r>
        <w:rPr>
          <w:rFonts w:ascii="Bodoni SvtyTwo OS ITC TT-Book" w:hAnsi="Bodoni SvtyTwo OS ITC TT-Book"/>
        </w:rPr>
        <w:t>Cambridge. Cambridge University Press</w:t>
      </w:r>
    </w:p>
    <w:p w:rsidR="009F22D2" w:rsidRDefault="009F22D2">
      <w:pPr>
        <w:pStyle w:val="Body"/>
        <w:rPr>
          <w:rFonts w:ascii="Bodoni SvtyTwo OS ITC TT-Book" w:eastAsia="Bodoni SvtyTwo OS ITC TT-Book" w:hAnsi="Bodoni SvtyTwo OS ITC TT-Book" w:cs="Bodoni SvtyTwo OS ITC TT-Book"/>
        </w:rPr>
      </w:pPr>
    </w:p>
    <w:p w:rsidR="009F22D2" w:rsidRDefault="006D4BB9">
      <w:pPr>
        <w:pStyle w:val="Body"/>
        <w:rPr>
          <w:rFonts w:ascii="Bodoni SvtyTwo OS ITC TT-Book" w:eastAsia="Bodoni SvtyTwo OS ITC TT-Book" w:hAnsi="Bodoni SvtyTwo OS ITC TT-Book" w:cs="Bodoni SvtyTwo OS ITC TT-Book"/>
        </w:rPr>
      </w:pPr>
      <w:proofErr w:type="spellStart"/>
      <w:r>
        <w:rPr>
          <w:rFonts w:ascii="Bodoni SvtyTwo OS ITC TT-Book" w:hAnsi="Bodoni SvtyTwo OS ITC TT-Book"/>
        </w:rPr>
        <w:t>Zaccagnini</w:t>
      </w:r>
      <w:proofErr w:type="spellEnd"/>
      <w:r>
        <w:rPr>
          <w:rFonts w:ascii="Bodoni SvtyTwo OS ITC TT-Book" w:hAnsi="Bodoni SvtyTwo OS ITC TT-Book"/>
        </w:rPr>
        <w:t xml:space="preserve">, C. 1994. </w:t>
      </w:r>
      <w:proofErr w:type="gramStart"/>
      <w:r>
        <w:rPr>
          <w:rFonts w:ascii="Bodoni SvtyTwo OS ITC TT-BookIt" w:hAnsi="Bodoni SvtyTwo OS ITC TT-BookIt"/>
        </w:rPr>
        <w:t>Sacred and Human Components in Ancient Near Eastern Law.</w:t>
      </w:r>
      <w:proofErr w:type="gramEnd"/>
      <w:r>
        <w:rPr>
          <w:rFonts w:ascii="Bodoni SvtyTwo OS ITC TT-BookIt" w:hAnsi="Bodoni SvtyTwo OS ITC TT-BookIt"/>
        </w:rPr>
        <w:t xml:space="preserve"> </w:t>
      </w:r>
      <w:proofErr w:type="gramStart"/>
      <w:r>
        <w:rPr>
          <w:rFonts w:ascii="Bodoni SvtyTwo OS ITC TT-Book" w:hAnsi="Bodoni SvtyTwo OS ITC TT-Book"/>
        </w:rPr>
        <w:t>History of</w:t>
      </w:r>
      <w:r>
        <w:rPr>
          <w:rFonts w:ascii="Bodoni SvtyTwo OS ITC TT-Book" w:hAnsi="Bodoni SvtyTwo OS ITC TT-Book"/>
        </w:rPr>
        <w:t xml:space="preserve"> Religions.</w:t>
      </w:r>
      <w:proofErr w:type="gramEnd"/>
      <w:r>
        <w:rPr>
          <w:rFonts w:ascii="Bodoni SvtyTwo OS ITC TT-Book" w:hAnsi="Bodoni SvtyTwo OS ITC TT-Book"/>
        </w:rPr>
        <w:t xml:space="preserve"> Vol. 33 No. 3 (Feb. 1994). </w:t>
      </w:r>
      <w:proofErr w:type="gramStart"/>
      <w:r>
        <w:rPr>
          <w:rFonts w:ascii="Bodoni SvtyTwo OS ITC TT-Book" w:hAnsi="Bodoni SvtyTwo OS ITC TT-Book"/>
        </w:rPr>
        <w:t>pgs.</w:t>
      </w:r>
      <w:proofErr w:type="gramEnd"/>
      <w:r>
        <w:rPr>
          <w:rFonts w:ascii="Bodoni SvtyTwo OS ITC TT-Book" w:hAnsi="Bodoni SvtyTwo OS ITC TT-Book"/>
        </w:rPr>
        <w:t xml:space="preserve"> 265-286</w:t>
      </w:r>
    </w:p>
    <w:p w:rsidR="009F22D2" w:rsidRDefault="009F22D2">
      <w:pPr>
        <w:pStyle w:val="Body"/>
        <w:rPr>
          <w:rFonts w:ascii="Bodoni SvtyTwo OS ITC TT-Book" w:eastAsia="Bodoni SvtyTwo OS ITC TT-Book" w:hAnsi="Bodoni SvtyTwo OS ITC TT-Book" w:cs="Bodoni SvtyTwo OS ITC TT-Book"/>
        </w:rPr>
      </w:pPr>
    </w:p>
    <w:p w:rsidR="009F22D2" w:rsidRDefault="006D4BB9">
      <w:pPr>
        <w:pStyle w:val="Body"/>
        <w:rPr>
          <w:rFonts w:ascii="Bodoni SvtyTwo OS ITC TT-Book" w:eastAsia="Bodoni SvtyTwo OS ITC TT-Book" w:hAnsi="Bodoni SvtyTwo OS ITC TT-Book" w:cs="Bodoni SvtyTwo OS ITC TT-Book"/>
        </w:rPr>
      </w:pPr>
      <w:r>
        <w:rPr>
          <w:rFonts w:ascii="Bodoni SvtyTwo OS ITC TT-Book" w:hAnsi="Bodoni SvtyTwo OS ITC TT-Book"/>
        </w:rPr>
        <w:t>Images:</w:t>
      </w:r>
    </w:p>
    <w:p w:rsidR="009F22D2" w:rsidRDefault="006D4BB9">
      <w:pPr>
        <w:pStyle w:val="Body"/>
        <w:rPr>
          <w:rFonts w:ascii="Bodoni SvtyTwo OS ITC TT-Book" w:eastAsia="Bodoni SvtyTwo OS ITC TT-Book" w:hAnsi="Bodoni SvtyTwo OS ITC TT-Book" w:cs="Bodoni SvtyTwo OS ITC TT-Book"/>
        </w:rPr>
      </w:pPr>
      <w:proofErr w:type="spellStart"/>
      <w:proofErr w:type="gramStart"/>
      <w:r>
        <w:rPr>
          <w:rFonts w:ascii="Bodoni SvtyTwo OS ITC TT-Book" w:hAnsi="Bodoni SvtyTwo OS ITC TT-Book"/>
        </w:rPr>
        <w:t>MbZT</w:t>
      </w:r>
      <w:proofErr w:type="spellEnd"/>
      <w:r>
        <w:rPr>
          <w:rFonts w:ascii="Bodoni SvtyTwo OS ITC TT-Book" w:hAnsi="Bodoni SvtyTwo OS ITC TT-Book"/>
        </w:rPr>
        <w:t>. 2012.</w:t>
      </w:r>
      <w:proofErr w:type="gramEnd"/>
      <w:r>
        <w:rPr>
          <w:rFonts w:ascii="Bodoni SvtyTwo OS ITC TT-Book" w:hAnsi="Bodoni SvtyTwo OS ITC TT-Book"/>
        </w:rPr>
        <w:t xml:space="preserve">  </w:t>
      </w:r>
      <w:proofErr w:type="gramStart"/>
      <w:r>
        <w:rPr>
          <w:rFonts w:ascii="Bodoni SvtyTwo OS ITC TT-BookIt" w:hAnsi="Bodoni SvtyTwo OS ITC TT-BookIt"/>
        </w:rPr>
        <w:t>Hammurabi and Shamash.</w:t>
      </w:r>
      <w:proofErr w:type="gramEnd"/>
      <w:r>
        <w:rPr>
          <w:rFonts w:ascii="Bodoni SvtyTwo OS ITC TT-BookIt" w:hAnsi="Bodoni SvtyTwo OS ITC TT-BookIt"/>
        </w:rPr>
        <w:t xml:space="preserve"> </w:t>
      </w:r>
      <w:r>
        <w:rPr>
          <w:rFonts w:ascii="Bodoni SvtyTwo OS ITC TT-Book" w:hAnsi="Bodoni SvtyTwo OS ITC TT-Book"/>
        </w:rPr>
        <w:t xml:space="preserve">Photograph. [Available at: </w:t>
      </w:r>
      <w:hyperlink r:id="rId8" w:history="1">
        <w:r>
          <w:rPr>
            <w:rStyle w:val="Hyperlink0"/>
            <w:rFonts w:ascii="Bodoni SvtyTwo OS ITC TT-Book" w:hAnsi="Bodoni SvtyTwo OS ITC TT-Book"/>
          </w:rPr>
          <w:t>https://www.ancient.eu/image/541/hammurabi-and-shamash/</w:t>
        </w:r>
      </w:hyperlink>
      <w:r>
        <w:rPr>
          <w:rFonts w:ascii="Bodoni SvtyTwo OS ITC TT-Book" w:hAnsi="Bodoni SvtyTwo OS ITC TT-Book"/>
        </w:rPr>
        <w:t>] (Las</w:t>
      </w:r>
      <w:r>
        <w:rPr>
          <w:rFonts w:ascii="Bodoni SvtyTwo OS ITC TT-Book" w:hAnsi="Bodoni SvtyTwo OS ITC TT-Book"/>
        </w:rPr>
        <w:t>t Accessed: 10/03/19)</w:t>
      </w:r>
    </w:p>
    <w:p w:rsidR="009F22D2" w:rsidRDefault="009F22D2">
      <w:pPr>
        <w:pStyle w:val="Body"/>
        <w:rPr>
          <w:rFonts w:ascii="Bodoni SvtyTwo OS ITC TT-Book" w:eastAsia="Bodoni SvtyTwo OS ITC TT-Book" w:hAnsi="Bodoni SvtyTwo OS ITC TT-Book" w:cs="Bodoni SvtyTwo OS ITC TT-Book"/>
          <w:color w:val="5E5E5E"/>
          <w:sz w:val="32"/>
          <w:szCs w:val="32"/>
        </w:rPr>
      </w:pPr>
    </w:p>
    <w:p w:rsidR="00030275" w:rsidRPr="00030275" w:rsidRDefault="00030275" w:rsidP="00030275">
      <w:pPr>
        <w:rPr>
          <w:rFonts w:ascii="Bodoni SvtyTwo OS ITC TT-Book" w:eastAsia="Bodoni SvtyTwo OS ITC TT-Book" w:hAnsi="Bodoni SvtyTwo OS ITC TT-Book" w:cs="Bodoni SvtyTwo OS ITC TT-Book"/>
          <w:color w:val="5E5E5E"/>
          <w:sz w:val="32"/>
          <w:szCs w:val="32"/>
          <w:lang w:eastAsia="en-GB"/>
        </w:rPr>
      </w:pPr>
      <w:r>
        <w:rPr>
          <w:rFonts w:ascii="Bodoni SvtyTwo OS ITC TT-Book" w:eastAsia="Bodoni SvtyTwo OS ITC TT-Book" w:hAnsi="Bodoni SvtyTwo OS ITC TT-Book" w:cs="Bodoni SvtyTwo OS ITC TT-Book"/>
          <w:color w:val="5E5E5E"/>
          <w:sz w:val="32"/>
          <w:szCs w:val="32"/>
        </w:rPr>
        <w:br w:type="page"/>
      </w:r>
    </w:p>
    <w:p w:rsidR="009F22D2" w:rsidRDefault="006D4BB9" w:rsidP="00030275">
      <w:pPr>
        <w:pStyle w:val="Heading"/>
        <w:jc w:val="center"/>
        <w:rPr>
          <w:rFonts w:ascii="Bodoni SvtyTwo OS ITC TT-Book" w:eastAsia="Bodoni SvtyTwo OS ITC TT-Book" w:hAnsi="Bodoni SvtyTwo OS ITC TT-Book" w:cs="Bodoni SvtyTwo OS ITC TT-Book"/>
          <w:b w:val="0"/>
          <w:bCs w:val="0"/>
          <w:color w:val="FF9300"/>
          <w:sz w:val="32"/>
          <w:szCs w:val="32"/>
        </w:rPr>
      </w:pPr>
      <w:r>
        <w:rPr>
          <w:rFonts w:ascii="Arial Unicode MS" w:hAnsi="Arial Unicode MS"/>
          <w:b w:val="0"/>
          <w:bCs w:val="0"/>
          <w:color w:val="FF9300"/>
          <w:sz w:val="32"/>
          <w:szCs w:val="32"/>
        </w:rPr>
        <w:lastRenderedPageBreak/>
        <w:t>❖</w:t>
      </w:r>
    </w:p>
    <w:p w:rsidR="00030275" w:rsidRPr="00030275" w:rsidRDefault="00030275" w:rsidP="00030275">
      <w:pPr>
        <w:pStyle w:val="Body"/>
        <w:jc w:val="center"/>
        <w:rPr>
          <w:rFonts w:ascii="Bodoni SvtyTwo OS ITC TT-Book" w:hAnsi="Bodoni SvtyTwo OS ITC TT-Book"/>
          <w:color w:val="5E5E5E"/>
          <w:sz w:val="32"/>
          <w:szCs w:val="32"/>
        </w:rPr>
      </w:pPr>
    </w:p>
    <w:p w:rsidR="009F22D2" w:rsidRDefault="006D4BB9" w:rsidP="00030275">
      <w:pPr>
        <w:pStyle w:val="Body"/>
        <w:jc w:val="center"/>
        <w:rPr>
          <w:rFonts w:ascii="Bodoni SvtyTwo OS ITC TT-Book" w:hAnsi="Bodoni SvtyTwo OS ITC TT-Book"/>
          <w:color w:val="5E5E5E"/>
          <w:sz w:val="32"/>
          <w:szCs w:val="32"/>
        </w:rPr>
      </w:pPr>
      <w:r w:rsidRPr="00030275">
        <w:rPr>
          <w:rFonts w:ascii="Bodoni SvtyTwo OS ITC TT-Book" w:hAnsi="Bodoni SvtyTwo OS ITC TT-Book"/>
          <w:color w:val="5E5E5E"/>
          <w:sz w:val="32"/>
          <w:szCs w:val="32"/>
        </w:rPr>
        <w:t>2 Sources: a Reflection</w:t>
      </w:r>
    </w:p>
    <w:p w:rsidR="00030275" w:rsidRDefault="00030275">
      <w:pPr>
        <w:pStyle w:val="Body"/>
        <w:rPr>
          <w:rFonts w:ascii="Bodoni SvtyTwo OS ITC TT-Book" w:eastAsia="Bodoni SvtyTwo OS ITC TT-Book" w:hAnsi="Bodoni SvtyTwo OS ITC TT-Book" w:cs="Bodoni SvtyTwo OS ITC TT-Book"/>
          <w:color w:val="5E5E5E"/>
          <w:sz w:val="32"/>
          <w:szCs w:val="32"/>
        </w:rPr>
      </w:pPr>
    </w:p>
    <w:p w:rsidR="009F22D2" w:rsidRDefault="006D4BB9">
      <w:pPr>
        <w:pStyle w:val="Default"/>
        <w:jc w:val="both"/>
        <w:rPr>
          <w:rFonts w:ascii="Bodoni SvtyTwo OS ITC TT-Book" w:eastAsia="Bodoni SvtyTwo OS ITC TT-Book" w:hAnsi="Bodoni SvtyTwo OS ITC TT-Book" w:cs="Bodoni SvtyTwo OS ITC TT-Book"/>
          <w:u w:color="000000"/>
        </w:rPr>
      </w:pPr>
      <w:r>
        <w:rPr>
          <w:rFonts w:ascii="Bodoni SvtyTwo OS ITC TT-Book" w:hAnsi="Bodoni SvtyTwo OS ITC TT-Book"/>
          <w:u w:color="000000"/>
        </w:rPr>
        <w:t xml:space="preserve">Two key examples of Ancient Mesopotamian Law Codes are the codes of </w:t>
      </w:r>
      <w:proofErr w:type="spellStart"/>
      <w:r>
        <w:rPr>
          <w:rFonts w:ascii="Bodoni SvtyTwo OS ITC TT-Book" w:hAnsi="Bodoni SvtyTwo OS ITC TT-Book"/>
          <w:u w:color="000000"/>
        </w:rPr>
        <w:t>Lipit</w:t>
      </w:r>
      <w:proofErr w:type="spellEnd"/>
      <w:r>
        <w:rPr>
          <w:rFonts w:ascii="Bodoni SvtyTwo OS ITC TT-Book" w:hAnsi="Bodoni SvtyTwo OS ITC TT-Book"/>
          <w:u w:color="000000"/>
        </w:rPr>
        <w:t xml:space="preserve">- </w:t>
      </w:r>
      <w:proofErr w:type="gramStart"/>
      <w:r>
        <w:rPr>
          <w:rFonts w:ascii="Bodoni SvtyTwo OS ITC TT-Book" w:hAnsi="Bodoni SvtyTwo OS ITC TT-Book"/>
          <w:u w:color="000000"/>
        </w:rPr>
        <w:t>Ishtar  and</w:t>
      </w:r>
      <w:proofErr w:type="gramEnd"/>
      <w:r>
        <w:rPr>
          <w:rFonts w:ascii="Bodoni SvtyTwo OS ITC TT-Book" w:hAnsi="Bodoni SvtyTwo OS ITC TT-Book"/>
          <w:u w:color="000000"/>
        </w:rPr>
        <w:t xml:space="preserve"> of Hammurabi. These two codes not only greatly influence our understanding of Mesopotamian power structures and </w:t>
      </w:r>
      <w:r>
        <w:rPr>
          <w:rFonts w:ascii="Bodoni SvtyTwo OS ITC TT-Book" w:hAnsi="Bodoni SvtyTwo OS ITC TT-Book"/>
          <w:u w:color="000000"/>
        </w:rPr>
        <w:t xml:space="preserve">culture, but with the discovery of each code the archaeological understanding of Mesopotamia </w:t>
      </w:r>
      <w:proofErr w:type="gramStart"/>
      <w:r>
        <w:rPr>
          <w:rFonts w:ascii="Bodoni SvtyTwo OS ITC TT-Book" w:hAnsi="Bodoni SvtyTwo OS ITC TT-Book"/>
          <w:u w:color="000000"/>
        </w:rPr>
        <w:t>was</w:t>
      </w:r>
      <w:proofErr w:type="gramEnd"/>
      <w:r>
        <w:rPr>
          <w:rFonts w:ascii="Bodoni SvtyTwo OS ITC TT-Book" w:hAnsi="Bodoni SvtyTwo OS ITC TT-Book"/>
          <w:u w:color="000000"/>
        </w:rPr>
        <w:t xml:space="preserve"> dramatically changed. These two law codes are key examples of cultural differences of regional rulers as </w:t>
      </w:r>
      <w:r w:rsidR="009E7ADF" w:rsidRPr="009F22D2">
        <w:rPr>
          <w:rFonts w:ascii="Bodoni SvtyTwo OS ITC TT-Book" w:eastAsia="Bodoni SvtyTwo OS ITC TT-Book" w:hAnsi="Bodoni SvtyTwo OS ITC TT-Book" w:cs="Bodoni SvtyTwo OS ITC TT-Book"/>
          <w:u w:color="000000"/>
        </w:rPr>
        <w:pict>
          <v:group id="_x0000_s1029" style="position:absolute;left:0;text-align:left;margin-left:127.7pt;margin-top:47.45pt;width:275.2pt;height:233.7pt;z-index:-251657216;mso-wrap-distance-left:12pt;mso-wrap-distance-top:12pt;mso-wrap-distance-right:12pt;mso-wrap-distance-bottom:12pt;mso-position-horizontal-relative:margin;mso-position-vertical-relative:line" coordorigin="27,5849155" coordsize="3495621,2968449" wrapcoords="-59 0 -59 19592 21600 19592 21600 0 -59 0">
            <v:shape id="_x0000_s1030" type="#_x0000_t75" style="position:absolute;left:27;top:5849155;width:3495622;height:2698621">
              <v:imagedata r:id="rId9" o:title="image1"/>
            </v:shape>
            <v:shape id="_x0000_s1031" type="#_x0000_t202" style="position:absolute;left:160337;top:8547775;width:3175001;height:269829" filled="f" stroked="f" strokeweight="1pt">
              <v:stroke miterlimit="4"/>
              <v:textbox style="mso-next-textbox:#_x0000_s1031">
                <w:txbxContent>
                  <w:p w:rsidR="009F22D2" w:rsidRDefault="006D4BB9">
                    <w:pPr>
                      <w:pStyle w:val="Caption"/>
                    </w:pPr>
                    <w:r>
                      <w:rPr>
                        <w:rFonts w:ascii="Bodoni SvtyTwo OS ITC TT-Bold" w:hAnsi="Bodoni SvtyTwo OS ITC TT-Bold"/>
                        <w:b w:val="0"/>
                        <w:bCs w:val="0"/>
                        <w:color w:val="FF9300"/>
                        <w:sz w:val="16"/>
                        <w:szCs w:val="16"/>
                        <w:u w:color="000000"/>
                      </w:rPr>
                      <w:t>Illustration of ancient Mesopotamia (Kessler, 2013)</w:t>
                    </w:r>
                  </w:p>
                </w:txbxContent>
              </v:textbox>
            </v:shape>
            <w10:wrap type="topAndBottom" anchorx="margin"/>
          </v:group>
        </w:pict>
      </w:r>
      <w:r>
        <w:rPr>
          <w:rFonts w:ascii="Bodoni SvtyTwo OS ITC TT-Book" w:hAnsi="Bodoni SvtyTwo OS ITC TT-Book"/>
          <w:u w:color="000000"/>
        </w:rPr>
        <w:t>well as establishing a shared cultural identity within</w:t>
      </w:r>
      <w:r>
        <w:rPr>
          <w:rFonts w:ascii="Bodoni SvtyTwo OS ITC TT-Book" w:hAnsi="Bodoni SvtyTwo OS ITC TT-Book"/>
          <w:u w:color="000000"/>
        </w:rPr>
        <w:t xml:space="preserve"> Mesopotamia.  </w:t>
      </w:r>
    </w:p>
    <w:p w:rsidR="009E7ADF" w:rsidRDefault="009E7ADF">
      <w:pPr>
        <w:pStyle w:val="Default"/>
        <w:jc w:val="both"/>
        <w:rPr>
          <w:rFonts w:ascii="Bodoni SvtyTwo OS ITC TT-Book" w:hAnsi="Bodoni SvtyTwo OS ITC TT-Book"/>
          <w:u w:color="000000"/>
        </w:rPr>
      </w:pPr>
    </w:p>
    <w:p w:rsidR="009F22D2" w:rsidRDefault="009E7ADF">
      <w:pPr>
        <w:pStyle w:val="Default"/>
        <w:jc w:val="both"/>
        <w:rPr>
          <w:rFonts w:ascii="Bodoni SvtyTwo OS ITC TT-Book" w:eastAsia="Bodoni SvtyTwo OS ITC TT-Book" w:hAnsi="Bodoni SvtyTwo OS ITC TT-Book" w:cs="Bodoni SvtyTwo OS ITC TT-Book"/>
          <w:u w:color="000000"/>
        </w:rPr>
      </w:pPr>
      <w:r w:rsidRPr="009F22D2">
        <w:rPr>
          <w:rFonts w:ascii="Bodoni SvtyTwo OS ITC TT-Book" w:eastAsia="Bodoni SvtyTwo OS ITC TT-Book" w:hAnsi="Bodoni SvtyTwo OS ITC TT-Book" w:cs="Bodoni SvtyTwo OS ITC TT-Book"/>
          <w:u w:color="000000"/>
        </w:rPr>
        <w:pict>
          <v:group id="_x0000_s1032" style="position:absolute;left:0;text-align:left;margin-left:342.15pt;margin-top:270.45pt;width:145.1pt;height:250.1pt;z-index:251660288;mso-wrap-distance-left:12pt;mso-wrap-distance-top:12pt;mso-wrap-distance-right:12pt;mso-wrap-distance-bottom:12pt;mso-position-horizontal-relative:margin;mso-position-vertical-relative:line" coordsize="1842538,3176787">
            <v:shape id="_x0000_s1033" type="#_x0000_t75" style="position:absolute;left:90609;width:1661191;height:2612609">
              <v:imagedata r:id="rId10" o:title="image2" croptop="1704f" cropleft="1245f" cropright="1245f"/>
            </v:shape>
            <v:shape id="_x0000_s1034" type="#_x0000_t202" style="position:absolute;top:2612629;width:1842538;height:564158" filled="f" stroked="f" strokeweight="1pt">
              <v:stroke miterlimit="4"/>
              <v:textbox style="mso-next-textbox:#_x0000_s1034">
                <w:txbxContent>
                  <w:p w:rsidR="009F22D2" w:rsidRDefault="006D4BB9">
                    <w:pPr>
                      <w:pStyle w:val="Caption"/>
                      <w:jc w:val="center"/>
                    </w:pPr>
                    <w:r>
                      <w:rPr>
                        <w:rFonts w:ascii="Bodoni SvtyTwo OS ITC TT-Bold" w:hAnsi="Bodoni SvtyTwo OS ITC TT-Bold"/>
                        <w:b w:val="0"/>
                        <w:bCs w:val="0"/>
                        <w:color w:val="FF9300"/>
                        <w:sz w:val="16"/>
                        <w:szCs w:val="16"/>
                        <w:u w:color="000000"/>
                      </w:rPr>
                      <w:t>Law Code of Hammurabi, king of Babylon (</w:t>
                    </w:r>
                    <w:r>
                      <w:rPr>
                        <w:rFonts w:ascii="Bodoni SvtyTwo OS ITC TT-Bold" w:hAnsi="Bodoni SvtyTwo OS ITC TT-Bold"/>
                        <w:b w:val="0"/>
                        <w:bCs w:val="0"/>
                        <w:color w:val="FF9300"/>
                        <w:sz w:val="16"/>
                        <w:szCs w:val="16"/>
                        <w:u w:color="000000"/>
                        <w:lang w:val="fr-FR"/>
                      </w:rPr>
                      <w:t>Raux 2009</w:t>
                    </w:r>
                    <w:r>
                      <w:rPr>
                        <w:rFonts w:ascii="Bodoni SvtyTwo OS ITC TT-Bold" w:hAnsi="Bodoni SvtyTwo OS ITC TT-Bold"/>
                        <w:b w:val="0"/>
                        <w:bCs w:val="0"/>
                        <w:color w:val="FF9300"/>
                        <w:sz w:val="16"/>
                        <w:szCs w:val="16"/>
                        <w:u w:color="000000"/>
                      </w:rPr>
                      <w:t>)</w:t>
                    </w:r>
                  </w:p>
                </w:txbxContent>
              </v:textbox>
            </v:shape>
            <w10:wrap type="square" anchorx="margin"/>
          </v:group>
        </w:pict>
      </w:r>
      <w:r w:rsidR="006D4BB9">
        <w:rPr>
          <w:rFonts w:ascii="Bodoni SvtyTwo OS ITC TT-Book" w:hAnsi="Bodoni SvtyTwo OS ITC TT-Book"/>
          <w:u w:color="000000"/>
        </w:rPr>
        <w:t xml:space="preserve">Despite being created 200 years after </w:t>
      </w:r>
      <w:proofErr w:type="spellStart"/>
      <w:r w:rsidR="006D4BB9">
        <w:rPr>
          <w:rFonts w:ascii="Bodoni SvtyTwo OS ITC TT-Book" w:hAnsi="Bodoni SvtyTwo OS ITC TT-Book"/>
          <w:u w:color="000000"/>
        </w:rPr>
        <w:t>Lipit</w:t>
      </w:r>
      <w:proofErr w:type="spellEnd"/>
      <w:r w:rsidR="006D4BB9">
        <w:rPr>
          <w:rFonts w:ascii="Bodoni SvtyTwo OS ITC TT-Book" w:hAnsi="Bodoni SvtyTwo OS ITC TT-Book"/>
          <w:u w:color="000000"/>
        </w:rPr>
        <w:t>-Ishtar</w:t>
      </w:r>
      <w:r w:rsidR="006D4BB9">
        <w:rPr>
          <w:rFonts w:ascii="Bodoni SvtyTwo OS ITC TT-Book" w:hAnsi="Bodoni SvtyTwo OS ITC TT-Book"/>
          <w:u w:color="000000"/>
        </w:rPr>
        <w:t>’</w:t>
      </w:r>
      <w:r w:rsidR="006D4BB9">
        <w:rPr>
          <w:rFonts w:ascii="Bodoni SvtyTwo OS ITC TT-Book" w:hAnsi="Bodoni SvtyTwo OS ITC TT-Book"/>
          <w:u w:color="000000"/>
        </w:rPr>
        <w:t>s Codex, I will first reflect on Hammurabi</w:t>
      </w:r>
      <w:r w:rsidR="006D4BB9">
        <w:rPr>
          <w:rFonts w:ascii="Bodoni SvtyTwo OS ITC TT-Book" w:hAnsi="Bodoni SvtyTwo OS ITC TT-Book"/>
          <w:u w:color="000000"/>
        </w:rPr>
        <w:t>’</w:t>
      </w:r>
      <w:r w:rsidR="006D4BB9">
        <w:rPr>
          <w:rFonts w:ascii="Bodoni SvtyTwo OS ITC TT-Book" w:hAnsi="Bodoni SvtyTwo OS ITC TT-Book"/>
          <w:u w:color="000000"/>
        </w:rPr>
        <w:t xml:space="preserve">s codes as it was translated and published first, which has had a lasting effect on Mesopotamian archaeological literature. </w:t>
      </w:r>
      <w:r w:rsidR="006D4BB9">
        <w:rPr>
          <w:rFonts w:ascii="Bodoni SvtyTwo OS ITC TT-Book" w:hAnsi="Bodoni SvtyTwo OS ITC TT-Book"/>
          <w:u w:color="000000"/>
        </w:rPr>
        <w:t xml:space="preserve">Discovered in 1901 by </w:t>
      </w:r>
      <w:r w:rsidR="006D4BB9">
        <w:rPr>
          <w:rFonts w:ascii="Bodoni SvtyTwo OS ITC TT-Book" w:hAnsi="Bodoni SvtyTwo OS ITC TT-Book"/>
          <w:u w:color="000000"/>
        </w:rPr>
        <w:t>F.J Morgan and translated in 1902 and is now on display at the Louvre, Paris</w:t>
      </w:r>
      <w:r w:rsidR="006D4BB9">
        <w:rPr>
          <w:rFonts w:ascii="Bodoni SvtyTwo OS ITC TT-Book" w:hAnsi="Bodoni SvtyTwo OS ITC TT-Book"/>
          <w:u w:color="000000"/>
        </w:rPr>
        <w:t>. The Stele is carved from black</w:t>
      </w:r>
      <w:r w:rsidR="006D4BB9">
        <w:rPr>
          <w:rFonts w:ascii="Bodoni SvtyTwo OS ITC TT-Book" w:hAnsi="Bodoni SvtyTwo OS ITC TT-Book"/>
          <w:u w:color="000000"/>
        </w:rPr>
        <w:t xml:space="preserve"> basalt, is roughly 7</w:t>
      </w:r>
      <w:r w:rsidR="006D4BB9">
        <w:rPr>
          <w:rFonts w:ascii="Bodoni SvtyTwo OS ITC TT-Book" w:hAnsi="Bodoni SvtyTwo OS ITC TT-Book"/>
          <w:u w:color="000000"/>
        </w:rPr>
        <w:t>’</w:t>
      </w:r>
      <w:r w:rsidR="006D4BB9">
        <w:rPr>
          <w:rFonts w:ascii="Bodoni SvtyTwo OS ITC TT-Book" w:hAnsi="Bodoni SvtyTwo OS ITC TT-Book"/>
          <w:u w:color="000000"/>
        </w:rPr>
        <w:t>4</w:t>
      </w:r>
      <w:r w:rsidR="006D4BB9">
        <w:rPr>
          <w:rFonts w:ascii="Bodoni SvtyTwo OS ITC TT-Book" w:hAnsi="Bodoni SvtyTwo OS ITC TT-Book"/>
          <w:u w:color="000000"/>
        </w:rPr>
        <w:t xml:space="preserve">” </w:t>
      </w:r>
      <w:r w:rsidR="006D4BB9">
        <w:rPr>
          <w:rFonts w:ascii="Bodoni SvtyTwo OS ITC TT-Book" w:hAnsi="Bodoni SvtyTwo OS ITC TT-Book"/>
          <w:u w:color="000000"/>
        </w:rPr>
        <w:t xml:space="preserve">tall and </w:t>
      </w:r>
      <w:r w:rsidR="006D4BB9">
        <w:rPr>
          <w:rFonts w:ascii="Bodoni SvtyTwo OS ITC TT-Book" w:hAnsi="Bodoni SvtyTwo OS ITC TT-Book"/>
          <w:u w:color="000000"/>
        </w:rPr>
        <w:t xml:space="preserve">weighs about 4 tons (Claire, Louvre Museum).It </w:t>
      </w:r>
      <w:r w:rsidR="006D4BB9">
        <w:rPr>
          <w:rFonts w:ascii="Bodoni SvtyTwo OS ITC TT-Book" w:hAnsi="Bodoni SvtyTwo OS ITC TT-Book"/>
          <w:u w:color="000000"/>
        </w:rPr>
        <w:t xml:space="preserve">was created between 1792-1750 BC, </w:t>
      </w:r>
      <w:proofErr w:type="spellStart"/>
      <w:r w:rsidR="006D4BB9">
        <w:rPr>
          <w:rFonts w:ascii="Bodoni SvtyTwo OS ITC TT-Book" w:hAnsi="Bodoni SvtyTwo OS ITC TT-Book"/>
          <w:u w:color="000000"/>
        </w:rPr>
        <w:t>theorised</w:t>
      </w:r>
      <w:proofErr w:type="spellEnd"/>
      <w:r w:rsidR="006D4BB9">
        <w:rPr>
          <w:rFonts w:ascii="Bodoni SvtyTwo OS ITC TT-Book" w:hAnsi="Bodoni SvtyTwo OS ITC TT-Book"/>
          <w:u w:color="000000"/>
        </w:rPr>
        <w:t xml:space="preserve"> to have been erected during Hammurabi</w:t>
      </w:r>
      <w:r w:rsidR="006D4BB9">
        <w:rPr>
          <w:rFonts w:ascii="Bodoni SvtyTwo OS ITC TT-Book" w:hAnsi="Bodoni SvtyTwo OS ITC TT-Book"/>
          <w:u w:color="000000"/>
        </w:rPr>
        <w:t>’</w:t>
      </w:r>
      <w:r w:rsidR="006D4BB9">
        <w:rPr>
          <w:rFonts w:ascii="Bodoni SvtyTwo OS ITC TT-Book" w:hAnsi="Bodoni SvtyTwo OS ITC TT-Book"/>
          <w:u w:color="000000"/>
        </w:rPr>
        <w:t>s 35</w:t>
      </w:r>
      <w:r w:rsidR="006D4BB9">
        <w:rPr>
          <w:rFonts w:ascii="Bodoni SvtyTwo OS ITC TT-Book" w:hAnsi="Bodoni SvtyTwo OS ITC TT-Book"/>
          <w:u w:color="000000"/>
          <w:vertAlign w:val="superscript"/>
        </w:rPr>
        <w:t>th</w:t>
      </w:r>
      <w:r w:rsidR="006D4BB9">
        <w:rPr>
          <w:rFonts w:ascii="Bodoni SvtyTwo OS ITC TT-Book" w:hAnsi="Bodoni SvtyTwo OS ITC TT-Book"/>
          <w:u w:color="000000"/>
        </w:rPr>
        <w:t xml:space="preserve"> year of rule</w:t>
      </w:r>
      <w:r w:rsidR="006D4BB9">
        <w:rPr>
          <w:rFonts w:ascii="Bodoni SvtyTwo OS ITC TT-Book" w:eastAsia="Bodoni SvtyTwo OS ITC TT-Book" w:hAnsi="Bodoni SvtyTwo OS ITC TT-Book" w:cs="Bodoni SvtyTwo OS ITC TT-Book"/>
          <w:u w:color="000000"/>
          <w:vertAlign w:val="superscript"/>
        </w:rPr>
        <w:footnoteReference w:id="5"/>
      </w:r>
      <w:r w:rsidR="006D4BB9">
        <w:rPr>
          <w:rFonts w:ascii="Bodoni SvtyTwo OS ITC TT-Book" w:hAnsi="Bodoni SvtyTwo OS ITC TT-Book"/>
          <w:u w:color="000000"/>
        </w:rPr>
        <w:t xml:space="preserve">. The Stele itself is a prime example of both the skill and </w:t>
      </w:r>
      <w:r w:rsidR="006D4BB9">
        <w:rPr>
          <w:rFonts w:ascii="Bodoni SvtyTwo OS ITC TT-Book" w:hAnsi="Bodoni SvtyTwo OS ITC TT-Book"/>
          <w:u w:color="000000"/>
        </w:rPr>
        <w:t xml:space="preserve">wealth available to the king as evident by the </w:t>
      </w:r>
      <w:r w:rsidR="006D4BB9">
        <w:rPr>
          <w:rFonts w:ascii="Bodoni SvtyTwo OS ITC TT-Book" w:hAnsi="Bodoni SvtyTwo OS ITC TT-Book"/>
          <w:u w:color="000000"/>
        </w:rPr>
        <w:t xml:space="preserve">highly detailed code that had been carved into a very hard surface and has therefore been perfectly preserved for thousands of years. Its </w:t>
      </w:r>
      <w:proofErr w:type="spellStart"/>
      <w:r w:rsidR="006D4BB9">
        <w:rPr>
          <w:rFonts w:ascii="Bodoni SvtyTwo OS ITC TT-Book" w:hAnsi="Bodoni SvtyTwo OS ITC TT-Book"/>
          <w:u w:color="000000"/>
        </w:rPr>
        <w:t>labour</w:t>
      </w:r>
      <w:proofErr w:type="spellEnd"/>
      <w:r w:rsidR="006D4BB9">
        <w:rPr>
          <w:rFonts w:ascii="Bodoni SvtyTwo OS ITC TT-Book" w:hAnsi="Bodoni SvtyTwo OS ITC TT-Book"/>
          <w:u w:color="000000"/>
        </w:rPr>
        <w:t>-intensive creation as well as royal and divine association meant that the stele would have been highly signific</w:t>
      </w:r>
      <w:r w:rsidR="006D4BB9">
        <w:rPr>
          <w:rFonts w:ascii="Bodoni SvtyTwo OS ITC TT-Book" w:hAnsi="Bodoni SvtyTwo OS ITC TT-Book"/>
          <w:u w:color="000000"/>
        </w:rPr>
        <w:t>ant both within and after Hammurabi</w:t>
      </w:r>
      <w:r w:rsidR="006D4BB9">
        <w:rPr>
          <w:rFonts w:ascii="Bodoni SvtyTwo OS ITC TT-Book" w:hAnsi="Bodoni SvtyTwo OS ITC TT-Book"/>
          <w:u w:color="000000"/>
        </w:rPr>
        <w:t>’</w:t>
      </w:r>
      <w:r w:rsidR="006D4BB9">
        <w:rPr>
          <w:rFonts w:ascii="Bodoni SvtyTwo OS ITC TT-Book" w:hAnsi="Bodoni SvtyTwo OS ITC TT-Book"/>
          <w:u w:color="000000"/>
        </w:rPr>
        <w:t xml:space="preserve">s reign; this would explain why it was </w:t>
      </w:r>
      <w:r w:rsidR="006D4BB9">
        <w:rPr>
          <w:rFonts w:ascii="Bodoni SvtyTwo OS ITC TT-Book" w:hAnsi="Bodoni SvtyTwo OS ITC TT-Book"/>
          <w:u w:color="000000"/>
        </w:rPr>
        <w:t xml:space="preserve">later moved by the </w:t>
      </w:r>
      <w:proofErr w:type="spellStart"/>
      <w:r w:rsidR="006D4BB9">
        <w:rPr>
          <w:rFonts w:ascii="Bodoni SvtyTwo OS ITC TT-Book" w:hAnsi="Bodoni SvtyTwo OS ITC TT-Book"/>
          <w:u w:color="000000"/>
        </w:rPr>
        <w:t>Elamites</w:t>
      </w:r>
      <w:proofErr w:type="spellEnd"/>
      <w:r w:rsidR="006D4BB9">
        <w:rPr>
          <w:rFonts w:ascii="Bodoni SvtyTwo OS ITC TT-Book" w:hAnsi="Bodoni SvtyTwo OS ITC TT-Book"/>
          <w:u w:color="000000"/>
        </w:rPr>
        <w:t xml:space="preserve"> from Sippar to Susa in the 12</w:t>
      </w:r>
      <w:r w:rsidR="006D4BB9">
        <w:rPr>
          <w:rFonts w:ascii="Bodoni SvtyTwo OS ITC TT-Book" w:hAnsi="Bodoni SvtyTwo OS ITC TT-Book"/>
          <w:u w:color="000000"/>
          <w:vertAlign w:val="superscript"/>
        </w:rPr>
        <w:t>th</w:t>
      </w:r>
      <w:r w:rsidR="006D4BB9">
        <w:rPr>
          <w:rFonts w:ascii="Bodoni SvtyTwo OS ITC TT-Book" w:hAnsi="Bodoni SvtyTwo OS ITC TT-Book"/>
          <w:u w:color="000000"/>
        </w:rPr>
        <w:t xml:space="preserve"> Century BC (</w:t>
      </w:r>
      <w:proofErr w:type="spellStart"/>
      <w:r w:rsidR="006D4BB9">
        <w:rPr>
          <w:rFonts w:ascii="Bodoni SvtyTwo OS ITC TT-Book" w:hAnsi="Bodoni SvtyTwo OS ITC TT-Book"/>
          <w:u w:color="000000"/>
        </w:rPr>
        <w:t>Bahrani</w:t>
      </w:r>
      <w:proofErr w:type="spellEnd"/>
      <w:r w:rsidR="006D4BB9">
        <w:rPr>
          <w:rFonts w:ascii="Bodoni SvtyTwo OS ITC TT-Book" w:hAnsi="Bodoni SvtyTwo OS ITC TT-Book"/>
          <w:u w:color="000000"/>
        </w:rPr>
        <w:t>, 2007). At the top is a 2 foot high relief of Hammurabi receiving the law codes from the God Shamash,</w:t>
      </w:r>
      <w:r w:rsidR="006D4BB9">
        <w:rPr>
          <w:rFonts w:ascii="Bodoni SvtyTwo OS ITC TT-Book" w:hAnsi="Bodoni SvtyTwo OS ITC TT-Book"/>
          <w:u w:color="000000"/>
        </w:rPr>
        <w:t xml:space="preserve"> the God of Justice and also Babylon (</w:t>
      </w:r>
      <w:proofErr w:type="spellStart"/>
      <w:r w:rsidR="006D4BB9">
        <w:rPr>
          <w:rFonts w:ascii="Bodoni SvtyTwo OS ITC TT-Book" w:hAnsi="Bodoni SvtyTwo OS ITC TT-Book"/>
          <w:u w:color="000000"/>
        </w:rPr>
        <w:t>Bertman</w:t>
      </w:r>
      <w:proofErr w:type="spellEnd"/>
      <w:r w:rsidR="006D4BB9">
        <w:rPr>
          <w:rFonts w:ascii="Bodoni SvtyTwo OS ITC TT-Book" w:hAnsi="Bodoni SvtyTwo OS ITC TT-Book"/>
          <w:u w:color="000000"/>
        </w:rPr>
        <w:t xml:space="preserve">, 2003). Upon closer inspection of the relief it is evident that Hammurabi is in an act of prayer with his left hand at his lips, thus upholding his reputation as a pious and god fearing king. </w:t>
      </w:r>
      <w:r w:rsidR="006D4BB9">
        <w:rPr>
          <w:rFonts w:ascii="Bodoni SvtyTwo OS ITC TT-Book" w:hAnsi="Bodoni SvtyTwo OS ITC TT-Book"/>
          <w:u w:color="000000"/>
        </w:rPr>
        <w:lastRenderedPageBreak/>
        <w:t xml:space="preserve">Nonetheless he is </w:t>
      </w:r>
      <w:r w:rsidR="006D4BB9">
        <w:rPr>
          <w:rFonts w:ascii="Bodoni SvtyTwo OS ITC TT-Book" w:hAnsi="Bodoni SvtyTwo OS ITC TT-Book"/>
          <w:u w:color="000000"/>
        </w:rPr>
        <w:t xml:space="preserve">depicted within the space of a god, and only slightly smaller, therefore although he has no direct divine link (like </w:t>
      </w:r>
      <w:proofErr w:type="spellStart"/>
      <w:r w:rsidR="006D4BB9">
        <w:rPr>
          <w:rFonts w:ascii="Bodoni SvtyTwo OS ITC TT-Book" w:hAnsi="Bodoni SvtyTwo OS ITC TT-Book"/>
          <w:u w:color="000000"/>
        </w:rPr>
        <w:t>Lipit</w:t>
      </w:r>
      <w:proofErr w:type="spellEnd"/>
      <w:r w:rsidR="006D4BB9">
        <w:rPr>
          <w:rFonts w:ascii="Bodoni SvtyTwo OS ITC TT-Book" w:hAnsi="Bodoni SvtyTwo OS ITC TT-Book"/>
          <w:u w:color="000000"/>
        </w:rPr>
        <w:t xml:space="preserve">-Ishtar who refers to himself as the son of </w:t>
      </w:r>
      <w:proofErr w:type="spellStart"/>
      <w:r w:rsidR="006D4BB9">
        <w:rPr>
          <w:rFonts w:ascii="Bodoni SvtyTwo OS ITC TT-Book" w:hAnsi="Bodoni SvtyTwo OS ITC TT-Book"/>
          <w:u w:color="000000"/>
        </w:rPr>
        <w:t>Enlil</w:t>
      </w:r>
      <w:proofErr w:type="spellEnd"/>
      <w:r w:rsidR="006D4BB9">
        <w:rPr>
          <w:rFonts w:ascii="Bodoni SvtyTwo OS ITC TT-Book" w:hAnsi="Bodoni SvtyTwo OS ITC TT-Book"/>
          <w:u w:color="000000"/>
        </w:rPr>
        <w:t>)</w:t>
      </w:r>
      <w:proofErr w:type="gramStart"/>
      <w:r w:rsidR="006D4BB9">
        <w:rPr>
          <w:rFonts w:ascii="Bodoni SvtyTwo OS ITC TT-Book" w:hAnsi="Bodoni SvtyTwo OS ITC TT-Book"/>
          <w:u w:color="000000"/>
        </w:rPr>
        <w:t>,</w:t>
      </w:r>
      <w:proofErr w:type="gramEnd"/>
      <w:r w:rsidR="006D4BB9">
        <w:rPr>
          <w:rFonts w:ascii="Bodoni SvtyTwo OS ITC TT-Book" w:hAnsi="Bodoni SvtyTwo OS ITC TT-Book"/>
          <w:u w:color="000000"/>
        </w:rPr>
        <w:t xml:space="preserve"> his position alongside the god cements his position as a man with the authority of</w:t>
      </w:r>
      <w:r w:rsidR="006D4BB9">
        <w:rPr>
          <w:rFonts w:ascii="Bodoni SvtyTwo OS ITC TT-Book" w:hAnsi="Bodoni SvtyTwo OS ITC TT-Book"/>
          <w:u w:color="000000"/>
        </w:rPr>
        <w:t xml:space="preserve"> life and death over his people (</w:t>
      </w:r>
      <w:proofErr w:type="spellStart"/>
      <w:r w:rsidR="006D4BB9">
        <w:rPr>
          <w:rFonts w:ascii="Bodoni SvtyTwo OS ITC TT-Book" w:hAnsi="Bodoni SvtyTwo OS ITC TT-Book"/>
          <w:u w:color="000000"/>
        </w:rPr>
        <w:t>Bahrini</w:t>
      </w:r>
      <w:proofErr w:type="spellEnd"/>
      <w:r w:rsidR="006D4BB9">
        <w:rPr>
          <w:rFonts w:ascii="Bodoni SvtyTwo OS ITC TT-Book" w:hAnsi="Bodoni SvtyTwo OS ITC TT-Book"/>
          <w:u w:color="000000"/>
        </w:rPr>
        <w:t>, 2007).</w:t>
      </w:r>
    </w:p>
    <w:p w:rsidR="009F22D2" w:rsidRDefault="009F22D2">
      <w:pPr>
        <w:pStyle w:val="Default"/>
        <w:jc w:val="both"/>
        <w:rPr>
          <w:rFonts w:ascii="Bodoni SvtyTwo OS ITC TT-Book" w:eastAsia="Bodoni SvtyTwo OS ITC TT-Book" w:hAnsi="Bodoni SvtyTwo OS ITC TT-Book" w:cs="Bodoni SvtyTwo OS ITC TT-Book"/>
          <w:u w:color="000000"/>
        </w:rPr>
      </w:pPr>
    </w:p>
    <w:p w:rsidR="009F22D2" w:rsidRDefault="009E7ADF">
      <w:pPr>
        <w:pStyle w:val="Default"/>
        <w:jc w:val="both"/>
        <w:rPr>
          <w:rFonts w:ascii="Bodoni SvtyTwo OS ITC TT-Book" w:eastAsia="Bodoni SvtyTwo OS ITC TT-Book" w:hAnsi="Bodoni SvtyTwo OS ITC TT-Book" w:cs="Bodoni SvtyTwo OS ITC TT-Book"/>
          <w:u w:color="000000"/>
        </w:rPr>
      </w:pPr>
      <w:r w:rsidRPr="009F22D2">
        <w:rPr>
          <w:rFonts w:ascii="Bodoni SvtyTwo OS ITC TT-Book" w:eastAsia="Bodoni SvtyTwo OS ITC TT-Book" w:hAnsi="Bodoni SvtyTwo OS ITC TT-Book" w:cs="Bodoni SvtyTwo OS ITC TT-Book"/>
          <w:u w:color="000000"/>
        </w:rPr>
        <w:pict>
          <v:group id="_x0000_s1035" style="position:absolute;left:0;text-align:left;margin-left:-10.75pt;margin-top:115.6pt;width:231.4pt;height:238.4pt;z-index:251661312;mso-wrap-distance-left:12pt;mso-wrap-distance-top:12pt;mso-wrap-distance-right:12pt;mso-wrap-distance-bottom:12pt;mso-position-horizontal-relative:margin;mso-position-vertical-relative:line" coordorigin="2,3714348" coordsize="2938861,3027356">
            <v:shape id="_x0000_s1036" type="#_x0000_t75" style="position:absolute;left:3;top:3714348;width:2938733;height:2774299">
              <v:imagedata r:id="rId11" o:title="image3" croptop="5505f" cropbottom="7733f" cropleft="14090f" cropright="8520f"/>
            </v:shape>
            <v:shape id="_x0000_s1037" type="#_x0000_t202" style="position:absolute;left:2;top:6488504;width:2938861;height:253200" filled="f" stroked="f" strokeweight="1pt">
              <v:stroke miterlimit="4"/>
              <v:textbox style="mso-next-textbox:#_x0000_s1037">
                <w:txbxContent>
                  <w:p w:rsidR="009F22D2" w:rsidRDefault="006D4BB9">
                    <w:pPr>
                      <w:pStyle w:val="Caption"/>
                      <w:jc w:val="center"/>
                    </w:pPr>
                    <w:r>
                      <w:rPr>
                        <w:rFonts w:ascii="Bodoni SvtyTwo OS ITC TT-Bold" w:hAnsi="Bodoni SvtyTwo OS ITC TT-Bold"/>
                        <w:b w:val="0"/>
                        <w:bCs w:val="0"/>
                        <w:color w:val="FF9300"/>
                        <w:u w:color="000000"/>
                      </w:rPr>
                      <w:t xml:space="preserve">(OBJECT 29-16-55, Penn Museum) </w:t>
                    </w:r>
                  </w:p>
                </w:txbxContent>
              </v:textbox>
            </v:shape>
            <w10:wrap type="square" anchorx="margin"/>
          </v:group>
        </w:pict>
      </w:r>
      <w:r w:rsidR="006D4BB9">
        <w:rPr>
          <w:rFonts w:ascii="Bodoni SvtyTwo OS ITC TT-Book" w:hAnsi="Bodoni SvtyTwo OS ITC TT-Book"/>
          <w:u w:color="000000"/>
        </w:rPr>
        <w:t xml:space="preserve">The only surviving record of the </w:t>
      </w:r>
      <w:proofErr w:type="spellStart"/>
      <w:r w:rsidR="006D4BB9">
        <w:rPr>
          <w:rFonts w:ascii="Bodoni SvtyTwo OS ITC TT-Book" w:hAnsi="Bodoni SvtyTwo OS ITC TT-Book"/>
          <w:u w:color="000000"/>
        </w:rPr>
        <w:t>Lipit</w:t>
      </w:r>
      <w:proofErr w:type="spellEnd"/>
      <w:r w:rsidR="006D4BB9">
        <w:rPr>
          <w:rFonts w:ascii="Bodoni SvtyTwo OS ITC TT-Book" w:hAnsi="Bodoni SvtyTwo OS ITC TT-Book"/>
          <w:u w:color="000000"/>
        </w:rPr>
        <w:t>-Ishtar Codes (or LICs) is a clay tablet that was found in 1899 by excavations by the University of Pennsylvania, however due to it being found in broken remnants, it w</w:t>
      </w:r>
      <w:r w:rsidR="006D4BB9">
        <w:rPr>
          <w:rFonts w:ascii="Bodoni SvtyTwo OS ITC TT-Book" w:hAnsi="Bodoni SvtyTwo OS ITC TT-Book"/>
          <w:u w:color="000000"/>
        </w:rPr>
        <w:t>as placed in storage where it</w:t>
      </w:r>
      <w:r w:rsidR="006D4BB9">
        <w:rPr>
          <w:rFonts w:ascii="Bodoni SvtyTwo OS ITC TT-Book" w:hAnsi="Bodoni SvtyTwo OS ITC TT-Book"/>
          <w:u w:color="000000"/>
        </w:rPr>
        <w:t xml:space="preserve"> was not reassembled and translated for 30 years (</w:t>
      </w:r>
      <w:proofErr w:type="spellStart"/>
      <w:r w:rsidR="006D4BB9">
        <w:rPr>
          <w:rFonts w:ascii="Bodoni SvtyTwo OS ITC TT-Book" w:hAnsi="Bodoni SvtyTwo OS ITC TT-Book"/>
          <w:u w:color="000000"/>
        </w:rPr>
        <w:t>Duhaime</w:t>
      </w:r>
      <w:proofErr w:type="spellEnd"/>
      <w:r w:rsidR="006D4BB9">
        <w:rPr>
          <w:rFonts w:ascii="Bodoni SvtyTwo OS ITC TT-Book" w:hAnsi="Bodoni SvtyTwo OS ITC TT-Book"/>
          <w:u w:color="000000"/>
        </w:rPr>
        <w:t>, 2011). The clay tablet, when reassembled and measured, was estimated to be 11</w:t>
      </w:r>
      <w:r w:rsidR="006D4BB9">
        <w:rPr>
          <w:rFonts w:ascii="Bodoni SvtyTwo OS ITC TT-Book" w:hAnsi="Bodoni SvtyTwo OS ITC TT-Book"/>
          <w:u w:color="000000"/>
        </w:rPr>
        <w:t xml:space="preserve">” </w:t>
      </w:r>
      <w:r w:rsidR="006D4BB9">
        <w:rPr>
          <w:rFonts w:ascii="Bodoni SvtyTwo OS ITC TT-Book" w:hAnsi="Bodoni SvtyTwo OS ITC TT-Book"/>
          <w:u w:color="000000"/>
        </w:rPr>
        <w:t>by 9</w:t>
      </w:r>
      <w:r w:rsidR="006D4BB9">
        <w:rPr>
          <w:rFonts w:ascii="Bodoni SvtyTwo OS ITC TT-Book" w:hAnsi="Bodoni SvtyTwo OS ITC TT-Book"/>
          <w:u w:color="000000"/>
        </w:rPr>
        <w:t xml:space="preserve">” </w:t>
      </w:r>
      <w:r w:rsidR="006D4BB9">
        <w:rPr>
          <w:rFonts w:ascii="Bodoni SvtyTwo OS ITC TT-Book" w:hAnsi="Bodoni SvtyTwo OS ITC TT-Book"/>
          <w:u w:color="000000"/>
        </w:rPr>
        <w:t xml:space="preserve">with 10 columns of text on each side, however </w:t>
      </w:r>
      <w:r w:rsidR="006D4BB9">
        <w:rPr>
          <w:rFonts w:ascii="Bodoni SvtyTwo OS ITC TT-Book" w:hAnsi="Bodoni SvtyTwo OS ITC TT-Book"/>
          <w:u w:color="000000"/>
        </w:rPr>
        <w:t xml:space="preserve">only 400 of the approximate 1200 original lines have been deciphered due to the majority being </w:t>
      </w:r>
      <w:r w:rsidR="006D4BB9">
        <w:rPr>
          <w:rFonts w:ascii="Bodoni SvtyTwo OS ITC TT-Book" w:hAnsi="Bodoni SvtyTwo OS ITC TT-Book"/>
          <w:u w:color="000000"/>
        </w:rPr>
        <w:t xml:space="preserve">incomplete or illegible (Steele, 1947). Although found in Nippur the tablet is thought to have originated from </w:t>
      </w:r>
      <w:proofErr w:type="spellStart"/>
      <w:r w:rsidR="006D4BB9">
        <w:rPr>
          <w:rFonts w:ascii="Bodoni SvtyTwo OS ITC TT-Book" w:hAnsi="Bodoni SvtyTwo OS ITC TT-Book"/>
          <w:u w:color="000000"/>
        </w:rPr>
        <w:t>Isin</w:t>
      </w:r>
      <w:proofErr w:type="spellEnd"/>
      <w:r w:rsidR="006D4BB9">
        <w:rPr>
          <w:rFonts w:ascii="Bodoni SvtyTwo OS ITC TT-Book" w:hAnsi="Bodoni SvtyTwo OS ITC TT-Book"/>
          <w:u w:color="000000"/>
        </w:rPr>
        <w:t xml:space="preserve">, the capital city under </w:t>
      </w:r>
      <w:proofErr w:type="spellStart"/>
      <w:r w:rsidR="006D4BB9">
        <w:rPr>
          <w:rFonts w:ascii="Bodoni SvtyTwo OS ITC TT-Book" w:hAnsi="Bodoni SvtyTwo OS ITC TT-Book"/>
          <w:u w:color="000000"/>
        </w:rPr>
        <w:t>Lipit</w:t>
      </w:r>
      <w:proofErr w:type="spellEnd"/>
      <w:r w:rsidR="006D4BB9">
        <w:rPr>
          <w:rFonts w:ascii="Bodoni SvtyTwo OS ITC TT-Book" w:hAnsi="Bodoni SvtyTwo OS ITC TT-Book"/>
          <w:u w:color="000000"/>
        </w:rPr>
        <w:t>-Ishtar (Steele,</w:t>
      </w:r>
      <w:r w:rsidR="006D4BB9">
        <w:rPr>
          <w:rFonts w:ascii="Bodoni SvtyTwo OS ITC TT-Book" w:hAnsi="Bodoni SvtyTwo OS ITC TT-Book"/>
          <w:u w:color="000000"/>
        </w:rPr>
        <w:t xml:space="preserve"> 1947). This is where the text itself can be incorporated into identifying the origins of the Codes; within the Epilogue a pedestal in a storeroom is mentioned, where the original </w:t>
      </w:r>
      <w:proofErr w:type="spellStart"/>
      <w:r w:rsidR="006D4BB9">
        <w:rPr>
          <w:rFonts w:ascii="Bodoni SvtyTwo OS ITC TT-Book" w:hAnsi="Bodoni SvtyTwo OS ITC TT-Book"/>
          <w:u w:color="000000"/>
        </w:rPr>
        <w:t>stelae</w:t>
      </w:r>
      <w:proofErr w:type="spellEnd"/>
      <w:r w:rsidR="006D4BB9">
        <w:rPr>
          <w:rFonts w:ascii="Bodoni SvtyTwo OS ITC TT-Book" w:hAnsi="Bodoni SvtyTwo OS ITC TT-Book"/>
          <w:u w:color="000000"/>
        </w:rPr>
        <w:t xml:space="preserve"> would have been displayed. This is because Law Codes were often assoc</w:t>
      </w:r>
      <w:r w:rsidR="006D4BB9">
        <w:rPr>
          <w:rFonts w:ascii="Bodoni SvtyTwo OS ITC TT-Book" w:hAnsi="Bodoni SvtyTwo OS ITC TT-Book"/>
          <w:u w:color="000000"/>
        </w:rPr>
        <w:t>iated with temples where sentences cases would have been heard (</w:t>
      </w:r>
      <w:proofErr w:type="spellStart"/>
      <w:r w:rsidR="006D4BB9">
        <w:rPr>
          <w:rFonts w:ascii="Bodoni SvtyTwo OS ITC TT-Book" w:hAnsi="Bodoni SvtyTwo OS ITC TT-Book"/>
          <w:u w:color="000000"/>
        </w:rPr>
        <w:t>Postgate</w:t>
      </w:r>
      <w:proofErr w:type="spellEnd"/>
      <w:r w:rsidR="006D4BB9">
        <w:rPr>
          <w:rFonts w:ascii="Bodoni SvtyTwo OS ITC TT-Book" w:hAnsi="Bodoni SvtyTwo OS ITC TT-Book"/>
          <w:u w:color="000000"/>
        </w:rPr>
        <w:t>, 1992). These tablets would have been copied from the original stele onto smaller tablets for a number of reasons, such as for scribe training (Kramer, 1963) or even, when considering</w:t>
      </w:r>
      <w:r w:rsidR="006D4BB9">
        <w:rPr>
          <w:rFonts w:ascii="Bodoni SvtyTwo OS ITC TT-Book" w:hAnsi="Bodoni SvtyTwo OS ITC TT-Book"/>
          <w:u w:color="000000"/>
        </w:rPr>
        <w:t xml:space="preserve"> the role of the Law Codes as a statement of </w:t>
      </w:r>
      <w:r w:rsidR="006D4BB9">
        <w:rPr>
          <w:rFonts w:ascii="Bodoni SvtyTwo OS ITC TT-Book" w:hAnsi="Bodoni SvtyTwo OS ITC TT-Book"/>
          <w:u w:color="000000"/>
        </w:rPr>
        <w:t>“</w:t>
      </w:r>
      <w:r w:rsidR="006D4BB9">
        <w:rPr>
          <w:rFonts w:ascii="Bodoni SvtyTwo OS ITC TT-Book" w:hAnsi="Bodoni SvtyTwo OS ITC TT-Book"/>
          <w:u w:color="000000"/>
        </w:rPr>
        <w:t>sovereign rule</w:t>
      </w:r>
      <w:r w:rsidR="006D4BB9">
        <w:rPr>
          <w:rFonts w:ascii="Bodoni SvtyTwo OS ITC TT-Book" w:hAnsi="Bodoni SvtyTwo OS ITC TT-Book"/>
          <w:u w:color="000000"/>
        </w:rPr>
        <w:t xml:space="preserve">” </w:t>
      </w:r>
      <w:r w:rsidR="006D4BB9">
        <w:rPr>
          <w:rFonts w:ascii="Bodoni SvtyTwo OS ITC TT-Book" w:hAnsi="Bodoni SvtyTwo OS ITC TT-Book"/>
          <w:u w:color="000000"/>
        </w:rPr>
        <w:t>(</w:t>
      </w:r>
      <w:proofErr w:type="spellStart"/>
      <w:r w:rsidR="006D4BB9">
        <w:rPr>
          <w:rFonts w:ascii="Bodoni SvtyTwo OS ITC TT-Book" w:hAnsi="Bodoni SvtyTwo OS ITC TT-Book"/>
          <w:u w:color="000000"/>
        </w:rPr>
        <w:t>Bahrani</w:t>
      </w:r>
      <w:proofErr w:type="spellEnd"/>
      <w:r w:rsidR="006D4BB9">
        <w:rPr>
          <w:rFonts w:ascii="Bodoni SvtyTwo OS ITC TT-Book" w:hAnsi="Bodoni SvtyTwo OS ITC TT-Book"/>
          <w:u w:color="000000"/>
        </w:rPr>
        <w:t xml:space="preserve">, 2007), for distribution to surrounding areas.  </w:t>
      </w:r>
    </w:p>
    <w:p w:rsidR="009F22D2" w:rsidRDefault="006D4BB9">
      <w:pPr>
        <w:pStyle w:val="Default"/>
        <w:jc w:val="both"/>
        <w:rPr>
          <w:rFonts w:ascii="Bodoni SvtyTwo OS ITC TT-Book" w:eastAsia="Bodoni SvtyTwo OS ITC TT-Book" w:hAnsi="Bodoni SvtyTwo OS ITC TT-Book" w:cs="Bodoni SvtyTwo OS ITC TT-Book"/>
          <w:u w:color="000000"/>
        </w:rPr>
      </w:pPr>
      <w:r>
        <w:rPr>
          <w:rFonts w:ascii="Bodoni SvtyTwo OS ITC TT-Book" w:eastAsia="Bodoni SvtyTwo OS ITC TT-Book" w:hAnsi="Bodoni SvtyTwo OS ITC TT-Book" w:cs="Bodoni SvtyTwo OS ITC TT-Book"/>
          <w:u w:color="000000"/>
        </w:rPr>
        <w:tab/>
        <w:t xml:space="preserve">From a </w:t>
      </w:r>
      <w:proofErr w:type="spellStart"/>
      <w:r>
        <w:rPr>
          <w:rFonts w:ascii="Bodoni SvtyTwo OS ITC TT-Book" w:eastAsia="Bodoni SvtyTwo OS ITC TT-Book" w:hAnsi="Bodoni SvtyTwo OS ITC TT-Book" w:cs="Bodoni SvtyTwo OS ITC TT-Book"/>
          <w:u w:color="000000"/>
        </w:rPr>
        <w:t>materialities</w:t>
      </w:r>
      <w:proofErr w:type="spellEnd"/>
      <w:r>
        <w:rPr>
          <w:rFonts w:ascii="Bodoni SvtyTwo OS ITC TT-Book" w:eastAsia="Bodoni SvtyTwo OS ITC TT-Book" w:hAnsi="Bodoni SvtyTwo OS ITC TT-Book" w:cs="Bodoni SvtyTwo OS ITC TT-Book"/>
          <w:u w:color="000000"/>
        </w:rPr>
        <w:t xml:space="preserve"> perspective</w:t>
      </w:r>
      <w:r>
        <w:rPr>
          <w:rFonts w:ascii="Bodoni SvtyTwo OS ITC TT-Book" w:hAnsi="Bodoni SvtyTwo OS ITC TT-Book"/>
          <w:u w:color="000000"/>
        </w:rPr>
        <w:t>, the content of this tablet is what would have made it valuable as the manufacture of</w:t>
      </w:r>
      <w:r>
        <w:rPr>
          <w:rFonts w:ascii="Bodoni SvtyTwo OS ITC TT-Book" w:hAnsi="Bodoni SvtyTwo OS ITC TT-Book"/>
          <w:u w:color="000000"/>
        </w:rPr>
        <w:t xml:space="preserve"> the clay </w:t>
      </w:r>
      <w:r>
        <w:rPr>
          <w:rFonts w:ascii="Bodoni SvtyTwo OS ITC TT-Book" w:hAnsi="Bodoni SvtyTwo OS ITC TT-Book"/>
          <w:u w:color="000000"/>
        </w:rPr>
        <w:t xml:space="preserve">required no specialist skills due to its high </w:t>
      </w:r>
      <w:proofErr w:type="spellStart"/>
      <w:r>
        <w:rPr>
          <w:rFonts w:ascii="Bodoni SvtyTwo OS ITC TT-Book" w:hAnsi="Bodoni SvtyTwo OS ITC TT-Book"/>
          <w:u w:color="000000"/>
        </w:rPr>
        <w:t>mallability</w:t>
      </w:r>
      <w:proofErr w:type="spellEnd"/>
      <w:r>
        <w:rPr>
          <w:rFonts w:ascii="Bodoni SvtyTwo OS ITC TT-Book" w:hAnsi="Bodoni SvtyTwo OS ITC TT-Book"/>
          <w:u w:color="000000"/>
        </w:rPr>
        <w:t xml:space="preserve"> and availability, thus it was the writing itself that gave the tablet purpose and therefore meaning. </w:t>
      </w:r>
    </w:p>
    <w:p w:rsidR="009F22D2" w:rsidRDefault="009F22D2">
      <w:pPr>
        <w:pStyle w:val="Default"/>
        <w:jc w:val="both"/>
        <w:rPr>
          <w:rFonts w:ascii="Bodoni SvtyTwo OS ITC TT-Book" w:eastAsia="Bodoni SvtyTwo OS ITC TT-Book" w:hAnsi="Bodoni SvtyTwo OS ITC TT-Book" w:cs="Bodoni SvtyTwo OS ITC TT-Book"/>
          <w:u w:color="000000"/>
        </w:rPr>
      </w:pPr>
    </w:p>
    <w:p w:rsidR="009F22D2" w:rsidRDefault="006D4BB9">
      <w:pPr>
        <w:pStyle w:val="Default"/>
        <w:jc w:val="both"/>
        <w:rPr>
          <w:rFonts w:ascii="Bodoni SvtyTwo OS ITC TT-Book" w:eastAsia="Bodoni SvtyTwo OS ITC TT-Book" w:hAnsi="Bodoni SvtyTwo OS ITC TT-Book" w:cs="Bodoni SvtyTwo OS ITC TT-Book"/>
          <w:u w:color="000000"/>
        </w:rPr>
      </w:pPr>
      <w:r>
        <w:rPr>
          <w:rFonts w:ascii="Bodoni SvtyTwo OS ITC TT-Book" w:hAnsi="Bodoni SvtyTwo OS ITC TT-Book"/>
          <w:u w:color="000000"/>
        </w:rPr>
        <w:t>The discovery of each of these stele challenged preconceptions on Mesopotamian Histor</w:t>
      </w:r>
      <w:r>
        <w:rPr>
          <w:rFonts w:ascii="Bodoni SvtyTwo OS ITC TT-Book" w:hAnsi="Bodoni SvtyTwo OS ITC TT-Book"/>
          <w:u w:color="000000"/>
        </w:rPr>
        <w:t xml:space="preserve">y and the existence of Law codes prior to the Bible (Steele, 1947). The structure of these Law Codes is identical, with a distinct prologue establishing the divine right or inspiration behind the laws, </w:t>
      </w:r>
      <w:proofErr w:type="gramStart"/>
      <w:r>
        <w:rPr>
          <w:rFonts w:ascii="Bodoni SvtyTwo OS ITC TT-Book" w:hAnsi="Bodoni SvtyTwo OS ITC TT-Book"/>
          <w:u w:color="000000"/>
        </w:rPr>
        <w:t>then</w:t>
      </w:r>
      <w:proofErr w:type="gramEnd"/>
      <w:r>
        <w:rPr>
          <w:rFonts w:ascii="Bodoni SvtyTwo OS ITC TT-Book" w:hAnsi="Bodoni SvtyTwo OS ITC TT-Book"/>
          <w:u w:color="000000"/>
        </w:rPr>
        <w:t xml:space="preserve"> the laws are followed by an epilogue that reitera</w:t>
      </w:r>
      <w:r>
        <w:rPr>
          <w:rFonts w:ascii="Bodoni SvtyTwo OS ITC TT-Book" w:hAnsi="Bodoni SvtyTwo OS ITC TT-Book"/>
          <w:u w:color="000000"/>
        </w:rPr>
        <w:t xml:space="preserve">tes the prologue, further stating repercussions to those who destroy the stele or disobey the laws. This fixed format firstly reveals that the </w:t>
      </w:r>
      <w:proofErr w:type="spellStart"/>
      <w:r>
        <w:rPr>
          <w:rFonts w:ascii="Bodoni SvtyTwo OS ITC TT-Book" w:hAnsi="Bodoni SvtyTwo OS ITC TT-Book"/>
          <w:u w:color="000000"/>
        </w:rPr>
        <w:t>CoH</w:t>
      </w:r>
      <w:proofErr w:type="spellEnd"/>
      <w:r>
        <w:rPr>
          <w:rFonts w:ascii="Bodoni SvtyTwo OS ITC TT-Book" w:hAnsi="Bodoni SvtyTwo OS ITC TT-Book"/>
          <w:u w:color="000000"/>
        </w:rPr>
        <w:t xml:space="preserve"> were based on LICs, secondly it suggests that there was a pre-existing Law Code known to both kings that they</w:t>
      </w:r>
      <w:r>
        <w:rPr>
          <w:rFonts w:ascii="Bodoni SvtyTwo OS ITC TT-Book" w:hAnsi="Bodoni SvtyTwo OS ITC TT-Book"/>
          <w:u w:color="000000"/>
        </w:rPr>
        <w:t xml:space="preserve"> based theirs on, most likely Ur- </w:t>
      </w:r>
      <w:proofErr w:type="spellStart"/>
      <w:r>
        <w:rPr>
          <w:rFonts w:ascii="Bodoni SvtyTwo OS ITC TT-Book" w:hAnsi="Bodoni SvtyTwo OS ITC TT-Book"/>
          <w:u w:color="000000"/>
        </w:rPr>
        <w:t>Nammu</w:t>
      </w:r>
      <w:proofErr w:type="spellEnd"/>
      <w:r>
        <w:rPr>
          <w:rFonts w:ascii="Bodoni SvtyTwo OS ITC TT-Book" w:hAnsi="Bodoni SvtyTwo OS ITC TT-Book"/>
          <w:u w:color="000000"/>
        </w:rPr>
        <w:t xml:space="preserve">  from 2100 BC (</w:t>
      </w:r>
      <w:proofErr w:type="spellStart"/>
      <w:r>
        <w:rPr>
          <w:rFonts w:ascii="Bodoni SvtyTwo OS ITC TT-Book" w:hAnsi="Bodoni SvtyTwo OS ITC TT-Book"/>
          <w:u w:color="000000"/>
        </w:rPr>
        <w:t>Bertman</w:t>
      </w:r>
      <w:proofErr w:type="spellEnd"/>
      <w:r>
        <w:rPr>
          <w:rFonts w:ascii="Bodoni SvtyTwo OS ITC TT-Book" w:hAnsi="Bodoni SvtyTwo OS ITC TT-Book"/>
          <w:u w:color="000000"/>
        </w:rPr>
        <w:t>, 2003).</w:t>
      </w:r>
    </w:p>
    <w:p w:rsidR="009F22D2" w:rsidRDefault="009F22D2">
      <w:pPr>
        <w:pStyle w:val="Default"/>
        <w:rPr>
          <w:u w:color="000000"/>
        </w:rPr>
      </w:pPr>
    </w:p>
    <w:p w:rsidR="009F22D2" w:rsidRDefault="009F22D2">
      <w:pPr>
        <w:pStyle w:val="Caption"/>
        <w:rPr>
          <w:b w:val="0"/>
          <w:bCs w:val="0"/>
          <w:u w:color="000000"/>
        </w:rPr>
      </w:pPr>
    </w:p>
    <w:p w:rsidR="009F22D2" w:rsidRDefault="006D4BB9">
      <w:pPr>
        <w:pStyle w:val="Caption"/>
        <w:rPr>
          <w:rFonts w:eastAsia="Helvetica Neue" w:cs="Helvetica Neue"/>
          <w:b w:val="0"/>
          <w:bCs w:val="0"/>
          <w:color w:val="FF9300"/>
          <w:u w:color="000000"/>
        </w:rPr>
      </w:pPr>
      <w:r>
        <w:rPr>
          <w:rFonts w:ascii="Bodoni SvtyTwo OS ITC TT-Book" w:hAnsi="Bodoni SvtyTwo OS ITC TT-Book"/>
          <w:b w:val="0"/>
          <w:bCs w:val="0"/>
          <w:color w:val="FF9300"/>
          <w:u w:color="000000"/>
        </w:rPr>
        <w:t>Bibliography</w:t>
      </w:r>
    </w:p>
    <w:p w:rsidR="009F22D2" w:rsidRDefault="009F22D2">
      <w:pPr>
        <w:pStyle w:val="Default"/>
        <w:jc w:val="center"/>
        <w:rPr>
          <w:rFonts w:ascii="Bodoni SvtyTwo OS ITC TT-Book" w:eastAsia="Bodoni SvtyTwo OS ITC TT-Book" w:hAnsi="Bodoni SvtyTwo OS ITC TT-Book" w:cs="Bodoni SvtyTwo OS ITC TT-Book"/>
          <w:color w:val="5E5E5E"/>
          <w:u w:color="000000"/>
        </w:rPr>
      </w:pPr>
    </w:p>
    <w:p w:rsidR="009F22D2" w:rsidRDefault="006D4BB9">
      <w:pPr>
        <w:pStyle w:val="Default"/>
        <w:rPr>
          <w:rStyle w:val="None"/>
          <w:rFonts w:ascii="Bodoni SvtyTwo OS ITC TT-Book" w:eastAsia="Bodoni SvtyTwo OS ITC TT-Book" w:hAnsi="Bodoni SvtyTwo OS ITC TT-Book" w:cs="Bodoni SvtyTwo OS ITC TT-Book"/>
          <w:color w:val="5E5E5E"/>
          <w:u w:color="000000"/>
        </w:rPr>
      </w:pPr>
      <w:r>
        <w:rPr>
          <w:rFonts w:ascii="Bodoni SvtyTwo OS ITC TT-Book" w:hAnsi="Bodoni SvtyTwo OS ITC TT-Book"/>
          <w:color w:val="5E5E5E"/>
          <w:u w:color="000000"/>
        </w:rPr>
        <w:t xml:space="preserve">Claire, I. Law Codes of Hammurabi, King of Babylon. [Available at: </w:t>
      </w:r>
      <w:hyperlink r:id="rId12" w:history="1">
        <w:r>
          <w:rPr>
            <w:rStyle w:val="Hyperlink1"/>
            <w:rFonts w:ascii="Bodoni SvtyTwo OS ITC TT-Book" w:hAnsi="Bodoni SvtyTwo OS ITC TT-Book"/>
            <w:color w:val="5E5E5E"/>
          </w:rPr>
          <w:t>https:/</w:t>
        </w:r>
        <w:r>
          <w:rPr>
            <w:rStyle w:val="Hyperlink1"/>
            <w:rFonts w:ascii="Bodoni SvtyTwo OS ITC TT-Book" w:hAnsi="Bodoni SvtyTwo OS ITC TT-Book"/>
            <w:color w:val="5E5E5E"/>
          </w:rPr>
          <w:t>/www.louvre.fr/en/oeuvre-notices/law-code-hammurabi-king-babylon</w:t>
        </w:r>
      </w:hyperlink>
      <w:r>
        <w:rPr>
          <w:rStyle w:val="None"/>
          <w:rFonts w:ascii="Bodoni SvtyTwo OS ITC TT-Book" w:hAnsi="Bodoni SvtyTwo OS ITC TT-Book"/>
          <w:color w:val="5E5E5E"/>
          <w:u w:color="000000"/>
        </w:rPr>
        <w:t>] (Last Accessed: 07/03/19)</w:t>
      </w:r>
    </w:p>
    <w:p w:rsidR="009F22D2" w:rsidRDefault="009F22D2">
      <w:pPr>
        <w:pStyle w:val="Default"/>
        <w:rPr>
          <w:rStyle w:val="None"/>
          <w:rFonts w:ascii="Bodoni SvtyTwo OS ITC TT-Book" w:eastAsia="Bodoni SvtyTwo OS ITC TT-Book" w:hAnsi="Bodoni SvtyTwo OS ITC TT-Book" w:cs="Bodoni SvtyTwo OS ITC TT-Book"/>
          <w:color w:val="5E5E5E"/>
          <w:u w:color="000000"/>
        </w:rPr>
      </w:pPr>
    </w:p>
    <w:p w:rsidR="009F22D2" w:rsidRDefault="006D4BB9">
      <w:pPr>
        <w:pStyle w:val="Default"/>
        <w:rPr>
          <w:rFonts w:ascii="Bodoni SvtyTwo OS ITC TT-Book" w:eastAsia="Bodoni SvtyTwo OS ITC TT-Book" w:hAnsi="Bodoni SvtyTwo OS ITC TT-Book" w:cs="Bodoni SvtyTwo OS ITC TT-Book"/>
          <w:color w:val="5E5E5E"/>
          <w:u w:color="000000"/>
        </w:rPr>
      </w:pPr>
      <w:r>
        <w:rPr>
          <w:rStyle w:val="None"/>
          <w:rFonts w:ascii="Bodoni SvtyTwo OS ITC TT-BookIt" w:hAnsi="Bodoni SvtyTwo OS ITC TT-BookIt"/>
          <w:color w:val="5E5E5E"/>
          <w:u w:color="000000"/>
        </w:rPr>
        <w:t xml:space="preserve">Law Code of </w:t>
      </w:r>
      <w:proofErr w:type="spellStart"/>
      <w:r>
        <w:rPr>
          <w:rStyle w:val="None"/>
          <w:rFonts w:ascii="Bodoni SvtyTwo OS ITC TT-BookIt" w:hAnsi="Bodoni SvtyTwo OS ITC TT-BookIt"/>
          <w:color w:val="5E5E5E"/>
          <w:u w:color="000000"/>
        </w:rPr>
        <w:t>Lipit</w:t>
      </w:r>
      <w:proofErr w:type="spellEnd"/>
      <w:r>
        <w:rPr>
          <w:rStyle w:val="None"/>
          <w:rFonts w:ascii="Bodoni SvtyTwo OS ITC TT-BookIt" w:hAnsi="Bodoni SvtyTwo OS ITC TT-BookIt"/>
          <w:color w:val="5E5E5E"/>
          <w:u w:color="000000"/>
        </w:rPr>
        <w:t xml:space="preserve">- </w:t>
      </w:r>
      <w:proofErr w:type="gramStart"/>
      <w:r>
        <w:rPr>
          <w:rStyle w:val="None"/>
          <w:rFonts w:ascii="Bodoni SvtyTwo OS ITC TT-BookIt" w:hAnsi="Bodoni SvtyTwo OS ITC TT-BookIt"/>
          <w:color w:val="5E5E5E"/>
          <w:u w:color="000000"/>
        </w:rPr>
        <w:t xml:space="preserve">Ishtar </w:t>
      </w:r>
      <w:r>
        <w:rPr>
          <w:rFonts w:ascii="Bodoni SvtyTwo OS ITC TT-Book" w:hAnsi="Bodoni SvtyTwo OS ITC TT-Book"/>
          <w:color w:val="5E5E5E"/>
          <w:u w:color="000000"/>
        </w:rPr>
        <w:t xml:space="preserve"> Year</w:t>
      </w:r>
      <w:proofErr w:type="gramEnd"/>
      <w:r>
        <w:rPr>
          <w:rFonts w:ascii="Bodoni SvtyTwo OS ITC TT-Book" w:hAnsi="Bodoni SvtyTwo OS ITC TT-Book"/>
          <w:color w:val="5E5E5E"/>
          <w:u w:color="000000"/>
        </w:rPr>
        <w:t xml:space="preserve">. [Clay]. At: University of Pennsylvania Museum of Archaeology and Anthropology (Penn Museum): Collection Storage, Babylonia. </w:t>
      </w:r>
      <w:proofErr w:type="gramStart"/>
      <w:r>
        <w:rPr>
          <w:rFonts w:ascii="Bodoni SvtyTwo OS ITC TT-Book" w:hAnsi="Bodoni SvtyTwo OS ITC TT-Book"/>
          <w:color w:val="5E5E5E"/>
          <w:u w:color="000000"/>
        </w:rPr>
        <w:t>Object 29-16-55.</w:t>
      </w:r>
      <w:proofErr w:type="gramEnd"/>
    </w:p>
    <w:p w:rsidR="009F22D2" w:rsidRDefault="009F22D2">
      <w:pPr>
        <w:pStyle w:val="Default"/>
        <w:rPr>
          <w:rFonts w:ascii="Bodoni SvtyTwo OS ITC TT-Book" w:eastAsia="Bodoni SvtyTwo OS ITC TT-Book" w:hAnsi="Bodoni SvtyTwo OS ITC TT-Book" w:cs="Bodoni SvtyTwo OS ITC TT-Book"/>
          <w:color w:val="5E5E5E"/>
          <w:u w:color="000000"/>
        </w:rPr>
      </w:pPr>
    </w:p>
    <w:p w:rsidR="009F22D2" w:rsidRDefault="006D4BB9">
      <w:pPr>
        <w:pStyle w:val="Default"/>
        <w:rPr>
          <w:rFonts w:ascii="Bodoni SvtyTwo OS ITC TT-Book" w:eastAsia="Bodoni SvtyTwo OS ITC TT-Book" w:hAnsi="Bodoni SvtyTwo OS ITC TT-Book" w:cs="Bodoni SvtyTwo OS ITC TT-Book"/>
          <w:color w:val="5E5E5E"/>
          <w:u w:color="000000"/>
        </w:rPr>
      </w:pPr>
      <w:r>
        <w:rPr>
          <w:rFonts w:ascii="Bodoni SvtyTwo OS ITC TT-Book" w:hAnsi="Bodoni SvtyTwo OS ITC TT-Book"/>
          <w:color w:val="5E5E5E"/>
          <w:u w:color="000000"/>
        </w:rPr>
        <w:t xml:space="preserve">Kessler, P. L. 2013. </w:t>
      </w:r>
      <w:proofErr w:type="gramStart"/>
      <w:r>
        <w:rPr>
          <w:rStyle w:val="None"/>
          <w:rFonts w:ascii="Bodoni SvtyTwo OS ITC TT-BookIt" w:hAnsi="Bodoni SvtyTwo OS ITC TT-BookIt"/>
          <w:color w:val="5E5E5E"/>
          <w:u w:color="000000"/>
        </w:rPr>
        <w:t>Map of Sumer.</w:t>
      </w:r>
      <w:proofErr w:type="gramEnd"/>
      <w:r>
        <w:rPr>
          <w:rStyle w:val="None"/>
          <w:rFonts w:ascii="Bodoni SvtyTwo OS ITC TT-BookIt" w:hAnsi="Bodoni SvtyTwo OS ITC TT-BookIt"/>
          <w:color w:val="5E5E5E"/>
          <w:u w:color="000000"/>
        </w:rPr>
        <w:t xml:space="preserve"> </w:t>
      </w:r>
      <w:proofErr w:type="gramStart"/>
      <w:r>
        <w:rPr>
          <w:rFonts w:ascii="Bodoni SvtyTwo OS ITC TT-Book" w:hAnsi="Bodoni SvtyTwo OS ITC TT-Book"/>
          <w:color w:val="5E5E5E"/>
          <w:u w:color="000000"/>
        </w:rPr>
        <w:t>Digital Image.</w:t>
      </w:r>
      <w:proofErr w:type="gramEnd"/>
      <w:r>
        <w:rPr>
          <w:rFonts w:ascii="Bodoni SvtyTwo OS ITC TT-Book" w:hAnsi="Bodoni SvtyTwo OS ITC TT-Book"/>
          <w:color w:val="5E5E5E"/>
          <w:u w:color="000000"/>
        </w:rPr>
        <w:t xml:space="preserve"> [Available at: </w:t>
      </w:r>
      <w:hyperlink r:id="rId13" w:history="1">
        <w:r>
          <w:rPr>
            <w:rStyle w:val="Hyperlink0"/>
            <w:rFonts w:ascii="Bodoni SvtyTwo OS ITC TT-Book" w:hAnsi="Bodoni SvtyTwo OS ITC TT-Book"/>
            <w:color w:val="5E5E5E"/>
            <w:u w:color="000000"/>
          </w:rPr>
          <w:t>https://www.ancient.eu/image/1352/map-of-sumer//</w:t>
        </w:r>
      </w:hyperlink>
      <w:r>
        <w:rPr>
          <w:rFonts w:ascii="Bodoni SvtyTwo OS ITC TT-Book" w:hAnsi="Bodoni SvtyTwo OS ITC TT-Book"/>
          <w:color w:val="5E5E5E"/>
          <w:u w:color="000000"/>
        </w:rPr>
        <w:t>] (Last Accessed: 10/03/19)</w:t>
      </w:r>
    </w:p>
    <w:p w:rsidR="009F22D2" w:rsidRDefault="009F22D2">
      <w:pPr>
        <w:pStyle w:val="Default"/>
        <w:rPr>
          <w:rFonts w:ascii="Bodoni SvtyTwo OS ITC TT-Book" w:eastAsia="Bodoni SvtyTwo OS ITC TT-Book" w:hAnsi="Bodoni SvtyTwo OS ITC TT-Book" w:cs="Bodoni SvtyTwo OS ITC TT-Book"/>
          <w:color w:val="5E5E5E"/>
          <w:u w:color="000000"/>
        </w:rPr>
      </w:pPr>
    </w:p>
    <w:p w:rsidR="009F22D2" w:rsidRDefault="006D4BB9">
      <w:pPr>
        <w:pStyle w:val="Default"/>
        <w:rPr>
          <w:rFonts w:ascii="Bodoni SvtyTwo OS ITC TT-Book" w:eastAsia="Bodoni SvtyTwo OS ITC TT-Book" w:hAnsi="Bodoni SvtyTwo OS ITC TT-Book" w:cs="Bodoni SvtyTwo OS ITC TT-Book"/>
          <w:color w:val="5E5E5E"/>
          <w:u w:color="000000"/>
        </w:rPr>
      </w:pPr>
      <w:r>
        <w:rPr>
          <w:rFonts w:ascii="Bodoni SvtyTwo OS ITC TT-Book" w:hAnsi="Bodoni SvtyTwo OS ITC TT-Book"/>
          <w:color w:val="5E5E5E"/>
          <w:u w:color="000000"/>
        </w:rPr>
        <w:t xml:space="preserve"> </w:t>
      </w:r>
      <w:proofErr w:type="spellStart"/>
      <w:r>
        <w:rPr>
          <w:rStyle w:val="None"/>
          <w:rFonts w:ascii="Bodoni SvtyTwo OS ITC TT-Book" w:hAnsi="Bodoni SvtyTwo OS ITC TT-Book"/>
          <w:color w:val="5E5E5E"/>
          <w:u w:color="000000"/>
        </w:rPr>
        <w:t>Raux</w:t>
      </w:r>
      <w:proofErr w:type="spellEnd"/>
      <w:r>
        <w:rPr>
          <w:rStyle w:val="None"/>
          <w:rFonts w:ascii="Bodoni SvtyTwo OS ITC TT-Book" w:hAnsi="Bodoni SvtyTwo OS ITC TT-Book"/>
          <w:color w:val="5E5E5E"/>
          <w:u w:color="000000"/>
        </w:rPr>
        <w:t xml:space="preserve">, F. 2009. Law Code of Hammurabi, king of Babylon. </w:t>
      </w:r>
      <w:proofErr w:type="gramStart"/>
      <w:r>
        <w:rPr>
          <w:rStyle w:val="None"/>
          <w:rFonts w:ascii="Bodoni SvtyTwo OS ITC TT-Book" w:hAnsi="Bodoni SvtyTwo OS ITC TT-Book"/>
          <w:color w:val="5E5E5E"/>
          <w:u w:color="000000"/>
        </w:rPr>
        <w:t>Louvre.</w:t>
      </w:r>
      <w:proofErr w:type="gramEnd"/>
      <w:r>
        <w:rPr>
          <w:rStyle w:val="None"/>
          <w:rFonts w:ascii="Bodoni SvtyTwo OS ITC TT-Book" w:hAnsi="Bodoni SvtyTwo OS ITC TT-Book"/>
          <w:color w:val="5E5E5E"/>
          <w:u w:color="000000"/>
        </w:rPr>
        <w:t xml:space="preserve"> [Available at: </w:t>
      </w:r>
      <w:hyperlink r:id="rId14" w:history="1">
        <w:r>
          <w:rPr>
            <w:rStyle w:val="Hyperlink1"/>
            <w:rFonts w:ascii="Bodoni SvtyTwo OS ITC TT-Book" w:hAnsi="Bodoni SvtyTwo OS ITC TT-Book"/>
            <w:color w:val="5E5E5E"/>
          </w:rPr>
          <w:t>https://www.louvre.fr/en/oeuvre-notices/law-code-hammurabi-king-babylon</w:t>
        </w:r>
      </w:hyperlink>
      <w:r>
        <w:rPr>
          <w:rStyle w:val="None"/>
          <w:rFonts w:ascii="Bodoni SvtyTwo OS ITC TT-Book" w:hAnsi="Bodoni SvtyTwo OS ITC TT-Book"/>
          <w:color w:val="5E5E5E"/>
          <w:u w:color="000000"/>
        </w:rPr>
        <w:t>] (Last Accessed: 07/03/19)</w:t>
      </w:r>
    </w:p>
    <w:p w:rsidR="009F22D2" w:rsidRDefault="009F22D2">
      <w:pPr>
        <w:pStyle w:val="Heading"/>
        <w:jc w:val="center"/>
        <w:rPr>
          <w:rFonts w:ascii="Bodoni SvtyTwo OS ITC TT-BookIt" w:eastAsia="Bodoni SvtyTwo OS ITC TT-BookIt" w:hAnsi="Bodoni SvtyTwo OS ITC TT-BookIt" w:cs="Bodoni SvtyTwo OS ITC TT-BookIt"/>
          <w:b w:val="0"/>
          <w:bCs w:val="0"/>
          <w:color w:val="5E5E5E"/>
          <w:sz w:val="32"/>
          <w:szCs w:val="32"/>
        </w:rPr>
      </w:pPr>
    </w:p>
    <w:p w:rsidR="009E7ADF" w:rsidRDefault="009E7ADF">
      <w:pPr>
        <w:rPr>
          <w:rFonts w:ascii="Arial Unicode MS" w:hAnsi="Arial Unicode MS" w:cs="Arial Unicode MS"/>
          <w:color w:val="FF9300"/>
          <w:sz w:val="32"/>
          <w:szCs w:val="32"/>
          <w:lang w:eastAsia="en-GB"/>
        </w:rPr>
      </w:pPr>
      <w:r>
        <w:rPr>
          <w:rFonts w:ascii="Arial Unicode MS" w:hAnsi="Arial Unicode MS"/>
          <w:b/>
          <w:bCs/>
          <w:color w:val="FF9300"/>
          <w:sz w:val="32"/>
          <w:szCs w:val="32"/>
        </w:rPr>
        <w:br w:type="page"/>
      </w:r>
    </w:p>
    <w:p w:rsidR="009F22D2" w:rsidRDefault="006D4BB9">
      <w:pPr>
        <w:pStyle w:val="Heading"/>
        <w:jc w:val="center"/>
        <w:rPr>
          <w:rFonts w:ascii="Bodoni SvtyTwo OS ITC TT-Book" w:eastAsia="Bodoni SvtyTwo OS ITC TT-Book" w:hAnsi="Bodoni SvtyTwo OS ITC TT-Book" w:cs="Bodoni SvtyTwo OS ITC TT-Book"/>
          <w:b w:val="0"/>
          <w:bCs w:val="0"/>
          <w:color w:val="FF9300"/>
          <w:sz w:val="32"/>
          <w:szCs w:val="32"/>
        </w:rPr>
      </w:pPr>
      <w:r>
        <w:rPr>
          <w:rFonts w:ascii="Arial Unicode MS" w:hAnsi="Arial Unicode MS"/>
          <w:b w:val="0"/>
          <w:bCs w:val="0"/>
          <w:color w:val="FF9300"/>
          <w:sz w:val="32"/>
          <w:szCs w:val="32"/>
        </w:rPr>
        <w:lastRenderedPageBreak/>
        <w:t>❖</w:t>
      </w:r>
    </w:p>
    <w:p w:rsidR="009F22D2" w:rsidRDefault="009F22D2">
      <w:pPr>
        <w:pStyle w:val="Body"/>
        <w:rPr>
          <w:b/>
          <w:bCs/>
        </w:rPr>
      </w:pPr>
    </w:p>
    <w:p w:rsidR="009F22D2" w:rsidRDefault="009F22D2">
      <w:pPr>
        <w:pStyle w:val="Body"/>
        <w:rPr>
          <w:b/>
          <w:bCs/>
        </w:rPr>
      </w:pPr>
    </w:p>
    <w:p w:rsidR="009F22D2" w:rsidRPr="009E7ADF" w:rsidRDefault="006D4BB9">
      <w:pPr>
        <w:pStyle w:val="Heading"/>
        <w:jc w:val="center"/>
        <w:rPr>
          <w:rFonts w:ascii="Bodoni SvtyTwo OS ITC TT-BookIt" w:eastAsia="Bodoni SvtyTwo OS ITC TT-BookIt" w:hAnsi="Bodoni SvtyTwo OS ITC TT-BookIt" w:cs="Bodoni SvtyTwo OS ITC TT-BookIt"/>
          <w:b w:val="0"/>
          <w:bCs w:val="0"/>
          <w:i/>
          <w:color w:val="919191"/>
          <w:sz w:val="38"/>
          <w:szCs w:val="38"/>
        </w:rPr>
      </w:pPr>
      <w:r w:rsidRPr="009E7ADF">
        <w:rPr>
          <w:rFonts w:ascii="Bodoni SvtyTwo OS ITC TT-BookIt" w:hAnsi="Bodoni SvtyTwo OS ITC TT-BookIt"/>
          <w:b w:val="0"/>
          <w:bCs w:val="0"/>
          <w:i/>
          <w:color w:val="919191"/>
          <w:sz w:val="38"/>
          <w:szCs w:val="38"/>
        </w:rPr>
        <w:t>Annotated Bibliography</w:t>
      </w:r>
    </w:p>
    <w:p w:rsidR="009F22D2" w:rsidRDefault="009F22D2">
      <w:pPr>
        <w:pStyle w:val="Body"/>
        <w:jc w:val="center"/>
        <w:rPr>
          <w:b/>
          <w:bCs/>
          <w:color w:val="FF9300"/>
        </w:rPr>
      </w:pPr>
    </w:p>
    <w:p w:rsidR="009F22D2" w:rsidRDefault="006D4BB9">
      <w:pPr>
        <w:pStyle w:val="Body"/>
        <w:jc w:val="center"/>
        <w:rPr>
          <w:rFonts w:ascii="Bodoni SvtyTwo OS ITC TT-Bold" w:eastAsia="Bodoni SvtyTwo OS ITC TT-Bold" w:hAnsi="Bodoni SvtyTwo OS ITC TT-Bold" w:cs="Bodoni SvtyTwo OS ITC TT-Bold"/>
        </w:rPr>
      </w:pPr>
      <w:r>
        <w:rPr>
          <w:rStyle w:val="None"/>
          <w:rFonts w:ascii="Bodoni SvtyTwo OS ITC TT-Bold" w:hAnsi="Bodoni SvtyTwo OS ITC TT-Bold"/>
          <w:color w:val="FF9300"/>
        </w:rPr>
        <w:t xml:space="preserve">Steele, F. R. 1947. </w:t>
      </w:r>
      <w:proofErr w:type="gramStart"/>
      <w:r>
        <w:rPr>
          <w:rStyle w:val="None"/>
          <w:rFonts w:ascii="Bodoni SvtyTwo OS ITC TT-Bold" w:hAnsi="Bodoni SvtyTwo OS ITC TT-Bold"/>
          <w:color w:val="FF9300"/>
        </w:rPr>
        <w:t xml:space="preserve">The </w:t>
      </w:r>
      <w:proofErr w:type="spellStart"/>
      <w:r>
        <w:rPr>
          <w:rStyle w:val="None"/>
          <w:rFonts w:ascii="Bodoni SvtyTwo OS ITC TT-Bold" w:hAnsi="Bodoni SvtyTwo OS ITC TT-Bold"/>
          <w:color w:val="FF9300"/>
        </w:rPr>
        <w:t>Lipit</w:t>
      </w:r>
      <w:proofErr w:type="spellEnd"/>
      <w:r>
        <w:rPr>
          <w:rStyle w:val="None"/>
          <w:rFonts w:ascii="Bodoni SvtyTwo OS ITC TT-Bold" w:hAnsi="Bodoni SvtyTwo OS ITC TT-Bold"/>
          <w:color w:val="FF9300"/>
        </w:rPr>
        <w:t>- Ishtar Law Code.</w:t>
      </w:r>
      <w:proofErr w:type="gramEnd"/>
      <w:r>
        <w:rPr>
          <w:rStyle w:val="None"/>
          <w:rFonts w:ascii="Bodoni SvtyTwo OS ITC TT-Bold" w:hAnsi="Bodoni SvtyTwo OS ITC TT-Bold"/>
          <w:color w:val="FF9300"/>
        </w:rPr>
        <w:t xml:space="preserve"> </w:t>
      </w:r>
      <w:proofErr w:type="gramStart"/>
      <w:r>
        <w:rPr>
          <w:rStyle w:val="None"/>
          <w:rFonts w:ascii="Bodoni SvtyTwo OS ITC TT-Bold" w:hAnsi="Bodoni SvtyTwo OS ITC TT-Bold"/>
          <w:color w:val="FF9300"/>
        </w:rPr>
        <w:t>The American Journal of Archaeology Vol. 51.</w:t>
      </w:r>
      <w:proofErr w:type="gramEnd"/>
      <w:r>
        <w:rPr>
          <w:rStyle w:val="None"/>
          <w:rFonts w:ascii="Bodoni SvtyTwo OS ITC TT-Bold" w:hAnsi="Bodoni SvtyTwo OS ITC TT-Bold"/>
          <w:color w:val="FF9300"/>
        </w:rPr>
        <w:t xml:space="preserve"> </w:t>
      </w:r>
      <w:proofErr w:type="gramStart"/>
      <w:r>
        <w:rPr>
          <w:rStyle w:val="None"/>
          <w:rFonts w:ascii="Bodoni SvtyTwo OS ITC TT-Bold" w:hAnsi="Bodoni SvtyTwo OS ITC TT-Bold"/>
          <w:color w:val="FF9300"/>
        </w:rPr>
        <w:t>No. 2.</w:t>
      </w:r>
      <w:proofErr w:type="gramEnd"/>
      <w:r>
        <w:rPr>
          <w:rStyle w:val="None"/>
          <w:rFonts w:ascii="Bodoni SvtyTwo OS ITC TT-Bold" w:hAnsi="Bodoni SvtyTwo OS ITC TT-Bold"/>
          <w:color w:val="FF9300"/>
        </w:rPr>
        <w:t xml:space="preserve"> Pp. 158-164. </w:t>
      </w:r>
      <w:proofErr w:type="gramStart"/>
      <w:r>
        <w:rPr>
          <w:rStyle w:val="None"/>
          <w:rFonts w:ascii="Bodoni SvtyTwo OS ITC TT-Bold" w:hAnsi="Bodoni SvtyTwo OS ITC TT-Bold"/>
          <w:color w:val="FF9300"/>
        </w:rPr>
        <w:t>Archaeological Institute of America.</w:t>
      </w:r>
      <w:proofErr w:type="gramEnd"/>
      <w:r>
        <w:rPr>
          <w:rFonts w:ascii="Bodoni SvtyTwo OS ITC TT-Bold" w:hAnsi="Bodoni SvtyTwo OS ITC TT-Bold"/>
        </w:rPr>
        <w:t xml:space="preserve"> </w:t>
      </w:r>
    </w:p>
    <w:p w:rsidR="009F22D2" w:rsidRDefault="006D4BB9">
      <w:pPr>
        <w:pStyle w:val="Body"/>
        <w:jc w:val="both"/>
        <w:rPr>
          <w:rFonts w:ascii="Bodoni SvtyTwo OS ITC TT-Book" w:eastAsia="Bodoni SvtyTwo OS ITC TT-Book" w:hAnsi="Bodoni SvtyTwo OS ITC TT-Book" w:cs="Bodoni SvtyTwo OS ITC TT-Book"/>
        </w:rPr>
      </w:pPr>
      <w:r>
        <w:rPr>
          <w:rFonts w:ascii="Bodoni SvtyTwo OS ITC TT-Book" w:hAnsi="Bodoni SvtyTwo OS ITC TT-Book"/>
        </w:rPr>
        <w:t xml:space="preserve">In this article Steele compares the Code of </w:t>
      </w:r>
      <w:proofErr w:type="spellStart"/>
      <w:r>
        <w:rPr>
          <w:rFonts w:ascii="Bodoni SvtyTwo OS ITC TT-Book" w:hAnsi="Bodoni SvtyTwo OS ITC TT-Book"/>
        </w:rPr>
        <w:t>Lipit</w:t>
      </w:r>
      <w:proofErr w:type="spellEnd"/>
      <w:r>
        <w:rPr>
          <w:rFonts w:ascii="Bodoni SvtyTwo OS ITC TT-Book" w:hAnsi="Bodoni SvtyTwo OS ITC TT-Book"/>
        </w:rPr>
        <w:t xml:space="preserve">--Ishtar to that of Hammurabi and </w:t>
      </w:r>
      <w:proofErr w:type="gramStart"/>
      <w:r>
        <w:rPr>
          <w:rFonts w:ascii="Bodoni SvtyTwo OS ITC TT-Book" w:hAnsi="Bodoni SvtyTwo OS ITC TT-Book"/>
        </w:rPr>
        <w:t>assess</w:t>
      </w:r>
      <w:proofErr w:type="gramEnd"/>
      <w:r>
        <w:rPr>
          <w:rFonts w:ascii="Bodoni SvtyTwo OS ITC TT-Book" w:hAnsi="Bodoni SvtyTwo OS ITC TT-Book"/>
        </w:rPr>
        <w:t xml:space="preserve"> the role of the Sumerians in the development, he proposes establishment, of Mesopotamian Law. He argues that the code of </w:t>
      </w:r>
      <w:r>
        <w:rPr>
          <w:rFonts w:ascii="Bodoni SvtyTwo OS ITC TT-Book" w:hAnsi="Bodoni SvtyTwo OS ITC TT-Book"/>
        </w:rPr>
        <w:t xml:space="preserve">Hammurabi was based on </w:t>
      </w:r>
      <w:proofErr w:type="spellStart"/>
      <w:r>
        <w:rPr>
          <w:rFonts w:ascii="Bodoni SvtyTwo OS ITC TT-Book" w:hAnsi="Bodoni SvtyTwo OS ITC TT-Book"/>
        </w:rPr>
        <w:t>Lipit</w:t>
      </w:r>
      <w:proofErr w:type="spellEnd"/>
      <w:r>
        <w:rPr>
          <w:rFonts w:ascii="Bodoni SvtyTwo OS ITC TT-Book" w:hAnsi="Bodoni SvtyTwo OS ITC TT-Book"/>
        </w:rPr>
        <w:t>-Ishtar</w:t>
      </w:r>
      <w:r>
        <w:rPr>
          <w:rFonts w:ascii="Bodoni SvtyTwo OS ITC TT-Book" w:hAnsi="Bodoni SvtyTwo OS ITC TT-Book"/>
        </w:rPr>
        <w:t>’</w:t>
      </w:r>
      <w:r>
        <w:rPr>
          <w:rFonts w:ascii="Bodoni SvtyTwo OS ITC TT-Book" w:hAnsi="Bodoni SvtyTwo OS ITC TT-Book"/>
        </w:rPr>
        <w:t>s, and that consequently Mesopotamian culture was based in Sumerian. Although this text is useful in reflecting the attitudes of many historians in Mesopotamian archaeology, this theory is undermined by the later discove</w:t>
      </w:r>
      <w:r>
        <w:rPr>
          <w:rFonts w:ascii="Bodoni SvtyTwo OS ITC TT-Book" w:hAnsi="Bodoni SvtyTwo OS ITC TT-Book"/>
        </w:rPr>
        <w:t>ry of an earlier law code. This work benefited my research in understanding the school of Mesopotamian archaeology which was largely based in the 19</w:t>
      </w:r>
      <w:r>
        <w:rPr>
          <w:rStyle w:val="None"/>
          <w:rFonts w:ascii="Bodoni SvtyTwo OS ITC TT-Book" w:hAnsi="Bodoni SvtyTwo OS ITC TT-Book"/>
          <w:vertAlign w:val="superscript"/>
        </w:rPr>
        <w:t>th</w:t>
      </w:r>
      <w:r>
        <w:rPr>
          <w:rFonts w:ascii="Bodoni SvtyTwo OS ITC TT-Book" w:hAnsi="Bodoni SvtyTwo OS ITC TT-Book"/>
        </w:rPr>
        <w:t>/20th century and supported the theory of a Law code being a long standing political device. However it al</w:t>
      </w:r>
      <w:r>
        <w:rPr>
          <w:rFonts w:ascii="Bodoni SvtyTwo OS ITC TT-Book" w:hAnsi="Bodoni SvtyTwo OS ITC TT-Book"/>
        </w:rPr>
        <w:t xml:space="preserve">so highlights the outdated theories often found in research. </w:t>
      </w:r>
    </w:p>
    <w:p w:rsidR="009F22D2" w:rsidRDefault="009F22D2">
      <w:pPr>
        <w:pStyle w:val="Body"/>
        <w:jc w:val="center"/>
        <w:rPr>
          <w:rFonts w:ascii="Bodoni SvtyTwo OS ITC TT-Book" w:eastAsia="Bodoni SvtyTwo OS ITC TT-Book" w:hAnsi="Bodoni SvtyTwo OS ITC TT-Book" w:cs="Bodoni SvtyTwo OS ITC TT-Book"/>
          <w:color w:val="FF9300"/>
        </w:rPr>
      </w:pPr>
    </w:p>
    <w:p w:rsidR="009F22D2" w:rsidRDefault="006D4BB9">
      <w:pPr>
        <w:pStyle w:val="Body"/>
        <w:jc w:val="center"/>
        <w:rPr>
          <w:rFonts w:ascii="Bodoni SvtyTwo OS ITC TT-Bold" w:eastAsia="Bodoni SvtyTwo OS ITC TT-Bold" w:hAnsi="Bodoni SvtyTwo OS ITC TT-Bold" w:cs="Bodoni SvtyTwo OS ITC TT-Bold"/>
          <w:color w:val="FF9300"/>
        </w:rPr>
      </w:pPr>
      <w:proofErr w:type="spellStart"/>
      <w:proofErr w:type="gramStart"/>
      <w:r>
        <w:rPr>
          <w:rFonts w:ascii="Bodoni SvtyTwo OS ITC TT-Bold" w:hAnsi="Bodoni SvtyTwo OS ITC TT-Bold"/>
          <w:color w:val="FF9300"/>
        </w:rPr>
        <w:t>McNairn</w:t>
      </w:r>
      <w:proofErr w:type="spellEnd"/>
      <w:r>
        <w:rPr>
          <w:rFonts w:ascii="Bodoni SvtyTwo OS ITC TT-Bold" w:hAnsi="Bodoni SvtyTwo OS ITC TT-Bold"/>
          <w:color w:val="FF9300"/>
        </w:rPr>
        <w:t>, B. 1980.</w:t>
      </w:r>
      <w:proofErr w:type="gramEnd"/>
      <w:r>
        <w:rPr>
          <w:rFonts w:ascii="Bodoni SvtyTwo OS ITC TT-Bold" w:hAnsi="Bodoni SvtyTwo OS ITC TT-Bold"/>
          <w:color w:val="FF9300"/>
        </w:rPr>
        <w:t xml:space="preserve"> </w:t>
      </w:r>
      <w:proofErr w:type="gramStart"/>
      <w:r>
        <w:rPr>
          <w:rStyle w:val="None"/>
          <w:rFonts w:ascii="Bodoni SvtyTwo OS ITC TT-Bold" w:hAnsi="Bodoni SvtyTwo OS ITC TT-Bold"/>
          <w:color w:val="FF9300"/>
        </w:rPr>
        <w:t>The Method and Theory of V. Gordon Childe.</w:t>
      </w:r>
      <w:proofErr w:type="gramEnd"/>
      <w:r>
        <w:rPr>
          <w:rStyle w:val="None"/>
          <w:rFonts w:ascii="Bodoni SvtyTwo OS ITC TT-Bold" w:hAnsi="Bodoni SvtyTwo OS ITC TT-Bold"/>
          <w:color w:val="FF9300"/>
        </w:rPr>
        <w:t xml:space="preserve"> </w:t>
      </w:r>
      <w:r>
        <w:rPr>
          <w:rFonts w:ascii="Bodoni SvtyTwo OS ITC TT-Bold" w:hAnsi="Bodoni SvtyTwo OS ITC TT-Bold"/>
          <w:color w:val="FF9300"/>
        </w:rPr>
        <w:t xml:space="preserve">Edinburgh. </w:t>
      </w:r>
      <w:proofErr w:type="gramStart"/>
      <w:r>
        <w:rPr>
          <w:rFonts w:ascii="Bodoni SvtyTwo OS ITC TT-Bold" w:hAnsi="Bodoni SvtyTwo OS ITC TT-Bold"/>
          <w:color w:val="FF9300"/>
        </w:rPr>
        <w:t>Edinburgh University Press.</w:t>
      </w:r>
      <w:proofErr w:type="gramEnd"/>
      <w:r>
        <w:rPr>
          <w:rFonts w:ascii="Bodoni SvtyTwo OS ITC TT-Bold" w:hAnsi="Bodoni SvtyTwo OS ITC TT-Bold"/>
          <w:color w:val="FF9300"/>
        </w:rPr>
        <w:t xml:space="preserve"> </w:t>
      </w:r>
    </w:p>
    <w:p w:rsidR="009F22D2" w:rsidRDefault="006D4BB9">
      <w:pPr>
        <w:pStyle w:val="Body"/>
        <w:jc w:val="both"/>
        <w:rPr>
          <w:rFonts w:ascii="Bodoni SvtyTwo OS ITC TT-Book" w:eastAsia="Bodoni SvtyTwo OS ITC TT-Book" w:hAnsi="Bodoni SvtyTwo OS ITC TT-Book" w:cs="Bodoni SvtyTwo OS ITC TT-Book"/>
        </w:rPr>
      </w:pPr>
      <w:r>
        <w:rPr>
          <w:rFonts w:ascii="Bodoni SvtyTwo OS ITC TT-Book" w:hAnsi="Bodoni SvtyTwo OS ITC TT-Book"/>
        </w:rPr>
        <w:t xml:space="preserve">In this book </w:t>
      </w:r>
      <w:proofErr w:type="spellStart"/>
      <w:r>
        <w:rPr>
          <w:rFonts w:ascii="Bodoni SvtyTwo OS ITC TT-Book" w:hAnsi="Bodoni SvtyTwo OS ITC TT-Book"/>
        </w:rPr>
        <w:t>McNairn</w:t>
      </w:r>
      <w:proofErr w:type="spellEnd"/>
      <w:r>
        <w:rPr>
          <w:rFonts w:ascii="Bodoni SvtyTwo OS ITC TT-Book" w:hAnsi="Bodoni SvtyTwo OS ITC TT-Book"/>
        </w:rPr>
        <w:t xml:space="preserve"> assesses the works of Childe in relation to other anthropological and a</w:t>
      </w:r>
      <w:r>
        <w:rPr>
          <w:rFonts w:ascii="Bodoni SvtyTwo OS ITC TT-Book" w:hAnsi="Bodoni SvtyTwo OS ITC TT-Book"/>
        </w:rPr>
        <w:t xml:space="preserve">rchaeological theory with the aim of showing how his theories still uphold in modern day scholarship. </w:t>
      </w:r>
      <w:proofErr w:type="spellStart"/>
      <w:r>
        <w:rPr>
          <w:rFonts w:ascii="Bodoni SvtyTwo OS ITC TT-Book" w:hAnsi="Bodoni SvtyTwo OS ITC TT-Book"/>
        </w:rPr>
        <w:t>McNain</w:t>
      </w:r>
      <w:proofErr w:type="spellEnd"/>
      <w:r>
        <w:rPr>
          <w:rFonts w:ascii="Bodoni SvtyTwo OS ITC TT-Book" w:hAnsi="Bodoni SvtyTwo OS ITC TT-Book"/>
        </w:rPr>
        <w:t xml:space="preserve"> successfully presents </w:t>
      </w:r>
      <w:proofErr w:type="spellStart"/>
      <w:r>
        <w:rPr>
          <w:rFonts w:ascii="Bodoni SvtyTwo OS ITC TT-Book" w:hAnsi="Bodoni SvtyTwo OS ITC TT-Book"/>
        </w:rPr>
        <w:t>Childe</w:t>
      </w:r>
      <w:r>
        <w:rPr>
          <w:rFonts w:ascii="Bodoni SvtyTwo OS ITC TT-Book" w:hAnsi="Bodoni SvtyTwo OS ITC TT-Book"/>
        </w:rPr>
        <w:t>’</w:t>
      </w:r>
      <w:r>
        <w:rPr>
          <w:rFonts w:ascii="Bodoni SvtyTwo OS ITC TT-Book" w:hAnsi="Bodoni SvtyTwo OS ITC TT-Book"/>
        </w:rPr>
        <w:t>s</w:t>
      </w:r>
      <w:proofErr w:type="spellEnd"/>
      <w:r>
        <w:rPr>
          <w:rFonts w:ascii="Bodoni SvtyTwo OS ITC TT-Book" w:hAnsi="Bodoni SvtyTwo OS ITC TT-Book"/>
        </w:rPr>
        <w:t xml:space="preserve"> theories with in-depth explanations supported by research by other scholars to prove its relevance to modern day aca</w:t>
      </w:r>
      <w:r>
        <w:rPr>
          <w:rFonts w:ascii="Bodoni SvtyTwo OS ITC TT-Book" w:hAnsi="Bodoni SvtyTwo OS ITC TT-Book"/>
        </w:rPr>
        <w:t>demia. The theories in this book are thoroughly explored and supported or critically assessed using further scholarship, allowing for a well-rounded understanding of the theories presented. This book was indirectly important to my research; although it off</w:t>
      </w:r>
      <w:r>
        <w:rPr>
          <w:rFonts w:ascii="Bodoni SvtyTwo OS ITC TT-Book" w:hAnsi="Bodoni SvtyTwo OS ITC TT-Book"/>
        </w:rPr>
        <w:t xml:space="preserve">ered little information on my topic it was highly useful for gaining a grasp of the theory in assessing social progressions of a </w:t>
      </w:r>
      <w:proofErr w:type="spellStart"/>
      <w:r>
        <w:rPr>
          <w:rFonts w:ascii="Bodoni SvtyTwo OS ITC TT-Book" w:hAnsi="Bodoni SvtyTwo OS ITC TT-Book"/>
        </w:rPr>
        <w:t>civilisation</w:t>
      </w:r>
      <w:proofErr w:type="spellEnd"/>
      <w:r>
        <w:rPr>
          <w:rFonts w:ascii="Bodoni SvtyTwo OS ITC TT-Book" w:hAnsi="Bodoni SvtyTwo OS ITC TT-Book"/>
        </w:rPr>
        <w:t xml:space="preserve">. </w:t>
      </w:r>
    </w:p>
    <w:p w:rsidR="009F22D2" w:rsidRDefault="009F22D2">
      <w:pPr>
        <w:pStyle w:val="Body"/>
        <w:jc w:val="center"/>
        <w:rPr>
          <w:rFonts w:ascii="Bodoni SvtyTwo OS ITC TT-Book" w:eastAsia="Bodoni SvtyTwo OS ITC TT-Book" w:hAnsi="Bodoni SvtyTwo OS ITC TT-Book" w:cs="Bodoni SvtyTwo OS ITC TT-Book"/>
          <w:color w:val="FF9300"/>
        </w:rPr>
      </w:pPr>
    </w:p>
    <w:p w:rsidR="009F22D2" w:rsidRDefault="006D4BB9">
      <w:pPr>
        <w:pStyle w:val="Body"/>
        <w:jc w:val="center"/>
        <w:rPr>
          <w:rFonts w:ascii="Bodoni SvtyTwo OS ITC TT-Bold" w:eastAsia="Bodoni SvtyTwo OS ITC TT-Bold" w:hAnsi="Bodoni SvtyTwo OS ITC TT-Bold" w:cs="Bodoni SvtyTwo OS ITC TT-Bold"/>
          <w:color w:val="FF9300"/>
        </w:rPr>
      </w:pPr>
      <w:r>
        <w:rPr>
          <w:rFonts w:ascii="Bodoni SvtyTwo OS ITC TT-Bold" w:hAnsi="Bodoni SvtyTwo OS ITC TT-Bold"/>
          <w:color w:val="FF9300"/>
        </w:rPr>
        <w:t xml:space="preserve">Roth, M. T. 2002. </w:t>
      </w:r>
      <w:r>
        <w:rPr>
          <w:rStyle w:val="None"/>
          <w:rFonts w:ascii="Bodoni SvtyTwo OS ITC TT-Bold" w:hAnsi="Bodoni SvtyTwo OS ITC TT-Bold"/>
          <w:color w:val="FF9300"/>
        </w:rPr>
        <w:t>Hammurabi</w:t>
      </w:r>
      <w:r>
        <w:rPr>
          <w:rStyle w:val="None"/>
          <w:rFonts w:ascii="Bodoni SvtyTwo OS ITC TT-Bold" w:hAnsi="Bodoni SvtyTwo OS ITC TT-Bold"/>
          <w:color w:val="FF9300"/>
        </w:rPr>
        <w:t>’</w:t>
      </w:r>
      <w:r>
        <w:rPr>
          <w:rStyle w:val="None"/>
          <w:rFonts w:ascii="Bodoni SvtyTwo OS ITC TT-Bold" w:hAnsi="Bodoni SvtyTwo OS ITC TT-Bold"/>
          <w:color w:val="FF9300"/>
        </w:rPr>
        <w:t xml:space="preserve">s Wronged Man. </w:t>
      </w:r>
      <w:r>
        <w:rPr>
          <w:rFonts w:ascii="Bodoni SvtyTwo OS ITC TT-Bold" w:hAnsi="Bodoni SvtyTwo OS ITC TT-Bold"/>
          <w:color w:val="FF9300"/>
        </w:rPr>
        <w:t>Journal of the American Oriental Society, Vol. 122, No. 1 (Jan-March</w:t>
      </w:r>
      <w:r>
        <w:rPr>
          <w:rFonts w:ascii="Bodoni SvtyTwo OS ITC TT-Bold" w:hAnsi="Bodoni SvtyTwo OS ITC TT-Bold"/>
          <w:color w:val="FF9300"/>
        </w:rPr>
        <w:t xml:space="preserve">, 2002) pgs. </w:t>
      </w:r>
      <w:proofErr w:type="gramStart"/>
      <w:r>
        <w:rPr>
          <w:rFonts w:ascii="Bodoni SvtyTwo OS ITC TT-Bold" w:hAnsi="Bodoni SvtyTwo OS ITC TT-Bold"/>
          <w:color w:val="FF9300"/>
        </w:rPr>
        <w:t>38-45.</w:t>
      </w:r>
      <w:proofErr w:type="gramEnd"/>
      <w:r>
        <w:rPr>
          <w:rFonts w:ascii="Bodoni SvtyTwo OS ITC TT-Bold" w:hAnsi="Bodoni SvtyTwo OS ITC TT-Bold"/>
          <w:color w:val="FF9300"/>
        </w:rPr>
        <w:t xml:space="preserve"> </w:t>
      </w:r>
    </w:p>
    <w:p w:rsidR="009F22D2" w:rsidRDefault="006D4BB9">
      <w:pPr>
        <w:pStyle w:val="Body"/>
        <w:jc w:val="both"/>
        <w:rPr>
          <w:rFonts w:ascii="Bodoni SvtyTwo OS ITC TT-Book" w:eastAsia="Bodoni SvtyTwo OS ITC TT-Book" w:hAnsi="Bodoni SvtyTwo OS ITC TT-Book" w:cs="Bodoni SvtyTwo OS ITC TT-Book"/>
        </w:rPr>
      </w:pPr>
      <w:r>
        <w:rPr>
          <w:rFonts w:ascii="Bodoni SvtyTwo OS ITC TT-Book" w:hAnsi="Bodoni SvtyTwo OS ITC TT-Book"/>
        </w:rPr>
        <w:t xml:space="preserve">The author of this article investigates the role of </w:t>
      </w:r>
      <w:proofErr w:type="spellStart"/>
      <w:r>
        <w:rPr>
          <w:rFonts w:ascii="Bodoni SvtyTwo OS ITC TT-Book" w:hAnsi="Bodoni SvtyTwo OS ITC TT-Book"/>
        </w:rPr>
        <w:t>stelae</w:t>
      </w:r>
      <w:proofErr w:type="spellEnd"/>
      <w:r>
        <w:rPr>
          <w:rFonts w:ascii="Bodoni SvtyTwo OS ITC TT-Book" w:hAnsi="Bodoni SvtyTwo OS ITC TT-Book"/>
        </w:rPr>
        <w:t xml:space="preserve"> and law codes in a king</w:t>
      </w:r>
      <w:r>
        <w:rPr>
          <w:rFonts w:ascii="Bodoni SvtyTwo OS ITC TT-Book" w:hAnsi="Bodoni SvtyTwo OS ITC TT-Book"/>
        </w:rPr>
        <w:t>’</w:t>
      </w:r>
      <w:r>
        <w:rPr>
          <w:rFonts w:ascii="Bodoni SvtyTwo OS ITC TT-Book" w:hAnsi="Bodoni SvtyTwo OS ITC TT-Book"/>
        </w:rPr>
        <w:t xml:space="preserve">s reign; she presents the case that the </w:t>
      </w:r>
      <w:proofErr w:type="spellStart"/>
      <w:r>
        <w:rPr>
          <w:rFonts w:ascii="Bodoni SvtyTwo OS ITC TT-Book" w:hAnsi="Bodoni SvtyTwo OS ITC TT-Book"/>
        </w:rPr>
        <w:t>stelae</w:t>
      </w:r>
      <w:proofErr w:type="spellEnd"/>
      <w:r>
        <w:rPr>
          <w:rFonts w:ascii="Bodoni SvtyTwo OS ITC TT-Book" w:hAnsi="Bodoni SvtyTwo OS ITC TT-Book"/>
        </w:rPr>
        <w:t xml:space="preserve"> were never intended as actual law codes but instead as monuments to symbolically connect the king to his </w:t>
      </w:r>
      <w:r>
        <w:rPr>
          <w:rFonts w:ascii="Bodoni SvtyTwo OS ITC TT-Book" w:hAnsi="Bodoni SvtyTwo OS ITC TT-Book"/>
        </w:rPr>
        <w:t xml:space="preserve">people and prevent unrest. This theory was a turning point in my essay as it </w:t>
      </w:r>
      <w:proofErr w:type="spellStart"/>
      <w:r>
        <w:rPr>
          <w:rFonts w:ascii="Bodoni SvtyTwo OS ITC TT-Book" w:hAnsi="Bodoni SvtyTwo OS ITC TT-Book"/>
        </w:rPr>
        <w:t>focussed</w:t>
      </w:r>
      <w:proofErr w:type="spellEnd"/>
      <w:r>
        <w:rPr>
          <w:rFonts w:ascii="Bodoni SvtyTwo OS ITC TT-Book" w:hAnsi="Bodoni SvtyTwo OS ITC TT-Book"/>
        </w:rPr>
        <w:t xml:space="preserve"> my research on the effectiveness of this </w:t>
      </w:r>
      <w:proofErr w:type="gramStart"/>
      <w:r>
        <w:rPr>
          <w:rFonts w:ascii="Bodoni SvtyTwo OS ITC TT-Book" w:hAnsi="Bodoni SvtyTwo OS ITC TT-Book"/>
        </w:rPr>
        <w:t>practice,</w:t>
      </w:r>
      <w:proofErr w:type="gramEnd"/>
      <w:r>
        <w:rPr>
          <w:rFonts w:ascii="Bodoni SvtyTwo OS ITC TT-Book" w:hAnsi="Bodoni SvtyTwo OS ITC TT-Book"/>
        </w:rPr>
        <w:t xml:space="preserve"> however I was limited in finding supporting research. In my opinion this article is revolutionary in understanding the </w:t>
      </w:r>
      <w:r>
        <w:rPr>
          <w:rFonts w:ascii="Bodoni SvtyTwo OS ITC TT-Book" w:hAnsi="Bodoni SvtyTwo OS ITC TT-Book"/>
        </w:rPr>
        <w:t>power dynamic of Mesopotamia and the methodology used in cementing a ruler</w:t>
      </w:r>
      <w:r>
        <w:rPr>
          <w:rFonts w:ascii="Bodoni SvtyTwo OS ITC TT-Book" w:hAnsi="Bodoni SvtyTwo OS ITC TT-Book"/>
        </w:rPr>
        <w:t>’</w:t>
      </w:r>
      <w:r>
        <w:rPr>
          <w:rFonts w:ascii="Bodoni SvtyTwo OS ITC TT-Book" w:hAnsi="Bodoni SvtyTwo OS ITC TT-Book"/>
        </w:rPr>
        <w:t xml:space="preserve">s position.  </w:t>
      </w:r>
    </w:p>
    <w:p w:rsidR="009F22D2" w:rsidRDefault="009F22D2">
      <w:pPr>
        <w:pStyle w:val="Body"/>
        <w:rPr>
          <w:rFonts w:ascii="Bodoni SvtyTwo OS ITC TT-Book" w:eastAsia="Bodoni SvtyTwo OS ITC TT-Book" w:hAnsi="Bodoni SvtyTwo OS ITC TT-Book" w:cs="Bodoni SvtyTwo OS ITC TT-Book"/>
        </w:rPr>
      </w:pPr>
    </w:p>
    <w:p w:rsidR="009F22D2" w:rsidRDefault="009F22D2">
      <w:pPr>
        <w:pStyle w:val="Body"/>
        <w:rPr>
          <w:rStyle w:val="None"/>
          <w:rFonts w:ascii="Bodoni SvtyTwo OS ITC TT-Book" w:eastAsia="Bodoni SvtyTwo OS ITC TT-Book" w:hAnsi="Bodoni SvtyTwo OS ITC TT-Book" w:cs="Bodoni SvtyTwo OS ITC TT-Book"/>
          <w:color w:val="B41700"/>
        </w:rPr>
      </w:pPr>
    </w:p>
    <w:p w:rsidR="009F22D2" w:rsidRDefault="006D4BB9">
      <w:pPr>
        <w:pStyle w:val="Body"/>
        <w:jc w:val="center"/>
        <w:rPr>
          <w:rFonts w:ascii="Bodoni SvtyTwo OS ITC TT-Bold" w:eastAsia="Bodoni SvtyTwo OS ITC TT-Bold" w:hAnsi="Bodoni SvtyTwo OS ITC TT-Bold" w:cs="Bodoni SvtyTwo OS ITC TT-Bold"/>
          <w:color w:val="FF9300"/>
        </w:rPr>
      </w:pPr>
      <w:proofErr w:type="spellStart"/>
      <w:r>
        <w:rPr>
          <w:rFonts w:ascii="Bodoni SvtyTwo OS ITC TT-Bold" w:hAnsi="Bodoni SvtyTwo OS ITC TT-Bold"/>
          <w:color w:val="FF9300"/>
        </w:rPr>
        <w:t>Bahrani</w:t>
      </w:r>
      <w:proofErr w:type="spellEnd"/>
      <w:r>
        <w:rPr>
          <w:rFonts w:ascii="Bodoni SvtyTwo OS ITC TT-Bold" w:hAnsi="Bodoni SvtyTwo OS ITC TT-Bold"/>
          <w:color w:val="FF9300"/>
        </w:rPr>
        <w:t xml:space="preserve">, Z. </w:t>
      </w:r>
      <w:proofErr w:type="gramStart"/>
      <w:r>
        <w:rPr>
          <w:rStyle w:val="None"/>
          <w:rFonts w:ascii="Bodoni SvtyTwo OS ITC TT-Bold" w:hAnsi="Bodoni SvtyTwo OS ITC TT-Bold"/>
          <w:color w:val="FF9300"/>
        </w:rPr>
        <w:t>The Babylonian Visual Image.</w:t>
      </w:r>
      <w:proofErr w:type="gramEnd"/>
      <w:r>
        <w:rPr>
          <w:rStyle w:val="None"/>
          <w:rFonts w:ascii="Bodoni SvtyTwo OS ITC TT-Bold" w:hAnsi="Bodoni SvtyTwo OS ITC TT-Bold"/>
          <w:color w:val="FF9300"/>
        </w:rPr>
        <w:t xml:space="preserve"> </w:t>
      </w:r>
      <w:r>
        <w:rPr>
          <w:rFonts w:ascii="Bodoni SvtyTwo OS ITC TT-Bold" w:hAnsi="Bodoni SvtyTwo OS ITC TT-Bold"/>
          <w:color w:val="FF9300"/>
        </w:rPr>
        <w:t xml:space="preserve">In </w:t>
      </w:r>
      <w:r>
        <w:rPr>
          <w:rStyle w:val="None"/>
          <w:rFonts w:ascii="Bodoni SvtyTwo OS ITC TT-Bold" w:hAnsi="Bodoni SvtyTwo OS ITC TT-Bold"/>
          <w:color w:val="FF9300"/>
        </w:rPr>
        <w:t>The Babylonian World</w:t>
      </w:r>
      <w:r>
        <w:rPr>
          <w:rFonts w:ascii="Bodoni SvtyTwo OS ITC TT-Bold" w:hAnsi="Bodoni SvtyTwo OS ITC TT-Bold"/>
          <w:color w:val="FF9300"/>
        </w:rPr>
        <w:t xml:space="preserve"> (Gwendolyn </w:t>
      </w:r>
      <w:proofErr w:type="spellStart"/>
      <w:r>
        <w:rPr>
          <w:rFonts w:ascii="Bodoni SvtyTwo OS ITC TT-Bold" w:hAnsi="Bodoni SvtyTwo OS ITC TT-Bold"/>
          <w:color w:val="FF9300"/>
        </w:rPr>
        <w:t>Leick</w:t>
      </w:r>
      <w:proofErr w:type="spellEnd"/>
      <w:r>
        <w:rPr>
          <w:rFonts w:ascii="Bodoni SvtyTwo OS ITC TT-Bold" w:hAnsi="Bodoni SvtyTwo OS ITC TT-Bold"/>
          <w:color w:val="FF9300"/>
        </w:rPr>
        <w:t xml:space="preserve"> </w:t>
      </w:r>
      <w:proofErr w:type="gramStart"/>
      <w:r>
        <w:rPr>
          <w:rFonts w:ascii="Bodoni SvtyTwo OS ITC TT-Bold" w:hAnsi="Bodoni SvtyTwo OS ITC TT-Bold"/>
          <w:color w:val="FF9300"/>
        </w:rPr>
        <w:t>ed</w:t>
      </w:r>
      <w:proofErr w:type="gramEnd"/>
      <w:r>
        <w:rPr>
          <w:rFonts w:ascii="Bodoni SvtyTwo OS ITC TT-Bold" w:hAnsi="Bodoni SvtyTwo OS ITC TT-Bold"/>
          <w:color w:val="FF9300"/>
        </w:rPr>
        <w:t>.) 2007</w:t>
      </w:r>
      <w:proofErr w:type="gramStart"/>
      <w:r>
        <w:rPr>
          <w:rFonts w:ascii="Bodoni SvtyTwo OS ITC TT-Bold" w:hAnsi="Bodoni SvtyTwo OS ITC TT-Bold"/>
          <w:color w:val="FF9300"/>
        </w:rPr>
        <w:t>..</w:t>
      </w:r>
      <w:proofErr w:type="gramEnd"/>
      <w:r>
        <w:rPr>
          <w:rFonts w:ascii="Bodoni SvtyTwo OS ITC TT-Bold" w:hAnsi="Bodoni SvtyTwo OS ITC TT-Bold"/>
          <w:color w:val="FF9300"/>
        </w:rPr>
        <w:t xml:space="preserve"> Oxford. </w:t>
      </w:r>
      <w:proofErr w:type="spellStart"/>
      <w:proofErr w:type="gramStart"/>
      <w:r>
        <w:rPr>
          <w:rFonts w:ascii="Bodoni SvtyTwo OS ITC TT-Bold" w:hAnsi="Bodoni SvtyTwo OS ITC TT-Bold"/>
          <w:color w:val="FF9300"/>
        </w:rPr>
        <w:t>Routledge</w:t>
      </w:r>
      <w:proofErr w:type="spellEnd"/>
      <w:r>
        <w:rPr>
          <w:rFonts w:ascii="Bodoni SvtyTwo OS ITC TT-Bold" w:hAnsi="Bodoni SvtyTwo OS ITC TT-Bold"/>
          <w:color w:val="FF9300"/>
        </w:rPr>
        <w:t>.</w:t>
      </w:r>
      <w:proofErr w:type="gramEnd"/>
      <w:r>
        <w:rPr>
          <w:rFonts w:ascii="Bodoni SvtyTwo OS ITC TT-Bold" w:hAnsi="Bodoni SvtyTwo OS ITC TT-Bold"/>
          <w:color w:val="FF9300"/>
        </w:rPr>
        <w:t xml:space="preserve"> </w:t>
      </w:r>
    </w:p>
    <w:p w:rsidR="009F22D2" w:rsidRDefault="006D4BB9">
      <w:pPr>
        <w:pStyle w:val="Body"/>
        <w:jc w:val="both"/>
        <w:rPr>
          <w:rFonts w:ascii="Bodoni SvtyTwo OS ITC TT-Book" w:eastAsia="Bodoni SvtyTwo OS ITC TT-Book" w:hAnsi="Bodoni SvtyTwo OS ITC TT-Book" w:cs="Bodoni SvtyTwo OS ITC TT-Book"/>
        </w:rPr>
      </w:pPr>
      <w:proofErr w:type="spellStart"/>
      <w:r>
        <w:rPr>
          <w:rFonts w:ascii="Bodoni SvtyTwo OS ITC TT-Book" w:hAnsi="Bodoni SvtyTwo OS ITC TT-Book"/>
        </w:rPr>
        <w:t>Bahrani</w:t>
      </w:r>
      <w:proofErr w:type="spellEnd"/>
      <w:r>
        <w:rPr>
          <w:rFonts w:ascii="Bodoni SvtyTwo OS ITC TT-Book" w:hAnsi="Bodoni SvtyTwo OS ITC TT-Book"/>
        </w:rPr>
        <w:t xml:space="preserve"> argues against the interpretation of Hammur</w:t>
      </w:r>
      <w:r>
        <w:rPr>
          <w:rFonts w:ascii="Bodoni SvtyTwo OS ITC TT-Book" w:hAnsi="Bodoni SvtyTwo OS ITC TT-Book"/>
        </w:rPr>
        <w:t>abi</w:t>
      </w:r>
      <w:r>
        <w:rPr>
          <w:rFonts w:ascii="Bodoni SvtyTwo OS ITC TT-Book" w:hAnsi="Bodoni SvtyTwo OS ITC TT-Book"/>
        </w:rPr>
        <w:t>’</w:t>
      </w:r>
      <w:r>
        <w:rPr>
          <w:rFonts w:ascii="Bodoni SvtyTwo OS ITC TT-Book" w:hAnsi="Bodoni SvtyTwo OS ITC TT-Book"/>
        </w:rPr>
        <w:t xml:space="preserve">s Stele as a Law Code and redefines it as a piece of propaganda, representing the concept of law and order in Mesopotamia in direct relation to the sovereign. This theory was largely based on </w:t>
      </w:r>
      <w:proofErr w:type="spellStart"/>
      <w:r>
        <w:rPr>
          <w:rFonts w:ascii="Bodoni SvtyTwo OS ITC TT-Book" w:hAnsi="Bodoni SvtyTwo OS ITC TT-Book"/>
        </w:rPr>
        <w:t>Bott</w:t>
      </w:r>
      <w:r>
        <w:rPr>
          <w:rFonts w:ascii="Bodoni SvtyTwo OS ITC TT-Book" w:hAnsi="Bodoni SvtyTwo OS ITC TT-Book"/>
        </w:rPr>
        <w:t>é</w:t>
      </w:r>
      <w:r>
        <w:rPr>
          <w:rFonts w:ascii="Bodoni SvtyTwo OS ITC TT-Book" w:hAnsi="Bodoni SvtyTwo OS ITC TT-Book"/>
        </w:rPr>
        <w:t>ro</w:t>
      </w:r>
      <w:proofErr w:type="spellEnd"/>
      <w:r>
        <w:rPr>
          <w:rFonts w:ascii="Bodoni SvtyTwo OS ITC TT-Book" w:hAnsi="Bodoni SvtyTwo OS ITC TT-Book"/>
        </w:rPr>
        <w:t xml:space="preserve"> and their own research which is only briefly mentioned. Although highly useful in providing critical assessment of the use of the Stele, I found the article too short and more of a summary of a theory than an explanation in itself. Nonetheless it helped</w:t>
      </w:r>
      <w:r>
        <w:rPr>
          <w:rFonts w:ascii="Bodoni SvtyTwo OS ITC TT-Book" w:hAnsi="Bodoni SvtyTwo OS ITC TT-Book"/>
        </w:rPr>
        <w:t xml:space="preserve"> to frame my research by providing critical evidence for the symbolism of law in relation to a king. </w:t>
      </w:r>
    </w:p>
    <w:p w:rsidR="009F22D2" w:rsidRDefault="009F22D2">
      <w:pPr>
        <w:pStyle w:val="Body"/>
        <w:rPr>
          <w:rFonts w:ascii="Bodoni SvtyTwo OS ITC TT-Book" w:eastAsia="Bodoni SvtyTwo OS ITC TT-Book" w:hAnsi="Bodoni SvtyTwo OS ITC TT-Book" w:cs="Bodoni SvtyTwo OS ITC TT-Book"/>
        </w:rPr>
      </w:pPr>
    </w:p>
    <w:p w:rsidR="009F22D2" w:rsidRDefault="006D4BB9">
      <w:pPr>
        <w:pStyle w:val="Body"/>
        <w:jc w:val="center"/>
        <w:rPr>
          <w:rFonts w:ascii="Bodoni SvtyTwo OS ITC TT-Bold" w:eastAsia="Bodoni SvtyTwo OS ITC TT-Bold" w:hAnsi="Bodoni SvtyTwo OS ITC TT-Bold" w:cs="Bodoni SvtyTwo OS ITC TT-Bold"/>
          <w:color w:val="FF9300"/>
        </w:rPr>
      </w:pPr>
      <w:proofErr w:type="spellStart"/>
      <w:r>
        <w:rPr>
          <w:rFonts w:ascii="Bodoni SvtyTwo OS ITC TT-Bold" w:hAnsi="Bodoni SvtyTwo OS ITC TT-Bold"/>
          <w:color w:val="FF9300"/>
        </w:rPr>
        <w:t>Assmanm</w:t>
      </w:r>
      <w:proofErr w:type="spellEnd"/>
      <w:r>
        <w:rPr>
          <w:rFonts w:ascii="Bodoni SvtyTwo OS ITC TT-Bold" w:hAnsi="Bodoni SvtyTwo OS ITC TT-Bold"/>
          <w:color w:val="FF9300"/>
        </w:rPr>
        <w:t xml:space="preserve"> J. 2011. </w:t>
      </w:r>
      <w:r>
        <w:rPr>
          <w:rStyle w:val="None"/>
          <w:rFonts w:ascii="Bodoni SvtyTwo OS ITC TT-Bold" w:hAnsi="Bodoni SvtyTwo OS ITC TT-Bold"/>
          <w:color w:val="FF9300"/>
        </w:rPr>
        <w:t xml:space="preserve">Cultural Memory and Early </w:t>
      </w:r>
      <w:proofErr w:type="spellStart"/>
      <w:r>
        <w:rPr>
          <w:rStyle w:val="None"/>
          <w:rFonts w:ascii="Bodoni SvtyTwo OS ITC TT-Bold" w:hAnsi="Bodoni SvtyTwo OS ITC TT-Bold"/>
          <w:color w:val="FF9300"/>
        </w:rPr>
        <w:t>Civilisations</w:t>
      </w:r>
      <w:proofErr w:type="spellEnd"/>
      <w:r>
        <w:rPr>
          <w:rStyle w:val="None"/>
          <w:rFonts w:ascii="Bodoni SvtyTwo OS ITC TT-Bold" w:hAnsi="Bodoni SvtyTwo OS ITC TT-Bold"/>
          <w:color w:val="FF9300"/>
        </w:rPr>
        <w:t>: Writing, Remembrance and Political Imagination</w:t>
      </w:r>
      <w:r>
        <w:rPr>
          <w:rFonts w:ascii="Bodoni SvtyTwo OS ITC TT-Bold" w:hAnsi="Bodoni SvtyTwo OS ITC TT-Bold"/>
          <w:color w:val="FF9300"/>
        </w:rPr>
        <w:t>. Cambridge. Cambridge University Press</w:t>
      </w:r>
    </w:p>
    <w:p w:rsidR="009F22D2" w:rsidRDefault="006D4BB9">
      <w:pPr>
        <w:pStyle w:val="Body"/>
        <w:jc w:val="both"/>
        <w:rPr>
          <w:rFonts w:ascii="Bodoni SvtyTwo OS ITC TT-Book" w:eastAsia="Bodoni SvtyTwo OS ITC TT-Book" w:hAnsi="Bodoni SvtyTwo OS ITC TT-Book" w:cs="Bodoni SvtyTwo OS ITC TT-Book"/>
        </w:rPr>
      </w:pPr>
      <w:r>
        <w:rPr>
          <w:rFonts w:ascii="Bodoni SvtyTwo OS ITC TT-Book" w:hAnsi="Bodoni SvtyTwo OS ITC TT-Book"/>
        </w:rPr>
        <w:t>In her ch</w:t>
      </w:r>
      <w:r>
        <w:rPr>
          <w:rFonts w:ascii="Bodoni SvtyTwo OS ITC TT-Book" w:hAnsi="Bodoni SvtyTwo OS ITC TT-Book"/>
        </w:rPr>
        <w:t xml:space="preserve">apter on Law, </w:t>
      </w:r>
      <w:proofErr w:type="spellStart"/>
      <w:r>
        <w:rPr>
          <w:rFonts w:ascii="Bodoni SvtyTwo OS ITC TT-Book" w:hAnsi="Bodoni SvtyTwo OS ITC TT-Book"/>
        </w:rPr>
        <w:t>Assman</w:t>
      </w:r>
      <w:proofErr w:type="spellEnd"/>
      <w:r>
        <w:rPr>
          <w:rFonts w:ascii="Bodoni SvtyTwo OS ITC TT-Book" w:hAnsi="Bodoni SvtyTwo OS ITC TT-Book"/>
        </w:rPr>
        <w:t xml:space="preserve"> argues that it is the sense of obligation and establishment of rigid social order that forces people to remember the past, which she argues would not be done naturally. She proposes the institution of Law and </w:t>
      </w:r>
      <w:r>
        <w:rPr>
          <w:rFonts w:ascii="Bodoni SvtyTwo OS ITC TT-Book" w:hAnsi="Bodoni SvtyTwo OS ITC TT-Book"/>
        </w:rPr>
        <w:t>‘</w:t>
      </w:r>
      <w:r>
        <w:rPr>
          <w:rFonts w:ascii="Bodoni SvtyTwo OS ITC TT-Book" w:hAnsi="Bodoni SvtyTwo OS ITC TT-Book"/>
        </w:rPr>
        <w:t>binding obligations</w:t>
      </w:r>
      <w:r>
        <w:rPr>
          <w:rFonts w:ascii="Bodoni SvtyTwo OS ITC TT-Book" w:hAnsi="Bodoni SvtyTwo OS ITC TT-Book"/>
        </w:rPr>
        <w:t xml:space="preserve">’ </w:t>
      </w:r>
      <w:r>
        <w:rPr>
          <w:rFonts w:ascii="Bodoni SvtyTwo OS ITC TT-Book" w:hAnsi="Bodoni SvtyTwo OS ITC TT-Book"/>
        </w:rPr>
        <w:t>crea</w:t>
      </w:r>
      <w:r>
        <w:rPr>
          <w:rFonts w:ascii="Bodoni SvtyTwo OS ITC TT-Book" w:hAnsi="Bodoni SvtyTwo OS ITC TT-Book"/>
        </w:rPr>
        <w:t>tes a sense of duty towards an individual</w:t>
      </w:r>
      <w:r>
        <w:rPr>
          <w:rFonts w:ascii="Bodoni SvtyTwo OS ITC TT-Book" w:hAnsi="Bodoni SvtyTwo OS ITC TT-Book"/>
        </w:rPr>
        <w:t>’</w:t>
      </w:r>
      <w:r>
        <w:rPr>
          <w:rFonts w:ascii="Bodoni SvtyTwo OS ITC TT-Book" w:hAnsi="Bodoni SvtyTwo OS ITC TT-Book"/>
        </w:rPr>
        <w:t xml:space="preserve">s culture that forces them to record and preserve their history. </w:t>
      </w:r>
      <w:proofErr w:type="spellStart"/>
      <w:r>
        <w:rPr>
          <w:rFonts w:ascii="Bodoni SvtyTwo OS ITC TT-Book" w:hAnsi="Bodoni SvtyTwo OS ITC TT-Book"/>
        </w:rPr>
        <w:t>Assman</w:t>
      </w:r>
      <w:r>
        <w:rPr>
          <w:rFonts w:ascii="Bodoni SvtyTwo OS ITC TT-Book" w:hAnsi="Bodoni SvtyTwo OS ITC TT-Book"/>
        </w:rPr>
        <w:t>’</w:t>
      </w:r>
      <w:r>
        <w:rPr>
          <w:rFonts w:ascii="Bodoni SvtyTwo OS ITC TT-Book" w:hAnsi="Bodoni SvtyTwo OS ITC TT-Book"/>
        </w:rPr>
        <w:t>s</w:t>
      </w:r>
      <w:proofErr w:type="spellEnd"/>
      <w:r>
        <w:rPr>
          <w:rFonts w:ascii="Bodoni SvtyTwo OS ITC TT-Book" w:hAnsi="Bodoni SvtyTwo OS ITC TT-Book"/>
        </w:rPr>
        <w:t xml:space="preserve"> work is useful for gaining an anthropological perspective of the past, however the information offered is highly based in theory and therefo</w:t>
      </w:r>
      <w:r>
        <w:rPr>
          <w:rFonts w:ascii="Bodoni SvtyTwo OS ITC TT-Book" w:hAnsi="Bodoni SvtyTwo OS ITC TT-Book"/>
        </w:rPr>
        <w:t>re must be respected as only one approach. This text was useful for theory for the motives behind the royal tradition of Law codes as well as aiding in understanding their wider social implications.</w:t>
      </w:r>
    </w:p>
    <w:p w:rsidR="009F22D2" w:rsidRDefault="009F22D2">
      <w:pPr>
        <w:pStyle w:val="Heading"/>
        <w:jc w:val="center"/>
        <w:rPr>
          <w:rFonts w:ascii="Bodoni SvtyTwo OS ITC TT-Book" w:eastAsia="Bodoni SvtyTwo OS ITC TT-Book" w:hAnsi="Bodoni SvtyTwo OS ITC TT-Book" w:cs="Bodoni SvtyTwo OS ITC TT-Book"/>
          <w:b w:val="0"/>
          <w:bCs w:val="0"/>
          <w:color w:val="FF9300"/>
          <w:sz w:val="32"/>
          <w:szCs w:val="32"/>
        </w:rPr>
      </w:pPr>
    </w:p>
    <w:p w:rsidR="009F22D2" w:rsidRDefault="006D4BB9">
      <w:pPr>
        <w:pStyle w:val="Heading"/>
        <w:jc w:val="center"/>
        <w:rPr>
          <w:rFonts w:ascii="Bodoni SvtyTwo OS ITC TT-Book" w:eastAsia="Bodoni SvtyTwo OS ITC TT-Book" w:hAnsi="Bodoni SvtyTwo OS ITC TT-Book" w:cs="Bodoni SvtyTwo OS ITC TT-Book"/>
          <w:b w:val="0"/>
          <w:bCs w:val="0"/>
          <w:color w:val="FF9300"/>
          <w:sz w:val="32"/>
          <w:szCs w:val="32"/>
        </w:rPr>
      </w:pPr>
      <w:r>
        <w:rPr>
          <w:rFonts w:ascii="Arial Unicode MS" w:hAnsi="Arial Unicode MS"/>
          <w:b w:val="0"/>
          <w:bCs w:val="0"/>
          <w:color w:val="FF9300"/>
          <w:sz w:val="32"/>
          <w:szCs w:val="32"/>
        </w:rPr>
        <w:t>❖</w:t>
      </w:r>
    </w:p>
    <w:p w:rsidR="009F22D2" w:rsidRDefault="009F22D2">
      <w:pPr>
        <w:pStyle w:val="Heading"/>
        <w:jc w:val="center"/>
        <w:rPr>
          <w:rFonts w:ascii="Bodoni SvtyTwo OS ITC TT-BookIt" w:eastAsia="Bodoni SvtyTwo OS ITC TT-BookIt" w:hAnsi="Bodoni SvtyTwo OS ITC TT-BookIt" w:cs="Bodoni SvtyTwo OS ITC TT-BookIt"/>
          <w:b w:val="0"/>
          <w:bCs w:val="0"/>
          <w:color w:val="919191"/>
          <w:sz w:val="38"/>
          <w:szCs w:val="38"/>
        </w:rPr>
      </w:pPr>
    </w:p>
    <w:p w:rsidR="009F22D2" w:rsidRPr="009E7ADF" w:rsidRDefault="006D4BB9">
      <w:pPr>
        <w:pStyle w:val="Heading"/>
        <w:jc w:val="center"/>
        <w:rPr>
          <w:rFonts w:ascii="Bodoni SvtyTwo OS ITC TT-BookIt" w:eastAsia="Bodoni SvtyTwo OS ITC TT-BookIt" w:hAnsi="Bodoni SvtyTwo OS ITC TT-BookIt" w:cs="Bodoni SvtyTwo OS ITC TT-BookIt"/>
          <w:b w:val="0"/>
          <w:bCs w:val="0"/>
          <w:i/>
          <w:color w:val="919191"/>
          <w:sz w:val="38"/>
          <w:szCs w:val="38"/>
        </w:rPr>
      </w:pPr>
      <w:r w:rsidRPr="009E7ADF">
        <w:rPr>
          <w:rFonts w:ascii="Bodoni SvtyTwo OS ITC TT-BookIt" w:hAnsi="Bodoni SvtyTwo OS ITC TT-BookIt"/>
          <w:b w:val="0"/>
          <w:bCs w:val="0"/>
          <w:i/>
          <w:color w:val="919191"/>
          <w:sz w:val="38"/>
          <w:szCs w:val="38"/>
        </w:rPr>
        <w:t>Further Reading</w:t>
      </w:r>
    </w:p>
    <w:p w:rsidR="009F22D2" w:rsidRDefault="006D4BB9">
      <w:pPr>
        <w:pStyle w:val="Body"/>
        <w:jc w:val="both"/>
        <w:rPr>
          <w:rFonts w:ascii="Bodoni SvtyTwo OS ITC TT-Book" w:eastAsia="Bodoni SvtyTwo OS ITC TT-Book" w:hAnsi="Bodoni SvtyTwo OS ITC TT-Book" w:cs="Bodoni SvtyTwo OS ITC TT-Book"/>
        </w:rPr>
      </w:pPr>
      <w:proofErr w:type="spellStart"/>
      <w:proofErr w:type="gramStart"/>
      <w:r>
        <w:rPr>
          <w:rFonts w:ascii="Bodoni SvtyTwo OS ITC TT-Book" w:hAnsi="Bodoni SvtyTwo OS ITC TT-Book"/>
        </w:rPr>
        <w:t>Andr</w:t>
      </w:r>
      <w:r>
        <w:rPr>
          <w:rFonts w:ascii="Bodoni SvtyTwo OS ITC TT-Book" w:hAnsi="Bodoni SvtyTwo OS ITC TT-Book"/>
        </w:rPr>
        <w:t>é</w:t>
      </w:r>
      <w:r>
        <w:rPr>
          <w:rFonts w:ascii="Bodoni SvtyTwo OS ITC TT-Book" w:hAnsi="Bodoni SvtyTwo OS ITC TT-Book"/>
        </w:rPr>
        <w:t>n</w:t>
      </w:r>
      <w:proofErr w:type="spellEnd"/>
      <w:r>
        <w:rPr>
          <w:rFonts w:ascii="Bodoni SvtyTwo OS ITC TT-Book" w:hAnsi="Bodoni SvtyTwo OS ITC TT-Book"/>
        </w:rPr>
        <w:t>, A. 1998.</w:t>
      </w:r>
      <w:proofErr w:type="gramEnd"/>
      <w:r>
        <w:rPr>
          <w:rFonts w:ascii="Bodoni SvtyTwo OS ITC TT-Book" w:hAnsi="Bodoni SvtyTwo OS ITC TT-Book"/>
        </w:rPr>
        <w:t xml:space="preserve"> </w:t>
      </w:r>
      <w:r>
        <w:rPr>
          <w:rStyle w:val="None"/>
          <w:rFonts w:ascii="Bodoni SvtyTwo OS ITC TT-BookIt" w:hAnsi="Bodoni SvtyTwo OS ITC TT-BookIt"/>
        </w:rPr>
        <w:t xml:space="preserve">Between Artifacts </w:t>
      </w:r>
      <w:proofErr w:type="spellStart"/>
      <w:r>
        <w:rPr>
          <w:rStyle w:val="None"/>
          <w:rFonts w:ascii="Bodoni SvtyTwo OS ITC TT-BookIt" w:hAnsi="Bodoni SvtyTwo OS ITC TT-BookIt"/>
        </w:rPr>
        <w:t>an</w:t>
      </w:r>
      <w:r>
        <w:rPr>
          <w:rStyle w:val="None"/>
          <w:rFonts w:ascii="Bodoni SvtyTwo OS ITC TT-BookIt" w:hAnsi="Bodoni SvtyTwo OS ITC TT-BookIt"/>
        </w:rPr>
        <w:t>dTexts</w:t>
      </w:r>
      <w:proofErr w:type="spellEnd"/>
      <w:r>
        <w:rPr>
          <w:rStyle w:val="None"/>
          <w:rFonts w:ascii="Bodoni SvtyTwo OS ITC TT-BookIt" w:hAnsi="Bodoni SvtyTwo OS ITC TT-BookIt"/>
        </w:rPr>
        <w:t xml:space="preserve">: Historical Archaeology in Global Perspective. </w:t>
      </w:r>
      <w:r>
        <w:rPr>
          <w:rFonts w:ascii="Bodoni SvtyTwo OS ITC TT-Book" w:hAnsi="Bodoni SvtyTwo OS ITC TT-Book"/>
        </w:rPr>
        <w:t>New York. Plenum Press</w:t>
      </w:r>
    </w:p>
    <w:p w:rsidR="009F22D2" w:rsidRDefault="009F22D2">
      <w:pPr>
        <w:pStyle w:val="Body"/>
        <w:jc w:val="both"/>
        <w:rPr>
          <w:rFonts w:ascii="Bodoni SvtyTwo OS ITC TT-Book" w:eastAsia="Bodoni SvtyTwo OS ITC TT-Book" w:hAnsi="Bodoni SvtyTwo OS ITC TT-Book" w:cs="Bodoni SvtyTwo OS ITC TT-Book"/>
        </w:rPr>
      </w:pPr>
    </w:p>
    <w:p w:rsidR="009F22D2" w:rsidRDefault="006D4BB9">
      <w:pPr>
        <w:pStyle w:val="Body"/>
        <w:jc w:val="both"/>
      </w:pPr>
      <w:r>
        <w:rPr>
          <w:rFonts w:ascii="Bodoni SvtyTwo OS ITC TT-Book" w:hAnsi="Bodoni SvtyTwo OS ITC TT-Book"/>
        </w:rPr>
        <w:t xml:space="preserve">Westbrook, R. 1984. </w:t>
      </w:r>
      <w:proofErr w:type="gramStart"/>
      <w:r>
        <w:rPr>
          <w:rStyle w:val="None"/>
          <w:rFonts w:ascii="Bodoni SvtyTwo OS ITC TT-BookIt" w:hAnsi="Bodoni SvtyTwo OS ITC TT-BookIt"/>
        </w:rPr>
        <w:t>The Enforcement of Morals in Mesopotamian Law.</w:t>
      </w:r>
      <w:proofErr w:type="gramEnd"/>
      <w:r>
        <w:rPr>
          <w:rStyle w:val="None"/>
          <w:rFonts w:ascii="Bodoni SvtyTwo OS ITC TT-BookIt" w:hAnsi="Bodoni SvtyTwo OS ITC TT-BookIt"/>
        </w:rPr>
        <w:t xml:space="preserve">  </w:t>
      </w:r>
      <w:proofErr w:type="gramStart"/>
      <w:r>
        <w:rPr>
          <w:rFonts w:ascii="Bodoni SvtyTwo OS ITC TT-Book" w:hAnsi="Bodoni SvtyTwo OS ITC TT-Book"/>
        </w:rPr>
        <w:t>Journal of the American Oriental Society, Vol. 104, No. 4 (Oct. - Dec. 1984), pgs.</w:t>
      </w:r>
      <w:proofErr w:type="gramEnd"/>
      <w:r>
        <w:rPr>
          <w:rFonts w:ascii="Bodoni SvtyTwo OS ITC TT-Book" w:hAnsi="Bodoni SvtyTwo OS ITC TT-Book"/>
        </w:rPr>
        <w:t xml:space="preserve"> 753-756 </w:t>
      </w:r>
    </w:p>
    <w:sectPr w:rsidR="009F22D2" w:rsidSect="009F22D2">
      <w:headerReference w:type="default" r:id="rId15"/>
      <w:footerReference w:type="default" r:id="rId16"/>
      <w:pgSz w:w="11906" w:h="16838"/>
      <w:pgMar w:top="1134" w:right="1134" w:bottom="1134" w:left="1134" w:header="709" w:footer="85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4BB9" w:rsidRDefault="006D4BB9" w:rsidP="009F22D2">
      <w:r>
        <w:separator/>
      </w:r>
    </w:p>
  </w:endnote>
  <w:endnote w:type="continuationSeparator" w:id="0">
    <w:p w:rsidR="006D4BB9" w:rsidRDefault="006D4BB9" w:rsidP="009F22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sig w:usb0="00000000" w:usb1="00000000" w:usb2="00000000" w:usb3="00000000" w:csb0="00000000" w:csb1="00000000"/>
  </w:font>
  <w:font w:name="Bodoni SvtyTwo OS ITC TT-Book">
    <w:altName w:val="Times New Roman"/>
    <w:charset w:val="00"/>
    <w:family w:val="roman"/>
    <w:pitch w:val="default"/>
    <w:sig w:usb0="00000000" w:usb1="00000000" w:usb2="00000000" w:usb3="00000000" w:csb0="00000000" w:csb1="00000000"/>
  </w:font>
  <w:font w:name="Bodoni SvtyTwo OS ITC TT-Bold">
    <w:altName w:val="Times New Roman"/>
    <w:charset w:val="00"/>
    <w:family w:val="roman"/>
    <w:pitch w:val="default"/>
    <w:sig w:usb0="00000000" w:usb1="00000000" w:usb2="00000000" w:usb3="00000000" w:csb0="00000000" w:csb1="00000000"/>
  </w:font>
  <w:font w:name="Bodoni SvtyTwo OS ITC TT-BookIt">
    <w:altName w:val="Times New Roman"/>
    <w:charset w:val="00"/>
    <w:family w:val="roman"/>
    <w:pitch w:val="default"/>
    <w:sig w:usb0="00000000" w:usb1="00000000" w:usb2="00000000" w:usb3="00000000" w:csb0="00000000" w:csb1="00000000"/>
  </w:font>
  <w:font w:name="Helvetica Neue Medium">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22D2" w:rsidRDefault="009F22D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4BB9" w:rsidRDefault="006D4BB9">
      <w:r>
        <w:separator/>
      </w:r>
    </w:p>
  </w:footnote>
  <w:footnote w:type="continuationSeparator" w:id="0">
    <w:p w:rsidR="006D4BB9" w:rsidRDefault="006D4BB9">
      <w:r>
        <w:continuationSeparator/>
      </w:r>
    </w:p>
  </w:footnote>
  <w:footnote w:type="continuationNotice" w:id="1">
    <w:p w:rsidR="006D4BB9" w:rsidRDefault="006D4BB9"/>
  </w:footnote>
  <w:footnote w:id="2">
    <w:p w:rsidR="009F22D2" w:rsidRDefault="006D4BB9">
      <w:pPr>
        <w:pStyle w:val="Footnote"/>
      </w:pPr>
      <w:r>
        <w:rPr>
          <w:rFonts w:ascii="Bodoni SvtyTwo OS ITC TT-Book" w:eastAsia="Bodoni SvtyTwo OS ITC TT-Book" w:hAnsi="Bodoni SvtyTwo OS ITC TT-Book" w:cs="Bodoni SvtyTwo OS ITC TT-Book"/>
          <w:u w:color="000000"/>
          <w:vertAlign w:val="superscript"/>
        </w:rPr>
        <w:footnoteRef/>
      </w:r>
      <w:r>
        <w:rPr>
          <w:rFonts w:ascii="Bodoni SvtyTwo OS ITC TT-Book" w:hAnsi="Bodoni SvtyTwo OS ITC TT-Book"/>
          <w:u w:color="000000"/>
        </w:rPr>
        <w:t xml:space="preserve"> </w:t>
      </w:r>
      <w:r>
        <w:rPr>
          <w:rFonts w:ascii="Bodoni SvtyTwo OS ITC TT-Book" w:hAnsi="Bodoni SvtyTwo OS ITC TT-Book"/>
          <w:u w:color="000000"/>
          <w:lang w:val="en-US"/>
        </w:rPr>
        <w:t xml:space="preserve">See </w:t>
      </w:r>
      <w:r>
        <w:rPr>
          <w:rFonts w:ascii="Bodoni SvtyTwo OS ITC TT-BookIt" w:hAnsi="Bodoni SvtyTwo OS ITC TT-BookIt"/>
          <w:u w:color="000000"/>
          <w:lang w:val="en-US"/>
        </w:rPr>
        <w:t xml:space="preserve">2 Sources: a Reflection </w:t>
      </w:r>
      <w:r>
        <w:rPr>
          <w:rFonts w:ascii="Bodoni SvtyTwo OS ITC TT-Book" w:hAnsi="Bodoni SvtyTwo OS ITC TT-Book"/>
          <w:u w:color="000000"/>
          <w:lang w:val="en-US"/>
        </w:rPr>
        <w:t xml:space="preserve">for discovery and publication dates. </w:t>
      </w:r>
    </w:p>
  </w:footnote>
  <w:footnote w:id="3">
    <w:p w:rsidR="009F22D2" w:rsidRDefault="006D4BB9">
      <w:pPr>
        <w:pStyle w:val="Footnote"/>
      </w:pPr>
      <w:r>
        <w:rPr>
          <w:rFonts w:ascii="Bodoni SvtyTwo OS ITC TT-Book" w:eastAsia="Bodoni SvtyTwo OS ITC TT-Book" w:hAnsi="Bodoni SvtyTwo OS ITC TT-Book" w:cs="Bodoni SvtyTwo OS ITC TT-Book"/>
          <w:u w:color="000000"/>
          <w:vertAlign w:val="superscript"/>
        </w:rPr>
        <w:footnoteRef/>
      </w:r>
      <w:r>
        <w:rPr>
          <w:rFonts w:ascii="Bodoni SvtyTwo OS ITC TT-Book" w:hAnsi="Bodoni SvtyTwo OS ITC TT-Book"/>
          <w:u w:color="000000"/>
        </w:rPr>
        <w:t xml:space="preserve"> </w:t>
      </w:r>
      <w:r>
        <w:rPr>
          <w:rFonts w:ascii="Bodoni SvtyTwo OS ITC TT-Book" w:hAnsi="Bodoni SvtyTwo OS ITC TT-Book"/>
          <w:u w:color="000000"/>
          <w:lang w:val="en-US"/>
        </w:rPr>
        <w:t xml:space="preserve">See Annotated Bibliography </w:t>
      </w:r>
    </w:p>
  </w:footnote>
  <w:footnote w:id="4">
    <w:p w:rsidR="009F22D2" w:rsidRDefault="006D4BB9">
      <w:pPr>
        <w:pStyle w:val="Footnote"/>
      </w:pPr>
      <w:r>
        <w:rPr>
          <w:rFonts w:ascii="Bodoni SvtyTwo OS ITC TT-Book" w:eastAsia="Bodoni SvtyTwo OS ITC TT-Book" w:hAnsi="Bodoni SvtyTwo OS ITC TT-Book" w:cs="Bodoni SvtyTwo OS ITC TT-Book"/>
          <w:u w:color="000000"/>
          <w:vertAlign w:val="superscript"/>
        </w:rPr>
        <w:footnoteRef/>
      </w:r>
      <w:r>
        <w:rPr>
          <w:rFonts w:ascii="Bodoni SvtyTwo OS ITC TT-Book" w:hAnsi="Bodoni SvtyTwo OS ITC TT-Book"/>
          <w:u w:color="000000"/>
        </w:rPr>
        <w:t xml:space="preserve"> </w:t>
      </w:r>
      <w:r>
        <w:rPr>
          <w:rFonts w:ascii="Bodoni SvtyTwo OS ITC TT-Book" w:hAnsi="Bodoni SvtyTwo OS ITC TT-Book"/>
          <w:u w:color="000000"/>
          <w:lang w:val="en-US"/>
        </w:rPr>
        <w:t>in Hammurabi</w:t>
      </w:r>
      <w:r>
        <w:rPr>
          <w:rFonts w:ascii="Bodoni SvtyTwo OS ITC TT-Book" w:hAnsi="Bodoni SvtyTwo OS ITC TT-Book"/>
          <w:u w:color="000000"/>
          <w:lang w:val="en-US"/>
        </w:rPr>
        <w:t>’</w:t>
      </w:r>
      <w:r>
        <w:rPr>
          <w:rFonts w:ascii="Bodoni SvtyTwo OS ITC TT-Book" w:hAnsi="Bodoni SvtyTwo OS ITC TT-Book"/>
          <w:u w:color="000000"/>
          <w:lang w:val="en-US"/>
        </w:rPr>
        <w:t xml:space="preserve">s Wronged Man by Roth 2002, pg.1 </w:t>
      </w:r>
    </w:p>
  </w:footnote>
  <w:footnote w:id="5">
    <w:p w:rsidR="009F22D2" w:rsidRDefault="006D4BB9">
      <w:pPr>
        <w:pStyle w:val="Footnote"/>
      </w:pPr>
      <w:r>
        <w:rPr>
          <w:rFonts w:ascii="Bodoni SvtyTwo OS ITC TT-Book" w:eastAsia="Bodoni SvtyTwo OS ITC TT-Book" w:hAnsi="Bodoni SvtyTwo OS ITC TT-Book" w:cs="Bodoni SvtyTwo OS ITC TT-Book"/>
          <w:u w:color="000000"/>
          <w:vertAlign w:val="superscript"/>
        </w:rPr>
        <w:footnoteRef/>
      </w:r>
      <w:r>
        <w:rPr>
          <w:rFonts w:ascii="Bodoni SvtyTwo OS ITC TT-Book" w:hAnsi="Bodoni SvtyTwo OS ITC TT-Book"/>
          <w:u w:color="000000"/>
        </w:rPr>
        <w:t xml:space="preserve"> </w:t>
      </w:r>
      <w:r>
        <w:rPr>
          <w:rFonts w:ascii="Bodoni SvtyTwo OS ITC TT-Book" w:hAnsi="Bodoni SvtyTwo OS ITC TT-Book"/>
          <w:u w:color="000000"/>
          <w:lang w:val="en-US"/>
        </w:rPr>
        <w:t>However it became a common practi</w:t>
      </w:r>
      <w:r>
        <w:rPr>
          <w:rFonts w:ascii="Bodoni SvtyTwo OS ITC TT-Book" w:hAnsi="Bodoni SvtyTwo OS ITC TT-Book"/>
          <w:u w:color="000000"/>
          <w:lang w:val="en-US"/>
        </w:rPr>
        <w:t xml:space="preserve">ce amongst Mesopotamian Kings to erect </w:t>
      </w:r>
      <w:proofErr w:type="spellStart"/>
      <w:r>
        <w:rPr>
          <w:rFonts w:ascii="Bodoni SvtyTwo OS ITC TT-Book" w:hAnsi="Bodoni SvtyTwo OS ITC TT-Book"/>
          <w:u w:color="000000"/>
          <w:lang w:val="en-US"/>
        </w:rPr>
        <w:t>stelae</w:t>
      </w:r>
      <w:proofErr w:type="spellEnd"/>
      <w:r>
        <w:rPr>
          <w:rFonts w:ascii="Bodoni SvtyTwo OS ITC TT-Book" w:hAnsi="Bodoni SvtyTwo OS ITC TT-Book"/>
          <w:u w:color="000000"/>
          <w:lang w:val="en-US"/>
        </w:rPr>
        <w:t xml:space="preserve"> with their law-codes within the first year of their rule to cement their power (</w:t>
      </w:r>
      <w:proofErr w:type="spellStart"/>
      <w:r>
        <w:rPr>
          <w:rFonts w:ascii="Bodoni SvtyTwo OS ITC TT-Book" w:hAnsi="Bodoni SvtyTwo OS ITC TT-Book"/>
          <w:u w:color="000000"/>
          <w:lang w:val="en-US"/>
        </w:rPr>
        <w:t>Selz</w:t>
      </w:r>
      <w:proofErr w:type="spellEnd"/>
      <w:r>
        <w:rPr>
          <w:rFonts w:ascii="Bodoni SvtyTwo OS ITC TT-Book" w:hAnsi="Bodoni SvtyTwo OS ITC TT-Book"/>
          <w:u w:color="000000"/>
          <w:lang w:val="en-US"/>
        </w:rPr>
        <w:t>, 2007)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22D2" w:rsidRDefault="009F22D2"/>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characterSpacingControl w:val="doNotCompress"/>
  <w:footnotePr>
    <w:footnote w:id="-1"/>
    <w:footnote w:id="0"/>
    <w:footnote w:id="1"/>
  </w:footnotePr>
  <w:endnotePr>
    <w:endnote w:id="-1"/>
    <w:endnote w:id="0"/>
  </w:endnotePr>
  <w:compat>
    <w:useFELayout/>
  </w:compat>
  <w:rsids>
    <w:rsidRoot w:val="009F22D2"/>
    <w:rsid w:val="00030275"/>
    <w:rsid w:val="006D4BB9"/>
    <w:rsid w:val="009E7ADF"/>
    <w:rsid w:val="009F22D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F22D2"/>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F22D2"/>
    <w:rPr>
      <w:u w:val="single"/>
    </w:rPr>
  </w:style>
  <w:style w:type="paragraph" w:styleId="Title">
    <w:name w:val="Title"/>
    <w:next w:val="Body"/>
    <w:rsid w:val="009F22D2"/>
    <w:pPr>
      <w:keepNext/>
    </w:pPr>
    <w:rPr>
      <w:rFonts w:ascii="Helvetica Neue" w:hAnsi="Helvetica Neue" w:cs="Arial Unicode MS"/>
      <w:b/>
      <w:bCs/>
      <w:color w:val="000000"/>
      <w:sz w:val="60"/>
      <w:szCs w:val="60"/>
      <w:lang w:val="en-US"/>
    </w:rPr>
  </w:style>
  <w:style w:type="paragraph" w:customStyle="1" w:styleId="Body">
    <w:name w:val="Body"/>
    <w:rsid w:val="009F22D2"/>
    <w:rPr>
      <w:rFonts w:ascii="Helvetica Neue" w:hAnsi="Helvetica Neue" w:cs="Arial Unicode MS"/>
      <w:color w:val="000000"/>
      <w:sz w:val="22"/>
      <w:szCs w:val="22"/>
      <w:lang w:val="en-US"/>
    </w:rPr>
  </w:style>
  <w:style w:type="paragraph" w:styleId="Subtitle">
    <w:name w:val="Subtitle"/>
    <w:next w:val="Body"/>
    <w:rsid w:val="009F22D2"/>
    <w:pPr>
      <w:keepNext/>
    </w:pPr>
    <w:rPr>
      <w:rFonts w:ascii="Bodoni SvtyTwo OS ITC TT-Book" w:hAnsi="Bodoni SvtyTwo OS ITC TT-Book" w:cs="Arial Unicode MS"/>
      <w:color w:val="FF9300"/>
      <w:sz w:val="40"/>
      <w:szCs w:val="40"/>
      <w:lang w:val="en-US"/>
    </w:rPr>
  </w:style>
  <w:style w:type="paragraph" w:customStyle="1" w:styleId="Heading">
    <w:name w:val="Heading"/>
    <w:next w:val="Body"/>
    <w:rsid w:val="009F22D2"/>
    <w:pPr>
      <w:keepNext/>
      <w:outlineLvl w:val="0"/>
    </w:pPr>
    <w:rPr>
      <w:rFonts w:ascii="Helvetica Neue" w:hAnsi="Helvetica Neue" w:cs="Arial Unicode MS"/>
      <w:b/>
      <w:bCs/>
      <w:color w:val="000000"/>
      <w:sz w:val="36"/>
      <w:szCs w:val="36"/>
      <w:lang w:val="en-US"/>
    </w:rPr>
  </w:style>
  <w:style w:type="paragraph" w:customStyle="1" w:styleId="Footnote">
    <w:name w:val="Footnote"/>
    <w:rsid w:val="009F22D2"/>
    <w:rPr>
      <w:rFonts w:ascii="Helvetica Neue" w:eastAsia="Helvetica Neue" w:hAnsi="Helvetica Neue" w:cs="Helvetica Neue"/>
      <w:color w:val="000000"/>
      <w:sz w:val="22"/>
      <w:szCs w:val="22"/>
    </w:rPr>
  </w:style>
  <w:style w:type="paragraph" w:customStyle="1" w:styleId="Default">
    <w:name w:val="Default"/>
    <w:rsid w:val="009F22D2"/>
    <w:rPr>
      <w:rFonts w:ascii="Helvetica Neue" w:hAnsi="Helvetica Neue" w:cs="Arial Unicode MS"/>
      <w:color w:val="000000"/>
      <w:sz w:val="22"/>
      <w:szCs w:val="22"/>
      <w:lang w:val="en-US"/>
    </w:rPr>
  </w:style>
  <w:style w:type="paragraph" w:styleId="Caption">
    <w:name w:val="caption"/>
    <w:rsid w:val="009F22D2"/>
    <w:pPr>
      <w:tabs>
        <w:tab w:val="left" w:pos="1150"/>
      </w:tabs>
    </w:pPr>
    <w:rPr>
      <w:rFonts w:ascii="Helvetica Neue" w:hAnsi="Helvetica Neue" w:cs="Arial Unicode MS"/>
      <w:b/>
      <w:bCs/>
      <w:caps/>
      <w:color w:val="000000"/>
      <w:lang w:val="en-US"/>
    </w:rPr>
  </w:style>
  <w:style w:type="character" w:customStyle="1" w:styleId="Hyperlink0">
    <w:name w:val="Hyperlink.0"/>
    <w:basedOn w:val="Hyperlink"/>
    <w:rsid w:val="009F22D2"/>
    <w:rPr>
      <w:u w:val="single"/>
    </w:rPr>
  </w:style>
  <w:style w:type="character" w:customStyle="1" w:styleId="None">
    <w:name w:val="None"/>
    <w:rsid w:val="009F22D2"/>
  </w:style>
  <w:style w:type="character" w:customStyle="1" w:styleId="Hyperlink1">
    <w:name w:val="Hyperlink.1"/>
    <w:basedOn w:val="None"/>
    <w:rsid w:val="009F22D2"/>
    <w:rPr>
      <w:u w:val="single" w:color="0000FF"/>
      <w:lang w:val="fr-FR"/>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ancient.eu/image/541/hammurabi-and-shamash/" TargetMode="External"/><Relationship Id="rId13" Type="http://schemas.openxmlformats.org/officeDocument/2006/relationships/hyperlink" Target="https://www.ancient.eu/image/1352/map-of-sumer//"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avalon.law.yale.edu/ancient/hamframe.asp" TargetMode="External"/><Relationship Id="rId12" Type="http://schemas.openxmlformats.org/officeDocument/2006/relationships/hyperlink" Target="https://www.louvre.fr/en/oeuvre-notices/law-code-hammurabi-king-babylon"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hyperlink" Target="https://www.louvre.fr/en/oeuvre-notices/law-code-hammurabi-king-babylon"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Bodoni SvtyTwo OS ITC TT-Book"/>
        <a:ea typeface="Bodoni SvtyTwo OS ITC TT-Book"/>
        <a:cs typeface="Bodoni SvtyTwo OS ITC TT-Book"/>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j-lt"/>
            <a:ea typeface="+mj-ea"/>
            <a:cs typeface="+mj-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j-lt"/>
            <a:ea typeface="+mj-ea"/>
            <a:cs typeface="+mj-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4322</Words>
  <Characters>24637</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Lynne</dc:creator>
  <cp:lastModifiedBy>Windows User</cp:lastModifiedBy>
  <cp:revision>2</cp:revision>
  <dcterms:created xsi:type="dcterms:W3CDTF">2019-03-10T22:34:00Z</dcterms:created>
  <dcterms:modified xsi:type="dcterms:W3CDTF">2019-03-10T22:34:00Z</dcterms:modified>
</cp:coreProperties>
</file>