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528D8" w14:textId="61D7509B" w:rsidR="00B16480" w:rsidRPr="00E33513" w:rsidRDefault="00B3419D" w:rsidP="003329D8">
      <w:pPr>
        <w:spacing w:before="30" w:after="30" w:line="360" w:lineRule="auto"/>
        <w:jc w:val="center"/>
        <w:rPr>
          <w:rFonts w:ascii="Arial" w:hAnsi="Arial" w:cs="Arial"/>
          <w:b/>
          <w:bCs/>
          <w:sz w:val="22"/>
          <w:szCs w:val="22"/>
        </w:rPr>
      </w:pPr>
      <w:r w:rsidRPr="00E33513">
        <w:rPr>
          <w:rFonts w:ascii="Arial" w:hAnsi="Arial" w:cs="Arial"/>
          <w:b/>
          <w:bCs/>
          <w:sz w:val="22"/>
          <w:szCs w:val="22"/>
        </w:rPr>
        <w:t xml:space="preserve">Cover page </w:t>
      </w:r>
    </w:p>
    <w:p w14:paraId="4BD32580" w14:textId="2E8A7205" w:rsidR="00B3419D" w:rsidRPr="00E33513" w:rsidRDefault="00B3419D" w:rsidP="003329D8">
      <w:pPr>
        <w:spacing w:before="30" w:after="30" w:line="360" w:lineRule="auto"/>
        <w:jc w:val="center"/>
        <w:rPr>
          <w:rFonts w:ascii="Arial" w:hAnsi="Arial" w:cs="Arial"/>
          <w:sz w:val="22"/>
          <w:szCs w:val="22"/>
        </w:rPr>
      </w:pPr>
      <w:r w:rsidRPr="00E33513">
        <w:rPr>
          <w:rFonts w:ascii="Arial" w:hAnsi="Arial" w:cs="Arial"/>
          <w:sz w:val="22"/>
          <w:szCs w:val="22"/>
        </w:rPr>
        <w:t xml:space="preserve">Name: Sunela Dad </w:t>
      </w:r>
    </w:p>
    <w:p w14:paraId="42F1F278" w14:textId="777DF05A" w:rsidR="00B3419D" w:rsidRPr="00E33513" w:rsidRDefault="00B3419D" w:rsidP="003329D8">
      <w:pPr>
        <w:spacing w:before="30" w:after="30" w:line="360" w:lineRule="auto"/>
        <w:jc w:val="center"/>
        <w:rPr>
          <w:rFonts w:ascii="Arial" w:hAnsi="Arial" w:cs="Arial"/>
          <w:sz w:val="22"/>
          <w:szCs w:val="22"/>
        </w:rPr>
      </w:pPr>
      <w:r w:rsidRPr="00E33513">
        <w:rPr>
          <w:rFonts w:ascii="Arial" w:hAnsi="Arial" w:cs="Arial"/>
          <w:sz w:val="22"/>
          <w:szCs w:val="22"/>
        </w:rPr>
        <w:t>Student number: 2309145</w:t>
      </w:r>
    </w:p>
    <w:p w14:paraId="3BB582FE" w14:textId="338A907A" w:rsidR="00B3419D" w:rsidRPr="00E33513" w:rsidRDefault="00B3419D" w:rsidP="003329D8">
      <w:pPr>
        <w:spacing w:before="30" w:after="30" w:line="360" w:lineRule="auto"/>
        <w:jc w:val="center"/>
        <w:rPr>
          <w:rFonts w:ascii="Arial" w:hAnsi="Arial" w:cs="Arial"/>
          <w:bCs/>
          <w:sz w:val="22"/>
          <w:szCs w:val="22"/>
        </w:rPr>
      </w:pPr>
      <w:r w:rsidRPr="00E33513">
        <w:rPr>
          <w:rFonts w:ascii="Arial" w:hAnsi="Arial" w:cs="Arial"/>
          <w:sz w:val="22"/>
          <w:szCs w:val="22"/>
        </w:rPr>
        <w:t xml:space="preserve">Module name: </w:t>
      </w:r>
      <w:r w:rsidRPr="00E33513">
        <w:rPr>
          <w:rFonts w:ascii="Arial" w:hAnsi="Arial" w:cs="Arial"/>
          <w:bCs/>
          <w:sz w:val="22"/>
          <w:szCs w:val="22"/>
        </w:rPr>
        <w:t>Digital Transformation in the Health and Care Professions</w:t>
      </w:r>
    </w:p>
    <w:p w14:paraId="301187C4" w14:textId="15F343F2" w:rsidR="00B3419D" w:rsidRPr="00E33513" w:rsidRDefault="00B3419D" w:rsidP="003329D8">
      <w:pPr>
        <w:spacing w:before="30" w:after="30" w:line="360" w:lineRule="auto"/>
        <w:jc w:val="center"/>
        <w:rPr>
          <w:rFonts w:ascii="Arial" w:hAnsi="Arial" w:cs="Arial"/>
          <w:bCs/>
          <w:sz w:val="22"/>
          <w:szCs w:val="22"/>
          <w:lang w:val="fr-FR"/>
        </w:rPr>
      </w:pPr>
      <w:r w:rsidRPr="00E33513">
        <w:rPr>
          <w:rFonts w:ascii="Arial" w:hAnsi="Arial" w:cs="Arial"/>
          <w:bCs/>
          <w:sz w:val="22"/>
          <w:szCs w:val="22"/>
          <w:lang w:val="fr-FR"/>
        </w:rPr>
        <w:t xml:space="preserve">Module </w:t>
      </w:r>
      <w:r w:rsidR="00D933DA" w:rsidRPr="00E33513">
        <w:rPr>
          <w:rFonts w:ascii="Arial" w:hAnsi="Arial" w:cs="Arial"/>
          <w:bCs/>
          <w:sz w:val="22"/>
          <w:szCs w:val="22"/>
          <w:lang w:val="fr-FR"/>
        </w:rPr>
        <w:t>code :</w:t>
      </w:r>
      <w:r w:rsidRPr="00E33513">
        <w:rPr>
          <w:rFonts w:ascii="Arial" w:hAnsi="Arial" w:cs="Arial"/>
          <w:bCs/>
          <w:sz w:val="22"/>
          <w:szCs w:val="22"/>
          <w:lang w:val="fr-FR"/>
        </w:rPr>
        <w:t xml:space="preserve"> BMHP6026</w:t>
      </w:r>
    </w:p>
    <w:p w14:paraId="00D1FD86" w14:textId="00AE1E3E" w:rsidR="00B3419D" w:rsidRPr="00E33513" w:rsidRDefault="00D933DA" w:rsidP="003329D8">
      <w:pPr>
        <w:spacing w:before="30" w:after="30" w:line="360" w:lineRule="auto"/>
        <w:jc w:val="center"/>
        <w:rPr>
          <w:rFonts w:ascii="Arial" w:hAnsi="Arial" w:cs="Arial"/>
          <w:b/>
          <w:bCs/>
          <w:sz w:val="22"/>
          <w:szCs w:val="22"/>
          <w:lang w:val="fr-FR"/>
        </w:rPr>
      </w:pPr>
      <w:r w:rsidRPr="00E33513">
        <w:rPr>
          <w:rFonts w:ascii="Arial" w:hAnsi="Arial" w:cs="Arial"/>
          <w:bCs/>
          <w:sz w:val="22"/>
          <w:szCs w:val="22"/>
          <w:lang w:val="fr-FR"/>
        </w:rPr>
        <w:t>Lecturer :</w:t>
      </w:r>
      <w:r w:rsidR="00B3419D" w:rsidRPr="00E33513">
        <w:rPr>
          <w:rFonts w:ascii="Arial" w:hAnsi="Arial" w:cs="Arial"/>
          <w:bCs/>
          <w:sz w:val="22"/>
          <w:szCs w:val="22"/>
          <w:lang w:val="fr-FR"/>
        </w:rPr>
        <w:t xml:space="preserve"> </w:t>
      </w:r>
      <w:r w:rsidR="00B3419D" w:rsidRPr="00E33513">
        <w:rPr>
          <w:rFonts w:ascii="Arial" w:hAnsi="Arial" w:cs="Arial"/>
          <w:sz w:val="22"/>
          <w:szCs w:val="22"/>
          <w:lang w:val="fr-FR"/>
        </w:rPr>
        <w:t>Matrin Svejda</w:t>
      </w:r>
      <w:r w:rsidR="00B3419D" w:rsidRPr="00E33513">
        <w:rPr>
          <w:rFonts w:ascii="Arial" w:hAnsi="Arial" w:cs="Arial"/>
          <w:b/>
          <w:bCs/>
          <w:sz w:val="22"/>
          <w:szCs w:val="22"/>
          <w:lang w:val="fr-FR"/>
        </w:rPr>
        <w:t xml:space="preserve"> </w:t>
      </w:r>
    </w:p>
    <w:p w14:paraId="6C3D46FD" w14:textId="77777777" w:rsidR="00B3419D" w:rsidRPr="00E33513" w:rsidRDefault="00B3419D" w:rsidP="003329D8">
      <w:pPr>
        <w:spacing w:before="30" w:after="30" w:line="360" w:lineRule="auto"/>
        <w:jc w:val="center"/>
        <w:rPr>
          <w:rFonts w:ascii="Arial" w:hAnsi="Arial" w:cs="Arial"/>
          <w:b/>
          <w:bCs/>
          <w:sz w:val="22"/>
          <w:szCs w:val="22"/>
          <w:lang w:val="fr-FR"/>
        </w:rPr>
      </w:pPr>
    </w:p>
    <w:p w14:paraId="7DF7F3AD" w14:textId="77777777" w:rsidR="00B3419D" w:rsidRPr="00E33513" w:rsidRDefault="00B3419D" w:rsidP="003329D8">
      <w:pPr>
        <w:spacing w:before="30" w:after="30" w:line="360" w:lineRule="auto"/>
        <w:jc w:val="center"/>
        <w:rPr>
          <w:rFonts w:ascii="Arial" w:hAnsi="Arial" w:cs="Arial"/>
          <w:b/>
          <w:bCs/>
          <w:sz w:val="22"/>
          <w:szCs w:val="22"/>
          <w:lang w:val="fr-FR"/>
        </w:rPr>
      </w:pPr>
    </w:p>
    <w:p w14:paraId="7EF1F105" w14:textId="77777777" w:rsidR="00B3419D" w:rsidRPr="00E33513" w:rsidRDefault="00B3419D" w:rsidP="003329D8">
      <w:pPr>
        <w:spacing w:before="30" w:after="30" w:line="360" w:lineRule="auto"/>
        <w:jc w:val="center"/>
        <w:rPr>
          <w:rFonts w:ascii="Arial" w:hAnsi="Arial" w:cs="Arial"/>
          <w:b/>
          <w:bCs/>
          <w:sz w:val="22"/>
          <w:szCs w:val="22"/>
          <w:lang w:val="fr-FR"/>
        </w:rPr>
      </w:pPr>
    </w:p>
    <w:p w14:paraId="134A2C53" w14:textId="77777777" w:rsidR="00B3419D" w:rsidRPr="00E33513" w:rsidRDefault="00B3419D" w:rsidP="003329D8">
      <w:pPr>
        <w:spacing w:before="30" w:after="30" w:line="360" w:lineRule="auto"/>
        <w:jc w:val="center"/>
        <w:rPr>
          <w:rFonts w:ascii="Arial" w:hAnsi="Arial" w:cs="Arial"/>
          <w:b/>
          <w:bCs/>
          <w:sz w:val="22"/>
          <w:szCs w:val="22"/>
          <w:lang w:val="fr-FR"/>
        </w:rPr>
      </w:pPr>
    </w:p>
    <w:p w14:paraId="68BE65D7" w14:textId="77777777" w:rsidR="00B3419D" w:rsidRPr="00E33513" w:rsidRDefault="00B3419D" w:rsidP="003329D8">
      <w:pPr>
        <w:spacing w:before="30" w:after="30" w:line="360" w:lineRule="auto"/>
        <w:jc w:val="center"/>
        <w:rPr>
          <w:rFonts w:ascii="Arial" w:hAnsi="Arial" w:cs="Arial"/>
          <w:b/>
          <w:bCs/>
          <w:sz w:val="22"/>
          <w:szCs w:val="22"/>
          <w:lang w:val="fr-FR"/>
        </w:rPr>
      </w:pPr>
    </w:p>
    <w:p w14:paraId="59013796" w14:textId="77777777" w:rsidR="00B3419D" w:rsidRPr="00E33513" w:rsidRDefault="00B3419D" w:rsidP="003329D8">
      <w:pPr>
        <w:spacing w:before="30" w:after="30" w:line="360" w:lineRule="auto"/>
        <w:jc w:val="center"/>
        <w:rPr>
          <w:rFonts w:ascii="Arial" w:hAnsi="Arial" w:cs="Arial"/>
          <w:b/>
          <w:bCs/>
          <w:sz w:val="22"/>
          <w:szCs w:val="22"/>
          <w:lang w:val="fr-FR"/>
        </w:rPr>
      </w:pPr>
    </w:p>
    <w:p w14:paraId="08B3A200" w14:textId="77777777" w:rsidR="00B3419D" w:rsidRPr="00E33513" w:rsidRDefault="00B3419D" w:rsidP="003329D8">
      <w:pPr>
        <w:spacing w:before="30" w:after="30" w:line="360" w:lineRule="auto"/>
        <w:jc w:val="center"/>
        <w:rPr>
          <w:rFonts w:ascii="Arial" w:hAnsi="Arial" w:cs="Arial"/>
          <w:b/>
          <w:bCs/>
          <w:sz w:val="22"/>
          <w:szCs w:val="22"/>
          <w:lang w:val="fr-FR"/>
        </w:rPr>
      </w:pPr>
    </w:p>
    <w:p w14:paraId="21AAA1BD" w14:textId="77777777" w:rsidR="00B3419D" w:rsidRPr="00E33513" w:rsidRDefault="00B3419D" w:rsidP="003329D8">
      <w:pPr>
        <w:spacing w:before="30" w:after="30" w:line="360" w:lineRule="auto"/>
        <w:jc w:val="center"/>
        <w:rPr>
          <w:rFonts w:ascii="Arial" w:hAnsi="Arial" w:cs="Arial"/>
          <w:b/>
          <w:bCs/>
          <w:sz w:val="22"/>
          <w:szCs w:val="22"/>
          <w:lang w:val="fr-FR"/>
        </w:rPr>
      </w:pPr>
    </w:p>
    <w:p w14:paraId="180B97DF" w14:textId="77777777" w:rsidR="00B3419D" w:rsidRPr="00E33513" w:rsidRDefault="00B3419D" w:rsidP="003329D8">
      <w:pPr>
        <w:spacing w:before="30" w:after="30" w:line="360" w:lineRule="auto"/>
        <w:jc w:val="center"/>
        <w:rPr>
          <w:rFonts w:ascii="Arial" w:hAnsi="Arial" w:cs="Arial"/>
          <w:b/>
          <w:bCs/>
          <w:sz w:val="22"/>
          <w:szCs w:val="22"/>
          <w:lang w:val="fr-FR"/>
        </w:rPr>
      </w:pPr>
    </w:p>
    <w:p w14:paraId="6C78BB9D" w14:textId="77777777" w:rsidR="00B3419D" w:rsidRPr="00E33513" w:rsidRDefault="00B3419D" w:rsidP="003329D8">
      <w:pPr>
        <w:spacing w:before="30" w:after="30" w:line="360" w:lineRule="auto"/>
        <w:jc w:val="center"/>
        <w:rPr>
          <w:rFonts w:ascii="Arial" w:hAnsi="Arial" w:cs="Arial"/>
          <w:b/>
          <w:bCs/>
          <w:sz w:val="22"/>
          <w:szCs w:val="22"/>
          <w:lang w:val="fr-FR"/>
        </w:rPr>
      </w:pPr>
    </w:p>
    <w:p w14:paraId="330B6D42" w14:textId="77777777" w:rsidR="00B3419D" w:rsidRPr="00E33513" w:rsidRDefault="00B3419D" w:rsidP="003329D8">
      <w:pPr>
        <w:spacing w:before="30" w:after="30" w:line="360" w:lineRule="auto"/>
        <w:jc w:val="center"/>
        <w:rPr>
          <w:rFonts w:ascii="Arial" w:hAnsi="Arial" w:cs="Arial"/>
          <w:b/>
          <w:bCs/>
          <w:sz w:val="22"/>
          <w:szCs w:val="22"/>
          <w:lang w:val="fr-FR"/>
        </w:rPr>
      </w:pPr>
    </w:p>
    <w:p w14:paraId="247C14D0" w14:textId="77777777" w:rsidR="00B3419D" w:rsidRPr="00E33513" w:rsidRDefault="00B3419D" w:rsidP="003329D8">
      <w:pPr>
        <w:spacing w:before="30" w:after="30" w:line="360" w:lineRule="auto"/>
        <w:jc w:val="center"/>
        <w:rPr>
          <w:rFonts w:ascii="Arial" w:hAnsi="Arial" w:cs="Arial"/>
          <w:b/>
          <w:bCs/>
          <w:sz w:val="22"/>
          <w:szCs w:val="22"/>
          <w:lang w:val="fr-FR"/>
        </w:rPr>
      </w:pPr>
    </w:p>
    <w:p w14:paraId="2C502563" w14:textId="77777777" w:rsidR="00B3419D" w:rsidRPr="00E33513" w:rsidRDefault="00B3419D" w:rsidP="003329D8">
      <w:pPr>
        <w:spacing w:before="30" w:after="30" w:line="360" w:lineRule="auto"/>
        <w:jc w:val="center"/>
        <w:rPr>
          <w:rFonts w:ascii="Arial" w:hAnsi="Arial" w:cs="Arial"/>
          <w:b/>
          <w:bCs/>
          <w:sz w:val="22"/>
          <w:szCs w:val="22"/>
          <w:lang w:val="fr-FR"/>
        </w:rPr>
      </w:pPr>
    </w:p>
    <w:p w14:paraId="58669EFB" w14:textId="77777777" w:rsidR="00B3419D" w:rsidRDefault="00B3419D" w:rsidP="003329D8">
      <w:pPr>
        <w:spacing w:before="30" w:after="30" w:line="360" w:lineRule="auto"/>
        <w:rPr>
          <w:rFonts w:ascii="Arial" w:hAnsi="Arial" w:cs="Arial"/>
          <w:b/>
          <w:bCs/>
          <w:sz w:val="22"/>
          <w:szCs w:val="22"/>
          <w:lang w:val="fr-FR"/>
        </w:rPr>
      </w:pPr>
    </w:p>
    <w:p w14:paraId="59A969AF" w14:textId="77777777" w:rsidR="00D35A17" w:rsidRPr="00E33513" w:rsidRDefault="00D35A17" w:rsidP="003329D8">
      <w:pPr>
        <w:spacing w:before="30" w:after="30" w:line="360" w:lineRule="auto"/>
        <w:rPr>
          <w:rFonts w:ascii="Arial" w:hAnsi="Arial" w:cs="Arial"/>
          <w:b/>
          <w:bCs/>
          <w:sz w:val="22"/>
          <w:szCs w:val="22"/>
          <w:lang w:val="fr-FR"/>
        </w:rPr>
      </w:pPr>
    </w:p>
    <w:p w14:paraId="099DC5D3" w14:textId="77777777" w:rsidR="00B3419D" w:rsidRPr="00E33513" w:rsidRDefault="00B3419D" w:rsidP="003329D8">
      <w:pPr>
        <w:spacing w:before="30" w:after="30" w:line="360" w:lineRule="auto"/>
        <w:jc w:val="center"/>
        <w:rPr>
          <w:rFonts w:ascii="Arial" w:hAnsi="Arial" w:cs="Arial"/>
          <w:b/>
          <w:bCs/>
          <w:sz w:val="22"/>
          <w:szCs w:val="22"/>
          <w:lang w:val="fr-FR"/>
        </w:rPr>
      </w:pPr>
    </w:p>
    <w:p w14:paraId="13C196F8" w14:textId="77777777" w:rsidR="00B3419D" w:rsidRPr="00E33513" w:rsidRDefault="00B3419D" w:rsidP="003329D8">
      <w:pPr>
        <w:spacing w:before="30" w:after="30" w:line="360" w:lineRule="auto"/>
        <w:jc w:val="center"/>
        <w:rPr>
          <w:rFonts w:ascii="Arial" w:hAnsi="Arial" w:cs="Arial"/>
          <w:b/>
          <w:bCs/>
          <w:sz w:val="22"/>
          <w:szCs w:val="22"/>
          <w:lang w:val="fr-FR"/>
        </w:rPr>
      </w:pPr>
    </w:p>
    <w:p w14:paraId="3DBEEB35" w14:textId="77777777" w:rsidR="00B3419D" w:rsidRPr="00E33513" w:rsidRDefault="00B3419D" w:rsidP="003329D8">
      <w:pPr>
        <w:spacing w:before="30" w:after="30" w:line="360" w:lineRule="auto"/>
        <w:jc w:val="center"/>
        <w:rPr>
          <w:rFonts w:ascii="Arial" w:hAnsi="Arial" w:cs="Arial"/>
          <w:b/>
          <w:bCs/>
          <w:sz w:val="22"/>
          <w:szCs w:val="22"/>
          <w:lang w:val="fr-FR"/>
        </w:rPr>
      </w:pPr>
    </w:p>
    <w:p w14:paraId="4CDA98BC" w14:textId="77777777" w:rsidR="00B3419D" w:rsidRPr="00E33513" w:rsidRDefault="00B3419D" w:rsidP="003329D8">
      <w:pPr>
        <w:spacing w:before="30" w:after="30" w:line="360" w:lineRule="auto"/>
        <w:jc w:val="center"/>
        <w:rPr>
          <w:rFonts w:ascii="Arial" w:hAnsi="Arial" w:cs="Arial"/>
          <w:b/>
          <w:bCs/>
          <w:sz w:val="22"/>
          <w:szCs w:val="22"/>
          <w:lang w:val="fr-FR"/>
        </w:rPr>
      </w:pPr>
    </w:p>
    <w:p w14:paraId="19BFD861" w14:textId="77777777" w:rsidR="0073103C" w:rsidRPr="0073103C" w:rsidRDefault="0073103C" w:rsidP="003329D8">
      <w:pPr>
        <w:spacing w:before="30" w:after="30" w:line="360" w:lineRule="auto"/>
        <w:rPr>
          <w:rFonts w:ascii="Arial" w:hAnsi="Arial" w:cs="Arial"/>
          <w:sz w:val="22"/>
          <w:szCs w:val="22"/>
          <w:lang w:val="fr-FR"/>
        </w:rPr>
      </w:pPr>
    </w:p>
    <w:p w14:paraId="01E81854" w14:textId="77777777" w:rsidR="0073103C" w:rsidRDefault="0073103C" w:rsidP="003329D8">
      <w:pPr>
        <w:spacing w:before="30" w:after="30" w:line="360" w:lineRule="auto"/>
        <w:rPr>
          <w:rFonts w:ascii="Arial" w:hAnsi="Arial" w:cs="Arial"/>
          <w:sz w:val="22"/>
          <w:szCs w:val="22"/>
          <w:lang w:val="fr-FR"/>
        </w:rPr>
      </w:pPr>
    </w:p>
    <w:p w14:paraId="742E4A53" w14:textId="77777777" w:rsidR="0073103C" w:rsidRDefault="0073103C" w:rsidP="003329D8">
      <w:pPr>
        <w:spacing w:before="30" w:after="30" w:line="360" w:lineRule="auto"/>
        <w:rPr>
          <w:rFonts w:ascii="Arial" w:hAnsi="Arial" w:cs="Arial"/>
          <w:sz w:val="22"/>
          <w:szCs w:val="22"/>
          <w:lang w:val="fr-FR"/>
        </w:rPr>
      </w:pPr>
    </w:p>
    <w:p w14:paraId="552E9C03" w14:textId="77777777" w:rsidR="0073103C" w:rsidRDefault="0073103C" w:rsidP="003329D8">
      <w:pPr>
        <w:spacing w:before="30" w:after="30" w:line="360" w:lineRule="auto"/>
        <w:rPr>
          <w:rFonts w:ascii="Arial" w:hAnsi="Arial" w:cs="Arial"/>
          <w:sz w:val="22"/>
          <w:szCs w:val="22"/>
          <w:lang w:val="fr-FR"/>
        </w:rPr>
      </w:pPr>
    </w:p>
    <w:p w14:paraId="1B4783A3" w14:textId="77777777" w:rsidR="0073103C" w:rsidRDefault="0073103C" w:rsidP="003329D8">
      <w:pPr>
        <w:spacing w:before="30" w:after="30" w:line="360" w:lineRule="auto"/>
        <w:rPr>
          <w:rFonts w:ascii="Arial" w:hAnsi="Arial" w:cs="Arial"/>
          <w:sz w:val="22"/>
          <w:szCs w:val="22"/>
          <w:lang w:val="fr-FR"/>
        </w:rPr>
      </w:pPr>
    </w:p>
    <w:p w14:paraId="72516427" w14:textId="77777777" w:rsidR="0073103C" w:rsidRDefault="0073103C" w:rsidP="003329D8">
      <w:pPr>
        <w:spacing w:before="30" w:after="30" w:line="360" w:lineRule="auto"/>
        <w:rPr>
          <w:rFonts w:ascii="Arial" w:hAnsi="Arial" w:cs="Arial"/>
          <w:sz w:val="22"/>
          <w:szCs w:val="22"/>
          <w:lang w:val="fr-FR"/>
        </w:rPr>
      </w:pPr>
    </w:p>
    <w:p w14:paraId="32548389" w14:textId="77777777" w:rsidR="0073103C" w:rsidRDefault="0073103C" w:rsidP="003329D8">
      <w:pPr>
        <w:spacing w:before="30" w:after="30" w:line="360" w:lineRule="auto"/>
        <w:rPr>
          <w:rFonts w:ascii="Arial" w:hAnsi="Arial" w:cs="Arial"/>
          <w:sz w:val="22"/>
          <w:szCs w:val="22"/>
          <w:lang w:val="fr-FR"/>
        </w:rPr>
      </w:pPr>
    </w:p>
    <w:p w14:paraId="0E5805E5" w14:textId="77777777" w:rsidR="0073103C" w:rsidRDefault="0073103C" w:rsidP="003329D8">
      <w:pPr>
        <w:spacing w:before="30" w:after="30" w:line="360" w:lineRule="auto"/>
        <w:rPr>
          <w:rFonts w:ascii="Arial" w:hAnsi="Arial" w:cs="Arial"/>
          <w:sz w:val="22"/>
          <w:szCs w:val="22"/>
          <w:lang w:val="fr-FR"/>
        </w:rPr>
      </w:pPr>
    </w:p>
    <w:p w14:paraId="30AB92A4" w14:textId="6F46E8A5" w:rsidR="00A15113" w:rsidRPr="00E33513" w:rsidRDefault="00145662" w:rsidP="003329D8">
      <w:pPr>
        <w:spacing w:before="30" w:after="30" w:line="360" w:lineRule="auto"/>
        <w:rPr>
          <w:rFonts w:ascii="Arial" w:hAnsi="Arial" w:cs="Arial"/>
          <w:sz w:val="22"/>
          <w:szCs w:val="22"/>
        </w:rPr>
      </w:pPr>
      <w:r w:rsidRPr="00E33513">
        <w:rPr>
          <w:rFonts w:ascii="Arial" w:hAnsi="Arial" w:cs="Arial"/>
          <w:sz w:val="22"/>
          <w:szCs w:val="22"/>
        </w:rPr>
        <w:lastRenderedPageBreak/>
        <w:t>A Critical Evaluation of Remote Patient Monitoring (RPM) within NHS Virtual Wards in England: The Impact on the Healthcare Workforce and Service Delivery</w:t>
      </w:r>
    </w:p>
    <w:p w14:paraId="2E3F1C1E" w14:textId="77777777" w:rsidR="002767DA" w:rsidRPr="00E33513" w:rsidRDefault="002767DA" w:rsidP="003329D8">
      <w:pPr>
        <w:pStyle w:val="Heading1"/>
        <w:spacing w:before="30" w:after="30" w:line="360" w:lineRule="auto"/>
        <w:rPr>
          <w:rFonts w:ascii="Arial" w:hAnsi="Arial" w:cs="Arial"/>
          <w:sz w:val="22"/>
          <w:szCs w:val="22"/>
        </w:rPr>
      </w:pPr>
      <w:r w:rsidRPr="00E33513">
        <w:rPr>
          <w:rFonts w:ascii="Arial" w:hAnsi="Arial" w:cs="Arial"/>
          <w:sz w:val="22"/>
          <w:szCs w:val="22"/>
        </w:rPr>
        <w:t>1. Introduction</w:t>
      </w:r>
    </w:p>
    <w:p w14:paraId="462681AA"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Digital technology is becoming an important part of health and social care, particularly in how patients are monitored and supported. One example is Remote Patient Monitoring (RPM), which allows healthcare professionals to check a patient's health while they are at home instead of in hospital. Devices can be used to measure blood pressure, heart rate, temperature and oxygen levels. This information is then shared with healthcare professionals, helping them identify changes in a patient's health and decide whether further treatment is needed.</w:t>
      </w:r>
    </w:p>
    <w:p w14:paraId="4E493DA2"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RPM is used within NHS virtual wards in England to support patients who need hospital-level care but are well enough to receive this care at home. According to NHS England (2024), virtual wards provide an alternative to hospital care while allowing healthcare professionals to continue monitoring patients. However, although this technology has benefits, there are also challenges, including staff training, patient safety and difficulties accessing digital services.</w:t>
      </w:r>
    </w:p>
    <w:p w14:paraId="6ACE58C0"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This report will critically evaluate the use of RPM within NHS virtual wards in England. It will focus on how this technology affects the healthcare workforce and service delivery, discussing both the benefits and challenges. The report will also provide recommendations for improving the use of RPM in healthcare.</w:t>
      </w:r>
    </w:p>
    <w:p w14:paraId="092FA2FB" w14:textId="77777777" w:rsidR="002767DA" w:rsidRPr="00E33513" w:rsidRDefault="002767DA" w:rsidP="003329D8">
      <w:pPr>
        <w:spacing w:before="30" w:after="30" w:line="360" w:lineRule="auto"/>
        <w:rPr>
          <w:rStyle w:val="Heading1Char"/>
          <w:rFonts w:ascii="Arial" w:hAnsi="Arial" w:cs="Arial"/>
          <w:sz w:val="22"/>
          <w:szCs w:val="22"/>
        </w:rPr>
      </w:pPr>
      <w:r w:rsidRPr="00E33513">
        <w:rPr>
          <w:rFonts w:ascii="Arial" w:hAnsi="Arial" w:cs="Arial"/>
          <w:b/>
          <w:bCs/>
          <w:sz w:val="22"/>
          <w:szCs w:val="22"/>
        </w:rPr>
        <w:t xml:space="preserve">2. </w:t>
      </w:r>
      <w:r w:rsidRPr="00E33513">
        <w:rPr>
          <w:rStyle w:val="Heading1Char"/>
          <w:rFonts w:ascii="Arial" w:hAnsi="Arial" w:cs="Arial"/>
          <w:sz w:val="22"/>
          <w:szCs w:val="22"/>
        </w:rPr>
        <w:t>Critical Evaluation of Remote Patient Monitoring</w:t>
      </w:r>
    </w:p>
    <w:p w14:paraId="038C39F3" w14:textId="77777777" w:rsidR="002767DA" w:rsidRPr="00E33513" w:rsidRDefault="002767DA" w:rsidP="0073103C">
      <w:pPr>
        <w:pStyle w:val="Heading2"/>
      </w:pPr>
      <w:r w:rsidRPr="00E33513">
        <w:t>2.1 Impact on the Healthcare Workforce</w:t>
      </w:r>
    </w:p>
    <w:p w14:paraId="3597CCAF"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Remote Patient Monitoring has changed the way healthcare professionals monitor and care for patients within NHS virtual wards. In the past, patients who needed regular monitoring would usually have stayed in hospital, where nurses and doctors could check their condition face to face. However, RPM now allows healthcare professionals to monitor some patients while they remain at home. NHS England (2024) explains that virtual wards involve different healthcare professionals working together, including nurses, doctors and other members of the healthcare team. This means staff need to adjust to new ways of working while making sure patients continue to receive safe and appropriate care.</w:t>
      </w:r>
    </w:p>
    <w:p w14:paraId="1B943243"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 xml:space="preserve">One benefit of RPM is that it can help healthcare professionals notice early signs that a patient's condition is getting worse. For example, nurses can check oxygen levels, blood pressure and other readings without the patient having to visit hospital. If there are any concerns, staff can contact the patient or arrange further treatment. This could help prevent some health problems from becoming more serious. However, it is important to recognise </w:t>
      </w:r>
      <w:r w:rsidRPr="00E33513">
        <w:rPr>
          <w:rFonts w:ascii="Arial" w:hAnsi="Arial" w:cs="Arial"/>
          <w:sz w:val="22"/>
          <w:szCs w:val="22"/>
        </w:rPr>
        <w:lastRenderedPageBreak/>
        <w:t>that technology cannot replace the knowledge and experience of healthcare professionals. NICE (2022) highlights the importance of making sure digital health technologies are safe and effective. This suggests that RPM can help staff make decisions, but they must still consider the patient's symptoms and overall health rather than depending only on readings from a device.</w:t>
      </w:r>
    </w:p>
    <w:p w14:paraId="1F590245"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Another advantage is that RPM can improve communication and teamwork between healthcare professionals. Within virtual wards, nurses, doctors and community healthcare teams need to share information to make sure patients receive the right care. Having access to patients' health readings can help staff understand what is happening and decide what support is needed. NIHR Evidence (2025) highlights the importance of teamwork, communication and shared decision-making in virtual ward services. This shows that RPM may help professionals work more closely together. However, this will only be effective if staff communicate properly and understand their responsibilities. For example, if a patient's oxygen level drops, it needs to be clear who is responsible for checking the reading and taking action.</w:t>
      </w:r>
    </w:p>
    <w:p w14:paraId="34B8C0F2"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Although RPM offers benefits, it also creates challenges for healthcare staff. One concern is the need for training, as not all healthcare professionals may feel confident using digital monitoring equipment. Staff need to understand how the devices work, how to read the information and what to do when a patient's readings suggest a problem. Herlitz et al. (2023) explored the experiences of patients and staff using remote monitoring during the COVID-19 pandemic in England. The research found generally positive experiences of remote care. However, because the study took place during the pandemic, the findings may not fully reflect how staff experience RPM in everyday NHS virtual ward services. This means further research is needed to understand the longer-term impact on the workforce.</w:t>
      </w:r>
    </w:p>
    <w:p w14:paraId="2ECEE060"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Staff workload is another important issue. Although RPM can reduce the need for some face-to-face appointments, it does not necessarily mean healthcare professionals have less work to do. Nurses may still need to check readings throughout the day, contact patients, update records and respond to alerts. NHS England (2024) identified staffing shortages, recruitment difficulties and leadership problems as challenges in a South East England evaluation of virtual wards. This suggests that RPM could add pressure to staff if services are not properly organised. Therefore, introducing digital technology should not be seen as a simple solution to workforce shortages.</w:t>
      </w:r>
    </w:p>
    <w:p w14:paraId="5182A242"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 xml:space="preserve">RPM can also be challenging because it changes the way healthcare professionals are used to working. Some staff may feel more confident assessing patients in person, where they can observe their symptoms and speak to them directly. Walton et al. (2023) highlighted the importance of understanding how remote monitoring services are introduced and managed </w:t>
      </w:r>
      <w:r w:rsidRPr="00E33513">
        <w:rPr>
          <w:rFonts w:ascii="Arial" w:hAnsi="Arial" w:cs="Arial"/>
          <w:sz w:val="22"/>
          <w:szCs w:val="22"/>
        </w:rPr>
        <w:lastRenderedPageBreak/>
        <w:t>in different healthcare settings. This is important because NHS organisations may have different resources, staffing levels and experience with digital technology. Providing regular training and support could help staff feel more confident and comfortable using RPM.</w:t>
      </w:r>
    </w:p>
    <w:p w14:paraId="1B97A096"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Patient safety is another concern. For example, if a monitoring device gives an incorrect reading or staff do not notice an alert quickly enough, there is a risk that a patient's condition could get worse without appropriate treatment. NHS England (2024) highlights the importance of clinical governance and clear procedures for responding when patients become unwell. This means healthcare professionals must know when to contact a patient, arrange a home visit or recommend hospital admission.</w:t>
      </w:r>
    </w:p>
    <w:p w14:paraId="22F84F78"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Overall, RPM can help healthcare professionals monitor patients, share information and make decisions about their care. However, it also brings challenges relating to staff workload, training and patient safety. In my view, RPM is most useful when healthcare professionals receive the right support and have enough time to respond to patients' needs. Without these arrangements, the technology could create additional pressure rather than improve the way staff work.</w:t>
      </w:r>
    </w:p>
    <w:p w14:paraId="2B0D722E" w14:textId="77777777" w:rsidR="002767DA" w:rsidRPr="00E33513" w:rsidRDefault="002767DA" w:rsidP="0073103C">
      <w:pPr>
        <w:pStyle w:val="Heading3"/>
      </w:pPr>
      <w:r w:rsidRPr="00E33513">
        <w:t>2.2 Impact on Service Delivery</w:t>
      </w:r>
    </w:p>
    <w:p w14:paraId="3DE22268"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Remote Patient Monitoring has also changed how healthcare services can be provided through NHS virtual wards in England. Traditionally, patients who needed regular medical observations would often have stayed in hospital. However, virtual wards allow suitable patients to receive monitoring and treatment at home while remaining under the care of healthcare professionals. According to NHS England (2024), virtual wards aim to help prevent some hospital admissions and support patients who are ready to leave hospital earlier. RPM plays a part in this by allowing staff to check patients' health readings remotely and respond if their condition changes.</w:t>
      </w:r>
    </w:p>
    <w:p w14:paraId="274EC580"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One important benefit is that virtual wards may help reduce pressure on hospitals. Hospitals can become very busy, particularly when there are large numbers of patients needing treatment and limited beds available. By supporting suitable patients at home, virtual wards may allow hospital beds to be used for people who need more intensive care. NHS England (2024) evaluated 29 virtual ward pathways across South East England and estimated that these services were associated with around 9,165 avoided emergency hospital admissions each year. This suggests that virtual wards could help improve hospital capacity. However, these figures were estimates and do not prove that every admission was avoided because of virtual ward care. It is also important to recognise that virtual wards involve more than RPM, including healthcare staff, treatment and other support services. Therefore, the benefits cannot be attributed to the technology alone.</w:t>
      </w:r>
    </w:p>
    <w:p w14:paraId="13FB918D"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lastRenderedPageBreak/>
        <w:t>Another benefit is that patients can receive care in their own homes. For some individuals, being at home may feel more comfortable because they can remain close to family members and continue with parts of their daily routine. NHS England (2024) reported positive patient experiences in its South East virtual ward evaluation, with some patients appreciating the opportunity to receive care at home. However, home-based care may not be suitable for everyone. For example, some patients may live alone, have complex health conditions or feel anxious about not having healthcare professionals physically nearby. This shows why patients should be assessed individually rather than assuming that home monitoring is the best option for everybody.</w:t>
      </w:r>
    </w:p>
    <w:p w14:paraId="350B7DBA"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RPM may also improve the way patients are supported after leaving hospital. For example, a patient recovering from a respiratory illness may need their oxygen levels checked regularly. Instead of travelling to hospital for every check, they may be able to record their readings at home, allowing healthcare professionals to review the information and contact them if there are concerns. Fulop et al. (2023) examined remote home monitoring services introduced during the COVID-19 pandemic in England. Their research provides useful information about how remote monitoring was used in different healthcare settings. However, because these services were introduced during an unusual period of pressure on the NHS, the findings may not apply to every virtual ward today. This suggests that more evidence is needed to understand how effective RPM is during routine healthcare delivery.</w:t>
      </w:r>
    </w:p>
    <w:p w14:paraId="14E3288E"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Despite these advantages, one major challenge is digital exclusion. Not every patient has access to reliable internet, suitable devices or the skills needed to use digital technology. Some people may also find monitoring equipment confusing or difficult to use. NHS England (2023) identifies digital skills, access to technology and accessibility as important factors in reducing digital exclusion. This is particularly relevant for patients who need additional support because of disabilities, financial difficulties or limited experience with technology. However, healthcare professionals should not assume that someone cannot use RPM simply because of their age or disability. Instead, patients should be offered appropriate guidance and support. Without this, RPM could create inequalities because some patients may find it harder to access the same level of healthcare as others.</w:t>
      </w:r>
    </w:p>
    <w:p w14:paraId="69979D36"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 xml:space="preserve">The cost of RPM is another issue that NHS organisations need to consider. Although virtual wards may help reduce some hospital costs, introducing the technology also requires money. Equipment needs to be purchased and maintained, staff need training, and systems must be available to collect and share patient information. NHS England (2024) found that the financial impact of virtual wards differed between services in South East England. Some pathways showed estimated financial benefits, while others experienced challenges involving staffing, funding and technology. This suggests that RPM may not save money in </w:t>
      </w:r>
      <w:r w:rsidRPr="00E33513">
        <w:rPr>
          <w:rFonts w:ascii="Arial" w:hAnsi="Arial" w:cs="Arial"/>
          <w:sz w:val="22"/>
          <w:szCs w:val="22"/>
        </w:rPr>
        <w:lastRenderedPageBreak/>
        <w:t>every situation. Its value depends on how well services are organised and whether the benefits outweigh the costs of running them.</w:t>
      </w:r>
    </w:p>
    <w:p w14:paraId="78770159"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Protecting patients' personal information is also important. RPM involves collecting sensitive health information, which needs to be stored and shared securely. The Information Commissioner's Office (ICO, 2024) explains that health information is classed as special category personal data and requires additional protection. This means NHS organisations must make sure that only authorised healthcare professionals can access patient information. Patients should also be told how their information is being used. If data is not protected properly, this could affect patients' trust in digital healthcare services.</w:t>
      </w:r>
    </w:p>
    <w:p w14:paraId="087BA048"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Technical problems can also affect how well RPM works. For example, monitoring devices may stop working, internet connections may fail or readings may not reach healthcare professionals when expected. These problems could delay treatment or cause unnecessary worry for patients. NICE (2022) highlights the importance of checking the safety and effectiveness of digital health technologies. This shows why NHS organisations need reliable equipment, technical support and clear backup plans. Patients should also know who to contact if they experience difficulties with their monitoring devices.</w:t>
      </w:r>
    </w:p>
    <w:p w14:paraId="09C0A1D5"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Overall, RPM can help NHS services provide care in a more flexible way by allowing suitable patients to be monitored at home. It may reduce some pressure on hospitals and improve patients' experiences. However, there are still challenges involving costs, digital exclusion, data protection and technical reliability. I would argue that RPM should be used alongside other forms of healthcare rather than replacing face-to-face services completely. This would help make sure that patients continue to receive care that is safe, accessible and appropriate for their individual needs.</w:t>
      </w:r>
    </w:p>
    <w:p w14:paraId="3E0D1A48" w14:textId="77777777" w:rsidR="002767DA" w:rsidRPr="00E33513" w:rsidRDefault="002767DA" w:rsidP="003329D8">
      <w:pPr>
        <w:spacing w:before="30" w:after="30" w:line="360" w:lineRule="auto"/>
        <w:rPr>
          <w:rFonts w:ascii="Arial" w:hAnsi="Arial" w:cs="Arial"/>
          <w:b/>
          <w:bCs/>
          <w:sz w:val="22"/>
          <w:szCs w:val="22"/>
        </w:rPr>
      </w:pPr>
      <w:r w:rsidRPr="00E33513">
        <w:rPr>
          <w:rFonts w:ascii="Arial" w:hAnsi="Arial" w:cs="Arial"/>
          <w:b/>
          <w:bCs/>
          <w:sz w:val="22"/>
          <w:szCs w:val="22"/>
        </w:rPr>
        <w:t xml:space="preserve">3. </w:t>
      </w:r>
      <w:r w:rsidRPr="00E33513">
        <w:rPr>
          <w:rStyle w:val="Heading1Char"/>
          <w:rFonts w:ascii="Arial" w:hAnsi="Arial" w:cs="Arial"/>
          <w:sz w:val="22"/>
          <w:szCs w:val="22"/>
        </w:rPr>
        <w:t>Conclusion and Recommendations</w:t>
      </w:r>
    </w:p>
    <w:p w14:paraId="17B614F3"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In conclusion, Remote Patient Monitoring is an important digital innovation that is changing how patients receive care through NHS virtual wards in England. This report has looked at how RPM affects the healthcare workforce and service delivery, including both the positive aspects and the challenges.</w:t>
      </w:r>
    </w:p>
    <w:p w14:paraId="3F4E6B1F"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The evidence suggests that RPM can help healthcare professionals monitor patients more closely, improve communication between staff and support patients who are suitable for care at home. It may also help reduce pressure on hospitals by supporting earlier discharge and avoiding some admissions. However, there are concerns about staff workload, the need for training, the reliability of equipment and patients who may struggle to use digital technology.</w:t>
      </w:r>
    </w:p>
    <w:p w14:paraId="3E704A9F"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 xml:space="preserve">To improve the use of RPM, NHS organisations should provide regular training so that healthcare professionals feel confident using the equipment. There should also be enough staff available to monitor patients and respond to concerns. Patients should receive clear </w:t>
      </w:r>
      <w:r w:rsidRPr="00E33513">
        <w:rPr>
          <w:rFonts w:ascii="Arial" w:hAnsi="Arial" w:cs="Arial"/>
          <w:sz w:val="22"/>
          <w:szCs w:val="22"/>
        </w:rPr>
        <w:lastRenderedPageBreak/>
        <w:t>instructions and practical support, particularly if they are unfamiliar with digital devices. It is also important to protect patients' personal information and make sure alternative care is available when remote monitoring is not suitable.</w:t>
      </w:r>
    </w:p>
    <w:p w14:paraId="74EB7EBD" w14:textId="77777777" w:rsidR="002767DA" w:rsidRPr="00E33513" w:rsidRDefault="002767DA" w:rsidP="003329D8">
      <w:pPr>
        <w:spacing w:before="30" w:after="30" w:line="360" w:lineRule="auto"/>
        <w:rPr>
          <w:rFonts w:ascii="Arial" w:hAnsi="Arial" w:cs="Arial"/>
          <w:sz w:val="22"/>
          <w:szCs w:val="22"/>
        </w:rPr>
      </w:pPr>
      <w:r w:rsidRPr="00E33513">
        <w:rPr>
          <w:rFonts w:ascii="Arial" w:hAnsi="Arial" w:cs="Arial"/>
          <w:sz w:val="22"/>
          <w:szCs w:val="22"/>
        </w:rPr>
        <w:t>Overall, I believe RPM can make a positive difference to healthcare, but it needs to be introduced carefully. Technology should support healthcare professionals rather than replace the personal care and professional judgement that patients need.</w:t>
      </w:r>
    </w:p>
    <w:p w14:paraId="62DA4042" w14:textId="405E6F04" w:rsidR="00815234" w:rsidRPr="00E33513" w:rsidRDefault="00815234" w:rsidP="003329D8">
      <w:pPr>
        <w:pStyle w:val="Heading1"/>
        <w:spacing w:before="30" w:after="30" w:line="360" w:lineRule="auto"/>
        <w:rPr>
          <w:rFonts w:ascii="Arial" w:hAnsi="Arial" w:cs="Arial"/>
          <w:sz w:val="22"/>
          <w:szCs w:val="22"/>
        </w:rPr>
      </w:pPr>
      <w:r w:rsidRPr="00E33513">
        <w:rPr>
          <w:rFonts w:ascii="Arial" w:hAnsi="Arial" w:cs="Arial"/>
          <w:sz w:val="22"/>
          <w:szCs w:val="22"/>
        </w:rPr>
        <w:t xml:space="preserve">4. Reference List </w:t>
      </w:r>
    </w:p>
    <w:p w14:paraId="7E3FBA09" w14:textId="77777777" w:rsidR="00B90B43" w:rsidRPr="00E33513" w:rsidRDefault="00B90B43" w:rsidP="003329D8">
      <w:pPr>
        <w:spacing w:before="30" w:after="30" w:line="360" w:lineRule="auto"/>
        <w:rPr>
          <w:rFonts w:ascii="Arial" w:hAnsi="Arial" w:cs="Arial"/>
          <w:sz w:val="22"/>
          <w:szCs w:val="22"/>
        </w:rPr>
      </w:pPr>
      <w:r w:rsidRPr="003329D8">
        <w:rPr>
          <w:rFonts w:ascii="Arial" w:hAnsi="Arial" w:cs="Arial"/>
          <w:sz w:val="22"/>
          <w:szCs w:val="22"/>
        </w:rPr>
        <w:t xml:space="preserve">Fulop, N.J. et al. </w:t>
      </w:r>
      <w:r w:rsidRPr="00E33513">
        <w:rPr>
          <w:rFonts w:ascii="Arial" w:hAnsi="Arial" w:cs="Arial"/>
          <w:sz w:val="22"/>
          <w:szCs w:val="22"/>
        </w:rPr>
        <w:t xml:space="preserve">(2023) ‘A rapid mixed-methods evaluation of remote home monitoring models during the COVID-19 pandemic in England’, Health and Social Care Delivery Research, 11(13), pp. 1–151. Available at: </w:t>
      </w:r>
      <w:hyperlink r:id="rId4" w:history="1">
        <w:r w:rsidRPr="00E33513">
          <w:rPr>
            <w:rStyle w:val="Hyperlink"/>
            <w:rFonts w:ascii="Arial" w:hAnsi="Arial" w:cs="Arial"/>
            <w:sz w:val="22"/>
            <w:szCs w:val="22"/>
          </w:rPr>
          <w:t>https://doi.org/10.3310/FVQW4410</w:t>
        </w:r>
      </w:hyperlink>
      <w:r w:rsidRPr="00E33513">
        <w:rPr>
          <w:rFonts w:ascii="Arial" w:hAnsi="Arial" w:cs="Arial"/>
          <w:sz w:val="22"/>
          <w:szCs w:val="22"/>
        </w:rPr>
        <w:t xml:space="preserve"> (Accessed: 10 October 2026).</w:t>
      </w:r>
    </w:p>
    <w:p w14:paraId="6DD0E45A" w14:textId="77777777" w:rsidR="00B90B43" w:rsidRPr="00E33513" w:rsidRDefault="00B90B43" w:rsidP="003329D8">
      <w:pPr>
        <w:spacing w:before="30" w:after="30" w:line="360" w:lineRule="auto"/>
        <w:rPr>
          <w:rFonts w:ascii="Arial" w:hAnsi="Arial" w:cs="Arial"/>
          <w:sz w:val="22"/>
          <w:szCs w:val="22"/>
        </w:rPr>
      </w:pPr>
      <w:r w:rsidRPr="00E33513">
        <w:rPr>
          <w:rFonts w:ascii="Arial" w:hAnsi="Arial" w:cs="Arial"/>
          <w:sz w:val="22"/>
          <w:szCs w:val="22"/>
        </w:rPr>
        <w:t xml:space="preserve">Herlitz, L. et al. (2023) ‘Patient and staff experiences of using technology-enabled and analogue models of remote home monitoring for COVID-19 in England: A mixed-method evaluation’, International Journal of Medical Informatics, 179, article 105230. Available at: </w:t>
      </w:r>
      <w:hyperlink r:id="rId5" w:history="1">
        <w:r w:rsidRPr="00E33513">
          <w:rPr>
            <w:rStyle w:val="Hyperlink"/>
            <w:rFonts w:ascii="Arial" w:hAnsi="Arial" w:cs="Arial"/>
            <w:sz w:val="22"/>
            <w:szCs w:val="22"/>
          </w:rPr>
          <w:t>https://doi.org/10.1016/j.ijmedinf.2023.105230</w:t>
        </w:r>
      </w:hyperlink>
      <w:r w:rsidRPr="00E33513">
        <w:rPr>
          <w:rFonts w:ascii="Arial" w:hAnsi="Arial" w:cs="Arial"/>
          <w:sz w:val="22"/>
          <w:szCs w:val="22"/>
        </w:rPr>
        <w:t xml:space="preserve"> (Accessed: 10 October 2026).</w:t>
      </w:r>
    </w:p>
    <w:p w14:paraId="01D53EEB" w14:textId="77777777" w:rsidR="00B90B43" w:rsidRPr="00E33513" w:rsidRDefault="00B90B43" w:rsidP="003329D8">
      <w:pPr>
        <w:spacing w:before="30" w:after="30" w:line="360" w:lineRule="auto"/>
        <w:rPr>
          <w:rFonts w:ascii="Arial" w:hAnsi="Arial" w:cs="Arial"/>
          <w:sz w:val="22"/>
          <w:szCs w:val="22"/>
        </w:rPr>
      </w:pPr>
      <w:r w:rsidRPr="00E33513">
        <w:rPr>
          <w:rFonts w:ascii="Arial" w:hAnsi="Arial" w:cs="Arial"/>
          <w:sz w:val="22"/>
          <w:szCs w:val="22"/>
        </w:rPr>
        <w:t xml:space="preserve">Information Commissioner's Office (ICO) (2024) What is special category data? Available at: </w:t>
      </w:r>
      <w:hyperlink r:id="rId6" w:history="1">
        <w:r w:rsidRPr="00E33513">
          <w:rPr>
            <w:rStyle w:val="Hyperlink"/>
            <w:rFonts w:ascii="Arial" w:hAnsi="Arial" w:cs="Arial"/>
            <w:sz w:val="22"/>
            <w:szCs w:val="22"/>
          </w:rPr>
          <w:t>https://ico.org.uk/for-organisations/uk-gdpr-guidance-and-resources/lawful-basis/special-category-data/what-is-special-category-data/</w:t>
        </w:r>
      </w:hyperlink>
      <w:r w:rsidRPr="00E33513">
        <w:rPr>
          <w:rFonts w:ascii="Arial" w:hAnsi="Arial" w:cs="Arial"/>
          <w:sz w:val="22"/>
          <w:szCs w:val="22"/>
        </w:rPr>
        <w:t xml:space="preserve"> (Accessed: 10 October 2026).</w:t>
      </w:r>
    </w:p>
    <w:p w14:paraId="6CDB7856" w14:textId="77777777" w:rsidR="00B90B43" w:rsidRPr="00E33513" w:rsidRDefault="00B90B43" w:rsidP="003329D8">
      <w:pPr>
        <w:spacing w:before="30" w:after="30" w:line="360" w:lineRule="auto"/>
        <w:rPr>
          <w:rFonts w:ascii="Arial" w:hAnsi="Arial" w:cs="Arial"/>
          <w:sz w:val="22"/>
          <w:szCs w:val="22"/>
        </w:rPr>
      </w:pPr>
      <w:r w:rsidRPr="00E33513">
        <w:rPr>
          <w:rFonts w:ascii="Arial" w:hAnsi="Arial" w:cs="Arial"/>
          <w:sz w:val="22"/>
          <w:szCs w:val="22"/>
        </w:rPr>
        <w:t xml:space="preserve">National Institute for Health and Care Excellence (NICE) (2022) Evidence standards framework for digital health technologies. Available at: </w:t>
      </w:r>
      <w:hyperlink r:id="rId7" w:history="1">
        <w:r w:rsidRPr="00E33513">
          <w:rPr>
            <w:rStyle w:val="Hyperlink"/>
            <w:rFonts w:ascii="Arial" w:hAnsi="Arial" w:cs="Arial"/>
            <w:sz w:val="22"/>
            <w:szCs w:val="22"/>
          </w:rPr>
          <w:t>https://www.nice.org.uk/corporate/ecd7</w:t>
        </w:r>
      </w:hyperlink>
      <w:r w:rsidRPr="00E33513">
        <w:rPr>
          <w:rFonts w:ascii="Arial" w:hAnsi="Arial" w:cs="Arial"/>
          <w:sz w:val="22"/>
          <w:szCs w:val="22"/>
        </w:rPr>
        <w:t xml:space="preserve"> (Accessed: 10 October 2026).</w:t>
      </w:r>
    </w:p>
    <w:p w14:paraId="3AA47993" w14:textId="77777777" w:rsidR="00B90B43" w:rsidRPr="00E33513" w:rsidRDefault="00B90B43" w:rsidP="003329D8">
      <w:pPr>
        <w:spacing w:before="30" w:after="30" w:line="360" w:lineRule="auto"/>
        <w:rPr>
          <w:rFonts w:ascii="Arial" w:hAnsi="Arial" w:cs="Arial"/>
          <w:sz w:val="22"/>
          <w:szCs w:val="22"/>
        </w:rPr>
      </w:pPr>
      <w:r w:rsidRPr="00E33513">
        <w:rPr>
          <w:rFonts w:ascii="Arial" w:hAnsi="Arial" w:cs="Arial"/>
          <w:sz w:val="22"/>
          <w:szCs w:val="22"/>
        </w:rPr>
        <w:t xml:space="preserve">National Institute for Health and Care Research (NIHR Evidence) (2025) Hospital at home and virtual wards: What works? Available at: </w:t>
      </w:r>
      <w:hyperlink r:id="rId8" w:history="1">
        <w:r w:rsidRPr="00E33513">
          <w:rPr>
            <w:rStyle w:val="Hyperlink"/>
            <w:rFonts w:ascii="Arial" w:hAnsi="Arial" w:cs="Arial"/>
            <w:sz w:val="22"/>
            <w:szCs w:val="22"/>
          </w:rPr>
          <w:t>https://evidence.nihr.ac.uk/collection/hospital-at-home-and-virtual-wards-what-works/</w:t>
        </w:r>
      </w:hyperlink>
      <w:r w:rsidRPr="00E33513">
        <w:rPr>
          <w:rFonts w:ascii="Arial" w:hAnsi="Arial" w:cs="Arial"/>
          <w:sz w:val="22"/>
          <w:szCs w:val="22"/>
        </w:rPr>
        <w:t xml:space="preserve"> (Accessed: 10 October 2026).</w:t>
      </w:r>
    </w:p>
    <w:p w14:paraId="52D8D065" w14:textId="77777777" w:rsidR="00B90B43" w:rsidRPr="00E33513" w:rsidRDefault="00B90B43" w:rsidP="003329D8">
      <w:pPr>
        <w:spacing w:before="30" w:after="30" w:line="360" w:lineRule="auto"/>
        <w:rPr>
          <w:rFonts w:ascii="Arial" w:hAnsi="Arial" w:cs="Arial"/>
          <w:sz w:val="22"/>
          <w:szCs w:val="22"/>
        </w:rPr>
      </w:pPr>
      <w:r w:rsidRPr="00E33513">
        <w:rPr>
          <w:rFonts w:ascii="Arial" w:hAnsi="Arial" w:cs="Arial"/>
          <w:sz w:val="22"/>
          <w:szCs w:val="22"/>
        </w:rPr>
        <w:t xml:space="preserve">NHS England (2023) Inclusive digital healthcare: A framework for NHS action on digital inclusion. Available at: </w:t>
      </w:r>
      <w:hyperlink r:id="rId9" w:history="1">
        <w:r w:rsidRPr="00E33513">
          <w:rPr>
            <w:rStyle w:val="Hyperlink"/>
            <w:rFonts w:ascii="Arial" w:hAnsi="Arial" w:cs="Arial"/>
            <w:sz w:val="22"/>
            <w:szCs w:val="22"/>
          </w:rPr>
          <w:t>https://www.england.nhs.uk/long-read/inclusive-digital-healthcare-a-framework-for-nhs-action-on-digital-inclusion/</w:t>
        </w:r>
      </w:hyperlink>
      <w:r w:rsidRPr="00E33513">
        <w:rPr>
          <w:rFonts w:ascii="Arial" w:hAnsi="Arial" w:cs="Arial"/>
          <w:sz w:val="22"/>
          <w:szCs w:val="22"/>
        </w:rPr>
        <w:t xml:space="preserve"> (Accessed: 10 October 2026).</w:t>
      </w:r>
    </w:p>
    <w:p w14:paraId="62BFA448" w14:textId="77777777" w:rsidR="00B90B43" w:rsidRPr="00E33513" w:rsidRDefault="00B90B43" w:rsidP="003329D8">
      <w:pPr>
        <w:spacing w:before="30" w:after="30" w:line="360" w:lineRule="auto"/>
        <w:rPr>
          <w:rFonts w:ascii="Arial" w:hAnsi="Arial" w:cs="Arial"/>
          <w:sz w:val="22"/>
          <w:szCs w:val="22"/>
        </w:rPr>
      </w:pPr>
      <w:r w:rsidRPr="00E33513">
        <w:rPr>
          <w:rFonts w:ascii="Arial" w:hAnsi="Arial" w:cs="Arial"/>
          <w:sz w:val="22"/>
          <w:szCs w:val="22"/>
        </w:rPr>
        <w:t xml:space="preserve">NHS England (2024a) Virtual wards operational framework. Available at: </w:t>
      </w:r>
      <w:hyperlink r:id="rId10" w:history="1">
        <w:r w:rsidRPr="00E33513">
          <w:rPr>
            <w:rStyle w:val="Hyperlink"/>
            <w:rFonts w:ascii="Arial" w:hAnsi="Arial" w:cs="Arial"/>
            <w:sz w:val="22"/>
            <w:szCs w:val="22"/>
          </w:rPr>
          <w:t>https://www.england.nhs.uk/long-read/virtual-wards-operational-framework/</w:t>
        </w:r>
      </w:hyperlink>
      <w:r w:rsidRPr="00E33513">
        <w:rPr>
          <w:rFonts w:ascii="Arial" w:hAnsi="Arial" w:cs="Arial"/>
          <w:sz w:val="22"/>
          <w:szCs w:val="22"/>
        </w:rPr>
        <w:t xml:space="preserve"> (Accessed: 10 October 2026).</w:t>
      </w:r>
    </w:p>
    <w:p w14:paraId="6D0E4614" w14:textId="77777777" w:rsidR="00B90B43" w:rsidRPr="00E33513" w:rsidRDefault="00B90B43" w:rsidP="003329D8">
      <w:pPr>
        <w:spacing w:before="30" w:after="30" w:line="360" w:lineRule="auto"/>
        <w:rPr>
          <w:rFonts w:ascii="Arial" w:hAnsi="Arial" w:cs="Arial"/>
          <w:sz w:val="22"/>
          <w:szCs w:val="22"/>
        </w:rPr>
      </w:pPr>
      <w:r w:rsidRPr="00E33513">
        <w:rPr>
          <w:rFonts w:ascii="Arial" w:hAnsi="Arial" w:cs="Arial"/>
          <w:sz w:val="22"/>
          <w:szCs w:val="22"/>
        </w:rPr>
        <w:t xml:space="preserve">NHS England (2024b) Summary of South East region virtual wards evaluation. Available at: </w:t>
      </w:r>
      <w:hyperlink r:id="rId11" w:history="1">
        <w:r w:rsidRPr="00E33513">
          <w:rPr>
            <w:rStyle w:val="Hyperlink"/>
            <w:rFonts w:ascii="Arial" w:hAnsi="Arial" w:cs="Arial"/>
            <w:sz w:val="22"/>
            <w:szCs w:val="22"/>
          </w:rPr>
          <w:t>https://www.england.nhs.uk/long-read/summary-of-south-east-region-virtual-wards-evaluation/</w:t>
        </w:r>
      </w:hyperlink>
      <w:r w:rsidRPr="00E33513">
        <w:rPr>
          <w:rFonts w:ascii="Arial" w:hAnsi="Arial" w:cs="Arial"/>
          <w:sz w:val="22"/>
          <w:szCs w:val="22"/>
        </w:rPr>
        <w:t xml:space="preserve"> (Accessed: 10 October 2026).</w:t>
      </w:r>
    </w:p>
    <w:p w14:paraId="57A36AFF" w14:textId="77777777" w:rsidR="00B90B43" w:rsidRPr="00E33513" w:rsidRDefault="00B90B43" w:rsidP="003329D8">
      <w:pPr>
        <w:spacing w:before="30" w:after="30" w:line="360" w:lineRule="auto"/>
        <w:rPr>
          <w:rFonts w:ascii="Arial" w:hAnsi="Arial" w:cs="Arial"/>
          <w:sz w:val="22"/>
          <w:szCs w:val="22"/>
        </w:rPr>
      </w:pPr>
      <w:r w:rsidRPr="00E33513">
        <w:rPr>
          <w:rFonts w:ascii="Arial" w:hAnsi="Arial" w:cs="Arial"/>
          <w:sz w:val="22"/>
          <w:szCs w:val="22"/>
        </w:rPr>
        <w:t xml:space="preserve">NHS England (2024c) New report shows Virtual Wards in the South East are having a positive impact on patient care. Available at: </w:t>
      </w:r>
      <w:hyperlink r:id="rId12" w:history="1">
        <w:r w:rsidRPr="00E33513">
          <w:rPr>
            <w:rStyle w:val="Hyperlink"/>
            <w:rFonts w:ascii="Arial" w:hAnsi="Arial" w:cs="Arial"/>
            <w:sz w:val="22"/>
            <w:szCs w:val="22"/>
          </w:rPr>
          <w:t>https://www.england.nhs.uk/south-</w:t>
        </w:r>
        <w:r w:rsidRPr="00E33513">
          <w:rPr>
            <w:rStyle w:val="Hyperlink"/>
            <w:rFonts w:ascii="Arial" w:hAnsi="Arial" w:cs="Arial"/>
            <w:sz w:val="22"/>
            <w:szCs w:val="22"/>
          </w:rPr>
          <w:lastRenderedPageBreak/>
          <w:t>east/2024/05/16/new-report-shows-virtual-wards-in-the-south-east-are-having-a-positive-impact-on-patient-care/</w:t>
        </w:r>
      </w:hyperlink>
      <w:r w:rsidRPr="00E33513">
        <w:rPr>
          <w:rFonts w:ascii="Arial" w:hAnsi="Arial" w:cs="Arial"/>
          <w:sz w:val="22"/>
          <w:szCs w:val="22"/>
        </w:rPr>
        <w:t xml:space="preserve"> (Accessed: 10 October 2026).</w:t>
      </w:r>
    </w:p>
    <w:p w14:paraId="334C8AAF" w14:textId="77777777" w:rsidR="00B90B43" w:rsidRPr="00E33513" w:rsidRDefault="00B90B43" w:rsidP="003329D8">
      <w:pPr>
        <w:spacing w:before="30" w:after="30" w:line="360" w:lineRule="auto"/>
        <w:rPr>
          <w:rFonts w:ascii="Arial" w:hAnsi="Arial" w:cs="Arial"/>
          <w:sz w:val="22"/>
          <w:szCs w:val="22"/>
        </w:rPr>
      </w:pPr>
      <w:r w:rsidRPr="00E33513">
        <w:rPr>
          <w:rFonts w:ascii="Arial" w:hAnsi="Arial" w:cs="Arial"/>
          <w:sz w:val="22"/>
          <w:szCs w:val="22"/>
        </w:rPr>
        <w:t xml:space="preserve">Walton, H. et al. (2023) ‘Undertaking rapid evaluations during the COVID-19 pandemic: Lessons from evaluating COVID-19 remote home monitoring services in England’, Frontiers in Sociology, 8, article 982946. Available at: </w:t>
      </w:r>
      <w:hyperlink r:id="rId13" w:history="1">
        <w:r w:rsidRPr="00E33513">
          <w:rPr>
            <w:rStyle w:val="Hyperlink"/>
            <w:rFonts w:ascii="Arial" w:hAnsi="Arial" w:cs="Arial"/>
            <w:sz w:val="22"/>
            <w:szCs w:val="22"/>
          </w:rPr>
          <w:t>https://doi.org/10.3389/fsoc.2023.982946</w:t>
        </w:r>
      </w:hyperlink>
      <w:r w:rsidRPr="00E33513">
        <w:rPr>
          <w:rFonts w:ascii="Arial" w:hAnsi="Arial" w:cs="Arial"/>
          <w:sz w:val="22"/>
          <w:szCs w:val="22"/>
        </w:rPr>
        <w:t xml:space="preserve"> (Accessed: 10 October 2026).</w:t>
      </w:r>
    </w:p>
    <w:p w14:paraId="01221D0D" w14:textId="77777777" w:rsidR="00815234" w:rsidRPr="00E33513" w:rsidRDefault="00815234" w:rsidP="003329D8">
      <w:pPr>
        <w:spacing w:before="30" w:after="30" w:line="360" w:lineRule="auto"/>
        <w:rPr>
          <w:rFonts w:ascii="Arial" w:hAnsi="Arial" w:cs="Arial"/>
          <w:sz w:val="22"/>
          <w:szCs w:val="22"/>
        </w:rPr>
      </w:pPr>
    </w:p>
    <w:p w14:paraId="6387AC1D" w14:textId="77777777" w:rsidR="00145662" w:rsidRPr="00E33513" w:rsidRDefault="00145662" w:rsidP="003329D8">
      <w:pPr>
        <w:spacing w:before="30" w:after="30" w:line="360" w:lineRule="auto"/>
        <w:rPr>
          <w:rFonts w:ascii="Arial" w:hAnsi="Arial" w:cs="Arial"/>
          <w:sz w:val="22"/>
          <w:szCs w:val="22"/>
        </w:rPr>
      </w:pPr>
    </w:p>
    <w:p w14:paraId="5CACCF81" w14:textId="77777777" w:rsidR="00DD6426" w:rsidRPr="00E33513" w:rsidRDefault="00DD6426" w:rsidP="003329D8">
      <w:pPr>
        <w:spacing w:before="30" w:after="30" w:line="360" w:lineRule="auto"/>
        <w:rPr>
          <w:rFonts w:ascii="Arial" w:hAnsi="Arial" w:cs="Arial"/>
          <w:sz w:val="22"/>
          <w:szCs w:val="22"/>
        </w:rPr>
      </w:pPr>
    </w:p>
    <w:p w14:paraId="1C541D1C" w14:textId="77777777" w:rsidR="00D2208F" w:rsidRPr="00E33513" w:rsidRDefault="00D2208F" w:rsidP="003329D8">
      <w:pPr>
        <w:spacing w:before="30" w:after="30" w:line="360" w:lineRule="auto"/>
        <w:rPr>
          <w:rFonts w:ascii="Arial" w:hAnsi="Arial" w:cs="Arial"/>
          <w:sz w:val="22"/>
          <w:szCs w:val="22"/>
        </w:rPr>
      </w:pPr>
    </w:p>
    <w:p w14:paraId="2D8F0F48" w14:textId="77777777" w:rsidR="00EA7EC4" w:rsidRPr="00E33513" w:rsidRDefault="00EA7EC4" w:rsidP="003329D8">
      <w:pPr>
        <w:spacing w:before="30" w:after="30" w:line="360" w:lineRule="auto"/>
        <w:rPr>
          <w:rFonts w:ascii="Arial" w:hAnsi="Arial" w:cs="Arial"/>
          <w:sz w:val="22"/>
          <w:szCs w:val="22"/>
        </w:rPr>
      </w:pPr>
    </w:p>
    <w:p w14:paraId="6CA26430" w14:textId="77777777" w:rsidR="006614AE" w:rsidRPr="00E33513" w:rsidRDefault="006614AE" w:rsidP="003329D8">
      <w:pPr>
        <w:spacing w:before="30" w:after="30" w:line="360" w:lineRule="auto"/>
        <w:rPr>
          <w:rFonts w:ascii="Arial" w:hAnsi="Arial" w:cs="Arial"/>
          <w:b/>
          <w:bCs/>
          <w:sz w:val="22"/>
          <w:szCs w:val="22"/>
        </w:rPr>
      </w:pPr>
    </w:p>
    <w:p w14:paraId="2C888DD0" w14:textId="794DD372" w:rsidR="00DA3FA7" w:rsidRPr="00E33513" w:rsidRDefault="00DA3FA7" w:rsidP="003329D8">
      <w:pPr>
        <w:spacing w:before="30" w:after="30" w:line="360" w:lineRule="auto"/>
        <w:rPr>
          <w:rFonts w:ascii="Arial" w:hAnsi="Arial" w:cs="Arial"/>
          <w:sz w:val="22"/>
          <w:szCs w:val="22"/>
        </w:rPr>
      </w:pPr>
    </w:p>
    <w:p w14:paraId="6140298A" w14:textId="75E7D66D" w:rsidR="008E5504" w:rsidRPr="00E33513" w:rsidRDefault="008E5504" w:rsidP="003329D8">
      <w:pPr>
        <w:spacing w:before="30" w:after="30" w:line="360" w:lineRule="auto"/>
        <w:rPr>
          <w:rFonts w:ascii="Arial" w:hAnsi="Arial" w:cs="Arial"/>
          <w:sz w:val="22"/>
          <w:szCs w:val="22"/>
        </w:rPr>
      </w:pPr>
    </w:p>
    <w:p w14:paraId="022C0076" w14:textId="725B0AE4" w:rsidR="003C6311" w:rsidRPr="00E33513" w:rsidRDefault="003C6311" w:rsidP="003329D8">
      <w:pPr>
        <w:spacing w:before="30" w:after="30" w:line="360" w:lineRule="auto"/>
        <w:rPr>
          <w:rFonts w:ascii="Arial" w:hAnsi="Arial" w:cs="Arial"/>
          <w:sz w:val="22"/>
          <w:szCs w:val="22"/>
        </w:rPr>
      </w:pPr>
    </w:p>
    <w:p w14:paraId="3C3493EA" w14:textId="77777777" w:rsidR="00F06D61" w:rsidRPr="00E33513" w:rsidRDefault="00F06D61" w:rsidP="003329D8">
      <w:pPr>
        <w:spacing w:before="30" w:after="30" w:line="360" w:lineRule="auto"/>
        <w:rPr>
          <w:rFonts w:ascii="Arial" w:hAnsi="Arial" w:cs="Arial"/>
          <w:sz w:val="22"/>
          <w:szCs w:val="22"/>
        </w:rPr>
      </w:pPr>
    </w:p>
    <w:p w14:paraId="413EC737" w14:textId="77777777" w:rsidR="005F29EF" w:rsidRPr="00E33513" w:rsidRDefault="005F29EF" w:rsidP="003329D8">
      <w:pPr>
        <w:spacing w:before="30" w:after="30" w:line="360" w:lineRule="auto"/>
        <w:rPr>
          <w:rFonts w:ascii="Arial" w:hAnsi="Arial" w:cs="Arial"/>
          <w:sz w:val="22"/>
          <w:szCs w:val="22"/>
        </w:rPr>
      </w:pPr>
    </w:p>
    <w:p w14:paraId="3B5C8E7D" w14:textId="77777777" w:rsidR="00C06BFD" w:rsidRPr="00E33513" w:rsidRDefault="00C06BFD" w:rsidP="003329D8">
      <w:pPr>
        <w:spacing w:before="30" w:after="30" w:line="360" w:lineRule="auto"/>
        <w:rPr>
          <w:rFonts w:ascii="Arial" w:hAnsi="Arial" w:cs="Arial"/>
          <w:b/>
          <w:bCs/>
          <w:sz w:val="22"/>
          <w:szCs w:val="22"/>
        </w:rPr>
      </w:pPr>
    </w:p>
    <w:p w14:paraId="21F6C520" w14:textId="77777777" w:rsidR="0082531E" w:rsidRPr="00E33513" w:rsidRDefault="0082531E" w:rsidP="003329D8">
      <w:pPr>
        <w:spacing w:before="30" w:after="30" w:line="360" w:lineRule="auto"/>
        <w:rPr>
          <w:rFonts w:ascii="Arial" w:hAnsi="Arial" w:cs="Arial"/>
          <w:sz w:val="22"/>
          <w:szCs w:val="22"/>
        </w:rPr>
      </w:pPr>
    </w:p>
    <w:p w14:paraId="13BE696D" w14:textId="77777777" w:rsidR="0082531E" w:rsidRPr="00E33513" w:rsidRDefault="0082531E" w:rsidP="003329D8">
      <w:pPr>
        <w:spacing w:before="30" w:after="30" w:line="360" w:lineRule="auto"/>
        <w:rPr>
          <w:rFonts w:ascii="Arial" w:hAnsi="Arial" w:cs="Arial"/>
          <w:b/>
          <w:bCs/>
          <w:sz w:val="22"/>
          <w:szCs w:val="22"/>
        </w:rPr>
      </w:pPr>
    </w:p>
    <w:p w14:paraId="19B1A13E" w14:textId="77777777" w:rsidR="0082531E" w:rsidRPr="00E33513" w:rsidRDefault="0082531E" w:rsidP="003329D8">
      <w:pPr>
        <w:spacing w:before="30" w:after="30" w:line="360" w:lineRule="auto"/>
        <w:rPr>
          <w:rFonts w:ascii="Arial" w:hAnsi="Arial" w:cs="Arial"/>
          <w:b/>
          <w:bCs/>
          <w:sz w:val="22"/>
          <w:szCs w:val="22"/>
        </w:rPr>
      </w:pPr>
    </w:p>
    <w:p w14:paraId="115E4701" w14:textId="77777777" w:rsidR="00B3419D" w:rsidRPr="00E33513" w:rsidRDefault="00B3419D" w:rsidP="003329D8">
      <w:pPr>
        <w:spacing w:before="30" w:after="30" w:line="360" w:lineRule="auto"/>
        <w:jc w:val="center"/>
        <w:rPr>
          <w:rFonts w:ascii="Arial" w:hAnsi="Arial" w:cs="Arial"/>
          <w:b/>
          <w:bCs/>
          <w:sz w:val="22"/>
          <w:szCs w:val="22"/>
        </w:rPr>
      </w:pPr>
    </w:p>
    <w:p w14:paraId="10F9B5B1" w14:textId="77777777" w:rsidR="00B3419D" w:rsidRPr="00E33513" w:rsidRDefault="00B3419D" w:rsidP="003329D8">
      <w:pPr>
        <w:spacing w:before="30" w:after="30" w:line="360" w:lineRule="auto"/>
        <w:jc w:val="center"/>
        <w:rPr>
          <w:rFonts w:ascii="Arial" w:hAnsi="Arial" w:cs="Arial"/>
          <w:b/>
          <w:bCs/>
          <w:sz w:val="22"/>
          <w:szCs w:val="22"/>
        </w:rPr>
      </w:pPr>
    </w:p>
    <w:p w14:paraId="02C48AA9" w14:textId="77777777" w:rsidR="00B3419D" w:rsidRPr="00E33513" w:rsidRDefault="00B3419D" w:rsidP="003329D8">
      <w:pPr>
        <w:spacing w:before="30" w:after="30" w:line="360" w:lineRule="auto"/>
        <w:jc w:val="center"/>
        <w:rPr>
          <w:rFonts w:ascii="Arial" w:hAnsi="Arial" w:cs="Arial"/>
          <w:b/>
          <w:bCs/>
          <w:sz w:val="22"/>
          <w:szCs w:val="22"/>
        </w:rPr>
      </w:pPr>
    </w:p>
    <w:p w14:paraId="5A17790C" w14:textId="77777777" w:rsidR="00B3419D" w:rsidRPr="00E33513" w:rsidRDefault="00B3419D" w:rsidP="003329D8">
      <w:pPr>
        <w:spacing w:before="30" w:after="30" w:line="360" w:lineRule="auto"/>
        <w:jc w:val="center"/>
        <w:rPr>
          <w:rFonts w:ascii="Arial" w:hAnsi="Arial" w:cs="Arial"/>
          <w:b/>
          <w:bCs/>
          <w:sz w:val="22"/>
          <w:szCs w:val="22"/>
        </w:rPr>
      </w:pPr>
    </w:p>
    <w:p w14:paraId="7357EA80" w14:textId="77777777" w:rsidR="00B3419D" w:rsidRPr="00E33513" w:rsidRDefault="00B3419D" w:rsidP="003329D8">
      <w:pPr>
        <w:spacing w:before="30" w:after="30" w:line="360" w:lineRule="auto"/>
        <w:jc w:val="center"/>
        <w:rPr>
          <w:rFonts w:ascii="Arial" w:hAnsi="Arial" w:cs="Arial"/>
          <w:b/>
          <w:bCs/>
          <w:sz w:val="22"/>
          <w:szCs w:val="22"/>
        </w:rPr>
      </w:pPr>
    </w:p>
    <w:p w14:paraId="46F74348" w14:textId="77777777" w:rsidR="00B3419D" w:rsidRPr="00E33513" w:rsidRDefault="00B3419D" w:rsidP="003329D8">
      <w:pPr>
        <w:spacing w:before="30" w:after="30" w:line="360" w:lineRule="auto"/>
        <w:jc w:val="center"/>
        <w:rPr>
          <w:rFonts w:ascii="Arial" w:hAnsi="Arial" w:cs="Arial"/>
          <w:b/>
          <w:bCs/>
          <w:sz w:val="22"/>
          <w:szCs w:val="22"/>
        </w:rPr>
      </w:pPr>
    </w:p>
    <w:p w14:paraId="38DD600E" w14:textId="77777777" w:rsidR="00B3419D" w:rsidRPr="00E33513" w:rsidRDefault="00B3419D" w:rsidP="003329D8">
      <w:pPr>
        <w:spacing w:before="30" w:after="30" w:line="360" w:lineRule="auto"/>
        <w:jc w:val="center"/>
        <w:rPr>
          <w:rFonts w:ascii="Arial" w:hAnsi="Arial" w:cs="Arial"/>
          <w:b/>
          <w:bCs/>
          <w:sz w:val="22"/>
          <w:szCs w:val="22"/>
        </w:rPr>
      </w:pPr>
    </w:p>
    <w:p w14:paraId="009FA707" w14:textId="77777777" w:rsidR="00B3419D" w:rsidRPr="00E33513" w:rsidRDefault="00B3419D" w:rsidP="003329D8">
      <w:pPr>
        <w:spacing w:before="30" w:after="30" w:line="360" w:lineRule="auto"/>
        <w:jc w:val="center"/>
        <w:rPr>
          <w:rFonts w:ascii="Arial" w:hAnsi="Arial" w:cs="Arial"/>
          <w:bCs/>
          <w:sz w:val="22"/>
          <w:szCs w:val="22"/>
        </w:rPr>
      </w:pPr>
    </w:p>
    <w:sectPr w:rsidR="00B3419D" w:rsidRPr="00E335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19D"/>
    <w:rsid w:val="000401CD"/>
    <w:rsid w:val="00061D94"/>
    <w:rsid w:val="000D466A"/>
    <w:rsid w:val="000F516D"/>
    <w:rsid w:val="00145662"/>
    <w:rsid w:val="00175F36"/>
    <w:rsid w:val="001F3D09"/>
    <w:rsid w:val="00216830"/>
    <w:rsid w:val="002767DA"/>
    <w:rsid w:val="002915BD"/>
    <w:rsid w:val="002A4ADF"/>
    <w:rsid w:val="00302DF6"/>
    <w:rsid w:val="003329D8"/>
    <w:rsid w:val="00390E9F"/>
    <w:rsid w:val="0039571B"/>
    <w:rsid w:val="003B1380"/>
    <w:rsid w:val="003C6311"/>
    <w:rsid w:val="004543C4"/>
    <w:rsid w:val="004954E5"/>
    <w:rsid w:val="004E607C"/>
    <w:rsid w:val="00504211"/>
    <w:rsid w:val="00520AFA"/>
    <w:rsid w:val="005F29EF"/>
    <w:rsid w:val="006574F0"/>
    <w:rsid w:val="006614AE"/>
    <w:rsid w:val="006764B2"/>
    <w:rsid w:val="0073103C"/>
    <w:rsid w:val="00751738"/>
    <w:rsid w:val="007C1E54"/>
    <w:rsid w:val="007D44DE"/>
    <w:rsid w:val="00802192"/>
    <w:rsid w:val="0081404C"/>
    <w:rsid w:val="00815234"/>
    <w:rsid w:val="0082531E"/>
    <w:rsid w:val="008341DC"/>
    <w:rsid w:val="008601E5"/>
    <w:rsid w:val="00882E71"/>
    <w:rsid w:val="008E5504"/>
    <w:rsid w:val="008F4506"/>
    <w:rsid w:val="00931443"/>
    <w:rsid w:val="00934F56"/>
    <w:rsid w:val="00935A0C"/>
    <w:rsid w:val="00A131C3"/>
    <w:rsid w:val="00A15113"/>
    <w:rsid w:val="00A57FD6"/>
    <w:rsid w:val="00A65C0D"/>
    <w:rsid w:val="00B16480"/>
    <w:rsid w:val="00B20AA6"/>
    <w:rsid w:val="00B3419D"/>
    <w:rsid w:val="00B90B43"/>
    <w:rsid w:val="00B96F5D"/>
    <w:rsid w:val="00C06BFD"/>
    <w:rsid w:val="00C61E86"/>
    <w:rsid w:val="00C63474"/>
    <w:rsid w:val="00C94544"/>
    <w:rsid w:val="00D113F6"/>
    <w:rsid w:val="00D12451"/>
    <w:rsid w:val="00D2208F"/>
    <w:rsid w:val="00D35A17"/>
    <w:rsid w:val="00D933DA"/>
    <w:rsid w:val="00DA3FA7"/>
    <w:rsid w:val="00DC0A7B"/>
    <w:rsid w:val="00DC447E"/>
    <w:rsid w:val="00DD6426"/>
    <w:rsid w:val="00E24294"/>
    <w:rsid w:val="00E33513"/>
    <w:rsid w:val="00E34B75"/>
    <w:rsid w:val="00E37E8E"/>
    <w:rsid w:val="00EA7EC4"/>
    <w:rsid w:val="00ED4171"/>
    <w:rsid w:val="00F06B40"/>
    <w:rsid w:val="00F06D61"/>
    <w:rsid w:val="00F12BEB"/>
    <w:rsid w:val="00F31D47"/>
    <w:rsid w:val="00F63437"/>
    <w:rsid w:val="00F644E8"/>
    <w:rsid w:val="00FA6A3D"/>
    <w:rsid w:val="00FF1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53BC6"/>
  <w15:chartTrackingRefBased/>
  <w15:docId w15:val="{CA0DC35B-2D6C-4038-9630-D0501E0C0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1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41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41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1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1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1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1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1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1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1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41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41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1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1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1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1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1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19D"/>
    <w:rPr>
      <w:rFonts w:eastAsiaTheme="majorEastAsia" w:cstheme="majorBidi"/>
      <w:color w:val="272727" w:themeColor="text1" w:themeTint="D8"/>
    </w:rPr>
  </w:style>
  <w:style w:type="paragraph" w:styleId="Title">
    <w:name w:val="Title"/>
    <w:basedOn w:val="Normal"/>
    <w:next w:val="Normal"/>
    <w:link w:val="TitleChar"/>
    <w:uiPriority w:val="10"/>
    <w:qFormat/>
    <w:rsid w:val="00B341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1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1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1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19D"/>
    <w:pPr>
      <w:spacing w:before="160"/>
      <w:jc w:val="center"/>
    </w:pPr>
    <w:rPr>
      <w:i/>
      <w:iCs/>
      <w:color w:val="404040" w:themeColor="text1" w:themeTint="BF"/>
    </w:rPr>
  </w:style>
  <w:style w:type="character" w:customStyle="1" w:styleId="QuoteChar">
    <w:name w:val="Quote Char"/>
    <w:basedOn w:val="DefaultParagraphFont"/>
    <w:link w:val="Quote"/>
    <w:uiPriority w:val="29"/>
    <w:rsid w:val="00B3419D"/>
    <w:rPr>
      <w:i/>
      <w:iCs/>
      <w:color w:val="404040" w:themeColor="text1" w:themeTint="BF"/>
    </w:rPr>
  </w:style>
  <w:style w:type="paragraph" w:styleId="ListParagraph">
    <w:name w:val="List Paragraph"/>
    <w:basedOn w:val="Normal"/>
    <w:uiPriority w:val="34"/>
    <w:qFormat/>
    <w:rsid w:val="00B3419D"/>
    <w:pPr>
      <w:ind w:left="720"/>
      <w:contextualSpacing/>
    </w:pPr>
  </w:style>
  <w:style w:type="character" w:styleId="IntenseEmphasis">
    <w:name w:val="Intense Emphasis"/>
    <w:basedOn w:val="DefaultParagraphFont"/>
    <w:uiPriority w:val="21"/>
    <w:qFormat/>
    <w:rsid w:val="00B3419D"/>
    <w:rPr>
      <w:i/>
      <w:iCs/>
      <w:color w:val="0F4761" w:themeColor="accent1" w:themeShade="BF"/>
    </w:rPr>
  </w:style>
  <w:style w:type="paragraph" w:styleId="IntenseQuote">
    <w:name w:val="Intense Quote"/>
    <w:basedOn w:val="Normal"/>
    <w:next w:val="Normal"/>
    <w:link w:val="IntenseQuoteChar"/>
    <w:uiPriority w:val="30"/>
    <w:qFormat/>
    <w:rsid w:val="00B341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19D"/>
    <w:rPr>
      <w:i/>
      <w:iCs/>
      <w:color w:val="0F4761" w:themeColor="accent1" w:themeShade="BF"/>
    </w:rPr>
  </w:style>
  <w:style w:type="character" w:styleId="IntenseReference">
    <w:name w:val="Intense Reference"/>
    <w:basedOn w:val="DefaultParagraphFont"/>
    <w:uiPriority w:val="32"/>
    <w:qFormat/>
    <w:rsid w:val="00B3419D"/>
    <w:rPr>
      <w:b/>
      <w:bCs/>
      <w:smallCaps/>
      <w:color w:val="0F4761" w:themeColor="accent1" w:themeShade="BF"/>
      <w:spacing w:val="5"/>
    </w:rPr>
  </w:style>
  <w:style w:type="paragraph" w:styleId="NormalWeb">
    <w:name w:val="Normal (Web)"/>
    <w:basedOn w:val="Normal"/>
    <w:uiPriority w:val="99"/>
    <w:semiHidden/>
    <w:unhideWhenUsed/>
    <w:rsid w:val="00DA3FA7"/>
    <w:rPr>
      <w:rFonts w:ascii="Times New Roman" w:hAnsi="Times New Roman" w:cs="Times New Roman"/>
    </w:rPr>
  </w:style>
  <w:style w:type="character" w:styleId="Hyperlink">
    <w:name w:val="Hyperlink"/>
    <w:basedOn w:val="DefaultParagraphFont"/>
    <w:uiPriority w:val="99"/>
    <w:unhideWhenUsed/>
    <w:rsid w:val="00A15113"/>
    <w:rPr>
      <w:color w:val="467886" w:themeColor="hyperlink"/>
      <w:u w:val="single"/>
    </w:rPr>
  </w:style>
  <w:style w:type="character" w:styleId="UnresolvedMention">
    <w:name w:val="Unresolved Mention"/>
    <w:basedOn w:val="DefaultParagraphFont"/>
    <w:uiPriority w:val="99"/>
    <w:semiHidden/>
    <w:unhideWhenUsed/>
    <w:rsid w:val="00A151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idence.nihr.ac.uk/collection/hospital-at-home-and-virtual-wards-what-works/" TargetMode="External"/><Relationship Id="rId13" Type="http://schemas.openxmlformats.org/officeDocument/2006/relationships/hyperlink" Target="https://doi.org/10.3389/fsoc.2023.982946" TargetMode="External"/><Relationship Id="rId3" Type="http://schemas.openxmlformats.org/officeDocument/2006/relationships/webSettings" Target="webSettings.xml"/><Relationship Id="rId7" Type="http://schemas.openxmlformats.org/officeDocument/2006/relationships/hyperlink" Target="https://www.nice.org.uk/corporate/ecd7" TargetMode="External"/><Relationship Id="rId12" Type="http://schemas.openxmlformats.org/officeDocument/2006/relationships/hyperlink" Target="https://www.england.nhs.uk/south-east/2024/05/16/new-report-shows-virtual-wards-in-the-south-east-are-having-a-positive-impact-on-patient-ca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co.org.uk/for-organisations/uk-gdpr-guidance-and-resources/lawful-basis/special-category-data/what-is-special-category-data/" TargetMode="External"/><Relationship Id="rId11" Type="http://schemas.openxmlformats.org/officeDocument/2006/relationships/hyperlink" Target="https://www.england.nhs.uk/long-read/summary-of-south-east-region-virtual-wards-evaluation/" TargetMode="External"/><Relationship Id="rId5" Type="http://schemas.openxmlformats.org/officeDocument/2006/relationships/hyperlink" Target="https://doi.org/10.1016/j.ijmedinf.2023.105230" TargetMode="External"/><Relationship Id="rId15" Type="http://schemas.openxmlformats.org/officeDocument/2006/relationships/theme" Target="theme/theme1.xml"/><Relationship Id="rId10" Type="http://schemas.openxmlformats.org/officeDocument/2006/relationships/hyperlink" Target="https://www.england.nhs.uk/long-read/virtual-wards-operational-framework/" TargetMode="External"/><Relationship Id="rId4" Type="http://schemas.openxmlformats.org/officeDocument/2006/relationships/hyperlink" Target="https://doi.org/10.3310/FVQW4410" TargetMode="External"/><Relationship Id="rId9" Type="http://schemas.openxmlformats.org/officeDocument/2006/relationships/hyperlink" Target="https://www.england.nhs.uk/long-read/inclusive-digital-healthcare-a-framework-for-nhs-action-on-digital-inclus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056F10-2C6D-4181-869F-3CCC39EE205E}">
  <we:reference id="wa200007520" version="3.0.0.0" store="en-US" storeType="OMEX"/>
  <we:alternateReferences>
    <we:reference id="wa200007520" version="3.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858</TotalTime>
  <Pages>8</Pages>
  <Words>2824</Words>
  <Characters>16103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Sunela Dad</dc:creator>
  <cp:keywords/>
  <dc:description/>
  <cp:lastModifiedBy>Sunela Dad</cp:lastModifiedBy>
  <cp:revision>64</cp:revision>
  <dcterms:created xsi:type="dcterms:W3CDTF">2026-09-28T15:57:00Z</dcterms:created>
  <dcterms:modified xsi:type="dcterms:W3CDTF">2026-10-15T08:56:00Z</dcterms:modified>
</cp:coreProperties>
</file>