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7CCDD" w14:textId="77777777" w:rsidR="00FB08C6" w:rsidRPr="00E927FD" w:rsidRDefault="00FB08C6" w:rsidP="00FB08C6">
      <w:pPr>
        <w:jc w:val="center"/>
        <w:rPr>
          <w:color w:val="156082" w:themeColor="accent1"/>
        </w:rPr>
      </w:pPr>
      <w:r w:rsidRPr="00E927FD">
        <w:rPr>
          <w:b/>
          <w:bCs/>
          <w:color w:val="156082" w:themeColor="accent1"/>
          <w:sz w:val="32"/>
          <w:szCs w:val="32"/>
        </w:rPr>
        <w:t>LCDB7009</w:t>
      </w:r>
    </w:p>
    <w:p w14:paraId="73FAF28E" w14:textId="77777777" w:rsidR="00FB08C6" w:rsidRPr="00E927FD" w:rsidRDefault="00FB08C6" w:rsidP="00FB08C6">
      <w:pPr>
        <w:jc w:val="center"/>
        <w:rPr>
          <w:b/>
          <w:bCs/>
          <w:color w:val="156082" w:themeColor="accent1"/>
          <w:sz w:val="32"/>
          <w:szCs w:val="32"/>
        </w:rPr>
      </w:pPr>
    </w:p>
    <w:p w14:paraId="7D381B3B" w14:textId="77777777" w:rsidR="00FB08C6" w:rsidRPr="00E927FD" w:rsidRDefault="00FB08C6" w:rsidP="00FB08C6">
      <w:pPr>
        <w:jc w:val="center"/>
        <w:rPr>
          <w:b/>
          <w:bCs/>
          <w:color w:val="156082" w:themeColor="accent1"/>
          <w:sz w:val="32"/>
          <w:szCs w:val="32"/>
        </w:rPr>
      </w:pPr>
      <w:r w:rsidRPr="00E927FD">
        <w:rPr>
          <w:b/>
          <w:bCs/>
          <w:color w:val="156082" w:themeColor="accent1"/>
          <w:sz w:val="32"/>
          <w:szCs w:val="32"/>
        </w:rPr>
        <w:t>Critical literature review for doctoral research</w:t>
      </w:r>
    </w:p>
    <w:p w14:paraId="6C79AB21" w14:textId="77777777" w:rsidR="00FB08C6" w:rsidRPr="00E927FD" w:rsidRDefault="00FB08C6" w:rsidP="00FB08C6">
      <w:pPr>
        <w:jc w:val="center"/>
        <w:rPr>
          <w:color w:val="156082" w:themeColor="accent1"/>
        </w:rPr>
      </w:pPr>
    </w:p>
    <w:p w14:paraId="12A70535" w14:textId="77777777" w:rsidR="00FB08C6" w:rsidRPr="00E927FD" w:rsidRDefault="00FB08C6" w:rsidP="00FB08C6">
      <w:pPr>
        <w:jc w:val="center"/>
        <w:rPr>
          <w:b/>
          <w:bCs/>
          <w:color w:val="156082" w:themeColor="accent1"/>
          <w:sz w:val="32"/>
          <w:szCs w:val="32"/>
        </w:rPr>
      </w:pPr>
      <w:r w:rsidRPr="00E927FD">
        <w:rPr>
          <w:b/>
          <w:bCs/>
          <w:color w:val="156082" w:themeColor="accent1"/>
          <w:sz w:val="32"/>
          <w:szCs w:val="32"/>
        </w:rPr>
        <w:t>Student Name: Ummay Huney</w:t>
      </w:r>
    </w:p>
    <w:p w14:paraId="2C7F6B3E" w14:textId="77777777" w:rsidR="00FB08C6" w:rsidRPr="00E927FD" w:rsidRDefault="00FB08C6" w:rsidP="00FB08C6">
      <w:pPr>
        <w:jc w:val="center"/>
        <w:rPr>
          <w:color w:val="156082" w:themeColor="accent1"/>
        </w:rPr>
      </w:pPr>
    </w:p>
    <w:p w14:paraId="2F41EAB6" w14:textId="77777777" w:rsidR="00FB08C6" w:rsidRPr="00E927FD" w:rsidRDefault="00FB08C6" w:rsidP="00FB08C6">
      <w:pPr>
        <w:jc w:val="center"/>
        <w:rPr>
          <w:b/>
          <w:bCs/>
          <w:color w:val="156082" w:themeColor="accent1"/>
          <w:sz w:val="32"/>
          <w:szCs w:val="32"/>
        </w:rPr>
      </w:pPr>
      <w:r w:rsidRPr="00E927FD">
        <w:rPr>
          <w:b/>
          <w:bCs/>
          <w:color w:val="156082" w:themeColor="accent1"/>
          <w:sz w:val="32"/>
          <w:szCs w:val="32"/>
        </w:rPr>
        <w:t>ID: 2513079</w:t>
      </w:r>
    </w:p>
    <w:p w14:paraId="0ED62302" w14:textId="77777777" w:rsidR="00FB08C6" w:rsidRPr="00E927FD" w:rsidRDefault="00FB08C6" w:rsidP="00FB08C6">
      <w:pPr>
        <w:jc w:val="center"/>
        <w:rPr>
          <w:color w:val="156082" w:themeColor="accent1"/>
        </w:rPr>
      </w:pPr>
    </w:p>
    <w:p w14:paraId="4809C3DD" w14:textId="77777777" w:rsidR="00FB08C6" w:rsidRPr="00E927FD" w:rsidRDefault="00FB08C6" w:rsidP="00FB08C6">
      <w:pPr>
        <w:jc w:val="center"/>
        <w:rPr>
          <w:b/>
          <w:bCs/>
          <w:color w:val="156082" w:themeColor="accent1"/>
        </w:rPr>
      </w:pPr>
      <w:r w:rsidRPr="00E927FD">
        <w:rPr>
          <w:b/>
          <w:bCs/>
          <w:color w:val="156082" w:themeColor="accent1"/>
        </w:rPr>
        <w:t>Word count: Part 1 (1378)</w:t>
      </w:r>
    </w:p>
    <w:p w14:paraId="39ABE1B5" w14:textId="77777777" w:rsidR="00FB08C6" w:rsidRPr="00E927FD" w:rsidRDefault="00FB08C6" w:rsidP="00FB08C6">
      <w:pPr>
        <w:jc w:val="center"/>
        <w:rPr>
          <w:b/>
          <w:bCs/>
          <w:color w:val="156082" w:themeColor="accent1"/>
        </w:rPr>
      </w:pPr>
      <w:r w:rsidRPr="00E927FD">
        <w:rPr>
          <w:b/>
          <w:bCs/>
          <w:color w:val="156082" w:themeColor="accent1"/>
        </w:rPr>
        <w:t>Word count: Part 2 (3289)</w:t>
      </w:r>
    </w:p>
    <w:p w14:paraId="11FEB03A" w14:textId="77777777" w:rsidR="00FB08C6" w:rsidRPr="00E927FD" w:rsidRDefault="00FB08C6" w:rsidP="00FB08C6">
      <w:pPr>
        <w:jc w:val="center"/>
        <w:rPr>
          <w:b/>
          <w:bCs/>
          <w:color w:val="156082" w:themeColor="accent1"/>
        </w:rPr>
      </w:pPr>
      <w:r w:rsidRPr="00E927FD">
        <w:rPr>
          <w:b/>
          <w:bCs/>
          <w:color w:val="156082" w:themeColor="accent1"/>
        </w:rPr>
        <w:t>Word count: Part 3 (3210)</w:t>
      </w:r>
    </w:p>
    <w:p w14:paraId="72BB61E1" w14:textId="77777777" w:rsidR="00FB08C6" w:rsidRDefault="00FB08C6" w:rsidP="00FB08C6"/>
    <w:p w14:paraId="19A6F984" w14:textId="77777777" w:rsidR="00FB08C6" w:rsidRDefault="00FB08C6" w:rsidP="00FB08C6"/>
    <w:p w14:paraId="35BEEB56" w14:textId="77777777" w:rsidR="00FB08C6" w:rsidRDefault="00FB08C6" w:rsidP="00FB08C6"/>
    <w:p w14:paraId="7857066C" w14:textId="77777777" w:rsidR="00FB08C6" w:rsidRDefault="00FB08C6" w:rsidP="00FB08C6">
      <w:pPr>
        <w:jc w:val="center"/>
        <w:rPr>
          <w:b/>
          <w:bCs/>
          <w:sz w:val="32"/>
          <w:szCs w:val="32"/>
        </w:rPr>
      </w:pPr>
    </w:p>
    <w:p w14:paraId="3D9E68AD" w14:textId="77777777" w:rsidR="00FB08C6" w:rsidRDefault="00FB08C6" w:rsidP="00FB08C6">
      <w:pPr>
        <w:jc w:val="center"/>
        <w:rPr>
          <w:b/>
          <w:bCs/>
          <w:sz w:val="32"/>
          <w:szCs w:val="32"/>
        </w:rPr>
      </w:pPr>
    </w:p>
    <w:p w14:paraId="0122900A" w14:textId="77777777" w:rsidR="00FB08C6" w:rsidRDefault="00FB08C6" w:rsidP="00FB08C6">
      <w:pPr>
        <w:jc w:val="center"/>
        <w:rPr>
          <w:b/>
          <w:bCs/>
          <w:sz w:val="32"/>
          <w:szCs w:val="32"/>
        </w:rPr>
      </w:pPr>
    </w:p>
    <w:p w14:paraId="25FC8549" w14:textId="77777777" w:rsidR="00FB08C6" w:rsidRPr="006022DA" w:rsidRDefault="00FB08C6" w:rsidP="00FB08C6">
      <w:pPr>
        <w:jc w:val="center"/>
        <w:rPr>
          <w:b/>
          <w:bCs/>
          <w:color w:val="156082" w:themeColor="accent1"/>
          <w:sz w:val="32"/>
          <w:szCs w:val="32"/>
        </w:rPr>
      </w:pPr>
      <w:r w:rsidRPr="006022DA">
        <w:rPr>
          <w:b/>
          <w:bCs/>
          <w:color w:val="156082" w:themeColor="accent1"/>
          <w:sz w:val="32"/>
          <w:szCs w:val="32"/>
        </w:rPr>
        <w:lastRenderedPageBreak/>
        <w:t>Title:  Food Culture and Cultural Identity among South Asian Migrants in the United Kingdom: A Narrative Literature Review</w:t>
      </w:r>
    </w:p>
    <w:p w14:paraId="6391F718" w14:textId="77777777" w:rsidR="00FB08C6" w:rsidRDefault="00FB08C6" w:rsidP="00FB08C6">
      <w:pPr>
        <w:rPr>
          <w:b/>
          <w:bCs/>
          <w:color w:val="00B0F0"/>
          <w:sz w:val="32"/>
          <w:szCs w:val="32"/>
        </w:rPr>
      </w:pPr>
    </w:p>
    <w:p w14:paraId="71C13430" w14:textId="77777777" w:rsidR="00FB08C6" w:rsidRDefault="00FB08C6" w:rsidP="00FB08C6">
      <w:pPr>
        <w:rPr>
          <w:b/>
          <w:bCs/>
          <w:color w:val="00B0F0"/>
          <w:sz w:val="32"/>
          <w:szCs w:val="32"/>
        </w:rPr>
      </w:pPr>
      <w:r>
        <w:rPr>
          <w:b/>
          <w:bCs/>
          <w:color w:val="00B0F0"/>
          <w:sz w:val="32"/>
          <w:szCs w:val="32"/>
        </w:rPr>
        <w:br w:type="page"/>
      </w:r>
    </w:p>
    <w:sdt>
      <w:sdtPr>
        <w:rPr>
          <w:rFonts w:ascii="Times New Roman" w:eastAsiaTheme="minorHAnsi" w:hAnsi="Times New Roman" w:cstheme="minorBidi"/>
          <w:bCs w:val="0"/>
          <w:color w:val="auto"/>
          <w:kern w:val="2"/>
          <w:sz w:val="24"/>
          <w:szCs w:val="24"/>
          <w14:ligatures w14:val="standardContextual"/>
        </w:rPr>
        <w:id w:val="-397746798"/>
        <w:docPartObj>
          <w:docPartGallery w:val="Table of Contents"/>
          <w:docPartUnique/>
        </w:docPartObj>
      </w:sdtPr>
      <w:sdtEndPr>
        <w:rPr>
          <w:rFonts w:asciiTheme="minorHAnsi" w:hAnsiTheme="minorHAnsi"/>
          <w:noProof/>
        </w:rPr>
      </w:sdtEndPr>
      <w:sdtContent>
        <w:p w14:paraId="1BFBFD24" w14:textId="77777777" w:rsidR="00FB08C6" w:rsidRPr="00F45937" w:rsidRDefault="00FB08C6" w:rsidP="00FB08C6">
          <w:pPr>
            <w:pStyle w:val="TOCHeading"/>
            <w:jc w:val="center"/>
            <w:rPr>
              <w:rFonts w:ascii="Times New Roman" w:hAnsi="Times New Roman" w:cs="Times New Roman"/>
            </w:rPr>
          </w:pPr>
          <w:r w:rsidRPr="00F45937">
            <w:rPr>
              <w:rFonts w:ascii="Times New Roman" w:hAnsi="Times New Roman" w:cs="Times New Roman"/>
            </w:rPr>
            <w:t>Contents</w:t>
          </w:r>
        </w:p>
        <w:p w14:paraId="2D2B108A" w14:textId="77777777" w:rsidR="00FB08C6" w:rsidRDefault="00FB08C6" w:rsidP="00FB08C6">
          <w:pPr>
            <w:pStyle w:val="TOC1"/>
            <w:tabs>
              <w:tab w:val="right" w:leader="dot" w:pos="129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241590527" w:history="1">
            <w:r w:rsidRPr="00BD521C">
              <w:rPr>
                <w:rStyle w:val="Hyperlink"/>
                <w:noProof/>
              </w:rPr>
              <w:t>Abstract</w:t>
            </w:r>
            <w:r>
              <w:rPr>
                <w:noProof/>
                <w:webHidden/>
              </w:rPr>
              <w:tab/>
            </w:r>
            <w:r>
              <w:rPr>
                <w:noProof/>
                <w:webHidden/>
              </w:rPr>
              <w:fldChar w:fldCharType="begin"/>
            </w:r>
            <w:r>
              <w:rPr>
                <w:noProof/>
                <w:webHidden/>
              </w:rPr>
              <w:instrText xml:space="preserve"> PAGEREF _Toc241590527 \h </w:instrText>
            </w:r>
            <w:r>
              <w:rPr>
                <w:noProof/>
                <w:webHidden/>
              </w:rPr>
            </w:r>
            <w:r>
              <w:rPr>
                <w:noProof/>
                <w:webHidden/>
              </w:rPr>
              <w:fldChar w:fldCharType="separate"/>
            </w:r>
            <w:r>
              <w:rPr>
                <w:noProof/>
                <w:webHidden/>
              </w:rPr>
              <w:t>5</w:t>
            </w:r>
            <w:r>
              <w:rPr>
                <w:noProof/>
                <w:webHidden/>
              </w:rPr>
              <w:fldChar w:fldCharType="end"/>
            </w:r>
          </w:hyperlink>
        </w:p>
        <w:p w14:paraId="68265C64" w14:textId="77777777" w:rsidR="00FB08C6" w:rsidRDefault="00FB08C6" w:rsidP="00FB08C6">
          <w:pPr>
            <w:pStyle w:val="TOC1"/>
            <w:tabs>
              <w:tab w:val="right" w:leader="dot" w:pos="12950"/>
            </w:tabs>
            <w:rPr>
              <w:rFonts w:asciiTheme="minorHAnsi" w:eastAsiaTheme="minorEastAsia" w:hAnsiTheme="minorHAnsi"/>
              <w:noProof/>
              <w:lang w:val="en-GB" w:eastAsia="en-GB"/>
            </w:rPr>
          </w:pPr>
          <w:hyperlink w:anchor="_Toc241590528" w:history="1">
            <w:r w:rsidRPr="00BD521C">
              <w:rPr>
                <w:rStyle w:val="Hyperlink"/>
                <w:noProof/>
              </w:rPr>
              <w:t>Part 1:</w:t>
            </w:r>
            <w:r>
              <w:rPr>
                <w:noProof/>
                <w:webHidden/>
              </w:rPr>
              <w:tab/>
            </w:r>
            <w:r>
              <w:rPr>
                <w:noProof/>
                <w:webHidden/>
              </w:rPr>
              <w:fldChar w:fldCharType="begin"/>
            </w:r>
            <w:r>
              <w:rPr>
                <w:noProof/>
                <w:webHidden/>
              </w:rPr>
              <w:instrText xml:space="preserve"> PAGEREF _Toc241590528 \h </w:instrText>
            </w:r>
            <w:r>
              <w:rPr>
                <w:noProof/>
                <w:webHidden/>
              </w:rPr>
            </w:r>
            <w:r>
              <w:rPr>
                <w:noProof/>
                <w:webHidden/>
              </w:rPr>
              <w:fldChar w:fldCharType="separate"/>
            </w:r>
            <w:r>
              <w:rPr>
                <w:noProof/>
                <w:webHidden/>
              </w:rPr>
              <w:t>6</w:t>
            </w:r>
            <w:r>
              <w:rPr>
                <w:noProof/>
                <w:webHidden/>
              </w:rPr>
              <w:fldChar w:fldCharType="end"/>
            </w:r>
          </w:hyperlink>
        </w:p>
        <w:p w14:paraId="22B35580"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29" w:history="1">
            <w:r w:rsidRPr="00BD521C">
              <w:rPr>
                <w:rStyle w:val="Hyperlink"/>
                <w:noProof/>
              </w:rPr>
              <w:t>Background</w:t>
            </w:r>
            <w:r>
              <w:rPr>
                <w:noProof/>
                <w:webHidden/>
              </w:rPr>
              <w:tab/>
            </w:r>
            <w:r>
              <w:rPr>
                <w:noProof/>
                <w:webHidden/>
              </w:rPr>
              <w:fldChar w:fldCharType="begin"/>
            </w:r>
            <w:r>
              <w:rPr>
                <w:noProof/>
                <w:webHidden/>
              </w:rPr>
              <w:instrText xml:space="preserve"> PAGEREF _Toc241590529 \h </w:instrText>
            </w:r>
            <w:r>
              <w:rPr>
                <w:noProof/>
                <w:webHidden/>
              </w:rPr>
            </w:r>
            <w:r>
              <w:rPr>
                <w:noProof/>
                <w:webHidden/>
              </w:rPr>
              <w:fldChar w:fldCharType="separate"/>
            </w:r>
            <w:r>
              <w:rPr>
                <w:noProof/>
                <w:webHidden/>
              </w:rPr>
              <w:t>6</w:t>
            </w:r>
            <w:r>
              <w:rPr>
                <w:noProof/>
                <w:webHidden/>
              </w:rPr>
              <w:fldChar w:fldCharType="end"/>
            </w:r>
          </w:hyperlink>
        </w:p>
        <w:p w14:paraId="54E3DBED"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30" w:history="1">
            <w:r w:rsidRPr="00BD521C">
              <w:rPr>
                <w:rStyle w:val="Hyperlink"/>
                <w:noProof/>
              </w:rPr>
              <w:t>Aim</w:t>
            </w:r>
            <w:r>
              <w:rPr>
                <w:noProof/>
                <w:webHidden/>
              </w:rPr>
              <w:tab/>
            </w:r>
            <w:r>
              <w:rPr>
                <w:noProof/>
                <w:webHidden/>
              </w:rPr>
              <w:fldChar w:fldCharType="begin"/>
            </w:r>
            <w:r>
              <w:rPr>
                <w:noProof/>
                <w:webHidden/>
              </w:rPr>
              <w:instrText xml:space="preserve"> PAGEREF _Toc241590530 \h </w:instrText>
            </w:r>
            <w:r>
              <w:rPr>
                <w:noProof/>
                <w:webHidden/>
              </w:rPr>
            </w:r>
            <w:r>
              <w:rPr>
                <w:noProof/>
                <w:webHidden/>
              </w:rPr>
              <w:fldChar w:fldCharType="separate"/>
            </w:r>
            <w:r>
              <w:rPr>
                <w:noProof/>
                <w:webHidden/>
              </w:rPr>
              <w:t>7</w:t>
            </w:r>
            <w:r>
              <w:rPr>
                <w:noProof/>
                <w:webHidden/>
              </w:rPr>
              <w:fldChar w:fldCharType="end"/>
            </w:r>
          </w:hyperlink>
        </w:p>
        <w:p w14:paraId="4478F76D"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31" w:history="1">
            <w:r w:rsidRPr="00BD521C">
              <w:rPr>
                <w:rStyle w:val="Hyperlink"/>
                <w:noProof/>
              </w:rPr>
              <w:t>Research Objectives</w:t>
            </w:r>
            <w:r>
              <w:rPr>
                <w:noProof/>
                <w:webHidden/>
              </w:rPr>
              <w:tab/>
            </w:r>
            <w:r>
              <w:rPr>
                <w:noProof/>
                <w:webHidden/>
              </w:rPr>
              <w:fldChar w:fldCharType="begin"/>
            </w:r>
            <w:r>
              <w:rPr>
                <w:noProof/>
                <w:webHidden/>
              </w:rPr>
              <w:instrText xml:space="preserve"> PAGEREF _Toc241590531 \h </w:instrText>
            </w:r>
            <w:r>
              <w:rPr>
                <w:noProof/>
                <w:webHidden/>
              </w:rPr>
            </w:r>
            <w:r>
              <w:rPr>
                <w:noProof/>
                <w:webHidden/>
              </w:rPr>
              <w:fldChar w:fldCharType="separate"/>
            </w:r>
            <w:r>
              <w:rPr>
                <w:noProof/>
                <w:webHidden/>
              </w:rPr>
              <w:t>7</w:t>
            </w:r>
            <w:r>
              <w:rPr>
                <w:noProof/>
                <w:webHidden/>
              </w:rPr>
              <w:fldChar w:fldCharType="end"/>
            </w:r>
          </w:hyperlink>
        </w:p>
        <w:p w14:paraId="6FB8F2C0"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32" w:history="1">
            <w:r w:rsidRPr="00BD521C">
              <w:rPr>
                <w:rStyle w:val="Hyperlink"/>
                <w:noProof/>
              </w:rPr>
              <w:t>Research Questions</w:t>
            </w:r>
            <w:r>
              <w:rPr>
                <w:noProof/>
                <w:webHidden/>
              </w:rPr>
              <w:tab/>
            </w:r>
            <w:r>
              <w:rPr>
                <w:noProof/>
                <w:webHidden/>
              </w:rPr>
              <w:fldChar w:fldCharType="begin"/>
            </w:r>
            <w:r>
              <w:rPr>
                <w:noProof/>
                <w:webHidden/>
              </w:rPr>
              <w:instrText xml:space="preserve"> PAGEREF _Toc241590532 \h </w:instrText>
            </w:r>
            <w:r>
              <w:rPr>
                <w:noProof/>
                <w:webHidden/>
              </w:rPr>
            </w:r>
            <w:r>
              <w:rPr>
                <w:noProof/>
                <w:webHidden/>
              </w:rPr>
              <w:fldChar w:fldCharType="separate"/>
            </w:r>
            <w:r>
              <w:rPr>
                <w:noProof/>
                <w:webHidden/>
              </w:rPr>
              <w:t>7</w:t>
            </w:r>
            <w:r>
              <w:rPr>
                <w:noProof/>
                <w:webHidden/>
              </w:rPr>
              <w:fldChar w:fldCharType="end"/>
            </w:r>
          </w:hyperlink>
        </w:p>
        <w:p w14:paraId="2545AE02"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33" w:history="1">
            <w:r w:rsidRPr="00BD521C">
              <w:rPr>
                <w:rStyle w:val="Hyperlink"/>
                <w:noProof/>
              </w:rPr>
              <w:t>Selected Literature Review Approaches</w:t>
            </w:r>
            <w:r>
              <w:rPr>
                <w:noProof/>
                <w:webHidden/>
              </w:rPr>
              <w:tab/>
            </w:r>
            <w:r>
              <w:rPr>
                <w:noProof/>
                <w:webHidden/>
              </w:rPr>
              <w:fldChar w:fldCharType="begin"/>
            </w:r>
            <w:r>
              <w:rPr>
                <w:noProof/>
                <w:webHidden/>
              </w:rPr>
              <w:instrText xml:space="preserve"> PAGEREF _Toc241590533 \h </w:instrText>
            </w:r>
            <w:r>
              <w:rPr>
                <w:noProof/>
                <w:webHidden/>
              </w:rPr>
            </w:r>
            <w:r>
              <w:rPr>
                <w:noProof/>
                <w:webHidden/>
              </w:rPr>
              <w:fldChar w:fldCharType="separate"/>
            </w:r>
            <w:r>
              <w:rPr>
                <w:noProof/>
                <w:webHidden/>
              </w:rPr>
              <w:t>7</w:t>
            </w:r>
            <w:r>
              <w:rPr>
                <w:noProof/>
                <w:webHidden/>
              </w:rPr>
              <w:fldChar w:fldCharType="end"/>
            </w:r>
          </w:hyperlink>
        </w:p>
        <w:p w14:paraId="7D3138BF"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34" w:history="1">
            <w:r w:rsidRPr="00BD521C">
              <w:rPr>
                <w:rStyle w:val="Hyperlink"/>
                <w:noProof/>
              </w:rPr>
              <w:t>Narrative Literature Review</w:t>
            </w:r>
            <w:r>
              <w:rPr>
                <w:noProof/>
                <w:webHidden/>
              </w:rPr>
              <w:tab/>
            </w:r>
            <w:r>
              <w:rPr>
                <w:noProof/>
                <w:webHidden/>
              </w:rPr>
              <w:fldChar w:fldCharType="begin"/>
            </w:r>
            <w:r>
              <w:rPr>
                <w:noProof/>
                <w:webHidden/>
              </w:rPr>
              <w:instrText xml:space="preserve"> PAGEREF _Toc241590534 \h </w:instrText>
            </w:r>
            <w:r>
              <w:rPr>
                <w:noProof/>
                <w:webHidden/>
              </w:rPr>
            </w:r>
            <w:r>
              <w:rPr>
                <w:noProof/>
                <w:webHidden/>
              </w:rPr>
              <w:fldChar w:fldCharType="separate"/>
            </w:r>
            <w:r>
              <w:rPr>
                <w:noProof/>
                <w:webHidden/>
              </w:rPr>
              <w:t>8</w:t>
            </w:r>
            <w:r>
              <w:rPr>
                <w:noProof/>
                <w:webHidden/>
              </w:rPr>
              <w:fldChar w:fldCharType="end"/>
            </w:r>
          </w:hyperlink>
        </w:p>
        <w:p w14:paraId="645AF62A"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35" w:history="1">
            <w:r w:rsidRPr="00BD521C">
              <w:rPr>
                <w:rStyle w:val="Hyperlink"/>
                <w:noProof/>
              </w:rPr>
              <w:t>Scoping Review</w:t>
            </w:r>
            <w:r>
              <w:rPr>
                <w:noProof/>
                <w:webHidden/>
              </w:rPr>
              <w:tab/>
            </w:r>
            <w:r>
              <w:rPr>
                <w:noProof/>
                <w:webHidden/>
              </w:rPr>
              <w:fldChar w:fldCharType="begin"/>
            </w:r>
            <w:r>
              <w:rPr>
                <w:noProof/>
                <w:webHidden/>
              </w:rPr>
              <w:instrText xml:space="preserve"> PAGEREF _Toc241590535 \h </w:instrText>
            </w:r>
            <w:r>
              <w:rPr>
                <w:noProof/>
                <w:webHidden/>
              </w:rPr>
            </w:r>
            <w:r>
              <w:rPr>
                <w:noProof/>
                <w:webHidden/>
              </w:rPr>
              <w:fldChar w:fldCharType="separate"/>
            </w:r>
            <w:r>
              <w:rPr>
                <w:noProof/>
                <w:webHidden/>
              </w:rPr>
              <w:t>8</w:t>
            </w:r>
            <w:r>
              <w:rPr>
                <w:noProof/>
                <w:webHidden/>
              </w:rPr>
              <w:fldChar w:fldCharType="end"/>
            </w:r>
          </w:hyperlink>
        </w:p>
        <w:p w14:paraId="10A28FFD"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36" w:history="1">
            <w:r w:rsidRPr="00BD521C">
              <w:rPr>
                <w:rStyle w:val="Hyperlink"/>
                <w:noProof/>
              </w:rPr>
              <w:t>Mapping Review</w:t>
            </w:r>
            <w:r>
              <w:rPr>
                <w:noProof/>
                <w:webHidden/>
              </w:rPr>
              <w:tab/>
            </w:r>
            <w:r>
              <w:rPr>
                <w:noProof/>
                <w:webHidden/>
              </w:rPr>
              <w:fldChar w:fldCharType="begin"/>
            </w:r>
            <w:r>
              <w:rPr>
                <w:noProof/>
                <w:webHidden/>
              </w:rPr>
              <w:instrText xml:space="preserve"> PAGEREF _Toc241590536 \h </w:instrText>
            </w:r>
            <w:r>
              <w:rPr>
                <w:noProof/>
                <w:webHidden/>
              </w:rPr>
            </w:r>
            <w:r>
              <w:rPr>
                <w:noProof/>
                <w:webHidden/>
              </w:rPr>
              <w:fldChar w:fldCharType="separate"/>
            </w:r>
            <w:r>
              <w:rPr>
                <w:noProof/>
                <w:webHidden/>
              </w:rPr>
              <w:t>9</w:t>
            </w:r>
            <w:r>
              <w:rPr>
                <w:noProof/>
                <w:webHidden/>
              </w:rPr>
              <w:fldChar w:fldCharType="end"/>
            </w:r>
          </w:hyperlink>
        </w:p>
        <w:p w14:paraId="477A9182"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37" w:history="1">
            <w:r w:rsidRPr="00BD521C">
              <w:rPr>
                <w:rStyle w:val="Hyperlink"/>
                <w:noProof/>
              </w:rPr>
              <w:t>Selection and Justification of the Narrative Literature Review</w:t>
            </w:r>
            <w:r>
              <w:rPr>
                <w:noProof/>
                <w:webHidden/>
              </w:rPr>
              <w:tab/>
            </w:r>
            <w:r>
              <w:rPr>
                <w:noProof/>
                <w:webHidden/>
              </w:rPr>
              <w:fldChar w:fldCharType="begin"/>
            </w:r>
            <w:r>
              <w:rPr>
                <w:noProof/>
                <w:webHidden/>
              </w:rPr>
              <w:instrText xml:space="preserve"> PAGEREF _Toc241590537 \h </w:instrText>
            </w:r>
            <w:r>
              <w:rPr>
                <w:noProof/>
                <w:webHidden/>
              </w:rPr>
            </w:r>
            <w:r>
              <w:rPr>
                <w:noProof/>
                <w:webHidden/>
              </w:rPr>
              <w:fldChar w:fldCharType="separate"/>
            </w:r>
            <w:r>
              <w:rPr>
                <w:noProof/>
                <w:webHidden/>
              </w:rPr>
              <w:t>10</w:t>
            </w:r>
            <w:r>
              <w:rPr>
                <w:noProof/>
                <w:webHidden/>
              </w:rPr>
              <w:fldChar w:fldCharType="end"/>
            </w:r>
          </w:hyperlink>
        </w:p>
        <w:p w14:paraId="442D15B2" w14:textId="77777777" w:rsidR="00FB08C6" w:rsidRDefault="00FB08C6" w:rsidP="00FB08C6">
          <w:pPr>
            <w:pStyle w:val="TOC1"/>
            <w:tabs>
              <w:tab w:val="right" w:leader="dot" w:pos="12950"/>
            </w:tabs>
            <w:rPr>
              <w:rFonts w:asciiTheme="minorHAnsi" w:eastAsiaTheme="minorEastAsia" w:hAnsiTheme="minorHAnsi"/>
              <w:noProof/>
              <w:lang w:val="en-GB" w:eastAsia="en-GB"/>
            </w:rPr>
          </w:pPr>
          <w:hyperlink w:anchor="_Toc241590538" w:history="1">
            <w:r w:rsidRPr="00BD521C">
              <w:rPr>
                <w:rStyle w:val="Hyperlink"/>
                <w:noProof/>
              </w:rPr>
              <w:t>Part 2:</w:t>
            </w:r>
            <w:r>
              <w:rPr>
                <w:noProof/>
                <w:webHidden/>
              </w:rPr>
              <w:tab/>
            </w:r>
            <w:r>
              <w:rPr>
                <w:noProof/>
                <w:webHidden/>
              </w:rPr>
              <w:fldChar w:fldCharType="begin"/>
            </w:r>
            <w:r>
              <w:rPr>
                <w:noProof/>
                <w:webHidden/>
              </w:rPr>
              <w:instrText xml:space="preserve"> PAGEREF _Toc241590538 \h </w:instrText>
            </w:r>
            <w:r>
              <w:rPr>
                <w:noProof/>
                <w:webHidden/>
              </w:rPr>
            </w:r>
            <w:r>
              <w:rPr>
                <w:noProof/>
                <w:webHidden/>
              </w:rPr>
              <w:fldChar w:fldCharType="separate"/>
            </w:r>
            <w:r>
              <w:rPr>
                <w:noProof/>
                <w:webHidden/>
              </w:rPr>
              <w:t>13</w:t>
            </w:r>
            <w:r>
              <w:rPr>
                <w:noProof/>
                <w:webHidden/>
              </w:rPr>
              <w:fldChar w:fldCharType="end"/>
            </w:r>
          </w:hyperlink>
        </w:p>
        <w:p w14:paraId="10A635F8"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39" w:history="1">
            <w:r w:rsidRPr="00BD521C">
              <w:rPr>
                <w:rStyle w:val="Hyperlink"/>
                <w:noProof/>
              </w:rPr>
              <w:t>Critical Literature Review – 100-Paper Evidence Table</w:t>
            </w:r>
            <w:r>
              <w:rPr>
                <w:noProof/>
                <w:webHidden/>
              </w:rPr>
              <w:tab/>
            </w:r>
            <w:r>
              <w:rPr>
                <w:noProof/>
                <w:webHidden/>
              </w:rPr>
              <w:fldChar w:fldCharType="begin"/>
            </w:r>
            <w:r>
              <w:rPr>
                <w:noProof/>
                <w:webHidden/>
              </w:rPr>
              <w:instrText xml:space="preserve"> PAGEREF _Toc241590539 \h </w:instrText>
            </w:r>
            <w:r>
              <w:rPr>
                <w:noProof/>
                <w:webHidden/>
              </w:rPr>
            </w:r>
            <w:r>
              <w:rPr>
                <w:noProof/>
                <w:webHidden/>
              </w:rPr>
              <w:fldChar w:fldCharType="separate"/>
            </w:r>
            <w:r>
              <w:rPr>
                <w:noProof/>
                <w:webHidden/>
              </w:rPr>
              <w:t>13</w:t>
            </w:r>
            <w:r>
              <w:rPr>
                <w:noProof/>
                <w:webHidden/>
              </w:rPr>
              <w:fldChar w:fldCharType="end"/>
            </w:r>
          </w:hyperlink>
        </w:p>
        <w:p w14:paraId="53711893" w14:textId="77777777" w:rsidR="00FB08C6" w:rsidRDefault="00FB08C6" w:rsidP="00FB08C6">
          <w:pPr>
            <w:pStyle w:val="TOC1"/>
            <w:tabs>
              <w:tab w:val="right" w:leader="dot" w:pos="12950"/>
            </w:tabs>
            <w:rPr>
              <w:rFonts w:asciiTheme="minorHAnsi" w:eastAsiaTheme="minorEastAsia" w:hAnsiTheme="minorHAnsi"/>
              <w:noProof/>
              <w:lang w:val="en-GB" w:eastAsia="en-GB"/>
            </w:rPr>
          </w:pPr>
          <w:hyperlink w:anchor="_Toc241590540" w:history="1">
            <w:r w:rsidRPr="00BD521C">
              <w:rPr>
                <w:rStyle w:val="Hyperlink"/>
                <w:noProof/>
              </w:rPr>
              <w:t>Part 3:</w:t>
            </w:r>
            <w:r>
              <w:rPr>
                <w:noProof/>
                <w:webHidden/>
              </w:rPr>
              <w:tab/>
            </w:r>
            <w:r>
              <w:rPr>
                <w:noProof/>
                <w:webHidden/>
              </w:rPr>
              <w:fldChar w:fldCharType="begin"/>
            </w:r>
            <w:r>
              <w:rPr>
                <w:noProof/>
                <w:webHidden/>
              </w:rPr>
              <w:instrText xml:space="preserve"> PAGEREF _Toc241590540 \h </w:instrText>
            </w:r>
            <w:r>
              <w:rPr>
                <w:noProof/>
                <w:webHidden/>
              </w:rPr>
            </w:r>
            <w:r>
              <w:rPr>
                <w:noProof/>
                <w:webHidden/>
              </w:rPr>
              <w:fldChar w:fldCharType="separate"/>
            </w:r>
            <w:r>
              <w:rPr>
                <w:noProof/>
                <w:webHidden/>
              </w:rPr>
              <w:t>34</w:t>
            </w:r>
            <w:r>
              <w:rPr>
                <w:noProof/>
                <w:webHidden/>
              </w:rPr>
              <w:fldChar w:fldCharType="end"/>
            </w:r>
          </w:hyperlink>
        </w:p>
        <w:p w14:paraId="34C8A30F"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41" w:history="1">
            <w:r w:rsidRPr="00BD521C">
              <w:rPr>
                <w:rStyle w:val="Hyperlink"/>
                <w:noProof/>
              </w:rPr>
              <w:t>3.1 Introduction</w:t>
            </w:r>
            <w:r>
              <w:rPr>
                <w:noProof/>
                <w:webHidden/>
              </w:rPr>
              <w:tab/>
            </w:r>
            <w:r>
              <w:rPr>
                <w:noProof/>
                <w:webHidden/>
              </w:rPr>
              <w:fldChar w:fldCharType="begin"/>
            </w:r>
            <w:r>
              <w:rPr>
                <w:noProof/>
                <w:webHidden/>
              </w:rPr>
              <w:instrText xml:space="preserve"> PAGEREF _Toc241590541 \h </w:instrText>
            </w:r>
            <w:r>
              <w:rPr>
                <w:noProof/>
                <w:webHidden/>
              </w:rPr>
            </w:r>
            <w:r>
              <w:rPr>
                <w:noProof/>
                <w:webHidden/>
              </w:rPr>
              <w:fldChar w:fldCharType="separate"/>
            </w:r>
            <w:r>
              <w:rPr>
                <w:noProof/>
                <w:webHidden/>
              </w:rPr>
              <w:t>34</w:t>
            </w:r>
            <w:r>
              <w:rPr>
                <w:noProof/>
                <w:webHidden/>
              </w:rPr>
              <w:fldChar w:fldCharType="end"/>
            </w:r>
          </w:hyperlink>
        </w:p>
        <w:p w14:paraId="10244042"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42" w:history="1">
            <w:r w:rsidRPr="00BD521C">
              <w:rPr>
                <w:rStyle w:val="Hyperlink"/>
                <w:noProof/>
              </w:rPr>
              <w:t>3.2 Theoretical Foundation: Social Identity Perspective</w:t>
            </w:r>
            <w:r>
              <w:rPr>
                <w:noProof/>
                <w:webHidden/>
              </w:rPr>
              <w:tab/>
            </w:r>
            <w:r>
              <w:rPr>
                <w:noProof/>
                <w:webHidden/>
              </w:rPr>
              <w:fldChar w:fldCharType="begin"/>
            </w:r>
            <w:r>
              <w:rPr>
                <w:noProof/>
                <w:webHidden/>
              </w:rPr>
              <w:instrText xml:space="preserve"> PAGEREF _Toc241590542 \h </w:instrText>
            </w:r>
            <w:r>
              <w:rPr>
                <w:noProof/>
                <w:webHidden/>
              </w:rPr>
            </w:r>
            <w:r>
              <w:rPr>
                <w:noProof/>
                <w:webHidden/>
              </w:rPr>
              <w:fldChar w:fldCharType="separate"/>
            </w:r>
            <w:r>
              <w:rPr>
                <w:noProof/>
                <w:webHidden/>
              </w:rPr>
              <w:t>34</w:t>
            </w:r>
            <w:r>
              <w:rPr>
                <w:noProof/>
                <w:webHidden/>
              </w:rPr>
              <w:fldChar w:fldCharType="end"/>
            </w:r>
          </w:hyperlink>
        </w:p>
        <w:p w14:paraId="59C1D43B"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43" w:history="1">
            <w:r w:rsidRPr="00BD521C">
              <w:rPr>
                <w:rStyle w:val="Hyperlink"/>
                <w:noProof/>
              </w:rPr>
              <w:t>3.3 Methodology</w:t>
            </w:r>
            <w:r>
              <w:rPr>
                <w:noProof/>
                <w:webHidden/>
              </w:rPr>
              <w:tab/>
            </w:r>
            <w:r>
              <w:rPr>
                <w:noProof/>
                <w:webHidden/>
              </w:rPr>
              <w:fldChar w:fldCharType="begin"/>
            </w:r>
            <w:r>
              <w:rPr>
                <w:noProof/>
                <w:webHidden/>
              </w:rPr>
              <w:instrText xml:space="preserve"> PAGEREF _Toc241590543 \h </w:instrText>
            </w:r>
            <w:r>
              <w:rPr>
                <w:noProof/>
                <w:webHidden/>
              </w:rPr>
            </w:r>
            <w:r>
              <w:rPr>
                <w:noProof/>
                <w:webHidden/>
              </w:rPr>
              <w:fldChar w:fldCharType="separate"/>
            </w:r>
            <w:r>
              <w:rPr>
                <w:noProof/>
                <w:webHidden/>
              </w:rPr>
              <w:t>35</w:t>
            </w:r>
            <w:r>
              <w:rPr>
                <w:noProof/>
                <w:webHidden/>
              </w:rPr>
              <w:fldChar w:fldCharType="end"/>
            </w:r>
          </w:hyperlink>
        </w:p>
        <w:p w14:paraId="7BF7B45F" w14:textId="77777777" w:rsidR="00FB08C6" w:rsidRDefault="00FB08C6" w:rsidP="00FB08C6">
          <w:pPr>
            <w:pStyle w:val="TOC3"/>
            <w:tabs>
              <w:tab w:val="right" w:leader="dot" w:pos="12950"/>
            </w:tabs>
            <w:rPr>
              <w:rFonts w:asciiTheme="minorHAnsi" w:eastAsiaTheme="minorEastAsia" w:hAnsiTheme="minorHAnsi"/>
              <w:noProof/>
              <w:lang w:val="en-GB" w:eastAsia="en-GB"/>
            </w:rPr>
          </w:pPr>
          <w:hyperlink w:anchor="_Toc241590544" w:history="1">
            <w:r w:rsidRPr="00BD521C">
              <w:rPr>
                <w:rStyle w:val="Hyperlink"/>
                <w:noProof/>
              </w:rPr>
              <w:t>Journal/Data Retrieval Process</w:t>
            </w:r>
            <w:r>
              <w:rPr>
                <w:noProof/>
                <w:webHidden/>
              </w:rPr>
              <w:tab/>
            </w:r>
            <w:r>
              <w:rPr>
                <w:noProof/>
                <w:webHidden/>
              </w:rPr>
              <w:fldChar w:fldCharType="begin"/>
            </w:r>
            <w:r>
              <w:rPr>
                <w:noProof/>
                <w:webHidden/>
              </w:rPr>
              <w:instrText xml:space="preserve"> PAGEREF _Toc241590544 \h </w:instrText>
            </w:r>
            <w:r>
              <w:rPr>
                <w:noProof/>
                <w:webHidden/>
              </w:rPr>
            </w:r>
            <w:r>
              <w:rPr>
                <w:noProof/>
                <w:webHidden/>
              </w:rPr>
              <w:fldChar w:fldCharType="separate"/>
            </w:r>
            <w:r>
              <w:rPr>
                <w:noProof/>
                <w:webHidden/>
              </w:rPr>
              <w:t>35</w:t>
            </w:r>
            <w:r>
              <w:rPr>
                <w:noProof/>
                <w:webHidden/>
              </w:rPr>
              <w:fldChar w:fldCharType="end"/>
            </w:r>
          </w:hyperlink>
        </w:p>
        <w:p w14:paraId="68CF91A7" w14:textId="77777777" w:rsidR="00FB08C6" w:rsidRDefault="00FB08C6" w:rsidP="00FB08C6">
          <w:pPr>
            <w:pStyle w:val="TOC3"/>
            <w:tabs>
              <w:tab w:val="right" w:leader="dot" w:pos="12950"/>
            </w:tabs>
            <w:rPr>
              <w:rFonts w:asciiTheme="minorHAnsi" w:eastAsiaTheme="minorEastAsia" w:hAnsiTheme="minorHAnsi"/>
              <w:noProof/>
              <w:lang w:val="en-GB" w:eastAsia="en-GB"/>
            </w:rPr>
          </w:pPr>
          <w:hyperlink w:anchor="_Toc241590545" w:history="1">
            <w:r w:rsidRPr="00BD521C">
              <w:rPr>
                <w:rStyle w:val="Hyperlink"/>
                <w:noProof/>
              </w:rPr>
              <w:t>Findings from Part 2</w:t>
            </w:r>
            <w:r>
              <w:rPr>
                <w:noProof/>
                <w:webHidden/>
              </w:rPr>
              <w:tab/>
            </w:r>
            <w:r>
              <w:rPr>
                <w:noProof/>
                <w:webHidden/>
              </w:rPr>
              <w:fldChar w:fldCharType="begin"/>
            </w:r>
            <w:r>
              <w:rPr>
                <w:noProof/>
                <w:webHidden/>
              </w:rPr>
              <w:instrText xml:space="preserve"> PAGEREF _Toc241590545 \h </w:instrText>
            </w:r>
            <w:r>
              <w:rPr>
                <w:noProof/>
                <w:webHidden/>
              </w:rPr>
            </w:r>
            <w:r>
              <w:rPr>
                <w:noProof/>
                <w:webHidden/>
              </w:rPr>
              <w:fldChar w:fldCharType="separate"/>
            </w:r>
            <w:r>
              <w:rPr>
                <w:noProof/>
                <w:webHidden/>
              </w:rPr>
              <w:t>35</w:t>
            </w:r>
            <w:r>
              <w:rPr>
                <w:noProof/>
                <w:webHidden/>
              </w:rPr>
              <w:fldChar w:fldCharType="end"/>
            </w:r>
          </w:hyperlink>
        </w:p>
        <w:p w14:paraId="7E13984B" w14:textId="77777777" w:rsidR="00FB08C6" w:rsidRDefault="00FB08C6" w:rsidP="00FB08C6">
          <w:pPr>
            <w:pStyle w:val="TOC3"/>
            <w:tabs>
              <w:tab w:val="right" w:leader="dot" w:pos="12950"/>
            </w:tabs>
            <w:rPr>
              <w:rFonts w:asciiTheme="minorHAnsi" w:eastAsiaTheme="minorEastAsia" w:hAnsiTheme="minorHAnsi"/>
              <w:noProof/>
              <w:lang w:val="en-GB" w:eastAsia="en-GB"/>
            </w:rPr>
          </w:pPr>
          <w:hyperlink w:anchor="_Toc241590546" w:history="1">
            <w:r w:rsidRPr="00BD521C">
              <w:rPr>
                <w:rStyle w:val="Hyperlink"/>
                <w:noProof/>
              </w:rPr>
              <w:t>Defining Key Terms</w:t>
            </w:r>
            <w:r>
              <w:rPr>
                <w:noProof/>
                <w:webHidden/>
              </w:rPr>
              <w:tab/>
            </w:r>
            <w:r>
              <w:rPr>
                <w:noProof/>
                <w:webHidden/>
              </w:rPr>
              <w:fldChar w:fldCharType="begin"/>
            </w:r>
            <w:r>
              <w:rPr>
                <w:noProof/>
                <w:webHidden/>
              </w:rPr>
              <w:instrText xml:space="preserve"> PAGEREF _Toc241590546 \h </w:instrText>
            </w:r>
            <w:r>
              <w:rPr>
                <w:noProof/>
                <w:webHidden/>
              </w:rPr>
            </w:r>
            <w:r>
              <w:rPr>
                <w:noProof/>
                <w:webHidden/>
              </w:rPr>
              <w:fldChar w:fldCharType="separate"/>
            </w:r>
            <w:r>
              <w:rPr>
                <w:noProof/>
                <w:webHidden/>
              </w:rPr>
              <w:t>36</w:t>
            </w:r>
            <w:r>
              <w:rPr>
                <w:noProof/>
                <w:webHidden/>
              </w:rPr>
              <w:fldChar w:fldCharType="end"/>
            </w:r>
          </w:hyperlink>
        </w:p>
        <w:p w14:paraId="50C67346" w14:textId="77777777" w:rsidR="00FB08C6" w:rsidRDefault="00FB08C6" w:rsidP="00FB08C6">
          <w:pPr>
            <w:pStyle w:val="TOC3"/>
            <w:tabs>
              <w:tab w:val="right" w:leader="dot" w:pos="12950"/>
            </w:tabs>
            <w:rPr>
              <w:rFonts w:asciiTheme="minorHAnsi" w:eastAsiaTheme="minorEastAsia" w:hAnsiTheme="minorHAnsi"/>
              <w:noProof/>
              <w:lang w:val="en-GB" w:eastAsia="en-GB"/>
            </w:rPr>
          </w:pPr>
          <w:hyperlink w:anchor="_Toc241590547" w:history="1">
            <w:r w:rsidRPr="00BD521C">
              <w:rPr>
                <w:rStyle w:val="Hyperlink"/>
                <w:noProof/>
              </w:rPr>
              <w:t>Dimensions of Food Culture</w:t>
            </w:r>
            <w:r>
              <w:rPr>
                <w:noProof/>
                <w:webHidden/>
              </w:rPr>
              <w:tab/>
            </w:r>
            <w:r>
              <w:rPr>
                <w:noProof/>
                <w:webHidden/>
              </w:rPr>
              <w:fldChar w:fldCharType="begin"/>
            </w:r>
            <w:r>
              <w:rPr>
                <w:noProof/>
                <w:webHidden/>
              </w:rPr>
              <w:instrText xml:space="preserve"> PAGEREF _Toc241590547 \h </w:instrText>
            </w:r>
            <w:r>
              <w:rPr>
                <w:noProof/>
                <w:webHidden/>
              </w:rPr>
            </w:r>
            <w:r>
              <w:rPr>
                <w:noProof/>
                <w:webHidden/>
              </w:rPr>
              <w:fldChar w:fldCharType="separate"/>
            </w:r>
            <w:r>
              <w:rPr>
                <w:noProof/>
                <w:webHidden/>
              </w:rPr>
              <w:t>37</w:t>
            </w:r>
            <w:r>
              <w:rPr>
                <w:noProof/>
                <w:webHidden/>
              </w:rPr>
              <w:fldChar w:fldCharType="end"/>
            </w:r>
          </w:hyperlink>
        </w:p>
        <w:p w14:paraId="68413259" w14:textId="77777777" w:rsidR="00FB08C6" w:rsidRDefault="00FB08C6" w:rsidP="00FB08C6">
          <w:pPr>
            <w:pStyle w:val="TOC3"/>
            <w:tabs>
              <w:tab w:val="right" w:leader="dot" w:pos="12950"/>
            </w:tabs>
            <w:rPr>
              <w:rFonts w:asciiTheme="minorHAnsi" w:eastAsiaTheme="minorEastAsia" w:hAnsiTheme="minorHAnsi"/>
              <w:noProof/>
              <w:lang w:val="en-GB" w:eastAsia="en-GB"/>
            </w:rPr>
          </w:pPr>
          <w:hyperlink w:anchor="_Toc241590548" w:history="1">
            <w:r w:rsidRPr="00BD521C">
              <w:rPr>
                <w:rStyle w:val="Hyperlink"/>
                <w:noProof/>
              </w:rPr>
              <w:t>Family, Social Influence and Intergenerational Food Practices</w:t>
            </w:r>
            <w:r>
              <w:rPr>
                <w:noProof/>
                <w:webHidden/>
              </w:rPr>
              <w:tab/>
            </w:r>
            <w:r>
              <w:rPr>
                <w:noProof/>
                <w:webHidden/>
              </w:rPr>
              <w:fldChar w:fldCharType="begin"/>
            </w:r>
            <w:r>
              <w:rPr>
                <w:noProof/>
                <w:webHidden/>
              </w:rPr>
              <w:instrText xml:space="preserve"> PAGEREF _Toc241590548 \h </w:instrText>
            </w:r>
            <w:r>
              <w:rPr>
                <w:noProof/>
                <w:webHidden/>
              </w:rPr>
            </w:r>
            <w:r>
              <w:rPr>
                <w:noProof/>
                <w:webHidden/>
              </w:rPr>
              <w:fldChar w:fldCharType="separate"/>
            </w:r>
            <w:r>
              <w:rPr>
                <w:noProof/>
                <w:webHidden/>
              </w:rPr>
              <w:t>38</w:t>
            </w:r>
            <w:r>
              <w:rPr>
                <w:noProof/>
                <w:webHidden/>
              </w:rPr>
              <w:fldChar w:fldCharType="end"/>
            </w:r>
          </w:hyperlink>
        </w:p>
        <w:p w14:paraId="28356C15" w14:textId="77777777" w:rsidR="00FB08C6" w:rsidRDefault="00FB08C6" w:rsidP="00FB08C6">
          <w:pPr>
            <w:pStyle w:val="TOC3"/>
            <w:tabs>
              <w:tab w:val="right" w:leader="dot" w:pos="12950"/>
            </w:tabs>
            <w:rPr>
              <w:rFonts w:asciiTheme="minorHAnsi" w:eastAsiaTheme="minorEastAsia" w:hAnsiTheme="minorHAnsi"/>
              <w:noProof/>
              <w:lang w:val="en-GB" w:eastAsia="en-GB"/>
            </w:rPr>
          </w:pPr>
          <w:hyperlink w:anchor="_Toc241590549" w:history="1">
            <w:r w:rsidRPr="00BD521C">
              <w:rPr>
                <w:rStyle w:val="Hyperlink"/>
                <w:noProof/>
              </w:rPr>
              <w:t>Cultural Identity and Food-Related Identity</w:t>
            </w:r>
            <w:r>
              <w:rPr>
                <w:noProof/>
                <w:webHidden/>
              </w:rPr>
              <w:tab/>
            </w:r>
            <w:r>
              <w:rPr>
                <w:noProof/>
                <w:webHidden/>
              </w:rPr>
              <w:fldChar w:fldCharType="begin"/>
            </w:r>
            <w:r>
              <w:rPr>
                <w:noProof/>
                <w:webHidden/>
              </w:rPr>
              <w:instrText xml:space="preserve"> PAGEREF _Toc241590549 \h </w:instrText>
            </w:r>
            <w:r>
              <w:rPr>
                <w:noProof/>
                <w:webHidden/>
              </w:rPr>
            </w:r>
            <w:r>
              <w:rPr>
                <w:noProof/>
                <w:webHidden/>
              </w:rPr>
              <w:fldChar w:fldCharType="separate"/>
            </w:r>
            <w:r>
              <w:rPr>
                <w:noProof/>
                <w:webHidden/>
              </w:rPr>
              <w:t>39</w:t>
            </w:r>
            <w:r>
              <w:rPr>
                <w:noProof/>
                <w:webHidden/>
              </w:rPr>
              <w:fldChar w:fldCharType="end"/>
            </w:r>
          </w:hyperlink>
        </w:p>
        <w:p w14:paraId="24801CC0" w14:textId="77777777" w:rsidR="00FB08C6" w:rsidRDefault="00FB08C6" w:rsidP="00FB08C6">
          <w:pPr>
            <w:pStyle w:val="TOC3"/>
            <w:tabs>
              <w:tab w:val="right" w:leader="dot" w:pos="12950"/>
            </w:tabs>
            <w:rPr>
              <w:rFonts w:asciiTheme="minorHAnsi" w:eastAsiaTheme="minorEastAsia" w:hAnsiTheme="minorHAnsi"/>
              <w:noProof/>
              <w:lang w:val="en-GB" w:eastAsia="en-GB"/>
            </w:rPr>
          </w:pPr>
          <w:hyperlink w:anchor="_Toc241590550" w:history="1">
            <w:r w:rsidRPr="00BD521C">
              <w:rPr>
                <w:rStyle w:val="Hyperlink"/>
                <w:noProof/>
              </w:rPr>
              <w:t>Food Culture and Cultural Continuity</w:t>
            </w:r>
            <w:r>
              <w:rPr>
                <w:noProof/>
                <w:webHidden/>
              </w:rPr>
              <w:tab/>
            </w:r>
            <w:r>
              <w:rPr>
                <w:noProof/>
                <w:webHidden/>
              </w:rPr>
              <w:fldChar w:fldCharType="begin"/>
            </w:r>
            <w:r>
              <w:rPr>
                <w:noProof/>
                <w:webHidden/>
              </w:rPr>
              <w:instrText xml:space="preserve"> PAGEREF _Toc241590550 \h </w:instrText>
            </w:r>
            <w:r>
              <w:rPr>
                <w:noProof/>
                <w:webHidden/>
              </w:rPr>
            </w:r>
            <w:r>
              <w:rPr>
                <w:noProof/>
                <w:webHidden/>
              </w:rPr>
              <w:fldChar w:fldCharType="separate"/>
            </w:r>
            <w:r>
              <w:rPr>
                <w:noProof/>
                <w:webHidden/>
              </w:rPr>
              <w:t>40</w:t>
            </w:r>
            <w:r>
              <w:rPr>
                <w:noProof/>
                <w:webHidden/>
              </w:rPr>
              <w:fldChar w:fldCharType="end"/>
            </w:r>
          </w:hyperlink>
        </w:p>
        <w:p w14:paraId="61DBB14A" w14:textId="77777777" w:rsidR="00FB08C6" w:rsidRDefault="00FB08C6" w:rsidP="00FB08C6">
          <w:pPr>
            <w:pStyle w:val="TOC3"/>
            <w:tabs>
              <w:tab w:val="right" w:leader="dot" w:pos="12950"/>
            </w:tabs>
            <w:rPr>
              <w:rFonts w:asciiTheme="minorHAnsi" w:eastAsiaTheme="minorEastAsia" w:hAnsiTheme="minorHAnsi"/>
              <w:noProof/>
              <w:lang w:val="en-GB" w:eastAsia="en-GB"/>
            </w:rPr>
          </w:pPr>
          <w:hyperlink w:anchor="_Toc241590551" w:history="1">
            <w:r w:rsidRPr="00BD521C">
              <w:rPr>
                <w:rStyle w:val="Hyperlink"/>
                <w:noProof/>
              </w:rPr>
              <w:t>Food Culture, Adaptation and Change</w:t>
            </w:r>
            <w:r>
              <w:rPr>
                <w:noProof/>
                <w:webHidden/>
              </w:rPr>
              <w:tab/>
            </w:r>
            <w:r>
              <w:rPr>
                <w:noProof/>
                <w:webHidden/>
              </w:rPr>
              <w:fldChar w:fldCharType="begin"/>
            </w:r>
            <w:r>
              <w:rPr>
                <w:noProof/>
                <w:webHidden/>
              </w:rPr>
              <w:instrText xml:space="preserve"> PAGEREF _Toc241590551 \h </w:instrText>
            </w:r>
            <w:r>
              <w:rPr>
                <w:noProof/>
                <w:webHidden/>
              </w:rPr>
            </w:r>
            <w:r>
              <w:rPr>
                <w:noProof/>
                <w:webHidden/>
              </w:rPr>
              <w:fldChar w:fldCharType="separate"/>
            </w:r>
            <w:r>
              <w:rPr>
                <w:noProof/>
                <w:webHidden/>
              </w:rPr>
              <w:t>40</w:t>
            </w:r>
            <w:r>
              <w:rPr>
                <w:noProof/>
                <w:webHidden/>
              </w:rPr>
              <w:fldChar w:fldCharType="end"/>
            </w:r>
          </w:hyperlink>
        </w:p>
        <w:p w14:paraId="442D3EEC"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52" w:history="1">
            <w:r w:rsidRPr="00BD521C">
              <w:rPr>
                <w:rStyle w:val="Hyperlink"/>
                <w:noProof/>
              </w:rPr>
              <w:t>3.4 Analysis and Discussion</w:t>
            </w:r>
            <w:r>
              <w:rPr>
                <w:noProof/>
                <w:webHidden/>
              </w:rPr>
              <w:tab/>
            </w:r>
            <w:r>
              <w:rPr>
                <w:noProof/>
                <w:webHidden/>
              </w:rPr>
              <w:fldChar w:fldCharType="begin"/>
            </w:r>
            <w:r>
              <w:rPr>
                <w:noProof/>
                <w:webHidden/>
              </w:rPr>
              <w:instrText xml:space="preserve"> PAGEREF _Toc241590552 \h </w:instrText>
            </w:r>
            <w:r>
              <w:rPr>
                <w:noProof/>
                <w:webHidden/>
              </w:rPr>
            </w:r>
            <w:r>
              <w:rPr>
                <w:noProof/>
                <w:webHidden/>
              </w:rPr>
              <w:fldChar w:fldCharType="separate"/>
            </w:r>
            <w:r>
              <w:rPr>
                <w:noProof/>
                <w:webHidden/>
              </w:rPr>
              <w:t>41</w:t>
            </w:r>
            <w:r>
              <w:rPr>
                <w:noProof/>
                <w:webHidden/>
              </w:rPr>
              <w:fldChar w:fldCharType="end"/>
            </w:r>
          </w:hyperlink>
        </w:p>
        <w:p w14:paraId="16D3B1D0"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53" w:history="1">
            <w:r w:rsidRPr="00BD521C">
              <w:rPr>
                <w:rStyle w:val="Hyperlink"/>
                <w:noProof/>
              </w:rPr>
              <w:t>3.5 Research Gaps and Contributions</w:t>
            </w:r>
            <w:r>
              <w:rPr>
                <w:noProof/>
                <w:webHidden/>
              </w:rPr>
              <w:tab/>
            </w:r>
            <w:r>
              <w:rPr>
                <w:noProof/>
                <w:webHidden/>
              </w:rPr>
              <w:fldChar w:fldCharType="begin"/>
            </w:r>
            <w:r>
              <w:rPr>
                <w:noProof/>
                <w:webHidden/>
              </w:rPr>
              <w:instrText xml:space="preserve"> PAGEREF _Toc241590553 \h </w:instrText>
            </w:r>
            <w:r>
              <w:rPr>
                <w:noProof/>
                <w:webHidden/>
              </w:rPr>
            </w:r>
            <w:r>
              <w:rPr>
                <w:noProof/>
                <w:webHidden/>
              </w:rPr>
              <w:fldChar w:fldCharType="separate"/>
            </w:r>
            <w:r>
              <w:rPr>
                <w:noProof/>
                <w:webHidden/>
              </w:rPr>
              <w:t>42</w:t>
            </w:r>
            <w:r>
              <w:rPr>
                <w:noProof/>
                <w:webHidden/>
              </w:rPr>
              <w:fldChar w:fldCharType="end"/>
            </w:r>
          </w:hyperlink>
        </w:p>
        <w:p w14:paraId="52593661"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54" w:history="1">
            <w:r w:rsidRPr="00BD521C">
              <w:rPr>
                <w:rStyle w:val="Hyperlink"/>
                <w:noProof/>
              </w:rPr>
              <w:t>3.6 Conclusion and Limitations</w:t>
            </w:r>
            <w:r>
              <w:rPr>
                <w:noProof/>
                <w:webHidden/>
              </w:rPr>
              <w:tab/>
            </w:r>
            <w:r>
              <w:rPr>
                <w:noProof/>
                <w:webHidden/>
              </w:rPr>
              <w:fldChar w:fldCharType="begin"/>
            </w:r>
            <w:r>
              <w:rPr>
                <w:noProof/>
                <w:webHidden/>
              </w:rPr>
              <w:instrText xml:space="preserve"> PAGEREF _Toc241590554 \h </w:instrText>
            </w:r>
            <w:r>
              <w:rPr>
                <w:noProof/>
                <w:webHidden/>
              </w:rPr>
            </w:r>
            <w:r>
              <w:rPr>
                <w:noProof/>
                <w:webHidden/>
              </w:rPr>
              <w:fldChar w:fldCharType="separate"/>
            </w:r>
            <w:r>
              <w:rPr>
                <w:noProof/>
                <w:webHidden/>
              </w:rPr>
              <w:t>43</w:t>
            </w:r>
            <w:r>
              <w:rPr>
                <w:noProof/>
                <w:webHidden/>
              </w:rPr>
              <w:fldChar w:fldCharType="end"/>
            </w:r>
          </w:hyperlink>
        </w:p>
        <w:p w14:paraId="4387FB75"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55" w:history="1">
            <w:r w:rsidRPr="00BD521C">
              <w:rPr>
                <w:rStyle w:val="Hyperlink"/>
                <w:noProof/>
              </w:rPr>
              <w:t>References (Part 3):</w:t>
            </w:r>
            <w:r>
              <w:rPr>
                <w:noProof/>
                <w:webHidden/>
              </w:rPr>
              <w:tab/>
            </w:r>
            <w:r>
              <w:rPr>
                <w:noProof/>
                <w:webHidden/>
              </w:rPr>
              <w:fldChar w:fldCharType="begin"/>
            </w:r>
            <w:r>
              <w:rPr>
                <w:noProof/>
                <w:webHidden/>
              </w:rPr>
              <w:instrText xml:space="preserve"> PAGEREF _Toc241590555 \h </w:instrText>
            </w:r>
            <w:r>
              <w:rPr>
                <w:noProof/>
                <w:webHidden/>
              </w:rPr>
            </w:r>
            <w:r>
              <w:rPr>
                <w:noProof/>
                <w:webHidden/>
              </w:rPr>
              <w:fldChar w:fldCharType="separate"/>
            </w:r>
            <w:r>
              <w:rPr>
                <w:noProof/>
                <w:webHidden/>
              </w:rPr>
              <w:t>44</w:t>
            </w:r>
            <w:r>
              <w:rPr>
                <w:noProof/>
                <w:webHidden/>
              </w:rPr>
              <w:fldChar w:fldCharType="end"/>
            </w:r>
          </w:hyperlink>
        </w:p>
        <w:p w14:paraId="52C697A3" w14:textId="77777777" w:rsidR="00FB08C6" w:rsidRDefault="00FB08C6" w:rsidP="00FB08C6">
          <w:pPr>
            <w:pStyle w:val="TOC2"/>
            <w:tabs>
              <w:tab w:val="right" w:leader="dot" w:pos="12950"/>
            </w:tabs>
            <w:rPr>
              <w:rFonts w:asciiTheme="minorHAnsi" w:eastAsiaTheme="minorEastAsia" w:hAnsiTheme="minorHAnsi"/>
              <w:noProof/>
              <w:lang w:val="en-GB" w:eastAsia="en-GB"/>
            </w:rPr>
          </w:pPr>
          <w:hyperlink w:anchor="_Toc241590556" w:history="1">
            <w:r w:rsidRPr="00BD521C">
              <w:rPr>
                <w:rStyle w:val="Hyperlink"/>
                <w:noProof/>
              </w:rPr>
              <w:t>Reference (Part 2):</w:t>
            </w:r>
            <w:r>
              <w:rPr>
                <w:noProof/>
                <w:webHidden/>
              </w:rPr>
              <w:tab/>
            </w:r>
            <w:r>
              <w:rPr>
                <w:noProof/>
                <w:webHidden/>
              </w:rPr>
              <w:fldChar w:fldCharType="begin"/>
            </w:r>
            <w:r>
              <w:rPr>
                <w:noProof/>
                <w:webHidden/>
              </w:rPr>
              <w:instrText xml:space="preserve"> PAGEREF _Toc241590556 \h </w:instrText>
            </w:r>
            <w:r>
              <w:rPr>
                <w:noProof/>
                <w:webHidden/>
              </w:rPr>
            </w:r>
            <w:r>
              <w:rPr>
                <w:noProof/>
                <w:webHidden/>
              </w:rPr>
              <w:fldChar w:fldCharType="separate"/>
            </w:r>
            <w:r>
              <w:rPr>
                <w:noProof/>
                <w:webHidden/>
              </w:rPr>
              <w:t>46</w:t>
            </w:r>
            <w:r>
              <w:rPr>
                <w:noProof/>
                <w:webHidden/>
              </w:rPr>
              <w:fldChar w:fldCharType="end"/>
            </w:r>
          </w:hyperlink>
        </w:p>
        <w:p w14:paraId="27B423C7" w14:textId="77777777" w:rsidR="00FB08C6" w:rsidRDefault="00FB08C6" w:rsidP="00FB08C6">
          <w:r>
            <w:rPr>
              <w:b/>
              <w:bCs/>
              <w:noProof/>
            </w:rPr>
            <w:fldChar w:fldCharType="end"/>
          </w:r>
        </w:p>
      </w:sdtContent>
    </w:sdt>
    <w:p w14:paraId="44CD61C9" w14:textId="77777777" w:rsidR="00FB08C6" w:rsidRDefault="00FB08C6" w:rsidP="00FB08C6">
      <w:r>
        <w:br w:type="page"/>
      </w:r>
    </w:p>
    <w:p w14:paraId="162D235B" w14:textId="77777777" w:rsidR="00FB08C6" w:rsidRPr="008D74C4" w:rsidRDefault="00FB08C6" w:rsidP="00FB08C6">
      <w:pPr>
        <w:pStyle w:val="Heading1"/>
      </w:pPr>
      <w:bookmarkStart w:id="0" w:name="_Toc241590527"/>
      <w:r w:rsidRPr="006022DA">
        <w:lastRenderedPageBreak/>
        <w:t>Abstract</w:t>
      </w:r>
      <w:bookmarkEnd w:id="0"/>
      <w:r w:rsidRPr="008D74C4">
        <w:t xml:space="preserve"> </w:t>
      </w:r>
    </w:p>
    <w:p w14:paraId="5CB20A89" w14:textId="77777777" w:rsidR="00FB08C6" w:rsidRPr="008D74C4" w:rsidRDefault="00FB08C6" w:rsidP="00FB08C6">
      <w:pPr>
        <w:rPr>
          <w:b/>
          <w:bCs/>
        </w:rPr>
      </w:pPr>
      <w:r w:rsidRPr="00C6008C">
        <w:t>This study explores food culture and its connection with cultural identity of South Asian migrants in United Kingdom. The review concentrates on three dimensions: (1) dimensions of food culture, (2) dimensions of cultural identity, and (3) the shaping by food culture of cultural identity. The narrative literature review approach was used, as the topic is quite broad and evidence comes from a variety of research designs and various fields including food, culture, migration, health and identity. All literature relevant to the study was identified and organized in a 100-paper evidence table and compared across key findings in the studies. The review indicates that the traditional practices in food, the influence of family and the social environment, cultural norms, cultural continuity, and adaptation are key aspects of food culture. The results also show that food can be used to foster a sense of belonging, family and community, heritage and cultural identity. Food culture, however, is more than just about keeping traditional ways; migration can result in adaptation and change in food practices over generations. The review highlights the need for further research on a variety of South Asian migrant communities in the UK and the need for more focus on the direct link between food culture and cultural identity</w:t>
      </w:r>
      <w:r w:rsidRPr="008D74C4">
        <w:t>.</w:t>
      </w:r>
    </w:p>
    <w:p w14:paraId="354B179E" w14:textId="77777777" w:rsidR="00FB08C6" w:rsidRPr="008D74C4" w:rsidRDefault="00FB08C6" w:rsidP="00FB08C6">
      <w:pPr>
        <w:pStyle w:val="Heading2"/>
        <w:rPr>
          <w:color w:val="EE0000"/>
        </w:rPr>
      </w:pPr>
    </w:p>
    <w:p w14:paraId="1CD5C6D1" w14:textId="77777777" w:rsidR="00FB08C6" w:rsidRDefault="00FB08C6" w:rsidP="00FB08C6">
      <w:pPr>
        <w:rPr>
          <w:rFonts w:eastAsiaTheme="majorEastAsia" w:cstheme="majorBidi"/>
          <w:sz w:val="32"/>
          <w:szCs w:val="40"/>
        </w:rPr>
      </w:pPr>
      <w:r>
        <w:br w:type="page"/>
      </w:r>
    </w:p>
    <w:p w14:paraId="5038FF2A" w14:textId="77777777" w:rsidR="00FB08C6" w:rsidRPr="008D74C4" w:rsidRDefault="00FB08C6" w:rsidP="00FB08C6">
      <w:pPr>
        <w:pStyle w:val="Heading1"/>
      </w:pPr>
      <w:bookmarkStart w:id="1" w:name="_Toc241590528"/>
      <w:r w:rsidRPr="008D74C4">
        <w:lastRenderedPageBreak/>
        <w:t>Part 1:</w:t>
      </w:r>
      <w:bookmarkEnd w:id="1"/>
    </w:p>
    <w:p w14:paraId="35A1D3C9" w14:textId="77777777" w:rsidR="00FB08C6" w:rsidRPr="008D74C4" w:rsidRDefault="00FB08C6" w:rsidP="00FB08C6">
      <w:pPr>
        <w:pStyle w:val="Heading2"/>
      </w:pPr>
      <w:bookmarkStart w:id="2" w:name="_Toc241590529"/>
      <w:r w:rsidRPr="006022DA">
        <w:t>Background</w:t>
      </w:r>
      <w:bookmarkEnd w:id="2"/>
    </w:p>
    <w:p w14:paraId="1C46A495" w14:textId="4A192B18" w:rsidR="00FB08C6" w:rsidRDefault="00FB08C6" w:rsidP="00FB08C6">
      <w:r>
        <w:t xml:space="preserve">Being a migrant may </w:t>
      </w:r>
      <w:r w:rsidR="00A64275">
        <w:t>impact on</w:t>
      </w:r>
      <w:r>
        <w:t xml:space="preserve"> the ways migrants preserve, adapt and negotiate their culture and identity in a new country. Food plays a vital role in this process in everyday life, in the family and social life as well as in cultural heritage. Food serves as a means of maintaining cultural connections in the country of settlement for communities of individuals from South Asia.</w:t>
      </w:r>
    </w:p>
    <w:p w14:paraId="5D24A472" w14:textId="65809EA7" w:rsidR="00FB08C6" w:rsidRDefault="00FB08C6" w:rsidP="00FB08C6">
      <w:r>
        <w:t xml:space="preserve">Family and culture play a significant role in the South Asian eating habits, as shown by recent studies. The family context was the key context for food-related health behaviors among British Pakistanis, according to Iqbal, Iqbal and Kagan (2024). Traditional foods were preferred by older </w:t>
      </w:r>
      <w:r w:rsidR="00A64275">
        <w:t>generations,</w:t>
      </w:r>
      <w:r>
        <w:t xml:space="preserve"> and modern foods were not easily accepted at home by the younger ones. Likewise, Hussain, Shaw and Timmons (2024) identified cultural practices and family decision making to be linked to food practices among British Pakistanis.</w:t>
      </w:r>
    </w:p>
    <w:p w14:paraId="61C58BB8" w14:textId="77777777" w:rsidR="00FB08C6" w:rsidRPr="008D74C4" w:rsidRDefault="00FB08C6" w:rsidP="00FB08C6">
      <w:r>
        <w:t xml:space="preserve">But migration can also result in transformations of food culture. Dey et al. (2023) highlighted the existence of essentialism and boundary spanning among the South Asian migrants in the UK and Bahrain, through which migrants </w:t>
      </w:r>
      <w:proofErr w:type="gramStart"/>
      <w:r>
        <w:t>are able to</w:t>
      </w:r>
      <w:proofErr w:type="gramEnd"/>
      <w:r>
        <w:t xml:space="preserve"> have some aspects of the culture while also having other aspects. This reflects continuity and change of food practices</w:t>
      </w:r>
      <w:r w:rsidRPr="008D74C4">
        <w:t>.</w:t>
      </w:r>
    </w:p>
    <w:p w14:paraId="728DF7AB" w14:textId="77777777" w:rsidR="00FB08C6" w:rsidRPr="008D74C4" w:rsidRDefault="00FB08C6" w:rsidP="00FB08C6">
      <w:pPr>
        <w:rPr>
          <w:b/>
          <w:bCs/>
        </w:rPr>
      </w:pPr>
      <w:r w:rsidRPr="008D74C4">
        <w:rPr>
          <w:b/>
          <w:bCs/>
        </w:rPr>
        <w:t>Food Culture and Cultural Identity</w:t>
      </w:r>
    </w:p>
    <w:p w14:paraId="4B63558E" w14:textId="77777777" w:rsidR="00FB08C6" w:rsidRPr="008D74C4" w:rsidRDefault="00FB08C6" w:rsidP="00FB08C6">
      <w:r w:rsidRPr="008D74C4">
        <w:t>Food can also contribute to cultural identity. Chattopadhyay and Sengupta Sinha (2024) showed through their study of diasporic women's cookbooks how food practices, memory and food experiences can connect with South Asian diasporic identities. Although their study does not specifically focus on the UK, it provides broader insight into food and diasporic identity.</w:t>
      </w:r>
    </w:p>
    <w:p w14:paraId="3CD5FAEF" w14:textId="77777777" w:rsidR="00FB08C6" w:rsidRPr="008D74C4" w:rsidRDefault="00FB08C6" w:rsidP="00FB08C6">
      <w:r w:rsidRPr="008D74C4">
        <w:t>Hence, this research examines the relationship between food culture and cultural identity among South Asian migrants in the UK, focusing on the dimensions of food culture, cultural identity and the role of food culture in shaping cultural identity.</w:t>
      </w:r>
    </w:p>
    <w:p w14:paraId="78086E33" w14:textId="77777777" w:rsidR="00FB08C6" w:rsidRPr="00146280" w:rsidRDefault="00FB08C6" w:rsidP="00FB08C6"/>
    <w:p w14:paraId="76789063" w14:textId="77777777" w:rsidR="00FB08C6" w:rsidRDefault="00FB08C6" w:rsidP="00FB08C6">
      <w:pPr>
        <w:pStyle w:val="Heading2"/>
      </w:pPr>
      <w:bookmarkStart w:id="3" w:name="_Toc241590530"/>
      <w:r w:rsidRPr="006022DA">
        <w:lastRenderedPageBreak/>
        <w:t>Aim</w:t>
      </w:r>
      <w:bookmarkEnd w:id="3"/>
    </w:p>
    <w:p w14:paraId="0A481B88" w14:textId="77777777" w:rsidR="00FB08C6" w:rsidRDefault="00FB08C6" w:rsidP="00FB08C6">
      <w:r>
        <w:t>The aim of this narrative literature review is to examine the relationship between food culture and cultural identity among South Asian migrants in the United Kingdom.</w:t>
      </w:r>
    </w:p>
    <w:p w14:paraId="0B54E3BC" w14:textId="77777777" w:rsidR="00FB08C6" w:rsidRDefault="00FB08C6" w:rsidP="00FB08C6">
      <w:pPr>
        <w:pStyle w:val="Heading2"/>
      </w:pPr>
      <w:bookmarkStart w:id="4" w:name="_Toc241590531"/>
      <w:r>
        <w:t>Research Objectives</w:t>
      </w:r>
      <w:bookmarkEnd w:id="4"/>
    </w:p>
    <w:p w14:paraId="52B16708" w14:textId="77777777" w:rsidR="00FB08C6" w:rsidRDefault="00FB08C6" w:rsidP="00FB08C6">
      <w:r>
        <w:t>RO1: To examine the dimensions of food culture among South Asian migrant communities in the UK.</w:t>
      </w:r>
    </w:p>
    <w:p w14:paraId="7ACA7F89" w14:textId="77777777" w:rsidR="00FB08C6" w:rsidRDefault="00FB08C6" w:rsidP="00FB08C6">
      <w:r>
        <w:t>RO2: To explore the dimensions of cultural identity among South Asian migrant communities in the UK.</w:t>
      </w:r>
    </w:p>
    <w:p w14:paraId="458B9E9C" w14:textId="77777777" w:rsidR="00FB08C6" w:rsidRDefault="00FB08C6" w:rsidP="00FB08C6">
      <w:r>
        <w:t>RO3: To identify the role of food culture in shaping the cultural identity of South Asian migrants in the UK.</w:t>
      </w:r>
    </w:p>
    <w:p w14:paraId="1850999F" w14:textId="77777777" w:rsidR="00FB08C6" w:rsidRDefault="00FB08C6" w:rsidP="00FB08C6">
      <w:pPr>
        <w:pStyle w:val="Heading2"/>
      </w:pPr>
      <w:bookmarkStart w:id="5" w:name="_Toc241590532"/>
      <w:r>
        <w:t>Research Questions</w:t>
      </w:r>
      <w:bookmarkEnd w:id="5"/>
    </w:p>
    <w:p w14:paraId="67221F28" w14:textId="77777777" w:rsidR="00FB08C6" w:rsidRDefault="00FB08C6" w:rsidP="00FB08C6">
      <w:r>
        <w:t>RQ1: What are the key concepts and dimensions of food culture among South Asian migrant communities in the UK?</w:t>
      </w:r>
    </w:p>
    <w:p w14:paraId="23123CCA" w14:textId="77777777" w:rsidR="00FB08C6" w:rsidRDefault="00FB08C6" w:rsidP="00FB08C6">
      <w:r>
        <w:t>RQ2: What are the key dimensions of cultural identity among South Asian migrant communities in the UK?</w:t>
      </w:r>
    </w:p>
    <w:p w14:paraId="0DB2E382" w14:textId="77777777" w:rsidR="00FB08C6" w:rsidRDefault="00FB08C6" w:rsidP="00FB08C6">
      <w:r>
        <w:t>RQ3: What role does food culture play in shaping the cultural identity of South Asian migrants in the UK?</w:t>
      </w:r>
    </w:p>
    <w:p w14:paraId="22CEA8B4" w14:textId="77777777" w:rsidR="00FB08C6" w:rsidRDefault="00FB08C6" w:rsidP="00FB08C6">
      <w:pPr>
        <w:pStyle w:val="Heading2"/>
      </w:pPr>
      <w:bookmarkStart w:id="6" w:name="_Toc241590533"/>
      <w:r>
        <w:t xml:space="preserve">Selected Literature </w:t>
      </w:r>
      <w:r w:rsidRPr="006022DA">
        <w:t>Review</w:t>
      </w:r>
      <w:r>
        <w:t xml:space="preserve"> Approaches</w:t>
      </w:r>
      <w:bookmarkEnd w:id="6"/>
    </w:p>
    <w:p w14:paraId="6D2AB6E3" w14:textId="77777777" w:rsidR="00FB08C6" w:rsidRDefault="00FB08C6" w:rsidP="00FB08C6">
      <w:r>
        <w:t>The three approaches to conducting a literature review were considered for this study: narrative literature review, scoping review and mapping review. These were explored as they offer various methods for structuring, summarizing and combining evidence that already exists.</w:t>
      </w:r>
    </w:p>
    <w:p w14:paraId="1AB716D5" w14:textId="77777777" w:rsidR="00FB08C6" w:rsidRDefault="00FB08C6" w:rsidP="00FB08C6">
      <w:pPr>
        <w:pStyle w:val="Heading2"/>
      </w:pPr>
      <w:r>
        <w:t xml:space="preserve"> </w:t>
      </w:r>
      <w:bookmarkStart w:id="7" w:name="_Toc241590534"/>
      <w:r>
        <w:t xml:space="preserve">Narrative </w:t>
      </w:r>
      <w:r w:rsidRPr="006022DA">
        <w:t>Literature</w:t>
      </w:r>
      <w:r>
        <w:t xml:space="preserve"> Review</w:t>
      </w:r>
      <w:bookmarkEnd w:id="7"/>
    </w:p>
    <w:p w14:paraId="7CF3A04C" w14:textId="77777777" w:rsidR="00FB08C6" w:rsidRDefault="00FB08C6" w:rsidP="00FB08C6">
      <w:r>
        <w:t>A flexible way to collect different kinds of literature and to form an overall interpretation is to write a narrative literature review. According to Sukhera (2022), the narrative review can incorporate a wide range of studies and offer a general overview, as well as interpretation and critique. This approach can be used with a wide topic in which evidence could be found in various research methods.</w:t>
      </w:r>
    </w:p>
    <w:p w14:paraId="29598948" w14:textId="77777777" w:rsidR="00FB08C6" w:rsidRDefault="00FB08C6" w:rsidP="00FB08C6">
      <w:r>
        <w:lastRenderedPageBreak/>
        <w:t>Theile and Beall (2024) also outline the narrative review process and explain that narrative reviews can be used for various academic purposes such as in thesis chapters and academic assignments. They stress the need to undertake planning for the review, to find literature, and to structure the evidence in a logical way when writing a discussion.</w:t>
      </w:r>
    </w:p>
    <w:p w14:paraId="6AF46ACB" w14:textId="77777777" w:rsidR="00FB08C6" w:rsidRDefault="00FB08C6" w:rsidP="00FB08C6">
      <w:r>
        <w:t>Turnbull, Chugh and Luck (2023) also insist that a literature review must be based on a definite method. They recognize that these actions are crucial, namely, explaining the search strategy, inclusion and exclusion criteria, literature sources and methods of information synthesis. This is important because a narrative review should not simply be a series of unrelated summaries.</w:t>
      </w:r>
    </w:p>
    <w:p w14:paraId="3DB1CD35" w14:textId="77777777" w:rsidR="00FB08C6" w:rsidRDefault="00FB08C6" w:rsidP="00FB08C6">
      <w:r>
        <w:t>Usman, Al-Hendawi and Bulut (2025) also provide examples of the application of narrative literature review as a method to synthesize various approaches to qualitative research and to explore their characteristics, strengths and limits. In their review, they discuss methods such as phenomenology, ethnography, grounded theory, and case study.</w:t>
      </w:r>
    </w:p>
    <w:p w14:paraId="691A2D9D" w14:textId="77777777" w:rsidR="00FB08C6" w:rsidRDefault="00FB08C6" w:rsidP="00FB08C6">
      <w:r>
        <w:t>Food culture and cultural identity are very broad and interdisciplinary concepts and thus are suitable for a narrative review for the present study. Food practices, family dynamics, cultural adaptation, identity, health and migration could be explored in various ways in research. The narrative approach enables a comparison and interpretation of these different perspectives.</w:t>
      </w:r>
    </w:p>
    <w:p w14:paraId="2C54C531" w14:textId="77777777" w:rsidR="00FB08C6" w:rsidRDefault="00FB08C6" w:rsidP="00FB08C6">
      <w:pPr>
        <w:pStyle w:val="Heading2"/>
      </w:pPr>
      <w:bookmarkStart w:id="8" w:name="_Toc241590535"/>
      <w:r>
        <w:t>Scoping Review</w:t>
      </w:r>
      <w:bookmarkEnd w:id="8"/>
    </w:p>
    <w:p w14:paraId="4B1DA485" w14:textId="77777777" w:rsidR="00FB08C6" w:rsidRDefault="00FB08C6" w:rsidP="00FB08C6">
      <w:r>
        <w:t>A scoping review is one of the structured types of evidence synthesis techniques that could be used to explore the amount, nature and scope of the evidence. A formal definition and explanation of scoping reviews as a form of evidence synthesis is provided by Munn et al. (2022).</w:t>
      </w:r>
    </w:p>
    <w:p w14:paraId="4B3D533D" w14:textId="77777777" w:rsidR="00FB08C6" w:rsidRDefault="00FB08C6" w:rsidP="00FB08C6">
      <w:r>
        <w:t>Peters et al. (2022) offer a comprehensive set of guidelines for creating a scoping review protocol. They state that scoping reviews focus on summarizing and describing existing evidence, and not on comparing them with pooled results. They also highlight the need to be transparent in the planning and reporting process.</w:t>
      </w:r>
    </w:p>
    <w:p w14:paraId="0AAF2B99" w14:textId="77777777" w:rsidR="00FB08C6" w:rsidRDefault="00FB08C6" w:rsidP="00FB08C6">
      <w:r>
        <w:t>A scoping review might thus be relevant for the present topic as it could provide a breadth of literature on food culture and cultural identity of South Asian migrants. But the intent of this study is not just to find out what research there is. It also seeks to understand the ties between food culture and cultural identity. Hence, a scoping review was deemed to be appropriate but not chosen as the primary method.</w:t>
      </w:r>
    </w:p>
    <w:p w14:paraId="7D28374A" w14:textId="77777777" w:rsidR="00FB08C6" w:rsidRDefault="00FB08C6" w:rsidP="00FB08C6">
      <w:pPr>
        <w:pStyle w:val="Heading2"/>
      </w:pPr>
      <w:bookmarkStart w:id="9" w:name="_Toc241590536"/>
      <w:r>
        <w:lastRenderedPageBreak/>
        <w:t>Mapping Review</w:t>
      </w:r>
      <w:bookmarkEnd w:id="9"/>
    </w:p>
    <w:p w14:paraId="0ADE0041" w14:textId="77777777" w:rsidR="00FB08C6" w:rsidRDefault="00FB08C6" w:rsidP="00FB08C6">
      <w:r>
        <w:t xml:space="preserve">A mapping review offers a general survey of the evidence and can be used to detect patterns, categories and gaps in a research field. Khalil and </w:t>
      </w:r>
      <w:proofErr w:type="spellStart"/>
      <w:r>
        <w:t>Tricco</w:t>
      </w:r>
      <w:proofErr w:type="spellEnd"/>
      <w:r>
        <w:t xml:space="preserve"> (2022) describe the similarities and differences between mapping reviews and scoping reviews in terms of the questions they address, the scope, inclusion criteria, data extraction, and the uses.</w:t>
      </w:r>
    </w:p>
    <w:p w14:paraId="01BC8686" w14:textId="77777777" w:rsidR="00FB08C6" w:rsidRDefault="00FB08C6" w:rsidP="00FB08C6">
      <w:r>
        <w:t>Campbell et al. (2023) also give a family description of mapping reviews and scoping reviews and evidence and gap maps. But they serve different functions and are done in a different way.</w:t>
      </w:r>
    </w:p>
    <w:p w14:paraId="38816C0A" w14:textId="77777777" w:rsidR="00FB08C6" w:rsidRDefault="00FB08C6" w:rsidP="00FB08C6">
      <w:r>
        <w:t>Khalil et al. (2025) provides more recent methodological guidance and explains that mapping reviews can be used to organize and visualize evidence and identify trends and knowledge gaps. The method can, therefore, prove helpful when the primary task is to get to know the research field.</w:t>
      </w:r>
    </w:p>
    <w:p w14:paraId="581A9FAA" w14:textId="77777777" w:rsidR="00FB08C6" w:rsidRDefault="00FB08C6" w:rsidP="00FB08C6">
      <w:r>
        <w:t>In the context of the current study, mapping review may be useful to know where research on the food culture of South Asia has taken place. The study, however, needs to be better discussed narratively concerning food culture and cultural identity. Thus, a mapping review was not chosen as the main method.</w:t>
      </w:r>
    </w:p>
    <w:p w14:paraId="106C1A0C" w14:textId="77777777" w:rsidR="00FB08C6" w:rsidRPr="005B5156" w:rsidRDefault="00FB08C6" w:rsidP="00FB08C6">
      <w:pPr>
        <w:pStyle w:val="Heading2"/>
      </w:pPr>
      <w:bookmarkStart w:id="10" w:name="_Toc241590537"/>
      <w:r w:rsidRPr="005B5156">
        <w:t>Selection and Justification of the Narrative Literature Review</w:t>
      </w:r>
      <w:bookmarkEnd w:id="10"/>
    </w:p>
    <w:p w14:paraId="1E2FF74F" w14:textId="77777777" w:rsidR="00FB08C6" w:rsidRDefault="00FB08C6" w:rsidP="00FB08C6">
      <w:r>
        <w:t>The narrative literature review was chosen because it is most appropriate for a research topic that is very general and interdisciplinary. Various research designs are reflected in the literature, and various aspects of food, culture, migration, health and identity are explored.</w:t>
      </w:r>
    </w:p>
    <w:p w14:paraId="312F46F9" w14:textId="77777777" w:rsidR="00FB08C6" w:rsidRDefault="00FB08C6" w:rsidP="00FB08C6">
      <w:r>
        <w:t xml:space="preserve">For instance, Iqbal et al. (2024) conduct qualitative interviews to explore intergenerational food beliefs of British Pakistanis, and </w:t>
      </w:r>
      <w:proofErr w:type="spellStart"/>
      <w:r>
        <w:t>Çoker</w:t>
      </w:r>
      <w:proofErr w:type="spellEnd"/>
      <w:r>
        <w:t xml:space="preserve">, </w:t>
      </w:r>
      <w:proofErr w:type="spellStart"/>
      <w:r>
        <w:t>Pechey</w:t>
      </w:r>
      <w:proofErr w:type="spellEnd"/>
      <w:r>
        <w:t xml:space="preserve"> and Jebb (2024) analyze a survey of UK respondents of White, South Asian and Black ethnic groups to investigate their attitudes, behaviors and social norms toward meat. These studies yield various kinds of evidence and should not be interpreted alike.</w:t>
      </w:r>
    </w:p>
    <w:p w14:paraId="7DC29DEA" w14:textId="77777777" w:rsidR="00FB08C6" w:rsidRDefault="00FB08C6" w:rsidP="00FB08C6">
      <w:r>
        <w:t>A narrative review can facilitate the integration of these various types of evidence and its reinterpretation in the context of the research question. It also enables the review to track the areas of the studies that support, extend, or conflict with each other.</w:t>
      </w:r>
    </w:p>
    <w:p w14:paraId="2E310395" w14:textId="77777777" w:rsidR="00FB08C6" w:rsidRDefault="00FB08C6" w:rsidP="00FB08C6">
      <w:r>
        <w:lastRenderedPageBreak/>
        <w:t>This is especially relevant as it is indicated in the literature that food culture is being continued and changed. Dey et al. (2023) demonstrate that South Asian diasporas can retain cultural characteristics alongside taking on and adapting other cultural practices. A narrative review can offer this type of relationship, which cannot be articulated in a single measurable outcome.</w:t>
      </w:r>
    </w:p>
    <w:p w14:paraId="2963426C" w14:textId="77777777" w:rsidR="00FB08C6" w:rsidRPr="00C86CE2" w:rsidRDefault="00FB08C6" w:rsidP="00FB08C6">
      <w:r>
        <w:t>Overall, the narrative approach allows the flexibility needed to explore the aspects of food culture and cultural identity and write up a coherent discussion on the importance of food culture in food identity construction and negotiation among South Asian migrants in the UK.</w:t>
      </w:r>
    </w:p>
    <w:p w14:paraId="5FF7F429"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b/>
          <w:bCs/>
        </w:rPr>
        <w:t>Sukhera, J. (2022)</w:t>
      </w:r>
      <w:r w:rsidRPr="00912DDD">
        <w:rPr>
          <w:rFonts w:cs="Times New Roman"/>
        </w:rPr>
        <w:t xml:space="preserve"> ‘Narrative Reviews: Flexible, Rigorous, and Practical’, </w:t>
      </w:r>
      <w:r w:rsidRPr="00912DDD">
        <w:rPr>
          <w:rFonts w:cs="Times New Roman"/>
          <w:i/>
          <w:iCs/>
        </w:rPr>
        <w:t>Journal of Graduate Medical Education</w:t>
      </w:r>
      <w:r w:rsidRPr="00912DDD">
        <w:rPr>
          <w:rFonts w:cs="Times New Roman"/>
        </w:rPr>
        <w:t xml:space="preserve">, 14(4), pp.414–417. DOI: 10.4300/JGME-D-22-00480.1. </w:t>
      </w:r>
    </w:p>
    <w:p w14:paraId="465EBB4F"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rPr>
        <w:t xml:space="preserve"> </w:t>
      </w:r>
      <w:r w:rsidRPr="00912DDD">
        <w:rPr>
          <w:rFonts w:cs="Times New Roman"/>
          <w:b/>
          <w:bCs/>
        </w:rPr>
        <w:t>Theile, C.M. and Beall, A.L. (2024)</w:t>
      </w:r>
      <w:r w:rsidRPr="00912DDD">
        <w:rPr>
          <w:rFonts w:cs="Times New Roman"/>
        </w:rPr>
        <w:t xml:space="preserve"> ‘Narrative Reviews of the Literature: An overview’, </w:t>
      </w:r>
      <w:r w:rsidRPr="00912DDD">
        <w:rPr>
          <w:rFonts w:cs="Times New Roman"/>
          <w:i/>
          <w:iCs/>
        </w:rPr>
        <w:t>Journal of Dental Hygiene</w:t>
      </w:r>
      <w:r w:rsidRPr="00912DDD">
        <w:rPr>
          <w:rFonts w:cs="Times New Roman"/>
        </w:rPr>
        <w:t xml:space="preserve">, 98(1), pp.78–82. </w:t>
      </w:r>
    </w:p>
    <w:p w14:paraId="3B44AD8D"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b/>
          <w:bCs/>
        </w:rPr>
        <w:t xml:space="preserve">Turnbull, D., Chugh, R. and Luck, J. (2023) </w:t>
      </w:r>
      <w:r w:rsidRPr="00912DDD">
        <w:rPr>
          <w:rFonts w:cs="Times New Roman"/>
        </w:rPr>
        <w:t xml:space="preserve">Thematic-narrative hybrid literature review: A strategy for integrating a concise methodology into a manuscript’, </w:t>
      </w:r>
      <w:r w:rsidRPr="00912DDD">
        <w:rPr>
          <w:rFonts w:cs="Times New Roman"/>
          <w:i/>
          <w:iCs/>
        </w:rPr>
        <w:t>Social Sciences &amp; Humanities Open</w:t>
      </w:r>
      <w:r w:rsidRPr="00912DDD">
        <w:rPr>
          <w:rFonts w:cs="Times New Roman"/>
        </w:rPr>
        <w:t xml:space="preserve">, 7(1), 100381. DOI: 10.1016/j.ssaho.2022.100381. </w:t>
      </w:r>
    </w:p>
    <w:p w14:paraId="54C2CA9F"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rPr>
        <w:t xml:space="preserve"> </w:t>
      </w:r>
      <w:r w:rsidRPr="00912DDD">
        <w:rPr>
          <w:rFonts w:cs="Times New Roman"/>
          <w:b/>
          <w:bCs/>
        </w:rPr>
        <w:t>Usman, A.C., Al-Hendawi, M. and Bulut, S. (2025)</w:t>
      </w:r>
      <w:r w:rsidRPr="00912DDD">
        <w:rPr>
          <w:rFonts w:cs="Times New Roman"/>
        </w:rPr>
        <w:t xml:space="preserve"> ‘Approaches to qualitative research: A narrative literature review’, </w:t>
      </w:r>
      <w:r w:rsidRPr="00912DDD">
        <w:rPr>
          <w:rFonts w:cs="Times New Roman"/>
          <w:i/>
          <w:iCs/>
        </w:rPr>
        <w:t>Advances in Medicine, Psychology and Public Health</w:t>
      </w:r>
      <w:r w:rsidRPr="00912DDD">
        <w:rPr>
          <w:rFonts w:cs="Times New Roman"/>
        </w:rPr>
        <w:t xml:space="preserve">, 2(2), pp.81–95. DOI: 10.5281/zenodo.12804998. </w:t>
      </w:r>
    </w:p>
    <w:p w14:paraId="4FE40BC7"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b/>
          <w:bCs/>
        </w:rPr>
        <w:t xml:space="preserve">Munn, Z., Pollock, D., Khalil, H. et al. (2022) </w:t>
      </w:r>
      <w:r w:rsidRPr="00912DDD">
        <w:rPr>
          <w:rFonts w:cs="Times New Roman"/>
        </w:rPr>
        <w:t xml:space="preserve">t are scoping reviews? Providing a formal definition of scoping reviews as a type of evidence synthesis’, </w:t>
      </w:r>
      <w:r w:rsidRPr="00912DDD">
        <w:rPr>
          <w:rFonts w:cs="Times New Roman"/>
          <w:i/>
          <w:iCs/>
        </w:rPr>
        <w:t>JBI Evidence Synthesis</w:t>
      </w:r>
      <w:r w:rsidRPr="00912DDD">
        <w:rPr>
          <w:rFonts w:cs="Times New Roman"/>
        </w:rPr>
        <w:t xml:space="preserve">, 20(4), pp.950–952. DOI: 10.11124/JBIES-21-00483. </w:t>
      </w:r>
    </w:p>
    <w:p w14:paraId="7AA4BF36"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b/>
          <w:bCs/>
        </w:rPr>
        <w:t>Peters, M.D.J., Godfrey, C., McInerney, P. et al. (2022)</w:t>
      </w:r>
      <w:r w:rsidRPr="00912DDD">
        <w:rPr>
          <w:rFonts w:cs="Times New Roman"/>
        </w:rPr>
        <w:t xml:space="preserve"> ‘Best practice guidance and reporting items for the development of scoping review protocols’, </w:t>
      </w:r>
      <w:r w:rsidRPr="00912DDD">
        <w:rPr>
          <w:rFonts w:cs="Times New Roman"/>
          <w:i/>
          <w:iCs/>
        </w:rPr>
        <w:t>JBI Evidence Synthesis</w:t>
      </w:r>
      <w:r w:rsidRPr="00912DDD">
        <w:rPr>
          <w:rFonts w:cs="Times New Roman"/>
        </w:rPr>
        <w:t>, 20(4), pp.953–968. DOI: 10.11124/JBIES-21-00242.</w:t>
      </w:r>
      <w:r w:rsidRPr="00912DDD">
        <w:rPr>
          <w:rFonts w:eastAsia="Times New Roman" w:cs="Times New Roman"/>
          <w:kern w:val="0"/>
          <w14:ligatures w14:val="none"/>
        </w:rPr>
        <w:t xml:space="preserve"> </w:t>
      </w:r>
    </w:p>
    <w:p w14:paraId="1D48665E"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b/>
          <w:bCs/>
        </w:rPr>
        <w:t xml:space="preserve">Khalil, H. and </w:t>
      </w:r>
      <w:proofErr w:type="spellStart"/>
      <w:r w:rsidRPr="00912DDD">
        <w:rPr>
          <w:rFonts w:cs="Times New Roman"/>
          <w:b/>
          <w:bCs/>
        </w:rPr>
        <w:t>Tricco</w:t>
      </w:r>
      <w:proofErr w:type="spellEnd"/>
      <w:r w:rsidRPr="00912DDD">
        <w:rPr>
          <w:rFonts w:cs="Times New Roman"/>
          <w:b/>
          <w:bCs/>
        </w:rPr>
        <w:t>, A.C. (2022)</w:t>
      </w:r>
      <w:r w:rsidRPr="00912DDD">
        <w:rPr>
          <w:rFonts w:cs="Times New Roman"/>
        </w:rPr>
        <w:t xml:space="preserve"> ‘Differentiating between mapping reviews and scoping reviews in the evidence synthesis ecosystem’, </w:t>
      </w:r>
      <w:r w:rsidRPr="00912DDD">
        <w:rPr>
          <w:rFonts w:cs="Times New Roman"/>
          <w:i/>
          <w:iCs/>
        </w:rPr>
        <w:t>Journal of Clinical Epidemiology</w:t>
      </w:r>
      <w:r w:rsidRPr="00912DDD">
        <w:rPr>
          <w:rFonts w:cs="Times New Roman"/>
        </w:rPr>
        <w:t xml:space="preserve">, 149, pp.175–182. DOI: 10.1016/j.jclinepi.2022.05.012. </w:t>
      </w:r>
    </w:p>
    <w:p w14:paraId="7D8BDF6A"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b/>
          <w:bCs/>
        </w:rPr>
        <w:t xml:space="preserve">Campbell, F., </w:t>
      </w:r>
      <w:proofErr w:type="spellStart"/>
      <w:r w:rsidRPr="00912DDD">
        <w:rPr>
          <w:rFonts w:cs="Times New Roman"/>
          <w:b/>
          <w:bCs/>
        </w:rPr>
        <w:t>Tricco</w:t>
      </w:r>
      <w:proofErr w:type="spellEnd"/>
      <w:r w:rsidRPr="00912DDD">
        <w:rPr>
          <w:rFonts w:cs="Times New Roman"/>
          <w:b/>
          <w:bCs/>
        </w:rPr>
        <w:t>, A.C., Munn, Z. et al. (2023)</w:t>
      </w:r>
      <w:r w:rsidRPr="00912DDD">
        <w:rPr>
          <w:rFonts w:cs="Times New Roman"/>
        </w:rPr>
        <w:t xml:space="preserve"> ‘Mapping reviews, scoping reviews, and evidence and gap maps (EGMs): the same but different—the “Big Picture” review family’, </w:t>
      </w:r>
      <w:r w:rsidRPr="00912DDD">
        <w:rPr>
          <w:rFonts w:cs="Times New Roman"/>
          <w:i/>
          <w:iCs/>
        </w:rPr>
        <w:t>Systematic Reviews</w:t>
      </w:r>
      <w:r w:rsidRPr="00912DDD">
        <w:rPr>
          <w:rFonts w:cs="Times New Roman"/>
        </w:rPr>
        <w:t xml:space="preserve">, 12, 45. DOI: 10.1186/s13643-023-02178-5. </w:t>
      </w:r>
    </w:p>
    <w:p w14:paraId="7A06D958"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b/>
          <w:bCs/>
        </w:rPr>
        <w:lastRenderedPageBreak/>
        <w:t>Khalil, H., Welch, V., Grainger, M. and Campbell, F. (2025)</w:t>
      </w:r>
      <w:r w:rsidRPr="00912DDD">
        <w:rPr>
          <w:rFonts w:cs="Times New Roman"/>
        </w:rPr>
        <w:t xml:space="preserve"> ‘Methodology for mapping reviews, evidence maps, and gap maps’, </w:t>
      </w:r>
      <w:r w:rsidRPr="00912DDD">
        <w:rPr>
          <w:rFonts w:cs="Times New Roman"/>
          <w:i/>
          <w:iCs/>
        </w:rPr>
        <w:t>Research Synthesis Methods</w:t>
      </w:r>
      <w:r w:rsidRPr="00912DDD">
        <w:rPr>
          <w:rFonts w:cs="Times New Roman"/>
        </w:rPr>
        <w:t xml:space="preserve">, 16(5), pp.786–796. DOI: 10.1017/rsm.2025.25. </w:t>
      </w:r>
    </w:p>
    <w:p w14:paraId="73CCFE46"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b/>
          <w:bCs/>
        </w:rPr>
        <w:t>Iqbal, S. (2023)</w:t>
      </w:r>
      <w:r w:rsidRPr="00912DDD">
        <w:rPr>
          <w:rFonts w:cs="Times New Roman"/>
        </w:rPr>
        <w:t xml:space="preserve"> ‘Cultural factors influencing the eating behaviors of type 2 diabetes in the British South-Asian population: a scoping review of the literature’, </w:t>
      </w:r>
      <w:r w:rsidRPr="00912DDD">
        <w:rPr>
          <w:rFonts w:cs="Times New Roman"/>
          <w:i/>
          <w:iCs/>
        </w:rPr>
        <w:t>Journal of Global Health Reports</w:t>
      </w:r>
      <w:r w:rsidRPr="00912DDD">
        <w:rPr>
          <w:rFonts w:cs="Times New Roman"/>
        </w:rPr>
        <w:t xml:space="preserve">, 7, e2023050. DOI: 10.29392/001c.84191. </w:t>
      </w:r>
    </w:p>
    <w:p w14:paraId="1A43C6A2"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b/>
          <w:bCs/>
        </w:rPr>
        <w:t>Iqbal, S., Iqbal, H. and Kagan, C. (2024)</w:t>
      </w:r>
      <w:r w:rsidRPr="00912DDD">
        <w:rPr>
          <w:rFonts w:cs="Times New Roman"/>
        </w:rPr>
        <w:t xml:space="preserve"> ‘Intergenerational differences in healthy eating beliefs among British Pakistanis with type 2 diabetes’, </w:t>
      </w:r>
      <w:r w:rsidRPr="00912DDD">
        <w:rPr>
          <w:rFonts w:cs="Times New Roman"/>
          <w:i/>
          <w:iCs/>
        </w:rPr>
        <w:t>Diabetic Medicine</w:t>
      </w:r>
      <w:r w:rsidRPr="00912DDD">
        <w:rPr>
          <w:rFonts w:cs="Times New Roman"/>
        </w:rPr>
        <w:t xml:space="preserve">, 41(4), e15222. DOI: 10.1111/dme.15222. </w:t>
      </w:r>
    </w:p>
    <w:p w14:paraId="3527EA6D"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b/>
          <w:bCs/>
        </w:rPr>
        <w:t>Hussain, B., Shaw, I. and Timmons, S. (2024)</w:t>
      </w:r>
      <w:r w:rsidRPr="00912DDD">
        <w:rPr>
          <w:rFonts w:cs="Times New Roman"/>
        </w:rPr>
        <w:t xml:space="preserve"> ‘Food and exercise practices among British Pakistanis; how can Bourdieu’s theory of practice help to understand them?’, </w:t>
      </w:r>
      <w:r w:rsidRPr="00912DDD">
        <w:rPr>
          <w:rFonts w:cs="Times New Roman"/>
          <w:i/>
          <w:iCs/>
        </w:rPr>
        <w:t>Perspectives in Public Health</w:t>
      </w:r>
      <w:r w:rsidRPr="00912DDD">
        <w:rPr>
          <w:rFonts w:cs="Times New Roman"/>
        </w:rPr>
        <w:t>, 146(3), pp.149–157. DOI: 10.1177/17579139241270754.</w:t>
      </w:r>
      <w:r w:rsidRPr="00912DDD">
        <w:rPr>
          <w:rFonts w:eastAsia="Times New Roman" w:cs="Times New Roman"/>
          <w:kern w:val="0"/>
          <w14:ligatures w14:val="none"/>
        </w:rPr>
        <w:t xml:space="preserve"> </w:t>
      </w:r>
    </w:p>
    <w:p w14:paraId="57592C91"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b/>
          <w:bCs/>
        </w:rPr>
        <w:t>Dey, B.L., Nasef, Y.T., Brown, D.M. et al. (2023)</w:t>
      </w:r>
      <w:r w:rsidRPr="00912DDD">
        <w:rPr>
          <w:rFonts w:cs="Times New Roman"/>
        </w:rPr>
        <w:t xml:space="preserve"> ‘(</w:t>
      </w:r>
      <w:proofErr w:type="spellStart"/>
      <w:r w:rsidRPr="00912DDD">
        <w:rPr>
          <w:rFonts w:cs="Times New Roman"/>
        </w:rPr>
        <w:t>Im</w:t>
      </w:r>
      <w:proofErr w:type="spellEnd"/>
      <w:r w:rsidRPr="00912DDD">
        <w:rPr>
          <w:rFonts w:cs="Times New Roman"/>
        </w:rPr>
        <w:t xml:space="preserve">)migrants’ appropriation of culture: Reciprocal influence of personal and work contexts’, </w:t>
      </w:r>
      <w:r w:rsidRPr="00912DDD">
        <w:rPr>
          <w:rFonts w:cs="Times New Roman"/>
          <w:i/>
          <w:iCs/>
        </w:rPr>
        <w:t>Journal of World Business</w:t>
      </w:r>
      <w:r w:rsidRPr="00912DDD">
        <w:rPr>
          <w:rFonts w:cs="Times New Roman"/>
        </w:rPr>
        <w:t xml:space="preserve">, 58(2), 101417. DOI: 10.1016/j.jwb.2022.101417. </w:t>
      </w:r>
    </w:p>
    <w:p w14:paraId="130F8FC5" w14:textId="77777777" w:rsidR="00FB08C6" w:rsidRPr="00912DDD" w:rsidRDefault="00FB08C6" w:rsidP="00FB08C6">
      <w:pPr>
        <w:pStyle w:val="ListParagraph"/>
        <w:numPr>
          <w:ilvl w:val="0"/>
          <w:numId w:val="3"/>
        </w:numPr>
        <w:spacing w:line="360" w:lineRule="auto"/>
        <w:jc w:val="both"/>
        <w:rPr>
          <w:rFonts w:cs="Times New Roman"/>
        </w:rPr>
      </w:pPr>
      <w:r w:rsidRPr="00912DDD">
        <w:rPr>
          <w:rFonts w:cs="Times New Roman"/>
          <w:b/>
          <w:bCs/>
        </w:rPr>
        <w:t>Chattopadhyay, D. and Sengupta Sinha, S. (2024)</w:t>
      </w:r>
      <w:r w:rsidRPr="00912DDD">
        <w:rPr>
          <w:rFonts w:cs="Times New Roman"/>
        </w:rPr>
        <w:t xml:space="preserve"> ‘“Currying Identities”: A Literary Re-Crafting of South-Asian Identities through Diasporic Women’s Cookbooks’, </w:t>
      </w:r>
      <w:r w:rsidRPr="00912DDD">
        <w:rPr>
          <w:rFonts w:cs="Times New Roman"/>
          <w:i/>
          <w:iCs/>
        </w:rPr>
        <w:t>Humanities</w:t>
      </w:r>
      <w:r w:rsidRPr="00912DDD">
        <w:rPr>
          <w:rFonts w:cs="Times New Roman"/>
        </w:rPr>
        <w:t xml:space="preserve">, 13(1), 22. DOI: 10.3390/h13010022. </w:t>
      </w:r>
    </w:p>
    <w:p w14:paraId="570B2AEB" w14:textId="77777777" w:rsidR="00FB08C6" w:rsidRDefault="00FB08C6" w:rsidP="00FB08C6">
      <w:pPr>
        <w:pStyle w:val="ListParagraph"/>
        <w:numPr>
          <w:ilvl w:val="0"/>
          <w:numId w:val="3"/>
        </w:numPr>
        <w:spacing w:line="360" w:lineRule="auto"/>
        <w:jc w:val="both"/>
        <w:rPr>
          <w:rFonts w:cs="Times New Roman"/>
        </w:rPr>
      </w:pPr>
      <w:proofErr w:type="spellStart"/>
      <w:r w:rsidRPr="00912DDD">
        <w:rPr>
          <w:rFonts w:cs="Times New Roman"/>
          <w:b/>
          <w:bCs/>
        </w:rPr>
        <w:t>Çoker</w:t>
      </w:r>
      <w:proofErr w:type="spellEnd"/>
      <w:r w:rsidRPr="00912DDD">
        <w:rPr>
          <w:rFonts w:cs="Times New Roman"/>
          <w:b/>
          <w:bCs/>
        </w:rPr>
        <w:t xml:space="preserve">, E.N., </w:t>
      </w:r>
      <w:proofErr w:type="spellStart"/>
      <w:r w:rsidRPr="00912DDD">
        <w:rPr>
          <w:rFonts w:cs="Times New Roman"/>
          <w:b/>
          <w:bCs/>
        </w:rPr>
        <w:t>Pechey</w:t>
      </w:r>
      <w:proofErr w:type="spellEnd"/>
      <w:r w:rsidRPr="00912DDD">
        <w:rPr>
          <w:rFonts w:cs="Times New Roman"/>
          <w:b/>
          <w:bCs/>
        </w:rPr>
        <w:t>, R. and Jebb, S.A. (2024)</w:t>
      </w:r>
      <w:r w:rsidRPr="00912DDD">
        <w:rPr>
          <w:rFonts w:cs="Times New Roman"/>
        </w:rPr>
        <w:t xml:space="preserve"> ‘Ethnic differences in meat consumption attitudes, norms and behaviors: A survey of White, South Asian and Black ethnic groups in the UK’, </w:t>
      </w:r>
      <w:r w:rsidRPr="00912DDD">
        <w:rPr>
          <w:rFonts w:cs="Times New Roman"/>
          <w:i/>
          <w:iCs/>
        </w:rPr>
        <w:t>Appetite</w:t>
      </w:r>
      <w:r w:rsidRPr="00912DDD">
        <w:rPr>
          <w:rFonts w:cs="Times New Roman"/>
        </w:rPr>
        <w:t>, 198, 107359. DOI: 10.1016/j.appet.2024.107359.</w:t>
      </w:r>
    </w:p>
    <w:p w14:paraId="627A559B" w14:textId="77777777" w:rsidR="00FB08C6" w:rsidRPr="00835AF9" w:rsidRDefault="00FB08C6" w:rsidP="00FB08C6">
      <w:pPr>
        <w:rPr>
          <w:rFonts w:cs="Times New Roman"/>
        </w:rPr>
      </w:pPr>
    </w:p>
    <w:p w14:paraId="0A330C27" w14:textId="77777777" w:rsidR="00FB08C6" w:rsidRDefault="00FB08C6" w:rsidP="00FB08C6">
      <w:pPr>
        <w:rPr>
          <w:rFonts w:eastAsiaTheme="majorEastAsia" w:cstheme="majorBidi"/>
          <w:sz w:val="32"/>
          <w:szCs w:val="40"/>
        </w:rPr>
      </w:pPr>
      <w:r>
        <w:br w:type="page"/>
      </w:r>
    </w:p>
    <w:p w14:paraId="6365FCC6" w14:textId="77777777" w:rsidR="00FB08C6" w:rsidRPr="00827863" w:rsidRDefault="00FB08C6" w:rsidP="00FB08C6">
      <w:pPr>
        <w:pStyle w:val="Heading1"/>
        <w:rPr>
          <w:b/>
          <w:bCs/>
        </w:rPr>
      </w:pPr>
      <w:bookmarkStart w:id="11" w:name="_Toc241590538"/>
      <w:r w:rsidRPr="00827863">
        <w:rPr>
          <w:b/>
          <w:bCs/>
        </w:rPr>
        <w:lastRenderedPageBreak/>
        <w:t>Part 2:</w:t>
      </w:r>
      <w:bookmarkEnd w:id="11"/>
    </w:p>
    <w:p w14:paraId="5A9F1224" w14:textId="77777777" w:rsidR="00FB08C6" w:rsidRDefault="00FB08C6" w:rsidP="00FB08C6">
      <w:pPr>
        <w:pStyle w:val="Heading2"/>
      </w:pPr>
      <w:bookmarkStart w:id="12" w:name="_Toc241590539"/>
      <w:r w:rsidRPr="00A149D3">
        <w:t>Critical Literature Review – 100-Paper Evidence Table</w:t>
      </w:r>
      <w:bookmarkEnd w:id="12"/>
    </w:p>
    <w:tbl>
      <w:tblPr>
        <w:tblStyle w:val="TableGrid"/>
        <w:tblW w:w="5636" w:type="pct"/>
        <w:jc w:val="center"/>
        <w:tblLayout w:type="fixed"/>
        <w:tblLook w:val="04A0" w:firstRow="1" w:lastRow="0" w:firstColumn="1" w:lastColumn="0" w:noHBand="0" w:noVBand="1"/>
      </w:tblPr>
      <w:tblGrid>
        <w:gridCol w:w="516"/>
        <w:gridCol w:w="1182"/>
        <w:gridCol w:w="1273"/>
        <w:gridCol w:w="1419"/>
        <w:gridCol w:w="993"/>
        <w:gridCol w:w="1133"/>
        <w:gridCol w:w="1699"/>
        <w:gridCol w:w="1845"/>
        <w:gridCol w:w="1559"/>
        <w:gridCol w:w="1416"/>
        <w:gridCol w:w="1562"/>
      </w:tblGrid>
      <w:tr w:rsidR="001333BC" w:rsidRPr="001333BC" w14:paraId="356DEC65" w14:textId="77777777" w:rsidTr="00E62104">
        <w:trPr>
          <w:jc w:val="center"/>
        </w:trPr>
        <w:tc>
          <w:tcPr>
            <w:tcW w:w="177" w:type="pct"/>
          </w:tcPr>
          <w:p w14:paraId="0AF5F2C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b/>
                <w:sz w:val="20"/>
                <w:szCs w:val="40"/>
              </w:rPr>
              <w:t>No.</w:t>
            </w:r>
          </w:p>
        </w:tc>
        <w:tc>
          <w:tcPr>
            <w:tcW w:w="405" w:type="pct"/>
          </w:tcPr>
          <w:p w14:paraId="186FDA9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b/>
                <w:sz w:val="20"/>
                <w:szCs w:val="40"/>
              </w:rPr>
              <w:t>Author &amp; Year</w:t>
            </w:r>
          </w:p>
        </w:tc>
        <w:tc>
          <w:tcPr>
            <w:tcW w:w="436" w:type="pct"/>
          </w:tcPr>
          <w:p w14:paraId="1622B1D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b/>
                <w:sz w:val="20"/>
                <w:szCs w:val="40"/>
              </w:rPr>
              <w:t xml:space="preserve">Key words </w:t>
            </w:r>
          </w:p>
        </w:tc>
        <w:tc>
          <w:tcPr>
            <w:tcW w:w="486" w:type="pct"/>
          </w:tcPr>
          <w:p w14:paraId="4C0C97A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b/>
                <w:sz w:val="20"/>
                <w:szCs w:val="40"/>
              </w:rPr>
              <w:t>Context</w:t>
            </w:r>
          </w:p>
        </w:tc>
        <w:tc>
          <w:tcPr>
            <w:tcW w:w="340" w:type="pct"/>
          </w:tcPr>
          <w:p w14:paraId="1A22139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b/>
                <w:sz w:val="20"/>
                <w:szCs w:val="40"/>
              </w:rPr>
              <w:t>Aim</w:t>
            </w:r>
          </w:p>
        </w:tc>
        <w:tc>
          <w:tcPr>
            <w:tcW w:w="388" w:type="pct"/>
          </w:tcPr>
          <w:p w14:paraId="28567DB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b/>
                <w:sz w:val="20"/>
                <w:szCs w:val="40"/>
              </w:rPr>
              <w:t>Population</w:t>
            </w:r>
          </w:p>
        </w:tc>
        <w:tc>
          <w:tcPr>
            <w:tcW w:w="582" w:type="pct"/>
          </w:tcPr>
          <w:p w14:paraId="1921CAF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b/>
                <w:sz w:val="20"/>
                <w:szCs w:val="40"/>
              </w:rPr>
              <w:t>RO1: Food culture dimensions in South Asian migrant communities in the UK</w:t>
            </w:r>
          </w:p>
        </w:tc>
        <w:tc>
          <w:tcPr>
            <w:tcW w:w="632" w:type="pct"/>
          </w:tcPr>
          <w:p w14:paraId="40745EB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b/>
                <w:sz w:val="20"/>
                <w:szCs w:val="40"/>
              </w:rPr>
              <w:t>RO2: Cultural identity dimensions in South Asian migrant communities in the UK</w:t>
            </w:r>
          </w:p>
        </w:tc>
        <w:tc>
          <w:tcPr>
            <w:tcW w:w="534" w:type="pct"/>
          </w:tcPr>
          <w:p w14:paraId="4B635FE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b/>
                <w:sz w:val="20"/>
                <w:szCs w:val="40"/>
              </w:rPr>
              <w:t>RO3: Food culture and cultural identity among South Asian migrants in the UK</w:t>
            </w:r>
          </w:p>
        </w:tc>
        <w:tc>
          <w:tcPr>
            <w:tcW w:w="485" w:type="pct"/>
          </w:tcPr>
          <w:p w14:paraId="3E63530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b/>
                <w:sz w:val="20"/>
                <w:szCs w:val="40"/>
              </w:rPr>
              <w:t>Key Findings</w:t>
            </w:r>
          </w:p>
        </w:tc>
        <w:tc>
          <w:tcPr>
            <w:tcW w:w="535" w:type="pct"/>
          </w:tcPr>
          <w:p w14:paraId="0374DDC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b/>
                <w:sz w:val="20"/>
                <w:szCs w:val="40"/>
              </w:rPr>
              <w:t>Research Gap</w:t>
            </w:r>
          </w:p>
        </w:tc>
      </w:tr>
      <w:tr w:rsidR="001333BC" w:rsidRPr="001333BC" w14:paraId="65C60DEF" w14:textId="77777777" w:rsidTr="00E62104">
        <w:trPr>
          <w:jc w:val="center"/>
        </w:trPr>
        <w:tc>
          <w:tcPr>
            <w:tcW w:w="177" w:type="pct"/>
          </w:tcPr>
          <w:p w14:paraId="5512C03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1</w:t>
            </w:r>
          </w:p>
        </w:tc>
        <w:tc>
          <w:tcPr>
            <w:tcW w:w="405" w:type="pct"/>
          </w:tcPr>
          <w:p w14:paraId="4B661DC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Gandhi (2024)</w:t>
            </w:r>
          </w:p>
        </w:tc>
        <w:tc>
          <w:tcPr>
            <w:tcW w:w="436" w:type="pct"/>
          </w:tcPr>
          <w:p w14:paraId="2790726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The Politics of Belonging through</w:t>
            </w:r>
          </w:p>
        </w:tc>
        <w:tc>
          <w:tcPr>
            <w:tcW w:w="486" w:type="pct"/>
          </w:tcPr>
          <w:p w14:paraId="6B815B2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London, UK</w:t>
            </w:r>
          </w:p>
        </w:tc>
        <w:tc>
          <w:tcPr>
            <w:tcW w:w="340" w:type="pct"/>
          </w:tcPr>
          <w:p w14:paraId="5C9254B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and belonging among</w:t>
            </w:r>
          </w:p>
        </w:tc>
        <w:tc>
          <w:tcPr>
            <w:tcW w:w="388" w:type="pct"/>
          </w:tcPr>
          <w:p w14:paraId="74C9966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focuses South Asian</w:t>
            </w:r>
          </w:p>
        </w:tc>
        <w:tc>
          <w:tcPr>
            <w:tcW w:w="582" w:type="pct"/>
          </w:tcPr>
          <w:p w14:paraId="749C9D2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Cooking, eating, sharing and food traditions</w:t>
            </w:r>
          </w:p>
        </w:tc>
        <w:tc>
          <w:tcPr>
            <w:tcW w:w="632" w:type="pct"/>
          </w:tcPr>
          <w:p w14:paraId="3746AF9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identity, belonging, heritage and home</w:t>
            </w:r>
          </w:p>
        </w:tc>
        <w:tc>
          <w:tcPr>
            <w:tcW w:w="534" w:type="pct"/>
          </w:tcPr>
          <w:p w14:paraId="2DCA675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connects migrants with home, heritage and identity</w:t>
            </w:r>
          </w:p>
        </w:tc>
        <w:tc>
          <w:tcPr>
            <w:tcW w:w="485" w:type="pct"/>
          </w:tcPr>
          <w:p w14:paraId="48EBD67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has emotional, social and cultural meaning</w:t>
            </w:r>
          </w:p>
        </w:tc>
        <w:tc>
          <w:tcPr>
            <w:tcW w:w="535" w:type="pct"/>
          </w:tcPr>
          <w:p w14:paraId="1A8E725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Few studies compare different South Asian migrant groups</w:t>
            </w:r>
          </w:p>
        </w:tc>
      </w:tr>
      <w:tr w:rsidR="001333BC" w:rsidRPr="001333BC" w14:paraId="03076E68" w14:textId="77777777" w:rsidTr="00E62104">
        <w:trPr>
          <w:jc w:val="center"/>
        </w:trPr>
        <w:tc>
          <w:tcPr>
            <w:tcW w:w="177" w:type="pct"/>
          </w:tcPr>
          <w:p w14:paraId="7A1173D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w:t>
            </w:r>
          </w:p>
        </w:tc>
        <w:tc>
          <w:tcPr>
            <w:tcW w:w="405" w:type="pct"/>
          </w:tcPr>
          <w:p w14:paraId="0A96268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Chowdhury (2023)</w:t>
            </w:r>
          </w:p>
        </w:tc>
        <w:tc>
          <w:tcPr>
            <w:tcW w:w="436" w:type="pct"/>
          </w:tcPr>
          <w:p w14:paraId="3D4FA7E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What Does Food Sustain</w:t>
            </w:r>
          </w:p>
        </w:tc>
        <w:tc>
          <w:tcPr>
            <w:tcW w:w="486" w:type="pct"/>
          </w:tcPr>
          <w:p w14:paraId="33E8697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diasporic context</w:t>
            </w:r>
          </w:p>
        </w:tc>
        <w:tc>
          <w:tcPr>
            <w:tcW w:w="340" w:type="pct"/>
          </w:tcPr>
          <w:p w14:paraId="76229DF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memory and</w:t>
            </w:r>
          </w:p>
        </w:tc>
        <w:tc>
          <w:tcPr>
            <w:tcW w:w="388" w:type="pct"/>
          </w:tcPr>
          <w:p w14:paraId="2913259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5E95B3F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Family meals, cooking and food choices</w:t>
            </w:r>
          </w:p>
        </w:tc>
        <w:tc>
          <w:tcPr>
            <w:tcW w:w="632" w:type="pct"/>
          </w:tcPr>
          <w:p w14:paraId="30253D8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Family, community and South Asian identity</w:t>
            </w:r>
          </w:p>
        </w:tc>
        <w:tc>
          <w:tcPr>
            <w:tcW w:w="534" w:type="pct"/>
          </w:tcPr>
          <w:p w14:paraId="1FB746F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helps sustain family, culture and identity</w:t>
            </w:r>
          </w:p>
        </w:tc>
        <w:tc>
          <w:tcPr>
            <w:tcW w:w="485" w:type="pct"/>
          </w:tcPr>
          <w:p w14:paraId="552ACF3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practices reflect family and social life</w:t>
            </w:r>
          </w:p>
        </w:tc>
        <w:tc>
          <w:tcPr>
            <w:tcW w:w="535" w:type="pct"/>
          </w:tcPr>
          <w:p w14:paraId="665C6E7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Broader studies are needed across families and migrant groups</w:t>
            </w:r>
          </w:p>
        </w:tc>
      </w:tr>
      <w:tr w:rsidR="001333BC" w:rsidRPr="001333BC" w14:paraId="12253546" w14:textId="77777777" w:rsidTr="00E62104">
        <w:trPr>
          <w:jc w:val="center"/>
        </w:trPr>
        <w:tc>
          <w:tcPr>
            <w:tcW w:w="177" w:type="pct"/>
          </w:tcPr>
          <w:p w14:paraId="4F2339B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3</w:t>
            </w:r>
          </w:p>
        </w:tc>
        <w:tc>
          <w:tcPr>
            <w:tcW w:w="405" w:type="pct"/>
          </w:tcPr>
          <w:p w14:paraId="1569E23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Iqbal (2023)</w:t>
            </w:r>
          </w:p>
        </w:tc>
        <w:tc>
          <w:tcPr>
            <w:tcW w:w="436" w:type="pct"/>
          </w:tcPr>
          <w:p w14:paraId="1A186CC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Factors Influencing Eating Behaviors</w:t>
            </w:r>
          </w:p>
        </w:tc>
        <w:tc>
          <w:tcPr>
            <w:tcW w:w="486" w:type="pct"/>
          </w:tcPr>
          <w:p w14:paraId="3612512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UK – England, Scotland</w:t>
            </w:r>
          </w:p>
        </w:tc>
        <w:tc>
          <w:tcPr>
            <w:tcW w:w="340" w:type="pct"/>
          </w:tcPr>
          <w:p w14:paraId="77C13CB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factors affecting eating</w:t>
            </w:r>
          </w:p>
        </w:tc>
        <w:tc>
          <w:tcPr>
            <w:tcW w:w="388" w:type="pct"/>
          </w:tcPr>
          <w:p w14:paraId="4B42D44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scoping rather than</w:t>
            </w:r>
          </w:p>
        </w:tc>
        <w:tc>
          <w:tcPr>
            <w:tcW w:w="582" w:type="pct"/>
          </w:tcPr>
          <w:p w14:paraId="5DD6909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norms, beliefs and family influence</w:t>
            </w:r>
          </w:p>
        </w:tc>
        <w:tc>
          <w:tcPr>
            <w:tcW w:w="632" w:type="pct"/>
          </w:tcPr>
          <w:p w14:paraId="0B76DBA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534" w:type="pct"/>
          </w:tcPr>
          <w:p w14:paraId="69D5A93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44C8FC5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norms, stigma and limited awareness</w:t>
            </w:r>
          </w:p>
        </w:tc>
        <w:tc>
          <w:tcPr>
            <w:tcW w:w="535" w:type="pct"/>
          </w:tcPr>
          <w:p w14:paraId="6D8493C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More research is needed on social and food factors</w:t>
            </w:r>
          </w:p>
        </w:tc>
      </w:tr>
      <w:tr w:rsidR="001333BC" w:rsidRPr="001333BC" w14:paraId="03E86259" w14:textId="77777777" w:rsidTr="00E62104">
        <w:trPr>
          <w:jc w:val="center"/>
        </w:trPr>
        <w:tc>
          <w:tcPr>
            <w:tcW w:w="177" w:type="pct"/>
          </w:tcPr>
          <w:p w14:paraId="3879701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4</w:t>
            </w:r>
          </w:p>
        </w:tc>
        <w:tc>
          <w:tcPr>
            <w:tcW w:w="405" w:type="pct"/>
          </w:tcPr>
          <w:p w14:paraId="25CEA60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Rai (2023)</w:t>
            </w:r>
          </w:p>
        </w:tc>
        <w:tc>
          <w:tcPr>
            <w:tcW w:w="436" w:type="pct"/>
          </w:tcPr>
          <w:p w14:paraId="03C556A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Barriers and facilitators to dietary</w:t>
            </w:r>
          </w:p>
        </w:tc>
        <w:tc>
          <w:tcPr>
            <w:tcW w:w="486" w:type="pct"/>
          </w:tcPr>
          <w:p w14:paraId="449A304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Western countries, predominantly the</w:t>
            </w:r>
          </w:p>
        </w:tc>
        <w:tc>
          <w:tcPr>
            <w:tcW w:w="340" w:type="pct"/>
          </w:tcPr>
          <w:p w14:paraId="6A3A743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Barriers and facilitators to</w:t>
            </w:r>
          </w:p>
        </w:tc>
        <w:tc>
          <w:tcPr>
            <w:tcW w:w="388" w:type="pct"/>
          </w:tcPr>
          <w:p w14:paraId="5F8A830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260 participants</w:t>
            </w:r>
          </w:p>
        </w:tc>
        <w:tc>
          <w:tcPr>
            <w:tcW w:w="582" w:type="pct"/>
          </w:tcPr>
          <w:p w14:paraId="5FD1A43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Traditional foods, eating and cooking</w:t>
            </w:r>
          </w:p>
        </w:tc>
        <w:tc>
          <w:tcPr>
            <w:tcW w:w="632" w:type="pct"/>
          </w:tcPr>
          <w:p w14:paraId="0894E74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family and social influence</w:t>
            </w:r>
          </w:p>
        </w:tc>
        <w:tc>
          <w:tcPr>
            <w:tcW w:w="534" w:type="pct"/>
          </w:tcPr>
          <w:p w14:paraId="53799C2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Traditional food practices shape everyday dietary habits</w:t>
            </w:r>
          </w:p>
        </w:tc>
        <w:tc>
          <w:tcPr>
            <w:tcW w:w="485" w:type="pct"/>
          </w:tcPr>
          <w:p w14:paraId="7B69878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and traditional food practices</w:t>
            </w:r>
          </w:p>
        </w:tc>
        <w:tc>
          <w:tcPr>
            <w:tcW w:w="535" w:type="pct"/>
          </w:tcPr>
          <w:p w14:paraId="1A81E2D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More research is needed on culturally appropriate support</w:t>
            </w:r>
          </w:p>
        </w:tc>
      </w:tr>
      <w:tr w:rsidR="001333BC" w:rsidRPr="001333BC" w14:paraId="533EFFBA" w14:textId="77777777" w:rsidTr="00E62104">
        <w:trPr>
          <w:jc w:val="center"/>
        </w:trPr>
        <w:tc>
          <w:tcPr>
            <w:tcW w:w="177" w:type="pct"/>
          </w:tcPr>
          <w:p w14:paraId="051196B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5</w:t>
            </w:r>
          </w:p>
        </w:tc>
        <w:tc>
          <w:tcPr>
            <w:tcW w:w="405" w:type="pct"/>
          </w:tcPr>
          <w:p w14:paraId="0ECF048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Vakil (2023)</w:t>
            </w:r>
          </w:p>
        </w:tc>
        <w:tc>
          <w:tcPr>
            <w:tcW w:w="436" w:type="pct"/>
          </w:tcPr>
          <w:p w14:paraId="36EC9A8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Patient-centered care experiences of South</w:t>
            </w:r>
          </w:p>
        </w:tc>
        <w:tc>
          <w:tcPr>
            <w:tcW w:w="486" w:type="pct"/>
          </w:tcPr>
          <w:p w14:paraId="2DF1532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High-income Western countries, including</w:t>
            </w:r>
          </w:p>
        </w:tc>
        <w:tc>
          <w:tcPr>
            <w:tcW w:w="340" w:type="pct"/>
          </w:tcPr>
          <w:p w14:paraId="1E101A1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Healthcare experiences of first-generation</w:t>
            </w:r>
          </w:p>
        </w:tc>
        <w:tc>
          <w:tcPr>
            <w:tcW w:w="388" w:type="pct"/>
          </w:tcPr>
          <w:p w14:paraId="6AC6E30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61 studies</w:t>
            </w:r>
          </w:p>
        </w:tc>
        <w:tc>
          <w:tcPr>
            <w:tcW w:w="582" w:type="pct"/>
          </w:tcPr>
          <w:p w14:paraId="6AFFDC6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74B848F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values and religion</w:t>
            </w:r>
          </w:p>
        </w:tc>
        <w:tc>
          <w:tcPr>
            <w:tcW w:w="534" w:type="pct"/>
          </w:tcPr>
          <w:p w14:paraId="5CD51AC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7672254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language and family barriers</w:t>
            </w:r>
          </w:p>
        </w:tc>
        <w:tc>
          <w:tcPr>
            <w:tcW w:w="535" w:type="pct"/>
          </w:tcPr>
          <w:p w14:paraId="140D09D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More research is needed across different migrant groups</w:t>
            </w:r>
          </w:p>
        </w:tc>
      </w:tr>
      <w:tr w:rsidR="001333BC" w:rsidRPr="001333BC" w14:paraId="4A3FB7AA" w14:textId="77777777" w:rsidTr="00E62104">
        <w:trPr>
          <w:jc w:val="center"/>
        </w:trPr>
        <w:tc>
          <w:tcPr>
            <w:tcW w:w="177" w:type="pct"/>
          </w:tcPr>
          <w:p w14:paraId="32E56A1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6</w:t>
            </w:r>
          </w:p>
        </w:tc>
        <w:tc>
          <w:tcPr>
            <w:tcW w:w="405" w:type="pct"/>
          </w:tcPr>
          <w:p w14:paraId="2625022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Sudarsan (2022)</w:t>
            </w:r>
          </w:p>
        </w:tc>
        <w:tc>
          <w:tcPr>
            <w:tcW w:w="436" w:type="pct"/>
          </w:tcPr>
          <w:p w14:paraId="74D0524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immigrants, cultural beliefs</w:t>
            </w:r>
          </w:p>
        </w:tc>
        <w:tc>
          <w:tcPr>
            <w:tcW w:w="486" w:type="pct"/>
          </w:tcPr>
          <w:p w14:paraId="76F266C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immigrant families</w:t>
            </w:r>
          </w:p>
        </w:tc>
        <w:tc>
          <w:tcPr>
            <w:tcW w:w="340" w:type="pct"/>
          </w:tcPr>
          <w:p w14:paraId="4C5CF40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beliefs practices experiences</w:t>
            </w:r>
          </w:p>
        </w:tc>
        <w:tc>
          <w:tcPr>
            <w:tcW w:w="388" w:type="pct"/>
          </w:tcPr>
          <w:p w14:paraId="250A520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266 participants</w:t>
            </w:r>
          </w:p>
        </w:tc>
        <w:tc>
          <w:tcPr>
            <w:tcW w:w="582" w:type="pct"/>
          </w:tcPr>
          <w:p w14:paraId="17FA048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6D8C800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religious</w:t>
            </w:r>
          </w:p>
        </w:tc>
        <w:tc>
          <w:tcPr>
            <w:tcW w:w="534" w:type="pct"/>
          </w:tcPr>
          <w:p w14:paraId="4218E70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5064113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religious spiritual</w:t>
            </w:r>
          </w:p>
        </w:tc>
        <w:tc>
          <w:tcPr>
            <w:tcW w:w="535" w:type="pct"/>
          </w:tcPr>
          <w:p w14:paraId="29F5801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required different South required</w:t>
            </w:r>
          </w:p>
        </w:tc>
      </w:tr>
      <w:tr w:rsidR="001333BC" w:rsidRPr="001333BC" w14:paraId="4AB0643F" w14:textId="77777777" w:rsidTr="00E62104">
        <w:trPr>
          <w:jc w:val="center"/>
        </w:trPr>
        <w:tc>
          <w:tcPr>
            <w:tcW w:w="177" w:type="pct"/>
          </w:tcPr>
          <w:p w14:paraId="0975CF4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7</w:t>
            </w:r>
          </w:p>
        </w:tc>
        <w:tc>
          <w:tcPr>
            <w:tcW w:w="405" w:type="pct"/>
          </w:tcPr>
          <w:p w14:paraId="079D7418"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Kodippili</w:t>
            </w:r>
            <w:proofErr w:type="spellEnd"/>
            <w:r w:rsidRPr="001333BC">
              <w:rPr>
                <w:rFonts w:ascii="Cambria" w:eastAsia="MS Mincho" w:hAnsi="Cambria" w:cs="Times New Roman"/>
                <w:sz w:val="20"/>
                <w:szCs w:val="40"/>
              </w:rPr>
              <w:t xml:space="preserve"> (2024)</w:t>
            </w:r>
          </w:p>
        </w:tc>
        <w:tc>
          <w:tcPr>
            <w:tcW w:w="436" w:type="pct"/>
          </w:tcPr>
          <w:p w14:paraId="3E7B710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Acculturation and psychological wellbeing among</w:t>
            </w:r>
          </w:p>
        </w:tc>
        <w:tc>
          <w:tcPr>
            <w:tcW w:w="486" w:type="pct"/>
          </w:tcPr>
          <w:p w14:paraId="20AB9E6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immigrant adolescents</w:t>
            </w:r>
          </w:p>
        </w:tc>
        <w:tc>
          <w:tcPr>
            <w:tcW w:w="340" w:type="pct"/>
          </w:tcPr>
          <w:p w14:paraId="72E91AE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impact acculturation psychological</w:t>
            </w:r>
          </w:p>
        </w:tc>
        <w:tc>
          <w:tcPr>
            <w:tcW w:w="388" w:type="pct"/>
          </w:tcPr>
          <w:p w14:paraId="73BAEEC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10 studies</w:t>
            </w:r>
          </w:p>
        </w:tc>
        <w:tc>
          <w:tcPr>
            <w:tcW w:w="582" w:type="pct"/>
          </w:tcPr>
          <w:p w14:paraId="656846A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6C6B4B3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Ethnic identity acculturation</w:t>
            </w:r>
          </w:p>
        </w:tc>
        <w:tc>
          <w:tcPr>
            <w:tcW w:w="534" w:type="pct"/>
          </w:tcPr>
          <w:p w14:paraId="6B31289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57EEF7E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immigrant youth</w:t>
            </w:r>
          </w:p>
        </w:tc>
        <w:tc>
          <w:tcPr>
            <w:tcW w:w="535" w:type="pct"/>
          </w:tcPr>
          <w:p w14:paraId="05A94B0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required acculturation psychological required</w:t>
            </w:r>
          </w:p>
        </w:tc>
      </w:tr>
      <w:tr w:rsidR="001333BC" w:rsidRPr="001333BC" w14:paraId="3D08256D" w14:textId="77777777" w:rsidTr="00E62104">
        <w:trPr>
          <w:jc w:val="center"/>
        </w:trPr>
        <w:tc>
          <w:tcPr>
            <w:tcW w:w="177" w:type="pct"/>
          </w:tcPr>
          <w:p w14:paraId="6C02A5C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8</w:t>
            </w:r>
          </w:p>
        </w:tc>
        <w:tc>
          <w:tcPr>
            <w:tcW w:w="405" w:type="pct"/>
          </w:tcPr>
          <w:p w14:paraId="3C9E4B1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Olajide (2024)</w:t>
            </w:r>
          </w:p>
        </w:tc>
        <w:tc>
          <w:tcPr>
            <w:tcW w:w="436" w:type="pct"/>
          </w:tcPr>
          <w:p w14:paraId="1FB360A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food practices among migrant</w:t>
            </w:r>
          </w:p>
        </w:tc>
        <w:tc>
          <w:tcPr>
            <w:tcW w:w="486" w:type="pct"/>
          </w:tcPr>
          <w:p w14:paraId="3F8F184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Migrant women from low-</w:t>
            </w:r>
          </w:p>
        </w:tc>
        <w:tc>
          <w:tcPr>
            <w:tcW w:w="340" w:type="pct"/>
          </w:tcPr>
          <w:p w14:paraId="6FA3CF3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food practices sources</w:t>
            </w:r>
          </w:p>
        </w:tc>
        <w:tc>
          <w:tcPr>
            <w:tcW w:w="388" w:type="pct"/>
          </w:tcPr>
          <w:p w14:paraId="7A52106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2,415 participants</w:t>
            </w:r>
          </w:p>
        </w:tc>
        <w:tc>
          <w:tcPr>
            <w:tcW w:w="582" w:type="pct"/>
          </w:tcPr>
          <w:p w14:paraId="394C36E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Traditional food practices shape everyday dietary habits</w:t>
            </w:r>
          </w:p>
        </w:tc>
        <w:tc>
          <w:tcPr>
            <w:tcW w:w="632" w:type="pct"/>
          </w:tcPr>
          <w:p w14:paraId="3BE4178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traditions family</w:t>
            </w:r>
          </w:p>
        </w:tc>
        <w:tc>
          <w:tcPr>
            <w:tcW w:w="534" w:type="pct"/>
          </w:tcPr>
          <w:p w14:paraId="3866C84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Maintaining traditional food</w:t>
            </w:r>
          </w:p>
        </w:tc>
        <w:tc>
          <w:tcPr>
            <w:tcW w:w="485" w:type="pct"/>
          </w:tcPr>
          <w:p w14:paraId="5A1DC41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Many migrant women continued</w:t>
            </w:r>
          </w:p>
        </w:tc>
        <w:tc>
          <w:tcPr>
            <w:tcW w:w="535" w:type="pct"/>
          </w:tcPr>
          <w:p w14:paraId="42F7F1E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understand migrant understand</w:t>
            </w:r>
          </w:p>
        </w:tc>
      </w:tr>
      <w:tr w:rsidR="001333BC" w:rsidRPr="001333BC" w14:paraId="53297124" w14:textId="77777777" w:rsidTr="00E62104">
        <w:trPr>
          <w:jc w:val="center"/>
        </w:trPr>
        <w:tc>
          <w:tcPr>
            <w:tcW w:w="177" w:type="pct"/>
          </w:tcPr>
          <w:p w14:paraId="7C909FC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9</w:t>
            </w:r>
          </w:p>
        </w:tc>
        <w:tc>
          <w:tcPr>
            <w:tcW w:w="405" w:type="pct"/>
          </w:tcPr>
          <w:p w14:paraId="534DDB8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Liu (2026)</w:t>
            </w:r>
          </w:p>
        </w:tc>
        <w:tc>
          <w:tcPr>
            <w:tcW w:w="436" w:type="pct"/>
          </w:tcPr>
          <w:p w14:paraId="6CEB7BD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(Re)connection with Cultural Foods and</w:t>
            </w:r>
          </w:p>
        </w:tc>
        <w:tc>
          <w:tcPr>
            <w:tcW w:w="486" w:type="pct"/>
          </w:tcPr>
          <w:p w14:paraId="20FBEBD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Canada</w:t>
            </w:r>
          </w:p>
        </w:tc>
        <w:tc>
          <w:tcPr>
            <w:tcW w:w="340" w:type="pct"/>
          </w:tcPr>
          <w:p w14:paraId="7B9331B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ethnic minority immigrants’ connection</w:t>
            </w:r>
          </w:p>
        </w:tc>
        <w:tc>
          <w:tcPr>
            <w:tcW w:w="388" w:type="pct"/>
          </w:tcPr>
          <w:p w14:paraId="58E6B2B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Six first- or</w:t>
            </w:r>
          </w:p>
        </w:tc>
        <w:tc>
          <w:tcPr>
            <w:tcW w:w="582" w:type="pct"/>
          </w:tcPr>
          <w:p w14:paraId="2563C95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presents cultural food</w:t>
            </w:r>
          </w:p>
        </w:tc>
        <w:tc>
          <w:tcPr>
            <w:tcW w:w="632" w:type="pct"/>
          </w:tcPr>
          <w:p w14:paraId="002ED4F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identity reflected</w:t>
            </w:r>
          </w:p>
        </w:tc>
        <w:tc>
          <w:tcPr>
            <w:tcW w:w="534" w:type="pct"/>
          </w:tcPr>
          <w:p w14:paraId="1FABAA9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Create evidence cultural</w:t>
            </w:r>
          </w:p>
        </w:tc>
        <w:tc>
          <w:tcPr>
            <w:tcW w:w="485" w:type="pct"/>
          </w:tcPr>
          <w:p w14:paraId="17BD486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six narratives cultural foods</w:t>
            </w:r>
          </w:p>
        </w:tc>
        <w:tc>
          <w:tcPr>
            <w:tcW w:w="535" w:type="pct"/>
          </w:tcPr>
          <w:p w14:paraId="538FEAA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author initial contribution under-researched author</w:t>
            </w:r>
          </w:p>
        </w:tc>
      </w:tr>
      <w:tr w:rsidR="001333BC" w:rsidRPr="001333BC" w14:paraId="7BAD6F9A" w14:textId="77777777" w:rsidTr="00E62104">
        <w:trPr>
          <w:jc w:val="center"/>
        </w:trPr>
        <w:tc>
          <w:tcPr>
            <w:tcW w:w="177" w:type="pct"/>
          </w:tcPr>
          <w:p w14:paraId="77E64A9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10</w:t>
            </w:r>
          </w:p>
        </w:tc>
        <w:tc>
          <w:tcPr>
            <w:tcW w:w="405" w:type="pct"/>
          </w:tcPr>
          <w:p w14:paraId="58C78A5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Ali et al.  (2022)</w:t>
            </w:r>
          </w:p>
        </w:tc>
        <w:tc>
          <w:tcPr>
            <w:tcW w:w="436" w:type="pct"/>
          </w:tcPr>
          <w:p w14:paraId="7A14355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Drivers of Second-generation South Asian</w:t>
            </w:r>
          </w:p>
        </w:tc>
        <w:tc>
          <w:tcPr>
            <w:tcW w:w="486" w:type="pct"/>
          </w:tcPr>
          <w:p w14:paraId="744FAB8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USA</w:t>
            </w:r>
          </w:p>
        </w:tc>
        <w:tc>
          <w:tcPr>
            <w:tcW w:w="340" w:type="pct"/>
          </w:tcPr>
          <w:p w14:paraId="2F74B21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drivers eating second-generation</w:t>
            </w:r>
          </w:p>
        </w:tc>
        <w:tc>
          <w:tcPr>
            <w:tcW w:w="388" w:type="pct"/>
          </w:tcPr>
          <w:p w14:paraId="2ADFDD1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second-generation South Asian</w:t>
            </w:r>
          </w:p>
        </w:tc>
        <w:tc>
          <w:tcPr>
            <w:tcW w:w="582" w:type="pct"/>
          </w:tcPr>
          <w:p w14:paraId="6930931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culture reflected</w:t>
            </w:r>
          </w:p>
        </w:tc>
        <w:tc>
          <w:tcPr>
            <w:tcW w:w="632" w:type="pct"/>
          </w:tcPr>
          <w:p w14:paraId="0786CE5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identity included</w:t>
            </w:r>
          </w:p>
        </w:tc>
        <w:tc>
          <w:tcPr>
            <w:tcW w:w="534" w:type="pct"/>
          </w:tcPr>
          <w:p w14:paraId="59A7A1C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Family cultural background</w:t>
            </w:r>
          </w:p>
        </w:tc>
        <w:tc>
          <w:tcPr>
            <w:tcW w:w="485" w:type="pct"/>
          </w:tcPr>
          <w:p w14:paraId="0EF6EB0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eating-behavior drivers connections Family</w:t>
            </w:r>
          </w:p>
        </w:tc>
        <w:tc>
          <w:tcPr>
            <w:tcW w:w="535" w:type="pct"/>
          </w:tcPr>
          <w:p w14:paraId="31A4005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notes limited younger second-generation study</w:t>
            </w:r>
          </w:p>
        </w:tc>
      </w:tr>
      <w:tr w:rsidR="001333BC" w:rsidRPr="001333BC" w14:paraId="6E3A5701" w14:textId="77777777" w:rsidTr="00E62104">
        <w:trPr>
          <w:jc w:val="center"/>
        </w:trPr>
        <w:tc>
          <w:tcPr>
            <w:tcW w:w="177" w:type="pct"/>
          </w:tcPr>
          <w:p w14:paraId="479F660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11</w:t>
            </w:r>
          </w:p>
        </w:tc>
        <w:tc>
          <w:tcPr>
            <w:tcW w:w="405" w:type="pct"/>
          </w:tcPr>
          <w:p w14:paraId="4919D06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Dalal (2024)</w:t>
            </w:r>
          </w:p>
        </w:tc>
        <w:tc>
          <w:tcPr>
            <w:tcW w:w="436" w:type="pct"/>
          </w:tcPr>
          <w:p w14:paraId="7E5D635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Performing curry and diasporic identity</w:t>
            </w:r>
          </w:p>
        </w:tc>
        <w:tc>
          <w:tcPr>
            <w:tcW w:w="486" w:type="pct"/>
          </w:tcPr>
          <w:p w14:paraId="5FB93C4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Canada — Indo-Mauritian Canadian diaspora</w:t>
            </w:r>
          </w:p>
        </w:tc>
        <w:tc>
          <w:tcPr>
            <w:tcW w:w="340" w:type="pct"/>
          </w:tcPr>
          <w:p w14:paraId="604B304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curry functions cultural</w:t>
            </w:r>
          </w:p>
        </w:tc>
        <w:tc>
          <w:tcPr>
            <w:tcW w:w="388" w:type="pct"/>
          </w:tcPr>
          <w:p w14:paraId="3F874F7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4500228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traditions culinary</w:t>
            </w:r>
          </w:p>
        </w:tc>
        <w:tc>
          <w:tcPr>
            <w:tcW w:w="632" w:type="pct"/>
          </w:tcPr>
          <w:p w14:paraId="31398BE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diasporic</w:t>
            </w:r>
          </w:p>
        </w:tc>
        <w:tc>
          <w:tcPr>
            <w:tcW w:w="534" w:type="pct"/>
          </w:tcPr>
          <w:p w14:paraId="07B813B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particularly curry</w:t>
            </w:r>
          </w:p>
        </w:tc>
        <w:tc>
          <w:tcPr>
            <w:tcW w:w="485" w:type="pct"/>
          </w:tcPr>
          <w:p w14:paraId="3BD98A0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argues there single authentic</w:t>
            </w:r>
          </w:p>
        </w:tc>
        <w:tc>
          <w:tcPr>
            <w:tcW w:w="535" w:type="pct"/>
          </w:tcPr>
          <w:p w14:paraId="2390347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present conventional empirical gap article</w:t>
            </w:r>
          </w:p>
        </w:tc>
      </w:tr>
      <w:tr w:rsidR="001333BC" w:rsidRPr="001333BC" w14:paraId="708AF713" w14:textId="77777777" w:rsidTr="00E62104">
        <w:trPr>
          <w:jc w:val="center"/>
        </w:trPr>
        <w:tc>
          <w:tcPr>
            <w:tcW w:w="177" w:type="pct"/>
          </w:tcPr>
          <w:p w14:paraId="4F28B90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12</w:t>
            </w:r>
          </w:p>
        </w:tc>
        <w:tc>
          <w:tcPr>
            <w:tcW w:w="405" w:type="pct"/>
          </w:tcPr>
          <w:p w14:paraId="684EF82A"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Lillekroken</w:t>
            </w:r>
            <w:proofErr w:type="spellEnd"/>
            <w:r w:rsidRPr="001333BC">
              <w:rPr>
                <w:rFonts w:ascii="Cambria" w:eastAsia="MS Mincho" w:hAnsi="Cambria" w:cs="Times New Roman"/>
                <w:sz w:val="20"/>
                <w:szCs w:val="40"/>
              </w:rPr>
              <w:t xml:space="preserve"> (2024)</w:t>
            </w:r>
          </w:p>
        </w:tc>
        <w:tc>
          <w:tcPr>
            <w:tcW w:w="436" w:type="pct"/>
          </w:tcPr>
          <w:p w14:paraId="38934D0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for Soul—Older Immigrants’ Food</w:t>
            </w:r>
          </w:p>
        </w:tc>
        <w:tc>
          <w:tcPr>
            <w:tcW w:w="486" w:type="pct"/>
          </w:tcPr>
          <w:p w14:paraId="05FFFE3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48C8153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older immigrants</w:t>
            </w:r>
          </w:p>
        </w:tc>
        <w:tc>
          <w:tcPr>
            <w:tcW w:w="388" w:type="pct"/>
          </w:tcPr>
          <w:p w14:paraId="3EE2B04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not</w:t>
            </w:r>
          </w:p>
        </w:tc>
        <w:tc>
          <w:tcPr>
            <w:tcW w:w="582" w:type="pct"/>
          </w:tcPr>
          <w:p w14:paraId="199170B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culture included</w:t>
            </w:r>
          </w:p>
        </w:tc>
        <w:tc>
          <w:tcPr>
            <w:tcW w:w="632" w:type="pct"/>
          </w:tcPr>
          <w:p w14:paraId="7B9D8C3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identity associated</w:t>
            </w:r>
          </w:p>
        </w:tc>
        <w:tc>
          <w:tcPr>
            <w:tcW w:w="534" w:type="pct"/>
          </w:tcPr>
          <w:p w14:paraId="6619309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strong maintaining</w:t>
            </w:r>
          </w:p>
        </w:tc>
        <w:tc>
          <w:tcPr>
            <w:tcW w:w="485" w:type="pct"/>
          </w:tcPr>
          <w:p w14:paraId="6F69C83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synthesized major findings significance</w:t>
            </w:r>
          </w:p>
        </w:tc>
        <w:tc>
          <w:tcPr>
            <w:tcW w:w="535" w:type="pct"/>
          </w:tcPr>
          <w:p w14:paraId="48333BD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lack specifically examining older review</w:t>
            </w:r>
          </w:p>
        </w:tc>
      </w:tr>
      <w:tr w:rsidR="001333BC" w:rsidRPr="001333BC" w14:paraId="28EB7813" w14:textId="77777777" w:rsidTr="00E62104">
        <w:trPr>
          <w:jc w:val="center"/>
        </w:trPr>
        <w:tc>
          <w:tcPr>
            <w:tcW w:w="177" w:type="pct"/>
          </w:tcPr>
          <w:p w14:paraId="1E35838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13</w:t>
            </w:r>
          </w:p>
        </w:tc>
        <w:tc>
          <w:tcPr>
            <w:tcW w:w="405" w:type="pct"/>
          </w:tcPr>
          <w:p w14:paraId="06045E37"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Chattoraj</w:t>
            </w:r>
            <w:proofErr w:type="spellEnd"/>
            <w:r w:rsidRPr="001333BC">
              <w:rPr>
                <w:rFonts w:ascii="Cambria" w:eastAsia="MS Mincho" w:hAnsi="Cambria" w:cs="Times New Roman"/>
                <w:sz w:val="20"/>
                <w:szCs w:val="40"/>
              </w:rPr>
              <w:t xml:space="preserve"> (2025)</w:t>
            </w:r>
          </w:p>
        </w:tc>
        <w:tc>
          <w:tcPr>
            <w:tcW w:w="436" w:type="pct"/>
          </w:tcPr>
          <w:p w14:paraId="709F1AF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 Search of Identity</w:t>
            </w:r>
          </w:p>
        </w:tc>
        <w:tc>
          <w:tcPr>
            <w:tcW w:w="486" w:type="pct"/>
          </w:tcPr>
          <w:p w14:paraId="22DACF1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Global South Asian diaspora</w:t>
            </w:r>
          </w:p>
        </w:tc>
        <w:tc>
          <w:tcPr>
            <w:tcW w:w="340" w:type="pct"/>
          </w:tcPr>
          <w:p w14:paraId="3F47C9A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introduce special issue</w:t>
            </w:r>
          </w:p>
        </w:tc>
        <w:tc>
          <w:tcPr>
            <w:tcW w:w="388" w:type="pct"/>
          </w:tcPr>
          <w:p w14:paraId="4010B24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Review population</w:t>
            </w:r>
          </w:p>
        </w:tc>
        <w:tc>
          <w:tcPr>
            <w:tcW w:w="582" w:type="pct"/>
          </w:tcPr>
          <w:p w14:paraId="5B947C7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food as a transmitted cultural trait</w:t>
            </w:r>
          </w:p>
        </w:tc>
        <w:tc>
          <w:tcPr>
            <w:tcW w:w="632" w:type="pct"/>
          </w:tcPr>
          <w:p w14:paraId="6A77312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identity ethnicity</w:t>
            </w:r>
          </w:p>
        </w:tc>
        <w:tc>
          <w:tcPr>
            <w:tcW w:w="534" w:type="pct"/>
          </w:tcPr>
          <w:p w14:paraId="79A4814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ethnic food helps maintain identity</w:t>
            </w:r>
          </w:p>
        </w:tc>
        <w:tc>
          <w:tcPr>
            <w:tcW w:w="485" w:type="pct"/>
          </w:tcPr>
          <w:p w14:paraId="3701374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special issue second-generation South</w:t>
            </w:r>
          </w:p>
        </w:tc>
        <w:tc>
          <w:tcPr>
            <w:tcW w:w="535" w:type="pct"/>
          </w:tcPr>
          <w:p w14:paraId="44B32DA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introduction highlights need understand introduction</w:t>
            </w:r>
          </w:p>
        </w:tc>
      </w:tr>
      <w:tr w:rsidR="001333BC" w:rsidRPr="001333BC" w14:paraId="384CCCC4" w14:textId="77777777" w:rsidTr="00E62104">
        <w:trPr>
          <w:jc w:val="center"/>
        </w:trPr>
        <w:tc>
          <w:tcPr>
            <w:tcW w:w="177" w:type="pct"/>
          </w:tcPr>
          <w:p w14:paraId="6C6A35E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14</w:t>
            </w:r>
          </w:p>
        </w:tc>
        <w:tc>
          <w:tcPr>
            <w:tcW w:w="405" w:type="pct"/>
          </w:tcPr>
          <w:p w14:paraId="41A310A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Ahsan Ullah (2025)</w:t>
            </w:r>
          </w:p>
        </w:tc>
        <w:tc>
          <w:tcPr>
            <w:tcW w:w="436" w:type="pct"/>
          </w:tcPr>
          <w:p w14:paraId="27C2847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Narratives shaping second-generation Afghan diaspora</w:t>
            </w:r>
          </w:p>
        </w:tc>
        <w:tc>
          <w:tcPr>
            <w:tcW w:w="486" w:type="pct"/>
          </w:tcPr>
          <w:p w14:paraId="6C6008F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Afghan diaspora</w:t>
            </w:r>
          </w:p>
        </w:tc>
        <w:tc>
          <w:tcPr>
            <w:tcW w:w="340" w:type="pct"/>
          </w:tcPr>
          <w:p w14:paraId="3B43E53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external narratives media</w:t>
            </w:r>
          </w:p>
        </w:tc>
        <w:tc>
          <w:tcPr>
            <w:tcW w:w="388" w:type="pct"/>
          </w:tcPr>
          <w:p w14:paraId="36BE06F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331EE9B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43F9924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Afghan cultural identity</w:t>
            </w:r>
          </w:p>
        </w:tc>
        <w:tc>
          <w:tcPr>
            <w:tcW w:w="534" w:type="pct"/>
          </w:tcPr>
          <w:p w14:paraId="586CDA5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63006EA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Second-generation Afghan identity shaped</w:t>
            </w:r>
          </w:p>
        </w:tc>
        <w:tc>
          <w:tcPr>
            <w:tcW w:w="535" w:type="pct"/>
          </w:tcPr>
          <w:p w14:paraId="22A1E7F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gap concerning external narratives article</w:t>
            </w:r>
          </w:p>
        </w:tc>
      </w:tr>
      <w:tr w:rsidR="001333BC" w:rsidRPr="001333BC" w14:paraId="02A7DFE9" w14:textId="77777777" w:rsidTr="00E62104">
        <w:trPr>
          <w:jc w:val="center"/>
        </w:trPr>
        <w:tc>
          <w:tcPr>
            <w:tcW w:w="177" w:type="pct"/>
          </w:tcPr>
          <w:p w14:paraId="7558537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15</w:t>
            </w:r>
          </w:p>
        </w:tc>
        <w:tc>
          <w:tcPr>
            <w:tcW w:w="405" w:type="pct"/>
          </w:tcPr>
          <w:p w14:paraId="5886FB6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Gingell (2022)</w:t>
            </w:r>
          </w:p>
        </w:tc>
        <w:tc>
          <w:tcPr>
            <w:tcW w:w="436" w:type="pct"/>
          </w:tcPr>
          <w:p w14:paraId="4D66C1E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security and cultural foods</w:t>
            </w:r>
          </w:p>
        </w:tc>
        <w:tc>
          <w:tcPr>
            <w:tcW w:w="486" w:type="pct"/>
          </w:tcPr>
          <w:p w14:paraId="7A28C86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High-income resettlement countries</w:t>
            </w:r>
          </w:p>
        </w:tc>
        <w:tc>
          <w:tcPr>
            <w:tcW w:w="340" w:type="pct"/>
          </w:tcPr>
          <w:p w14:paraId="099DE8D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identify barriers facilitators</w:t>
            </w:r>
          </w:p>
        </w:tc>
        <w:tc>
          <w:tcPr>
            <w:tcW w:w="388" w:type="pct"/>
          </w:tcPr>
          <w:p w14:paraId="09F9976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22 studies</w:t>
            </w:r>
          </w:p>
        </w:tc>
        <w:tc>
          <w:tcPr>
            <w:tcW w:w="582" w:type="pct"/>
          </w:tcPr>
          <w:p w14:paraId="47333A5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foods food</w:t>
            </w:r>
          </w:p>
        </w:tc>
        <w:tc>
          <w:tcPr>
            <w:tcW w:w="632" w:type="pct"/>
          </w:tcPr>
          <w:p w14:paraId="135109B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linked cultural</w:t>
            </w:r>
          </w:p>
        </w:tc>
        <w:tc>
          <w:tcPr>
            <w:tcW w:w="534" w:type="pct"/>
          </w:tcPr>
          <w:p w14:paraId="26EEBEF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food helps</w:t>
            </w:r>
          </w:p>
        </w:tc>
        <w:tc>
          <w:tcPr>
            <w:tcW w:w="485" w:type="pct"/>
          </w:tcPr>
          <w:p w14:paraId="3020215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Identity Belonging Placemaking major</w:t>
            </w:r>
          </w:p>
        </w:tc>
        <w:tc>
          <w:tcPr>
            <w:tcW w:w="535" w:type="pct"/>
          </w:tcPr>
          <w:p w14:paraId="5BAC78E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highlights need better recognition review</w:t>
            </w:r>
          </w:p>
        </w:tc>
      </w:tr>
      <w:tr w:rsidR="001333BC" w:rsidRPr="001333BC" w14:paraId="69B217D1" w14:textId="77777777" w:rsidTr="00E62104">
        <w:trPr>
          <w:jc w:val="center"/>
        </w:trPr>
        <w:tc>
          <w:tcPr>
            <w:tcW w:w="177" w:type="pct"/>
          </w:tcPr>
          <w:p w14:paraId="7D45AFE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16</w:t>
            </w:r>
          </w:p>
        </w:tc>
        <w:tc>
          <w:tcPr>
            <w:tcW w:w="405" w:type="pct"/>
          </w:tcPr>
          <w:p w14:paraId="75793A7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Nisar (2022)</w:t>
            </w:r>
          </w:p>
        </w:tc>
        <w:tc>
          <w:tcPr>
            <w:tcW w:w="436" w:type="pct"/>
          </w:tcPr>
          <w:p w14:paraId="46C484A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Cost, culture and circumstances</w:t>
            </w:r>
          </w:p>
        </w:tc>
        <w:tc>
          <w:tcPr>
            <w:tcW w:w="486" w:type="pct"/>
          </w:tcPr>
          <w:p w14:paraId="7C22C98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Australia</w:t>
            </w:r>
          </w:p>
        </w:tc>
        <w:tc>
          <w:tcPr>
            <w:tcW w:w="340" w:type="pct"/>
          </w:tcPr>
          <w:p w14:paraId="5D99EA0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gain in-depth understanding</w:t>
            </w:r>
          </w:p>
        </w:tc>
        <w:tc>
          <w:tcPr>
            <w:tcW w:w="388" w:type="pct"/>
          </w:tcPr>
          <w:p w14:paraId="74B2F76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immigrant</w:t>
            </w:r>
          </w:p>
        </w:tc>
        <w:tc>
          <w:tcPr>
            <w:tcW w:w="582" w:type="pct"/>
          </w:tcPr>
          <w:p w14:paraId="10CA693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preparation eating</w:t>
            </w:r>
          </w:p>
        </w:tc>
        <w:tc>
          <w:tcPr>
            <w:tcW w:w="632" w:type="pct"/>
          </w:tcPr>
          <w:p w14:paraId="40321B9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534" w:type="pct"/>
          </w:tcPr>
          <w:p w14:paraId="5D59892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4EEFB5C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described fundamental social</w:t>
            </w:r>
          </w:p>
        </w:tc>
        <w:tc>
          <w:tcPr>
            <w:tcW w:w="535" w:type="pct"/>
          </w:tcPr>
          <w:p w14:paraId="5D1E2D0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authors note involved only</w:t>
            </w:r>
          </w:p>
        </w:tc>
      </w:tr>
      <w:tr w:rsidR="001333BC" w:rsidRPr="001333BC" w14:paraId="17418F2D" w14:textId="77777777" w:rsidTr="00E62104">
        <w:trPr>
          <w:jc w:val="center"/>
        </w:trPr>
        <w:tc>
          <w:tcPr>
            <w:tcW w:w="177" w:type="pct"/>
          </w:tcPr>
          <w:p w14:paraId="7048A88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17</w:t>
            </w:r>
          </w:p>
        </w:tc>
        <w:tc>
          <w:tcPr>
            <w:tcW w:w="405" w:type="pct"/>
          </w:tcPr>
          <w:p w14:paraId="2E77448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Ojo (2023)</w:t>
            </w:r>
          </w:p>
        </w:tc>
        <w:tc>
          <w:tcPr>
            <w:tcW w:w="436" w:type="pct"/>
          </w:tcPr>
          <w:p w14:paraId="308D9D8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Dietary perceptions among minority ethnic</w:t>
            </w:r>
          </w:p>
        </w:tc>
        <w:tc>
          <w:tcPr>
            <w:tcW w:w="486" w:type="pct"/>
          </w:tcPr>
          <w:p w14:paraId="43E128B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Black, Asian and other</w:t>
            </w:r>
          </w:p>
        </w:tc>
        <w:tc>
          <w:tcPr>
            <w:tcW w:w="340" w:type="pct"/>
          </w:tcPr>
          <w:p w14:paraId="2FE5060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literature perceptions dietary</w:t>
            </w:r>
          </w:p>
        </w:tc>
        <w:tc>
          <w:tcPr>
            <w:tcW w:w="388" w:type="pct"/>
          </w:tcPr>
          <w:p w14:paraId="0024D77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countries</w:t>
            </w:r>
          </w:p>
        </w:tc>
        <w:tc>
          <w:tcPr>
            <w:tcW w:w="582" w:type="pct"/>
          </w:tcPr>
          <w:p w14:paraId="206ACE6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Social cultural factors</w:t>
            </w:r>
          </w:p>
        </w:tc>
        <w:tc>
          <w:tcPr>
            <w:tcW w:w="632" w:type="pct"/>
          </w:tcPr>
          <w:p w14:paraId="3C7D9EB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social and cultural context of food</w:t>
            </w:r>
          </w:p>
        </w:tc>
        <w:tc>
          <w:tcPr>
            <w:tcW w:w="534" w:type="pct"/>
          </w:tcPr>
          <w:p w14:paraId="3A3E8B0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0C6950E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Eight major themes social</w:t>
            </w:r>
          </w:p>
        </w:tc>
        <w:tc>
          <w:tcPr>
            <w:tcW w:w="535" w:type="pct"/>
          </w:tcPr>
          <w:p w14:paraId="3F50BBC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authors identify need examining</w:t>
            </w:r>
          </w:p>
        </w:tc>
      </w:tr>
      <w:tr w:rsidR="001333BC" w:rsidRPr="001333BC" w14:paraId="25DD664D" w14:textId="77777777" w:rsidTr="00E62104">
        <w:trPr>
          <w:jc w:val="center"/>
        </w:trPr>
        <w:tc>
          <w:tcPr>
            <w:tcW w:w="177" w:type="pct"/>
          </w:tcPr>
          <w:p w14:paraId="491E73C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18</w:t>
            </w:r>
          </w:p>
        </w:tc>
        <w:tc>
          <w:tcPr>
            <w:tcW w:w="405" w:type="pct"/>
          </w:tcPr>
          <w:p w14:paraId="304DAA7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Ma &amp; </w:t>
            </w:r>
            <w:proofErr w:type="gramStart"/>
            <w:r w:rsidRPr="001333BC">
              <w:rPr>
                <w:rFonts w:ascii="Cambria" w:eastAsia="MS Mincho" w:hAnsi="Cambria" w:cs="Times New Roman"/>
                <w:sz w:val="20"/>
                <w:szCs w:val="40"/>
              </w:rPr>
              <w:t>Joshi  (</w:t>
            </w:r>
            <w:proofErr w:type="gramEnd"/>
            <w:r w:rsidRPr="001333BC">
              <w:rPr>
                <w:rFonts w:ascii="Cambria" w:eastAsia="MS Mincho" w:hAnsi="Cambria" w:cs="Times New Roman"/>
                <w:sz w:val="20"/>
                <w:szCs w:val="40"/>
              </w:rPr>
              <w:t>2022)</w:t>
            </w:r>
          </w:p>
        </w:tc>
        <w:tc>
          <w:tcPr>
            <w:tcW w:w="436" w:type="pct"/>
          </w:tcPr>
          <w:p w14:paraId="2E9137A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Migrated Older Adults’ Lives in</w:t>
            </w:r>
          </w:p>
        </w:tc>
        <w:tc>
          <w:tcPr>
            <w:tcW w:w="486" w:type="pct"/>
          </w:tcPr>
          <w:p w14:paraId="1411B44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UK</w:t>
            </w:r>
          </w:p>
        </w:tc>
        <w:tc>
          <w:tcPr>
            <w:tcW w:w="340" w:type="pct"/>
          </w:tcPr>
          <w:p w14:paraId="063DC5C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complexity migrated older</w:t>
            </w:r>
          </w:p>
        </w:tc>
        <w:tc>
          <w:tcPr>
            <w:tcW w:w="388" w:type="pct"/>
          </w:tcPr>
          <w:p w14:paraId="0AD885A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2F8B6FB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134AA85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Ethnicity age gender</w:t>
            </w:r>
          </w:p>
        </w:tc>
        <w:tc>
          <w:tcPr>
            <w:tcW w:w="534" w:type="pct"/>
          </w:tcPr>
          <w:p w14:paraId="3228BCB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central analytical</w:t>
            </w:r>
          </w:p>
        </w:tc>
        <w:tc>
          <w:tcPr>
            <w:tcW w:w="485" w:type="pct"/>
          </w:tcPr>
          <w:p w14:paraId="5FDB96C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Highlights intersectional nature migrant</w:t>
            </w:r>
          </w:p>
        </w:tc>
        <w:tc>
          <w:tcPr>
            <w:tcW w:w="535" w:type="pct"/>
          </w:tcPr>
          <w:p w14:paraId="0634779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Greater attention needed specific</w:t>
            </w:r>
          </w:p>
        </w:tc>
      </w:tr>
      <w:tr w:rsidR="001333BC" w:rsidRPr="001333BC" w14:paraId="4F44267E" w14:textId="77777777" w:rsidTr="00E62104">
        <w:trPr>
          <w:jc w:val="center"/>
        </w:trPr>
        <w:tc>
          <w:tcPr>
            <w:tcW w:w="177" w:type="pct"/>
          </w:tcPr>
          <w:p w14:paraId="39AA6E8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19</w:t>
            </w:r>
          </w:p>
        </w:tc>
        <w:tc>
          <w:tcPr>
            <w:tcW w:w="405" w:type="pct"/>
          </w:tcPr>
          <w:p w14:paraId="5A5E8FE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Wang-Chen et al.  (2022)</w:t>
            </w:r>
          </w:p>
        </w:tc>
        <w:tc>
          <w:tcPr>
            <w:tcW w:w="436" w:type="pct"/>
          </w:tcPr>
          <w:p w14:paraId="78C445F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Determinants of Food </w:t>
            </w:r>
            <w:r w:rsidRPr="001333BC">
              <w:rPr>
                <w:rFonts w:ascii="Cambria" w:eastAsia="MS Mincho" w:hAnsi="Cambria" w:cs="Times New Roman"/>
                <w:sz w:val="20"/>
                <w:szCs w:val="40"/>
              </w:rPr>
              <w:lastRenderedPageBreak/>
              <w:t>Choice among</w:t>
            </w:r>
          </w:p>
        </w:tc>
        <w:tc>
          <w:tcPr>
            <w:tcW w:w="486" w:type="pct"/>
          </w:tcPr>
          <w:p w14:paraId="1CBE2BB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Chinese mainlanders and Chinese</w:t>
            </w:r>
          </w:p>
        </w:tc>
        <w:tc>
          <w:tcPr>
            <w:tcW w:w="340" w:type="pct"/>
          </w:tcPr>
          <w:p w14:paraId="46A0E54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synthesize evidence </w:t>
            </w:r>
            <w:r w:rsidRPr="001333BC">
              <w:rPr>
                <w:rFonts w:ascii="Cambria" w:eastAsia="MS Mincho" w:hAnsi="Cambria" w:cs="Times New Roman"/>
                <w:sz w:val="20"/>
                <w:szCs w:val="40"/>
              </w:rPr>
              <w:lastRenderedPageBreak/>
              <w:t>determinants</w:t>
            </w:r>
          </w:p>
        </w:tc>
        <w:tc>
          <w:tcPr>
            <w:tcW w:w="388" w:type="pct"/>
          </w:tcPr>
          <w:p w14:paraId="258892B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 xml:space="preserve">involving Chinese </w:t>
            </w:r>
            <w:r w:rsidRPr="001333BC">
              <w:rPr>
                <w:rFonts w:ascii="Cambria" w:eastAsia="MS Mincho" w:hAnsi="Cambria" w:cs="Times New Roman"/>
                <w:sz w:val="20"/>
                <w:szCs w:val="40"/>
              </w:rPr>
              <w:lastRenderedPageBreak/>
              <w:t>mainlanders</w:t>
            </w:r>
          </w:p>
        </w:tc>
        <w:tc>
          <w:tcPr>
            <w:tcW w:w="582" w:type="pct"/>
          </w:tcPr>
          <w:p w14:paraId="03701EC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Traditional foods food</w:t>
            </w:r>
          </w:p>
        </w:tc>
        <w:tc>
          <w:tcPr>
            <w:tcW w:w="632" w:type="pct"/>
          </w:tcPr>
          <w:p w14:paraId="7F58FAD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background family</w:t>
            </w:r>
          </w:p>
        </w:tc>
        <w:tc>
          <w:tcPr>
            <w:tcW w:w="534" w:type="pct"/>
          </w:tcPr>
          <w:p w14:paraId="139C592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choices maintain</w:t>
            </w:r>
          </w:p>
        </w:tc>
        <w:tc>
          <w:tcPr>
            <w:tcW w:w="485" w:type="pct"/>
          </w:tcPr>
          <w:p w14:paraId="7014426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choice influenced cultural</w:t>
            </w:r>
          </w:p>
        </w:tc>
        <w:tc>
          <w:tcPr>
            <w:tcW w:w="535" w:type="pct"/>
          </w:tcPr>
          <w:p w14:paraId="5443FCC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different migrant</w:t>
            </w:r>
          </w:p>
        </w:tc>
      </w:tr>
      <w:tr w:rsidR="001333BC" w:rsidRPr="001333BC" w14:paraId="5CDC7412" w14:textId="77777777" w:rsidTr="00E62104">
        <w:trPr>
          <w:jc w:val="center"/>
        </w:trPr>
        <w:tc>
          <w:tcPr>
            <w:tcW w:w="177" w:type="pct"/>
          </w:tcPr>
          <w:p w14:paraId="04859A5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20</w:t>
            </w:r>
          </w:p>
        </w:tc>
        <w:tc>
          <w:tcPr>
            <w:tcW w:w="405" w:type="pct"/>
          </w:tcPr>
          <w:p w14:paraId="147E20D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Song (2023)</w:t>
            </w:r>
          </w:p>
        </w:tc>
        <w:tc>
          <w:tcPr>
            <w:tcW w:w="436" w:type="pct"/>
          </w:tcPr>
          <w:p w14:paraId="45BFBFC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Acculturation and Eating Disorders</w:t>
            </w:r>
          </w:p>
        </w:tc>
        <w:tc>
          <w:tcPr>
            <w:tcW w:w="486" w:type="pct"/>
          </w:tcPr>
          <w:p w14:paraId="682C70E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immigrant and ethnic</w:t>
            </w:r>
          </w:p>
        </w:tc>
        <w:tc>
          <w:tcPr>
            <w:tcW w:w="340" w:type="pct"/>
          </w:tcPr>
          <w:p w14:paraId="0BF36E2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relationship acculturation-related factors</w:t>
            </w:r>
          </w:p>
        </w:tc>
        <w:tc>
          <w:tcPr>
            <w:tcW w:w="388" w:type="pct"/>
          </w:tcPr>
          <w:p w14:paraId="14D5EF7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6E516B0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Eating behaviors dietary</w:t>
            </w:r>
          </w:p>
        </w:tc>
        <w:tc>
          <w:tcPr>
            <w:tcW w:w="632" w:type="pct"/>
          </w:tcPr>
          <w:p w14:paraId="44838C2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Heritage identity host-country</w:t>
            </w:r>
          </w:p>
        </w:tc>
        <w:tc>
          <w:tcPr>
            <w:tcW w:w="534" w:type="pct"/>
          </w:tcPr>
          <w:p w14:paraId="05A3F52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transition acculturation</w:t>
            </w:r>
          </w:p>
        </w:tc>
        <w:tc>
          <w:tcPr>
            <w:tcW w:w="485" w:type="pct"/>
          </w:tcPr>
          <w:p w14:paraId="7E00BC3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complex relationships acculturation eating-related</w:t>
            </w:r>
          </w:p>
        </w:tc>
        <w:tc>
          <w:tcPr>
            <w:tcW w:w="535" w:type="pct"/>
          </w:tcPr>
          <w:p w14:paraId="7D41B57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culturally specific needed different</w:t>
            </w:r>
          </w:p>
        </w:tc>
      </w:tr>
      <w:tr w:rsidR="001333BC" w:rsidRPr="001333BC" w14:paraId="5F4EDE6A" w14:textId="77777777" w:rsidTr="00E62104">
        <w:trPr>
          <w:jc w:val="center"/>
        </w:trPr>
        <w:tc>
          <w:tcPr>
            <w:tcW w:w="177" w:type="pct"/>
          </w:tcPr>
          <w:p w14:paraId="105DB38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21</w:t>
            </w:r>
          </w:p>
        </w:tc>
        <w:tc>
          <w:tcPr>
            <w:tcW w:w="405" w:type="pct"/>
          </w:tcPr>
          <w:p w14:paraId="75BD057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Rai (2023)</w:t>
            </w:r>
          </w:p>
        </w:tc>
        <w:tc>
          <w:tcPr>
            <w:tcW w:w="436" w:type="pct"/>
          </w:tcPr>
          <w:p w14:paraId="6F88057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Nature-Based Integration of Migrants</w:t>
            </w:r>
          </w:p>
        </w:tc>
        <w:tc>
          <w:tcPr>
            <w:tcW w:w="486" w:type="pct"/>
          </w:tcPr>
          <w:p w14:paraId="50459E1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Cross-national migrant populations</w:t>
            </w:r>
          </w:p>
        </w:tc>
        <w:tc>
          <w:tcPr>
            <w:tcW w:w="340" w:type="pct"/>
          </w:tcPr>
          <w:p w14:paraId="19CE8A5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evidence concerning</w:t>
            </w:r>
          </w:p>
        </w:tc>
        <w:tc>
          <w:tcPr>
            <w:tcW w:w="388" w:type="pct"/>
          </w:tcPr>
          <w:p w14:paraId="239DBEA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75A7524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2F0D1AB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Belonging social connection</w:t>
            </w:r>
          </w:p>
        </w:tc>
        <w:tc>
          <w:tcPr>
            <w:tcW w:w="534" w:type="pct"/>
          </w:tcPr>
          <w:p w14:paraId="24C6573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680C9B1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Nature-based environments facilitate social</w:t>
            </w:r>
          </w:p>
        </w:tc>
        <w:tc>
          <w:tcPr>
            <w:tcW w:w="535" w:type="pct"/>
          </w:tcPr>
          <w:p w14:paraId="46A5BCF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required specific cultural</w:t>
            </w:r>
          </w:p>
        </w:tc>
      </w:tr>
      <w:tr w:rsidR="001333BC" w:rsidRPr="001333BC" w14:paraId="411A7899" w14:textId="77777777" w:rsidTr="00E62104">
        <w:trPr>
          <w:jc w:val="center"/>
        </w:trPr>
        <w:tc>
          <w:tcPr>
            <w:tcW w:w="177" w:type="pct"/>
          </w:tcPr>
          <w:p w14:paraId="6FB7796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22</w:t>
            </w:r>
          </w:p>
        </w:tc>
        <w:tc>
          <w:tcPr>
            <w:tcW w:w="405" w:type="pct"/>
          </w:tcPr>
          <w:p w14:paraId="6CBA1A2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Sultana (2023)</w:t>
            </w:r>
          </w:p>
        </w:tc>
        <w:tc>
          <w:tcPr>
            <w:tcW w:w="436" w:type="pct"/>
          </w:tcPr>
          <w:p w14:paraId="3A8AE03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Help-Seeking among South Asian Women</w:t>
            </w:r>
          </w:p>
        </w:tc>
        <w:tc>
          <w:tcPr>
            <w:tcW w:w="486" w:type="pct"/>
          </w:tcPr>
          <w:p w14:paraId="7CC8ED9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women in</w:t>
            </w:r>
          </w:p>
        </w:tc>
        <w:tc>
          <w:tcPr>
            <w:tcW w:w="340" w:type="pct"/>
          </w:tcPr>
          <w:p w14:paraId="435039A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barriers facilitators</w:t>
            </w:r>
          </w:p>
        </w:tc>
        <w:tc>
          <w:tcPr>
            <w:tcW w:w="388" w:type="pct"/>
          </w:tcPr>
          <w:p w14:paraId="77C0E70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Meta-synthesis involving South</w:t>
            </w:r>
          </w:p>
        </w:tc>
        <w:tc>
          <w:tcPr>
            <w:tcW w:w="582" w:type="pct"/>
          </w:tcPr>
          <w:p w14:paraId="3E6BE13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4BAAF32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Ethnicity culture religion</w:t>
            </w:r>
          </w:p>
        </w:tc>
        <w:tc>
          <w:tcPr>
            <w:tcW w:w="534" w:type="pct"/>
          </w:tcPr>
          <w:p w14:paraId="783E537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culture directly</w:t>
            </w:r>
          </w:p>
        </w:tc>
        <w:tc>
          <w:tcPr>
            <w:tcW w:w="485" w:type="pct"/>
          </w:tcPr>
          <w:p w14:paraId="0A15D11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norms family expectations</w:t>
            </w:r>
          </w:p>
        </w:tc>
        <w:tc>
          <w:tcPr>
            <w:tcW w:w="535" w:type="pct"/>
          </w:tcPr>
          <w:p w14:paraId="0202D10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culturally specific</w:t>
            </w:r>
          </w:p>
        </w:tc>
      </w:tr>
      <w:tr w:rsidR="001333BC" w:rsidRPr="001333BC" w14:paraId="752E8541" w14:textId="77777777" w:rsidTr="00E62104">
        <w:trPr>
          <w:jc w:val="center"/>
        </w:trPr>
        <w:tc>
          <w:tcPr>
            <w:tcW w:w="177" w:type="pct"/>
          </w:tcPr>
          <w:p w14:paraId="2F916B1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23</w:t>
            </w:r>
          </w:p>
        </w:tc>
        <w:tc>
          <w:tcPr>
            <w:tcW w:w="405" w:type="pct"/>
          </w:tcPr>
          <w:p w14:paraId="78C706B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Choi &amp; </w:t>
            </w:r>
            <w:proofErr w:type="gramStart"/>
            <w:r w:rsidRPr="001333BC">
              <w:rPr>
                <w:rFonts w:ascii="Cambria" w:eastAsia="MS Mincho" w:hAnsi="Cambria" w:cs="Times New Roman"/>
                <w:sz w:val="20"/>
                <w:szCs w:val="40"/>
              </w:rPr>
              <w:t>Kang  (</w:t>
            </w:r>
            <w:proofErr w:type="gramEnd"/>
            <w:r w:rsidRPr="001333BC">
              <w:rPr>
                <w:rFonts w:ascii="Cambria" w:eastAsia="MS Mincho" w:hAnsi="Cambria" w:cs="Times New Roman"/>
                <w:sz w:val="20"/>
                <w:szCs w:val="40"/>
              </w:rPr>
              <w:t>2025)</w:t>
            </w:r>
          </w:p>
        </w:tc>
        <w:tc>
          <w:tcPr>
            <w:tcW w:w="436" w:type="pct"/>
          </w:tcPr>
          <w:p w14:paraId="065A33E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Factors Related to Immigrants’</w:t>
            </w:r>
          </w:p>
        </w:tc>
        <w:tc>
          <w:tcPr>
            <w:tcW w:w="486" w:type="pct"/>
          </w:tcPr>
          <w:p w14:paraId="4D8654C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immigrant populations</w:t>
            </w:r>
          </w:p>
        </w:tc>
        <w:tc>
          <w:tcPr>
            <w:tcW w:w="340" w:type="pct"/>
          </w:tcPr>
          <w:p w14:paraId="356F15A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identify classify cultural</w:t>
            </w:r>
          </w:p>
        </w:tc>
        <w:tc>
          <w:tcPr>
            <w:tcW w:w="388" w:type="pct"/>
          </w:tcPr>
          <w:p w14:paraId="019FA7A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42 studies</w:t>
            </w:r>
          </w:p>
        </w:tc>
        <w:tc>
          <w:tcPr>
            <w:tcW w:w="582" w:type="pct"/>
          </w:tcPr>
          <w:p w14:paraId="64F06E2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76BF24B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Ethnic identity acculturation</w:t>
            </w:r>
          </w:p>
        </w:tc>
        <w:tc>
          <w:tcPr>
            <w:tcW w:w="534" w:type="pct"/>
          </w:tcPr>
          <w:p w14:paraId="1DEF5AA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culture directly</w:t>
            </w:r>
          </w:p>
        </w:tc>
        <w:tc>
          <w:tcPr>
            <w:tcW w:w="485" w:type="pct"/>
          </w:tcPr>
          <w:p w14:paraId="027606C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Acculturation ethnic identity social</w:t>
            </w:r>
          </w:p>
        </w:tc>
        <w:tc>
          <w:tcPr>
            <w:tcW w:w="535" w:type="pct"/>
          </w:tcPr>
          <w:p w14:paraId="04EF8E3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needed under-represented migrant populations</w:t>
            </w:r>
          </w:p>
        </w:tc>
      </w:tr>
      <w:tr w:rsidR="001333BC" w:rsidRPr="001333BC" w14:paraId="4D8FDF30" w14:textId="77777777" w:rsidTr="00E62104">
        <w:trPr>
          <w:jc w:val="center"/>
        </w:trPr>
        <w:tc>
          <w:tcPr>
            <w:tcW w:w="177" w:type="pct"/>
          </w:tcPr>
          <w:p w14:paraId="14BAF9D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24</w:t>
            </w:r>
          </w:p>
        </w:tc>
        <w:tc>
          <w:tcPr>
            <w:tcW w:w="405" w:type="pct"/>
          </w:tcPr>
          <w:p w14:paraId="640F01D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Sun (2023)</w:t>
            </w:r>
          </w:p>
        </w:tc>
        <w:tc>
          <w:tcPr>
            <w:tcW w:w="436" w:type="pct"/>
          </w:tcPr>
          <w:p w14:paraId="2EC7A94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Asian Students and Familial Pressures</w:t>
            </w:r>
          </w:p>
        </w:tc>
        <w:tc>
          <w:tcPr>
            <w:tcW w:w="486" w:type="pct"/>
          </w:tcPr>
          <w:p w14:paraId="3CB58D1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Anglosphere countries, including the</w:t>
            </w:r>
          </w:p>
        </w:tc>
        <w:tc>
          <w:tcPr>
            <w:tcW w:w="340" w:type="pct"/>
          </w:tcPr>
          <w:p w14:paraId="1BF1863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synthesize evidence </w:t>
            </w:r>
            <w:r w:rsidRPr="001333BC">
              <w:rPr>
                <w:rFonts w:ascii="Cambria" w:eastAsia="MS Mincho" w:hAnsi="Cambria" w:cs="Times New Roman"/>
                <w:sz w:val="20"/>
                <w:szCs w:val="40"/>
              </w:rPr>
              <w:lastRenderedPageBreak/>
              <w:t>concerning</w:t>
            </w:r>
          </w:p>
        </w:tc>
        <w:tc>
          <w:tcPr>
            <w:tcW w:w="388" w:type="pct"/>
          </w:tcPr>
          <w:p w14:paraId="1BB6B8E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involving Asian students</w:t>
            </w:r>
          </w:p>
        </w:tc>
        <w:tc>
          <w:tcPr>
            <w:tcW w:w="582" w:type="pct"/>
          </w:tcPr>
          <w:p w14:paraId="4BE1713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Eating behaviors culturally</w:t>
            </w:r>
          </w:p>
        </w:tc>
        <w:tc>
          <w:tcPr>
            <w:tcW w:w="632" w:type="pct"/>
          </w:tcPr>
          <w:p w14:paraId="22C0C39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Asian cultural values</w:t>
            </w:r>
          </w:p>
        </w:tc>
        <w:tc>
          <w:tcPr>
            <w:tcW w:w="534" w:type="pct"/>
          </w:tcPr>
          <w:p w14:paraId="581B45D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Eating practices reflect</w:t>
            </w:r>
          </w:p>
        </w:tc>
        <w:tc>
          <w:tcPr>
            <w:tcW w:w="485" w:type="pct"/>
          </w:tcPr>
          <w:p w14:paraId="295299A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Familial expectations intergenerational conflict</w:t>
            </w:r>
          </w:p>
        </w:tc>
        <w:tc>
          <w:tcPr>
            <w:tcW w:w="535" w:type="pct"/>
          </w:tcPr>
          <w:p w14:paraId="60DE5C8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differences Asian</w:t>
            </w:r>
          </w:p>
        </w:tc>
      </w:tr>
      <w:tr w:rsidR="001333BC" w:rsidRPr="001333BC" w14:paraId="797D32FF" w14:textId="77777777" w:rsidTr="00E62104">
        <w:trPr>
          <w:jc w:val="center"/>
        </w:trPr>
        <w:tc>
          <w:tcPr>
            <w:tcW w:w="177" w:type="pct"/>
          </w:tcPr>
          <w:p w14:paraId="237206D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25</w:t>
            </w:r>
          </w:p>
        </w:tc>
        <w:tc>
          <w:tcPr>
            <w:tcW w:w="405" w:type="pct"/>
          </w:tcPr>
          <w:p w14:paraId="687DF844"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Sunderaraman</w:t>
            </w:r>
            <w:proofErr w:type="spellEnd"/>
            <w:r w:rsidRPr="001333BC">
              <w:rPr>
                <w:rFonts w:ascii="Cambria" w:eastAsia="MS Mincho" w:hAnsi="Cambria" w:cs="Times New Roman"/>
                <w:sz w:val="20"/>
                <w:szCs w:val="40"/>
              </w:rPr>
              <w:t xml:space="preserve"> (2023)</w:t>
            </w:r>
          </w:p>
        </w:tc>
        <w:tc>
          <w:tcPr>
            <w:tcW w:w="436" w:type="pct"/>
          </w:tcPr>
          <w:p w14:paraId="43AA3A7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Asian Indians in the United</w:t>
            </w:r>
          </w:p>
        </w:tc>
        <w:tc>
          <w:tcPr>
            <w:tcW w:w="486" w:type="pct"/>
          </w:tcPr>
          <w:p w14:paraId="7490F6E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USA</w:t>
            </w:r>
          </w:p>
        </w:tc>
        <w:tc>
          <w:tcPr>
            <w:tcW w:w="340" w:type="pct"/>
          </w:tcPr>
          <w:p w14:paraId="785D3E2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Biopsychosocial health characteristics</w:t>
            </w:r>
          </w:p>
        </w:tc>
        <w:tc>
          <w:tcPr>
            <w:tcW w:w="388" w:type="pct"/>
          </w:tcPr>
          <w:p w14:paraId="2C25710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336CCDF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702642B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Asian Indian cultural</w:t>
            </w:r>
          </w:p>
        </w:tc>
        <w:tc>
          <w:tcPr>
            <w:tcW w:w="534" w:type="pct"/>
          </w:tcPr>
          <w:p w14:paraId="06DA32F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7BE2B28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contextual information cultural psychosocial</w:t>
            </w:r>
          </w:p>
        </w:tc>
        <w:tc>
          <w:tcPr>
            <w:tcW w:w="535" w:type="pct"/>
          </w:tcPr>
          <w:p w14:paraId="42E8D69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address cultural</w:t>
            </w:r>
          </w:p>
        </w:tc>
      </w:tr>
      <w:tr w:rsidR="001333BC" w:rsidRPr="001333BC" w14:paraId="5B87ED95" w14:textId="77777777" w:rsidTr="00E62104">
        <w:trPr>
          <w:jc w:val="center"/>
        </w:trPr>
        <w:tc>
          <w:tcPr>
            <w:tcW w:w="177" w:type="pct"/>
          </w:tcPr>
          <w:p w14:paraId="531A602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26</w:t>
            </w:r>
          </w:p>
        </w:tc>
        <w:tc>
          <w:tcPr>
            <w:tcW w:w="405" w:type="pct"/>
          </w:tcPr>
          <w:p w14:paraId="35E80B18"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Lerias</w:t>
            </w:r>
            <w:proofErr w:type="spellEnd"/>
            <w:r w:rsidRPr="001333BC">
              <w:rPr>
                <w:rFonts w:ascii="Cambria" w:eastAsia="MS Mincho" w:hAnsi="Cambria" w:cs="Times New Roman"/>
                <w:sz w:val="20"/>
                <w:szCs w:val="40"/>
              </w:rPr>
              <w:t xml:space="preserve"> et al.  (2025)</w:t>
            </w:r>
          </w:p>
        </w:tc>
        <w:tc>
          <w:tcPr>
            <w:tcW w:w="436" w:type="pct"/>
          </w:tcPr>
          <w:p w14:paraId="21FE576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Acculturative Stress and Immigrant Youth</w:t>
            </w:r>
          </w:p>
        </w:tc>
        <w:tc>
          <w:tcPr>
            <w:tcW w:w="486" w:type="pct"/>
          </w:tcPr>
          <w:p w14:paraId="356C19C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0F24ED5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acculturative stress mental</w:t>
            </w:r>
          </w:p>
        </w:tc>
        <w:tc>
          <w:tcPr>
            <w:tcW w:w="388" w:type="pct"/>
          </w:tcPr>
          <w:p w14:paraId="16B0D4A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18D9F1A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7C18E40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adaptation acculturation</w:t>
            </w:r>
          </w:p>
        </w:tc>
        <w:tc>
          <w:tcPr>
            <w:tcW w:w="534" w:type="pct"/>
          </w:tcPr>
          <w:p w14:paraId="61F1594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02FBE0F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Acculturative stress associated challenges</w:t>
            </w:r>
          </w:p>
        </w:tc>
        <w:tc>
          <w:tcPr>
            <w:tcW w:w="535" w:type="pct"/>
          </w:tcPr>
          <w:p w14:paraId="13F28FE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needed diverse migrant groups</w:t>
            </w:r>
          </w:p>
        </w:tc>
      </w:tr>
      <w:tr w:rsidR="001333BC" w:rsidRPr="001333BC" w14:paraId="328F3ADD" w14:textId="77777777" w:rsidTr="00E62104">
        <w:trPr>
          <w:jc w:val="center"/>
        </w:trPr>
        <w:tc>
          <w:tcPr>
            <w:tcW w:w="177" w:type="pct"/>
          </w:tcPr>
          <w:p w14:paraId="08B25B5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27</w:t>
            </w:r>
          </w:p>
        </w:tc>
        <w:tc>
          <w:tcPr>
            <w:tcW w:w="405" w:type="pct"/>
          </w:tcPr>
          <w:p w14:paraId="3D67469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Islam (2024)</w:t>
            </w:r>
          </w:p>
        </w:tc>
        <w:tc>
          <w:tcPr>
            <w:tcW w:w="436" w:type="pct"/>
          </w:tcPr>
          <w:p w14:paraId="3E0BDFD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Women’s Participation in South Asian</w:t>
            </w:r>
          </w:p>
        </w:tc>
        <w:tc>
          <w:tcPr>
            <w:tcW w:w="486" w:type="pct"/>
          </w:tcPr>
          <w:p w14:paraId="6897959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agricultural contexts</w:t>
            </w:r>
          </w:p>
        </w:tc>
        <w:tc>
          <w:tcPr>
            <w:tcW w:w="340" w:type="pct"/>
          </w:tcPr>
          <w:p w14:paraId="1A52DB8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comprehensively women participation</w:t>
            </w:r>
          </w:p>
        </w:tc>
        <w:tc>
          <w:tcPr>
            <w:tcW w:w="388" w:type="pct"/>
          </w:tcPr>
          <w:p w14:paraId="77BCDF2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23C9A07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production agricultural</w:t>
            </w:r>
          </w:p>
        </w:tc>
        <w:tc>
          <w:tcPr>
            <w:tcW w:w="632" w:type="pct"/>
          </w:tcPr>
          <w:p w14:paraId="091E42E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Gender social norms</w:t>
            </w:r>
          </w:p>
        </w:tc>
        <w:tc>
          <w:tcPr>
            <w:tcW w:w="534" w:type="pct"/>
          </w:tcPr>
          <w:p w14:paraId="68F9AF4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production connected</w:t>
            </w:r>
          </w:p>
        </w:tc>
        <w:tc>
          <w:tcPr>
            <w:tcW w:w="485" w:type="pct"/>
          </w:tcPr>
          <w:p w14:paraId="4DC5E6F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women agricultural</w:t>
            </w:r>
          </w:p>
        </w:tc>
        <w:tc>
          <w:tcPr>
            <w:tcW w:w="535" w:type="pct"/>
          </w:tcPr>
          <w:p w14:paraId="3C3AB06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cultural social</w:t>
            </w:r>
          </w:p>
        </w:tc>
      </w:tr>
      <w:tr w:rsidR="001333BC" w:rsidRPr="001333BC" w14:paraId="0D5E9799" w14:textId="77777777" w:rsidTr="00E62104">
        <w:trPr>
          <w:jc w:val="center"/>
        </w:trPr>
        <w:tc>
          <w:tcPr>
            <w:tcW w:w="177" w:type="pct"/>
          </w:tcPr>
          <w:p w14:paraId="3BD1EE0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28</w:t>
            </w:r>
          </w:p>
        </w:tc>
        <w:tc>
          <w:tcPr>
            <w:tcW w:w="405" w:type="pct"/>
          </w:tcPr>
          <w:p w14:paraId="7FA54FC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Masih (2024)</w:t>
            </w:r>
          </w:p>
        </w:tc>
        <w:tc>
          <w:tcPr>
            <w:tcW w:w="436" w:type="pct"/>
          </w:tcPr>
          <w:p w14:paraId="03F3030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Domestic Abuse and Violence among</w:t>
            </w:r>
          </w:p>
        </w:tc>
        <w:tc>
          <w:tcPr>
            <w:tcW w:w="486" w:type="pct"/>
          </w:tcPr>
          <w:p w14:paraId="1CC6F25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174BB73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evidence psychological</w:t>
            </w:r>
          </w:p>
        </w:tc>
        <w:tc>
          <w:tcPr>
            <w:tcW w:w="388" w:type="pct"/>
          </w:tcPr>
          <w:p w14:paraId="4EBFA67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29632BD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5C96429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cultural</w:t>
            </w:r>
          </w:p>
        </w:tc>
        <w:tc>
          <w:tcPr>
            <w:tcW w:w="534" w:type="pct"/>
          </w:tcPr>
          <w:p w14:paraId="0B860A2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3041405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social expectations influence</w:t>
            </w:r>
          </w:p>
        </w:tc>
        <w:tc>
          <w:tcPr>
            <w:tcW w:w="535" w:type="pct"/>
          </w:tcPr>
          <w:p w14:paraId="524DCA8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culturally sensitive intersectional needed</w:t>
            </w:r>
          </w:p>
        </w:tc>
      </w:tr>
      <w:tr w:rsidR="001333BC" w:rsidRPr="001333BC" w14:paraId="1BC06F62" w14:textId="77777777" w:rsidTr="00E62104">
        <w:trPr>
          <w:jc w:val="center"/>
        </w:trPr>
        <w:tc>
          <w:tcPr>
            <w:tcW w:w="177" w:type="pct"/>
          </w:tcPr>
          <w:p w14:paraId="00EA8F2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29</w:t>
            </w:r>
          </w:p>
        </w:tc>
        <w:tc>
          <w:tcPr>
            <w:tcW w:w="405" w:type="pct"/>
          </w:tcPr>
          <w:p w14:paraId="41831C25"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Ngongalah</w:t>
            </w:r>
            <w:proofErr w:type="spellEnd"/>
            <w:r w:rsidRPr="001333BC">
              <w:rPr>
                <w:rFonts w:ascii="Cambria" w:eastAsia="MS Mincho" w:hAnsi="Cambria" w:cs="Times New Roman"/>
                <w:sz w:val="20"/>
                <w:szCs w:val="40"/>
              </w:rPr>
              <w:t xml:space="preserve"> et al.  (2023)</w:t>
            </w:r>
          </w:p>
        </w:tc>
        <w:tc>
          <w:tcPr>
            <w:tcW w:w="436" w:type="pct"/>
          </w:tcPr>
          <w:p w14:paraId="5DDB81C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Influences on African Migrant</w:t>
            </w:r>
          </w:p>
        </w:tc>
        <w:tc>
          <w:tcPr>
            <w:tcW w:w="486" w:type="pct"/>
          </w:tcPr>
          <w:p w14:paraId="490E4F1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UK</w:t>
            </w:r>
          </w:p>
        </w:tc>
        <w:tc>
          <w:tcPr>
            <w:tcW w:w="340" w:type="pct"/>
          </w:tcPr>
          <w:p w14:paraId="44FBF34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influences dietary</w:t>
            </w:r>
          </w:p>
        </w:tc>
        <w:tc>
          <w:tcPr>
            <w:tcW w:w="388" w:type="pct"/>
          </w:tcPr>
          <w:p w14:paraId="10AFC14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African migrant pregnant</w:t>
            </w:r>
          </w:p>
        </w:tc>
        <w:tc>
          <w:tcPr>
            <w:tcW w:w="582" w:type="pct"/>
          </w:tcPr>
          <w:p w14:paraId="4197AC1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Traditional foods food</w:t>
            </w:r>
          </w:p>
        </w:tc>
        <w:tc>
          <w:tcPr>
            <w:tcW w:w="632" w:type="pct"/>
          </w:tcPr>
          <w:p w14:paraId="72B2F27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traditions family</w:t>
            </w:r>
          </w:p>
        </w:tc>
        <w:tc>
          <w:tcPr>
            <w:tcW w:w="534" w:type="pct"/>
          </w:tcPr>
          <w:p w14:paraId="560D54F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Maintaining culturally familiar</w:t>
            </w:r>
          </w:p>
        </w:tc>
        <w:tc>
          <w:tcPr>
            <w:tcW w:w="485" w:type="pct"/>
          </w:tcPr>
          <w:p w14:paraId="588254E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and traditional food practices</w:t>
            </w:r>
          </w:p>
        </w:tc>
        <w:tc>
          <w:tcPr>
            <w:tcW w:w="535" w:type="pct"/>
          </w:tcPr>
          <w:p w14:paraId="1B014BA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culturally appropriate</w:t>
            </w:r>
          </w:p>
        </w:tc>
      </w:tr>
      <w:tr w:rsidR="001333BC" w:rsidRPr="001333BC" w14:paraId="2E4BF78F" w14:textId="77777777" w:rsidTr="00E62104">
        <w:trPr>
          <w:jc w:val="center"/>
        </w:trPr>
        <w:tc>
          <w:tcPr>
            <w:tcW w:w="177" w:type="pct"/>
          </w:tcPr>
          <w:p w14:paraId="407DC60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30</w:t>
            </w:r>
          </w:p>
        </w:tc>
        <w:tc>
          <w:tcPr>
            <w:tcW w:w="405" w:type="pct"/>
          </w:tcPr>
          <w:p w14:paraId="3423336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Dhir et al.  (2024)</w:t>
            </w:r>
          </w:p>
        </w:tc>
        <w:tc>
          <w:tcPr>
            <w:tcW w:w="436" w:type="pct"/>
          </w:tcPr>
          <w:p w14:paraId="4577614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Type 2 Diabetes and Weight</w:t>
            </w:r>
          </w:p>
        </w:tc>
        <w:tc>
          <w:tcPr>
            <w:tcW w:w="486" w:type="pct"/>
          </w:tcPr>
          <w:p w14:paraId="0FDC252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High-income countries</w:t>
            </w:r>
          </w:p>
        </w:tc>
        <w:tc>
          <w:tcPr>
            <w:tcW w:w="340" w:type="pct"/>
          </w:tcPr>
          <w:p w14:paraId="0B8B32A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evidence views</w:t>
            </w:r>
          </w:p>
        </w:tc>
        <w:tc>
          <w:tcPr>
            <w:tcW w:w="388" w:type="pct"/>
          </w:tcPr>
          <w:p w14:paraId="7621E09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0CB1F11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Dietary practices culturally</w:t>
            </w:r>
          </w:p>
        </w:tc>
        <w:tc>
          <w:tcPr>
            <w:tcW w:w="632" w:type="pct"/>
          </w:tcPr>
          <w:p w14:paraId="217B29D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Ethnicity culture family</w:t>
            </w:r>
          </w:p>
        </w:tc>
        <w:tc>
          <w:tcPr>
            <w:tcW w:w="534" w:type="pct"/>
          </w:tcPr>
          <w:p w14:paraId="0D0019A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dietary practices</w:t>
            </w:r>
          </w:p>
        </w:tc>
        <w:tc>
          <w:tcPr>
            <w:tcW w:w="485" w:type="pct"/>
          </w:tcPr>
          <w:p w14:paraId="57E6117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Participants described cultural social</w:t>
            </w:r>
          </w:p>
        </w:tc>
        <w:tc>
          <w:tcPr>
            <w:tcW w:w="535" w:type="pct"/>
          </w:tcPr>
          <w:p w14:paraId="3039A3C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Culturally responsively needed specific</w:t>
            </w:r>
          </w:p>
        </w:tc>
      </w:tr>
      <w:tr w:rsidR="001333BC" w:rsidRPr="001333BC" w14:paraId="7B9B0445" w14:textId="77777777" w:rsidTr="00E62104">
        <w:trPr>
          <w:jc w:val="center"/>
        </w:trPr>
        <w:tc>
          <w:tcPr>
            <w:tcW w:w="177" w:type="pct"/>
          </w:tcPr>
          <w:p w14:paraId="3364F7A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31</w:t>
            </w:r>
          </w:p>
        </w:tc>
        <w:tc>
          <w:tcPr>
            <w:tcW w:w="405" w:type="pct"/>
          </w:tcPr>
          <w:p w14:paraId="437C845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Luk (2025)</w:t>
            </w:r>
          </w:p>
        </w:tc>
        <w:tc>
          <w:tcPr>
            <w:tcW w:w="436" w:type="pct"/>
          </w:tcPr>
          <w:p w14:paraId="1AED3DC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Ancestry, Geography and Diabetes Complications</w:t>
            </w:r>
          </w:p>
        </w:tc>
        <w:tc>
          <w:tcPr>
            <w:tcW w:w="486" w:type="pct"/>
          </w:tcPr>
          <w:p w14:paraId="1A676B5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0C8D81A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ancestry geographical determinants</w:t>
            </w:r>
          </w:p>
        </w:tc>
        <w:tc>
          <w:tcPr>
            <w:tcW w:w="388" w:type="pct"/>
          </w:tcPr>
          <w:p w14:paraId="2BB2F0F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0AD296F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4BF6186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Ancestry geographical background</w:t>
            </w:r>
          </w:p>
        </w:tc>
        <w:tc>
          <w:tcPr>
            <w:tcW w:w="534" w:type="pct"/>
          </w:tcPr>
          <w:p w14:paraId="3B14359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11589E7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Diabetes complications vary populations</w:t>
            </w:r>
          </w:p>
        </w:tc>
        <w:tc>
          <w:tcPr>
            <w:tcW w:w="535" w:type="pct"/>
          </w:tcPr>
          <w:p w14:paraId="0FC45FC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required clarify interactions</w:t>
            </w:r>
          </w:p>
        </w:tc>
      </w:tr>
      <w:tr w:rsidR="001333BC" w:rsidRPr="001333BC" w14:paraId="3A2208FD" w14:textId="77777777" w:rsidTr="00E62104">
        <w:trPr>
          <w:jc w:val="center"/>
        </w:trPr>
        <w:tc>
          <w:tcPr>
            <w:tcW w:w="177" w:type="pct"/>
          </w:tcPr>
          <w:p w14:paraId="04FFC70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32</w:t>
            </w:r>
          </w:p>
        </w:tc>
        <w:tc>
          <w:tcPr>
            <w:tcW w:w="405" w:type="pct"/>
          </w:tcPr>
          <w:p w14:paraId="63820F4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Tripathi (2022)</w:t>
            </w:r>
          </w:p>
        </w:tc>
        <w:tc>
          <w:tcPr>
            <w:tcW w:w="436" w:type="pct"/>
          </w:tcPr>
          <w:p w14:paraId="0F90430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Unpaid Care Work among Women</w:t>
            </w:r>
          </w:p>
        </w:tc>
        <w:tc>
          <w:tcPr>
            <w:tcW w:w="486" w:type="pct"/>
          </w:tcPr>
          <w:p w14:paraId="2C68142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countries</w:t>
            </w:r>
          </w:p>
        </w:tc>
        <w:tc>
          <w:tcPr>
            <w:tcW w:w="340" w:type="pct"/>
          </w:tcPr>
          <w:p w14:paraId="2FDAB16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evidence unpaid care</w:t>
            </w:r>
          </w:p>
        </w:tc>
        <w:tc>
          <w:tcPr>
            <w:tcW w:w="388" w:type="pct"/>
          </w:tcPr>
          <w:p w14:paraId="73D498F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3DFCAEF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Household food preparation</w:t>
            </w:r>
          </w:p>
        </w:tc>
        <w:tc>
          <w:tcPr>
            <w:tcW w:w="632" w:type="pct"/>
          </w:tcPr>
          <w:p w14:paraId="21D224E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Gender family responsibilities</w:t>
            </w:r>
          </w:p>
        </w:tc>
        <w:tc>
          <w:tcPr>
            <w:tcW w:w="534" w:type="pct"/>
          </w:tcPr>
          <w:p w14:paraId="15DEC1E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Food-related domestic labor</w:t>
            </w:r>
          </w:p>
        </w:tc>
        <w:tc>
          <w:tcPr>
            <w:tcW w:w="485" w:type="pct"/>
          </w:tcPr>
          <w:p w14:paraId="1DC2A5A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Women unpaid care work</w:t>
            </w:r>
          </w:p>
        </w:tc>
        <w:tc>
          <w:tcPr>
            <w:tcW w:w="535" w:type="pct"/>
          </w:tcPr>
          <w:p w14:paraId="4F59912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needed intersectional differences changing</w:t>
            </w:r>
          </w:p>
        </w:tc>
      </w:tr>
      <w:tr w:rsidR="001333BC" w:rsidRPr="001333BC" w14:paraId="279EF499" w14:textId="77777777" w:rsidTr="00E62104">
        <w:trPr>
          <w:jc w:val="center"/>
        </w:trPr>
        <w:tc>
          <w:tcPr>
            <w:tcW w:w="177" w:type="pct"/>
          </w:tcPr>
          <w:p w14:paraId="46BFB5D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33</w:t>
            </w:r>
          </w:p>
        </w:tc>
        <w:tc>
          <w:tcPr>
            <w:tcW w:w="405" w:type="pct"/>
          </w:tcPr>
          <w:p w14:paraId="43B0C4F7"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Varre</w:t>
            </w:r>
            <w:proofErr w:type="spellEnd"/>
            <w:r w:rsidRPr="001333BC">
              <w:rPr>
                <w:rFonts w:ascii="Cambria" w:eastAsia="MS Mincho" w:hAnsi="Cambria" w:cs="Times New Roman"/>
                <w:sz w:val="20"/>
                <w:szCs w:val="40"/>
              </w:rPr>
              <w:t xml:space="preserve"> (2025)</w:t>
            </w:r>
          </w:p>
        </w:tc>
        <w:tc>
          <w:tcPr>
            <w:tcW w:w="436" w:type="pct"/>
          </w:tcPr>
          <w:p w14:paraId="6F80FDD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Dietary Transformations in Migrant Populations</w:t>
            </w:r>
          </w:p>
        </w:tc>
        <w:tc>
          <w:tcPr>
            <w:tcW w:w="486" w:type="pct"/>
          </w:tcPr>
          <w:p w14:paraId="4297E1B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Global migrant populations</w:t>
            </w:r>
          </w:p>
        </w:tc>
        <w:tc>
          <w:tcPr>
            <w:tcW w:w="340" w:type="pct"/>
          </w:tcPr>
          <w:p w14:paraId="57BB595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dietary transformations migrant</w:t>
            </w:r>
          </w:p>
        </w:tc>
        <w:tc>
          <w:tcPr>
            <w:tcW w:w="388" w:type="pct"/>
          </w:tcPr>
          <w:p w14:paraId="495F1DF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610E8CB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Dietary acculturation traditional</w:t>
            </w:r>
          </w:p>
        </w:tc>
        <w:tc>
          <w:tcPr>
            <w:tcW w:w="632" w:type="pct"/>
          </w:tcPr>
          <w:p w14:paraId="063A04F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adaptation heritage</w:t>
            </w:r>
          </w:p>
        </w:tc>
        <w:tc>
          <w:tcPr>
            <w:tcW w:w="534" w:type="pct"/>
          </w:tcPr>
          <w:p w14:paraId="7ADDCE3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Migration transforms food</w:t>
            </w:r>
          </w:p>
        </w:tc>
        <w:tc>
          <w:tcPr>
            <w:tcW w:w="485" w:type="pct"/>
          </w:tcPr>
          <w:p w14:paraId="2A3E488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Migrants commonly experience dietary</w:t>
            </w:r>
          </w:p>
        </w:tc>
        <w:tc>
          <w:tcPr>
            <w:tcW w:w="535" w:type="pct"/>
          </w:tcPr>
          <w:p w14:paraId="3270ACB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understand dietary</w:t>
            </w:r>
          </w:p>
        </w:tc>
      </w:tr>
      <w:tr w:rsidR="001333BC" w:rsidRPr="001333BC" w14:paraId="5F24F564" w14:textId="77777777" w:rsidTr="00E62104">
        <w:trPr>
          <w:jc w:val="center"/>
        </w:trPr>
        <w:tc>
          <w:tcPr>
            <w:tcW w:w="177" w:type="pct"/>
          </w:tcPr>
          <w:p w14:paraId="181A5EB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34</w:t>
            </w:r>
          </w:p>
        </w:tc>
        <w:tc>
          <w:tcPr>
            <w:tcW w:w="405" w:type="pct"/>
          </w:tcPr>
          <w:p w14:paraId="46AF35E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Neven et al.  (2022)</w:t>
            </w:r>
          </w:p>
        </w:tc>
        <w:tc>
          <w:tcPr>
            <w:tcW w:w="436" w:type="pct"/>
          </w:tcPr>
          <w:p w14:paraId="4AB34F4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Postpartum Health Behaviors among Culturally</w:t>
            </w:r>
          </w:p>
        </w:tc>
        <w:tc>
          <w:tcPr>
            <w:tcW w:w="486" w:type="pct"/>
          </w:tcPr>
          <w:p w14:paraId="5BF4723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Multiple high-income countries</w:t>
            </w:r>
          </w:p>
        </w:tc>
        <w:tc>
          <w:tcPr>
            <w:tcW w:w="340" w:type="pct"/>
          </w:tcPr>
          <w:p w14:paraId="4BCF712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identify barriers enablers</w:t>
            </w:r>
          </w:p>
        </w:tc>
        <w:tc>
          <w:tcPr>
            <w:tcW w:w="388" w:type="pct"/>
          </w:tcPr>
          <w:p w14:paraId="703449E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synthesis involving culturally</w:t>
            </w:r>
          </w:p>
        </w:tc>
        <w:tc>
          <w:tcPr>
            <w:tcW w:w="582" w:type="pct"/>
          </w:tcPr>
          <w:p w14:paraId="2103AB8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Dietary behaviors food</w:t>
            </w:r>
          </w:p>
        </w:tc>
        <w:tc>
          <w:tcPr>
            <w:tcW w:w="632" w:type="pct"/>
          </w:tcPr>
          <w:p w14:paraId="24D87C6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family and social influence</w:t>
            </w:r>
          </w:p>
        </w:tc>
        <w:tc>
          <w:tcPr>
            <w:tcW w:w="534" w:type="pct"/>
          </w:tcPr>
          <w:p w14:paraId="2029B99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food practices</w:t>
            </w:r>
          </w:p>
        </w:tc>
        <w:tc>
          <w:tcPr>
            <w:tcW w:w="485" w:type="pct"/>
          </w:tcPr>
          <w:p w14:paraId="7BC1897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Barrier’s enablers postpartum health</w:t>
            </w:r>
          </w:p>
        </w:tc>
        <w:tc>
          <w:tcPr>
            <w:tcW w:w="535" w:type="pct"/>
          </w:tcPr>
          <w:p w14:paraId="4AC4134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culturally tailored needed</w:t>
            </w:r>
          </w:p>
        </w:tc>
      </w:tr>
      <w:tr w:rsidR="001333BC" w:rsidRPr="001333BC" w14:paraId="347394C9" w14:textId="77777777" w:rsidTr="00E62104">
        <w:trPr>
          <w:jc w:val="center"/>
        </w:trPr>
        <w:tc>
          <w:tcPr>
            <w:tcW w:w="177" w:type="pct"/>
          </w:tcPr>
          <w:p w14:paraId="27E6F2A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35</w:t>
            </w:r>
          </w:p>
        </w:tc>
        <w:tc>
          <w:tcPr>
            <w:tcW w:w="405" w:type="pct"/>
          </w:tcPr>
          <w:p w14:paraId="61F84ED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Abdoli (2024)</w:t>
            </w:r>
          </w:p>
        </w:tc>
        <w:tc>
          <w:tcPr>
            <w:tcW w:w="436" w:type="pct"/>
          </w:tcPr>
          <w:p w14:paraId="0DF50A8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Differences in Body Image</w:t>
            </w:r>
          </w:p>
        </w:tc>
        <w:tc>
          <w:tcPr>
            <w:tcW w:w="486" w:type="pct"/>
          </w:tcPr>
          <w:p w14:paraId="0CA101D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17D1063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evidence concerning cultural</w:t>
            </w:r>
          </w:p>
        </w:tc>
        <w:tc>
          <w:tcPr>
            <w:tcW w:w="388" w:type="pct"/>
          </w:tcPr>
          <w:p w14:paraId="48E8A67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2047742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703EFFB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values social</w:t>
            </w:r>
          </w:p>
        </w:tc>
        <w:tc>
          <w:tcPr>
            <w:tcW w:w="534" w:type="pct"/>
          </w:tcPr>
          <w:p w14:paraId="3BE4CE4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53CA0F4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Body image influenced cultural</w:t>
            </w:r>
          </w:p>
        </w:tc>
        <w:tc>
          <w:tcPr>
            <w:tcW w:w="535" w:type="pct"/>
          </w:tcPr>
          <w:p w14:paraId="09B9B57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needed cultural diversity intersectionality</w:t>
            </w:r>
          </w:p>
        </w:tc>
      </w:tr>
      <w:tr w:rsidR="001333BC" w:rsidRPr="001333BC" w14:paraId="40A3F633" w14:textId="77777777" w:rsidTr="00E62104">
        <w:trPr>
          <w:jc w:val="center"/>
        </w:trPr>
        <w:tc>
          <w:tcPr>
            <w:tcW w:w="177" w:type="pct"/>
          </w:tcPr>
          <w:p w14:paraId="511FB4D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36</w:t>
            </w:r>
          </w:p>
        </w:tc>
        <w:tc>
          <w:tcPr>
            <w:tcW w:w="405" w:type="pct"/>
          </w:tcPr>
          <w:p w14:paraId="4869836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Nagesh (2024)</w:t>
            </w:r>
          </w:p>
        </w:tc>
        <w:tc>
          <w:tcPr>
            <w:tcW w:w="436" w:type="pct"/>
          </w:tcPr>
          <w:p w14:paraId="12E3FF4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Women’s Perspectives and</w:t>
            </w:r>
          </w:p>
        </w:tc>
        <w:tc>
          <w:tcPr>
            <w:tcW w:w="486" w:type="pct"/>
          </w:tcPr>
          <w:p w14:paraId="4FC6463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Destination countries</w:t>
            </w:r>
          </w:p>
        </w:tc>
        <w:tc>
          <w:tcPr>
            <w:tcW w:w="340" w:type="pct"/>
          </w:tcPr>
          <w:p w14:paraId="047FFDD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evidence South Asian</w:t>
            </w:r>
          </w:p>
        </w:tc>
        <w:tc>
          <w:tcPr>
            <w:tcW w:w="388" w:type="pct"/>
          </w:tcPr>
          <w:p w14:paraId="3D3965B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157 participants</w:t>
            </w:r>
          </w:p>
        </w:tc>
        <w:tc>
          <w:tcPr>
            <w:tcW w:w="582" w:type="pct"/>
          </w:tcPr>
          <w:p w14:paraId="5DFEE93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Traditional food practices shape everyday dietary habits</w:t>
            </w:r>
          </w:p>
        </w:tc>
        <w:tc>
          <w:tcPr>
            <w:tcW w:w="632" w:type="pct"/>
          </w:tcPr>
          <w:p w14:paraId="174548A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Ethnocultural identity religious</w:t>
            </w:r>
          </w:p>
        </w:tc>
        <w:tc>
          <w:tcPr>
            <w:tcW w:w="534" w:type="pct"/>
          </w:tcPr>
          <w:p w14:paraId="58021E6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Food-related practices form</w:t>
            </w:r>
          </w:p>
        </w:tc>
        <w:tc>
          <w:tcPr>
            <w:tcW w:w="485" w:type="pct"/>
          </w:tcPr>
          <w:p w14:paraId="6455B53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overarching theme navigating cross-cultural</w:t>
            </w:r>
          </w:p>
        </w:tc>
        <w:tc>
          <w:tcPr>
            <w:tcW w:w="535" w:type="pct"/>
          </w:tcPr>
          <w:p w14:paraId="4716616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culturally sensitive</w:t>
            </w:r>
          </w:p>
        </w:tc>
      </w:tr>
      <w:tr w:rsidR="001333BC" w:rsidRPr="001333BC" w14:paraId="6F5F4E43" w14:textId="77777777" w:rsidTr="00E62104">
        <w:trPr>
          <w:jc w:val="center"/>
        </w:trPr>
        <w:tc>
          <w:tcPr>
            <w:tcW w:w="177" w:type="pct"/>
          </w:tcPr>
          <w:p w14:paraId="6D28E26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37</w:t>
            </w:r>
          </w:p>
        </w:tc>
        <w:tc>
          <w:tcPr>
            <w:tcW w:w="405" w:type="pct"/>
          </w:tcPr>
          <w:p w14:paraId="5483A95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 (2024)</w:t>
            </w:r>
          </w:p>
        </w:tc>
        <w:tc>
          <w:tcPr>
            <w:tcW w:w="436" w:type="pct"/>
          </w:tcPr>
          <w:p w14:paraId="5A0479E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Ableism among Asian Children and</w:t>
            </w:r>
          </w:p>
        </w:tc>
        <w:tc>
          <w:tcPr>
            <w:tcW w:w="486" w:type="pct"/>
          </w:tcPr>
          <w:p w14:paraId="78C539B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4144983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evidence experiences</w:t>
            </w:r>
          </w:p>
        </w:tc>
        <w:tc>
          <w:tcPr>
            <w:tcW w:w="388" w:type="pct"/>
          </w:tcPr>
          <w:p w14:paraId="7F907BB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meta-synthesis articles covering</w:t>
            </w:r>
          </w:p>
        </w:tc>
        <w:tc>
          <w:tcPr>
            <w:tcW w:w="582" w:type="pct"/>
          </w:tcPr>
          <w:p w14:paraId="64E7712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1DEDA6B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religious identity</w:t>
            </w:r>
          </w:p>
        </w:tc>
        <w:tc>
          <w:tcPr>
            <w:tcW w:w="534" w:type="pct"/>
          </w:tcPr>
          <w:p w14:paraId="4120718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14AFF56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religious stigma family</w:t>
            </w:r>
          </w:p>
        </w:tc>
        <w:tc>
          <w:tcPr>
            <w:tcW w:w="535" w:type="pct"/>
          </w:tcPr>
          <w:p w14:paraId="3D65399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culturally responsive needed</w:t>
            </w:r>
          </w:p>
        </w:tc>
      </w:tr>
      <w:tr w:rsidR="001333BC" w:rsidRPr="001333BC" w14:paraId="4E8A04A3" w14:textId="77777777" w:rsidTr="00E62104">
        <w:trPr>
          <w:jc w:val="center"/>
        </w:trPr>
        <w:tc>
          <w:tcPr>
            <w:tcW w:w="177" w:type="pct"/>
          </w:tcPr>
          <w:p w14:paraId="364A5C9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38</w:t>
            </w:r>
          </w:p>
        </w:tc>
        <w:tc>
          <w:tcPr>
            <w:tcW w:w="405" w:type="pct"/>
          </w:tcPr>
          <w:p w14:paraId="5DCE2D2C" w14:textId="77777777" w:rsidR="001333BC" w:rsidRPr="001333BC" w:rsidRDefault="001333BC" w:rsidP="001333BC">
            <w:pPr>
              <w:spacing w:line="360" w:lineRule="auto"/>
              <w:jc w:val="both"/>
              <w:rPr>
                <w:rFonts w:ascii="Cambria" w:eastAsia="MS Mincho" w:hAnsi="Cambria" w:cs="Times New Roman"/>
                <w:sz w:val="20"/>
                <w:szCs w:val="40"/>
              </w:rPr>
            </w:pPr>
            <w:proofErr w:type="gramStart"/>
            <w:r w:rsidRPr="001333BC">
              <w:rPr>
                <w:rFonts w:ascii="Cambria" w:eastAsia="MS Mincho" w:hAnsi="Cambria" w:cs="Times New Roman"/>
                <w:sz w:val="20"/>
                <w:szCs w:val="40"/>
              </w:rPr>
              <w:t>Radogna  (</w:t>
            </w:r>
            <w:proofErr w:type="gramEnd"/>
            <w:r w:rsidRPr="001333BC">
              <w:rPr>
                <w:rFonts w:ascii="Cambria" w:eastAsia="MS Mincho" w:hAnsi="Cambria" w:cs="Times New Roman"/>
                <w:sz w:val="20"/>
                <w:szCs w:val="40"/>
              </w:rPr>
              <w:t>2022)</w:t>
            </w:r>
          </w:p>
        </w:tc>
        <w:tc>
          <w:tcPr>
            <w:tcW w:w="436" w:type="pct"/>
          </w:tcPr>
          <w:p w14:paraId="49A7CC8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Habits in Migration Studies</w:t>
            </w:r>
          </w:p>
        </w:tc>
        <w:tc>
          <w:tcPr>
            <w:tcW w:w="486" w:type="pct"/>
          </w:tcPr>
          <w:p w14:paraId="455EEF5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migration contexts</w:t>
            </w:r>
          </w:p>
        </w:tc>
        <w:tc>
          <w:tcPr>
            <w:tcW w:w="340" w:type="pct"/>
          </w:tcPr>
          <w:p w14:paraId="6611170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concept habitus applied</w:t>
            </w:r>
          </w:p>
        </w:tc>
        <w:tc>
          <w:tcPr>
            <w:tcW w:w="388" w:type="pct"/>
          </w:tcPr>
          <w:p w14:paraId="38AD3E6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38 studies</w:t>
            </w:r>
          </w:p>
        </w:tc>
        <w:tc>
          <w:tcPr>
            <w:tcW w:w="582" w:type="pct"/>
          </w:tcPr>
          <w:p w14:paraId="693F237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taste lifestyle everyday</w:t>
            </w:r>
          </w:p>
        </w:tc>
        <w:tc>
          <w:tcPr>
            <w:tcW w:w="632" w:type="pct"/>
          </w:tcPr>
          <w:p w14:paraId="363FB13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Habits of identity social</w:t>
            </w:r>
          </w:p>
        </w:tc>
        <w:tc>
          <w:tcPr>
            <w:tcW w:w="534" w:type="pct"/>
          </w:tcPr>
          <w:p w14:paraId="447D8A6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practices dispositions</w:t>
            </w:r>
          </w:p>
        </w:tc>
        <w:tc>
          <w:tcPr>
            <w:tcW w:w="485" w:type="pct"/>
          </w:tcPr>
          <w:p w14:paraId="1F3376F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Habitus framework understanding migrants</w:t>
            </w:r>
          </w:p>
        </w:tc>
        <w:tc>
          <w:tcPr>
            <w:tcW w:w="535" w:type="pct"/>
          </w:tcPr>
          <w:p w14:paraId="1467007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empirical needed habitus operates</w:t>
            </w:r>
          </w:p>
        </w:tc>
      </w:tr>
      <w:tr w:rsidR="001333BC" w:rsidRPr="001333BC" w14:paraId="5EB02B60" w14:textId="77777777" w:rsidTr="00E62104">
        <w:trPr>
          <w:jc w:val="center"/>
        </w:trPr>
        <w:tc>
          <w:tcPr>
            <w:tcW w:w="177" w:type="pct"/>
          </w:tcPr>
          <w:p w14:paraId="1FE0C38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39</w:t>
            </w:r>
          </w:p>
        </w:tc>
        <w:tc>
          <w:tcPr>
            <w:tcW w:w="405" w:type="pct"/>
          </w:tcPr>
          <w:p w14:paraId="0CB9AB2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Izumi (2024)</w:t>
            </w:r>
          </w:p>
        </w:tc>
        <w:tc>
          <w:tcPr>
            <w:tcW w:w="436" w:type="pct"/>
          </w:tcPr>
          <w:p w14:paraId="49E77E8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Migrant Women’s Exclusive Breastfeeding Experiences</w:t>
            </w:r>
          </w:p>
        </w:tc>
        <w:tc>
          <w:tcPr>
            <w:tcW w:w="486" w:type="pct"/>
          </w:tcPr>
          <w:p w14:paraId="50ED39C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Migrant women in high-income</w:t>
            </w:r>
          </w:p>
        </w:tc>
        <w:tc>
          <w:tcPr>
            <w:tcW w:w="340" w:type="pct"/>
          </w:tcPr>
          <w:p w14:paraId="37CEB7D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migrant mothers’ perceptions</w:t>
            </w:r>
          </w:p>
        </w:tc>
        <w:tc>
          <w:tcPr>
            <w:tcW w:w="388" w:type="pct"/>
          </w:tcPr>
          <w:p w14:paraId="106EF16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involving migrant mothers</w:t>
            </w:r>
          </w:p>
        </w:tc>
        <w:tc>
          <w:tcPr>
            <w:tcW w:w="582" w:type="pct"/>
          </w:tcPr>
          <w:p w14:paraId="0B2F7E1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Traditional breastfeeding practices</w:t>
            </w:r>
          </w:p>
        </w:tc>
        <w:tc>
          <w:tcPr>
            <w:tcW w:w="632" w:type="pct"/>
          </w:tcPr>
          <w:p w14:paraId="38042BD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Original ethnic identity</w:t>
            </w:r>
          </w:p>
        </w:tc>
        <w:tc>
          <w:tcPr>
            <w:tcW w:w="534" w:type="pct"/>
          </w:tcPr>
          <w:p w14:paraId="1313A76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Migrant mothers maintain</w:t>
            </w:r>
          </w:p>
        </w:tc>
        <w:tc>
          <w:tcPr>
            <w:tcW w:w="485" w:type="pct"/>
          </w:tcPr>
          <w:p w14:paraId="74093C3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Five themes included differences</w:t>
            </w:r>
          </w:p>
        </w:tc>
        <w:tc>
          <w:tcPr>
            <w:tcW w:w="535" w:type="pct"/>
          </w:tcPr>
          <w:p w14:paraId="2158974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notes limited evidence specific</w:t>
            </w:r>
          </w:p>
        </w:tc>
      </w:tr>
      <w:tr w:rsidR="001333BC" w:rsidRPr="001333BC" w14:paraId="0018DD2D" w14:textId="77777777" w:rsidTr="00E62104">
        <w:trPr>
          <w:jc w:val="center"/>
        </w:trPr>
        <w:tc>
          <w:tcPr>
            <w:tcW w:w="177" w:type="pct"/>
          </w:tcPr>
          <w:p w14:paraId="277CDEA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40</w:t>
            </w:r>
          </w:p>
        </w:tc>
        <w:tc>
          <w:tcPr>
            <w:tcW w:w="405" w:type="pct"/>
          </w:tcPr>
          <w:p w14:paraId="7C75E81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Brik &amp; Brown (2024; 2026 issue)</w:t>
            </w:r>
          </w:p>
        </w:tc>
        <w:tc>
          <w:tcPr>
            <w:tcW w:w="436" w:type="pct"/>
          </w:tcPr>
          <w:p w14:paraId="52564C4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Global Social Inclusion Trends</w:t>
            </w:r>
          </w:p>
        </w:tc>
        <w:tc>
          <w:tcPr>
            <w:tcW w:w="486" w:type="pct"/>
          </w:tcPr>
          <w:p w14:paraId="53B9B61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Global</w:t>
            </w:r>
          </w:p>
        </w:tc>
        <w:tc>
          <w:tcPr>
            <w:tcW w:w="340" w:type="pct"/>
          </w:tcPr>
          <w:p w14:paraId="168B1F7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global trends social</w:t>
            </w:r>
          </w:p>
        </w:tc>
        <w:tc>
          <w:tcPr>
            <w:tcW w:w="388" w:type="pct"/>
          </w:tcPr>
          <w:p w14:paraId="7243F2C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33C5732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appears relation</w:t>
            </w:r>
          </w:p>
        </w:tc>
        <w:tc>
          <w:tcPr>
            <w:tcW w:w="632" w:type="pct"/>
          </w:tcPr>
          <w:p w14:paraId="38DF046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Social inclusion exclusion</w:t>
            </w:r>
          </w:p>
        </w:tc>
        <w:tc>
          <w:tcPr>
            <w:tcW w:w="534" w:type="pct"/>
          </w:tcPr>
          <w:p w14:paraId="5EB95CA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Food-related policies contribute</w:t>
            </w:r>
          </w:p>
        </w:tc>
        <w:tc>
          <w:tcPr>
            <w:tcW w:w="485" w:type="pct"/>
          </w:tcPr>
          <w:p w14:paraId="08236B9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expansion retrenchment social inclusion</w:t>
            </w:r>
          </w:p>
        </w:tc>
        <w:tc>
          <w:tcPr>
            <w:tcW w:w="535" w:type="pct"/>
          </w:tcPr>
          <w:p w14:paraId="51E2AD2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authors identify lack detailed</w:t>
            </w:r>
          </w:p>
        </w:tc>
      </w:tr>
      <w:tr w:rsidR="001333BC" w:rsidRPr="001333BC" w14:paraId="7E989F24" w14:textId="77777777" w:rsidTr="00E62104">
        <w:trPr>
          <w:jc w:val="center"/>
        </w:trPr>
        <w:tc>
          <w:tcPr>
            <w:tcW w:w="177" w:type="pct"/>
          </w:tcPr>
          <w:p w14:paraId="54E9C96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41</w:t>
            </w:r>
          </w:p>
        </w:tc>
        <w:tc>
          <w:tcPr>
            <w:tcW w:w="405" w:type="pct"/>
          </w:tcPr>
          <w:p w14:paraId="27E1891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Singh (2023)</w:t>
            </w:r>
          </w:p>
        </w:tc>
        <w:tc>
          <w:tcPr>
            <w:tcW w:w="436" w:type="pct"/>
          </w:tcPr>
          <w:p w14:paraId="1255B9D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Determinants of Happiness across Cultures</w:t>
            </w:r>
          </w:p>
        </w:tc>
        <w:tc>
          <w:tcPr>
            <w:tcW w:w="486" w:type="pct"/>
          </w:tcPr>
          <w:p w14:paraId="7DC7F9B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7BC40F0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determinants happiness different</w:t>
            </w:r>
          </w:p>
        </w:tc>
        <w:tc>
          <w:tcPr>
            <w:tcW w:w="388" w:type="pct"/>
          </w:tcPr>
          <w:p w14:paraId="2B80DA0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0938323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4BEAC69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Culture ethnicity ethnic</w:t>
            </w:r>
          </w:p>
        </w:tc>
        <w:tc>
          <w:tcPr>
            <w:tcW w:w="534" w:type="pct"/>
          </w:tcPr>
          <w:p w14:paraId="08D05BB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3C5AD69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Health Hope Harmony broad</w:t>
            </w:r>
          </w:p>
        </w:tc>
        <w:tc>
          <w:tcPr>
            <w:tcW w:w="535" w:type="pct"/>
          </w:tcPr>
          <w:p w14:paraId="03E8372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culturally specific determinants</w:t>
            </w:r>
          </w:p>
        </w:tc>
      </w:tr>
      <w:tr w:rsidR="001333BC" w:rsidRPr="001333BC" w14:paraId="5954757E" w14:textId="77777777" w:rsidTr="00E62104">
        <w:trPr>
          <w:jc w:val="center"/>
        </w:trPr>
        <w:tc>
          <w:tcPr>
            <w:tcW w:w="177" w:type="pct"/>
          </w:tcPr>
          <w:p w14:paraId="401E2F5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42</w:t>
            </w:r>
          </w:p>
        </w:tc>
        <w:tc>
          <w:tcPr>
            <w:tcW w:w="405" w:type="pct"/>
          </w:tcPr>
          <w:p w14:paraId="610A57BF"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Hanazaki</w:t>
            </w:r>
            <w:proofErr w:type="spellEnd"/>
            <w:r w:rsidRPr="001333BC">
              <w:rPr>
                <w:rFonts w:ascii="Cambria" w:eastAsia="MS Mincho" w:hAnsi="Cambria" w:cs="Times New Roman"/>
                <w:sz w:val="20"/>
                <w:szCs w:val="40"/>
              </w:rPr>
              <w:t xml:space="preserve"> (2023)</w:t>
            </w:r>
          </w:p>
        </w:tc>
        <w:tc>
          <w:tcPr>
            <w:tcW w:w="436" w:type="pct"/>
          </w:tcPr>
          <w:p w14:paraId="64D516F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People’s Migrations and Plants for</w:t>
            </w:r>
          </w:p>
        </w:tc>
        <w:tc>
          <w:tcPr>
            <w:tcW w:w="486" w:type="pct"/>
          </w:tcPr>
          <w:p w14:paraId="5DE021F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7A838E5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relationship human migration</w:t>
            </w:r>
          </w:p>
        </w:tc>
        <w:tc>
          <w:tcPr>
            <w:tcW w:w="388" w:type="pct"/>
          </w:tcPr>
          <w:p w14:paraId="23F9883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58 studies</w:t>
            </w:r>
          </w:p>
        </w:tc>
        <w:tc>
          <w:tcPr>
            <w:tcW w:w="582" w:type="pct"/>
          </w:tcPr>
          <w:p w14:paraId="36EC48C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plants traditional</w:t>
            </w:r>
          </w:p>
        </w:tc>
        <w:tc>
          <w:tcPr>
            <w:tcW w:w="632" w:type="pct"/>
          </w:tcPr>
          <w:p w14:paraId="21B0D21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identity cultural</w:t>
            </w:r>
          </w:p>
        </w:tc>
        <w:tc>
          <w:tcPr>
            <w:tcW w:w="534" w:type="pct"/>
          </w:tcPr>
          <w:p w14:paraId="1779518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plants explicit</w:t>
            </w:r>
          </w:p>
        </w:tc>
        <w:tc>
          <w:tcPr>
            <w:tcW w:w="485" w:type="pct"/>
          </w:tcPr>
          <w:p w14:paraId="24390A8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migration affects maintenance replacement</w:t>
            </w:r>
          </w:p>
        </w:tc>
        <w:tc>
          <w:tcPr>
            <w:tcW w:w="535" w:type="pct"/>
          </w:tcPr>
          <w:p w14:paraId="3B557AC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needed relationships food-plant knowledge</w:t>
            </w:r>
          </w:p>
        </w:tc>
      </w:tr>
      <w:tr w:rsidR="001333BC" w:rsidRPr="001333BC" w14:paraId="6C6D31AE" w14:textId="77777777" w:rsidTr="00E62104">
        <w:trPr>
          <w:jc w:val="center"/>
        </w:trPr>
        <w:tc>
          <w:tcPr>
            <w:tcW w:w="177" w:type="pct"/>
          </w:tcPr>
          <w:p w14:paraId="182C420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43</w:t>
            </w:r>
          </w:p>
        </w:tc>
        <w:tc>
          <w:tcPr>
            <w:tcW w:w="405" w:type="pct"/>
          </w:tcPr>
          <w:p w14:paraId="74ED1B6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Beattie (2024)</w:t>
            </w:r>
          </w:p>
        </w:tc>
        <w:tc>
          <w:tcPr>
            <w:tcW w:w="436" w:type="pct"/>
          </w:tcPr>
          <w:p w14:paraId="4740D54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Awareness in Heart Failure</w:t>
            </w:r>
          </w:p>
        </w:tc>
        <w:tc>
          <w:tcPr>
            <w:tcW w:w="486" w:type="pct"/>
          </w:tcPr>
          <w:p w14:paraId="1D42A15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2034685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importance cultural awareness</w:t>
            </w:r>
          </w:p>
        </w:tc>
        <w:tc>
          <w:tcPr>
            <w:tcW w:w="388" w:type="pct"/>
          </w:tcPr>
          <w:p w14:paraId="1592998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3417DEE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Traditional foods religious</w:t>
            </w:r>
          </w:p>
        </w:tc>
        <w:tc>
          <w:tcPr>
            <w:tcW w:w="632" w:type="pct"/>
          </w:tcPr>
          <w:p w14:paraId="12CF131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Culture ethnicity heritage</w:t>
            </w:r>
          </w:p>
        </w:tc>
        <w:tc>
          <w:tcPr>
            <w:tcW w:w="534" w:type="pct"/>
          </w:tcPr>
          <w:p w14:paraId="2D1D3F8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practices reflect</w:t>
            </w:r>
          </w:p>
        </w:tc>
        <w:tc>
          <w:tcPr>
            <w:tcW w:w="485" w:type="pct"/>
          </w:tcPr>
          <w:p w14:paraId="561A67B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influence illness</w:t>
            </w:r>
          </w:p>
        </w:tc>
        <w:tc>
          <w:tcPr>
            <w:tcW w:w="535" w:type="pct"/>
          </w:tcPr>
          <w:p w14:paraId="4E09E39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develop culturally</w:t>
            </w:r>
          </w:p>
        </w:tc>
      </w:tr>
      <w:tr w:rsidR="001333BC" w:rsidRPr="001333BC" w14:paraId="0795D2C3" w14:textId="77777777" w:rsidTr="00E62104">
        <w:trPr>
          <w:jc w:val="center"/>
        </w:trPr>
        <w:tc>
          <w:tcPr>
            <w:tcW w:w="177" w:type="pct"/>
          </w:tcPr>
          <w:p w14:paraId="3417DCE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44</w:t>
            </w:r>
          </w:p>
        </w:tc>
        <w:tc>
          <w:tcPr>
            <w:tcW w:w="405" w:type="pct"/>
          </w:tcPr>
          <w:p w14:paraId="1281FA4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Zay </w:t>
            </w:r>
            <w:proofErr w:type="spellStart"/>
            <w:r w:rsidRPr="001333BC">
              <w:rPr>
                <w:rFonts w:ascii="Cambria" w:eastAsia="MS Mincho" w:hAnsi="Cambria" w:cs="Times New Roman"/>
                <w:sz w:val="20"/>
                <w:szCs w:val="40"/>
              </w:rPr>
              <w:t>Hta</w:t>
            </w:r>
            <w:proofErr w:type="spellEnd"/>
            <w:r w:rsidRPr="001333BC">
              <w:rPr>
                <w:rFonts w:ascii="Cambria" w:eastAsia="MS Mincho" w:hAnsi="Cambria" w:cs="Times New Roman"/>
                <w:sz w:val="20"/>
                <w:szCs w:val="40"/>
              </w:rPr>
              <w:t xml:space="preserve"> (2024)</w:t>
            </w:r>
          </w:p>
        </w:tc>
        <w:tc>
          <w:tcPr>
            <w:tcW w:w="436" w:type="pct"/>
          </w:tcPr>
          <w:p w14:paraId="1F6A913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Factors Associated with Stigma</w:t>
            </w:r>
          </w:p>
        </w:tc>
        <w:tc>
          <w:tcPr>
            <w:tcW w:w="486" w:type="pct"/>
          </w:tcPr>
          <w:p w14:paraId="5652B42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3DD5A0E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factors associated</w:t>
            </w:r>
          </w:p>
        </w:tc>
        <w:tc>
          <w:tcPr>
            <w:tcW w:w="388" w:type="pct"/>
          </w:tcPr>
          <w:p w14:paraId="478A468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empirical articles published</w:t>
            </w:r>
          </w:p>
        </w:tc>
        <w:tc>
          <w:tcPr>
            <w:tcW w:w="582" w:type="pct"/>
          </w:tcPr>
          <w:p w14:paraId="1EC0CB5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65458CB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identity collectivistic</w:t>
            </w:r>
          </w:p>
        </w:tc>
        <w:tc>
          <w:tcPr>
            <w:tcW w:w="534" w:type="pct"/>
          </w:tcPr>
          <w:p w14:paraId="3834269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43B94E1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links cultural values cultural</w:t>
            </w:r>
          </w:p>
        </w:tc>
        <w:tc>
          <w:tcPr>
            <w:tcW w:w="535" w:type="pct"/>
          </w:tcPr>
          <w:p w14:paraId="36F59D0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understand cultural</w:t>
            </w:r>
          </w:p>
        </w:tc>
      </w:tr>
      <w:tr w:rsidR="001333BC" w:rsidRPr="001333BC" w14:paraId="775A9D9F" w14:textId="77777777" w:rsidTr="00E62104">
        <w:trPr>
          <w:jc w:val="center"/>
        </w:trPr>
        <w:tc>
          <w:tcPr>
            <w:tcW w:w="177" w:type="pct"/>
          </w:tcPr>
          <w:p w14:paraId="19C345A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45</w:t>
            </w:r>
          </w:p>
        </w:tc>
        <w:tc>
          <w:tcPr>
            <w:tcW w:w="405" w:type="pct"/>
          </w:tcPr>
          <w:p w14:paraId="7354D89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House (2024)</w:t>
            </w:r>
          </w:p>
        </w:tc>
        <w:tc>
          <w:tcPr>
            <w:tcW w:w="436" w:type="pct"/>
          </w:tcPr>
          <w:p w14:paraId="1905CB0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Culturally Appropriate Food Consumption</w:t>
            </w:r>
          </w:p>
        </w:tc>
        <w:tc>
          <w:tcPr>
            <w:tcW w:w="486" w:type="pct"/>
          </w:tcPr>
          <w:p w14:paraId="0E4BCCE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0D00743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clarify cultural appropriateness</w:t>
            </w:r>
          </w:p>
        </w:tc>
        <w:tc>
          <w:tcPr>
            <w:tcW w:w="388" w:type="pct"/>
          </w:tcPr>
          <w:p w14:paraId="6577219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literature publications</w:t>
            </w:r>
          </w:p>
        </w:tc>
        <w:tc>
          <w:tcPr>
            <w:tcW w:w="582" w:type="pct"/>
          </w:tcPr>
          <w:p w14:paraId="2650A63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Existing dietary customs</w:t>
            </w:r>
          </w:p>
        </w:tc>
        <w:tc>
          <w:tcPr>
            <w:tcW w:w="632" w:type="pct"/>
          </w:tcPr>
          <w:p w14:paraId="7F05C90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Social cultural identity</w:t>
            </w:r>
          </w:p>
        </w:tc>
        <w:tc>
          <w:tcPr>
            <w:tcW w:w="534" w:type="pct"/>
          </w:tcPr>
          <w:p w14:paraId="1BFDCFB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practices express</w:t>
            </w:r>
          </w:p>
        </w:tc>
        <w:tc>
          <w:tcPr>
            <w:tcW w:w="485" w:type="pct"/>
          </w:tcPr>
          <w:p w14:paraId="7317302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Six themes cultural appropriateness</w:t>
            </w:r>
          </w:p>
        </w:tc>
        <w:tc>
          <w:tcPr>
            <w:tcW w:w="535" w:type="pct"/>
          </w:tcPr>
          <w:p w14:paraId="5B9ED4E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clarify cultural</w:t>
            </w:r>
          </w:p>
        </w:tc>
      </w:tr>
      <w:tr w:rsidR="001333BC" w:rsidRPr="001333BC" w14:paraId="2771FEFB" w14:textId="77777777" w:rsidTr="00E62104">
        <w:trPr>
          <w:jc w:val="center"/>
        </w:trPr>
        <w:tc>
          <w:tcPr>
            <w:tcW w:w="177" w:type="pct"/>
          </w:tcPr>
          <w:p w14:paraId="6A5DD8B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46</w:t>
            </w:r>
          </w:p>
        </w:tc>
        <w:tc>
          <w:tcPr>
            <w:tcW w:w="405" w:type="pct"/>
          </w:tcPr>
          <w:p w14:paraId="2D4EE8E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Sin (2025)</w:t>
            </w:r>
          </w:p>
        </w:tc>
        <w:tc>
          <w:tcPr>
            <w:tcW w:w="436" w:type="pct"/>
          </w:tcPr>
          <w:p w14:paraId="474A91C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COVID-19 and Social and Cultural</w:t>
            </w:r>
          </w:p>
        </w:tc>
        <w:tc>
          <w:tcPr>
            <w:tcW w:w="486" w:type="pct"/>
          </w:tcPr>
          <w:p w14:paraId="12C77CA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0A05C1B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evidence COVID-</w:t>
            </w:r>
          </w:p>
        </w:tc>
        <w:tc>
          <w:tcPr>
            <w:tcW w:w="388" w:type="pct"/>
          </w:tcPr>
          <w:p w14:paraId="19E5B2B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literature research international</w:t>
            </w:r>
          </w:p>
        </w:tc>
        <w:tc>
          <w:tcPr>
            <w:tcW w:w="582" w:type="pct"/>
          </w:tcPr>
          <w:p w14:paraId="1C07096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54FF865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integration and cultural</w:t>
            </w:r>
          </w:p>
        </w:tc>
        <w:tc>
          <w:tcPr>
            <w:tcW w:w="534" w:type="pct"/>
          </w:tcPr>
          <w:p w14:paraId="69D2532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44CC25C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Students’ cultural integration</w:t>
            </w:r>
          </w:p>
        </w:tc>
        <w:tc>
          <w:tcPr>
            <w:tcW w:w="535" w:type="pct"/>
          </w:tcPr>
          <w:p w14:paraId="66D228B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international students</w:t>
            </w:r>
          </w:p>
        </w:tc>
      </w:tr>
      <w:tr w:rsidR="001333BC" w:rsidRPr="001333BC" w14:paraId="79FCC8A9" w14:textId="77777777" w:rsidTr="00E62104">
        <w:trPr>
          <w:jc w:val="center"/>
        </w:trPr>
        <w:tc>
          <w:tcPr>
            <w:tcW w:w="177" w:type="pct"/>
          </w:tcPr>
          <w:p w14:paraId="5B4FA39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47</w:t>
            </w:r>
          </w:p>
        </w:tc>
        <w:tc>
          <w:tcPr>
            <w:tcW w:w="405" w:type="pct"/>
          </w:tcPr>
          <w:p w14:paraId="1944ECB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Glyn-Blanco (2023)</w:t>
            </w:r>
          </w:p>
        </w:tc>
        <w:tc>
          <w:tcPr>
            <w:tcW w:w="436" w:type="pct"/>
          </w:tcPr>
          <w:p w14:paraId="04392BA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Factors in End-of-Life Care</w:t>
            </w:r>
          </w:p>
        </w:tc>
        <w:tc>
          <w:tcPr>
            <w:tcW w:w="486" w:type="pct"/>
          </w:tcPr>
          <w:p w14:paraId="204C67F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2E3DD88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factors influence</w:t>
            </w:r>
          </w:p>
        </w:tc>
        <w:tc>
          <w:tcPr>
            <w:tcW w:w="388" w:type="pct"/>
          </w:tcPr>
          <w:p w14:paraId="15A7C24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43 studies</w:t>
            </w:r>
          </w:p>
        </w:tc>
        <w:tc>
          <w:tcPr>
            <w:tcW w:w="582" w:type="pct"/>
          </w:tcPr>
          <w:p w14:paraId="5FD4E97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060D8BF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values and religion</w:t>
            </w:r>
          </w:p>
        </w:tc>
        <w:tc>
          <w:tcPr>
            <w:tcW w:w="534" w:type="pct"/>
          </w:tcPr>
          <w:p w14:paraId="50BF67B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59FB6B7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and religious practices</w:t>
            </w:r>
          </w:p>
        </w:tc>
        <w:tc>
          <w:tcPr>
            <w:tcW w:w="535" w:type="pct"/>
          </w:tcPr>
          <w:p w14:paraId="1D55A73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culturally responsive professional</w:t>
            </w:r>
          </w:p>
        </w:tc>
      </w:tr>
      <w:tr w:rsidR="001333BC" w:rsidRPr="001333BC" w14:paraId="2079B9A5" w14:textId="77777777" w:rsidTr="00E62104">
        <w:trPr>
          <w:jc w:val="center"/>
        </w:trPr>
        <w:tc>
          <w:tcPr>
            <w:tcW w:w="177" w:type="pct"/>
          </w:tcPr>
          <w:p w14:paraId="71AAF9D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48</w:t>
            </w:r>
          </w:p>
        </w:tc>
        <w:tc>
          <w:tcPr>
            <w:tcW w:w="405" w:type="pct"/>
          </w:tcPr>
          <w:p w14:paraId="4740D13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Louey (2024)</w:t>
            </w:r>
          </w:p>
        </w:tc>
        <w:tc>
          <w:tcPr>
            <w:tcW w:w="436" w:type="pct"/>
          </w:tcPr>
          <w:p w14:paraId="1CA7899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Facilitators and Barriers to Healthful</w:t>
            </w:r>
          </w:p>
        </w:tc>
        <w:tc>
          <w:tcPr>
            <w:tcW w:w="486" w:type="pct"/>
          </w:tcPr>
          <w:p w14:paraId="625658C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High-income countries</w:t>
            </w:r>
          </w:p>
        </w:tc>
        <w:tc>
          <w:tcPr>
            <w:tcW w:w="340" w:type="pct"/>
          </w:tcPr>
          <w:p w14:paraId="2599560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evidence factors</w:t>
            </w:r>
          </w:p>
        </w:tc>
        <w:tc>
          <w:tcPr>
            <w:tcW w:w="388" w:type="pct"/>
          </w:tcPr>
          <w:p w14:paraId="06858B0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Mixed-methods involving adolescents</w:t>
            </w:r>
          </w:p>
        </w:tc>
        <w:tc>
          <w:tcPr>
            <w:tcW w:w="582" w:type="pct"/>
          </w:tcPr>
          <w:p w14:paraId="4C327E0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preferences taste</w:t>
            </w:r>
          </w:p>
        </w:tc>
        <w:tc>
          <w:tcPr>
            <w:tcW w:w="632" w:type="pct"/>
          </w:tcPr>
          <w:p w14:paraId="4818C1A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Family peer identity</w:t>
            </w:r>
          </w:p>
        </w:tc>
        <w:tc>
          <w:tcPr>
            <w:tcW w:w="534" w:type="pct"/>
          </w:tcPr>
          <w:p w14:paraId="78C9327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59A1545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Healthful eating influenced individual</w:t>
            </w:r>
          </w:p>
        </w:tc>
        <w:tc>
          <w:tcPr>
            <w:tcW w:w="535" w:type="pct"/>
          </w:tcPr>
          <w:p w14:paraId="1D2E9E4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develop interventions</w:t>
            </w:r>
          </w:p>
        </w:tc>
      </w:tr>
      <w:tr w:rsidR="001333BC" w:rsidRPr="001333BC" w14:paraId="1F160FE5" w14:textId="77777777" w:rsidTr="00E62104">
        <w:trPr>
          <w:jc w:val="center"/>
        </w:trPr>
        <w:tc>
          <w:tcPr>
            <w:tcW w:w="177" w:type="pct"/>
          </w:tcPr>
          <w:p w14:paraId="78D3B1D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49</w:t>
            </w:r>
          </w:p>
        </w:tc>
        <w:tc>
          <w:tcPr>
            <w:tcW w:w="405" w:type="pct"/>
          </w:tcPr>
          <w:p w14:paraId="6C5AD9E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Dey (2023)</w:t>
            </w:r>
          </w:p>
        </w:tc>
        <w:tc>
          <w:tcPr>
            <w:tcW w:w="436" w:type="pct"/>
          </w:tcPr>
          <w:p w14:paraId="7466475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w:t>
            </w:r>
            <w:proofErr w:type="spellStart"/>
            <w:r w:rsidRPr="001333BC">
              <w:rPr>
                <w:rFonts w:ascii="Cambria" w:eastAsia="MS Mincho" w:hAnsi="Cambria" w:cs="Times New Roman"/>
                <w:sz w:val="20"/>
                <w:szCs w:val="40"/>
              </w:rPr>
              <w:t>Im</w:t>
            </w:r>
            <w:proofErr w:type="spellEnd"/>
            <w:r w:rsidRPr="001333BC">
              <w:rPr>
                <w:rFonts w:ascii="Cambria" w:eastAsia="MS Mincho" w:hAnsi="Cambria" w:cs="Times New Roman"/>
                <w:sz w:val="20"/>
                <w:szCs w:val="40"/>
              </w:rPr>
              <w:t>)migrants’ Appropriation of Culture</w:t>
            </w:r>
          </w:p>
        </w:tc>
        <w:tc>
          <w:tcPr>
            <w:tcW w:w="486" w:type="pct"/>
          </w:tcPr>
          <w:p w14:paraId="12CC898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UK and Bahrain</w:t>
            </w:r>
          </w:p>
        </w:tc>
        <w:tc>
          <w:tcPr>
            <w:tcW w:w="340" w:type="pct"/>
          </w:tcPr>
          <w:p w14:paraId="4BC5230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understand migrants adopt</w:t>
            </w:r>
          </w:p>
        </w:tc>
        <w:tc>
          <w:tcPr>
            <w:tcW w:w="388" w:type="pct"/>
          </w:tcPr>
          <w:p w14:paraId="64DD068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diaspora</w:t>
            </w:r>
          </w:p>
        </w:tc>
        <w:tc>
          <w:tcPr>
            <w:tcW w:w="582" w:type="pct"/>
          </w:tcPr>
          <w:p w14:paraId="0E512E9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purchasing ingredients</w:t>
            </w:r>
          </w:p>
        </w:tc>
        <w:tc>
          <w:tcPr>
            <w:tcW w:w="632" w:type="pct"/>
          </w:tcPr>
          <w:p w14:paraId="5B75D2E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identity</w:t>
            </w:r>
          </w:p>
        </w:tc>
        <w:tc>
          <w:tcPr>
            <w:tcW w:w="534" w:type="pct"/>
          </w:tcPr>
          <w:p w14:paraId="5229365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consumption operates</w:t>
            </w:r>
          </w:p>
        </w:tc>
        <w:tc>
          <w:tcPr>
            <w:tcW w:w="485" w:type="pct"/>
          </w:tcPr>
          <w:p w14:paraId="1216B7E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broad dimensions food consumption</w:t>
            </w:r>
          </w:p>
        </w:tc>
        <w:tc>
          <w:tcPr>
            <w:tcW w:w="535" w:type="pct"/>
          </w:tcPr>
          <w:p w14:paraId="0C9A861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Existing paid limited attention</w:t>
            </w:r>
          </w:p>
        </w:tc>
      </w:tr>
      <w:tr w:rsidR="001333BC" w:rsidRPr="001333BC" w14:paraId="19613F54" w14:textId="77777777" w:rsidTr="00E62104">
        <w:trPr>
          <w:jc w:val="center"/>
        </w:trPr>
        <w:tc>
          <w:tcPr>
            <w:tcW w:w="177" w:type="pct"/>
          </w:tcPr>
          <w:p w14:paraId="2C6C963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50</w:t>
            </w:r>
          </w:p>
        </w:tc>
        <w:tc>
          <w:tcPr>
            <w:tcW w:w="405" w:type="pct"/>
          </w:tcPr>
          <w:p w14:paraId="5CCC780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Rodriguez (2024)</w:t>
            </w:r>
          </w:p>
        </w:tc>
        <w:tc>
          <w:tcPr>
            <w:tcW w:w="436" w:type="pct"/>
          </w:tcPr>
          <w:p w14:paraId="2B25848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Migrant Adolescents’ Experience </w:t>
            </w:r>
            <w:r w:rsidRPr="001333BC">
              <w:rPr>
                <w:rFonts w:ascii="Cambria" w:eastAsia="MS Mincho" w:hAnsi="Cambria" w:cs="Times New Roman"/>
                <w:sz w:val="20"/>
                <w:szCs w:val="40"/>
              </w:rPr>
              <w:lastRenderedPageBreak/>
              <w:t>of Depression</w:t>
            </w:r>
          </w:p>
        </w:tc>
        <w:tc>
          <w:tcPr>
            <w:tcW w:w="486" w:type="pct"/>
          </w:tcPr>
          <w:p w14:paraId="5959FCA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International migrant populations</w:t>
            </w:r>
          </w:p>
        </w:tc>
        <w:tc>
          <w:tcPr>
            <w:tcW w:w="340" w:type="pct"/>
          </w:tcPr>
          <w:p w14:paraId="6C3F0CD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synthesize </w:t>
            </w:r>
            <w:r w:rsidRPr="001333BC">
              <w:rPr>
                <w:rFonts w:ascii="Cambria" w:eastAsia="MS Mincho" w:hAnsi="Cambria" w:cs="Times New Roman"/>
                <w:sz w:val="20"/>
                <w:szCs w:val="40"/>
              </w:rPr>
              <w:lastRenderedPageBreak/>
              <w:t>evidence migrant</w:t>
            </w:r>
          </w:p>
        </w:tc>
        <w:tc>
          <w:tcPr>
            <w:tcW w:w="388" w:type="pct"/>
          </w:tcPr>
          <w:p w14:paraId="49DCF42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14 studies</w:t>
            </w:r>
          </w:p>
        </w:tc>
        <w:tc>
          <w:tcPr>
            <w:tcW w:w="582" w:type="pct"/>
          </w:tcPr>
          <w:p w14:paraId="3C8EE71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51451BC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transmission intergenerational</w:t>
            </w:r>
          </w:p>
        </w:tc>
        <w:tc>
          <w:tcPr>
            <w:tcW w:w="534" w:type="pct"/>
          </w:tcPr>
          <w:p w14:paraId="6348604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6AA1CD8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Six major themes including</w:t>
            </w:r>
          </w:p>
        </w:tc>
        <w:tc>
          <w:tcPr>
            <w:tcW w:w="535" w:type="pct"/>
          </w:tcPr>
          <w:p w14:paraId="5C573A3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understand migrant</w:t>
            </w:r>
          </w:p>
        </w:tc>
      </w:tr>
      <w:tr w:rsidR="001333BC" w:rsidRPr="001333BC" w14:paraId="546A5C89" w14:textId="77777777" w:rsidTr="00E62104">
        <w:trPr>
          <w:jc w:val="center"/>
        </w:trPr>
        <w:tc>
          <w:tcPr>
            <w:tcW w:w="177" w:type="pct"/>
          </w:tcPr>
          <w:p w14:paraId="42C729D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51</w:t>
            </w:r>
          </w:p>
        </w:tc>
        <w:tc>
          <w:tcPr>
            <w:tcW w:w="405" w:type="pct"/>
          </w:tcPr>
          <w:p w14:paraId="6D9D236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Au (2024)</w:t>
            </w:r>
          </w:p>
        </w:tc>
        <w:tc>
          <w:tcPr>
            <w:tcW w:w="436" w:type="pct"/>
          </w:tcPr>
          <w:p w14:paraId="406306E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Immigrant Older Adults’ Experiences of</w:t>
            </w:r>
          </w:p>
        </w:tc>
        <w:tc>
          <w:tcPr>
            <w:tcW w:w="486" w:type="pct"/>
          </w:tcPr>
          <w:p w14:paraId="320C641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2069C67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evidence immigrant</w:t>
            </w:r>
          </w:p>
        </w:tc>
        <w:tc>
          <w:tcPr>
            <w:tcW w:w="388" w:type="pct"/>
          </w:tcPr>
          <w:p w14:paraId="14EE93F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30 studies</w:t>
            </w:r>
          </w:p>
        </w:tc>
        <w:tc>
          <w:tcPr>
            <w:tcW w:w="582" w:type="pct"/>
          </w:tcPr>
          <w:p w14:paraId="1FAF96C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Ethnic shops culturally</w:t>
            </w:r>
          </w:p>
        </w:tc>
        <w:tc>
          <w:tcPr>
            <w:tcW w:w="632" w:type="pct"/>
          </w:tcPr>
          <w:p w14:paraId="2E37B8D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Sense belonging ethnic</w:t>
            </w:r>
          </w:p>
        </w:tc>
        <w:tc>
          <w:tcPr>
            <w:tcW w:w="534" w:type="pct"/>
          </w:tcPr>
          <w:p w14:paraId="2ABAEF9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culturally familiar food supports belonging</w:t>
            </w:r>
          </w:p>
        </w:tc>
        <w:tc>
          <w:tcPr>
            <w:tcW w:w="485" w:type="pct"/>
          </w:tcPr>
          <w:p w14:paraId="608550E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neighborhood experiences shaped social</w:t>
            </w:r>
          </w:p>
        </w:tc>
        <w:tc>
          <w:tcPr>
            <w:tcW w:w="535" w:type="pct"/>
          </w:tcPr>
          <w:p w14:paraId="757CEBA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needed diverse immigrant groups</w:t>
            </w:r>
          </w:p>
        </w:tc>
      </w:tr>
      <w:tr w:rsidR="001333BC" w:rsidRPr="001333BC" w14:paraId="1E93202E" w14:textId="77777777" w:rsidTr="00E62104">
        <w:trPr>
          <w:jc w:val="center"/>
        </w:trPr>
        <w:tc>
          <w:tcPr>
            <w:tcW w:w="177" w:type="pct"/>
          </w:tcPr>
          <w:p w14:paraId="0F6CC40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52</w:t>
            </w:r>
          </w:p>
        </w:tc>
        <w:tc>
          <w:tcPr>
            <w:tcW w:w="405" w:type="pct"/>
          </w:tcPr>
          <w:p w14:paraId="5AA8BBE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Henry (2025)</w:t>
            </w:r>
          </w:p>
        </w:tc>
        <w:tc>
          <w:tcPr>
            <w:tcW w:w="436" w:type="pct"/>
          </w:tcPr>
          <w:p w14:paraId="163D365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Insecurity among South Asian</w:t>
            </w:r>
          </w:p>
        </w:tc>
        <w:tc>
          <w:tcPr>
            <w:tcW w:w="486" w:type="pct"/>
          </w:tcPr>
          <w:p w14:paraId="455B05B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USA</w:t>
            </w:r>
          </w:p>
        </w:tc>
        <w:tc>
          <w:tcPr>
            <w:tcW w:w="340" w:type="pct"/>
          </w:tcPr>
          <w:p w14:paraId="4FF63FD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challenges perceptions coping</w:t>
            </w:r>
          </w:p>
        </w:tc>
        <w:tc>
          <w:tcPr>
            <w:tcW w:w="388" w:type="pct"/>
          </w:tcPr>
          <w:p w14:paraId="34FB6A6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international</w:t>
            </w:r>
          </w:p>
        </w:tc>
        <w:tc>
          <w:tcPr>
            <w:tcW w:w="582" w:type="pct"/>
          </w:tcPr>
          <w:p w14:paraId="2C2DC8B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Culturally appropriate foods</w:t>
            </w:r>
          </w:p>
        </w:tc>
        <w:tc>
          <w:tcPr>
            <w:tcW w:w="632" w:type="pct"/>
          </w:tcPr>
          <w:p w14:paraId="7379B90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cultural</w:t>
            </w:r>
          </w:p>
        </w:tc>
        <w:tc>
          <w:tcPr>
            <w:tcW w:w="534" w:type="pct"/>
          </w:tcPr>
          <w:p w14:paraId="1FBCCD6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access affect</w:t>
            </w:r>
          </w:p>
        </w:tc>
        <w:tc>
          <w:tcPr>
            <w:tcW w:w="485" w:type="pct"/>
          </w:tcPr>
          <w:p w14:paraId="29211D1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insecurity shaped financial</w:t>
            </w:r>
          </w:p>
        </w:tc>
        <w:tc>
          <w:tcPr>
            <w:tcW w:w="535" w:type="pct"/>
          </w:tcPr>
          <w:p w14:paraId="766512E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culturally appropriate</w:t>
            </w:r>
          </w:p>
        </w:tc>
      </w:tr>
      <w:tr w:rsidR="001333BC" w:rsidRPr="001333BC" w14:paraId="7ABAEAE0" w14:textId="77777777" w:rsidTr="00E62104">
        <w:trPr>
          <w:jc w:val="center"/>
        </w:trPr>
        <w:tc>
          <w:tcPr>
            <w:tcW w:w="177" w:type="pct"/>
          </w:tcPr>
          <w:p w14:paraId="0D464CB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53</w:t>
            </w:r>
          </w:p>
        </w:tc>
        <w:tc>
          <w:tcPr>
            <w:tcW w:w="405" w:type="pct"/>
          </w:tcPr>
          <w:p w14:paraId="5CF9F7A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Doucette (2023)</w:t>
            </w:r>
          </w:p>
        </w:tc>
        <w:tc>
          <w:tcPr>
            <w:tcW w:w="436" w:type="pct"/>
          </w:tcPr>
          <w:p w14:paraId="7C9F709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Culture and Asian Immigrants’ Access</w:t>
            </w:r>
          </w:p>
        </w:tc>
        <w:tc>
          <w:tcPr>
            <w:tcW w:w="486" w:type="pct"/>
          </w:tcPr>
          <w:p w14:paraId="0BAFAC1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Canada</w:t>
            </w:r>
          </w:p>
        </w:tc>
        <w:tc>
          <w:tcPr>
            <w:tcW w:w="340" w:type="pct"/>
          </w:tcPr>
          <w:p w14:paraId="6D6A012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factors influence</w:t>
            </w:r>
          </w:p>
        </w:tc>
        <w:tc>
          <w:tcPr>
            <w:tcW w:w="388" w:type="pct"/>
          </w:tcPr>
          <w:p w14:paraId="16BA958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Scoping literature concerning</w:t>
            </w:r>
          </w:p>
        </w:tc>
        <w:tc>
          <w:tcPr>
            <w:tcW w:w="582" w:type="pct"/>
          </w:tcPr>
          <w:p w14:paraId="0F08033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416F0E6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language</w:t>
            </w:r>
          </w:p>
        </w:tc>
        <w:tc>
          <w:tcPr>
            <w:tcW w:w="534" w:type="pct"/>
          </w:tcPr>
          <w:p w14:paraId="5C8911B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117A449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language and family barriers</w:t>
            </w:r>
          </w:p>
        </w:tc>
        <w:tc>
          <w:tcPr>
            <w:tcW w:w="535" w:type="pct"/>
          </w:tcPr>
          <w:p w14:paraId="1AA6594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required to understand culturally specific</w:t>
            </w:r>
          </w:p>
        </w:tc>
      </w:tr>
      <w:tr w:rsidR="001333BC" w:rsidRPr="001333BC" w14:paraId="7A259C97" w14:textId="77777777" w:rsidTr="00E62104">
        <w:trPr>
          <w:jc w:val="center"/>
        </w:trPr>
        <w:tc>
          <w:tcPr>
            <w:tcW w:w="177" w:type="pct"/>
          </w:tcPr>
          <w:p w14:paraId="6FD1928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54</w:t>
            </w:r>
          </w:p>
        </w:tc>
        <w:tc>
          <w:tcPr>
            <w:tcW w:w="405" w:type="pct"/>
          </w:tcPr>
          <w:p w14:paraId="55EF285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Freitas (2024)</w:t>
            </w:r>
          </w:p>
        </w:tc>
        <w:tc>
          <w:tcPr>
            <w:tcW w:w="436" w:type="pct"/>
          </w:tcPr>
          <w:p w14:paraId="52EAC58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Motherhood and Consumption</w:t>
            </w:r>
          </w:p>
        </w:tc>
        <w:tc>
          <w:tcPr>
            <w:tcW w:w="486" w:type="pct"/>
          </w:tcPr>
          <w:p w14:paraId="13A9A46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6E15497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relationship with motherhood consumption</w:t>
            </w:r>
          </w:p>
        </w:tc>
        <w:tc>
          <w:tcPr>
            <w:tcW w:w="388" w:type="pct"/>
          </w:tcPr>
          <w:p w14:paraId="41AFC3E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Hybrid literature articles</w:t>
            </w:r>
          </w:p>
        </w:tc>
        <w:tc>
          <w:tcPr>
            <w:tcW w:w="582" w:type="pct"/>
          </w:tcPr>
          <w:p w14:paraId="0EFB49F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consumption appears</w:t>
            </w:r>
          </w:p>
        </w:tc>
        <w:tc>
          <w:tcPr>
            <w:tcW w:w="632" w:type="pct"/>
          </w:tcPr>
          <w:p w14:paraId="5951426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Motherhood consumer identity</w:t>
            </w:r>
          </w:p>
        </w:tc>
        <w:tc>
          <w:tcPr>
            <w:tcW w:w="534" w:type="pct"/>
          </w:tcPr>
          <w:p w14:paraId="1D6E243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consumption links with family and identity</w:t>
            </w:r>
          </w:p>
        </w:tc>
        <w:tc>
          <w:tcPr>
            <w:tcW w:w="485" w:type="pct"/>
          </w:tcPr>
          <w:p w14:paraId="256F486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nine major perspectives including</w:t>
            </w:r>
          </w:p>
        </w:tc>
        <w:tc>
          <w:tcPr>
            <w:tcW w:w="535" w:type="pct"/>
          </w:tcPr>
          <w:p w14:paraId="3939D17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Future motherhood consumption diverse</w:t>
            </w:r>
          </w:p>
        </w:tc>
      </w:tr>
      <w:tr w:rsidR="001333BC" w:rsidRPr="001333BC" w14:paraId="456E840B" w14:textId="77777777" w:rsidTr="00E62104">
        <w:trPr>
          <w:jc w:val="center"/>
        </w:trPr>
        <w:tc>
          <w:tcPr>
            <w:tcW w:w="177" w:type="pct"/>
          </w:tcPr>
          <w:p w14:paraId="0FF54F4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55</w:t>
            </w:r>
          </w:p>
        </w:tc>
        <w:tc>
          <w:tcPr>
            <w:tcW w:w="405" w:type="pct"/>
          </w:tcPr>
          <w:p w14:paraId="50F0465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Awan (2022)</w:t>
            </w:r>
          </w:p>
        </w:tc>
        <w:tc>
          <w:tcPr>
            <w:tcW w:w="436" w:type="pct"/>
          </w:tcPr>
          <w:p w14:paraId="2CC6693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Emotional Distress and </w:t>
            </w:r>
            <w:r w:rsidRPr="001333BC">
              <w:rPr>
                <w:rFonts w:ascii="Cambria" w:eastAsia="MS Mincho" w:hAnsi="Cambria" w:cs="Times New Roman"/>
                <w:sz w:val="20"/>
                <w:szCs w:val="40"/>
              </w:rPr>
              <w:lastRenderedPageBreak/>
              <w:t>Mental Health</w:t>
            </w:r>
          </w:p>
        </w:tc>
        <w:tc>
          <w:tcPr>
            <w:tcW w:w="486" w:type="pct"/>
          </w:tcPr>
          <w:p w14:paraId="52C044D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 xml:space="preserve">UK and international </w:t>
            </w:r>
            <w:r w:rsidRPr="001333BC">
              <w:rPr>
                <w:rFonts w:ascii="Cambria" w:eastAsia="MS Mincho" w:hAnsi="Cambria" w:cs="Times New Roman"/>
                <w:sz w:val="20"/>
                <w:szCs w:val="40"/>
              </w:rPr>
              <w:lastRenderedPageBreak/>
              <w:t>primary/community</w:t>
            </w:r>
          </w:p>
        </w:tc>
        <w:tc>
          <w:tcPr>
            <w:tcW w:w="340" w:type="pct"/>
          </w:tcPr>
          <w:p w14:paraId="351ECE3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people South Asian</w:t>
            </w:r>
          </w:p>
        </w:tc>
        <w:tc>
          <w:tcPr>
            <w:tcW w:w="388" w:type="pct"/>
          </w:tcPr>
          <w:p w14:paraId="79D9FE7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involving South Asian</w:t>
            </w:r>
          </w:p>
        </w:tc>
        <w:tc>
          <w:tcPr>
            <w:tcW w:w="582" w:type="pct"/>
          </w:tcPr>
          <w:p w14:paraId="3B03864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Limited: dietary practices within </w:t>
            </w:r>
            <w:r w:rsidRPr="001333BC">
              <w:rPr>
                <w:rFonts w:ascii="Cambria" w:eastAsia="MS Mincho" w:hAnsi="Cambria" w:cs="Times New Roman"/>
                <w:sz w:val="20"/>
                <w:szCs w:val="40"/>
              </w:rPr>
              <w:lastRenderedPageBreak/>
              <w:t>South Asian culture</w:t>
            </w:r>
          </w:p>
        </w:tc>
        <w:tc>
          <w:tcPr>
            <w:tcW w:w="632" w:type="pct"/>
          </w:tcPr>
          <w:p w14:paraId="1142247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South Asian identity</w:t>
            </w:r>
          </w:p>
        </w:tc>
        <w:tc>
          <w:tcPr>
            <w:tcW w:w="534" w:type="pct"/>
          </w:tcPr>
          <w:p w14:paraId="317E7DB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5CA9B90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participants described</w:t>
            </w:r>
          </w:p>
        </w:tc>
        <w:tc>
          <w:tcPr>
            <w:tcW w:w="535" w:type="pct"/>
          </w:tcPr>
          <w:p w14:paraId="762D5DA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needed develop culturally sensitive</w:t>
            </w:r>
          </w:p>
        </w:tc>
      </w:tr>
      <w:tr w:rsidR="001333BC" w:rsidRPr="001333BC" w14:paraId="0A55FE35" w14:textId="77777777" w:rsidTr="00E62104">
        <w:trPr>
          <w:jc w:val="center"/>
        </w:trPr>
        <w:tc>
          <w:tcPr>
            <w:tcW w:w="177" w:type="pct"/>
          </w:tcPr>
          <w:p w14:paraId="3BCC72A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56</w:t>
            </w:r>
          </w:p>
        </w:tc>
        <w:tc>
          <w:tcPr>
            <w:tcW w:w="405" w:type="pct"/>
          </w:tcPr>
          <w:p w14:paraId="2D56AC7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Stenberg &amp; </w:t>
            </w:r>
            <w:proofErr w:type="gramStart"/>
            <w:r w:rsidRPr="001333BC">
              <w:rPr>
                <w:rFonts w:ascii="Cambria" w:eastAsia="MS Mincho" w:hAnsi="Cambria" w:cs="Times New Roman"/>
                <w:sz w:val="20"/>
                <w:szCs w:val="40"/>
              </w:rPr>
              <w:t>Hjelm  (</w:t>
            </w:r>
            <w:proofErr w:type="gramEnd"/>
            <w:r w:rsidRPr="001333BC">
              <w:rPr>
                <w:rFonts w:ascii="Cambria" w:eastAsia="MS Mincho" w:hAnsi="Cambria" w:cs="Times New Roman"/>
                <w:sz w:val="20"/>
                <w:szCs w:val="40"/>
              </w:rPr>
              <w:t>2023)</w:t>
            </w:r>
          </w:p>
        </w:tc>
        <w:tc>
          <w:tcPr>
            <w:tcW w:w="436" w:type="pct"/>
          </w:tcPr>
          <w:p w14:paraId="7123DFA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Migrant Informal Caregivers and Dementia</w:t>
            </w:r>
          </w:p>
        </w:tc>
        <w:tc>
          <w:tcPr>
            <w:tcW w:w="486" w:type="pct"/>
          </w:tcPr>
          <w:p w14:paraId="0847AB8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408C848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migrant family</w:t>
            </w:r>
          </w:p>
        </w:tc>
        <w:tc>
          <w:tcPr>
            <w:tcW w:w="388" w:type="pct"/>
          </w:tcPr>
          <w:p w14:paraId="69C42B9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Thematic synthesis articles</w:t>
            </w:r>
          </w:p>
        </w:tc>
        <w:tc>
          <w:tcPr>
            <w:tcW w:w="582" w:type="pct"/>
          </w:tcPr>
          <w:p w14:paraId="25CA35A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5979E93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background family</w:t>
            </w:r>
          </w:p>
        </w:tc>
        <w:tc>
          <w:tcPr>
            <w:tcW w:w="534" w:type="pct"/>
          </w:tcPr>
          <w:p w14:paraId="34F3D13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08AF2C9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Migrant caregivers experienced cultural</w:t>
            </w:r>
          </w:p>
        </w:tc>
        <w:tc>
          <w:tcPr>
            <w:tcW w:w="535" w:type="pct"/>
          </w:tcPr>
          <w:p w14:paraId="434D5F8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understand culturally</w:t>
            </w:r>
          </w:p>
        </w:tc>
      </w:tr>
      <w:tr w:rsidR="001333BC" w:rsidRPr="001333BC" w14:paraId="6DC4C39C" w14:textId="77777777" w:rsidTr="00E62104">
        <w:trPr>
          <w:jc w:val="center"/>
        </w:trPr>
        <w:tc>
          <w:tcPr>
            <w:tcW w:w="177" w:type="pct"/>
          </w:tcPr>
          <w:p w14:paraId="2005F40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57</w:t>
            </w:r>
          </w:p>
        </w:tc>
        <w:tc>
          <w:tcPr>
            <w:tcW w:w="405" w:type="pct"/>
          </w:tcPr>
          <w:p w14:paraId="1F6F499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Cabral (2025)</w:t>
            </w:r>
          </w:p>
        </w:tc>
        <w:tc>
          <w:tcPr>
            <w:tcW w:w="436" w:type="pct"/>
          </w:tcPr>
          <w:p w14:paraId="0B66332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Gastronomic Approaches in Diplomacy</w:t>
            </w:r>
          </w:p>
        </w:tc>
        <w:tc>
          <w:tcPr>
            <w:tcW w:w="486" w:type="pct"/>
          </w:tcPr>
          <w:p w14:paraId="6AC4C26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1962802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development gastronomic approaches</w:t>
            </w:r>
          </w:p>
        </w:tc>
        <w:tc>
          <w:tcPr>
            <w:tcW w:w="388" w:type="pct"/>
          </w:tcPr>
          <w:p w14:paraId="72DA009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Rapid articles concerning</w:t>
            </w:r>
          </w:p>
        </w:tc>
        <w:tc>
          <w:tcPr>
            <w:tcW w:w="582" w:type="pct"/>
          </w:tcPr>
          <w:p w14:paraId="3055D78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Gastronomic practices national</w:t>
            </w:r>
          </w:p>
        </w:tc>
        <w:tc>
          <w:tcPr>
            <w:tcW w:w="632" w:type="pct"/>
          </w:tcPr>
          <w:p w14:paraId="683A504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National identity cultural</w:t>
            </w:r>
          </w:p>
        </w:tc>
        <w:tc>
          <w:tcPr>
            <w:tcW w:w="534" w:type="pct"/>
          </w:tcPr>
          <w:p w14:paraId="20258AE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communicates represent</w:t>
            </w:r>
          </w:p>
        </w:tc>
        <w:tc>
          <w:tcPr>
            <w:tcW w:w="485" w:type="pct"/>
          </w:tcPr>
          <w:p w14:paraId="5B4EB01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gastronomy operates beyond</w:t>
            </w:r>
          </w:p>
        </w:tc>
        <w:tc>
          <w:tcPr>
            <w:tcW w:w="535" w:type="pct"/>
          </w:tcPr>
          <w:p w14:paraId="74C6129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gastronomic diplomacy</w:t>
            </w:r>
          </w:p>
        </w:tc>
      </w:tr>
      <w:tr w:rsidR="001333BC" w:rsidRPr="001333BC" w14:paraId="345F9B30" w14:textId="77777777" w:rsidTr="00E62104">
        <w:trPr>
          <w:jc w:val="center"/>
        </w:trPr>
        <w:tc>
          <w:tcPr>
            <w:tcW w:w="177" w:type="pct"/>
          </w:tcPr>
          <w:p w14:paraId="309128E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58</w:t>
            </w:r>
          </w:p>
        </w:tc>
        <w:tc>
          <w:tcPr>
            <w:tcW w:w="405" w:type="pct"/>
          </w:tcPr>
          <w:p w14:paraId="4BDA77F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Molla (2025)</w:t>
            </w:r>
          </w:p>
        </w:tc>
        <w:tc>
          <w:tcPr>
            <w:tcW w:w="436" w:type="pct"/>
          </w:tcPr>
          <w:p w14:paraId="1739F17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Community, Religion, Spirituality and Cultural</w:t>
            </w:r>
          </w:p>
        </w:tc>
        <w:tc>
          <w:tcPr>
            <w:tcW w:w="486" w:type="pct"/>
          </w:tcPr>
          <w:p w14:paraId="24F2145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Sub-Saharan Africa</w:t>
            </w:r>
          </w:p>
        </w:tc>
        <w:tc>
          <w:tcPr>
            <w:tcW w:w="340" w:type="pct"/>
          </w:tcPr>
          <w:p w14:paraId="76021AF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community organizations religion</w:t>
            </w:r>
          </w:p>
        </w:tc>
        <w:tc>
          <w:tcPr>
            <w:tcW w:w="388" w:type="pct"/>
          </w:tcPr>
          <w:p w14:paraId="49D1C17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47 studies</w:t>
            </w:r>
          </w:p>
        </w:tc>
        <w:tc>
          <w:tcPr>
            <w:tcW w:w="582" w:type="pct"/>
          </w:tcPr>
          <w:p w14:paraId="0EF7A13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dietary practices and food choices</w:t>
            </w:r>
          </w:p>
        </w:tc>
        <w:tc>
          <w:tcPr>
            <w:tcW w:w="632" w:type="pct"/>
          </w:tcPr>
          <w:p w14:paraId="4CF06A2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religion</w:t>
            </w:r>
          </w:p>
        </w:tc>
        <w:tc>
          <w:tcPr>
            <w:tcW w:w="534" w:type="pct"/>
          </w:tcPr>
          <w:p w14:paraId="3E26778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64C513F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beliefs religion spirituality</w:t>
            </w:r>
          </w:p>
        </w:tc>
        <w:tc>
          <w:tcPr>
            <w:tcW w:w="535" w:type="pct"/>
          </w:tcPr>
          <w:p w14:paraId="779BF05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context-specific culturally</w:t>
            </w:r>
          </w:p>
        </w:tc>
      </w:tr>
      <w:tr w:rsidR="001333BC" w:rsidRPr="001333BC" w14:paraId="224BBFCB" w14:textId="77777777" w:rsidTr="00E62104">
        <w:trPr>
          <w:jc w:val="center"/>
        </w:trPr>
        <w:tc>
          <w:tcPr>
            <w:tcW w:w="177" w:type="pct"/>
          </w:tcPr>
          <w:p w14:paraId="52D13DC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59</w:t>
            </w:r>
          </w:p>
        </w:tc>
        <w:tc>
          <w:tcPr>
            <w:tcW w:w="405" w:type="pct"/>
          </w:tcPr>
          <w:p w14:paraId="403CD89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Lindsay (2023)</w:t>
            </w:r>
          </w:p>
        </w:tc>
        <w:tc>
          <w:tcPr>
            <w:tcW w:w="436" w:type="pct"/>
          </w:tcPr>
          <w:p w14:paraId="794EAB2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Lived Experiences of Ethnic Minority</w:t>
            </w:r>
          </w:p>
        </w:tc>
        <w:tc>
          <w:tcPr>
            <w:tcW w:w="486" w:type="pct"/>
          </w:tcPr>
          <w:p w14:paraId="5A0969E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with strong Canadian</w:t>
            </w:r>
          </w:p>
        </w:tc>
        <w:tc>
          <w:tcPr>
            <w:tcW w:w="340" w:type="pct"/>
          </w:tcPr>
          <w:p w14:paraId="3631E37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evidence lived</w:t>
            </w:r>
          </w:p>
        </w:tc>
        <w:tc>
          <w:tcPr>
            <w:tcW w:w="388" w:type="pct"/>
          </w:tcPr>
          <w:p w14:paraId="32EF5C4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meta-synthesis involving ethnic</w:t>
            </w:r>
          </w:p>
        </w:tc>
        <w:tc>
          <w:tcPr>
            <w:tcW w:w="582" w:type="pct"/>
          </w:tcPr>
          <w:p w14:paraId="23B44E7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5733CF7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Ethnic identity cultural</w:t>
            </w:r>
          </w:p>
        </w:tc>
        <w:tc>
          <w:tcPr>
            <w:tcW w:w="534" w:type="pct"/>
          </w:tcPr>
          <w:p w14:paraId="79AA57E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16FB0CB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Ethnic minority youth disabilities</w:t>
            </w:r>
          </w:p>
        </w:tc>
        <w:tc>
          <w:tcPr>
            <w:tcW w:w="535" w:type="pct"/>
          </w:tcPr>
          <w:p w14:paraId="382298C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needed diverse ethnic minority</w:t>
            </w:r>
          </w:p>
        </w:tc>
      </w:tr>
      <w:tr w:rsidR="001333BC" w:rsidRPr="001333BC" w14:paraId="346642FA" w14:textId="77777777" w:rsidTr="00E62104">
        <w:trPr>
          <w:jc w:val="center"/>
        </w:trPr>
        <w:tc>
          <w:tcPr>
            <w:tcW w:w="177" w:type="pct"/>
          </w:tcPr>
          <w:p w14:paraId="4F099CB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60</w:t>
            </w:r>
          </w:p>
        </w:tc>
        <w:tc>
          <w:tcPr>
            <w:tcW w:w="405" w:type="pct"/>
          </w:tcPr>
          <w:p w14:paraId="3ECF289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Soufi </w:t>
            </w:r>
            <w:proofErr w:type="spellStart"/>
            <w:r w:rsidRPr="001333BC">
              <w:rPr>
                <w:rFonts w:ascii="Cambria" w:eastAsia="MS Mincho" w:hAnsi="Cambria" w:cs="Times New Roman"/>
                <w:sz w:val="20"/>
                <w:szCs w:val="40"/>
              </w:rPr>
              <w:t>Amlashi</w:t>
            </w:r>
            <w:proofErr w:type="spellEnd"/>
            <w:r w:rsidRPr="001333BC">
              <w:rPr>
                <w:rFonts w:ascii="Cambria" w:eastAsia="MS Mincho" w:hAnsi="Cambria" w:cs="Times New Roman"/>
                <w:sz w:val="20"/>
                <w:szCs w:val="40"/>
              </w:rPr>
              <w:t xml:space="preserve"> (2024)</w:t>
            </w:r>
          </w:p>
        </w:tc>
        <w:tc>
          <w:tcPr>
            <w:tcW w:w="436" w:type="pct"/>
          </w:tcPr>
          <w:p w14:paraId="2C554DE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Acculturative Stress and Psychological Outcomes</w:t>
            </w:r>
          </w:p>
        </w:tc>
        <w:tc>
          <w:tcPr>
            <w:tcW w:w="486" w:type="pct"/>
          </w:tcPr>
          <w:p w14:paraId="5F9B367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60865ED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relationship accultur</w:t>
            </w:r>
            <w:r w:rsidRPr="001333BC">
              <w:rPr>
                <w:rFonts w:ascii="Cambria" w:eastAsia="MS Mincho" w:hAnsi="Cambria" w:cs="Times New Roman"/>
                <w:sz w:val="20"/>
                <w:szCs w:val="40"/>
              </w:rPr>
              <w:lastRenderedPageBreak/>
              <w:t>ative stress</w:t>
            </w:r>
          </w:p>
        </w:tc>
        <w:tc>
          <w:tcPr>
            <w:tcW w:w="388" w:type="pct"/>
          </w:tcPr>
          <w:p w14:paraId="1DF1E4A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7,247 participants</w:t>
            </w:r>
          </w:p>
        </w:tc>
        <w:tc>
          <w:tcPr>
            <w:tcW w:w="582" w:type="pct"/>
          </w:tcPr>
          <w:p w14:paraId="63DDC67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4E1491D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Acculturation cultural adaptation</w:t>
            </w:r>
          </w:p>
        </w:tc>
        <w:tc>
          <w:tcPr>
            <w:tcW w:w="534" w:type="pct"/>
          </w:tcPr>
          <w:p w14:paraId="062C86B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753882C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higher acculturative stress associated</w:t>
            </w:r>
          </w:p>
        </w:tc>
        <w:tc>
          <w:tcPr>
            <w:tcW w:w="535" w:type="pct"/>
          </w:tcPr>
          <w:p w14:paraId="13FEE36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cultural contextual</w:t>
            </w:r>
          </w:p>
        </w:tc>
      </w:tr>
      <w:tr w:rsidR="001333BC" w:rsidRPr="001333BC" w14:paraId="2453016C" w14:textId="77777777" w:rsidTr="00E62104">
        <w:trPr>
          <w:jc w:val="center"/>
        </w:trPr>
        <w:tc>
          <w:tcPr>
            <w:tcW w:w="177" w:type="pct"/>
          </w:tcPr>
          <w:p w14:paraId="52244DE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61</w:t>
            </w:r>
          </w:p>
        </w:tc>
        <w:tc>
          <w:tcPr>
            <w:tcW w:w="405" w:type="pct"/>
          </w:tcPr>
          <w:p w14:paraId="55CCA18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Dwyer (2024)</w:t>
            </w:r>
          </w:p>
        </w:tc>
        <w:tc>
          <w:tcPr>
            <w:tcW w:w="436" w:type="pct"/>
          </w:tcPr>
          <w:p w14:paraId="265CB9D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Barriers and Facilitators to Self-Management</w:t>
            </w:r>
          </w:p>
        </w:tc>
        <w:tc>
          <w:tcPr>
            <w:tcW w:w="486" w:type="pct"/>
          </w:tcPr>
          <w:p w14:paraId="4E53319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UK authors and healthcare</w:t>
            </w:r>
          </w:p>
        </w:tc>
        <w:tc>
          <w:tcPr>
            <w:tcW w:w="340" w:type="pct"/>
          </w:tcPr>
          <w:p w14:paraId="68A36E8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evidence barriers</w:t>
            </w:r>
          </w:p>
        </w:tc>
        <w:tc>
          <w:tcPr>
            <w:tcW w:w="388" w:type="pct"/>
          </w:tcPr>
          <w:p w14:paraId="60D46C7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publications involving women</w:t>
            </w:r>
          </w:p>
        </w:tc>
        <w:tc>
          <w:tcPr>
            <w:tcW w:w="582" w:type="pct"/>
          </w:tcPr>
          <w:p w14:paraId="5050E96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dietary self-management practices</w:t>
            </w:r>
          </w:p>
        </w:tc>
        <w:tc>
          <w:tcPr>
            <w:tcW w:w="632" w:type="pct"/>
          </w:tcPr>
          <w:p w14:paraId="4B167FF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Culture family support</w:t>
            </w:r>
          </w:p>
        </w:tc>
        <w:tc>
          <w:tcPr>
            <w:tcW w:w="534" w:type="pct"/>
          </w:tcPr>
          <w:p w14:paraId="3937EA0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311979A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self-management influenced psychological capability</w:t>
            </w:r>
          </w:p>
        </w:tc>
        <w:tc>
          <w:tcPr>
            <w:tcW w:w="535" w:type="pct"/>
          </w:tcPr>
          <w:p w14:paraId="395C486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culturally responsive self-management programmers</w:t>
            </w:r>
          </w:p>
        </w:tc>
      </w:tr>
      <w:tr w:rsidR="001333BC" w:rsidRPr="001333BC" w14:paraId="11F8CC7D" w14:textId="77777777" w:rsidTr="00E62104">
        <w:trPr>
          <w:jc w:val="center"/>
        </w:trPr>
        <w:tc>
          <w:tcPr>
            <w:tcW w:w="177" w:type="pct"/>
          </w:tcPr>
          <w:p w14:paraId="1F6A49D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62</w:t>
            </w:r>
          </w:p>
        </w:tc>
        <w:tc>
          <w:tcPr>
            <w:tcW w:w="405" w:type="pct"/>
          </w:tcPr>
          <w:p w14:paraId="4B9F095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Chowdhury (2023)</w:t>
            </w:r>
          </w:p>
        </w:tc>
        <w:tc>
          <w:tcPr>
            <w:tcW w:w="436" w:type="pct"/>
          </w:tcPr>
          <w:p w14:paraId="2F35C80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Foreign-born South Asian Older Adults</w:t>
            </w:r>
          </w:p>
        </w:tc>
        <w:tc>
          <w:tcPr>
            <w:tcW w:w="486" w:type="pct"/>
          </w:tcPr>
          <w:p w14:paraId="3D46F58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Canada</w:t>
            </w:r>
          </w:p>
        </w:tc>
        <w:tc>
          <w:tcPr>
            <w:tcW w:w="340" w:type="pct"/>
          </w:tcPr>
          <w:p w14:paraId="66461F1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social ethnocultural influences</w:t>
            </w:r>
          </w:p>
        </w:tc>
        <w:tc>
          <w:tcPr>
            <w:tcW w:w="388" w:type="pct"/>
          </w:tcPr>
          <w:p w14:paraId="2B23E0D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involving foreign-born South</w:t>
            </w:r>
          </w:p>
        </w:tc>
        <w:tc>
          <w:tcPr>
            <w:tcW w:w="582" w:type="pct"/>
          </w:tcPr>
          <w:p w14:paraId="1A7675E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nutrition healthy</w:t>
            </w:r>
          </w:p>
        </w:tc>
        <w:tc>
          <w:tcPr>
            <w:tcW w:w="632" w:type="pct"/>
          </w:tcPr>
          <w:p w14:paraId="4D94C1F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cultural</w:t>
            </w:r>
          </w:p>
        </w:tc>
        <w:tc>
          <w:tcPr>
            <w:tcW w:w="534" w:type="pct"/>
          </w:tcPr>
          <w:p w14:paraId="5EE1949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food contributes to social connection</w:t>
            </w:r>
          </w:p>
        </w:tc>
        <w:tc>
          <w:tcPr>
            <w:tcW w:w="485" w:type="pct"/>
          </w:tcPr>
          <w:p w14:paraId="0F0E54B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Participants food social interaction</w:t>
            </w:r>
          </w:p>
        </w:tc>
        <w:tc>
          <w:tcPr>
            <w:tcW w:w="535" w:type="pct"/>
          </w:tcPr>
          <w:p w14:paraId="33D51E5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include wider range</w:t>
            </w:r>
          </w:p>
        </w:tc>
      </w:tr>
      <w:tr w:rsidR="001333BC" w:rsidRPr="001333BC" w14:paraId="53183ECB" w14:textId="77777777" w:rsidTr="00E62104">
        <w:trPr>
          <w:jc w:val="center"/>
        </w:trPr>
        <w:tc>
          <w:tcPr>
            <w:tcW w:w="177" w:type="pct"/>
          </w:tcPr>
          <w:p w14:paraId="10C9A0B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63</w:t>
            </w:r>
          </w:p>
        </w:tc>
        <w:tc>
          <w:tcPr>
            <w:tcW w:w="405" w:type="pct"/>
          </w:tcPr>
          <w:p w14:paraId="22267281" w14:textId="77777777" w:rsidR="001333BC" w:rsidRPr="001333BC" w:rsidRDefault="001333BC" w:rsidP="001333BC">
            <w:pPr>
              <w:spacing w:line="360" w:lineRule="auto"/>
              <w:jc w:val="both"/>
              <w:rPr>
                <w:rFonts w:ascii="Cambria" w:eastAsia="MS Mincho" w:hAnsi="Cambria" w:cs="Times New Roman"/>
                <w:sz w:val="20"/>
                <w:szCs w:val="40"/>
              </w:rPr>
            </w:pPr>
            <w:proofErr w:type="spellStart"/>
            <w:proofErr w:type="gramStart"/>
            <w:r w:rsidRPr="001333BC">
              <w:rPr>
                <w:rFonts w:ascii="Cambria" w:eastAsia="MS Mincho" w:hAnsi="Cambria" w:cs="Times New Roman"/>
                <w:sz w:val="20"/>
                <w:szCs w:val="40"/>
              </w:rPr>
              <w:t>Bokayev</w:t>
            </w:r>
            <w:proofErr w:type="spellEnd"/>
            <w:r w:rsidRPr="001333BC">
              <w:rPr>
                <w:rFonts w:ascii="Cambria" w:eastAsia="MS Mincho" w:hAnsi="Cambria" w:cs="Times New Roman"/>
                <w:sz w:val="20"/>
                <w:szCs w:val="40"/>
              </w:rPr>
              <w:t xml:space="preserve">  (</w:t>
            </w:r>
            <w:proofErr w:type="gramEnd"/>
            <w:r w:rsidRPr="001333BC">
              <w:rPr>
                <w:rFonts w:ascii="Cambria" w:eastAsia="MS Mincho" w:hAnsi="Cambria" w:cs="Times New Roman"/>
                <w:sz w:val="20"/>
                <w:szCs w:val="40"/>
              </w:rPr>
              <w:t>2024)</w:t>
            </w:r>
          </w:p>
        </w:tc>
        <w:tc>
          <w:tcPr>
            <w:tcW w:w="436" w:type="pct"/>
          </w:tcPr>
          <w:p w14:paraId="38038E4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Socialization of International Students in</w:t>
            </w:r>
          </w:p>
        </w:tc>
        <w:tc>
          <w:tcPr>
            <w:tcW w:w="486" w:type="pct"/>
          </w:tcPr>
          <w:p w14:paraId="7B76750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USA</w:t>
            </w:r>
          </w:p>
        </w:tc>
        <w:tc>
          <w:tcPr>
            <w:tcW w:w="340" w:type="pct"/>
          </w:tcPr>
          <w:p w14:paraId="0A74D76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socialization adjustment integration</w:t>
            </w:r>
          </w:p>
        </w:tc>
        <w:tc>
          <w:tcPr>
            <w:tcW w:w="388" w:type="pct"/>
          </w:tcPr>
          <w:p w14:paraId="3F784B1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Comprehensive literature empirical</w:t>
            </w:r>
          </w:p>
        </w:tc>
        <w:tc>
          <w:tcPr>
            <w:tcW w:w="582" w:type="pct"/>
          </w:tcPr>
          <w:p w14:paraId="04E5351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6833036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Acculturation cultural adaptation</w:t>
            </w:r>
          </w:p>
        </w:tc>
        <w:tc>
          <w:tcPr>
            <w:tcW w:w="534" w:type="pct"/>
          </w:tcPr>
          <w:p w14:paraId="08177CC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081A0A9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acculturation difficulties language barriers</w:t>
            </w:r>
          </w:p>
        </w:tc>
        <w:tc>
          <w:tcPr>
            <w:tcW w:w="535" w:type="pct"/>
          </w:tcPr>
          <w:p w14:paraId="6A156D8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communication challenges</w:t>
            </w:r>
          </w:p>
        </w:tc>
      </w:tr>
      <w:tr w:rsidR="001333BC" w:rsidRPr="001333BC" w14:paraId="3544480A" w14:textId="77777777" w:rsidTr="00E62104">
        <w:trPr>
          <w:jc w:val="center"/>
        </w:trPr>
        <w:tc>
          <w:tcPr>
            <w:tcW w:w="177" w:type="pct"/>
          </w:tcPr>
          <w:p w14:paraId="642DCEA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64</w:t>
            </w:r>
          </w:p>
        </w:tc>
        <w:tc>
          <w:tcPr>
            <w:tcW w:w="405" w:type="pct"/>
          </w:tcPr>
          <w:p w14:paraId="4C5DE5D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Nantel &amp; </w:t>
            </w:r>
            <w:proofErr w:type="gramStart"/>
            <w:r w:rsidRPr="001333BC">
              <w:rPr>
                <w:rFonts w:ascii="Cambria" w:eastAsia="MS Mincho" w:hAnsi="Cambria" w:cs="Times New Roman"/>
                <w:sz w:val="20"/>
                <w:szCs w:val="40"/>
              </w:rPr>
              <w:t>Gingras  (</w:t>
            </w:r>
            <w:proofErr w:type="gramEnd"/>
            <w:r w:rsidRPr="001333BC">
              <w:rPr>
                <w:rFonts w:ascii="Cambria" w:eastAsia="MS Mincho" w:hAnsi="Cambria" w:cs="Times New Roman"/>
                <w:sz w:val="20"/>
                <w:szCs w:val="40"/>
              </w:rPr>
              <w:t>2023)</w:t>
            </w:r>
          </w:p>
        </w:tc>
        <w:tc>
          <w:tcPr>
            <w:tcW w:w="436" w:type="pct"/>
          </w:tcPr>
          <w:p w14:paraId="4948192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Complementary Feeding Practices and Current</w:t>
            </w:r>
          </w:p>
        </w:tc>
        <w:tc>
          <w:tcPr>
            <w:tcW w:w="486" w:type="pct"/>
          </w:tcPr>
          <w:p w14:paraId="6DFA3DD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34235C4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Describe parental complementary</w:t>
            </w:r>
          </w:p>
        </w:tc>
        <w:tc>
          <w:tcPr>
            <w:tcW w:w="388" w:type="pct"/>
          </w:tcPr>
          <w:p w14:paraId="4B984E0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observational published between</w:t>
            </w:r>
          </w:p>
        </w:tc>
        <w:tc>
          <w:tcPr>
            <w:tcW w:w="582" w:type="pct"/>
          </w:tcPr>
          <w:p w14:paraId="2CF6903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Timing food introduction</w:t>
            </w:r>
          </w:p>
        </w:tc>
        <w:tc>
          <w:tcPr>
            <w:tcW w:w="632" w:type="pct"/>
          </w:tcPr>
          <w:p w14:paraId="0A07DC9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534" w:type="pct"/>
          </w:tcPr>
          <w:p w14:paraId="6AA52B7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5D818C6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Complementary feeding practices vary</w:t>
            </w:r>
          </w:p>
        </w:tc>
        <w:tc>
          <w:tcPr>
            <w:tcW w:w="535" w:type="pct"/>
          </w:tcPr>
          <w:p w14:paraId="4DF46E9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needed understand culturally socially</w:t>
            </w:r>
          </w:p>
        </w:tc>
      </w:tr>
      <w:tr w:rsidR="001333BC" w:rsidRPr="001333BC" w14:paraId="4979AC5C" w14:textId="77777777" w:rsidTr="00E62104">
        <w:trPr>
          <w:jc w:val="center"/>
        </w:trPr>
        <w:tc>
          <w:tcPr>
            <w:tcW w:w="177" w:type="pct"/>
          </w:tcPr>
          <w:p w14:paraId="178C7AA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65</w:t>
            </w:r>
          </w:p>
        </w:tc>
        <w:tc>
          <w:tcPr>
            <w:tcW w:w="405" w:type="pct"/>
          </w:tcPr>
          <w:p w14:paraId="034A3C6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Matovu (2024)</w:t>
            </w:r>
          </w:p>
        </w:tc>
        <w:tc>
          <w:tcPr>
            <w:tcW w:w="436" w:type="pct"/>
          </w:tcPr>
          <w:p w14:paraId="51FBE5D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Women’s Empowerment in Marine Fishing</w:t>
            </w:r>
          </w:p>
        </w:tc>
        <w:tc>
          <w:tcPr>
            <w:tcW w:w="486" w:type="pct"/>
          </w:tcPr>
          <w:p w14:paraId="47ACC88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Kerala, India</w:t>
            </w:r>
          </w:p>
        </w:tc>
        <w:tc>
          <w:tcPr>
            <w:tcW w:w="340" w:type="pct"/>
          </w:tcPr>
          <w:p w14:paraId="4A9539E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women empowerment marine</w:t>
            </w:r>
          </w:p>
        </w:tc>
        <w:tc>
          <w:tcPr>
            <w:tcW w:w="388" w:type="pct"/>
          </w:tcPr>
          <w:p w14:paraId="59DB5DD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Scoping literature articles</w:t>
            </w:r>
          </w:p>
        </w:tc>
        <w:tc>
          <w:tcPr>
            <w:tcW w:w="582" w:type="pct"/>
          </w:tcPr>
          <w:p w14:paraId="4FABAB7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07DCD99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food-related practices and social context</w:t>
            </w:r>
          </w:p>
        </w:tc>
        <w:tc>
          <w:tcPr>
            <w:tcW w:w="534" w:type="pct"/>
          </w:tcPr>
          <w:p w14:paraId="3E93E03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4A0CF1C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social economic political institutional</w:t>
            </w:r>
          </w:p>
        </w:tc>
        <w:tc>
          <w:tcPr>
            <w:tcW w:w="535" w:type="pct"/>
          </w:tcPr>
          <w:p w14:paraId="6DA40C5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understand women</w:t>
            </w:r>
          </w:p>
        </w:tc>
      </w:tr>
      <w:tr w:rsidR="001333BC" w:rsidRPr="001333BC" w14:paraId="4AC6F9D6" w14:textId="77777777" w:rsidTr="00E62104">
        <w:trPr>
          <w:jc w:val="center"/>
        </w:trPr>
        <w:tc>
          <w:tcPr>
            <w:tcW w:w="177" w:type="pct"/>
          </w:tcPr>
          <w:p w14:paraId="5BD627F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66</w:t>
            </w:r>
          </w:p>
        </w:tc>
        <w:tc>
          <w:tcPr>
            <w:tcW w:w="405" w:type="pct"/>
          </w:tcPr>
          <w:p w14:paraId="41C7900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Baker (2024)</w:t>
            </w:r>
          </w:p>
        </w:tc>
        <w:tc>
          <w:tcPr>
            <w:tcW w:w="436" w:type="pct"/>
          </w:tcPr>
          <w:p w14:paraId="1FEC8AC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Soft Power, Cultural Relations and</w:t>
            </w:r>
          </w:p>
        </w:tc>
        <w:tc>
          <w:tcPr>
            <w:tcW w:w="486" w:type="pct"/>
          </w:tcPr>
          <w:p w14:paraId="5095876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UK and international cultural</w:t>
            </w:r>
          </w:p>
        </w:tc>
        <w:tc>
          <w:tcPr>
            <w:tcW w:w="340" w:type="pct"/>
          </w:tcPr>
          <w:p w14:paraId="1379603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Eurovision mega-events operate</w:t>
            </w:r>
          </w:p>
        </w:tc>
        <w:tc>
          <w:tcPr>
            <w:tcW w:w="388" w:type="pct"/>
          </w:tcPr>
          <w:p w14:paraId="326C6B2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Literature research Eurovision</w:t>
            </w:r>
          </w:p>
        </w:tc>
        <w:tc>
          <w:tcPr>
            <w:tcW w:w="582" w:type="pct"/>
          </w:tcPr>
          <w:p w14:paraId="045897B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food and livelihood practices</w:t>
            </w:r>
          </w:p>
        </w:tc>
        <w:tc>
          <w:tcPr>
            <w:tcW w:w="632" w:type="pct"/>
          </w:tcPr>
          <w:p w14:paraId="55C0C5F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National identity cultural</w:t>
            </w:r>
          </w:p>
        </w:tc>
        <w:tc>
          <w:tcPr>
            <w:tcW w:w="534" w:type="pct"/>
          </w:tcPr>
          <w:p w14:paraId="5F78161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food-related practices and community identity</w:t>
            </w:r>
          </w:p>
        </w:tc>
        <w:tc>
          <w:tcPr>
            <w:tcW w:w="485" w:type="pct"/>
          </w:tcPr>
          <w:p w14:paraId="1CF5078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events spaces countries</w:t>
            </w:r>
          </w:p>
        </w:tc>
        <w:tc>
          <w:tcPr>
            <w:tcW w:w="535" w:type="pct"/>
          </w:tcPr>
          <w:p w14:paraId="7F2F0B0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cultural relations</w:t>
            </w:r>
          </w:p>
        </w:tc>
      </w:tr>
      <w:tr w:rsidR="001333BC" w:rsidRPr="001333BC" w14:paraId="42E884CD" w14:textId="77777777" w:rsidTr="00E62104">
        <w:trPr>
          <w:jc w:val="center"/>
        </w:trPr>
        <w:tc>
          <w:tcPr>
            <w:tcW w:w="177" w:type="pct"/>
          </w:tcPr>
          <w:p w14:paraId="4E6B6EF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67</w:t>
            </w:r>
          </w:p>
        </w:tc>
        <w:tc>
          <w:tcPr>
            <w:tcW w:w="405" w:type="pct"/>
          </w:tcPr>
          <w:p w14:paraId="0A8CECF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Tripathi &amp; </w:t>
            </w:r>
            <w:proofErr w:type="gramStart"/>
            <w:r w:rsidRPr="001333BC">
              <w:rPr>
                <w:rFonts w:ascii="Cambria" w:eastAsia="MS Mincho" w:hAnsi="Cambria" w:cs="Times New Roman"/>
                <w:sz w:val="20"/>
                <w:szCs w:val="40"/>
              </w:rPr>
              <w:t>Azhar  (</w:t>
            </w:r>
            <w:proofErr w:type="gramEnd"/>
            <w:r w:rsidRPr="001333BC">
              <w:rPr>
                <w:rFonts w:ascii="Cambria" w:eastAsia="MS Mincho" w:hAnsi="Cambria" w:cs="Times New Roman"/>
                <w:sz w:val="20"/>
                <w:szCs w:val="40"/>
              </w:rPr>
              <w:t>2022)</w:t>
            </w:r>
          </w:p>
        </w:tc>
        <w:tc>
          <w:tcPr>
            <w:tcW w:w="436" w:type="pct"/>
          </w:tcPr>
          <w:p w14:paraId="5B6BCDD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Intimate Partner Violence Interventions and</w:t>
            </w:r>
          </w:p>
        </w:tc>
        <w:tc>
          <w:tcPr>
            <w:tcW w:w="486" w:type="pct"/>
          </w:tcPr>
          <w:p w14:paraId="51C5AD7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USA</w:t>
            </w:r>
          </w:p>
        </w:tc>
        <w:tc>
          <w:tcPr>
            <w:tcW w:w="340" w:type="pct"/>
          </w:tcPr>
          <w:p w14:paraId="279BA23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interventions addressing intimate</w:t>
            </w:r>
          </w:p>
        </w:tc>
        <w:tc>
          <w:tcPr>
            <w:tcW w:w="388" w:type="pct"/>
          </w:tcPr>
          <w:p w14:paraId="18A9F8F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12 studies</w:t>
            </w:r>
          </w:p>
        </w:tc>
        <w:tc>
          <w:tcPr>
            <w:tcW w:w="582" w:type="pct"/>
          </w:tcPr>
          <w:p w14:paraId="4BC1A47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5ECEC5D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cultural</w:t>
            </w:r>
          </w:p>
        </w:tc>
        <w:tc>
          <w:tcPr>
            <w:tcW w:w="534" w:type="pct"/>
          </w:tcPr>
          <w:p w14:paraId="3D89935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61E550B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culturally specific barriers intervention</w:t>
            </w:r>
          </w:p>
        </w:tc>
        <w:tc>
          <w:tcPr>
            <w:tcW w:w="535" w:type="pct"/>
          </w:tcPr>
          <w:p w14:paraId="3556182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culturally responsive intersectional interventions</w:t>
            </w:r>
          </w:p>
        </w:tc>
      </w:tr>
      <w:tr w:rsidR="001333BC" w:rsidRPr="001333BC" w14:paraId="071033BE" w14:textId="77777777" w:rsidTr="00E62104">
        <w:trPr>
          <w:jc w:val="center"/>
        </w:trPr>
        <w:tc>
          <w:tcPr>
            <w:tcW w:w="177" w:type="pct"/>
          </w:tcPr>
          <w:p w14:paraId="6D3B8C0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68</w:t>
            </w:r>
          </w:p>
        </w:tc>
        <w:tc>
          <w:tcPr>
            <w:tcW w:w="405" w:type="pct"/>
          </w:tcPr>
          <w:p w14:paraId="2076F2E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Ninomiya (2023)</w:t>
            </w:r>
          </w:p>
        </w:tc>
        <w:tc>
          <w:tcPr>
            <w:tcW w:w="436" w:type="pct"/>
          </w:tcPr>
          <w:p w14:paraId="0E51818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Indigenous Communities, Land Dispossession and</w:t>
            </w:r>
          </w:p>
        </w:tc>
        <w:tc>
          <w:tcPr>
            <w:tcW w:w="486" w:type="pct"/>
          </w:tcPr>
          <w:p w14:paraId="67E2EA5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0743E9D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evidence mental health</w:t>
            </w:r>
          </w:p>
        </w:tc>
        <w:tc>
          <w:tcPr>
            <w:tcW w:w="388" w:type="pct"/>
          </w:tcPr>
          <w:p w14:paraId="536E8A5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literature concerning Indigenous</w:t>
            </w:r>
          </w:p>
        </w:tc>
        <w:tc>
          <w:tcPr>
            <w:tcW w:w="582" w:type="pct"/>
          </w:tcPr>
          <w:p w14:paraId="52BEE08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7FB8BDE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Indigenous identity cultural</w:t>
            </w:r>
          </w:p>
        </w:tc>
        <w:tc>
          <w:tcPr>
            <w:tcW w:w="534" w:type="pct"/>
          </w:tcPr>
          <w:p w14:paraId="6D5B75A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68BE77C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Land dispossession associated impacts</w:t>
            </w:r>
          </w:p>
        </w:tc>
        <w:tc>
          <w:tcPr>
            <w:tcW w:w="535" w:type="pct"/>
          </w:tcPr>
          <w:p w14:paraId="6E0669A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culturally grounded</w:t>
            </w:r>
          </w:p>
        </w:tc>
      </w:tr>
      <w:tr w:rsidR="001333BC" w:rsidRPr="001333BC" w14:paraId="6765D4E6" w14:textId="77777777" w:rsidTr="00E62104">
        <w:trPr>
          <w:jc w:val="center"/>
        </w:trPr>
        <w:tc>
          <w:tcPr>
            <w:tcW w:w="177" w:type="pct"/>
          </w:tcPr>
          <w:p w14:paraId="139DAE1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69</w:t>
            </w:r>
          </w:p>
        </w:tc>
        <w:tc>
          <w:tcPr>
            <w:tcW w:w="405" w:type="pct"/>
          </w:tcPr>
          <w:p w14:paraId="232D107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Yanan (2024)</w:t>
            </w:r>
          </w:p>
        </w:tc>
        <w:tc>
          <w:tcPr>
            <w:tcW w:w="436" w:type="pct"/>
          </w:tcPr>
          <w:p w14:paraId="12DE344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Rural Tourism and Sustainable Development</w:t>
            </w:r>
          </w:p>
        </w:tc>
        <w:tc>
          <w:tcPr>
            <w:tcW w:w="486" w:type="pct"/>
          </w:tcPr>
          <w:p w14:paraId="71872E8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Mainly Asia, with 55</w:t>
            </w:r>
          </w:p>
        </w:tc>
        <w:tc>
          <w:tcPr>
            <w:tcW w:w="340" w:type="pct"/>
          </w:tcPr>
          <w:p w14:paraId="6A0FC7A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rural tourism influences</w:t>
            </w:r>
          </w:p>
        </w:tc>
        <w:tc>
          <w:tcPr>
            <w:tcW w:w="388" w:type="pct"/>
          </w:tcPr>
          <w:p w14:paraId="7A6A515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publications identified Web</w:t>
            </w:r>
          </w:p>
        </w:tc>
        <w:tc>
          <w:tcPr>
            <w:tcW w:w="582" w:type="pct"/>
          </w:tcPr>
          <w:p w14:paraId="5BBE647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32222E7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Community values cultural</w:t>
            </w:r>
          </w:p>
        </w:tc>
        <w:tc>
          <w:tcPr>
            <w:tcW w:w="534" w:type="pct"/>
          </w:tcPr>
          <w:p w14:paraId="645E166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traditional practices support community identity</w:t>
            </w:r>
          </w:p>
        </w:tc>
        <w:tc>
          <w:tcPr>
            <w:tcW w:w="485" w:type="pct"/>
          </w:tcPr>
          <w:p w14:paraId="088F231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Rural tourism generates economic</w:t>
            </w:r>
          </w:p>
        </w:tc>
        <w:tc>
          <w:tcPr>
            <w:tcW w:w="535" w:type="pct"/>
          </w:tcPr>
          <w:p w14:paraId="7642453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needed long-term social cultural</w:t>
            </w:r>
          </w:p>
        </w:tc>
      </w:tr>
      <w:tr w:rsidR="001333BC" w:rsidRPr="001333BC" w14:paraId="5F10172A" w14:textId="77777777" w:rsidTr="00E62104">
        <w:trPr>
          <w:jc w:val="center"/>
        </w:trPr>
        <w:tc>
          <w:tcPr>
            <w:tcW w:w="177" w:type="pct"/>
          </w:tcPr>
          <w:p w14:paraId="48A562E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70</w:t>
            </w:r>
          </w:p>
        </w:tc>
        <w:tc>
          <w:tcPr>
            <w:tcW w:w="405" w:type="pct"/>
          </w:tcPr>
          <w:p w14:paraId="0BCF3E1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Lindert (2023)</w:t>
            </w:r>
          </w:p>
        </w:tc>
        <w:tc>
          <w:tcPr>
            <w:tcW w:w="436" w:type="pct"/>
          </w:tcPr>
          <w:p w14:paraId="288D9E7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Resilience among First-Generation Migrants, Refugees</w:t>
            </w:r>
          </w:p>
        </w:tc>
        <w:tc>
          <w:tcPr>
            <w:tcW w:w="486" w:type="pct"/>
          </w:tcPr>
          <w:p w14:paraId="5C06331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74E2179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identify synthesize factors</w:t>
            </w:r>
          </w:p>
        </w:tc>
        <w:tc>
          <w:tcPr>
            <w:tcW w:w="388" w:type="pct"/>
          </w:tcPr>
          <w:p w14:paraId="20AF3AA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involving adult first-generation</w:t>
            </w:r>
          </w:p>
        </w:tc>
        <w:tc>
          <w:tcPr>
            <w:tcW w:w="582" w:type="pct"/>
          </w:tcPr>
          <w:p w14:paraId="7D6A8B0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7B65AF9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Social networks family</w:t>
            </w:r>
          </w:p>
        </w:tc>
        <w:tc>
          <w:tcPr>
            <w:tcW w:w="534" w:type="pct"/>
          </w:tcPr>
          <w:p w14:paraId="070E187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42CE24C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Resilience migrants associated individual</w:t>
            </w:r>
          </w:p>
        </w:tc>
        <w:tc>
          <w:tcPr>
            <w:tcW w:w="535" w:type="pct"/>
          </w:tcPr>
          <w:p w14:paraId="796627C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needed understand resilience different</w:t>
            </w:r>
          </w:p>
        </w:tc>
      </w:tr>
      <w:tr w:rsidR="001333BC" w:rsidRPr="001333BC" w14:paraId="43C346ED" w14:textId="77777777" w:rsidTr="00E62104">
        <w:trPr>
          <w:jc w:val="center"/>
        </w:trPr>
        <w:tc>
          <w:tcPr>
            <w:tcW w:w="177" w:type="pct"/>
          </w:tcPr>
          <w:p w14:paraId="0755906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71</w:t>
            </w:r>
          </w:p>
        </w:tc>
        <w:tc>
          <w:tcPr>
            <w:tcW w:w="405" w:type="pct"/>
          </w:tcPr>
          <w:p w14:paraId="7892B48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Yong (2022)</w:t>
            </w:r>
          </w:p>
        </w:tc>
        <w:tc>
          <w:tcPr>
            <w:tcW w:w="436" w:type="pct"/>
          </w:tcPr>
          <w:p w14:paraId="2F25C1A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Gastronomy Tourism Literature</w:t>
            </w:r>
          </w:p>
        </w:tc>
        <w:tc>
          <w:tcPr>
            <w:tcW w:w="486" w:type="pct"/>
          </w:tcPr>
          <w:p w14:paraId="5683905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1046386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gastronomy tourism literature</w:t>
            </w:r>
          </w:p>
        </w:tc>
        <w:tc>
          <w:tcPr>
            <w:tcW w:w="388" w:type="pct"/>
          </w:tcPr>
          <w:p w14:paraId="70EF4BA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gastronomy tourism published</w:t>
            </w:r>
          </w:p>
        </w:tc>
        <w:tc>
          <w:tcPr>
            <w:tcW w:w="582" w:type="pct"/>
          </w:tcPr>
          <w:p w14:paraId="2735CC9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Gastronomic experiences local</w:t>
            </w:r>
          </w:p>
        </w:tc>
        <w:tc>
          <w:tcPr>
            <w:tcW w:w="632" w:type="pct"/>
          </w:tcPr>
          <w:p w14:paraId="55F57F1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heritage local</w:t>
            </w:r>
          </w:p>
        </w:tc>
        <w:tc>
          <w:tcPr>
            <w:tcW w:w="534" w:type="pct"/>
          </w:tcPr>
          <w:p w14:paraId="46185EF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Gastronomy communicates preserve</w:t>
            </w:r>
          </w:p>
        </w:tc>
        <w:tc>
          <w:tcPr>
            <w:tcW w:w="485" w:type="pct"/>
          </w:tcPr>
          <w:p w14:paraId="300098A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major themes gastronomy tourism</w:t>
            </w:r>
          </w:p>
        </w:tc>
        <w:tc>
          <w:tcPr>
            <w:tcW w:w="535" w:type="pct"/>
          </w:tcPr>
          <w:p w14:paraId="21EE085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emerging gastronomy</w:t>
            </w:r>
          </w:p>
        </w:tc>
      </w:tr>
      <w:tr w:rsidR="001333BC" w:rsidRPr="001333BC" w14:paraId="53F43F92" w14:textId="77777777" w:rsidTr="00E62104">
        <w:trPr>
          <w:jc w:val="center"/>
        </w:trPr>
        <w:tc>
          <w:tcPr>
            <w:tcW w:w="177" w:type="pct"/>
          </w:tcPr>
          <w:p w14:paraId="3584D0F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72</w:t>
            </w:r>
          </w:p>
        </w:tc>
        <w:tc>
          <w:tcPr>
            <w:tcW w:w="405" w:type="pct"/>
          </w:tcPr>
          <w:p w14:paraId="43511F3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World Health Organization (2023)</w:t>
            </w:r>
          </w:p>
        </w:tc>
        <w:tc>
          <w:tcPr>
            <w:tcW w:w="436" w:type="pct"/>
          </w:tcPr>
          <w:p w14:paraId="1A2692F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Mental Health of Refugees and</w:t>
            </w:r>
          </w:p>
        </w:tc>
        <w:tc>
          <w:tcPr>
            <w:tcW w:w="486" w:type="pct"/>
          </w:tcPr>
          <w:p w14:paraId="54E1B4D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refugee and migrant</w:t>
            </w:r>
          </w:p>
        </w:tc>
        <w:tc>
          <w:tcPr>
            <w:tcW w:w="340" w:type="pct"/>
          </w:tcPr>
          <w:p w14:paraId="71E4BB5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Summarizes evidence mental health</w:t>
            </w:r>
          </w:p>
        </w:tc>
        <w:tc>
          <w:tcPr>
            <w:tcW w:w="388" w:type="pct"/>
          </w:tcPr>
          <w:p w14:paraId="6EF484E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359C3D1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45E119E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identity social</w:t>
            </w:r>
          </w:p>
        </w:tc>
        <w:tc>
          <w:tcPr>
            <w:tcW w:w="534" w:type="pct"/>
          </w:tcPr>
          <w:p w14:paraId="67AAF49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2475A6D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Refugees’ migrants experience mental health</w:t>
            </w:r>
          </w:p>
        </w:tc>
        <w:tc>
          <w:tcPr>
            <w:tcW w:w="535" w:type="pct"/>
          </w:tcPr>
          <w:p w14:paraId="508D334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culturally responsive mental health</w:t>
            </w:r>
          </w:p>
        </w:tc>
      </w:tr>
      <w:tr w:rsidR="001333BC" w:rsidRPr="001333BC" w14:paraId="2486CCE7" w14:textId="77777777" w:rsidTr="00E62104">
        <w:trPr>
          <w:jc w:val="center"/>
        </w:trPr>
        <w:tc>
          <w:tcPr>
            <w:tcW w:w="177" w:type="pct"/>
          </w:tcPr>
          <w:p w14:paraId="5C37A0A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73</w:t>
            </w:r>
          </w:p>
        </w:tc>
        <w:tc>
          <w:tcPr>
            <w:tcW w:w="405" w:type="pct"/>
          </w:tcPr>
          <w:p w14:paraId="5D1AEDA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Sethi (2022)</w:t>
            </w:r>
          </w:p>
        </w:tc>
        <w:tc>
          <w:tcPr>
            <w:tcW w:w="436" w:type="pct"/>
          </w:tcPr>
          <w:p w14:paraId="6D1AED7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Transnational Carer-Employees</w:t>
            </w:r>
          </w:p>
        </w:tc>
        <w:tc>
          <w:tcPr>
            <w:tcW w:w="486" w:type="pct"/>
          </w:tcPr>
          <w:p w14:paraId="3D15B07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0420DB1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literature migrant employees</w:t>
            </w:r>
          </w:p>
        </w:tc>
        <w:tc>
          <w:tcPr>
            <w:tcW w:w="388" w:type="pct"/>
          </w:tcPr>
          <w:p w14:paraId="7B82E5B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research transnational migrant</w:t>
            </w:r>
          </w:p>
        </w:tc>
        <w:tc>
          <w:tcPr>
            <w:tcW w:w="582" w:type="pct"/>
          </w:tcPr>
          <w:p w14:paraId="67B372D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6A48DE4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Transnational identity family</w:t>
            </w:r>
          </w:p>
        </w:tc>
        <w:tc>
          <w:tcPr>
            <w:tcW w:w="534" w:type="pct"/>
          </w:tcPr>
          <w:p w14:paraId="0884D4B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6AE03DE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Transnational caregivers negotiate employment</w:t>
            </w:r>
          </w:p>
        </w:tc>
        <w:tc>
          <w:tcPr>
            <w:tcW w:w="535" w:type="pct"/>
          </w:tcPr>
          <w:p w14:paraId="37B48CB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diverse migrant</w:t>
            </w:r>
          </w:p>
        </w:tc>
      </w:tr>
      <w:tr w:rsidR="001333BC" w:rsidRPr="001333BC" w14:paraId="6DE4A5B1" w14:textId="77777777" w:rsidTr="00E62104">
        <w:trPr>
          <w:jc w:val="center"/>
        </w:trPr>
        <w:tc>
          <w:tcPr>
            <w:tcW w:w="177" w:type="pct"/>
          </w:tcPr>
          <w:p w14:paraId="626F88E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74</w:t>
            </w:r>
          </w:p>
        </w:tc>
        <w:tc>
          <w:tcPr>
            <w:tcW w:w="405" w:type="pct"/>
          </w:tcPr>
          <w:p w14:paraId="6BE37DE6"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Addaney</w:t>
            </w:r>
            <w:proofErr w:type="spellEnd"/>
            <w:r w:rsidRPr="001333BC">
              <w:rPr>
                <w:rFonts w:ascii="Cambria" w:eastAsia="MS Mincho" w:hAnsi="Cambria" w:cs="Times New Roman"/>
                <w:sz w:val="20"/>
                <w:szCs w:val="40"/>
              </w:rPr>
              <w:t xml:space="preserve"> et al.  (2022)</w:t>
            </w:r>
          </w:p>
        </w:tc>
        <w:tc>
          <w:tcPr>
            <w:tcW w:w="436" w:type="pct"/>
          </w:tcPr>
          <w:p w14:paraId="1161D00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Climate Change and Preservation of</w:t>
            </w:r>
          </w:p>
        </w:tc>
        <w:tc>
          <w:tcPr>
            <w:tcW w:w="486" w:type="pct"/>
          </w:tcPr>
          <w:p w14:paraId="707740F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Upper regions of Ghana</w:t>
            </w:r>
          </w:p>
        </w:tc>
        <w:tc>
          <w:tcPr>
            <w:tcW w:w="340" w:type="pct"/>
          </w:tcPr>
          <w:p w14:paraId="2A05019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relationship climate change</w:t>
            </w:r>
          </w:p>
        </w:tc>
        <w:tc>
          <w:tcPr>
            <w:tcW w:w="388" w:type="pct"/>
          </w:tcPr>
          <w:p w14:paraId="1D1A525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literature concerning minority</w:t>
            </w:r>
          </w:p>
        </w:tc>
        <w:tc>
          <w:tcPr>
            <w:tcW w:w="582" w:type="pct"/>
          </w:tcPr>
          <w:p w14:paraId="15D4FF8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275C0C4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Minority language cultural</w:t>
            </w:r>
          </w:p>
        </w:tc>
        <w:tc>
          <w:tcPr>
            <w:tcW w:w="534" w:type="pct"/>
          </w:tcPr>
          <w:p w14:paraId="114ED92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18ED883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highlights environmental change migration</w:t>
            </w:r>
          </w:p>
        </w:tc>
        <w:tc>
          <w:tcPr>
            <w:tcW w:w="535" w:type="pct"/>
          </w:tcPr>
          <w:p w14:paraId="6B8F275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context-specific strategies</w:t>
            </w:r>
          </w:p>
        </w:tc>
      </w:tr>
      <w:tr w:rsidR="001333BC" w:rsidRPr="001333BC" w14:paraId="58E58027" w14:textId="77777777" w:rsidTr="00E62104">
        <w:trPr>
          <w:jc w:val="center"/>
        </w:trPr>
        <w:tc>
          <w:tcPr>
            <w:tcW w:w="177" w:type="pct"/>
          </w:tcPr>
          <w:p w14:paraId="77B571F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75</w:t>
            </w:r>
          </w:p>
        </w:tc>
        <w:tc>
          <w:tcPr>
            <w:tcW w:w="405" w:type="pct"/>
          </w:tcPr>
          <w:p w14:paraId="06E1AB2F"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Naderbagi</w:t>
            </w:r>
            <w:proofErr w:type="spellEnd"/>
            <w:r w:rsidRPr="001333BC">
              <w:rPr>
                <w:rFonts w:ascii="Cambria" w:eastAsia="MS Mincho" w:hAnsi="Cambria" w:cs="Times New Roman"/>
                <w:sz w:val="20"/>
                <w:szCs w:val="40"/>
              </w:rPr>
              <w:t xml:space="preserve"> et al.  (2024)</w:t>
            </w:r>
          </w:p>
        </w:tc>
        <w:tc>
          <w:tcPr>
            <w:tcW w:w="436" w:type="pct"/>
          </w:tcPr>
          <w:p w14:paraId="1A70E23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and Contextual Adaptation of</w:t>
            </w:r>
          </w:p>
        </w:tc>
        <w:tc>
          <w:tcPr>
            <w:tcW w:w="486" w:type="pct"/>
          </w:tcPr>
          <w:p w14:paraId="77A273E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2E443EC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digital health interventions</w:t>
            </w:r>
          </w:p>
        </w:tc>
        <w:tc>
          <w:tcPr>
            <w:tcW w:w="388" w:type="pct"/>
          </w:tcPr>
          <w:p w14:paraId="0B2A240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examining cultural contextual</w:t>
            </w:r>
          </w:p>
        </w:tc>
        <w:tc>
          <w:tcPr>
            <w:tcW w:w="582" w:type="pct"/>
          </w:tcPr>
          <w:p w14:paraId="6AB3F28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146D3AA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Culture religion family</w:t>
            </w:r>
          </w:p>
        </w:tc>
        <w:tc>
          <w:tcPr>
            <w:tcW w:w="534" w:type="pct"/>
          </w:tcPr>
          <w:p w14:paraId="3D6F14C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697D959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demonstrates cultural values and beliefs</w:t>
            </w:r>
          </w:p>
        </w:tc>
        <w:tc>
          <w:tcPr>
            <w:tcW w:w="535" w:type="pct"/>
          </w:tcPr>
          <w:p w14:paraId="11DFFC7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needed culturally diverse populations</w:t>
            </w:r>
          </w:p>
        </w:tc>
      </w:tr>
      <w:tr w:rsidR="001333BC" w:rsidRPr="001333BC" w14:paraId="264E24FB" w14:textId="77777777" w:rsidTr="00E62104">
        <w:trPr>
          <w:jc w:val="center"/>
        </w:trPr>
        <w:tc>
          <w:tcPr>
            <w:tcW w:w="177" w:type="pct"/>
          </w:tcPr>
          <w:p w14:paraId="77723BF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76</w:t>
            </w:r>
          </w:p>
        </w:tc>
        <w:tc>
          <w:tcPr>
            <w:tcW w:w="405" w:type="pct"/>
          </w:tcPr>
          <w:p w14:paraId="7473973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Baber et al.  (2024)</w:t>
            </w:r>
          </w:p>
        </w:tc>
        <w:tc>
          <w:tcPr>
            <w:tcW w:w="436" w:type="pct"/>
          </w:tcPr>
          <w:p w14:paraId="117C4DF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Consumer Ethnocentrism</w:t>
            </w:r>
          </w:p>
        </w:tc>
        <w:tc>
          <w:tcPr>
            <w:tcW w:w="486" w:type="pct"/>
          </w:tcPr>
          <w:p w14:paraId="68C8508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consumer research</w:t>
            </w:r>
          </w:p>
        </w:tc>
        <w:tc>
          <w:tcPr>
            <w:tcW w:w="340" w:type="pct"/>
          </w:tcPr>
          <w:p w14:paraId="67C71E2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existing literature</w:t>
            </w:r>
          </w:p>
        </w:tc>
        <w:tc>
          <w:tcPr>
            <w:tcW w:w="388" w:type="pct"/>
          </w:tcPr>
          <w:p w14:paraId="5CDD358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2D5A868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consumer food-related identity</w:t>
            </w:r>
          </w:p>
        </w:tc>
        <w:tc>
          <w:tcPr>
            <w:tcW w:w="632" w:type="pct"/>
          </w:tcPr>
          <w:p w14:paraId="04E8D69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Systematic published consumer</w:t>
            </w:r>
          </w:p>
        </w:tc>
        <w:tc>
          <w:tcPr>
            <w:tcW w:w="534" w:type="pct"/>
          </w:tcPr>
          <w:p w14:paraId="737E4DD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4F7D97F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Consumer ethnocentrism connects cultural</w:t>
            </w:r>
          </w:p>
        </w:tc>
        <w:tc>
          <w:tcPr>
            <w:tcW w:w="535" w:type="pct"/>
          </w:tcPr>
          <w:p w14:paraId="203B844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diverse cultural</w:t>
            </w:r>
          </w:p>
        </w:tc>
      </w:tr>
      <w:tr w:rsidR="001333BC" w:rsidRPr="001333BC" w14:paraId="44E8ABA6" w14:textId="77777777" w:rsidTr="00E62104">
        <w:trPr>
          <w:jc w:val="center"/>
        </w:trPr>
        <w:tc>
          <w:tcPr>
            <w:tcW w:w="177" w:type="pct"/>
          </w:tcPr>
          <w:p w14:paraId="1EED89D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77</w:t>
            </w:r>
          </w:p>
        </w:tc>
        <w:tc>
          <w:tcPr>
            <w:tcW w:w="405" w:type="pct"/>
          </w:tcPr>
          <w:p w14:paraId="19CD38E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Zhang (2024)</w:t>
            </w:r>
          </w:p>
        </w:tc>
        <w:tc>
          <w:tcPr>
            <w:tcW w:w="436" w:type="pct"/>
          </w:tcPr>
          <w:p w14:paraId="710D845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Mapping Chinese Digital Nationalism</w:t>
            </w:r>
          </w:p>
        </w:tc>
        <w:tc>
          <w:tcPr>
            <w:tcW w:w="486" w:type="pct"/>
          </w:tcPr>
          <w:p w14:paraId="2E9A9F7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China / Chinese digital</w:t>
            </w:r>
          </w:p>
        </w:tc>
        <w:tc>
          <w:tcPr>
            <w:tcW w:w="340" w:type="pct"/>
          </w:tcPr>
          <w:p w14:paraId="7CE4C2B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maps synthesize existing</w:t>
            </w:r>
          </w:p>
        </w:tc>
        <w:tc>
          <w:tcPr>
            <w:tcW w:w="388" w:type="pct"/>
          </w:tcPr>
          <w:p w14:paraId="6F0DE30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02CC798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795E5FF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National identity cultural</w:t>
            </w:r>
          </w:p>
        </w:tc>
        <w:tc>
          <w:tcPr>
            <w:tcW w:w="534" w:type="pct"/>
          </w:tcPr>
          <w:p w14:paraId="34939A1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1D8B206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digital spaces contexts national</w:t>
            </w:r>
          </w:p>
        </w:tc>
        <w:tc>
          <w:tcPr>
            <w:tcW w:w="535" w:type="pct"/>
          </w:tcPr>
          <w:p w14:paraId="7D65C94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changing forms</w:t>
            </w:r>
          </w:p>
        </w:tc>
      </w:tr>
      <w:tr w:rsidR="001333BC" w:rsidRPr="001333BC" w14:paraId="6898B2B8" w14:textId="77777777" w:rsidTr="00E62104">
        <w:trPr>
          <w:jc w:val="center"/>
        </w:trPr>
        <w:tc>
          <w:tcPr>
            <w:tcW w:w="177" w:type="pct"/>
          </w:tcPr>
          <w:p w14:paraId="2D0DD1F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78</w:t>
            </w:r>
          </w:p>
        </w:tc>
        <w:tc>
          <w:tcPr>
            <w:tcW w:w="405" w:type="pct"/>
          </w:tcPr>
          <w:p w14:paraId="063C3E8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Perera (2025)</w:t>
            </w:r>
          </w:p>
        </w:tc>
        <w:tc>
          <w:tcPr>
            <w:tcW w:w="436" w:type="pct"/>
          </w:tcPr>
          <w:p w14:paraId="5037A66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Indigenous Peoples and Artificial Intelligence</w:t>
            </w:r>
          </w:p>
        </w:tc>
        <w:tc>
          <w:tcPr>
            <w:tcW w:w="486" w:type="pct"/>
          </w:tcPr>
          <w:p w14:paraId="01F84DD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Indigenous communities</w:t>
            </w:r>
          </w:p>
        </w:tc>
        <w:tc>
          <w:tcPr>
            <w:tcW w:w="340" w:type="pct"/>
          </w:tcPr>
          <w:p w14:paraId="2DCFB57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concerning Indigenous peoples</w:t>
            </w:r>
          </w:p>
        </w:tc>
        <w:tc>
          <w:tcPr>
            <w:tcW w:w="388" w:type="pct"/>
          </w:tcPr>
          <w:p w14:paraId="1472113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770C550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2F27081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Indigenous identity cultural</w:t>
            </w:r>
          </w:p>
        </w:tc>
        <w:tc>
          <w:tcPr>
            <w:tcW w:w="534" w:type="pct"/>
          </w:tcPr>
          <w:p w14:paraId="076F5C9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5640B43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highlights concern around protecting</w:t>
            </w:r>
          </w:p>
        </w:tc>
        <w:tc>
          <w:tcPr>
            <w:tcW w:w="535" w:type="pct"/>
          </w:tcPr>
          <w:p w14:paraId="0B4EC99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Indigenous data</w:t>
            </w:r>
          </w:p>
        </w:tc>
      </w:tr>
      <w:tr w:rsidR="001333BC" w:rsidRPr="001333BC" w14:paraId="5D16CAE2" w14:textId="77777777" w:rsidTr="00E62104">
        <w:trPr>
          <w:jc w:val="center"/>
        </w:trPr>
        <w:tc>
          <w:tcPr>
            <w:tcW w:w="177" w:type="pct"/>
          </w:tcPr>
          <w:p w14:paraId="450D294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79</w:t>
            </w:r>
          </w:p>
        </w:tc>
        <w:tc>
          <w:tcPr>
            <w:tcW w:w="405" w:type="pct"/>
          </w:tcPr>
          <w:p w14:paraId="24F4E92D"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Tasbiha</w:t>
            </w:r>
            <w:proofErr w:type="spellEnd"/>
            <w:r w:rsidRPr="001333BC">
              <w:rPr>
                <w:rFonts w:ascii="Cambria" w:eastAsia="MS Mincho" w:hAnsi="Cambria" w:cs="Times New Roman"/>
                <w:sz w:val="20"/>
                <w:szCs w:val="40"/>
              </w:rPr>
              <w:t xml:space="preserve"> (2025)</w:t>
            </w:r>
          </w:p>
        </w:tc>
        <w:tc>
          <w:tcPr>
            <w:tcW w:w="436" w:type="pct"/>
          </w:tcPr>
          <w:p w14:paraId="62A2242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Psycho-social Factors and IPV among</w:t>
            </w:r>
          </w:p>
        </w:tc>
        <w:tc>
          <w:tcPr>
            <w:tcW w:w="486" w:type="pct"/>
          </w:tcPr>
          <w:p w14:paraId="0152174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USA and Canada</w:t>
            </w:r>
          </w:p>
        </w:tc>
        <w:tc>
          <w:tcPr>
            <w:tcW w:w="340" w:type="pct"/>
          </w:tcPr>
          <w:p w14:paraId="4554E01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psycho-social factors intensify</w:t>
            </w:r>
          </w:p>
        </w:tc>
        <w:tc>
          <w:tcPr>
            <w:tcW w:w="388" w:type="pct"/>
          </w:tcPr>
          <w:p w14:paraId="642549D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Literature-based analysis South</w:t>
            </w:r>
          </w:p>
        </w:tc>
        <w:tc>
          <w:tcPr>
            <w:tcW w:w="582" w:type="pct"/>
          </w:tcPr>
          <w:p w14:paraId="058DA11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256A5BE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Ethnicity gender religion</w:t>
            </w:r>
          </w:p>
        </w:tc>
        <w:tc>
          <w:tcPr>
            <w:tcW w:w="534" w:type="pct"/>
          </w:tcPr>
          <w:p w14:paraId="7C54979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5449550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highlights overlapping ethnic gender</w:t>
            </w:r>
          </w:p>
        </w:tc>
        <w:tc>
          <w:tcPr>
            <w:tcW w:w="535" w:type="pct"/>
          </w:tcPr>
          <w:p w14:paraId="1C50A6A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intersecting experiences</w:t>
            </w:r>
          </w:p>
        </w:tc>
      </w:tr>
      <w:tr w:rsidR="001333BC" w:rsidRPr="001333BC" w14:paraId="515CA67B" w14:textId="77777777" w:rsidTr="00E62104">
        <w:trPr>
          <w:jc w:val="center"/>
        </w:trPr>
        <w:tc>
          <w:tcPr>
            <w:tcW w:w="177" w:type="pct"/>
          </w:tcPr>
          <w:p w14:paraId="4E7214F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80</w:t>
            </w:r>
          </w:p>
        </w:tc>
        <w:tc>
          <w:tcPr>
            <w:tcW w:w="405" w:type="pct"/>
          </w:tcPr>
          <w:p w14:paraId="099C4CC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Hanif-Schneider (2026)</w:t>
            </w:r>
          </w:p>
        </w:tc>
        <w:tc>
          <w:tcPr>
            <w:tcW w:w="436" w:type="pct"/>
          </w:tcPr>
          <w:p w14:paraId="4C398B5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Help-Seeking among Second-</w:t>
            </w:r>
            <w:r w:rsidRPr="001333BC">
              <w:rPr>
                <w:rFonts w:ascii="Cambria" w:eastAsia="MS Mincho" w:hAnsi="Cambria" w:cs="Times New Roman"/>
                <w:sz w:val="20"/>
                <w:szCs w:val="40"/>
              </w:rPr>
              <w:lastRenderedPageBreak/>
              <w:t>Generation South Asian</w:t>
            </w:r>
          </w:p>
        </w:tc>
        <w:tc>
          <w:tcPr>
            <w:tcW w:w="486" w:type="pct"/>
          </w:tcPr>
          <w:p w14:paraId="56A257E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UK</w:t>
            </w:r>
          </w:p>
        </w:tc>
        <w:tc>
          <w:tcPr>
            <w:tcW w:w="340" w:type="pct"/>
          </w:tcPr>
          <w:p w14:paraId="2D13ED1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factors enabling men</w:t>
            </w:r>
          </w:p>
        </w:tc>
        <w:tc>
          <w:tcPr>
            <w:tcW w:w="388" w:type="pct"/>
          </w:tcPr>
          <w:p w14:paraId="707BB54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Second-generation South Asian</w:t>
            </w:r>
          </w:p>
        </w:tc>
        <w:tc>
          <w:tcPr>
            <w:tcW w:w="582" w:type="pct"/>
          </w:tcPr>
          <w:p w14:paraId="54E6D69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36C3185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Second-generation South Asian</w:t>
            </w:r>
          </w:p>
        </w:tc>
        <w:tc>
          <w:tcPr>
            <w:tcW w:w="534" w:type="pct"/>
          </w:tcPr>
          <w:p w14:paraId="75890E3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25F2C9D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evidence second-generation South Asian</w:t>
            </w:r>
          </w:p>
        </w:tc>
        <w:tc>
          <w:tcPr>
            <w:tcW w:w="535" w:type="pct"/>
          </w:tcPr>
          <w:p w14:paraId="6E370F8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differences South Asian</w:t>
            </w:r>
          </w:p>
        </w:tc>
      </w:tr>
      <w:tr w:rsidR="001333BC" w:rsidRPr="001333BC" w14:paraId="18810BFC" w14:textId="77777777" w:rsidTr="00E62104">
        <w:trPr>
          <w:jc w:val="center"/>
        </w:trPr>
        <w:tc>
          <w:tcPr>
            <w:tcW w:w="177" w:type="pct"/>
          </w:tcPr>
          <w:p w14:paraId="6A6BAC1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81</w:t>
            </w:r>
          </w:p>
        </w:tc>
        <w:tc>
          <w:tcPr>
            <w:tcW w:w="405" w:type="pct"/>
          </w:tcPr>
          <w:p w14:paraId="3FB63F1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Assmann (2024)</w:t>
            </w:r>
          </w:p>
        </w:tc>
        <w:tc>
          <w:tcPr>
            <w:tcW w:w="436" w:type="pct"/>
          </w:tcPr>
          <w:p w14:paraId="4D9FCA9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Culinary Heritage in Asia</w:t>
            </w:r>
          </w:p>
        </w:tc>
        <w:tc>
          <w:tcPr>
            <w:tcW w:w="486" w:type="pct"/>
          </w:tcPr>
          <w:p w14:paraId="062C169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Asian countries</w:t>
            </w:r>
          </w:p>
        </w:tc>
        <w:tc>
          <w:tcPr>
            <w:tcW w:w="340" w:type="pct"/>
          </w:tcPr>
          <w:p w14:paraId="646C665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trends culinary heritage</w:t>
            </w:r>
          </w:p>
        </w:tc>
        <w:tc>
          <w:tcPr>
            <w:tcW w:w="388" w:type="pct"/>
          </w:tcPr>
          <w:p w14:paraId="2D9FFC1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6D97C7D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Culinary heritage traditional</w:t>
            </w:r>
          </w:p>
        </w:tc>
        <w:tc>
          <w:tcPr>
            <w:tcW w:w="632" w:type="pct"/>
          </w:tcPr>
          <w:p w14:paraId="72D96A4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National identity regional</w:t>
            </w:r>
          </w:p>
        </w:tc>
        <w:tc>
          <w:tcPr>
            <w:tcW w:w="534" w:type="pct"/>
          </w:tcPr>
          <w:p w14:paraId="19CE047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culinary heritage</w:t>
            </w:r>
          </w:p>
        </w:tc>
        <w:tc>
          <w:tcPr>
            <w:tcW w:w="485" w:type="pct"/>
          </w:tcPr>
          <w:p w14:paraId="0F8E6D1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important marker culinary</w:t>
            </w:r>
          </w:p>
        </w:tc>
        <w:tc>
          <w:tcPr>
            <w:tcW w:w="535" w:type="pct"/>
          </w:tcPr>
          <w:p w14:paraId="65FC3B6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different forms</w:t>
            </w:r>
          </w:p>
        </w:tc>
      </w:tr>
      <w:tr w:rsidR="001333BC" w:rsidRPr="001333BC" w14:paraId="1B841A4D" w14:textId="77777777" w:rsidTr="00E62104">
        <w:trPr>
          <w:jc w:val="center"/>
        </w:trPr>
        <w:tc>
          <w:tcPr>
            <w:tcW w:w="177" w:type="pct"/>
          </w:tcPr>
          <w:p w14:paraId="29B5834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82</w:t>
            </w:r>
          </w:p>
        </w:tc>
        <w:tc>
          <w:tcPr>
            <w:tcW w:w="405" w:type="pct"/>
          </w:tcPr>
          <w:p w14:paraId="337A5EF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Muttaqin (2024)</w:t>
            </w:r>
          </w:p>
        </w:tc>
        <w:tc>
          <w:tcPr>
            <w:tcW w:w="436" w:type="pct"/>
          </w:tcPr>
          <w:p w14:paraId="7899DC3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Modern Islamic Culture</w:t>
            </w:r>
          </w:p>
        </w:tc>
        <w:tc>
          <w:tcPr>
            <w:tcW w:w="486" w:type="pct"/>
          </w:tcPr>
          <w:p w14:paraId="41A2AD9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18EAFBF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themes trends transformations</w:t>
            </w:r>
          </w:p>
        </w:tc>
        <w:tc>
          <w:tcPr>
            <w:tcW w:w="388" w:type="pct"/>
          </w:tcPr>
          <w:p w14:paraId="09D1C2E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documents selected Scopus</w:t>
            </w:r>
          </w:p>
        </w:tc>
        <w:tc>
          <w:tcPr>
            <w:tcW w:w="582" w:type="pct"/>
          </w:tcPr>
          <w:p w14:paraId="4F2DB40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2761957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Islamic culture cultural</w:t>
            </w:r>
          </w:p>
        </w:tc>
        <w:tc>
          <w:tcPr>
            <w:tcW w:w="534" w:type="pct"/>
          </w:tcPr>
          <w:p w14:paraId="65B0C7C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49ED28A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change adaptation important</w:t>
            </w:r>
          </w:p>
        </w:tc>
        <w:tc>
          <w:tcPr>
            <w:tcW w:w="535" w:type="pct"/>
          </w:tcPr>
          <w:p w14:paraId="2A3DAF8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changing Islamic</w:t>
            </w:r>
          </w:p>
        </w:tc>
      </w:tr>
      <w:tr w:rsidR="001333BC" w:rsidRPr="001333BC" w14:paraId="3BEFCEB8" w14:textId="77777777" w:rsidTr="00E62104">
        <w:trPr>
          <w:jc w:val="center"/>
        </w:trPr>
        <w:tc>
          <w:tcPr>
            <w:tcW w:w="177" w:type="pct"/>
          </w:tcPr>
          <w:p w14:paraId="35F1B54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83</w:t>
            </w:r>
          </w:p>
        </w:tc>
        <w:tc>
          <w:tcPr>
            <w:tcW w:w="405" w:type="pct"/>
          </w:tcPr>
          <w:p w14:paraId="14C4D65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Chan (2022)</w:t>
            </w:r>
          </w:p>
        </w:tc>
        <w:tc>
          <w:tcPr>
            <w:tcW w:w="436" w:type="pct"/>
          </w:tcPr>
          <w:p w14:paraId="5E6078A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Women, Acculturation and</w:t>
            </w:r>
          </w:p>
        </w:tc>
        <w:tc>
          <w:tcPr>
            <w:tcW w:w="486" w:type="pct"/>
          </w:tcPr>
          <w:p w14:paraId="3600F0A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UK</w:t>
            </w:r>
          </w:p>
        </w:tc>
        <w:tc>
          <w:tcPr>
            <w:tcW w:w="340" w:type="pct"/>
          </w:tcPr>
          <w:p w14:paraId="5D1D6F5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relationships with an appearance-related ethnic</w:t>
            </w:r>
          </w:p>
        </w:tc>
        <w:tc>
          <w:tcPr>
            <w:tcW w:w="388" w:type="pct"/>
          </w:tcPr>
          <w:p w14:paraId="4D46392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First-generation South Asian</w:t>
            </w:r>
          </w:p>
        </w:tc>
        <w:tc>
          <w:tcPr>
            <w:tcW w:w="582" w:type="pct"/>
          </w:tcPr>
          <w:p w14:paraId="1A0C268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5F2EBED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identification</w:t>
            </w:r>
          </w:p>
        </w:tc>
        <w:tc>
          <w:tcPr>
            <w:tcW w:w="534" w:type="pct"/>
          </w:tcPr>
          <w:p w14:paraId="1F5C27F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2D7694E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demonstrates ethnic national identification</w:t>
            </w:r>
          </w:p>
        </w:tc>
        <w:tc>
          <w:tcPr>
            <w:tcW w:w="535" w:type="pct"/>
          </w:tcPr>
          <w:p w14:paraId="393B887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cultural identity acculturation</w:t>
            </w:r>
          </w:p>
        </w:tc>
      </w:tr>
      <w:tr w:rsidR="001333BC" w:rsidRPr="001333BC" w14:paraId="154B1BBE" w14:textId="77777777" w:rsidTr="00E62104">
        <w:trPr>
          <w:jc w:val="center"/>
        </w:trPr>
        <w:tc>
          <w:tcPr>
            <w:tcW w:w="177" w:type="pct"/>
          </w:tcPr>
          <w:p w14:paraId="79DA423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84</w:t>
            </w:r>
          </w:p>
        </w:tc>
        <w:tc>
          <w:tcPr>
            <w:tcW w:w="405" w:type="pct"/>
          </w:tcPr>
          <w:p w14:paraId="452BC60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Dalal (2024)</w:t>
            </w:r>
          </w:p>
        </w:tc>
        <w:tc>
          <w:tcPr>
            <w:tcW w:w="436" w:type="pct"/>
          </w:tcPr>
          <w:p w14:paraId="3B589FE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Performing Curry and Diasporic Identity</w:t>
            </w:r>
          </w:p>
        </w:tc>
        <w:tc>
          <w:tcPr>
            <w:tcW w:w="486" w:type="pct"/>
          </w:tcPr>
          <w:p w14:paraId="51FC5FC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Canada</w:t>
            </w:r>
          </w:p>
        </w:tc>
        <w:tc>
          <w:tcPr>
            <w:tcW w:w="340" w:type="pct"/>
          </w:tcPr>
          <w:p w14:paraId="59F41C5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curry cultural signifier challenge</w:t>
            </w:r>
          </w:p>
        </w:tc>
        <w:tc>
          <w:tcPr>
            <w:tcW w:w="388" w:type="pct"/>
          </w:tcPr>
          <w:p w14:paraId="04F0A39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1EC03A6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Curry cooking recipes</w:t>
            </w:r>
          </w:p>
        </w:tc>
        <w:tc>
          <w:tcPr>
            <w:tcW w:w="632" w:type="pct"/>
          </w:tcPr>
          <w:p w14:paraId="4F8D993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South Asian diasporic</w:t>
            </w:r>
          </w:p>
        </w:tc>
        <w:tc>
          <w:tcPr>
            <w:tcW w:w="534" w:type="pct"/>
          </w:tcPr>
          <w:p w14:paraId="063BF9B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Curry culinary practices</w:t>
            </w:r>
          </w:p>
        </w:tc>
        <w:tc>
          <w:tcPr>
            <w:tcW w:w="485" w:type="pct"/>
          </w:tcPr>
          <w:p w14:paraId="45E7014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argues diasporic food identity</w:t>
            </w:r>
          </w:p>
        </w:tc>
        <w:tc>
          <w:tcPr>
            <w:tcW w:w="535" w:type="pct"/>
          </w:tcPr>
          <w:p w14:paraId="4A28AB9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diverse diasporic food</w:t>
            </w:r>
          </w:p>
        </w:tc>
      </w:tr>
      <w:tr w:rsidR="001333BC" w:rsidRPr="001333BC" w14:paraId="4B4152D3" w14:textId="77777777" w:rsidTr="00E62104">
        <w:trPr>
          <w:jc w:val="center"/>
        </w:trPr>
        <w:tc>
          <w:tcPr>
            <w:tcW w:w="177" w:type="pct"/>
          </w:tcPr>
          <w:p w14:paraId="7D740CB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85</w:t>
            </w:r>
          </w:p>
        </w:tc>
        <w:tc>
          <w:tcPr>
            <w:tcW w:w="405" w:type="pct"/>
          </w:tcPr>
          <w:p w14:paraId="6819516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Sakib (2023)</w:t>
            </w:r>
          </w:p>
        </w:tc>
        <w:tc>
          <w:tcPr>
            <w:tcW w:w="436" w:type="pct"/>
          </w:tcPr>
          <w:p w14:paraId="2E55A73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Sociology of Culture in Bangladesh</w:t>
            </w:r>
          </w:p>
        </w:tc>
        <w:tc>
          <w:tcPr>
            <w:tcW w:w="486" w:type="pct"/>
          </w:tcPr>
          <w:p w14:paraId="26FD33B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Bangladesh and India</w:t>
            </w:r>
          </w:p>
        </w:tc>
        <w:tc>
          <w:tcPr>
            <w:tcW w:w="340" w:type="pct"/>
          </w:tcPr>
          <w:p w14:paraId="5AB6A11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compare cultural similarities</w:t>
            </w:r>
          </w:p>
        </w:tc>
        <w:tc>
          <w:tcPr>
            <w:tcW w:w="388" w:type="pct"/>
          </w:tcPr>
          <w:p w14:paraId="2B4DE6F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66A33B4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1F25AB3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practices beliefs</w:t>
            </w:r>
          </w:p>
        </w:tc>
        <w:tc>
          <w:tcPr>
            <w:tcW w:w="534" w:type="pct"/>
          </w:tcPr>
          <w:p w14:paraId="0326656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730DD78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Comparison demonstrates cultural practices</w:t>
            </w:r>
          </w:p>
        </w:tc>
        <w:tc>
          <w:tcPr>
            <w:tcW w:w="535" w:type="pct"/>
          </w:tcPr>
          <w:p w14:paraId="7511E9C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cultural identity cultural</w:t>
            </w:r>
          </w:p>
        </w:tc>
      </w:tr>
      <w:tr w:rsidR="001333BC" w:rsidRPr="001333BC" w14:paraId="3CF0546C" w14:textId="77777777" w:rsidTr="00E62104">
        <w:trPr>
          <w:jc w:val="center"/>
        </w:trPr>
        <w:tc>
          <w:tcPr>
            <w:tcW w:w="177" w:type="pct"/>
          </w:tcPr>
          <w:p w14:paraId="24134E0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86</w:t>
            </w:r>
          </w:p>
        </w:tc>
        <w:tc>
          <w:tcPr>
            <w:tcW w:w="405" w:type="pct"/>
          </w:tcPr>
          <w:p w14:paraId="13A5598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Ahsan Ullah (2025)</w:t>
            </w:r>
          </w:p>
        </w:tc>
        <w:tc>
          <w:tcPr>
            <w:tcW w:w="436" w:type="pct"/>
          </w:tcPr>
          <w:p w14:paraId="49687AF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Second-Generation Afghan Diaspora and Identity</w:t>
            </w:r>
          </w:p>
        </w:tc>
        <w:tc>
          <w:tcPr>
            <w:tcW w:w="486" w:type="pct"/>
          </w:tcPr>
          <w:p w14:paraId="4842374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Afghan diaspora living abroad</w:t>
            </w:r>
          </w:p>
        </w:tc>
        <w:tc>
          <w:tcPr>
            <w:tcW w:w="340" w:type="pct"/>
          </w:tcPr>
          <w:p w14:paraId="2F4FD86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narratives shaping perceptions</w:t>
            </w:r>
          </w:p>
        </w:tc>
        <w:tc>
          <w:tcPr>
            <w:tcW w:w="388" w:type="pct"/>
          </w:tcPr>
          <w:p w14:paraId="252D4B3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Second- third-generation Afghan</w:t>
            </w:r>
          </w:p>
        </w:tc>
        <w:tc>
          <w:tcPr>
            <w:tcW w:w="582" w:type="pct"/>
          </w:tcPr>
          <w:p w14:paraId="55AC7E5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557789E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Diasporic identity family</w:t>
            </w:r>
          </w:p>
        </w:tc>
        <w:tc>
          <w:tcPr>
            <w:tcW w:w="534" w:type="pct"/>
          </w:tcPr>
          <w:p w14:paraId="65F2228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15239D6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family migration narratives memories</w:t>
            </w:r>
          </w:p>
        </w:tc>
        <w:tc>
          <w:tcPr>
            <w:tcW w:w="535" w:type="pct"/>
          </w:tcPr>
          <w:p w14:paraId="125AB57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identity formation different</w:t>
            </w:r>
          </w:p>
        </w:tc>
      </w:tr>
      <w:tr w:rsidR="001333BC" w:rsidRPr="001333BC" w14:paraId="04A42F78" w14:textId="77777777" w:rsidTr="00E62104">
        <w:trPr>
          <w:jc w:val="center"/>
        </w:trPr>
        <w:tc>
          <w:tcPr>
            <w:tcW w:w="177" w:type="pct"/>
          </w:tcPr>
          <w:p w14:paraId="6AE383E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87</w:t>
            </w:r>
          </w:p>
        </w:tc>
        <w:tc>
          <w:tcPr>
            <w:tcW w:w="405" w:type="pct"/>
          </w:tcPr>
          <w:p w14:paraId="3549335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Rojas-Méndez (2023)</w:t>
            </w:r>
          </w:p>
        </w:tc>
        <w:tc>
          <w:tcPr>
            <w:tcW w:w="436" w:type="pct"/>
          </w:tcPr>
          <w:p w14:paraId="5443E12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Conceptualizing Nation Branding</w:t>
            </w:r>
          </w:p>
        </w:tc>
        <w:tc>
          <w:tcPr>
            <w:tcW w:w="486" w:type="pct"/>
          </w:tcPr>
          <w:p w14:paraId="4B209C3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3D167D3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develop integrated conceptualization</w:t>
            </w:r>
          </w:p>
        </w:tc>
        <w:tc>
          <w:tcPr>
            <w:tcW w:w="388" w:type="pct"/>
          </w:tcPr>
          <w:p w14:paraId="22CDA10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45A6AC4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262B345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National identity social-cultural</w:t>
            </w:r>
          </w:p>
        </w:tc>
        <w:tc>
          <w:tcPr>
            <w:tcW w:w="534" w:type="pct"/>
          </w:tcPr>
          <w:p w14:paraId="6284020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7D4F0CF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Social cultural dimensions important</w:t>
            </w:r>
          </w:p>
        </w:tc>
        <w:tc>
          <w:tcPr>
            <w:tcW w:w="535" w:type="pct"/>
          </w:tcPr>
          <w:p w14:paraId="5CB0C5E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refine nation-branding</w:t>
            </w:r>
          </w:p>
        </w:tc>
      </w:tr>
      <w:tr w:rsidR="001333BC" w:rsidRPr="001333BC" w14:paraId="1713DC9F" w14:textId="77777777" w:rsidTr="00E62104">
        <w:trPr>
          <w:jc w:val="center"/>
        </w:trPr>
        <w:tc>
          <w:tcPr>
            <w:tcW w:w="177" w:type="pct"/>
          </w:tcPr>
          <w:p w14:paraId="29BDC33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88</w:t>
            </w:r>
          </w:p>
        </w:tc>
        <w:tc>
          <w:tcPr>
            <w:tcW w:w="405" w:type="pct"/>
          </w:tcPr>
          <w:p w14:paraId="6FF61C4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Shen (2022)</w:t>
            </w:r>
          </w:p>
        </w:tc>
        <w:tc>
          <w:tcPr>
            <w:tcW w:w="436" w:type="pct"/>
          </w:tcPr>
          <w:p w14:paraId="4FA76B5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Souvenirs</w:t>
            </w:r>
          </w:p>
        </w:tc>
        <w:tc>
          <w:tcPr>
            <w:tcW w:w="486" w:type="pct"/>
          </w:tcPr>
          <w:p w14:paraId="64CEC8F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tourism literature</w:t>
            </w:r>
          </w:p>
        </w:tc>
        <w:tc>
          <w:tcPr>
            <w:tcW w:w="340" w:type="pct"/>
          </w:tcPr>
          <w:p w14:paraId="6C019BE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souvenirs identify</w:t>
            </w:r>
          </w:p>
        </w:tc>
        <w:tc>
          <w:tcPr>
            <w:tcW w:w="388" w:type="pct"/>
          </w:tcPr>
          <w:p w14:paraId="14C7C34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4E9ADE6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2652A89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identity national</w:t>
            </w:r>
          </w:p>
        </w:tc>
        <w:tc>
          <w:tcPr>
            <w:tcW w:w="534" w:type="pct"/>
          </w:tcPr>
          <w:p w14:paraId="4C1AE29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3E7412C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products communicate identity</w:t>
            </w:r>
          </w:p>
        </w:tc>
        <w:tc>
          <w:tcPr>
            <w:tcW w:w="535" w:type="pct"/>
          </w:tcPr>
          <w:p w14:paraId="060208A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cultural meanings</w:t>
            </w:r>
          </w:p>
        </w:tc>
      </w:tr>
      <w:tr w:rsidR="001333BC" w:rsidRPr="001333BC" w14:paraId="72F1F8A0" w14:textId="77777777" w:rsidTr="00E62104">
        <w:trPr>
          <w:jc w:val="center"/>
        </w:trPr>
        <w:tc>
          <w:tcPr>
            <w:tcW w:w="177" w:type="pct"/>
          </w:tcPr>
          <w:p w14:paraId="7003785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89</w:t>
            </w:r>
          </w:p>
        </w:tc>
        <w:tc>
          <w:tcPr>
            <w:tcW w:w="405" w:type="pct"/>
          </w:tcPr>
          <w:p w14:paraId="502C340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Kempinski (2024)</w:t>
            </w:r>
          </w:p>
        </w:tc>
        <w:tc>
          <w:tcPr>
            <w:tcW w:w="436" w:type="pct"/>
          </w:tcPr>
          <w:p w14:paraId="4AD5317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Milk and Dairy in Inflammatory</w:t>
            </w:r>
          </w:p>
        </w:tc>
        <w:tc>
          <w:tcPr>
            <w:tcW w:w="486" w:type="pct"/>
          </w:tcPr>
          <w:p w14:paraId="6FD8315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clinical and dietary</w:t>
            </w:r>
          </w:p>
        </w:tc>
        <w:tc>
          <w:tcPr>
            <w:tcW w:w="340" w:type="pct"/>
          </w:tcPr>
          <w:p w14:paraId="53E8F75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Evidence concerning relationship</w:t>
            </w:r>
          </w:p>
        </w:tc>
        <w:tc>
          <w:tcPr>
            <w:tcW w:w="388" w:type="pct"/>
          </w:tcPr>
          <w:p w14:paraId="2B66D69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2343725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Dairy consumption dietary</w:t>
            </w:r>
          </w:p>
        </w:tc>
        <w:tc>
          <w:tcPr>
            <w:tcW w:w="632" w:type="pct"/>
          </w:tcPr>
          <w:p w14:paraId="6D8552E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cultural beliefs affect dietary choices</w:t>
            </w:r>
          </w:p>
        </w:tc>
        <w:tc>
          <w:tcPr>
            <w:tcW w:w="534" w:type="pct"/>
          </w:tcPr>
          <w:p w14:paraId="2EC9908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food beliefs relate to cultural context</w:t>
            </w:r>
          </w:p>
        </w:tc>
        <w:tc>
          <w:tcPr>
            <w:tcW w:w="485" w:type="pct"/>
          </w:tcPr>
          <w:p w14:paraId="05BB532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Evidence variation of patients' beliefs</w:t>
            </w:r>
          </w:p>
        </w:tc>
        <w:tc>
          <w:tcPr>
            <w:tcW w:w="535" w:type="pct"/>
          </w:tcPr>
          <w:p w14:paraId="7E71E88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clarify relationship</w:t>
            </w:r>
          </w:p>
        </w:tc>
      </w:tr>
      <w:tr w:rsidR="001333BC" w:rsidRPr="001333BC" w14:paraId="67748B6D" w14:textId="77777777" w:rsidTr="00E62104">
        <w:trPr>
          <w:jc w:val="center"/>
        </w:trPr>
        <w:tc>
          <w:tcPr>
            <w:tcW w:w="177" w:type="pct"/>
          </w:tcPr>
          <w:p w14:paraId="47DC08E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90</w:t>
            </w:r>
          </w:p>
        </w:tc>
        <w:tc>
          <w:tcPr>
            <w:tcW w:w="405" w:type="pct"/>
          </w:tcPr>
          <w:p w14:paraId="5F4DC28E"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Maulidiyah</w:t>
            </w:r>
            <w:proofErr w:type="spellEnd"/>
            <w:r w:rsidRPr="001333BC">
              <w:rPr>
                <w:rFonts w:ascii="Cambria" w:eastAsia="MS Mincho" w:hAnsi="Cambria" w:cs="Times New Roman"/>
                <w:sz w:val="20"/>
                <w:szCs w:val="40"/>
              </w:rPr>
              <w:t xml:space="preserve"> (2024)</w:t>
            </w:r>
          </w:p>
        </w:tc>
        <w:tc>
          <w:tcPr>
            <w:tcW w:w="436" w:type="pct"/>
          </w:tcPr>
          <w:p w14:paraId="452DB67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The Role of Culture in</w:t>
            </w:r>
          </w:p>
        </w:tc>
        <w:tc>
          <w:tcPr>
            <w:tcW w:w="486" w:type="pct"/>
          </w:tcPr>
          <w:p w14:paraId="05BE279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6B0160F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 xml:space="preserve">synthesize evidence </w:t>
            </w:r>
            <w:r w:rsidRPr="001333BC">
              <w:rPr>
                <w:rFonts w:ascii="Cambria" w:eastAsia="MS Mincho" w:hAnsi="Cambria" w:cs="Times New Roman"/>
                <w:sz w:val="20"/>
                <w:szCs w:val="40"/>
              </w:rPr>
              <w:lastRenderedPageBreak/>
              <w:t>concerning</w:t>
            </w:r>
          </w:p>
        </w:tc>
        <w:tc>
          <w:tcPr>
            <w:tcW w:w="388" w:type="pct"/>
          </w:tcPr>
          <w:p w14:paraId="2EF285E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No participants</w:t>
            </w:r>
          </w:p>
        </w:tc>
        <w:tc>
          <w:tcPr>
            <w:tcW w:w="582" w:type="pct"/>
          </w:tcPr>
          <w:p w14:paraId="2908C1F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50061E0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values norms</w:t>
            </w:r>
          </w:p>
        </w:tc>
        <w:tc>
          <w:tcPr>
            <w:tcW w:w="534" w:type="pct"/>
          </w:tcPr>
          <w:p w14:paraId="15BA278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218BB9C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norms values influence</w:t>
            </w:r>
          </w:p>
        </w:tc>
        <w:tc>
          <w:tcPr>
            <w:tcW w:w="535" w:type="pct"/>
          </w:tcPr>
          <w:p w14:paraId="0863605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required cultural influences</w:t>
            </w:r>
          </w:p>
        </w:tc>
      </w:tr>
      <w:tr w:rsidR="001333BC" w:rsidRPr="001333BC" w14:paraId="3D13E8F8" w14:textId="77777777" w:rsidTr="00E62104">
        <w:trPr>
          <w:jc w:val="center"/>
        </w:trPr>
        <w:tc>
          <w:tcPr>
            <w:tcW w:w="177" w:type="pct"/>
          </w:tcPr>
          <w:p w14:paraId="7D15C4E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91</w:t>
            </w:r>
          </w:p>
        </w:tc>
        <w:tc>
          <w:tcPr>
            <w:tcW w:w="405" w:type="pct"/>
          </w:tcPr>
          <w:p w14:paraId="4730299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Arzhang (2022)</w:t>
            </w:r>
          </w:p>
        </w:tc>
        <w:tc>
          <w:tcPr>
            <w:tcW w:w="436" w:type="pct"/>
          </w:tcPr>
          <w:p w14:paraId="1DB74A2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Household Food Insecurity among a</w:t>
            </w:r>
          </w:p>
        </w:tc>
        <w:tc>
          <w:tcPr>
            <w:tcW w:w="486" w:type="pct"/>
          </w:tcPr>
          <w:p w14:paraId="1BA4E05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Iran</w:t>
            </w:r>
          </w:p>
        </w:tc>
        <w:tc>
          <w:tcPr>
            <w:tcW w:w="340" w:type="pct"/>
          </w:tcPr>
          <w:p w14:paraId="1F3FFE9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estimate prevalence household</w:t>
            </w:r>
          </w:p>
        </w:tc>
        <w:tc>
          <w:tcPr>
            <w:tcW w:w="388" w:type="pct"/>
          </w:tcPr>
          <w:p w14:paraId="7517BB0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2A6EEE4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Systematic meta-analysis Iranian</w:t>
            </w:r>
          </w:p>
        </w:tc>
        <w:tc>
          <w:tcPr>
            <w:tcW w:w="632" w:type="pct"/>
          </w:tcPr>
          <w:p w14:paraId="7CB7376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cultural context shapes food insecurity</w:t>
            </w:r>
          </w:p>
        </w:tc>
        <w:tc>
          <w:tcPr>
            <w:tcW w:w="534" w:type="pct"/>
          </w:tcPr>
          <w:p w14:paraId="1BD5A46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6E1063D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substantial variation of household food</w:t>
            </w:r>
          </w:p>
        </w:tc>
        <w:tc>
          <w:tcPr>
            <w:tcW w:w="535" w:type="pct"/>
          </w:tcPr>
          <w:p w14:paraId="05D4502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needed consistent measurement approaches</w:t>
            </w:r>
          </w:p>
        </w:tc>
      </w:tr>
      <w:tr w:rsidR="001333BC" w:rsidRPr="001333BC" w14:paraId="76FD6BEA" w14:textId="77777777" w:rsidTr="00E62104">
        <w:trPr>
          <w:jc w:val="center"/>
        </w:trPr>
        <w:tc>
          <w:tcPr>
            <w:tcW w:w="177" w:type="pct"/>
          </w:tcPr>
          <w:p w14:paraId="3FDD552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92</w:t>
            </w:r>
          </w:p>
        </w:tc>
        <w:tc>
          <w:tcPr>
            <w:tcW w:w="405" w:type="pct"/>
          </w:tcPr>
          <w:p w14:paraId="29187197"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Chakraverty</w:t>
            </w:r>
            <w:proofErr w:type="spellEnd"/>
            <w:r w:rsidRPr="001333BC">
              <w:rPr>
                <w:rFonts w:ascii="Cambria" w:eastAsia="MS Mincho" w:hAnsi="Cambria" w:cs="Times New Roman"/>
                <w:sz w:val="20"/>
                <w:szCs w:val="40"/>
              </w:rPr>
              <w:t xml:space="preserve"> (2022)</w:t>
            </w:r>
          </w:p>
        </w:tc>
        <w:tc>
          <w:tcPr>
            <w:tcW w:w="436" w:type="pct"/>
          </w:tcPr>
          <w:p w14:paraId="29CA7F1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Gender Differences in Health Literacy</w:t>
            </w:r>
          </w:p>
        </w:tc>
        <w:tc>
          <w:tcPr>
            <w:tcW w:w="486" w:type="pct"/>
          </w:tcPr>
          <w:p w14:paraId="5879F83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migrant populations</w:t>
            </w:r>
          </w:p>
        </w:tc>
        <w:tc>
          <w:tcPr>
            <w:tcW w:w="340" w:type="pct"/>
          </w:tcPr>
          <w:p w14:paraId="5A33F03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gender differences health</w:t>
            </w:r>
          </w:p>
        </w:tc>
        <w:tc>
          <w:tcPr>
            <w:tcW w:w="388" w:type="pct"/>
          </w:tcPr>
          <w:p w14:paraId="1592EAC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4044F59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308E3E8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Migration background cultural</w:t>
            </w:r>
          </w:p>
        </w:tc>
        <w:tc>
          <w:tcPr>
            <w:tcW w:w="534" w:type="pct"/>
          </w:tcPr>
          <w:p w14:paraId="5C0296D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6A628ED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differences between migrants’ health-literacy experiences migrant</w:t>
            </w:r>
          </w:p>
        </w:tc>
        <w:tc>
          <w:tcPr>
            <w:tcW w:w="535" w:type="pct"/>
          </w:tcPr>
          <w:p w14:paraId="620F109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gender migration-related</w:t>
            </w:r>
          </w:p>
        </w:tc>
      </w:tr>
      <w:tr w:rsidR="001333BC" w:rsidRPr="001333BC" w14:paraId="340EAB9D" w14:textId="77777777" w:rsidTr="00E62104">
        <w:trPr>
          <w:jc w:val="center"/>
        </w:trPr>
        <w:tc>
          <w:tcPr>
            <w:tcW w:w="177" w:type="pct"/>
          </w:tcPr>
          <w:p w14:paraId="7321ED2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93</w:t>
            </w:r>
          </w:p>
        </w:tc>
        <w:tc>
          <w:tcPr>
            <w:tcW w:w="405" w:type="pct"/>
          </w:tcPr>
          <w:p w14:paraId="77933EB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Tajfel (2004)</w:t>
            </w:r>
          </w:p>
        </w:tc>
        <w:tc>
          <w:tcPr>
            <w:tcW w:w="436" w:type="pct"/>
          </w:tcPr>
          <w:p w14:paraId="66DACF9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The Social Identity Theory of</w:t>
            </w:r>
          </w:p>
        </w:tc>
        <w:tc>
          <w:tcPr>
            <w:tcW w:w="486" w:type="pct"/>
          </w:tcPr>
          <w:p w14:paraId="7359F81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Theoretical / social psychology</w:t>
            </w:r>
          </w:p>
        </w:tc>
        <w:tc>
          <w:tcPr>
            <w:tcW w:w="340" w:type="pct"/>
          </w:tcPr>
          <w:p w14:paraId="5D8E90D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explain social categorization</w:t>
            </w:r>
          </w:p>
        </w:tc>
        <w:tc>
          <w:tcPr>
            <w:tcW w:w="388" w:type="pct"/>
          </w:tcPr>
          <w:p w14:paraId="4156B0D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35CA045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2214485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Social identity formed</w:t>
            </w:r>
          </w:p>
        </w:tc>
        <w:tc>
          <w:tcPr>
            <w:tcW w:w="534" w:type="pct"/>
          </w:tcPr>
          <w:p w14:paraId="7F2895F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530ED6F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theory framework understanding membership</w:t>
            </w:r>
          </w:p>
        </w:tc>
        <w:tc>
          <w:tcPr>
            <w:tcW w:w="535" w:type="pct"/>
          </w:tcPr>
          <w:p w14:paraId="7B59834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theory broad conceptual foundation</w:t>
            </w:r>
          </w:p>
        </w:tc>
      </w:tr>
      <w:tr w:rsidR="001333BC" w:rsidRPr="001333BC" w14:paraId="6350E9DF" w14:textId="77777777" w:rsidTr="00E62104">
        <w:trPr>
          <w:jc w:val="center"/>
        </w:trPr>
        <w:tc>
          <w:tcPr>
            <w:tcW w:w="177" w:type="pct"/>
          </w:tcPr>
          <w:p w14:paraId="31DA781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94</w:t>
            </w:r>
          </w:p>
        </w:tc>
        <w:tc>
          <w:tcPr>
            <w:tcW w:w="405" w:type="pct"/>
          </w:tcPr>
          <w:p w14:paraId="253D938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O’Sullivan (2016)</w:t>
            </w:r>
          </w:p>
        </w:tc>
        <w:tc>
          <w:tcPr>
            <w:tcW w:w="436" w:type="pct"/>
          </w:tcPr>
          <w:p w14:paraId="46504F1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Dietary Acculturation among International Students</w:t>
            </w:r>
          </w:p>
        </w:tc>
        <w:tc>
          <w:tcPr>
            <w:tcW w:w="486" w:type="pct"/>
          </w:tcPr>
          <w:p w14:paraId="11F825E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England</w:t>
            </w:r>
          </w:p>
        </w:tc>
        <w:tc>
          <w:tcPr>
            <w:tcW w:w="340" w:type="pct"/>
          </w:tcPr>
          <w:p w14:paraId="77D2563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students’ experiences</w:t>
            </w:r>
          </w:p>
        </w:tc>
        <w:tc>
          <w:tcPr>
            <w:tcW w:w="388" w:type="pct"/>
          </w:tcPr>
          <w:p w14:paraId="5B41A91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students studying</w:t>
            </w:r>
          </w:p>
        </w:tc>
        <w:tc>
          <w:tcPr>
            <w:tcW w:w="582" w:type="pct"/>
          </w:tcPr>
          <w:p w14:paraId="0101753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Dietary acculturation food</w:t>
            </w:r>
          </w:p>
        </w:tc>
        <w:tc>
          <w:tcPr>
            <w:tcW w:w="632" w:type="pct"/>
          </w:tcPr>
          <w:p w14:paraId="2FFA4A8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Home-country cultural identity</w:t>
            </w:r>
          </w:p>
        </w:tc>
        <w:tc>
          <w:tcPr>
            <w:tcW w:w="534" w:type="pct"/>
          </w:tcPr>
          <w:p w14:paraId="3009A91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Changes dietary practices</w:t>
            </w:r>
          </w:p>
        </w:tc>
        <w:tc>
          <w:tcPr>
            <w:tcW w:w="485" w:type="pct"/>
          </w:tcPr>
          <w:p w14:paraId="7DA95F8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students experience changes</w:t>
            </w:r>
          </w:p>
        </w:tc>
        <w:tc>
          <w:tcPr>
            <w:tcW w:w="535" w:type="pct"/>
          </w:tcPr>
          <w:p w14:paraId="65C21FF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dietary acculturation specific</w:t>
            </w:r>
          </w:p>
        </w:tc>
      </w:tr>
      <w:tr w:rsidR="001333BC" w:rsidRPr="001333BC" w14:paraId="25D18A95" w14:textId="77777777" w:rsidTr="00E62104">
        <w:trPr>
          <w:jc w:val="center"/>
        </w:trPr>
        <w:tc>
          <w:tcPr>
            <w:tcW w:w="177" w:type="pct"/>
          </w:tcPr>
          <w:p w14:paraId="3228F11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95</w:t>
            </w:r>
          </w:p>
        </w:tc>
        <w:tc>
          <w:tcPr>
            <w:tcW w:w="405" w:type="pct"/>
          </w:tcPr>
          <w:p w14:paraId="67B6F55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Mensah (2022)</w:t>
            </w:r>
          </w:p>
        </w:tc>
        <w:tc>
          <w:tcPr>
            <w:tcW w:w="436" w:type="pct"/>
          </w:tcPr>
          <w:p w14:paraId="70EE3A6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Enculturation and Acculturation among</w:t>
            </w:r>
          </w:p>
        </w:tc>
        <w:tc>
          <w:tcPr>
            <w:tcW w:w="486" w:type="pct"/>
          </w:tcPr>
          <w:p w14:paraId="7E44808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UK</w:t>
            </w:r>
          </w:p>
        </w:tc>
        <w:tc>
          <w:tcPr>
            <w:tcW w:w="340" w:type="pct"/>
          </w:tcPr>
          <w:p w14:paraId="25038A8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determinants eating behavior BAME</w:t>
            </w:r>
          </w:p>
        </w:tc>
        <w:tc>
          <w:tcPr>
            <w:tcW w:w="388" w:type="pct"/>
          </w:tcPr>
          <w:p w14:paraId="13E6C5B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BAME university students</w:t>
            </w:r>
          </w:p>
        </w:tc>
        <w:tc>
          <w:tcPr>
            <w:tcW w:w="582" w:type="pct"/>
          </w:tcPr>
          <w:p w14:paraId="173B174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enculturation food</w:t>
            </w:r>
          </w:p>
        </w:tc>
        <w:tc>
          <w:tcPr>
            <w:tcW w:w="632" w:type="pct"/>
          </w:tcPr>
          <w:p w14:paraId="50F8E1E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background ethnic</w:t>
            </w:r>
          </w:p>
        </w:tc>
        <w:tc>
          <w:tcPr>
            <w:tcW w:w="534" w:type="pct"/>
          </w:tcPr>
          <w:p w14:paraId="7700007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enculturation acculturation</w:t>
            </w:r>
          </w:p>
        </w:tc>
        <w:tc>
          <w:tcPr>
            <w:tcW w:w="485" w:type="pct"/>
          </w:tcPr>
          <w:p w14:paraId="561F888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Eating behavior influenced family</w:t>
            </w:r>
          </w:p>
        </w:tc>
        <w:tc>
          <w:tcPr>
            <w:tcW w:w="535" w:type="pct"/>
          </w:tcPr>
          <w:p w14:paraId="12C4DFF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specific ethnic groups</w:t>
            </w:r>
          </w:p>
        </w:tc>
      </w:tr>
      <w:tr w:rsidR="001333BC" w:rsidRPr="001333BC" w14:paraId="090ACDA6" w14:textId="77777777" w:rsidTr="00E62104">
        <w:trPr>
          <w:jc w:val="center"/>
        </w:trPr>
        <w:tc>
          <w:tcPr>
            <w:tcW w:w="177" w:type="pct"/>
          </w:tcPr>
          <w:p w14:paraId="72BE4D4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96</w:t>
            </w:r>
          </w:p>
        </w:tc>
        <w:tc>
          <w:tcPr>
            <w:tcW w:w="405" w:type="pct"/>
          </w:tcPr>
          <w:p w14:paraId="09A7336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Saini (2022)</w:t>
            </w:r>
          </w:p>
        </w:tc>
        <w:tc>
          <w:tcPr>
            <w:tcW w:w="436" w:type="pct"/>
          </w:tcPr>
          <w:p w14:paraId="6E6C8AA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Racialization of Class, Nation and</w:t>
            </w:r>
          </w:p>
        </w:tc>
        <w:tc>
          <w:tcPr>
            <w:tcW w:w="486" w:type="pct"/>
          </w:tcPr>
          <w:p w14:paraId="551103E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UK</w:t>
            </w:r>
          </w:p>
        </w:tc>
        <w:tc>
          <w:tcPr>
            <w:tcW w:w="340" w:type="pct"/>
          </w:tcPr>
          <w:p w14:paraId="08CEEAD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ethnic minority identity</w:t>
            </w:r>
          </w:p>
        </w:tc>
        <w:tc>
          <w:tcPr>
            <w:tcW w:w="388" w:type="pct"/>
          </w:tcPr>
          <w:p w14:paraId="0513151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British South Asian</w:t>
            </w:r>
          </w:p>
        </w:tc>
        <w:tc>
          <w:tcPr>
            <w:tcW w:w="582" w:type="pct"/>
          </w:tcPr>
          <w:p w14:paraId="481DD46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3B6B19B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British South Asian</w:t>
            </w:r>
          </w:p>
        </w:tc>
        <w:tc>
          <w:tcPr>
            <w:tcW w:w="534" w:type="pct"/>
          </w:tcPr>
          <w:p w14:paraId="16C72DB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7231BF5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demonstrates British South Asian</w:t>
            </w:r>
          </w:p>
        </w:tc>
        <w:tc>
          <w:tcPr>
            <w:tcW w:w="535" w:type="pct"/>
          </w:tcPr>
          <w:p w14:paraId="7985473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identity formation different</w:t>
            </w:r>
          </w:p>
        </w:tc>
      </w:tr>
      <w:tr w:rsidR="001333BC" w:rsidRPr="001333BC" w14:paraId="49B3C681" w14:textId="77777777" w:rsidTr="00E62104">
        <w:trPr>
          <w:jc w:val="center"/>
        </w:trPr>
        <w:tc>
          <w:tcPr>
            <w:tcW w:w="177" w:type="pct"/>
          </w:tcPr>
          <w:p w14:paraId="7E800EB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97</w:t>
            </w:r>
          </w:p>
        </w:tc>
        <w:tc>
          <w:tcPr>
            <w:tcW w:w="405" w:type="pct"/>
          </w:tcPr>
          <w:p w14:paraId="11C1E2F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Niraula (2022)</w:t>
            </w:r>
          </w:p>
        </w:tc>
        <w:tc>
          <w:tcPr>
            <w:tcW w:w="436" w:type="pct"/>
          </w:tcPr>
          <w:p w14:paraId="562CFF1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Highly Skilled Migrant Decision-Making under</w:t>
            </w:r>
          </w:p>
        </w:tc>
        <w:tc>
          <w:tcPr>
            <w:tcW w:w="486" w:type="pct"/>
          </w:tcPr>
          <w:p w14:paraId="1741E0C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 highly skilled migrants</w:t>
            </w:r>
          </w:p>
        </w:tc>
        <w:tc>
          <w:tcPr>
            <w:tcW w:w="340" w:type="pct"/>
          </w:tcPr>
          <w:p w14:paraId="5559159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literature highly skilled</w:t>
            </w:r>
          </w:p>
        </w:tc>
        <w:tc>
          <w:tcPr>
            <w:tcW w:w="388" w:type="pct"/>
          </w:tcPr>
          <w:p w14:paraId="559D75BA"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14BA4BCC"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49FA81D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Migrant identity belonging</w:t>
            </w:r>
          </w:p>
        </w:tc>
        <w:tc>
          <w:tcPr>
            <w:tcW w:w="534" w:type="pct"/>
          </w:tcPr>
          <w:p w14:paraId="2A52E4F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492616B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highlights importance personal family</w:t>
            </w:r>
          </w:p>
        </w:tc>
        <w:tc>
          <w:tcPr>
            <w:tcW w:w="535" w:type="pct"/>
          </w:tcPr>
          <w:p w14:paraId="55416B0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identity decision-making different</w:t>
            </w:r>
          </w:p>
        </w:tc>
      </w:tr>
      <w:tr w:rsidR="001333BC" w:rsidRPr="001333BC" w14:paraId="1F3ECE7E" w14:textId="77777777" w:rsidTr="00E62104">
        <w:trPr>
          <w:jc w:val="center"/>
        </w:trPr>
        <w:tc>
          <w:tcPr>
            <w:tcW w:w="177" w:type="pct"/>
          </w:tcPr>
          <w:p w14:paraId="10D3305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98</w:t>
            </w:r>
          </w:p>
        </w:tc>
        <w:tc>
          <w:tcPr>
            <w:tcW w:w="405" w:type="pct"/>
          </w:tcPr>
          <w:p w14:paraId="10F2152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Wahbeh (2022)</w:t>
            </w:r>
          </w:p>
        </w:tc>
        <w:tc>
          <w:tcPr>
            <w:tcW w:w="436" w:type="pct"/>
          </w:tcPr>
          <w:p w14:paraId="3223598F"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Security Challenges and Sustainable</w:t>
            </w:r>
          </w:p>
        </w:tc>
        <w:tc>
          <w:tcPr>
            <w:tcW w:w="486" w:type="pct"/>
          </w:tcPr>
          <w:p w14:paraId="112F803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International</w:t>
            </w:r>
          </w:p>
        </w:tc>
        <w:tc>
          <w:tcPr>
            <w:tcW w:w="340" w:type="pct"/>
          </w:tcPr>
          <w:p w14:paraId="6657945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identify major drivers</w:t>
            </w:r>
          </w:p>
        </w:tc>
        <w:tc>
          <w:tcPr>
            <w:tcW w:w="388" w:type="pct"/>
          </w:tcPr>
          <w:p w14:paraId="48E2312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2883BE4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Food security food</w:t>
            </w:r>
          </w:p>
        </w:tc>
        <w:tc>
          <w:tcPr>
            <w:tcW w:w="632" w:type="pct"/>
          </w:tcPr>
          <w:p w14:paraId="61280E0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534" w:type="pct"/>
          </w:tcPr>
          <w:p w14:paraId="58AEE0A8"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47ED7D2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economic environmental political institutional</w:t>
            </w:r>
          </w:p>
        </w:tc>
        <w:tc>
          <w:tcPr>
            <w:tcW w:w="535" w:type="pct"/>
          </w:tcPr>
          <w:p w14:paraId="7CE6044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needed integrated policies</w:t>
            </w:r>
          </w:p>
        </w:tc>
      </w:tr>
      <w:tr w:rsidR="001333BC" w:rsidRPr="001333BC" w14:paraId="2FF8A910" w14:textId="77777777" w:rsidTr="00E62104">
        <w:trPr>
          <w:jc w:val="center"/>
        </w:trPr>
        <w:tc>
          <w:tcPr>
            <w:tcW w:w="177" w:type="pct"/>
          </w:tcPr>
          <w:p w14:paraId="47848254"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99</w:t>
            </w:r>
          </w:p>
        </w:tc>
        <w:tc>
          <w:tcPr>
            <w:tcW w:w="405" w:type="pct"/>
          </w:tcPr>
          <w:p w14:paraId="4188A01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Mu (2022)</w:t>
            </w:r>
          </w:p>
        </w:tc>
        <w:tc>
          <w:tcPr>
            <w:tcW w:w="436" w:type="pct"/>
          </w:tcPr>
          <w:p w14:paraId="31726873"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Heritage Preservation in European</w:t>
            </w:r>
          </w:p>
        </w:tc>
        <w:tc>
          <w:tcPr>
            <w:tcW w:w="486" w:type="pct"/>
          </w:tcPr>
          <w:p w14:paraId="0D1DD24E"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Europe and China</w:t>
            </w:r>
          </w:p>
        </w:tc>
        <w:tc>
          <w:tcPr>
            <w:tcW w:w="340" w:type="pct"/>
          </w:tcPr>
          <w:p w14:paraId="4C19BB9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approaches cultural heritage</w:t>
            </w:r>
          </w:p>
        </w:tc>
        <w:tc>
          <w:tcPr>
            <w:tcW w:w="388" w:type="pct"/>
          </w:tcPr>
          <w:p w14:paraId="123EBE71"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No participants</w:t>
            </w:r>
          </w:p>
        </w:tc>
        <w:tc>
          <w:tcPr>
            <w:tcW w:w="582" w:type="pct"/>
          </w:tcPr>
          <w:p w14:paraId="0C1CB11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632" w:type="pct"/>
          </w:tcPr>
          <w:p w14:paraId="43C1C5F9"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heritage local</w:t>
            </w:r>
          </w:p>
        </w:tc>
        <w:tc>
          <w:tcPr>
            <w:tcW w:w="534" w:type="pct"/>
          </w:tcPr>
          <w:p w14:paraId="7BD4B16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29A6B55B"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demonstrates preservation cultural heritage</w:t>
            </w:r>
          </w:p>
        </w:tc>
        <w:tc>
          <w:tcPr>
            <w:tcW w:w="535" w:type="pct"/>
          </w:tcPr>
          <w:p w14:paraId="7B881E2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Further compare heritage preservation</w:t>
            </w:r>
          </w:p>
        </w:tc>
      </w:tr>
      <w:tr w:rsidR="001333BC" w:rsidRPr="001333BC" w14:paraId="23812085" w14:textId="77777777" w:rsidTr="00E62104">
        <w:trPr>
          <w:jc w:val="center"/>
        </w:trPr>
        <w:tc>
          <w:tcPr>
            <w:tcW w:w="177" w:type="pct"/>
          </w:tcPr>
          <w:p w14:paraId="717A92F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lastRenderedPageBreak/>
              <w:t>100</w:t>
            </w:r>
          </w:p>
        </w:tc>
        <w:tc>
          <w:tcPr>
            <w:tcW w:w="405" w:type="pct"/>
          </w:tcPr>
          <w:p w14:paraId="06650ADD" w14:textId="77777777" w:rsidR="001333BC" w:rsidRPr="001333BC" w:rsidRDefault="001333BC" w:rsidP="001333BC">
            <w:pPr>
              <w:spacing w:line="360" w:lineRule="auto"/>
              <w:jc w:val="both"/>
              <w:rPr>
                <w:rFonts w:ascii="Cambria" w:eastAsia="MS Mincho" w:hAnsi="Cambria" w:cs="Times New Roman"/>
                <w:sz w:val="20"/>
                <w:szCs w:val="40"/>
              </w:rPr>
            </w:pPr>
            <w:proofErr w:type="spellStart"/>
            <w:r w:rsidRPr="001333BC">
              <w:rPr>
                <w:rFonts w:ascii="Cambria" w:eastAsia="MS Mincho" w:hAnsi="Cambria" w:cs="Times New Roman"/>
                <w:sz w:val="20"/>
                <w:szCs w:val="40"/>
              </w:rPr>
              <w:t>Tzotzis</w:t>
            </w:r>
            <w:proofErr w:type="spellEnd"/>
            <w:r w:rsidRPr="001333BC">
              <w:rPr>
                <w:rFonts w:ascii="Cambria" w:eastAsia="MS Mincho" w:hAnsi="Cambria" w:cs="Times New Roman"/>
                <w:sz w:val="20"/>
                <w:szCs w:val="40"/>
              </w:rPr>
              <w:t xml:space="preserve"> (2023)</w:t>
            </w:r>
          </w:p>
        </w:tc>
        <w:tc>
          <w:tcPr>
            <w:tcW w:w="436" w:type="pct"/>
          </w:tcPr>
          <w:p w14:paraId="6D5E80F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Experiences of Minority Ethnic Women</w:t>
            </w:r>
          </w:p>
        </w:tc>
        <w:tc>
          <w:tcPr>
            <w:tcW w:w="486" w:type="pct"/>
          </w:tcPr>
          <w:p w14:paraId="5D85BAC0"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High-income nations</w:t>
            </w:r>
          </w:p>
        </w:tc>
        <w:tc>
          <w:tcPr>
            <w:tcW w:w="340" w:type="pct"/>
          </w:tcPr>
          <w:p w14:paraId="6E5A34E2"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synthesize needs experiences</w:t>
            </w:r>
          </w:p>
        </w:tc>
        <w:tc>
          <w:tcPr>
            <w:tcW w:w="388" w:type="pct"/>
          </w:tcPr>
          <w:p w14:paraId="15ABB9D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integrative involving minority</w:t>
            </w:r>
          </w:p>
        </w:tc>
        <w:tc>
          <w:tcPr>
            <w:tcW w:w="582" w:type="pct"/>
          </w:tcPr>
          <w:p w14:paraId="78052AC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Limited: dietary practices in minority groups</w:t>
            </w:r>
          </w:p>
        </w:tc>
        <w:tc>
          <w:tcPr>
            <w:tcW w:w="632" w:type="pct"/>
          </w:tcPr>
          <w:p w14:paraId="7946B436"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Ethnicity and cultural beliefs</w:t>
            </w:r>
          </w:p>
        </w:tc>
        <w:tc>
          <w:tcPr>
            <w:tcW w:w="534" w:type="pct"/>
          </w:tcPr>
          <w:p w14:paraId="287C6425"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N/A</w:t>
            </w:r>
          </w:p>
        </w:tc>
        <w:tc>
          <w:tcPr>
            <w:tcW w:w="485" w:type="pct"/>
          </w:tcPr>
          <w:p w14:paraId="471AA1E7"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 context influences women</w:t>
            </w:r>
          </w:p>
        </w:tc>
        <w:tc>
          <w:tcPr>
            <w:tcW w:w="535" w:type="pct"/>
          </w:tcPr>
          <w:p w14:paraId="63C1F92D" w14:textId="77777777" w:rsidR="001333BC" w:rsidRPr="001333BC" w:rsidRDefault="001333BC" w:rsidP="001333BC">
            <w:pPr>
              <w:spacing w:line="360" w:lineRule="auto"/>
              <w:jc w:val="both"/>
              <w:rPr>
                <w:rFonts w:ascii="Cambria" w:eastAsia="MS Mincho" w:hAnsi="Cambria" w:cs="Times New Roman"/>
                <w:sz w:val="20"/>
                <w:szCs w:val="40"/>
              </w:rPr>
            </w:pPr>
            <w:r w:rsidRPr="001333BC">
              <w:rPr>
                <w:rFonts w:ascii="Cambria" w:eastAsia="MS Mincho" w:hAnsi="Cambria" w:cs="Times New Roman"/>
                <w:sz w:val="20"/>
                <w:szCs w:val="40"/>
              </w:rPr>
              <w:t>culturally responsive services needed</w:t>
            </w:r>
          </w:p>
        </w:tc>
      </w:tr>
    </w:tbl>
    <w:p w14:paraId="48C5633B" w14:textId="77777777" w:rsidR="00792EA8" w:rsidRPr="00792EA8" w:rsidRDefault="00792EA8" w:rsidP="00792EA8"/>
    <w:p w14:paraId="447CAA14" w14:textId="77777777" w:rsidR="00792EA8" w:rsidRPr="00792EA8" w:rsidRDefault="00792EA8" w:rsidP="00792EA8"/>
    <w:p w14:paraId="56D0F63E" w14:textId="77777777" w:rsidR="007D6B36" w:rsidRDefault="007D6B36" w:rsidP="007D6B36">
      <w:pPr>
        <w:rPr>
          <w:sz w:val="48"/>
          <w:szCs w:val="48"/>
        </w:rPr>
      </w:pPr>
      <w:r w:rsidRPr="008C0631">
        <w:rPr>
          <w:sz w:val="32"/>
          <w:szCs w:val="48"/>
        </w:rPr>
        <w:t>N/A = Not Applicable.</w:t>
      </w:r>
    </w:p>
    <w:p w14:paraId="29839326" w14:textId="77777777" w:rsidR="007D6B36" w:rsidRPr="00A2165D" w:rsidRDefault="007D6B36" w:rsidP="007D6B36">
      <w:pPr>
        <w:rPr>
          <w:sz w:val="48"/>
          <w:szCs w:val="48"/>
        </w:rPr>
      </w:pPr>
      <w:r w:rsidRPr="008C0631">
        <w:rPr>
          <w:szCs w:val="44"/>
        </w:rPr>
        <w:t>UK = United Kingdom</w:t>
      </w:r>
      <w:r>
        <w:rPr>
          <w:szCs w:val="44"/>
        </w:rPr>
        <w:t>.</w:t>
      </w:r>
    </w:p>
    <w:p w14:paraId="37B0DE7D" w14:textId="77777777" w:rsidR="007D6B36" w:rsidRPr="008C0631" w:rsidRDefault="007D6B36" w:rsidP="007D6B36">
      <w:pPr>
        <w:rPr>
          <w:sz w:val="44"/>
          <w:szCs w:val="44"/>
        </w:rPr>
      </w:pPr>
      <w:r w:rsidRPr="008C0631">
        <w:rPr>
          <w:szCs w:val="44"/>
        </w:rPr>
        <w:t>RO1 = Research Objective 1.</w:t>
      </w:r>
    </w:p>
    <w:p w14:paraId="17543868" w14:textId="77777777" w:rsidR="007D6B36" w:rsidRPr="008C0631" w:rsidRDefault="007D6B36" w:rsidP="007D6B36">
      <w:pPr>
        <w:rPr>
          <w:sz w:val="44"/>
          <w:szCs w:val="44"/>
        </w:rPr>
      </w:pPr>
      <w:r w:rsidRPr="008C0631">
        <w:rPr>
          <w:szCs w:val="44"/>
        </w:rPr>
        <w:t>RO2 = Research Objective 2.</w:t>
      </w:r>
    </w:p>
    <w:p w14:paraId="15049CD7" w14:textId="77777777" w:rsidR="007D6B36" w:rsidRPr="008C0631" w:rsidRDefault="007D6B36" w:rsidP="007D6B36">
      <w:pPr>
        <w:rPr>
          <w:sz w:val="44"/>
          <w:szCs w:val="44"/>
        </w:rPr>
      </w:pPr>
      <w:r w:rsidRPr="008C0631">
        <w:rPr>
          <w:szCs w:val="44"/>
        </w:rPr>
        <w:t>RO3 = Research Objective 3.</w:t>
      </w:r>
    </w:p>
    <w:p w14:paraId="6D019A47" w14:textId="77777777" w:rsidR="007D6B36" w:rsidRPr="00835AF9" w:rsidRDefault="007D6B36" w:rsidP="007D6B36">
      <w:pPr>
        <w:rPr>
          <w:rFonts w:cs="Times New Roman"/>
          <w:b/>
          <w:bCs/>
          <w:sz w:val="32"/>
          <w:szCs w:val="32"/>
        </w:rPr>
      </w:pPr>
    </w:p>
    <w:p w14:paraId="71887C24" w14:textId="77777777" w:rsidR="007D6B36" w:rsidRDefault="007D6B36" w:rsidP="007D6B36">
      <w:pPr>
        <w:rPr>
          <w:rFonts w:cs="Times New Roman"/>
          <w:b/>
          <w:bCs/>
          <w:sz w:val="32"/>
          <w:szCs w:val="32"/>
        </w:rPr>
      </w:pPr>
      <w:r>
        <w:rPr>
          <w:rFonts w:cs="Times New Roman"/>
          <w:b/>
          <w:bCs/>
          <w:sz w:val="32"/>
          <w:szCs w:val="32"/>
        </w:rPr>
        <w:br w:type="page"/>
      </w:r>
    </w:p>
    <w:p w14:paraId="1C0F7614" w14:textId="77777777" w:rsidR="007D6B36" w:rsidRPr="00835AF9" w:rsidRDefault="007D6B36" w:rsidP="007D6B36">
      <w:pPr>
        <w:pStyle w:val="Heading1"/>
      </w:pPr>
      <w:bookmarkStart w:id="13" w:name="_Toc241590540"/>
      <w:r w:rsidRPr="005B5156">
        <w:lastRenderedPageBreak/>
        <w:t>Part 3:</w:t>
      </w:r>
      <w:bookmarkEnd w:id="13"/>
    </w:p>
    <w:p w14:paraId="1831A0A1" w14:textId="77777777" w:rsidR="007D6B36" w:rsidRPr="00C86CE2" w:rsidRDefault="007D6B36" w:rsidP="007D6B36">
      <w:pPr>
        <w:pStyle w:val="Heading2"/>
      </w:pPr>
      <w:bookmarkStart w:id="14" w:name="_Toc241590541"/>
      <w:r>
        <w:t>3.1</w:t>
      </w:r>
      <w:r w:rsidRPr="00C86CE2">
        <w:t xml:space="preserve"> </w:t>
      </w:r>
      <w:r w:rsidRPr="00647F8E">
        <w:t>Introduction</w:t>
      </w:r>
      <w:bookmarkEnd w:id="14"/>
    </w:p>
    <w:p w14:paraId="42EBFF47" w14:textId="77777777" w:rsidR="007D6B36" w:rsidRPr="00C86CE2" w:rsidRDefault="007D6B36" w:rsidP="007D6B36">
      <w:r w:rsidRPr="00C86CE2">
        <w:t>The aim of this section is to provide a preliminary narrative literature review of the literature on the issue of food culture and cultural identity of the South Asian migrant community in the United Kingdom. The aim is to combine the evidence found in Part 2 and to create a critical discussion, not a description of individual studies.</w:t>
      </w:r>
    </w:p>
    <w:p w14:paraId="72AD28DF" w14:textId="77777777" w:rsidR="007D6B36" w:rsidRPr="00C86CE2" w:rsidRDefault="007D6B36" w:rsidP="007D6B36">
      <w:r w:rsidRPr="00C86CE2">
        <w:t>The three research objectives are used as the basis of the discussion. First, it looks at the dimensions of food culture, then at the dimensions of cultural identity, and finally at the role of food culture in the formation of cultural identity.</w:t>
      </w:r>
    </w:p>
    <w:p w14:paraId="7805EA4B" w14:textId="77777777" w:rsidR="007D6B36" w:rsidRPr="00C86CE2" w:rsidRDefault="007D6B36" w:rsidP="007D6B36">
      <w:pPr>
        <w:pStyle w:val="Heading2"/>
      </w:pPr>
      <w:bookmarkStart w:id="15" w:name="_Toc241590542"/>
      <w:r>
        <w:t xml:space="preserve">3.2 </w:t>
      </w:r>
      <w:r w:rsidRPr="00C86CE2">
        <w:t xml:space="preserve">Theoretical </w:t>
      </w:r>
      <w:r w:rsidRPr="00647F8E">
        <w:t>Foundation</w:t>
      </w:r>
      <w:r w:rsidRPr="00C86CE2">
        <w:t>: Social Identity Perspective</w:t>
      </w:r>
      <w:bookmarkEnd w:id="15"/>
    </w:p>
    <w:p w14:paraId="15FA460C" w14:textId="77777777" w:rsidR="007D6B36" w:rsidRPr="00C86CE2" w:rsidRDefault="007D6B36" w:rsidP="007D6B36">
      <w:r w:rsidRPr="00C86CE2">
        <w:t xml:space="preserve">An understanding of social identity theory can offer insight into how food can be linked to cultural identity. The theory is based on the understanding of people of themselves as members of social groups. In a theoretical paper, based on social psychology, </w:t>
      </w:r>
      <w:proofErr w:type="spellStart"/>
      <w:r w:rsidRPr="00C86CE2">
        <w:t>Poeggel</w:t>
      </w:r>
      <w:proofErr w:type="spellEnd"/>
      <w:r w:rsidRPr="00C86CE2">
        <w:t xml:space="preserve"> (2022) theorizes that identity processes can be located at an individual and collective level. The study highlights the importance of local food groups; despite its focus on groups that are not South Asian migrants, it shows that food-related activities create a social space where identity is expressed and developed.</w:t>
      </w:r>
    </w:p>
    <w:p w14:paraId="3D5DE525" w14:textId="77777777" w:rsidR="007D6B36" w:rsidRPr="00C86CE2" w:rsidRDefault="007D6B36" w:rsidP="007D6B36">
      <w:r w:rsidRPr="00C86CE2">
        <w:t xml:space="preserve">In the context of the UK, </w:t>
      </w:r>
      <w:proofErr w:type="spellStart"/>
      <w:r w:rsidRPr="00C86CE2">
        <w:t>Çoker</w:t>
      </w:r>
      <w:proofErr w:type="spellEnd"/>
      <w:r w:rsidRPr="00C86CE2">
        <w:t xml:space="preserve"> et al. (2024) conducted a survey of 1,014 South Asian, Black and White adults in the UK to explore attitudes, behaviors and social norms around meat consumption. Their results revealed that the South Asian respondents were more likely than White respondents to say that other people, such as friends and family, had an impact on their food choices, and they wanted to eat like other people, such as friends and family.</w:t>
      </w:r>
    </w:p>
    <w:p w14:paraId="562C8B6A" w14:textId="77777777" w:rsidR="007D6B36" w:rsidRPr="00C86CE2" w:rsidRDefault="007D6B36" w:rsidP="007D6B36">
      <w:r w:rsidRPr="00C86CE2">
        <w:t>This is in line with Iqbal et al. (2024), who conducted a qualitative study and identified the family as the core context for British Pakistanis' food-related health behaviors. Collectively, these studies have indicated that the social aspect of food practices exists, and there is a relationship between food practices and family relationships and family influence.</w:t>
      </w:r>
    </w:p>
    <w:p w14:paraId="05ED4C96" w14:textId="77777777" w:rsidR="007D6B36" w:rsidRPr="00C86CE2" w:rsidRDefault="007D6B36" w:rsidP="007D6B36">
      <w:r w:rsidRPr="00C86CE2">
        <w:t>Social Identity Theory, therefore, offers a valuable theoretical basis for this review as it can be used to account for the fact that food is more than just a behavior. Social belonging, family relationships and cultural connections may also be indicated through food practices.</w:t>
      </w:r>
    </w:p>
    <w:p w14:paraId="7B9FB941" w14:textId="77777777" w:rsidR="007D6B36" w:rsidRPr="008D74C4" w:rsidRDefault="007D6B36" w:rsidP="007D6B36">
      <w:pPr>
        <w:pStyle w:val="Heading2"/>
      </w:pPr>
      <w:bookmarkStart w:id="16" w:name="_Toc241590543"/>
      <w:r w:rsidRPr="008D74C4">
        <w:lastRenderedPageBreak/>
        <w:t xml:space="preserve">3.3 </w:t>
      </w:r>
      <w:r w:rsidRPr="00647F8E">
        <w:t>Methodology</w:t>
      </w:r>
      <w:bookmarkEnd w:id="16"/>
    </w:p>
    <w:p w14:paraId="3992FD9B" w14:textId="77777777" w:rsidR="007D6B36" w:rsidRPr="008D74C4" w:rsidRDefault="007D6B36" w:rsidP="007D6B36">
      <w:r w:rsidRPr="008D74C4">
        <w:t>A narrative literature review method is used in this study. As the approach to be selected and justified has been discussed in Part 1, the discussion of methodological detail is not repeated here.</w:t>
      </w:r>
    </w:p>
    <w:p w14:paraId="5717FB0C" w14:textId="77777777" w:rsidR="007D6B36" w:rsidRPr="008D74C4" w:rsidRDefault="007D6B36" w:rsidP="007D6B36">
      <w:r w:rsidRPr="008D74C4">
        <w:t>The narrative approach is suitable as literature features different research designs and studies various aspects of food, culture, migration, health and identity. The review is then directed to comparison, interpretation and synthesis of studies.</w:t>
      </w:r>
    </w:p>
    <w:p w14:paraId="4E06F019" w14:textId="77777777" w:rsidR="007D6B36" w:rsidRPr="008D74C4" w:rsidRDefault="007D6B36" w:rsidP="007D6B36">
      <w:pPr>
        <w:pStyle w:val="Heading3"/>
      </w:pPr>
      <w:bookmarkStart w:id="17" w:name="_Toc241590544"/>
      <w:r w:rsidRPr="008D74C4">
        <w:t>Journal/Data Retrieval Process</w:t>
      </w:r>
      <w:bookmarkEnd w:id="17"/>
    </w:p>
    <w:p w14:paraId="7B35C8C5" w14:textId="77777777" w:rsidR="007D6B36" w:rsidRPr="008D74C4" w:rsidRDefault="007D6B36" w:rsidP="007D6B36">
      <w:r w:rsidRPr="008D74C4">
        <w:t>Part 2 evidence table contains 100 papers identified for this critical literature review. The selected papers were recorded and organized according to their context, aim, population, and relevance to RO1, RO2 and RO3. The evidence table was then used to identify the main themes and patterns discussed in Part 3.</w:t>
      </w:r>
    </w:p>
    <w:p w14:paraId="596417AA" w14:textId="77777777" w:rsidR="007D6B36" w:rsidRPr="008D74C4" w:rsidRDefault="007D6B36" w:rsidP="007D6B36">
      <w:pPr>
        <w:pStyle w:val="Heading3"/>
      </w:pPr>
      <w:bookmarkStart w:id="18" w:name="_Toc241590545"/>
      <w:r w:rsidRPr="008D74C4">
        <w:t xml:space="preserve">Findings </w:t>
      </w:r>
      <w:r w:rsidRPr="00647F8E">
        <w:t>from</w:t>
      </w:r>
      <w:r w:rsidRPr="008D74C4">
        <w:t xml:space="preserve"> Part 2</w:t>
      </w:r>
      <w:bookmarkEnd w:id="18"/>
    </w:p>
    <w:p w14:paraId="6FECB663" w14:textId="77777777" w:rsidR="007D6B36" w:rsidRPr="008D74C4" w:rsidRDefault="007D6B36" w:rsidP="007D6B36">
      <w:r w:rsidRPr="008D74C4">
        <w:t>The 100-paper evidence table in Part 2 shows that food culture among South Asian migrant communities is reflected through traditional food practices, family and social influence, cultural norms, food adaptation and the wider food environment. The evidence also identifies belonging, family connection, cultural continuity, ethnic identity and intergenerational experiences as important dimensions of cultural identity. According to the reviewed literature, food is linked with cultural continuity, social relationships and identity, while migration can also lead to adaptation and negotiation of food practices.</w:t>
      </w:r>
    </w:p>
    <w:p w14:paraId="671DE7CD" w14:textId="77777777" w:rsidR="007D6B36" w:rsidRPr="00C86CE2" w:rsidRDefault="007D6B36" w:rsidP="007D6B36">
      <w:pPr>
        <w:pStyle w:val="Heading3"/>
      </w:pPr>
      <w:r w:rsidRPr="00C86CE2">
        <w:t xml:space="preserve"> </w:t>
      </w:r>
      <w:bookmarkStart w:id="19" w:name="_Toc241590546"/>
      <w:r w:rsidRPr="00C86CE2">
        <w:t>Defining Key Terms</w:t>
      </w:r>
      <w:bookmarkEnd w:id="19"/>
    </w:p>
    <w:p w14:paraId="01529CC9" w14:textId="77777777" w:rsidR="007D6B36" w:rsidRPr="00C86CE2" w:rsidRDefault="007D6B36" w:rsidP="007D6B36">
      <w:pPr>
        <w:rPr>
          <w:b/>
          <w:bCs/>
        </w:rPr>
      </w:pPr>
      <w:r w:rsidRPr="00C86CE2">
        <w:rPr>
          <w:b/>
          <w:bCs/>
        </w:rPr>
        <w:t xml:space="preserve"> Food Culture</w:t>
      </w:r>
    </w:p>
    <w:p w14:paraId="5955816B" w14:textId="77777777" w:rsidR="007D6B36" w:rsidRPr="00C86CE2" w:rsidRDefault="007D6B36" w:rsidP="007D6B36">
      <w:r w:rsidRPr="00C86CE2">
        <w:t>The social and cultural significance and practices of food are called food culture. It is an analysis of the selection, preparation, cooking, eating and sharing of food and the significance of these actions within the context of the food.</w:t>
      </w:r>
    </w:p>
    <w:p w14:paraId="4052BAC4" w14:textId="77777777" w:rsidR="007D6B36" w:rsidRPr="00C86CE2" w:rsidRDefault="007D6B36" w:rsidP="007D6B36">
      <w:r w:rsidRPr="00C86CE2">
        <w:t>The study done by Hussain et al. (2024) offers relevant evidence, as it has been shown that food practices among British Pakistanis are related to cultural practices and decision-making by the family. In a scoping review of culture as a determinant of eating behavior in British South Asians, Iqbal et al. (2023) also define food culture and cultural norms as key factors impacting eating behavior.</w:t>
      </w:r>
    </w:p>
    <w:p w14:paraId="40D3CECA" w14:textId="77777777" w:rsidR="007D6B36" w:rsidRPr="00C86CE2" w:rsidRDefault="007D6B36" w:rsidP="007D6B36">
      <w:pPr>
        <w:rPr>
          <w:b/>
          <w:bCs/>
        </w:rPr>
      </w:pPr>
      <w:r w:rsidRPr="00C86CE2">
        <w:rPr>
          <w:b/>
          <w:bCs/>
        </w:rPr>
        <w:lastRenderedPageBreak/>
        <w:t xml:space="preserve"> Cultural Identity</w:t>
      </w:r>
    </w:p>
    <w:p w14:paraId="18B0F034" w14:textId="77777777" w:rsidR="007D6B36" w:rsidRPr="00C86CE2" w:rsidRDefault="007D6B36" w:rsidP="007D6B36">
      <w:r w:rsidRPr="00C86CE2">
        <w:t>Cultural identity is an individual's relationship with cultural groups, traditions, values and social relationships. Migrants can have continuity and change in relation to their cultural identity.</w:t>
      </w:r>
    </w:p>
    <w:p w14:paraId="56FBC60B" w14:textId="77777777" w:rsidR="007D6B36" w:rsidRPr="00C86CE2" w:rsidRDefault="007D6B36" w:rsidP="007D6B36">
      <w:r w:rsidRPr="00C86CE2">
        <w:t>Gupta (2025) looks at the concept of identity by analyzing how identity is constructed, negotiated and assimilated as it changes among South Asian women in the UK. This is consistent with the idea that cultural identity is not static but can be shaped by social contexts.</w:t>
      </w:r>
    </w:p>
    <w:p w14:paraId="13E974F5" w14:textId="77777777" w:rsidR="007D6B36" w:rsidRPr="00C86CE2" w:rsidRDefault="007D6B36" w:rsidP="007D6B36">
      <w:r w:rsidRPr="00C86CE2">
        <w:t>Hanson et al. (2022) also show that one can talk about identity in South Asian communities in the UK. In their qualitative study of 13 middle-class South Asian participants, they explored how participants dealt with identity and health threats and identified similarities and differences among the South Asian group.</w:t>
      </w:r>
    </w:p>
    <w:p w14:paraId="7E389020" w14:textId="77777777" w:rsidR="007D6B36" w:rsidRPr="00C86CE2" w:rsidRDefault="007D6B36" w:rsidP="007D6B36">
      <w:pPr>
        <w:rPr>
          <w:b/>
          <w:bCs/>
        </w:rPr>
      </w:pPr>
      <w:r w:rsidRPr="00C86CE2">
        <w:rPr>
          <w:b/>
          <w:bCs/>
        </w:rPr>
        <w:t xml:space="preserve"> Food Practices</w:t>
      </w:r>
    </w:p>
    <w:p w14:paraId="5AFE1382" w14:textId="77777777" w:rsidR="007D6B36" w:rsidRPr="00C86CE2" w:rsidRDefault="007D6B36" w:rsidP="007D6B36">
      <w:r w:rsidRPr="00C86CE2">
        <w:t>Food practices are activities related to food in everyday life such as shopping, preparing, cooking, consuming and sharing food in the household and social context.</w:t>
      </w:r>
    </w:p>
    <w:p w14:paraId="603F540A" w14:textId="77777777" w:rsidR="007D6B36" w:rsidRPr="00C86CE2" w:rsidRDefault="007D6B36" w:rsidP="007D6B36">
      <w:pPr>
        <w:rPr>
          <w:b/>
          <w:bCs/>
        </w:rPr>
      </w:pPr>
    </w:p>
    <w:p w14:paraId="78880076" w14:textId="77777777" w:rsidR="007D6B36" w:rsidRPr="00C86CE2" w:rsidRDefault="007D6B36" w:rsidP="007D6B36"/>
    <w:p w14:paraId="1486A03D" w14:textId="77777777" w:rsidR="007D6B36" w:rsidRPr="00C86CE2" w:rsidRDefault="007D6B36" w:rsidP="007D6B36">
      <w:pPr>
        <w:pStyle w:val="Heading3"/>
      </w:pPr>
      <w:bookmarkStart w:id="20" w:name="_Toc241590547"/>
      <w:r w:rsidRPr="00C86CE2">
        <w:t xml:space="preserve">Dimensions of Food </w:t>
      </w:r>
      <w:r w:rsidRPr="00647F8E">
        <w:t>Culture</w:t>
      </w:r>
      <w:bookmarkEnd w:id="20"/>
    </w:p>
    <w:p w14:paraId="0BBDF0E5" w14:textId="77777777" w:rsidR="007D6B36" w:rsidRPr="00C86CE2" w:rsidRDefault="007D6B36" w:rsidP="007D6B36">
      <w:r w:rsidRPr="00C86CE2">
        <w:t>As shown in the literature review, there are several related dimensions of food culture: Traditional food practices, Family and social influence, Cultural norms, adaptation, and the wider food environment.</w:t>
      </w:r>
    </w:p>
    <w:p w14:paraId="10CF4587" w14:textId="77777777" w:rsidR="007D6B36" w:rsidRPr="00C86CE2" w:rsidRDefault="007D6B36" w:rsidP="007D6B36">
      <w:r w:rsidRPr="00C86CE2">
        <w:t>Hussain et al. (2024) identified that cultural practices from Pakistan had an impact on the food practices of British Pakistanis. Their qualitative study also revealed that family decision-making was important. This indicates that there are possibilities to repeat food culture in everyday household practices.</w:t>
      </w:r>
    </w:p>
    <w:p w14:paraId="7AAB18B1" w14:textId="77777777" w:rsidR="007D6B36" w:rsidRPr="00C86CE2" w:rsidRDefault="007D6B36" w:rsidP="007D6B36">
      <w:r w:rsidRPr="00C86CE2">
        <w:t xml:space="preserve">There are additional arguments from the intergenerational perspective based on Iqbal et al. (2024). They found that the older generation saw traditional food as healthy and convenient, and the younger British Pakistanis faced challenges in eating </w:t>
      </w:r>
      <w:r w:rsidRPr="00C86CE2">
        <w:lastRenderedPageBreak/>
        <w:t>alternative food at home. The discovery is significant since it demonstrates how the practices of food can be passed down through generations and can also become a site of intergenerational negotiation.</w:t>
      </w:r>
    </w:p>
    <w:p w14:paraId="10DF378A" w14:textId="77777777" w:rsidR="007D6B36" w:rsidRPr="00C86CE2" w:rsidRDefault="007D6B36" w:rsidP="007D6B36">
      <w:r w:rsidRPr="00C86CE2">
        <w:t>A recent wider scoping review by Iqbal (2023) supports the role of cultural norms in the eating habits of British South Asian people. This review highlights that food culture, social expectations, and food-related cultural practices are factors that impact dietary behavior. The evidence from this broader scope supports the British Pakistani studies, which are more focused.</w:t>
      </w:r>
    </w:p>
    <w:p w14:paraId="5E6258B6" w14:textId="77777777" w:rsidR="007D6B36" w:rsidRPr="00C86CE2" w:rsidRDefault="007D6B36" w:rsidP="007D6B36">
      <w:r w:rsidRPr="00C86CE2">
        <w:t>But the food culture doesn't have to be the same. Dey et al. (2023) discovered that in the UK and in Bahrain, the food consumption of South Asian diasporas would not only demand maintenance of the cultural attributes, but also adaptation of them. Their ideas of essentialism and boundary spanning clarify how migrants can incorporate parts of their own cultures but also to get accustomed to other cultural settings.</w:t>
      </w:r>
    </w:p>
    <w:p w14:paraId="7DF22511" w14:textId="77777777" w:rsidR="007D6B36" w:rsidRPr="00C86CE2" w:rsidRDefault="007D6B36" w:rsidP="007D6B36">
      <w:r w:rsidRPr="00C86CE2">
        <w:t>Based on this evidence, it is then suggested that continuity and adaptation should be considered as both dimensions of food culture.</w:t>
      </w:r>
    </w:p>
    <w:p w14:paraId="4D84ED0B" w14:textId="77777777" w:rsidR="007D6B36" w:rsidRPr="00C86CE2" w:rsidRDefault="007D6B36" w:rsidP="007D6B36">
      <w:pPr>
        <w:pStyle w:val="Heading3"/>
      </w:pPr>
      <w:bookmarkStart w:id="21" w:name="_Toc241590548"/>
      <w:r w:rsidRPr="00912DDD">
        <w:t xml:space="preserve">Family, </w:t>
      </w:r>
      <w:r w:rsidRPr="00647F8E">
        <w:t>Social</w:t>
      </w:r>
      <w:r w:rsidRPr="00912DDD">
        <w:t xml:space="preserve"> Influence and Intergenerational Food Practices</w:t>
      </w:r>
      <w:bookmarkEnd w:id="21"/>
    </w:p>
    <w:p w14:paraId="7F86A02D" w14:textId="77777777" w:rsidR="007D6B36" w:rsidRPr="00C86CE2" w:rsidRDefault="007D6B36" w:rsidP="007D6B36">
      <w:r w:rsidRPr="00C86CE2">
        <w:t>One of the most prevalent themes of literature reviewed was the concept of family. Iqbal et al. (2024) concluded that at the base of British Pakistanis' food-related health behaviors lay the family unit. The importance of traditional food was noted by the participants, whereas difficulties were noted in trying to eat alternative foods at home among the younger participants.</w:t>
      </w:r>
    </w:p>
    <w:p w14:paraId="6ABBCEBD" w14:textId="77777777" w:rsidR="007D6B36" w:rsidRPr="00C86CE2" w:rsidRDefault="007D6B36" w:rsidP="007D6B36">
      <w:r w:rsidRPr="00C86CE2">
        <w:t>Another component of British Pakistani food practices identified by Hussain et al. (2024) was family decision-making. The findings from these two qualitative studies are complementary to the argument of how household relationships and cultural expectations shape food practices.</w:t>
      </w:r>
    </w:p>
    <w:p w14:paraId="41F7142F" w14:textId="77777777" w:rsidR="007D6B36" w:rsidRPr="00C86CE2" w:rsidRDefault="007D6B36" w:rsidP="007D6B36">
      <w:proofErr w:type="spellStart"/>
      <w:r w:rsidRPr="00C86CE2">
        <w:t>Çoker</w:t>
      </w:r>
      <w:proofErr w:type="spellEnd"/>
      <w:r w:rsidRPr="00C86CE2">
        <w:t xml:space="preserve"> et al. (2024) offer another type of evidence. Their survey in the UK revealed that South Asian participants were more likely than White participants to cite the influence of friends and family in their food choices. The qualitative and quantitative evidence is thus in the same direction: social relationships play a role in food behavior.</w:t>
      </w:r>
    </w:p>
    <w:p w14:paraId="3ECE1BA7" w14:textId="77777777" w:rsidR="007D6B36" w:rsidRPr="00C86CE2" w:rsidRDefault="007D6B36" w:rsidP="007D6B36">
      <w:r w:rsidRPr="00C86CE2">
        <w:t xml:space="preserve">But the evidence also suggests that there are differences between generations because of social influence. Iqbal et al. (2024) identified that at times younger British Pakistani's were challenged in introducing alternative food into the home. These </w:t>
      </w:r>
      <w:r w:rsidRPr="00C86CE2">
        <w:lastRenderedPageBreak/>
        <w:t>indicate that in and through the family there is the potential for a process of cultural continuity and the potential for a process of cultural negotiation.</w:t>
      </w:r>
    </w:p>
    <w:p w14:paraId="0407A193" w14:textId="77777777" w:rsidR="007D6B36" w:rsidRPr="00C86CE2" w:rsidRDefault="007D6B36" w:rsidP="007D6B36">
      <w:r w:rsidRPr="00C86CE2">
        <w:t xml:space="preserve">Other examples of the significance of cultural and social practices in the lives of people of South Asian origin in the UK can be drawn from </w:t>
      </w:r>
      <w:proofErr w:type="spellStart"/>
      <w:r w:rsidRPr="00C86CE2">
        <w:t>Kwah</w:t>
      </w:r>
      <w:proofErr w:type="spellEnd"/>
      <w:r w:rsidRPr="00C86CE2">
        <w:t xml:space="preserve"> et al. (2025). In their research on the Pakistani and Bangladeshi communities, they discovered that cultural beliefs and practices had a positive as well as negative influence on the study of infant feeding practices and uncovered the social norms involved in infant feeding practices. The study is focused on infant feeding practices and not food culture in general, but there is therefore more evidence that food-related behavior can be influenced by cultural beliefs and community norms.</w:t>
      </w:r>
    </w:p>
    <w:p w14:paraId="33CE37F4" w14:textId="77777777" w:rsidR="007D6B36" w:rsidRPr="00C86CE2" w:rsidRDefault="007D6B36" w:rsidP="007D6B36">
      <w:pPr>
        <w:pStyle w:val="Heading3"/>
      </w:pPr>
      <w:bookmarkStart w:id="22" w:name="_Toc241590549"/>
      <w:r w:rsidRPr="00C86CE2">
        <w:t xml:space="preserve">Cultural </w:t>
      </w:r>
      <w:r w:rsidRPr="00647F8E">
        <w:t>Identity</w:t>
      </w:r>
      <w:r w:rsidRPr="00C86CE2">
        <w:t xml:space="preserve"> and Food-Related Identity</w:t>
      </w:r>
      <w:bookmarkEnd w:id="22"/>
    </w:p>
    <w:p w14:paraId="09456449" w14:textId="77777777" w:rsidR="007D6B36" w:rsidRPr="00C86CE2" w:rsidRDefault="007D6B36" w:rsidP="007D6B36">
      <w:r w:rsidRPr="00C86CE2">
        <w:t>The literature reveals that cultural identity among South Asian migrants can be understood in terms of several dimensions such as belonging, family connection, cultural continuity, inter-generational experience and inter-generational identity negotiation.</w:t>
      </w:r>
    </w:p>
    <w:p w14:paraId="4624F36D" w14:textId="77777777" w:rsidR="007D6B36" w:rsidRPr="00C86CE2" w:rsidRDefault="007D6B36" w:rsidP="007D6B36">
      <w:r w:rsidRPr="00C86CE2">
        <w:t>Gupta (2025) offers first-hand evidence from the UK, examining the shift in identity patterns of South Asian women. This study is qualitative, and it talks about changing identities in terms of women's experience, empowerment and diaspora. This reinforces the notion that South Asian identity in the UK is changing instead of staying the same over the generations.</w:t>
      </w:r>
    </w:p>
    <w:p w14:paraId="129B6B33" w14:textId="77777777" w:rsidR="007D6B36" w:rsidRPr="00C86CE2" w:rsidRDefault="007D6B36" w:rsidP="007D6B36">
      <w:r w:rsidRPr="00C86CE2">
        <w:t>In the same vein, Hanson et al. (2022) discovered that South Asian individuals were able to take different stances towards other South Asians and the broader British public. From their research, they've come to understand that identity can be shared and can also contain differences.</w:t>
      </w:r>
    </w:p>
    <w:p w14:paraId="6F6C4BC1" w14:textId="77777777" w:rsidR="007D6B36" w:rsidRPr="00C86CE2" w:rsidRDefault="007D6B36" w:rsidP="007D6B36">
      <w:r w:rsidRPr="00C86CE2">
        <w:t>Another layer of this process is food. Chattopadhyay and Sengupta Sinha (2024) believe that food serves as a crucial symbol of community identity in migrant communities. They have been analyzing cookbooks written by South Asian diasporic women, outlining how recipes, ingredients, cooking and culinary memory can link up with diasporic identity.</w:t>
      </w:r>
    </w:p>
    <w:p w14:paraId="28A32F37" w14:textId="77777777" w:rsidR="007D6B36" w:rsidRDefault="007D6B36" w:rsidP="007D6B36">
      <w:r>
        <w:t>Additionally, Chowdhury (2023) discusses the complexities of food, memory, family and South Asian identity in an autoethnographic narrative. The study illustrates that one can gain insight into social relationships, family histories and identity from everyday food practices.</w:t>
      </w:r>
    </w:p>
    <w:p w14:paraId="17570D73" w14:textId="77777777" w:rsidR="007D6B36" w:rsidRPr="00C86CE2" w:rsidRDefault="007D6B36" w:rsidP="007D6B36">
      <w:r>
        <w:lastRenderedPageBreak/>
        <w:t>The research suggests that it is not the continuation of traditional food, but also food-related identity. Food can also trigger memories, familial connections, sense of belonging, and can be given meanings</w:t>
      </w:r>
      <w:r w:rsidRPr="00C86CE2">
        <w:t>.</w:t>
      </w:r>
    </w:p>
    <w:p w14:paraId="01ABBEA9" w14:textId="77777777" w:rsidR="007D6B36" w:rsidRPr="00C86CE2" w:rsidRDefault="007D6B36" w:rsidP="007D6B36">
      <w:pPr>
        <w:pStyle w:val="Heading3"/>
      </w:pPr>
      <w:bookmarkStart w:id="23" w:name="_Toc241590550"/>
      <w:r w:rsidRPr="00C86CE2">
        <w:t xml:space="preserve">Food </w:t>
      </w:r>
      <w:r w:rsidRPr="00647F8E">
        <w:t>Culture</w:t>
      </w:r>
      <w:r w:rsidRPr="00C86CE2">
        <w:t xml:space="preserve"> and Cultural Continuity</w:t>
      </w:r>
      <w:bookmarkEnd w:id="23"/>
    </w:p>
    <w:p w14:paraId="34BE109E" w14:textId="77777777" w:rsidR="007D6B36" w:rsidRPr="00C86CE2" w:rsidRDefault="007D6B36" w:rsidP="007D6B36">
      <w:r w:rsidRPr="00C86CE2">
        <w:t>The role of food culture is an important one in keeping a connection with cultural background. For British Pakistani families, traditional food continued to hold significance, especially for the older generations, as reported by Iqbal et al. (2024). Also, Hussain et al. (2024) discovered that food practices are associated with cultural practices in Pakistan.</w:t>
      </w:r>
    </w:p>
    <w:p w14:paraId="7A905237" w14:textId="77777777" w:rsidR="007D6B36" w:rsidRPr="00C86CE2" w:rsidRDefault="007D6B36" w:rsidP="007D6B36">
      <w:r w:rsidRPr="00C86CE2">
        <w:t>Chattopadhyay and Sengupta Sinha (2024) take this argument further, analyzing diasporic literature and cookbooks. They illustrate the power of food as a symbol of collective identity and as a link with cultural tradition.</w:t>
      </w:r>
    </w:p>
    <w:p w14:paraId="0DAF1081" w14:textId="77777777" w:rsidR="007D6B36" w:rsidRPr="00C86CE2" w:rsidRDefault="007D6B36" w:rsidP="007D6B36">
      <w:r w:rsidRPr="00C86CE2">
        <w:t>However, Shum (2023) offers comparative diaspora evidence, but in the context of South Asians in Hong Kong as opposed to the UK. The study introduces the term ‘performing culinary diaspora' and explores the ways in which South Asians employ food to express their diasporic identity and to forge culinary experiences with the host population. It serves the broader theme that food can be employed as a means of asserting and negotiating diasporic identity and that the various geographical contexts imply that findings are not directly applicable to the UK.</w:t>
      </w:r>
    </w:p>
    <w:p w14:paraId="1018D68B" w14:textId="77777777" w:rsidR="007D6B36" w:rsidRPr="00C86CE2" w:rsidRDefault="007D6B36" w:rsidP="007D6B36">
      <w:r w:rsidRPr="00C86CE2">
        <w:t>Thus, food culture can offer continuity, but it cannot be said that it offers total preservation of the past as such.</w:t>
      </w:r>
    </w:p>
    <w:p w14:paraId="23EB5662" w14:textId="77777777" w:rsidR="007D6B36" w:rsidRPr="00C86CE2" w:rsidRDefault="007D6B36" w:rsidP="007D6B36">
      <w:pPr>
        <w:pStyle w:val="Heading3"/>
      </w:pPr>
      <w:bookmarkStart w:id="24" w:name="_Toc241590551"/>
      <w:r w:rsidRPr="00C86CE2">
        <w:t>Food Culture, Adaptation and Change</w:t>
      </w:r>
      <w:bookmarkEnd w:id="24"/>
    </w:p>
    <w:p w14:paraId="165DB6CF" w14:textId="77777777" w:rsidR="007D6B36" w:rsidRPr="00C86CE2" w:rsidRDefault="007D6B36" w:rsidP="007D6B36">
      <w:r w:rsidRPr="00C86CE2">
        <w:t>There is literature evidence of adaptation too. Dey et al. (2023) show that South Asian diasporas can adopt and adapt cultural attributes through acculturation. This is essential as it poses a challenge to an over-simplified dichotomy between the idea that migrants preserve their own culture or that they integrate entirely into the culture of their host country.</w:t>
      </w:r>
    </w:p>
    <w:p w14:paraId="243AE86F" w14:textId="77777777" w:rsidR="007D6B36" w:rsidRPr="00C86CE2" w:rsidRDefault="007D6B36" w:rsidP="007D6B36">
      <w:r w:rsidRPr="00C86CE2">
        <w:t>James, Vijayakumaran and Gayathri (2024) also present evidence related to food access and acculturation of South Asian people in the United Kingdom and in India. Their photovoice study shows that leaving the family home can impact food intake, and access to food and food acculturation are important concerns for the participants. The results of this study should be interpreted with caution, however, since it is an abstract of a small photovoice study.</w:t>
      </w:r>
    </w:p>
    <w:p w14:paraId="02F3BDE0" w14:textId="77777777" w:rsidR="007D6B36" w:rsidRPr="00C86CE2" w:rsidRDefault="007D6B36" w:rsidP="007D6B36">
      <w:r w:rsidRPr="00C86CE2">
        <w:lastRenderedPageBreak/>
        <w:t xml:space="preserve">Another approach has been taken by Mroz, </w:t>
      </w:r>
      <w:proofErr w:type="spellStart"/>
      <w:r w:rsidRPr="00C86CE2">
        <w:t>Mazhary</w:t>
      </w:r>
      <w:proofErr w:type="spellEnd"/>
      <w:r w:rsidRPr="00C86CE2">
        <w:t xml:space="preserve"> and Painter (2024), who looked at food media. They analyzed 77 recipe videos from YouTube and discovered that there were far more recipes for meat than for vegetarian or vegan recipes. Meat consumption was normalized in their discourse analysis as they made meat look normal, natural, necessary, and enjoyable.</w:t>
      </w:r>
    </w:p>
    <w:p w14:paraId="5BC7DBCB" w14:textId="77777777" w:rsidR="007D6B36" w:rsidRPr="00C86CE2" w:rsidRDefault="007D6B36" w:rsidP="007D6B36">
      <w:r w:rsidRPr="00C86CE2">
        <w:t>The finding is thus indicative of the effect of food culture both in terms of household traditions and the broader food context. Migration does not eradicate traditional practices of food; traditional practices of food can be maintained, modified and renegotiated.</w:t>
      </w:r>
    </w:p>
    <w:p w14:paraId="1D47D50A" w14:textId="77777777" w:rsidR="007D6B36" w:rsidRPr="00C86CE2" w:rsidRDefault="007D6B36" w:rsidP="007D6B36">
      <w:pPr>
        <w:pStyle w:val="Heading2"/>
      </w:pPr>
      <w:bookmarkStart w:id="25" w:name="_Toc241590552"/>
      <w:r w:rsidRPr="00C86CE2">
        <w:t>3.</w:t>
      </w:r>
      <w:r>
        <w:t xml:space="preserve">4 </w:t>
      </w:r>
      <w:r w:rsidRPr="00647F8E">
        <w:t>Analysis</w:t>
      </w:r>
      <w:r w:rsidRPr="00C86CE2">
        <w:t xml:space="preserve"> and Discussion</w:t>
      </w:r>
      <w:bookmarkEnd w:id="25"/>
    </w:p>
    <w:p w14:paraId="67C4A664" w14:textId="77777777" w:rsidR="007D6B36" w:rsidRPr="00C86CE2" w:rsidRDefault="007D6B36" w:rsidP="007D6B36">
      <w:r w:rsidRPr="00C86CE2">
        <w:t>The literature search has shown that there is a relation between food culture and cultural identity, but the relation is not straightforward.</w:t>
      </w:r>
    </w:p>
    <w:p w14:paraId="7E302849" w14:textId="77777777" w:rsidR="007D6B36" w:rsidRPr="00C86CE2" w:rsidRDefault="007D6B36" w:rsidP="007D6B36">
      <w:r w:rsidRPr="00C86CE2">
        <w:t>First, there is literature evidence for cultural continuity. Iqbal et al. (2024) and Hussain et al. (2024) demonstrate the ongoing significance of cultural norms of food practices amongst British Pakistanis. The results indicate that food has a role in maintaining ties with family and cultural backgrounds for migrants.</w:t>
      </w:r>
    </w:p>
    <w:p w14:paraId="1886702F" w14:textId="77777777" w:rsidR="007D6B36" w:rsidRPr="00C86CE2" w:rsidRDefault="007D6B36" w:rsidP="007D6B36">
      <w:r w:rsidRPr="00C86CE2">
        <w:t xml:space="preserve">Second, the evidence confirms the value of social relationships with friends and family; </w:t>
      </w:r>
      <w:proofErr w:type="spellStart"/>
      <w:r w:rsidRPr="00C86CE2">
        <w:t>Çoker</w:t>
      </w:r>
      <w:proofErr w:type="spellEnd"/>
      <w:r w:rsidRPr="00C86CE2">
        <w:t xml:space="preserve"> et al. (2024) illustrate how friends and family influence food choices for South Asian respondents, while Iqbal et al. (2024) and Hussain et al. (2024) offer more qualitative detail on the role of family influence. So, food culture should be considered not only as a practice of the people but as a social practice.</w:t>
      </w:r>
    </w:p>
    <w:p w14:paraId="788A71B2" w14:textId="77777777" w:rsidR="007D6B36" w:rsidRPr="00C86CE2" w:rsidRDefault="007D6B36" w:rsidP="007D6B36">
      <w:r w:rsidRPr="00C86CE2">
        <w:t>Thirdly, adaptation and negotiation are reflected in the literature. Dey et al. (2023) show that South Asian diasporas can adopt and adapt cultural attributes. This does not imply that one must reject the host culture if one adheres to traditional foods. A migrant may keep some practices and modify others.</w:t>
      </w:r>
    </w:p>
    <w:p w14:paraId="7238A376" w14:textId="77777777" w:rsidR="007D6B36" w:rsidRPr="00C86CE2" w:rsidRDefault="007D6B36" w:rsidP="007D6B36">
      <w:r w:rsidRPr="00C86CE2">
        <w:t>It is crucial to promote cultural identity. If there is a possibility for change in food practice but not in cultural connection, then cultural identity must not be considered as a set of traditional practices. Rather, it can be seen as something that is maintained and negotiated in daily life.</w:t>
      </w:r>
    </w:p>
    <w:p w14:paraId="01E3D1FE" w14:textId="77777777" w:rsidR="007D6B36" w:rsidRPr="00C86CE2" w:rsidRDefault="007D6B36" w:rsidP="007D6B36">
      <w:r w:rsidRPr="00C86CE2">
        <w:lastRenderedPageBreak/>
        <w:t>There is also evidence that shows that there are generational differences that are important. Iqbal et al. (2024) found variations in healthy eating beliefs and food practices between the first, second and younger generations of British Pakistanis. Youth participants indicated problems in the home with eating alternative foods. This means that there is a possibility that food can be a point of discussion between generations.</w:t>
      </w:r>
    </w:p>
    <w:p w14:paraId="1BFBB4F3" w14:textId="77777777" w:rsidR="007D6B36" w:rsidRPr="00C86CE2" w:rsidRDefault="007D6B36" w:rsidP="007D6B36">
      <w:r w:rsidRPr="00C86CE2">
        <w:t>There are some limitations to the evidence base, however. There is a lot of research specific to the UK, with many studies targeting British Pakistanis, in particular. Thus, results obtained from British Pakistani respondents should not be taken as representative of all South Asian migrant communities. The larger community of South Asians consist of Indians, Pakistanis, Bangladeshis, Sri Lankans and others from diverse cultural and religious backgrounds.</w:t>
      </w:r>
    </w:p>
    <w:p w14:paraId="2259802F" w14:textId="77777777" w:rsidR="007D6B36" w:rsidRPr="00C86CE2" w:rsidRDefault="007D6B36" w:rsidP="007D6B36">
      <w:r w:rsidRPr="00C86CE2">
        <w:t xml:space="preserve">In addition, there are methodological variations across studies. Iqbal et al. (2024) and Hussain et al. (2024) use qualitative approaches, </w:t>
      </w:r>
      <w:proofErr w:type="spellStart"/>
      <w:r w:rsidRPr="00C86CE2">
        <w:t>Çoker</w:t>
      </w:r>
      <w:proofErr w:type="spellEnd"/>
      <w:r w:rsidRPr="00C86CE2">
        <w:t xml:space="preserve"> et al. (2024) use survey data, Mroz et al. (2024) analyze media content, and James et al. (2024) use photovoice. The advantage of this diversity is that it yields different types of evidence, but the disadvantage is that evidence is not always directly comparable.</w:t>
      </w:r>
    </w:p>
    <w:p w14:paraId="5E975481" w14:textId="77777777" w:rsidR="007D6B36" w:rsidRPr="00C86CE2" w:rsidRDefault="007D6B36" w:rsidP="007D6B36">
      <w:r w:rsidRPr="00C86CE2">
        <w:t>The overall message to be taken from the literature is thus that food culture can be a cultural continuity as well as cultural negotiation. Family and cultural ties may be maintained through traditional foods, and social context, migration and the passing of generations can contribute to adaptation.</w:t>
      </w:r>
    </w:p>
    <w:p w14:paraId="6E91B300" w14:textId="77777777" w:rsidR="007D6B36" w:rsidRPr="00C86CE2" w:rsidRDefault="007D6B36" w:rsidP="007D6B36">
      <w:pPr>
        <w:pStyle w:val="Heading2"/>
      </w:pPr>
      <w:bookmarkStart w:id="26" w:name="_Toc241590553"/>
      <w:r w:rsidRPr="00C86CE2">
        <w:t>3.</w:t>
      </w:r>
      <w:r>
        <w:t>5</w:t>
      </w:r>
      <w:r w:rsidRPr="00C86CE2">
        <w:t xml:space="preserve"> Research Gaps and Contributions</w:t>
      </w:r>
      <w:bookmarkEnd w:id="26"/>
    </w:p>
    <w:p w14:paraId="668CF48B" w14:textId="77777777" w:rsidR="007D6B36" w:rsidRPr="00C86CE2" w:rsidRDefault="007D6B36" w:rsidP="007D6B36">
      <w:r w:rsidRPr="00C86CE2">
        <w:t xml:space="preserve"> There is a need to further develop research that takes account of the diversity of South Asian migrant communities in the UK. There is existing research that can provide useful evidence, but much of the UK research is on specific groups. In the UK, most research on food focuses on the relationship between food and health and dietary behavior and does not investigate food culture and cultural identity in tandem. Further evidence from Iqbal et al., 2023; Iqbal et al., 2024 and Hussain et al., 2024 was found to be relevant towards cultural food practices and dietary behavior, but further studies focusing on the direct relationship between food culture and cultural identity are still needed. Additional studies to explore intergenerational differences are needed. Iqbal et al. (2024) show that there may be generational differences in food beliefs and experiences, but such differences could also have implications for cultural belonging and identity, which requires further research. Research around food culture as a process of continuity/change is needed. Conceptual frameworks useful in understanding </w:t>
      </w:r>
      <w:r w:rsidRPr="00C86CE2">
        <w:lastRenderedPageBreak/>
        <w:t>the processes of essentialism and boundary spanning as outlined by Dey et al. (2023) would benefit from further UK-specific research that might delve into the dynamics of these processes in everyday migrant life. A need exists to link food practices research to the wider food culture studies. In the literature on changes in South Asian identities in the UK, Gupta (2025) focuses on this issue, and articles about food tend to focus on dietary behavior. This can help to bring these areas together and help us to understand the role of food in identity.</w:t>
      </w:r>
    </w:p>
    <w:p w14:paraId="488E67EA" w14:textId="77777777" w:rsidR="007D6B36" w:rsidRPr="00C86CE2" w:rsidRDefault="007D6B36" w:rsidP="007D6B36">
      <w:r w:rsidRPr="00C86CE2">
        <w:t>The contribution of the present review is thus to look at the dimensions of food culture, the dimensions of cultural identity and the role of food culture in shaping cultural identity among the migrants from South Asian countries in the UK.</w:t>
      </w:r>
    </w:p>
    <w:p w14:paraId="1A3559AC" w14:textId="77777777" w:rsidR="007D6B36" w:rsidRPr="00C86CE2" w:rsidRDefault="007D6B36" w:rsidP="007D6B36">
      <w:pPr>
        <w:pStyle w:val="Heading2"/>
      </w:pPr>
      <w:bookmarkStart w:id="27" w:name="_Toc241590554"/>
      <w:r w:rsidRPr="00C86CE2">
        <w:t>3.</w:t>
      </w:r>
      <w:r>
        <w:t xml:space="preserve">6 </w:t>
      </w:r>
      <w:r w:rsidRPr="00C86CE2">
        <w:t xml:space="preserve">Conclusion </w:t>
      </w:r>
      <w:r w:rsidRPr="00647F8E">
        <w:t>and</w:t>
      </w:r>
      <w:r w:rsidRPr="00C86CE2">
        <w:t xml:space="preserve"> Limitations</w:t>
      </w:r>
      <w:bookmarkEnd w:id="27"/>
    </w:p>
    <w:p w14:paraId="0BBDD0E9" w14:textId="77777777" w:rsidR="007D6B36" w:rsidRPr="00C86CE2" w:rsidRDefault="007D6B36" w:rsidP="007D6B36">
      <w:r w:rsidRPr="00C86CE2">
        <w:t>The findings of this narrative review suggest that food culture plays an important role in relation to cultural identity in the South Asian migrant communities in the UK. Traditional food practices, family and social influence, cultural norms, cultural continuity, adaptation and identity negotiation are the main dimensions that are identified.</w:t>
      </w:r>
    </w:p>
    <w:p w14:paraId="0C0441AE" w14:textId="77777777" w:rsidR="007D6B36" w:rsidRPr="00C86CE2" w:rsidRDefault="007D6B36" w:rsidP="007D6B36">
      <w:r w:rsidRPr="00C86CE2">
        <w:t>There is evidence that food can help to sustain cultural links within the family and through the day-to-day routines. Meanwhile, the migration process can also result in changes in food practices as migrants encounter new social contexts, food availability, media influences and generational differences.</w:t>
      </w:r>
    </w:p>
    <w:p w14:paraId="1A586B2F" w14:textId="77777777" w:rsidR="007D6B36" w:rsidRPr="00C86CE2" w:rsidRDefault="007D6B36" w:rsidP="007D6B36">
      <w:r w:rsidRPr="00C86CE2">
        <w:t>There is therefore no simple traditional versus modern explanation for literature. Rather, continuity and change serve as the means to the end of food culture. There is also the possibility of a dynamic cultural identity in that people can preserve some cultural practices and adopt others.</w:t>
      </w:r>
    </w:p>
    <w:p w14:paraId="4D149BAD" w14:textId="77777777" w:rsidR="007D6B36" w:rsidRPr="00C86CE2" w:rsidRDefault="007D6B36" w:rsidP="007D6B36">
      <w:r w:rsidRPr="00C86CE2">
        <w:t>The review has some shortcomings, though. There is a lack of uniformity in evidence across all South Asian communities in the UK, and certain studies specifically address British Pakistanis. Other studies have been limited to just health or single food behavior, rather than cultural identity. Furthermore, some of the diaspora studies that have been compared with the study are not set in the UK and are not therefore directly comparable to the UK South Asian migrant population.</w:t>
      </w:r>
    </w:p>
    <w:p w14:paraId="2AA51F21" w14:textId="77777777" w:rsidR="007D6B36" w:rsidRPr="00C86CE2" w:rsidRDefault="007D6B36" w:rsidP="007D6B36">
      <w:r w:rsidRPr="00C86CE2">
        <w:t>In conclusion, the reading literature offers a foundation of thought on how food culture is an ordinary everyday practice that could help South Asian migrants to establish cultural ties, engage in social relations and negotiate their cultural identity in the UK.</w:t>
      </w:r>
    </w:p>
    <w:p w14:paraId="1BA80251" w14:textId="77777777" w:rsidR="007D6B36" w:rsidRDefault="007D6B36" w:rsidP="007D6B36">
      <w:pPr>
        <w:pStyle w:val="Heading2"/>
        <w:rPr>
          <w:b/>
        </w:rPr>
      </w:pPr>
      <w:bookmarkStart w:id="28" w:name="_Toc241590555"/>
      <w:r w:rsidRPr="00647F8E">
        <w:lastRenderedPageBreak/>
        <w:t>References</w:t>
      </w:r>
      <w:r>
        <w:t xml:space="preserve"> (</w:t>
      </w:r>
      <w:r w:rsidRPr="00647F8E">
        <w:t>Part 3</w:t>
      </w:r>
      <w:r>
        <w:t>):</w:t>
      </w:r>
      <w:bookmarkEnd w:id="28"/>
    </w:p>
    <w:p w14:paraId="176DA24A" w14:textId="77777777" w:rsidR="007D6B36" w:rsidRPr="00C86CE2" w:rsidRDefault="007D6B36" w:rsidP="007D6B36">
      <w:pPr>
        <w:pStyle w:val="ListParagraph"/>
        <w:numPr>
          <w:ilvl w:val="0"/>
          <w:numId w:val="4"/>
        </w:numPr>
        <w:spacing w:line="360" w:lineRule="auto"/>
        <w:jc w:val="both"/>
        <w:rPr>
          <w:rFonts w:cs="Times New Roman"/>
        </w:rPr>
      </w:pPr>
      <w:proofErr w:type="spellStart"/>
      <w:r w:rsidRPr="00C86CE2">
        <w:rPr>
          <w:rFonts w:cs="Times New Roman"/>
          <w:b/>
          <w:bCs/>
        </w:rPr>
        <w:t>Poeggel</w:t>
      </w:r>
      <w:proofErr w:type="spellEnd"/>
      <w:r w:rsidRPr="00C86CE2">
        <w:rPr>
          <w:rFonts w:cs="Times New Roman"/>
          <w:b/>
          <w:bCs/>
        </w:rPr>
        <w:t>, K. (</w:t>
      </w:r>
      <w:proofErr w:type="gramStart"/>
      <w:r w:rsidRPr="00C86CE2">
        <w:rPr>
          <w:rFonts w:cs="Times New Roman"/>
          <w:b/>
          <w:bCs/>
        </w:rPr>
        <w:t>2022)</w:t>
      </w:r>
      <w:r w:rsidRPr="00C86CE2">
        <w:rPr>
          <w:rFonts w:cs="Times New Roman"/>
        </w:rPr>
        <w:t xml:space="preserve"> ‘</w:t>
      </w:r>
      <w:proofErr w:type="gramEnd"/>
      <w:r w:rsidRPr="00C86CE2">
        <w:rPr>
          <w:rFonts w:cs="Times New Roman"/>
        </w:rPr>
        <w:t xml:space="preserve">You Are Where You Eat: A Theoretical Perspective on Why Identity Matters in Local Food </w:t>
      </w:r>
      <w:proofErr w:type="gramStart"/>
      <w:r w:rsidRPr="00C86CE2">
        <w:rPr>
          <w:rFonts w:cs="Times New Roman"/>
        </w:rPr>
        <w:t>Groups’,</w:t>
      </w:r>
      <w:proofErr w:type="gramEnd"/>
      <w:r w:rsidRPr="00C86CE2">
        <w:rPr>
          <w:rFonts w:cs="Times New Roman"/>
        </w:rPr>
        <w:t xml:space="preserve"> </w:t>
      </w:r>
      <w:r w:rsidRPr="00C86CE2">
        <w:rPr>
          <w:rFonts w:cs="Times New Roman"/>
          <w:i/>
          <w:iCs/>
        </w:rPr>
        <w:t>Frontiers in Sustainable Food Systems</w:t>
      </w:r>
      <w:r w:rsidRPr="00C86CE2">
        <w:rPr>
          <w:rFonts w:cs="Times New Roman"/>
        </w:rPr>
        <w:t xml:space="preserve">, 6, 782556. DOI: 10.3389/fsufs.2022.782556. </w:t>
      </w:r>
    </w:p>
    <w:p w14:paraId="63F7A196" w14:textId="77777777" w:rsidR="007D6B36" w:rsidRPr="00C86CE2" w:rsidRDefault="007D6B36" w:rsidP="007D6B36">
      <w:pPr>
        <w:pStyle w:val="ListParagraph"/>
        <w:numPr>
          <w:ilvl w:val="0"/>
          <w:numId w:val="4"/>
        </w:numPr>
        <w:spacing w:line="360" w:lineRule="auto"/>
        <w:jc w:val="both"/>
        <w:rPr>
          <w:rFonts w:cs="Times New Roman"/>
        </w:rPr>
      </w:pPr>
      <w:r w:rsidRPr="00C86CE2">
        <w:rPr>
          <w:rFonts w:cs="Times New Roman"/>
          <w:b/>
          <w:bCs/>
        </w:rPr>
        <w:t>Iqbal, S. (2023)</w:t>
      </w:r>
      <w:r w:rsidRPr="00C86CE2">
        <w:rPr>
          <w:rFonts w:cs="Times New Roman"/>
        </w:rPr>
        <w:t xml:space="preserve"> ‘Cultural factors influencing the eating </w:t>
      </w:r>
      <w:proofErr w:type="spellStart"/>
      <w:r w:rsidRPr="00C86CE2">
        <w:rPr>
          <w:rFonts w:cs="Times New Roman"/>
        </w:rPr>
        <w:t>behaviours</w:t>
      </w:r>
      <w:proofErr w:type="spellEnd"/>
      <w:r w:rsidRPr="00C86CE2">
        <w:rPr>
          <w:rFonts w:cs="Times New Roman"/>
        </w:rPr>
        <w:t xml:space="preserve"> of type 2 diabetes in the British South-Asian population: a scoping review of the literature’, </w:t>
      </w:r>
      <w:r w:rsidRPr="00C86CE2">
        <w:rPr>
          <w:rFonts w:cs="Times New Roman"/>
          <w:i/>
          <w:iCs/>
        </w:rPr>
        <w:t>Journal of Global Health Reports</w:t>
      </w:r>
      <w:r w:rsidRPr="00C86CE2">
        <w:rPr>
          <w:rFonts w:cs="Times New Roman"/>
        </w:rPr>
        <w:t xml:space="preserve">, 7, e2023050. DOI: 10.29392/001c.84191. </w:t>
      </w:r>
    </w:p>
    <w:p w14:paraId="2DFED3E1" w14:textId="77777777" w:rsidR="007D6B36" w:rsidRPr="00C86CE2" w:rsidRDefault="007D6B36" w:rsidP="007D6B36">
      <w:pPr>
        <w:pStyle w:val="ListParagraph"/>
        <w:numPr>
          <w:ilvl w:val="0"/>
          <w:numId w:val="4"/>
        </w:numPr>
        <w:spacing w:line="360" w:lineRule="auto"/>
        <w:jc w:val="both"/>
        <w:rPr>
          <w:rFonts w:cs="Times New Roman"/>
        </w:rPr>
      </w:pPr>
      <w:r w:rsidRPr="00C86CE2">
        <w:rPr>
          <w:rFonts w:cs="Times New Roman"/>
          <w:b/>
          <w:bCs/>
        </w:rPr>
        <w:t>Iqbal, S., Iqbal, H. and Kagan, C. (2024)</w:t>
      </w:r>
      <w:r w:rsidRPr="00C86CE2">
        <w:rPr>
          <w:rFonts w:cs="Times New Roman"/>
        </w:rPr>
        <w:t xml:space="preserve"> ‘Intergenerational differences in healthy eating beliefs among British Pakistanis with type 2 diabetes’, </w:t>
      </w:r>
      <w:r w:rsidRPr="00C86CE2">
        <w:rPr>
          <w:rFonts w:cs="Times New Roman"/>
          <w:i/>
          <w:iCs/>
        </w:rPr>
        <w:t>Diabetic Medicine</w:t>
      </w:r>
      <w:r w:rsidRPr="00C86CE2">
        <w:rPr>
          <w:rFonts w:cs="Times New Roman"/>
        </w:rPr>
        <w:t xml:space="preserve">, 41(4), e15222. DOI: 10.1111/dme.15222. </w:t>
      </w:r>
    </w:p>
    <w:p w14:paraId="24133728" w14:textId="77777777" w:rsidR="007D6B36" w:rsidRPr="00C86CE2" w:rsidRDefault="007D6B36" w:rsidP="007D6B36">
      <w:pPr>
        <w:pStyle w:val="ListParagraph"/>
        <w:numPr>
          <w:ilvl w:val="0"/>
          <w:numId w:val="4"/>
        </w:numPr>
        <w:spacing w:line="360" w:lineRule="auto"/>
        <w:jc w:val="both"/>
        <w:rPr>
          <w:rFonts w:cs="Times New Roman"/>
        </w:rPr>
      </w:pPr>
      <w:r w:rsidRPr="00C86CE2">
        <w:rPr>
          <w:rFonts w:cs="Times New Roman"/>
          <w:b/>
          <w:bCs/>
        </w:rPr>
        <w:t>Hussain, B., Shaw, I. and Timmons, S. (2024)</w:t>
      </w:r>
      <w:r w:rsidRPr="00C86CE2">
        <w:rPr>
          <w:rFonts w:cs="Times New Roman"/>
        </w:rPr>
        <w:t xml:space="preserve"> ‘Food and exercise practices among British Pakistanis; how can Bourdieu’s theory of practice help to understand them?’, </w:t>
      </w:r>
      <w:r w:rsidRPr="00C86CE2">
        <w:rPr>
          <w:rFonts w:cs="Times New Roman"/>
          <w:i/>
          <w:iCs/>
        </w:rPr>
        <w:t>Perspectives in Public Health</w:t>
      </w:r>
      <w:r w:rsidRPr="00C86CE2">
        <w:rPr>
          <w:rFonts w:cs="Times New Roman"/>
        </w:rPr>
        <w:t xml:space="preserve">, 146(3), pp.149–157. DOI: 10.1177/17579139241270754. </w:t>
      </w:r>
    </w:p>
    <w:p w14:paraId="1037B9E6" w14:textId="77777777" w:rsidR="007D6B36" w:rsidRPr="00C86CE2" w:rsidRDefault="007D6B36" w:rsidP="007D6B36">
      <w:pPr>
        <w:pStyle w:val="ListParagraph"/>
        <w:numPr>
          <w:ilvl w:val="0"/>
          <w:numId w:val="4"/>
        </w:numPr>
        <w:spacing w:line="360" w:lineRule="auto"/>
        <w:jc w:val="both"/>
        <w:rPr>
          <w:rFonts w:cs="Times New Roman"/>
        </w:rPr>
      </w:pPr>
      <w:proofErr w:type="spellStart"/>
      <w:r w:rsidRPr="00C86CE2">
        <w:rPr>
          <w:rFonts w:cs="Times New Roman"/>
          <w:b/>
          <w:bCs/>
        </w:rPr>
        <w:t>Çoker</w:t>
      </w:r>
      <w:proofErr w:type="spellEnd"/>
      <w:r w:rsidRPr="00C86CE2">
        <w:rPr>
          <w:rFonts w:cs="Times New Roman"/>
          <w:b/>
          <w:bCs/>
        </w:rPr>
        <w:t xml:space="preserve">, E.N., </w:t>
      </w:r>
      <w:proofErr w:type="spellStart"/>
      <w:r w:rsidRPr="00C86CE2">
        <w:rPr>
          <w:rFonts w:cs="Times New Roman"/>
          <w:b/>
          <w:bCs/>
        </w:rPr>
        <w:t>Pechey</w:t>
      </w:r>
      <w:proofErr w:type="spellEnd"/>
      <w:r w:rsidRPr="00C86CE2">
        <w:rPr>
          <w:rFonts w:cs="Times New Roman"/>
          <w:b/>
          <w:bCs/>
        </w:rPr>
        <w:t>, R. and Jebb, S.A. (2024)</w:t>
      </w:r>
      <w:r w:rsidRPr="00C86CE2">
        <w:rPr>
          <w:rFonts w:cs="Times New Roman"/>
        </w:rPr>
        <w:t xml:space="preserve"> ‘Ethnic differences in meat consumption attitudes, norms and behaviors: A survey of White, South Asian and Black ethnic groups in the UK’, </w:t>
      </w:r>
      <w:r w:rsidRPr="00C86CE2">
        <w:rPr>
          <w:rFonts w:cs="Times New Roman"/>
          <w:i/>
          <w:iCs/>
        </w:rPr>
        <w:t>Appetite</w:t>
      </w:r>
      <w:r w:rsidRPr="00C86CE2">
        <w:rPr>
          <w:rFonts w:cs="Times New Roman"/>
        </w:rPr>
        <w:t xml:space="preserve">, 198, 107359. DOI: 10.1016/j.appet.2024.107359. </w:t>
      </w:r>
    </w:p>
    <w:p w14:paraId="44E36128" w14:textId="77777777" w:rsidR="007D6B36" w:rsidRPr="00C86CE2" w:rsidRDefault="007D6B36" w:rsidP="007D6B36">
      <w:pPr>
        <w:pStyle w:val="ListParagraph"/>
        <w:numPr>
          <w:ilvl w:val="0"/>
          <w:numId w:val="4"/>
        </w:numPr>
        <w:spacing w:line="360" w:lineRule="auto"/>
        <w:jc w:val="both"/>
        <w:rPr>
          <w:rFonts w:cs="Times New Roman"/>
        </w:rPr>
      </w:pPr>
      <w:r w:rsidRPr="00C86CE2">
        <w:rPr>
          <w:rFonts w:cs="Times New Roman"/>
          <w:b/>
          <w:bCs/>
        </w:rPr>
        <w:t>Dey, B.L., Nasef, Y.T., Brown, D.M. et al. (2023)</w:t>
      </w:r>
      <w:r w:rsidRPr="00C86CE2">
        <w:rPr>
          <w:rFonts w:cs="Times New Roman"/>
        </w:rPr>
        <w:t xml:space="preserve"> ‘(</w:t>
      </w:r>
      <w:proofErr w:type="spellStart"/>
      <w:r w:rsidRPr="00C86CE2">
        <w:rPr>
          <w:rFonts w:cs="Times New Roman"/>
        </w:rPr>
        <w:t>Im</w:t>
      </w:r>
      <w:proofErr w:type="spellEnd"/>
      <w:r w:rsidRPr="00C86CE2">
        <w:rPr>
          <w:rFonts w:cs="Times New Roman"/>
        </w:rPr>
        <w:t xml:space="preserve">)migrants’ appropriation of culture: Reciprocal influence of personal and work contexts’, </w:t>
      </w:r>
      <w:r w:rsidRPr="00C86CE2">
        <w:rPr>
          <w:rFonts w:cs="Times New Roman"/>
          <w:i/>
          <w:iCs/>
        </w:rPr>
        <w:t>Journal of World Business</w:t>
      </w:r>
      <w:r w:rsidRPr="00C86CE2">
        <w:rPr>
          <w:rFonts w:cs="Times New Roman"/>
        </w:rPr>
        <w:t>, 58(2), 101417. DOI: 10.1016/j.jwb.2022.101417.</w:t>
      </w:r>
      <w:r w:rsidRPr="00C86CE2">
        <w:rPr>
          <w:rFonts w:eastAsia="Times New Roman" w:cs="Times New Roman"/>
          <w:kern w:val="0"/>
          <w14:ligatures w14:val="none"/>
        </w:rPr>
        <w:t xml:space="preserve"> </w:t>
      </w:r>
      <w:proofErr w:type="gramStart"/>
      <w:r w:rsidRPr="00C86CE2">
        <w:rPr>
          <w:rFonts w:cs="Times New Roman"/>
        </w:rPr>
        <w:t xml:space="preserve">  </w:t>
      </w:r>
      <w:r w:rsidRPr="00C86CE2">
        <w:rPr>
          <w:rFonts w:cs="Times New Roman"/>
          <w:b/>
          <w:bCs/>
        </w:rPr>
        <w:t>Gupta</w:t>
      </w:r>
      <w:proofErr w:type="gramEnd"/>
      <w:r w:rsidRPr="00C86CE2">
        <w:rPr>
          <w:rFonts w:cs="Times New Roman"/>
          <w:b/>
          <w:bCs/>
        </w:rPr>
        <w:t>, M. (2025)</w:t>
      </w:r>
      <w:r w:rsidRPr="00C86CE2">
        <w:rPr>
          <w:rFonts w:cs="Times New Roman"/>
        </w:rPr>
        <w:t xml:space="preserve"> ‘Changing identity patterns among women in South Asian diaspora in the UK: construction, negotiation and assimilation of identities’, </w:t>
      </w:r>
      <w:r w:rsidRPr="00C86CE2">
        <w:rPr>
          <w:rFonts w:cs="Times New Roman"/>
          <w:i/>
          <w:iCs/>
        </w:rPr>
        <w:t>South Asian Diaspora</w:t>
      </w:r>
      <w:r w:rsidRPr="00C86CE2">
        <w:rPr>
          <w:rFonts w:cs="Times New Roman"/>
        </w:rPr>
        <w:t xml:space="preserve">, 18(2), pp.317–332. DOI: 10.1080/19438192.2025.2482305. </w:t>
      </w:r>
    </w:p>
    <w:p w14:paraId="621302A3" w14:textId="77777777" w:rsidR="007D6B36" w:rsidRPr="00C86CE2" w:rsidRDefault="007D6B36" w:rsidP="007D6B36">
      <w:pPr>
        <w:pStyle w:val="ListParagraph"/>
        <w:numPr>
          <w:ilvl w:val="0"/>
          <w:numId w:val="4"/>
        </w:numPr>
        <w:spacing w:line="360" w:lineRule="auto"/>
        <w:jc w:val="both"/>
        <w:rPr>
          <w:rFonts w:cs="Times New Roman"/>
        </w:rPr>
      </w:pPr>
      <w:r w:rsidRPr="00C86CE2">
        <w:rPr>
          <w:rFonts w:cs="Times New Roman"/>
          <w:b/>
          <w:bCs/>
        </w:rPr>
        <w:t xml:space="preserve">Hanson, K., O’Dwyer, E., Chaudhuri, S., Souza, L.G.S. and </w:t>
      </w:r>
      <w:proofErr w:type="spellStart"/>
      <w:r w:rsidRPr="00C86CE2">
        <w:rPr>
          <w:rFonts w:cs="Times New Roman"/>
          <w:b/>
          <w:bCs/>
        </w:rPr>
        <w:t>Vandrevala</w:t>
      </w:r>
      <w:proofErr w:type="spellEnd"/>
      <w:r w:rsidRPr="00C86CE2">
        <w:rPr>
          <w:rFonts w:cs="Times New Roman"/>
          <w:b/>
          <w:bCs/>
        </w:rPr>
        <w:t>, T. (2022)</w:t>
      </w:r>
      <w:r w:rsidRPr="00C86CE2">
        <w:rPr>
          <w:rFonts w:cs="Times New Roman"/>
        </w:rPr>
        <w:t xml:space="preserve"> ‘Mitigating the identity and health threat of COVID-19: Perspectives of middle-class South Asians living in the UK’, </w:t>
      </w:r>
      <w:r w:rsidRPr="00C86CE2">
        <w:rPr>
          <w:rFonts w:cs="Times New Roman"/>
          <w:i/>
          <w:iCs/>
        </w:rPr>
        <w:t>Journal of Health Psychology</w:t>
      </w:r>
      <w:r w:rsidRPr="00C86CE2">
        <w:rPr>
          <w:rFonts w:cs="Times New Roman"/>
        </w:rPr>
        <w:t xml:space="preserve">, 27(9), pp.2147–2160. DOI: 10.1177/13591053211027626. </w:t>
      </w:r>
    </w:p>
    <w:p w14:paraId="0E590F85" w14:textId="77777777" w:rsidR="007D6B36" w:rsidRPr="00C86CE2" w:rsidRDefault="007D6B36" w:rsidP="007D6B36">
      <w:pPr>
        <w:pStyle w:val="ListParagraph"/>
        <w:numPr>
          <w:ilvl w:val="0"/>
          <w:numId w:val="4"/>
        </w:numPr>
        <w:spacing w:line="360" w:lineRule="auto"/>
        <w:jc w:val="both"/>
        <w:rPr>
          <w:rFonts w:cs="Times New Roman"/>
        </w:rPr>
      </w:pPr>
      <w:r w:rsidRPr="00C86CE2">
        <w:rPr>
          <w:rFonts w:cs="Times New Roman"/>
          <w:b/>
          <w:bCs/>
        </w:rPr>
        <w:t>Chattopadhyay, D. and Sengupta Sinha, S. (2024)</w:t>
      </w:r>
      <w:r w:rsidRPr="00C86CE2">
        <w:rPr>
          <w:rFonts w:cs="Times New Roman"/>
        </w:rPr>
        <w:t xml:space="preserve"> ‘“Currying Identities”: A Literary Re-Crafting of South-Asian Identities through Diasporic Women’s Cookbooks’, </w:t>
      </w:r>
      <w:r w:rsidRPr="00C86CE2">
        <w:rPr>
          <w:rFonts w:cs="Times New Roman"/>
          <w:i/>
          <w:iCs/>
        </w:rPr>
        <w:t>Humanities</w:t>
      </w:r>
      <w:r w:rsidRPr="00C86CE2">
        <w:rPr>
          <w:rFonts w:cs="Times New Roman"/>
        </w:rPr>
        <w:t xml:space="preserve">, 13(1), 22. DOI: 10.3390/h13010022. </w:t>
      </w:r>
    </w:p>
    <w:p w14:paraId="09B50ECD" w14:textId="77777777" w:rsidR="007D6B36" w:rsidRPr="00C86CE2" w:rsidRDefault="007D6B36" w:rsidP="007D6B36">
      <w:pPr>
        <w:pStyle w:val="ListParagraph"/>
        <w:numPr>
          <w:ilvl w:val="0"/>
          <w:numId w:val="4"/>
        </w:numPr>
        <w:spacing w:line="360" w:lineRule="auto"/>
        <w:jc w:val="both"/>
        <w:rPr>
          <w:rFonts w:cs="Times New Roman"/>
        </w:rPr>
      </w:pPr>
      <w:r w:rsidRPr="00C86CE2">
        <w:rPr>
          <w:rFonts w:cs="Times New Roman"/>
          <w:b/>
          <w:bCs/>
        </w:rPr>
        <w:lastRenderedPageBreak/>
        <w:t>Chowdhury, E.H. (</w:t>
      </w:r>
      <w:proofErr w:type="gramStart"/>
      <w:r w:rsidRPr="00C86CE2">
        <w:rPr>
          <w:rFonts w:cs="Times New Roman"/>
          <w:b/>
          <w:bCs/>
        </w:rPr>
        <w:t>2023)</w:t>
      </w:r>
      <w:r w:rsidRPr="00C86CE2">
        <w:rPr>
          <w:rFonts w:cs="Times New Roman"/>
        </w:rPr>
        <w:t xml:space="preserve"> ‘</w:t>
      </w:r>
      <w:proofErr w:type="gramEnd"/>
      <w:r w:rsidRPr="00C86CE2">
        <w:rPr>
          <w:rFonts w:cs="Times New Roman"/>
        </w:rPr>
        <w:t xml:space="preserve">What Does Food Sustain? Family, Class, and Culture in South Asian Identity-Making’, </w:t>
      </w:r>
      <w:proofErr w:type="spellStart"/>
      <w:r w:rsidRPr="00C86CE2">
        <w:rPr>
          <w:rFonts w:cs="Times New Roman"/>
          <w:i/>
          <w:iCs/>
        </w:rPr>
        <w:t>Gastronomica</w:t>
      </w:r>
      <w:proofErr w:type="spellEnd"/>
      <w:r w:rsidRPr="00C86CE2">
        <w:rPr>
          <w:rFonts w:cs="Times New Roman"/>
        </w:rPr>
        <w:t xml:space="preserve">, 23(4), pp.80–88. DOI: 10.1525/gfc.2023.23.4.80. </w:t>
      </w:r>
    </w:p>
    <w:p w14:paraId="02058BC5" w14:textId="77777777" w:rsidR="007D6B36" w:rsidRPr="00C86CE2" w:rsidRDefault="007D6B36" w:rsidP="007D6B36">
      <w:pPr>
        <w:pStyle w:val="ListParagraph"/>
        <w:numPr>
          <w:ilvl w:val="0"/>
          <w:numId w:val="4"/>
        </w:numPr>
        <w:spacing w:line="360" w:lineRule="auto"/>
        <w:jc w:val="both"/>
        <w:rPr>
          <w:rFonts w:cs="Times New Roman"/>
        </w:rPr>
      </w:pPr>
      <w:r w:rsidRPr="00C86CE2">
        <w:rPr>
          <w:rFonts w:cs="Times New Roman"/>
          <w:b/>
          <w:bCs/>
        </w:rPr>
        <w:t>Shum, T.C.T. (2023)</w:t>
      </w:r>
      <w:r w:rsidRPr="00C86CE2">
        <w:rPr>
          <w:rFonts w:cs="Times New Roman"/>
        </w:rPr>
        <w:t xml:space="preserve"> ‘Performing Culinary Diaspora: Food Practices and Culinary Encounters of South Asians in Hong Kong’, </w:t>
      </w:r>
      <w:r w:rsidRPr="00C86CE2">
        <w:rPr>
          <w:rFonts w:cs="Times New Roman"/>
          <w:i/>
          <w:iCs/>
        </w:rPr>
        <w:t>Journal of Intercultural Studies</w:t>
      </w:r>
      <w:r w:rsidRPr="00C86CE2">
        <w:rPr>
          <w:rFonts w:cs="Times New Roman"/>
        </w:rPr>
        <w:t>, 44(4), pp.604–624. DOI: 10.1080/07256868.2023.2149478.</w:t>
      </w:r>
      <w:r w:rsidRPr="00C86CE2">
        <w:rPr>
          <w:rFonts w:eastAsia="Times New Roman" w:cs="Times New Roman"/>
          <w:kern w:val="0"/>
          <w14:ligatures w14:val="none"/>
        </w:rPr>
        <w:t xml:space="preserve"> </w:t>
      </w:r>
      <w:proofErr w:type="gramStart"/>
      <w:r w:rsidRPr="00C86CE2">
        <w:rPr>
          <w:rFonts w:cs="Times New Roman"/>
        </w:rPr>
        <w:t xml:space="preserve">  </w:t>
      </w:r>
      <w:r w:rsidRPr="00C86CE2">
        <w:rPr>
          <w:rFonts w:cs="Times New Roman"/>
          <w:b/>
          <w:bCs/>
        </w:rPr>
        <w:t>Mroz</w:t>
      </w:r>
      <w:proofErr w:type="gramEnd"/>
      <w:r w:rsidRPr="00C86CE2">
        <w:rPr>
          <w:rFonts w:cs="Times New Roman"/>
          <w:b/>
          <w:bCs/>
        </w:rPr>
        <w:t xml:space="preserve">, G., </w:t>
      </w:r>
      <w:proofErr w:type="spellStart"/>
      <w:r w:rsidRPr="00C86CE2">
        <w:rPr>
          <w:rFonts w:cs="Times New Roman"/>
          <w:b/>
          <w:bCs/>
        </w:rPr>
        <w:t>Mazhary</w:t>
      </w:r>
      <w:proofErr w:type="spellEnd"/>
      <w:r w:rsidRPr="00C86CE2">
        <w:rPr>
          <w:rFonts w:cs="Times New Roman"/>
          <w:b/>
          <w:bCs/>
        </w:rPr>
        <w:t>, H. and Painter, J. (</w:t>
      </w:r>
      <w:proofErr w:type="gramStart"/>
      <w:r w:rsidRPr="00C86CE2">
        <w:rPr>
          <w:rFonts w:cs="Times New Roman"/>
          <w:b/>
          <w:bCs/>
        </w:rPr>
        <w:t>2024)</w:t>
      </w:r>
      <w:r w:rsidRPr="00C86CE2">
        <w:rPr>
          <w:rFonts w:cs="Times New Roman"/>
        </w:rPr>
        <w:t xml:space="preserve"> ‘</w:t>
      </w:r>
      <w:proofErr w:type="gramEnd"/>
      <w:r w:rsidRPr="00C86CE2">
        <w:rPr>
          <w:rFonts w:cs="Times New Roman"/>
        </w:rPr>
        <w:t xml:space="preserve">What’s cooking? The normalization of meat in YouTube recipe videos consumed by South Asian British Muslims’, </w:t>
      </w:r>
      <w:r w:rsidRPr="00C86CE2">
        <w:rPr>
          <w:rFonts w:cs="Times New Roman"/>
          <w:i/>
          <w:iCs/>
        </w:rPr>
        <w:t>Food, Culture &amp; Society</w:t>
      </w:r>
      <w:r w:rsidRPr="00C86CE2">
        <w:rPr>
          <w:rFonts w:cs="Times New Roman"/>
        </w:rPr>
        <w:t xml:space="preserve">, 27(2), pp.363–381. DOI: 10.1080/15528014.2023.2196195. </w:t>
      </w:r>
    </w:p>
    <w:p w14:paraId="29CFA802" w14:textId="77777777" w:rsidR="007D6B36" w:rsidRPr="00C86CE2" w:rsidRDefault="007D6B36" w:rsidP="007D6B36">
      <w:pPr>
        <w:pStyle w:val="ListParagraph"/>
        <w:numPr>
          <w:ilvl w:val="0"/>
          <w:numId w:val="4"/>
        </w:numPr>
        <w:spacing w:line="360" w:lineRule="auto"/>
        <w:jc w:val="both"/>
        <w:rPr>
          <w:rFonts w:cs="Times New Roman"/>
        </w:rPr>
      </w:pPr>
      <w:r w:rsidRPr="00C86CE2">
        <w:rPr>
          <w:rFonts w:cs="Times New Roman"/>
          <w:b/>
          <w:bCs/>
        </w:rPr>
        <w:t>James, D., Vijayakumaran, R.K. and Gayathri, G. (2024)</w:t>
      </w:r>
      <w:r w:rsidRPr="00C86CE2">
        <w:rPr>
          <w:rFonts w:cs="Times New Roman"/>
        </w:rPr>
        <w:t xml:space="preserve"> ‘Comparison of Food Accessibility and Acculturation among South Asians in the United Kingdom and India: A Photovoice Study’, </w:t>
      </w:r>
      <w:r w:rsidRPr="00C86CE2">
        <w:rPr>
          <w:rFonts w:cs="Times New Roman"/>
          <w:i/>
          <w:iCs/>
        </w:rPr>
        <w:t>Proceedings of the Nutrition Society</w:t>
      </w:r>
      <w:r w:rsidRPr="00C86CE2">
        <w:rPr>
          <w:rFonts w:cs="Times New Roman"/>
        </w:rPr>
        <w:t xml:space="preserve">, 83(OCE4), E306. DOI: 10.1017/S0029665124005445. </w:t>
      </w:r>
    </w:p>
    <w:p w14:paraId="1E6D2B59" w14:textId="77777777" w:rsidR="007D6B36" w:rsidRPr="00C86CE2" w:rsidRDefault="007D6B36" w:rsidP="007D6B36">
      <w:pPr>
        <w:pStyle w:val="ListParagraph"/>
        <w:numPr>
          <w:ilvl w:val="0"/>
          <w:numId w:val="4"/>
        </w:numPr>
        <w:spacing w:line="360" w:lineRule="auto"/>
        <w:jc w:val="both"/>
        <w:rPr>
          <w:rFonts w:cs="Times New Roman"/>
        </w:rPr>
      </w:pPr>
      <w:proofErr w:type="spellStart"/>
      <w:r w:rsidRPr="00C86CE2">
        <w:rPr>
          <w:rFonts w:cs="Times New Roman"/>
          <w:b/>
          <w:bCs/>
        </w:rPr>
        <w:t>Kwah</w:t>
      </w:r>
      <w:proofErr w:type="spellEnd"/>
      <w:r w:rsidRPr="00C86CE2">
        <w:rPr>
          <w:rFonts w:cs="Times New Roman"/>
          <w:b/>
          <w:bCs/>
        </w:rPr>
        <w:t>, K., Sharps, M., Bartle, N., Choudhry, K., Blissett, J. and Brown, K. (2025)</w:t>
      </w:r>
      <w:r w:rsidRPr="00C86CE2">
        <w:rPr>
          <w:rFonts w:cs="Times New Roman"/>
        </w:rPr>
        <w:t xml:space="preserve"> ‘Engaging South Asian Communities in the United Kingdom to Explore Infant Feeding Practices and Inform Intervention Development: Application of the REPLACE Approach’, </w:t>
      </w:r>
      <w:r w:rsidRPr="00C86CE2">
        <w:rPr>
          <w:rFonts w:cs="Times New Roman"/>
          <w:i/>
          <w:iCs/>
        </w:rPr>
        <w:t>Maternal &amp; Child Nutrition</w:t>
      </w:r>
      <w:r w:rsidRPr="00C86CE2">
        <w:rPr>
          <w:rFonts w:cs="Times New Roman"/>
        </w:rPr>
        <w:t>, 21(3), e70009. DOI: 10.1111/mcn.70009.</w:t>
      </w:r>
    </w:p>
    <w:p w14:paraId="5D24BEE9" w14:textId="77777777" w:rsidR="007D6B36" w:rsidRDefault="007D6B36" w:rsidP="007D6B36"/>
    <w:p w14:paraId="65BCD8B8" w14:textId="77777777" w:rsidR="007D6B36" w:rsidRDefault="007D6B36" w:rsidP="007D6B36">
      <w:pPr>
        <w:pStyle w:val="ListParagraph"/>
        <w:ind w:left="540"/>
        <w:rPr>
          <w:b/>
          <w:bCs/>
          <w:sz w:val="32"/>
          <w:szCs w:val="44"/>
        </w:rPr>
      </w:pPr>
    </w:p>
    <w:p w14:paraId="18D2F026" w14:textId="77777777" w:rsidR="007D6B36" w:rsidRDefault="007D6B36" w:rsidP="007D6B36">
      <w:pPr>
        <w:rPr>
          <w:rFonts w:eastAsiaTheme="majorEastAsia" w:cstheme="majorBidi"/>
          <w:b/>
          <w:sz w:val="32"/>
          <w:szCs w:val="40"/>
        </w:rPr>
      </w:pPr>
      <w:r>
        <w:br w:type="page"/>
      </w:r>
    </w:p>
    <w:p w14:paraId="6F53AB75" w14:textId="77777777" w:rsidR="007D6B36" w:rsidRDefault="007D6B36" w:rsidP="007D6B36">
      <w:pPr>
        <w:pStyle w:val="Heading2"/>
      </w:pPr>
      <w:bookmarkStart w:id="29" w:name="_Toc241590556"/>
      <w:r w:rsidRPr="0092193D">
        <w:lastRenderedPageBreak/>
        <w:t>Reference</w:t>
      </w:r>
      <w:r>
        <w:t xml:space="preserve"> (</w:t>
      </w:r>
      <w:r w:rsidRPr="00647F8E">
        <w:t>Part 2</w:t>
      </w:r>
      <w:r>
        <w:t>)</w:t>
      </w:r>
      <w:r w:rsidRPr="0092193D">
        <w:t>:</w:t>
      </w:r>
      <w:bookmarkEnd w:id="29"/>
      <w:r w:rsidRPr="0092193D">
        <w:t xml:space="preserve"> </w:t>
      </w:r>
    </w:p>
    <w:p w14:paraId="77E5968B" w14:textId="77777777" w:rsidR="007D6B36" w:rsidRPr="00DD0422" w:rsidRDefault="007D6B36" w:rsidP="007D6B36">
      <w:pPr>
        <w:rPr>
          <w:lang w:val="en-GB"/>
        </w:rPr>
      </w:pPr>
      <w:r w:rsidRPr="00DD0422">
        <w:rPr>
          <w:lang w:val="en-GB"/>
        </w:rPr>
        <w:t>Gandhi, A., 2024. The politics of belonging through food: place, space, and nostalgia in contemporary South Asian women's lives in London (Doctoral dissertation, Birkbeck, University of London).</w:t>
      </w:r>
    </w:p>
    <w:p w14:paraId="3DCD5A31" w14:textId="77777777" w:rsidR="007D6B36" w:rsidRPr="00DD0422" w:rsidRDefault="007D6B36" w:rsidP="007D6B36">
      <w:pPr>
        <w:rPr>
          <w:lang w:val="en-GB"/>
        </w:rPr>
      </w:pPr>
      <w:r w:rsidRPr="00DD0422">
        <w:rPr>
          <w:lang w:val="en-GB"/>
        </w:rPr>
        <w:t xml:space="preserve">Chowdhury, E.H., 2023. What Does Food Sustain? Family, Class, and Culture in South Asian Identity-Making. </w:t>
      </w:r>
      <w:proofErr w:type="spellStart"/>
      <w:r w:rsidRPr="00DD0422">
        <w:rPr>
          <w:lang w:val="en-GB"/>
        </w:rPr>
        <w:t>Gastronomica</w:t>
      </w:r>
      <w:proofErr w:type="spellEnd"/>
      <w:r w:rsidRPr="00DD0422">
        <w:rPr>
          <w:lang w:val="en-GB"/>
        </w:rPr>
        <w:t>: The Journal of Food and Culture, 23(4), pp.80-88.</w:t>
      </w:r>
    </w:p>
    <w:p w14:paraId="0A09E1D8" w14:textId="77777777" w:rsidR="007D6B36" w:rsidRPr="00DD0422" w:rsidRDefault="007D6B36" w:rsidP="007D6B36">
      <w:pPr>
        <w:rPr>
          <w:lang w:val="en-GB"/>
        </w:rPr>
      </w:pPr>
      <w:r w:rsidRPr="00DD0422">
        <w:rPr>
          <w:lang w:val="en-GB"/>
        </w:rPr>
        <w:t>Liu, H., 2026. (Re) connection with cultural foods as an avenue towards eating disorder recovery for ethnic minority immigrants: a critical narrative analysis.</w:t>
      </w:r>
    </w:p>
    <w:p w14:paraId="3829DF5B" w14:textId="77777777" w:rsidR="007D6B36" w:rsidRPr="00DD0422" w:rsidRDefault="007D6B36" w:rsidP="007D6B36">
      <w:pPr>
        <w:rPr>
          <w:lang w:val="en-GB"/>
        </w:rPr>
      </w:pPr>
      <w:r w:rsidRPr="00DD0422">
        <w:rPr>
          <w:lang w:val="en-GB"/>
        </w:rPr>
        <w:t xml:space="preserve">Ali, S.H., Gupta, S., Tariq, M., </w:t>
      </w:r>
      <w:proofErr w:type="spellStart"/>
      <w:r w:rsidRPr="00DD0422">
        <w:rPr>
          <w:lang w:val="en-GB"/>
        </w:rPr>
        <w:t>Penikalapati</w:t>
      </w:r>
      <w:proofErr w:type="spellEnd"/>
      <w:r w:rsidRPr="00DD0422">
        <w:rPr>
          <w:lang w:val="en-GB"/>
        </w:rPr>
        <w:t xml:space="preserve">, R., Vasquez-Lopez, X., Auer, S., Hanif, C., Parekh, N., </w:t>
      </w:r>
      <w:proofErr w:type="spellStart"/>
      <w:r w:rsidRPr="00DD0422">
        <w:rPr>
          <w:lang w:val="en-GB"/>
        </w:rPr>
        <w:t>Merdjanoff</w:t>
      </w:r>
      <w:proofErr w:type="spellEnd"/>
      <w:r w:rsidRPr="00DD0422">
        <w:rPr>
          <w:lang w:val="en-GB"/>
        </w:rPr>
        <w:t xml:space="preserve">, A.A. and DiClemente, R.J., 2022. Mapping drivers of second-generation South Asian American eating </w:t>
      </w:r>
      <w:proofErr w:type="spellStart"/>
      <w:r w:rsidRPr="00DD0422">
        <w:rPr>
          <w:lang w:val="en-GB"/>
        </w:rPr>
        <w:t>behaviors</w:t>
      </w:r>
      <w:proofErr w:type="spellEnd"/>
      <w:r w:rsidRPr="00DD0422">
        <w:rPr>
          <w:lang w:val="en-GB"/>
        </w:rPr>
        <w:t xml:space="preserve"> using a novel integration of qualitative and social network analysis methods. Ecology of food and nutrition, 61(4), pp.503-521.</w:t>
      </w:r>
    </w:p>
    <w:p w14:paraId="396A6F44" w14:textId="77777777" w:rsidR="007D6B36" w:rsidRPr="00DD0422" w:rsidRDefault="007D6B36" w:rsidP="007D6B36">
      <w:pPr>
        <w:rPr>
          <w:lang w:val="en-GB"/>
        </w:rPr>
      </w:pPr>
      <w:r w:rsidRPr="00DD0422">
        <w:rPr>
          <w:lang w:val="en-GB"/>
        </w:rPr>
        <w:t>Iqbal, S., 2023. Cultural factors influencing the eating behaviours of type 2 diabetes in the British South-Asian population: a scoping review of the literature. Journal of Global Health Reports, 7.</w:t>
      </w:r>
    </w:p>
    <w:p w14:paraId="433B48F0" w14:textId="77777777" w:rsidR="007D6B36" w:rsidRPr="00DD0422" w:rsidRDefault="007D6B36" w:rsidP="007D6B36">
      <w:pPr>
        <w:rPr>
          <w:lang w:val="en-GB"/>
        </w:rPr>
      </w:pPr>
      <w:r w:rsidRPr="00DD0422">
        <w:rPr>
          <w:lang w:val="en-GB"/>
        </w:rPr>
        <w:t xml:space="preserve">Dalal, S., 2024. "How authentic is your curry"? performing curry and diasporic identity in Naben </w:t>
      </w:r>
      <w:proofErr w:type="spellStart"/>
      <w:r w:rsidRPr="00DD0422">
        <w:rPr>
          <w:lang w:val="en-GB"/>
        </w:rPr>
        <w:t>Ruthnum's</w:t>
      </w:r>
      <w:proofErr w:type="spellEnd"/>
      <w:r w:rsidRPr="00DD0422">
        <w:rPr>
          <w:lang w:val="en-GB"/>
        </w:rPr>
        <w:t xml:space="preserve"> Curry: Eating, Reading, and Race. Food, Culture &amp; Society, 27(2), pp.297-309.</w:t>
      </w:r>
    </w:p>
    <w:p w14:paraId="5469F2BB" w14:textId="77777777" w:rsidR="007D6B36" w:rsidRPr="00DD0422" w:rsidRDefault="007D6B36" w:rsidP="007D6B36">
      <w:pPr>
        <w:rPr>
          <w:lang w:val="en-GB"/>
        </w:rPr>
      </w:pPr>
      <w:proofErr w:type="spellStart"/>
      <w:r w:rsidRPr="00DD0422">
        <w:rPr>
          <w:lang w:val="en-GB"/>
        </w:rPr>
        <w:t>Lillekroken</w:t>
      </w:r>
      <w:proofErr w:type="spellEnd"/>
      <w:r w:rsidRPr="00DD0422">
        <w:rPr>
          <w:lang w:val="en-GB"/>
        </w:rPr>
        <w:t xml:space="preserve">, D., Bye, A., Halvorsrud, L., </w:t>
      </w:r>
      <w:proofErr w:type="spellStart"/>
      <w:r w:rsidRPr="00DD0422">
        <w:rPr>
          <w:lang w:val="en-GB"/>
        </w:rPr>
        <w:t>Terragni</w:t>
      </w:r>
      <w:proofErr w:type="spellEnd"/>
      <w:r w:rsidRPr="00DD0422">
        <w:rPr>
          <w:lang w:val="en-GB"/>
        </w:rPr>
        <w:t xml:space="preserve">, L. and </w:t>
      </w:r>
      <w:proofErr w:type="spellStart"/>
      <w:r w:rsidRPr="00DD0422">
        <w:rPr>
          <w:lang w:val="en-GB"/>
        </w:rPr>
        <w:t>Debesay</w:t>
      </w:r>
      <w:proofErr w:type="spellEnd"/>
      <w:r w:rsidRPr="00DD0422">
        <w:rPr>
          <w:lang w:val="en-GB"/>
        </w:rPr>
        <w:t>, J., 2024. Food for soul—older immigrants' food habits and meal preferences after immigration: a systematic literature review. Journal of immigrant and minority health, 26(4), pp.775-805.</w:t>
      </w:r>
    </w:p>
    <w:p w14:paraId="7F91DE13" w14:textId="77777777" w:rsidR="007D6B36" w:rsidRPr="00DD0422" w:rsidRDefault="007D6B36" w:rsidP="007D6B36">
      <w:pPr>
        <w:rPr>
          <w:lang w:val="en-GB"/>
        </w:rPr>
      </w:pPr>
      <w:r w:rsidRPr="00DD0422">
        <w:rPr>
          <w:lang w:val="en-GB"/>
        </w:rPr>
        <w:t>Chattoraj, D. and Basu, A., 2025. In search of identity: Perspectives from second generation South Asian diaspora. South Asian Diaspora, 17(2), pp.191-198.</w:t>
      </w:r>
    </w:p>
    <w:p w14:paraId="1A017F8F" w14:textId="77777777" w:rsidR="007D6B36" w:rsidRPr="00DD0422" w:rsidRDefault="007D6B36" w:rsidP="007D6B36">
      <w:pPr>
        <w:rPr>
          <w:lang w:val="en-GB"/>
        </w:rPr>
      </w:pPr>
      <w:r w:rsidRPr="00DD0422">
        <w:rPr>
          <w:lang w:val="en-GB"/>
        </w:rPr>
        <w:t xml:space="preserve">Ahsan Ullah, A.K.M. and </w:t>
      </w:r>
      <w:proofErr w:type="spellStart"/>
      <w:r w:rsidRPr="00DD0422">
        <w:rPr>
          <w:lang w:val="en-GB"/>
        </w:rPr>
        <w:t>Chattoraj</w:t>
      </w:r>
      <w:proofErr w:type="spellEnd"/>
      <w:r w:rsidRPr="00DD0422">
        <w:rPr>
          <w:lang w:val="en-GB"/>
        </w:rPr>
        <w:t xml:space="preserve">, D., 2025. Narratives shaping the perceptions of the second-generation Afghan diaspora: is Afghanistan a militant, occupied and politically disordered </w:t>
      </w:r>
      <w:proofErr w:type="gramStart"/>
      <w:r w:rsidRPr="00DD0422">
        <w:rPr>
          <w:lang w:val="en-GB"/>
        </w:rPr>
        <w:t>country?.</w:t>
      </w:r>
      <w:proofErr w:type="gramEnd"/>
      <w:r w:rsidRPr="00DD0422">
        <w:rPr>
          <w:lang w:val="en-GB"/>
        </w:rPr>
        <w:t xml:space="preserve"> South Asian Diaspora, 17(2), pp.289-306.</w:t>
      </w:r>
    </w:p>
    <w:p w14:paraId="46873FC8" w14:textId="77777777" w:rsidR="007D6B36" w:rsidRPr="00DD0422" w:rsidRDefault="007D6B36" w:rsidP="007D6B36">
      <w:pPr>
        <w:rPr>
          <w:lang w:val="en-GB"/>
        </w:rPr>
      </w:pPr>
      <w:r w:rsidRPr="00DD0422">
        <w:rPr>
          <w:lang w:val="en-GB"/>
        </w:rPr>
        <w:lastRenderedPageBreak/>
        <w:t xml:space="preserve">Gingell, T., Murray, K., Correa-Velez, I. and Gallegos, D., 2022. Determinants of food security among people from refugee backgrounds resettled in high-income countries: A systematic review and thematic synthesis. </w:t>
      </w:r>
      <w:proofErr w:type="spellStart"/>
      <w:r w:rsidRPr="00DD0422">
        <w:rPr>
          <w:lang w:val="en-GB"/>
        </w:rPr>
        <w:t>PloS</w:t>
      </w:r>
      <w:proofErr w:type="spellEnd"/>
      <w:r w:rsidRPr="00DD0422">
        <w:rPr>
          <w:lang w:val="en-GB"/>
        </w:rPr>
        <w:t xml:space="preserve"> one, 17(6), p.e0268830.</w:t>
      </w:r>
    </w:p>
    <w:p w14:paraId="4DA6A34A" w14:textId="77777777" w:rsidR="007D6B36" w:rsidRPr="00DD0422" w:rsidRDefault="007D6B36" w:rsidP="007D6B36">
      <w:pPr>
        <w:rPr>
          <w:lang w:val="en-GB"/>
        </w:rPr>
      </w:pPr>
      <w:r w:rsidRPr="00DD0422">
        <w:rPr>
          <w:lang w:val="en-GB"/>
        </w:rPr>
        <w:t>Nisar, M., Khan, A. and Kolbe</w:t>
      </w:r>
      <w:r w:rsidRPr="00DD0422">
        <w:rPr>
          <w:rFonts w:ascii="Cambria Math" w:hAnsi="Cambria Math" w:cs="Cambria Math"/>
          <w:lang w:val="en-GB"/>
        </w:rPr>
        <w:t>‐</w:t>
      </w:r>
      <w:r w:rsidRPr="00DD0422">
        <w:rPr>
          <w:lang w:val="en-GB"/>
        </w:rPr>
        <w:t xml:space="preserve">Alexander, T.L., 2022. 'Cost, culture and circumstances': Barriers and enablers of health behaviours in South Asian immigrants of Australia. Health &amp; social care in the community, 30(5), </w:t>
      </w:r>
      <w:proofErr w:type="gramStart"/>
      <w:r w:rsidRPr="00DD0422">
        <w:rPr>
          <w:lang w:val="en-GB"/>
        </w:rPr>
        <w:t>pp.e</w:t>
      </w:r>
      <w:proofErr w:type="gramEnd"/>
      <w:r w:rsidRPr="00DD0422">
        <w:rPr>
          <w:lang w:val="en-GB"/>
        </w:rPr>
        <w:t>3138-e3149.</w:t>
      </w:r>
    </w:p>
    <w:p w14:paraId="0CD31A3D" w14:textId="77777777" w:rsidR="007D6B36" w:rsidRPr="00DD0422" w:rsidRDefault="007D6B36" w:rsidP="007D6B36">
      <w:pPr>
        <w:rPr>
          <w:lang w:val="en-GB"/>
        </w:rPr>
      </w:pPr>
      <w:r w:rsidRPr="00DD0422">
        <w:rPr>
          <w:lang w:val="en-GB"/>
        </w:rPr>
        <w:t xml:space="preserve">Ojo, A.S., </w:t>
      </w:r>
      <w:proofErr w:type="spellStart"/>
      <w:r w:rsidRPr="00DD0422">
        <w:rPr>
          <w:lang w:val="en-GB"/>
        </w:rPr>
        <w:t>Nnyanzi</w:t>
      </w:r>
      <w:proofErr w:type="spellEnd"/>
      <w:r w:rsidRPr="00DD0422">
        <w:rPr>
          <w:lang w:val="en-GB"/>
        </w:rPr>
        <w:t xml:space="preserve">, L.A., Giles, E.L., Ells, L.J., </w:t>
      </w:r>
      <w:proofErr w:type="spellStart"/>
      <w:r w:rsidRPr="00DD0422">
        <w:rPr>
          <w:lang w:val="en-GB"/>
        </w:rPr>
        <w:t>Awolaran</w:t>
      </w:r>
      <w:proofErr w:type="spellEnd"/>
      <w:r w:rsidRPr="00DD0422">
        <w:rPr>
          <w:lang w:val="en-GB"/>
        </w:rPr>
        <w:t xml:space="preserve">, O., Okeke, S.R., </w:t>
      </w:r>
      <w:proofErr w:type="spellStart"/>
      <w:r w:rsidRPr="00DD0422">
        <w:rPr>
          <w:lang w:val="en-GB"/>
        </w:rPr>
        <w:t>Afaya</w:t>
      </w:r>
      <w:proofErr w:type="spellEnd"/>
      <w:r w:rsidRPr="00DD0422">
        <w:rPr>
          <w:lang w:val="en-GB"/>
        </w:rPr>
        <w:t>, A. and Bolarinwa, O.A., 2023. Perceptions of dietary intake amongst Black, Asian and other minority ethnic groups in high-income countries: a systematic review of qualitative literature. BMC nutrition, 9(1), p.85.</w:t>
      </w:r>
    </w:p>
    <w:p w14:paraId="19A24D29" w14:textId="77777777" w:rsidR="007D6B36" w:rsidRPr="00DD0422" w:rsidRDefault="007D6B36" w:rsidP="007D6B36">
      <w:pPr>
        <w:rPr>
          <w:lang w:val="en-GB"/>
        </w:rPr>
      </w:pPr>
      <w:r w:rsidRPr="00DD0422">
        <w:rPr>
          <w:lang w:val="en-GB"/>
        </w:rPr>
        <w:t>Rai, A., Misra, R., Khan, H., Shukla, S., Patel, D.C. and Brown, A., 2023. Systematic review of the barriers and facilitators to dietary modification in people living with type 2 diabetes and pre</w:t>
      </w:r>
      <w:r w:rsidRPr="00DD0422">
        <w:rPr>
          <w:rFonts w:ascii="Cambria Math" w:hAnsi="Cambria Math" w:cs="Cambria Math"/>
          <w:lang w:val="en-GB"/>
        </w:rPr>
        <w:t>‐</w:t>
      </w:r>
      <w:r w:rsidRPr="00DD0422">
        <w:rPr>
          <w:lang w:val="en-GB"/>
        </w:rPr>
        <w:t>diabetes from South Asian ethnic populations. Diabetic Medicine, 40(8), p.e15132.</w:t>
      </w:r>
    </w:p>
    <w:p w14:paraId="0276DDD0" w14:textId="77777777" w:rsidR="007D6B36" w:rsidRPr="00DD0422" w:rsidRDefault="007D6B36" w:rsidP="007D6B36">
      <w:pPr>
        <w:rPr>
          <w:lang w:val="en-GB"/>
        </w:rPr>
      </w:pPr>
      <w:r w:rsidRPr="00DD0422">
        <w:rPr>
          <w:lang w:val="en-GB"/>
        </w:rPr>
        <w:t>Vakil, K., Desse, T.A., Manias, E., Alzubaidi, H., Rasmussen, B., Holton, S. and Mc Namara, K.P., 2023. Patient-</w:t>
      </w:r>
      <w:proofErr w:type="spellStart"/>
      <w:r w:rsidRPr="00DD0422">
        <w:rPr>
          <w:lang w:val="en-GB"/>
        </w:rPr>
        <w:t>centered</w:t>
      </w:r>
      <w:proofErr w:type="spellEnd"/>
      <w:r w:rsidRPr="00DD0422">
        <w:rPr>
          <w:lang w:val="en-GB"/>
        </w:rPr>
        <w:t xml:space="preserve"> care experiences of first-generation, South Asian migrants with chronic diseases living in high-income, western countries: systematic review. Patient preference and adherence, pp.281-298.</w:t>
      </w:r>
    </w:p>
    <w:p w14:paraId="252825B8" w14:textId="77777777" w:rsidR="007D6B36" w:rsidRPr="00DD0422" w:rsidRDefault="007D6B36" w:rsidP="007D6B36">
      <w:pPr>
        <w:rPr>
          <w:lang w:val="en-GB"/>
        </w:rPr>
      </w:pPr>
      <w:r w:rsidRPr="00DD0422">
        <w:rPr>
          <w:lang w:val="en-GB"/>
        </w:rPr>
        <w:t>Sudarsan, I., Hoare, K., Sheridan, N. and Roberts, J., 2022. South Asian immigrants' and their family carers' beliefs, practices and experiences of childhood long</w:t>
      </w:r>
      <w:r w:rsidRPr="00DD0422">
        <w:rPr>
          <w:rFonts w:ascii="Cambria Math" w:hAnsi="Cambria Math" w:cs="Cambria Math"/>
          <w:lang w:val="en-GB"/>
        </w:rPr>
        <w:t>‐</w:t>
      </w:r>
      <w:r w:rsidRPr="00DD0422">
        <w:rPr>
          <w:lang w:val="en-GB"/>
        </w:rPr>
        <w:t>term conditions: An integrative review. Journal of advanced nursing, 78(7), pp.1897-1908.</w:t>
      </w:r>
    </w:p>
    <w:p w14:paraId="103BBD52" w14:textId="77777777" w:rsidR="007D6B36" w:rsidRPr="00DD0422" w:rsidRDefault="007D6B36" w:rsidP="007D6B36">
      <w:pPr>
        <w:rPr>
          <w:lang w:val="en-GB"/>
        </w:rPr>
      </w:pPr>
      <w:proofErr w:type="spellStart"/>
      <w:r w:rsidRPr="00DD0422">
        <w:rPr>
          <w:lang w:val="en-GB"/>
        </w:rPr>
        <w:t>Kodippili</w:t>
      </w:r>
      <w:proofErr w:type="spellEnd"/>
      <w:r w:rsidRPr="00DD0422">
        <w:rPr>
          <w:lang w:val="en-GB"/>
        </w:rPr>
        <w:t xml:space="preserve">, T., </w:t>
      </w:r>
      <w:proofErr w:type="spellStart"/>
      <w:r w:rsidRPr="00DD0422">
        <w:rPr>
          <w:lang w:val="en-GB"/>
        </w:rPr>
        <w:t>Ziaian</w:t>
      </w:r>
      <w:proofErr w:type="spellEnd"/>
      <w:r w:rsidRPr="00DD0422">
        <w:rPr>
          <w:lang w:val="en-GB"/>
        </w:rPr>
        <w:t xml:space="preserve">, T., </w:t>
      </w:r>
      <w:proofErr w:type="spellStart"/>
      <w:r w:rsidRPr="00DD0422">
        <w:rPr>
          <w:lang w:val="en-GB"/>
        </w:rPr>
        <w:t>Puvimanasinghe</w:t>
      </w:r>
      <w:proofErr w:type="spellEnd"/>
      <w:r w:rsidRPr="00DD0422">
        <w:rPr>
          <w:lang w:val="en-GB"/>
        </w:rPr>
        <w:t>, T., Esterman, A. and Clark, Y., 2024. The impact of acculturation and psychological wellbeing on South Asian immigrant adolescents and youth: a scoping review. Current Psychology, 43(25), pp.21711-21722.</w:t>
      </w:r>
    </w:p>
    <w:p w14:paraId="5EDAA31E" w14:textId="77777777" w:rsidR="007D6B36" w:rsidRPr="00DD0422" w:rsidRDefault="007D6B36" w:rsidP="007D6B36">
      <w:pPr>
        <w:rPr>
          <w:lang w:val="en-GB"/>
        </w:rPr>
      </w:pPr>
      <w:r w:rsidRPr="00DD0422">
        <w:rPr>
          <w:lang w:val="en-GB"/>
        </w:rPr>
        <w:t xml:space="preserve">Olajide, B.R., Van Der Pligt, P. and McKay, F.H., 2024. Cultural food practices and sources of nutrition information among pregnant and postpartum migrant women from low-and middle-income countries residing in high income countries: A systematic review. </w:t>
      </w:r>
      <w:proofErr w:type="spellStart"/>
      <w:r w:rsidRPr="00DD0422">
        <w:rPr>
          <w:lang w:val="en-GB"/>
        </w:rPr>
        <w:t>Plos</w:t>
      </w:r>
      <w:proofErr w:type="spellEnd"/>
      <w:r w:rsidRPr="00DD0422">
        <w:rPr>
          <w:lang w:val="en-GB"/>
        </w:rPr>
        <w:t xml:space="preserve"> one, 19(5), p.e0303185.</w:t>
      </w:r>
    </w:p>
    <w:p w14:paraId="04B095D0" w14:textId="77777777" w:rsidR="007D6B36" w:rsidRPr="00DD0422" w:rsidRDefault="007D6B36" w:rsidP="007D6B36">
      <w:pPr>
        <w:rPr>
          <w:lang w:val="en-GB"/>
        </w:rPr>
      </w:pPr>
      <w:r w:rsidRPr="00DD0422">
        <w:rPr>
          <w:lang w:val="en-GB"/>
        </w:rPr>
        <w:t xml:space="preserve">Ma, M. and Joshi, G., 2022. Unpacking the complexity of migrated older adults' lives in the United Kingdom through an intersectional lens: A qualitative systematic review. The Gerontologist, 62(7), </w:t>
      </w:r>
      <w:proofErr w:type="gramStart"/>
      <w:r w:rsidRPr="00DD0422">
        <w:rPr>
          <w:lang w:val="en-GB"/>
        </w:rPr>
        <w:t>pp.e</w:t>
      </w:r>
      <w:proofErr w:type="gramEnd"/>
      <w:r w:rsidRPr="00DD0422">
        <w:rPr>
          <w:lang w:val="en-GB"/>
        </w:rPr>
        <w:t>402-e417.</w:t>
      </w:r>
    </w:p>
    <w:p w14:paraId="056FECDC" w14:textId="77777777" w:rsidR="007D6B36" w:rsidRPr="00DD0422" w:rsidRDefault="007D6B36" w:rsidP="007D6B36">
      <w:pPr>
        <w:rPr>
          <w:lang w:val="en-GB"/>
        </w:rPr>
      </w:pPr>
      <w:r w:rsidRPr="00DD0422">
        <w:rPr>
          <w:lang w:val="en-GB"/>
        </w:rPr>
        <w:lastRenderedPageBreak/>
        <w:t>Wang-Chen, Y., Kellow, N.J. and Choi, T.S., 2022. Exploring the determinants of food choice in Chinese mainlanders and Chinese immigrants: a systematic review. Nutrients, 14(2), p.346.</w:t>
      </w:r>
    </w:p>
    <w:p w14:paraId="31DE726A" w14:textId="77777777" w:rsidR="007D6B36" w:rsidRPr="00DD0422" w:rsidRDefault="007D6B36" w:rsidP="007D6B36">
      <w:pPr>
        <w:rPr>
          <w:lang w:val="en-GB"/>
        </w:rPr>
      </w:pPr>
      <w:r w:rsidRPr="00DD0422">
        <w:rPr>
          <w:lang w:val="en-GB"/>
        </w:rPr>
        <w:t>Song, S., Stern, C.M., Deitsch, T. and Sala, M., 2023. Acculturation and eating disorders: a systematic review. Eating and Weight Disorders-Studies on Anorexia, Bulimia and Obesity, 28(1), p.39.</w:t>
      </w:r>
    </w:p>
    <w:p w14:paraId="3DD812B7" w14:textId="77777777" w:rsidR="007D6B36" w:rsidRPr="00DD0422" w:rsidRDefault="007D6B36" w:rsidP="007D6B36">
      <w:pPr>
        <w:rPr>
          <w:lang w:val="en-GB"/>
        </w:rPr>
      </w:pPr>
      <w:r w:rsidRPr="00DD0422">
        <w:rPr>
          <w:lang w:val="en-GB"/>
        </w:rPr>
        <w:t>Rai, S., Kangas, K., Turtiainen, K., Stamm, I. and Tolvanen, A., 2023. Nature-based integration of migrants: A cross-national systematic literature review. Urban Forestry &amp; Urban Greening, 88, p.128089.</w:t>
      </w:r>
    </w:p>
    <w:p w14:paraId="2552D7E4" w14:textId="77777777" w:rsidR="007D6B36" w:rsidRPr="00DD0422" w:rsidRDefault="007D6B36" w:rsidP="007D6B36">
      <w:pPr>
        <w:rPr>
          <w:lang w:val="en-GB"/>
        </w:rPr>
      </w:pPr>
      <w:r w:rsidRPr="00DD0422">
        <w:rPr>
          <w:lang w:val="en-GB"/>
        </w:rPr>
        <w:t xml:space="preserve">Sultana, R., Ozen-Dursun, B., Femi-Ajao, O., Husain, N., Varese, F. and Taylor, P., 2023. A systematic review and meta-synthesis of barriers and facilitators of help-seeking </w:t>
      </w:r>
      <w:proofErr w:type="spellStart"/>
      <w:r w:rsidRPr="00DD0422">
        <w:rPr>
          <w:lang w:val="en-GB"/>
        </w:rPr>
        <w:t>behaviors</w:t>
      </w:r>
      <w:proofErr w:type="spellEnd"/>
      <w:r w:rsidRPr="00DD0422">
        <w:rPr>
          <w:lang w:val="en-GB"/>
        </w:rPr>
        <w:t xml:space="preserve"> in South Asian women living in high-income countries who have experienced domestic violence: Perception of domestic violence survivors and service providers. Trauma, Violence, &amp; Abuse, 24(5), pp.3187-3204.</w:t>
      </w:r>
    </w:p>
    <w:p w14:paraId="7630FE65" w14:textId="77777777" w:rsidR="007D6B36" w:rsidRPr="00DD0422" w:rsidRDefault="007D6B36" w:rsidP="007D6B36">
      <w:pPr>
        <w:rPr>
          <w:lang w:val="en-GB"/>
        </w:rPr>
      </w:pPr>
      <w:r w:rsidRPr="00DD0422">
        <w:rPr>
          <w:lang w:val="en-GB"/>
        </w:rPr>
        <w:t>Choi, S. and Kang, E., 2025. Cultural factors related to immigrants' health: a scoping review. Frontiers in Public Health, 13, p.1606772.</w:t>
      </w:r>
    </w:p>
    <w:p w14:paraId="509C6E37" w14:textId="77777777" w:rsidR="007D6B36" w:rsidRPr="00DD0422" w:rsidRDefault="007D6B36" w:rsidP="007D6B36">
      <w:pPr>
        <w:rPr>
          <w:lang w:val="en-GB"/>
        </w:rPr>
      </w:pPr>
      <w:r w:rsidRPr="00DD0422">
        <w:rPr>
          <w:lang w:val="en-GB"/>
        </w:rPr>
        <w:t xml:space="preserve">Sun, V., Soh, N., </w:t>
      </w:r>
      <w:proofErr w:type="spellStart"/>
      <w:r w:rsidRPr="00DD0422">
        <w:rPr>
          <w:lang w:val="en-GB"/>
        </w:rPr>
        <w:t>Touyz</w:t>
      </w:r>
      <w:proofErr w:type="spellEnd"/>
      <w:r w:rsidRPr="00DD0422">
        <w:rPr>
          <w:lang w:val="en-GB"/>
        </w:rPr>
        <w:t>, S., Maguire, S. and Aouad, P., 2023. Asian students in the anglosphere–unravelling the unique familial pressures contributing to eating pathology: a systematic review. Journal of Eating Disorders, 11(1), p.4.</w:t>
      </w:r>
    </w:p>
    <w:p w14:paraId="1C3D01D5" w14:textId="77777777" w:rsidR="007D6B36" w:rsidRPr="00DD0422" w:rsidRDefault="007D6B36" w:rsidP="007D6B36">
      <w:pPr>
        <w:rPr>
          <w:lang w:val="en-GB"/>
        </w:rPr>
      </w:pPr>
      <w:proofErr w:type="spellStart"/>
      <w:r w:rsidRPr="00DD0422">
        <w:rPr>
          <w:lang w:val="en-GB"/>
        </w:rPr>
        <w:t>Sunderaraman</w:t>
      </w:r>
      <w:proofErr w:type="spellEnd"/>
      <w:r w:rsidRPr="00DD0422">
        <w:rPr>
          <w:lang w:val="en-GB"/>
        </w:rPr>
        <w:t>, P., Irani, F., Krishnan, K. and Hundal, J.S., 2023. A narrative review of the biopsychosocial and health characteristics of Asian Indians in the United States: Clinical and research implications for neuropsychological functioning. The clinical neuropsychologist, 37(5), pp.911-929.</w:t>
      </w:r>
    </w:p>
    <w:p w14:paraId="6B7C17A7" w14:textId="77777777" w:rsidR="007D6B36" w:rsidRPr="00DD0422" w:rsidRDefault="007D6B36" w:rsidP="007D6B36">
      <w:pPr>
        <w:rPr>
          <w:lang w:val="en-GB"/>
        </w:rPr>
      </w:pPr>
      <w:proofErr w:type="spellStart"/>
      <w:r w:rsidRPr="00DD0422">
        <w:rPr>
          <w:lang w:val="en-GB"/>
        </w:rPr>
        <w:t>Lerias</w:t>
      </w:r>
      <w:proofErr w:type="spellEnd"/>
      <w:r w:rsidRPr="00DD0422">
        <w:rPr>
          <w:lang w:val="en-GB"/>
        </w:rPr>
        <w:t xml:space="preserve">, D., </w:t>
      </w:r>
      <w:proofErr w:type="spellStart"/>
      <w:r w:rsidRPr="00DD0422">
        <w:rPr>
          <w:lang w:val="en-GB"/>
        </w:rPr>
        <w:t>Ziaian</w:t>
      </w:r>
      <w:proofErr w:type="spellEnd"/>
      <w:r w:rsidRPr="00DD0422">
        <w:rPr>
          <w:lang w:val="en-GB"/>
        </w:rPr>
        <w:t>, T., Miller, E., Arthur, N., Augoustinos, M. and Pir, T., 2025. The role of acculturative stress on the mental health of immigrant youth: A scoping literature review. Community mental health journal, 61(3), pp.462-491.</w:t>
      </w:r>
    </w:p>
    <w:p w14:paraId="12A44241" w14:textId="77777777" w:rsidR="007D6B36" w:rsidRPr="00DD0422" w:rsidRDefault="007D6B36" w:rsidP="007D6B36">
      <w:pPr>
        <w:rPr>
          <w:lang w:val="en-GB"/>
        </w:rPr>
      </w:pPr>
      <w:r w:rsidRPr="00DD0422">
        <w:rPr>
          <w:lang w:val="en-GB"/>
        </w:rPr>
        <w:t>Islam, M.M., Jannat, A. and Al Rafi, D.A., 2024. Women participation in South Asian agriculture: a comprehensive systematic review. Discover Sustainability, 5(1), p.490.</w:t>
      </w:r>
    </w:p>
    <w:p w14:paraId="428E7056" w14:textId="77777777" w:rsidR="007D6B36" w:rsidRPr="00DD0422" w:rsidRDefault="007D6B36" w:rsidP="007D6B36">
      <w:pPr>
        <w:rPr>
          <w:lang w:val="en-GB"/>
        </w:rPr>
      </w:pPr>
      <w:r w:rsidRPr="00DD0422">
        <w:rPr>
          <w:lang w:val="en-GB"/>
        </w:rPr>
        <w:t>Masih, M., Wagstaff, C. and Kaur-Aujla, H., 2024. The global psychological and physical effects of domestic abuse and violence on South Asian women: a qualitative systematic review. Frontiers in global women's health, 5, p.1365883.</w:t>
      </w:r>
    </w:p>
    <w:p w14:paraId="6D7859F9" w14:textId="77777777" w:rsidR="007D6B36" w:rsidRPr="00DD0422" w:rsidRDefault="007D6B36" w:rsidP="007D6B36">
      <w:pPr>
        <w:rPr>
          <w:lang w:val="en-GB"/>
        </w:rPr>
      </w:pPr>
      <w:r w:rsidRPr="00DD0422">
        <w:rPr>
          <w:lang w:val="en-GB"/>
        </w:rPr>
        <w:lastRenderedPageBreak/>
        <w:t xml:space="preserve">Ngongalah, L., Rapley, T., Rankin, J. and </w:t>
      </w:r>
      <w:proofErr w:type="spellStart"/>
      <w:r w:rsidRPr="00DD0422">
        <w:rPr>
          <w:lang w:val="en-GB"/>
        </w:rPr>
        <w:t>Heslehurst</w:t>
      </w:r>
      <w:proofErr w:type="spellEnd"/>
      <w:r w:rsidRPr="00DD0422">
        <w:rPr>
          <w:lang w:val="en-GB"/>
        </w:rPr>
        <w:t>, N., 2023. Cultural influences on African migrant pregnant and postnatal women's dietary behaviours and nutrition support needs in the UK. Nutrients, 15(19), p.4135.</w:t>
      </w:r>
    </w:p>
    <w:p w14:paraId="3D209148" w14:textId="77777777" w:rsidR="007D6B36" w:rsidRPr="00DD0422" w:rsidRDefault="007D6B36" w:rsidP="007D6B36">
      <w:pPr>
        <w:rPr>
          <w:lang w:val="en-GB"/>
        </w:rPr>
      </w:pPr>
      <w:r w:rsidRPr="00DD0422">
        <w:rPr>
          <w:lang w:val="en-GB"/>
        </w:rPr>
        <w:t>Dhir, P., Evans, T.S., Drew, K.J., Maynard, M., Nobles, J., Homer, C. and Ells, L., 2024. Views, perceptions, and experiences of type 2 diabetes or weight management programs among minoritized ethnic groups living in high</w:t>
      </w:r>
      <w:r w:rsidRPr="00DD0422">
        <w:rPr>
          <w:rFonts w:ascii="Cambria Math" w:hAnsi="Cambria Math" w:cs="Cambria Math"/>
          <w:lang w:val="en-GB"/>
        </w:rPr>
        <w:t>‐</w:t>
      </w:r>
      <w:r w:rsidRPr="00DD0422">
        <w:rPr>
          <w:lang w:val="en-GB"/>
        </w:rPr>
        <w:t>income countries: A systematic review of qualitative evidence. Obesity Reviews, 25(5), p.e13708.</w:t>
      </w:r>
    </w:p>
    <w:p w14:paraId="25723952" w14:textId="77777777" w:rsidR="007D6B36" w:rsidRPr="00DD0422" w:rsidRDefault="007D6B36" w:rsidP="007D6B36">
      <w:pPr>
        <w:rPr>
          <w:lang w:val="en-GB"/>
        </w:rPr>
      </w:pPr>
      <w:r w:rsidRPr="00DD0422">
        <w:rPr>
          <w:lang w:val="en-GB"/>
        </w:rPr>
        <w:t xml:space="preserve">Luk, A.O., Fan, Y., Fan, B., Chow, E.W. and O, T.C., 2025. Heterogeneity in the development of diabetes-related complications: narrative review of the roles of ancestry and geographical determinants. </w:t>
      </w:r>
      <w:proofErr w:type="spellStart"/>
      <w:r w:rsidRPr="00DD0422">
        <w:rPr>
          <w:lang w:val="en-GB"/>
        </w:rPr>
        <w:t>Diabetologia</w:t>
      </w:r>
      <w:proofErr w:type="spellEnd"/>
      <w:r w:rsidRPr="00DD0422">
        <w:rPr>
          <w:lang w:val="en-GB"/>
        </w:rPr>
        <w:t>, 68(11), pp.2386-2404.</w:t>
      </w:r>
    </w:p>
    <w:p w14:paraId="2A0DC12D" w14:textId="77777777" w:rsidR="007D6B36" w:rsidRPr="00DD0422" w:rsidRDefault="007D6B36" w:rsidP="007D6B36">
      <w:pPr>
        <w:rPr>
          <w:lang w:val="en-GB"/>
        </w:rPr>
      </w:pPr>
      <w:r w:rsidRPr="00DD0422">
        <w:rPr>
          <w:lang w:val="en-GB"/>
        </w:rPr>
        <w:t>Tripathi, S., Azhar, S. and Zhai, F., 2022. Unpaid care work among women in South Asia: A systematic review. Asian Social Work and Policy Review, 16(3), pp.275-289.</w:t>
      </w:r>
    </w:p>
    <w:p w14:paraId="6CB8B2A3" w14:textId="77777777" w:rsidR="007D6B36" w:rsidRPr="00DD0422" w:rsidRDefault="007D6B36" w:rsidP="007D6B36">
      <w:pPr>
        <w:rPr>
          <w:lang w:val="en-GB"/>
        </w:rPr>
      </w:pPr>
      <w:proofErr w:type="spellStart"/>
      <w:r w:rsidRPr="00DD0422">
        <w:rPr>
          <w:lang w:val="en-GB"/>
        </w:rPr>
        <w:t>Varre</w:t>
      </w:r>
      <w:proofErr w:type="spellEnd"/>
      <w:r w:rsidRPr="00DD0422">
        <w:rPr>
          <w:lang w:val="en-GB"/>
        </w:rPr>
        <w:t>, J.V., Dustin, M. and Van Vliet, S., 2025. Dietary transformations and health implications in migrant populations: a global perspective. Frontiers in Nutrition, 12, p.1623556.</w:t>
      </w:r>
    </w:p>
    <w:p w14:paraId="04AA0883" w14:textId="77777777" w:rsidR="007D6B36" w:rsidRPr="00DD0422" w:rsidRDefault="007D6B36" w:rsidP="007D6B36">
      <w:pPr>
        <w:rPr>
          <w:lang w:val="en-GB"/>
        </w:rPr>
      </w:pPr>
      <w:r w:rsidRPr="00DD0422">
        <w:rPr>
          <w:lang w:val="en-GB"/>
        </w:rPr>
        <w:t xml:space="preserve">Neven, A.C., Lake, A.J., Williams, A., O'Reilly, S.L., Hendrieckx, C., Morrison, M., Dunbar, J.A., Speight, J., </w:t>
      </w:r>
      <w:proofErr w:type="spellStart"/>
      <w:r w:rsidRPr="00DD0422">
        <w:rPr>
          <w:lang w:val="en-GB"/>
        </w:rPr>
        <w:t>Teede</w:t>
      </w:r>
      <w:proofErr w:type="spellEnd"/>
      <w:r w:rsidRPr="00DD0422">
        <w:rPr>
          <w:lang w:val="en-GB"/>
        </w:rPr>
        <w:t>, H., Boyle, J.A. and ME</w:t>
      </w:r>
      <w:r w:rsidRPr="00DD0422">
        <w:rPr>
          <w:rFonts w:ascii="Cambria Math" w:hAnsi="Cambria Math" w:cs="Cambria Math"/>
          <w:lang w:val="en-GB"/>
        </w:rPr>
        <w:t>‐</w:t>
      </w:r>
      <w:proofErr w:type="spellStart"/>
      <w:r w:rsidRPr="00DD0422">
        <w:rPr>
          <w:lang w:val="en-GB"/>
        </w:rPr>
        <w:t>MaGDA</w:t>
      </w:r>
      <w:proofErr w:type="spellEnd"/>
      <w:r w:rsidRPr="00DD0422">
        <w:rPr>
          <w:lang w:val="en-GB"/>
        </w:rPr>
        <w:t xml:space="preserve"> Study Group, 2022. Barriers to and enablers of postpartum health behaviours among women from diverse cultural backgrounds with prior gestational diabetes: A systematic review and qualitative synthesis applying the theoretical domains framework. Diabetic Medicine, 39(11), p.e14945.</w:t>
      </w:r>
    </w:p>
    <w:p w14:paraId="0A152F48" w14:textId="77777777" w:rsidR="007D6B36" w:rsidRPr="00DD0422" w:rsidRDefault="007D6B36" w:rsidP="007D6B36">
      <w:pPr>
        <w:rPr>
          <w:lang w:val="en-GB"/>
        </w:rPr>
      </w:pPr>
      <w:r w:rsidRPr="00DD0422">
        <w:rPr>
          <w:lang w:val="en-GB"/>
        </w:rPr>
        <w:t xml:space="preserve">Abdoli, M., Scotto Rosato, M., </w:t>
      </w:r>
      <w:proofErr w:type="spellStart"/>
      <w:r w:rsidRPr="00DD0422">
        <w:rPr>
          <w:lang w:val="en-GB"/>
        </w:rPr>
        <w:t>Desousa</w:t>
      </w:r>
      <w:proofErr w:type="spellEnd"/>
      <w:r w:rsidRPr="00DD0422">
        <w:rPr>
          <w:lang w:val="en-GB"/>
        </w:rPr>
        <w:t xml:space="preserve">, A. and </w:t>
      </w:r>
      <w:proofErr w:type="spellStart"/>
      <w:r w:rsidRPr="00DD0422">
        <w:rPr>
          <w:lang w:val="en-GB"/>
        </w:rPr>
        <w:t>Cotrufo</w:t>
      </w:r>
      <w:proofErr w:type="spellEnd"/>
      <w:r w:rsidRPr="00DD0422">
        <w:rPr>
          <w:lang w:val="en-GB"/>
        </w:rPr>
        <w:t>, P., 2024. Cultural differences in body image: A systematic review. Social sciences, 13(6), p.305.</w:t>
      </w:r>
    </w:p>
    <w:p w14:paraId="69C39EA4" w14:textId="77777777" w:rsidR="007D6B36" w:rsidRPr="00DD0422" w:rsidRDefault="007D6B36" w:rsidP="007D6B36">
      <w:pPr>
        <w:rPr>
          <w:lang w:val="en-GB"/>
        </w:rPr>
      </w:pPr>
      <w:r w:rsidRPr="00DD0422">
        <w:rPr>
          <w:lang w:val="en-GB"/>
        </w:rPr>
        <w:t>Nagesh, N., Ip, C.H.L., Li, J., Fan, H.S.L., Chai, H.S., Fan, Y., Wong, J.Y., Fong, D.Y. and Lok, K.Y.W., 2024. Exploring South Asian women's perspectives and experiences of maternity care services: A qualitative evidence synthesis. Women and Birth, 37(2), pp.259-277.</w:t>
      </w:r>
    </w:p>
    <w:p w14:paraId="10A9F058" w14:textId="77777777" w:rsidR="007D6B36" w:rsidRPr="00DD0422" w:rsidRDefault="007D6B36" w:rsidP="007D6B36">
      <w:pPr>
        <w:rPr>
          <w:lang w:val="en-GB"/>
        </w:rPr>
      </w:pPr>
      <w:r w:rsidRPr="00DD0422">
        <w:rPr>
          <w:lang w:val="en-GB"/>
        </w:rPr>
        <w:t>Li, Y., Ragunathan, S., Fuentes, K., Hsu, S. and Lindsay, S., 2024. Exploring the experiences of ableism among Asian children and youth with disabilities and their families: a systematic review of qualitative studies. Disability and Rehabilitation, 46(17), pp.3849-3868.</w:t>
      </w:r>
    </w:p>
    <w:p w14:paraId="62760F9F" w14:textId="77777777" w:rsidR="007D6B36" w:rsidRPr="00DD0422" w:rsidRDefault="007D6B36" w:rsidP="007D6B36">
      <w:pPr>
        <w:rPr>
          <w:lang w:val="en-GB"/>
        </w:rPr>
      </w:pPr>
      <w:r w:rsidRPr="00DD0422">
        <w:rPr>
          <w:lang w:val="en-GB"/>
        </w:rPr>
        <w:lastRenderedPageBreak/>
        <w:t xml:space="preserve">Radogna, R.M., 2022. The concept of habitus in migration studies. A systematic literature review. </w:t>
      </w:r>
      <w:proofErr w:type="spellStart"/>
      <w:r w:rsidRPr="00DD0422">
        <w:rPr>
          <w:lang w:val="en-GB"/>
        </w:rPr>
        <w:t>Sociologie</w:t>
      </w:r>
      <w:proofErr w:type="spellEnd"/>
      <w:r w:rsidRPr="00DD0422">
        <w:rPr>
          <w:lang w:val="en-GB"/>
        </w:rPr>
        <w:t xml:space="preserve"> </w:t>
      </w:r>
      <w:proofErr w:type="spellStart"/>
      <w:r w:rsidRPr="00DD0422">
        <w:rPr>
          <w:lang w:val="en-GB"/>
        </w:rPr>
        <w:t>Românească</w:t>
      </w:r>
      <w:proofErr w:type="spellEnd"/>
      <w:r w:rsidRPr="00DD0422">
        <w:rPr>
          <w:lang w:val="en-GB"/>
        </w:rPr>
        <w:t>, 20(1), pp.108-125.</w:t>
      </w:r>
    </w:p>
    <w:p w14:paraId="664234AE" w14:textId="77777777" w:rsidR="007D6B36" w:rsidRPr="00DD0422" w:rsidRDefault="007D6B36" w:rsidP="007D6B36">
      <w:pPr>
        <w:rPr>
          <w:lang w:val="en-GB"/>
        </w:rPr>
      </w:pPr>
      <w:r w:rsidRPr="00DD0422">
        <w:rPr>
          <w:lang w:val="en-GB"/>
        </w:rPr>
        <w:t>Izumi, C., Trigg, J. and Stephens, J.H., 2024. A systematic review of migrant women's experiences of successful exclusive breastfeeding in high</w:t>
      </w:r>
      <w:r w:rsidRPr="00DD0422">
        <w:rPr>
          <w:rFonts w:ascii="Cambria Math" w:hAnsi="Cambria Math" w:cs="Cambria Math"/>
          <w:lang w:val="en-GB"/>
        </w:rPr>
        <w:t>‐</w:t>
      </w:r>
      <w:r w:rsidRPr="00DD0422">
        <w:rPr>
          <w:lang w:val="en-GB"/>
        </w:rPr>
        <w:t>income countries. Maternal &amp; Child Nutrition, 20(1), p.e13556.</w:t>
      </w:r>
    </w:p>
    <w:p w14:paraId="14EBE2F6" w14:textId="77777777" w:rsidR="007D6B36" w:rsidRPr="00DD0422" w:rsidRDefault="007D6B36" w:rsidP="007D6B36">
      <w:pPr>
        <w:rPr>
          <w:lang w:val="en-GB"/>
        </w:rPr>
      </w:pPr>
      <w:r w:rsidRPr="00DD0422">
        <w:rPr>
          <w:lang w:val="en-GB"/>
        </w:rPr>
        <w:t>Brik, A.B. and Brown, C.T., 2024. Global trends in social inclusion and social inclusion policy: A systematic review and research agenda. Social Policy and Society, pp.1-24.</w:t>
      </w:r>
    </w:p>
    <w:p w14:paraId="386EB27D" w14:textId="77777777" w:rsidR="007D6B36" w:rsidRPr="00DD0422" w:rsidRDefault="007D6B36" w:rsidP="007D6B36">
      <w:pPr>
        <w:rPr>
          <w:lang w:val="en-GB"/>
        </w:rPr>
      </w:pPr>
      <w:r w:rsidRPr="00DD0422">
        <w:rPr>
          <w:lang w:val="en-GB"/>
        </w:rPr>
        <w:t xml:space="preserve">Singh, S., </w:t>
      </w:r>
      <w:proofErr w:type="spellStart"/>
      <w:r w:rsidRPr="00DD0422">
        <w:rPr>
          <w:lang w:val="en-GB"/>
        </w:rPr>
        <w:t>Kshtriya</w:t>
      </w:r>
      <w:proofErr w:type="spellEnd"/>
      <w:r w:rsidRPr="00DD0422">
        <w:rPr>
          <w:lang w:val="en-GB"/>
        </w:rPr>
        <w:t>, S. and Valk, R., 2023. Health, hope, and harmony: a systematic review of the determinants of happiness across cultures and countries. International journal of environmental research and public health, 20(4), p.3306.</w:t>
      </w:r>
    </w:p>
    <w:p w14:paraId="09C224F4" w14:textId="77777777" w:rsidR="007D6B36" w:rsidRPr="00DD0422" w:rsidRDefault="007D6B36" w:rsidP="007D6B36">
      <w:pPr>
        <w:rPr>
          <w:lang w:val="en-GB"/>
        </w:rPr>
      </w:pPr>
      <w:proofErr w:type="spellStart"/>
      <w:r w:rsidRPr="00DD0422">
        <w:rPr>
          <w:lang w:val="en-GB"/>
        </w:rPr>
        <w:t>Hanazaki</w:t>
      </w:r>
      <w:proofErr w:type="spellEnd"/>
      <w:r w:rsidRPr="00DD0422">
        <w:rPr>
          <w:lang w:val="en-GB"/>
        </w:rPr>
        <w:t xml:space="preserve">, N., Pieroni, A., Ludwinsky, R.H., Gonçalves, M.C., </w:t>
      </w:r>
      <w:proofErr w:type="spellStart"/>
      <w:r w:rsidRPr="00DD0422">
        <w:rPr>
          <w:lang w:val="en-GB"/>
        </w:rPr>
        <w:t>Prakofjewa</w:t>
      </w:r>
      <w:proofErr w:type="spellEnd"/>
      <w:r w:rsidRPr="00DD0422">
        <w:rPr>
          <w:lang w:val="en-GB"/>
        </w:rPr>
        <w:t xml:space="preserve">, J., Peroni, N. and </w:t>
      </w:r>
      <w:proofErr w:type="spellStart"/>
      <w:r w:rsidRPr="00DD0422">
        <w:rPr>
          <w:lang w:val="en-GB"/>
        </w:rPr>
        <w:t>Soukand</w:t>
      </w:r>
      <w:proofErr w:type="spellEnd"/>
      <w:r w:rsidRPr="00DD0422">
        <w:rPr>
          <w:lang w:val="en-GB"/>
        </w:rPr>
        <w:t>, R., 2023. People's migrations and plants for food: a review for fostering sustainability. Sustainable Earth Reviews, 6(1), p.9.</w:t>
      </w:r>
    </w:p>
    <w:p w14:paraId="78105950" w14:textId="77777777" w:rsidR="007D6B36" w:rsidRPr="00DD0422" w:rsidRDefault="007D6B36" w:rsidP="007D6B36">
      <w:pPr>
        <w:rPr>
          <w:lang w:val="en-GB"/>
        </w:rPr>
      </w:pPr>
      <w:r w:rsidRPr="00DD0422">
        <w:rPr>
          <w:lang w:val="en-GB"/>
        </w:rPr>
        <w:t>Beattie, J.M., Castiello, T. and Jaarsma, T., 2024. The importance of cultural awareness in the management of heart failure: a narrative review. Vascular health and risk management, pp.109-123.</w:t>
      </w:r>
    </w:p>
    <w:p w14:paraId="263F4681" w14:textId="77777777" w:rsidR="007D6B36" w:rsidRPr="00DD0422" w:rsidRDefault="007D6B36" w:rsidP="007D6B36">
      <w:pPr>
        <w:rPr>
          <w:lang w:val="en-GB"/>
        </w:rPr>
      </w:pPr>
      <w:r w:rsidRPr="00DD0422">
        <w:rPr>
          <w:lang w:val="en-GB"/>
        </w:rPr>
        <w:t xml:space="preserve">Zay </w:t>
      </w:r>
      <w:proofErr w:type="spellStart"/>
      <w:r w:rsidRPr="00DD0422">
        <w:rPr>
          <w:lang w:val="en-GB"/>
        </w:rPr>
        <w:t>Hta</w:t>
      </w:r>
      <w:proofErr w:type="spellEnd"/>
      <w:r w:rsidRPr="00DD0422">
        <w:rPr>
          <w:lang w:val="en-GB"/>
        </w:rPr>
        <w:t>, M.K., Ting, R.S.K., Goh, P.H., Gan, Q.H. and Jones, L., 2024. A systematic review on the cultural factors associated with stigma during pandemics. Current Psychology, 43(14), pp.12938-12969.</w:t>
      </w:r>
    </w:p>
    <w:p w14:paraId="648080D4" w14:textId="77777777" w:rsidR="007D6B36" w:rsidRPr="00DD0422" w:rsidRDefault="007D6B36" w:rsidP="007D6B36">
      <w:pPr>
        <w:rPr>
          <w:lang w:val="en-GB"/>
        </w:rPr>
      </w:pPr>
      <w:r w:rsidRPr="00DD0422">
        <w:rPr>
          <w:lang w:val="en-GB"/>
        </w:rPr>
        <w:t>House, J., Brons, A., Wertheim-Heck, S. and Van der Horst, H., 2024. What is culturally appropriate food consumption? A systematic literature review exploring six conceptual themes and their implications for sustainable food system transformation. Agriculture and Human Values, 41(2), pp.863-882.</w:t>
      </w:r>
    </w:p>
    <w:p w14:paraId="30DB272C" w14:textId="77777777" w:rsidR="007D6B36" w:rsidRPr="00DD0422" w:rsidRDefault="007D6B36" w:rsidP="007D6B36">
      <w:pPr>
        <w:rPr>
          <w:lang w:val="en-GB"/>
        </w:rPr>
      </w:pPr>
      <w:r w:rsidRPr="00DD0422">
        <w:rPr>
          <w:lang w:val="en-GB"/>
        </w:rPr>
        <w:t xml:space="preserve">Sin, C., Tavares, O., </w:t>
      </w:r>
      <w:proofErr w:type="spellStart"/>
      <w:r w:rsidRPr="00DD0422">
        <w:rPr>
          <w:lang w:val="en-GB"/>
        </w:rPr>
        <w:t>Apsite</w:t>
      </w:r>
      <w:proofErr w:type="spellEnd"/>
      <w:r w:rsidRPr="00DD0422">
        <w:rPr>
          <w:lang w:val="en-GB"/>
        </w:rPr>
        <w:t xml:space="preserve">-Berina, E., </w:t>
      </w:r>
      <w:proofErr w:type="spellStart"/>
      <w:r w:rsidRPr="00DD0422">
        <w:rPr>
          <w:lang w:val="en-GB"/>
        </w:rPr>
        <w:t>Borràs</w:t>
      </w:r>
      <w:proofErr w:type="spellEnd"/>
      <w:r w:rsidRPr="00DD0422">
        <w:rPr>
          <w:lang w:val="en-GB"/>
        </w:rPr>
        <w:t xml:space="preserve">, J., Bulut-Sahin, B., </w:t>
      </w:r>
      <w:proofErr w:type="spellStart"/>
      <w:r w:rsidRPr="00DD0422">
        <w:rPr>
          <w:lang w:val="en-GB"/>
        </w:rPr>
        <w:t>Chrančoková</w:t>
      </w:r>
      <w:proofErr w:type="spellEnd"/>
      <w:r w:rsidRPr="00DD0422">
        <w:rPr>
          <w:lang w:val="en-GB"/>
        </w:rPr>
        <w:t xml:space="preserve">, M., </w:t>
      </w:r>
      <w:proofErr w:type="spellStart"/>
      <w:r w:rsidRPr="00DD0422">
        <w:rPr>
          <w:lang w:val="en-GB"/>
        </w:rPr>
        <w:t>Czerska</w:t>
      </w:r>
      <w:proofErr w:type="spellEnd"/>
      <w:r w:rsidRPr="00DD0422">
        <w:rPr>
          <w:lang w:val="en-GB"/>
        </w:rPr>
        <w:t xml:space="preserve">-Shaw, K., Devlin, A.M., Heinzmann, S., </w:t>
      </w:r>
      <w:proofErr w:type="spellStart"/>
      <w:r w:rsidRPr="00DD0422">
        <w:rPr>
          <w:lang w:val="en-GB"/>
        </w:rPr>
        <w:t>Jokila</w:t>
      </w:r>
      <w:proofErr w:type="spellEnd"/>
      <w:r w:rsidRPr="00DD0422">
        <w:rPr>
          <w:lang w:val="en-GB"/>
        </w:rPr>
        <w:t>, S. and Kéri, A., 2025. The impact of COVID-19 on the social and cultural integration of international students: a literature review. Comparative Migration Studies, 13(1), p.7.</w:t>
      </w:r>
    </w:p>
    <w:p w14:paraId="627A9AE0" w14:textId="77777777" w:rsidR="007D6B36" w:rsidRPr="00DD0422" w:rsidRDefault="007D6B36" w:rsidP="007D6B36">
      <w:pPr>
        <w:rPr>
          <w:lang w:val="en-GB"/>
        </w:rPr>
      </w:pPr>
      <w:r w:rsidRPr="00DD0422">
        <w:rPr>
          <w:lang w:val="en-GB"/>
        </w:rPr>
        <w:t xml:space="preserve">Glyn-Blanco, M.B., Lucchetti, G. and </w:t>
      </w:r>
      <w:proofErr w:type="spellStart"/>
      <w:r w:rsidRPr="00DD0422">
        <w:rPr>
          <w:lang w:val="en-GB"/>
        </w:rPr>
        <w:t>Badanta</w:t>
      </w:r>
      <w:proofErr w:type="spellEnd"/>
      <w:r w:rsidRPr="00DD0422">
        <w:rPr>
          <w:lang w:val="en-GB"/>
        </w:rPr>
        <w:t>, B., 2023. How do cultural factors influence the provision of end-of-life care? A narrative review. Applied Nursing Research, 73, p.151720.</w:t>
      </w:r>
    </w:p>
    <w:p w14:paraId="14945FB1" w14:textId="77777777" w:rsidR="007D6B36" w:rsidRPr="00DD0422" w:rsidRDefault="007D6B36" w:rsidP="007D6B36">
      <w:pPr>
        <w:rPr>
          <w:lang w:val="en-GB"/>
        </w:rPr>
      </w:pPr>
      <w:r w:rsidRPr="00DD0422">
        <w:rPr>
          <w:lang w:val="en-GB"/>
        </w:rPr>
        <w:lastRenderedPageBreak/>
        <w:t>Louey, J., He, J., Partridge, S.R. and Allman</w:t>
      </w:r>
      <w:r w:rsidRPr="00DD0422">
        <w:rPr>
          <w:rFonts w:ascii="Cambria Math" w:hAnsi="Cambria Math" w:cs="Cambria Math"/>
          <w:lang w:val="en-GB"/>
        </w:rPr>
        <w:t>‐</w:t>
      </w:r>
      <w:r w:rsidRPr="00DD0422">
        <w:rPr>
          <w:lang w:val="en-GB"/>
        </w:rPr>
        <w:t>Farinelli, M., 2024. Facilitators and barriers to healthful eating among adolescents in high</w:t>
      </w:r>
      <w:r w:rsidRPr="00DD0422">
        <w:rPr>
          <w:rFonts w:ascii="Cambria Math" w:hAnsi="Cambria Math" w:cs="Cambria Math"/>
          <w:lang w:val="en-GB"/>
        </w:rPr>
        <w:t>‐</w:t>
      </w:r>
      <w:r w:rsidRPr="00DD0422">
        <w:rPr>
          <w:lang w:val="en-GB"/>
        </w:rPr>
        <w:t>income countries: a mixed</w:t>
      </w:r>
      <w:r w:rsidRPr="00DD0422">
        <w:rPr>
          <w:rFonts w:ascii="Cambria Math" w:hAnsi="Cambria Math" w:cs="Cambria Math"/>
          <w:lang w:val="en-GB"/>
        </w:rPr>
        <w:t>‐</w:t>
      </w:r>
      <w:r w:rsidRPr="00DD0422">
        <w:rPr>
          <w:lang w:val="en-GB"/>
        </w:rPr>
        <w:t>methods systematic review. Obesity Reviews, 25(11), p.e13813.</w:t>
      </w:r>
    </w:p>
    <w:p w14:paraId="1B27B463" w14:textId="77777777" w:rsidR="007D6B36" w:rsidRPr="00DD0422" w:rsidRDefault="007D6B36" w:rsidP="007D6B36">
      <w:pPr>
        <w:rPr>
          <w:lang w:val="en-GB"/>
        </w:rPr>
      </w:pPr>
      <w:r w:rsidRPr="00DD0422">
        <w:rPr>
          <w:lang w:val="en-GB"/>
        </w:rPr>
        <w:t>Dey, B.L., Nasef, Y.T., Brown, D.M., Samuel, L., Singh, P. and Apostolidis, C., 2023. (</w:t>
      </w:r>
      <w:proofErr w:type="spellStart"/>
      <w:r w:rsidRPr="00DD0422">
        <w:rPr>
          <w:lang w:val="en-GB"/>
        </w:rPr>
        <w:t>Im</w:t>
      </w:r>
      <w:proofErr w:type="spellEnd"/>
      <w:r w:rsidRPr="00DD0422">
        <w:rPr>
          <w:lang w:val="en-GB"/>
        </w:rPr>
        <w:t>)migrants' appropriation of culture: reciprocal influence of personal and work contexts. Journal of World Business, 58(2), p.101417.</w:t>
      </w:r>
    </w:p>
    <w:p w14:paraId="5D3FFE73" w14:textId="77777777" w:rsidR="007D6B36" w:rsidRPr="00DD0422" w:rsidRDefault="007D6B36" w:rsidP="007D6B36">
      <w:pPr>
        <w:rPr>
          <w:lang w:val="en-GB"/>
        </w:rPr>
      </w:pPr>
      <w:r w:rsidRPr="00DD0422">
        <w:rPr>
          <w:lang w:val="en-GB"/>
        </w:rPr>
        <w:t xml:space="preserve">Rodriguez, J., </w:t>
      </w:r>
      <w:proofErr w:type="spellStart"/>
      <w:r w:rsidRPr="00DD0422">
        <w:rPr>
          <w:lang w:val="en-GB"/>
        </w:rPr>
        <w:t>Radjack</w:t>
      </w:r>
      <w:proofErr w:type="spellEnd"/>
      <w:r w:rsidRPr="00DD0422">
        <w:rPr>
          <w:lang w:val="en-GB"/>
        </w:rPr>
        <w:t>, R., Moro, M.R. and Lachal, J., 2024. Migrant adolescents' experience of depression as they, their parents, and their health-care professionals describe it: a systematic review and qualitative meta-synthesis. European Child &amp; Adolescent Psychiatry, 33(1), pp.1-19.</w:t>
      </w:r>
    </w:p>
    <w:p w14:paraId="7B115C5D" w14:textId="77777777" w:rsidR="007D6B36" w:rsidRPr="00DD0422" w:rsidRDefault="007D6B36" w:rsidP="007D6B36">
      <w:pPr>
        <w:rPr>
          <w:lang w:val="en-GB"/>
        </w:rPr>
      </w:pPr>
      <w:r w:rsidRPr="00DD0422">
        <w:rPr>
          <w:lang w:val="en-GB"/>
        </w:rPr>
        <w:t xml:space="preserve">Au, A., Murad-Kassam, S., </w:t>
      </w:r>
      <w:proofErr w:type="spellStart"/>
      <w:r w:rsidRPr="00DD0422">
        <w:rPr>
          <w:lang w:val="en-GB"/>
        </w:rPr>
        <w:t>Mukanoheli</w:t>
      </w:r>
      <w:proofErr w:type="spellEnd"/>
      <w:r w:rsidRPr="00DD0422">
        <w:rPr>
          <w:lang w:val="en-GB"/>
        </w:rPr>
        <w:t xml:space="preserve">, V., Idrees, S., Ben Mabrouk, E., Abdi, K., Kennedy, M., Whitfield, K. and Salma, J., 2024. Immigrant older adults' experiences of aging in place and their </w:t>
      </w:r>
      <w:proofErr w:type="spellStart"/>
      <w:r w:rsidRPr="00DD0422">
        <w:rPr>
          <w:lang w:val="en-GB"/>
        </w:rPr>
        <w:t>neighborhoods</w:t>
      </w:r>
      <w:proofErr w:type="spellEnd"/>
      <w:r w:rsidRPr="00DD0422">
        <w:rPr>
          <w:lang w:val="en-GB"/>
        </w:rPr>
        <w:t>: a qualitative systematic review. International Journal of Environmental Research and Public Health, 21(7), p.904.</w:t>
      </w:r>
    </w:p>
    <w:p w14:paraId="64114CC6" w14:textId="77777777" w:rsidR="007D6B36" w:rsidRPr="00DD0422" w:rsidRDefault="007D6B36" w:rsidP="007D6B36">
      <w:pPr>
        <w:rPr>
          <w:lang w:val="en-GB"/>
        </w:rPr>
      </w:pPr>
      <w:r w:rsidRPr="00DD0422">
        <w:rPr>
          <w:lang w:val="en-GB"/>
        </w:rPr>
        <w:t>Henry, L., Henry, D. and Zepeda, E.P., 2025. "More than hunger": experiences of food insecurity among South Asian international graduate students at a US university. Nutrients, 17(15), p.2508.</w:t>
      </w:r>
    </w:p>
    <w:p w14:paraId="06BB44D7" w14:textId="77777777" w:rsidR="007D6B36" w:rsidRPr="00DD0422" w:rsidRDefault="007D6B36" w:rsidP="007D6B36">
      <w:pPr>
        <w:rPr>
          <w:lang w:val="en-GB"/>
        </w:rPr>
      </w:pPr>
      <w:r w:rsidRPr="00DD0422">
        <w:rPr>
          <w:lang w:val="en-GB"/>
        </w:rPr>
        <w:t>Doucette, H., Yang, S. and Spina, M., 2023. The impact of culture on new Asian immigrants' access to oral health care: a scoping review. Canadian Journal of Dental Hygiene, 57(1), p.33.</w:t>
      </w:r>
    </w:p>
    <w:p w14:paraId="594C97B6" w14:textId="77777777" w:rsidR="007D6B36" w:rsidRPr="00DD0422" w:rsidRDefault="007D6B36" w:rsidP="007D6B36">
      <w:pPr>
        <w:rPr>
          <w:lang w:val="en-GB"/>
        </w:rPr>
      </w:pPr>
      <w:r w:rsidRPr="00DD0422">
        <w:rPr>
          <w:lang w:val="en-GB"/>
        </w:rPr>
        <w:t>Freitas, T.M.L., Leite, R.S. and de Rezende Pinto, M., 2024. Motherhood and consumption: A systematic review and directions for future research. International Journal of Consumer Studies, 48(4), p.e13071.</w:t>
      </w:r>
    </w:p>
    <w:p w14:paraId="6A651661" w14:textId="77777777" w:rsidR="007D6B36" w:rsidRPr="00DD0422" w:rsidRDefault="007D6B36" w:rsidP="007D6B36">
      <w:pPr>
        <w:rPr>
          <w:lang w:val="en-GB"/>
        </w:rPr>
      </w:pPr>
      <w:r w:rsidRPr="00DD0422">
        <w:rPr>
          <w:lang w:val="en-GB"/>
        </w:rPr>
        <w:t>Awan, H., Mughal, F., Kingstone, T. and Chew-Graham, C.A., 2022. Emotional distress, anxiety, and depression in South Asians with long-term conditions: a qualitative systematic review. British Journal of General Practice.</w:t>
      </w:r>
    </w:p>
    <w:p w14:paraId="43186B58" w14:textId="77777777" w:rsidR="007D6B36" w:rsidRPr="00DD0422" w:rsidRDefault="007D6B36" w:rsidP="007D6B36">
      <w:pPr>
        <w:rPr>
          <w:lang w:val="en-GB"/>
        </w:rPr>
      </w:pPr>
      <w:r w:rsidRPr="00DD0422">
        <w:rPr>
          <w:lang w:val="en-GB"/>
        </w:rPr>
        <w:t>Stenberg, J. and Hjelm, K., 2023. Migrant informal caregiver perceptions and experiences of caring for a family member with dementia: A systematic review and thematic synthesis. Journal of Clinical Nursing, 32(9-10), pp.2178-2192.</w:t>
      </w:r>
    </w:p>
    <w:p w14:paraId="1ADADC39" w14:textId="77777777" w:rsidR="007D6B36" w:rsidRPr="00DD0422" w:rsidRDefault="007D6B36" w:rsidP="007D6B36">
      <w:pPr>
        <w:rPr>
          <w:lang w:val="en-GB"/>
        </w:rPr>
      </w:pPr>
      <w:r w:rsidRPr="00DD0422">
        <w:rPr>
          <w:lang w:val="en-GB"/>
        </w:rPr>
        <w:t xml:space="preserve">Cabral, Ó., </w:t>
      </w:r>
      <w:proofErr w:type="spellStart"/>
      <w:r w:rsidRPr="00DD0422">
        <w:rPr>
          <w:lang w:val="en-GB"/>
        </w:rPr>
        <w:t>Lavrador</w:t>
      </w:r>
      <w:proofErr w:type="spellEnd"/>
      <w:r w:rsidRPr="00DD0422">
        <w:rPr>
          <w:lang w:val="en-GB"/>
        </w:rPr>
        <w:t>, L., Orduna, P. and Moreira, R., 2025. From the kitchen to the embassy: a rapid review of gastronomic approaches in diplomacy. Place Branding and Public Diplomacy, 21(2), pp.259-271.</w:t>
      </w:r>
    </w:p>
    <w:p w14:paraId="593F3499" w14:textId="77777777" w:rsidR="007D6B36" w:rsidRPr="00DD0422" w:rsidRDefault="007D6B36" w:rsidP="007D6B36">
      <w:pPr>
        <w:rPr>
          <w:lang w:val="en-GB"/>
        </w:rPr>
      </w:pPr>
      <w:r w:rsidRPr="00DD0422">
        <w:rPr>
          <w:lang w:val="en-GB"/>
        </w:rPr>
        <w:lastRenderedPageBreak/>
        <w:t>Molla, I.B., Hagger, V., Rothmann, M.J. and Rasmussen, B., 2025. The role of community organisation, religion, spirituality and cultural beliefs on diabetes social support and self-management in Sub-Saharan Africa: integrative literature review. Journal of religion and health, 64(4), pp.2407-2464.</w:t>
      </w:r>
    </w:p>
    <w:p w14:paraId="68D1ACC5" w14:textId="77777777" w:rsidR="007D6B36" w:rsidRPr="00DD0422" w:rsidRDefault="007D6B36" w:rsidP="007D6B36">
      <w:pPr>
        <w:rPr>
          <w:lang w:val="en-GB"/>
        </w:rPr>
      </w:pPr>
      <w:r w:rsidRPr="00DD0422">
        <w:rPr>
          <w:lang w:val="en-GB"/>
        </w:rPr>
        <w:t>Lindsay, S., Ahmed, H., Tomas, V. and Vijayakumar, A., 2023. Exploring the lived experiences of ethnic minority youth with disabilities: a systematic review and meta synthesis of qualitative data. Disability and Rehabilitation, 45(4), pp.588-601.</w:t>
      </w:r>
    </w:p>
    <w:p w14:paraId="4EDDDD94" w14:textId="77777777" w:rsidR="007D6B36" w:rsidRPr="00DD0422" w:rsidRDefault="007D6B36" w:rsidP="007D6B36">
      <w:pPr>
        <w:rPr>
          <w:lang w:val="en-GB"/>
        </w:rPr>
      </w:pPr>
      <w:r w:rsidRPr="00DD0422">
        <w:rPr>
          <w:lang w:val="en-GB"/>
        </w:rPr>
        <w:t xml:space="preserve">Soufi </w:t>
      </w:r>
      <w:proofErr w:type="spellStart"/>
      <w:r w:rsidRPr="00DD0422">
        <w:rPr>
          <w:lang w:val="en-GB"/>
        </w:rPr>
        <w:t>Amlashi</w:t>
      </w:r>
      <w:proofErr w:type="spellEnd"/>
      <w:r w:rsidRPr="00DD0422">
        <w:rPr>
          <w:lang w:val="en-GB"/>
        </w:rPr>
        <w:t xml:space="preserve">, R., </w:t>
      </w:r>
      <w:proofErr w:type="spellStart"/>
      <w:r w:rsidRPr="00DD0422">
        <w:rPr>
          <w:lang w:val="en-GB"/>
        </w:rPr>
        <w:t>Majzoobi</w:t>
      </w:r>
      <w:proofErr w:type="spellEnd"/>
      <w:r w:rsidRPr="00DD0422">
        <w:rPr>
          <w:lang w:val="en-GB"/>
        </w:rPr>
        <w:t xml:space="preserve">, M. and </w:t>
      </w:r>
      <w:proofErr w:type="spellStart"/>
      <w:r w:rsidRPr="00DD0422">
        <w:rPr>
          <w:lang w:val="en-GB"/>
        </w:rPr>
        <w:t>Forstmeier</w:t>
      </w:r>
      <w:proofErr w:type="spellEnd"/>
      <w:r w:rsidRPr="00DD0422">
        <w:rPr>
          <w:lang w:val="en-GB"/>
        </w:rPr>
        <w:t>, S., 2024. The relationship between acculturative stress and psychological outcomes in international students: A systematic review and meta-analysis. Frontiers in Psychology, 15, p.1403807.</w:t>
      </w:r>
    </w:p>
    <w:p w14:paraId="308A52B4" w14:textId="77777777" w:rsidR="007D6B36" w:rsidRPr="00DD0422" w:rsidRDefault="007D6B36" w:rsidP="007D6B36">
      <w:pPr>
        <w:rPr>
          <w:lang w:val="en-GB"/>
        </w:rPr>
      </w:pPr>
      <w:r w:rsidRPr="00DD0422">
        <w:rPr>
          <w:lang w:val="en-GB"/>
        </w:rPr>
        <w:t>Dwyer, L., Barber, C., Dowding, D. and Kearney, R., 2024. Barriers and facilitators to self-management of chronic conditions reported by women: a systematic review of qualitative studies. BMJ open, 14(11), p.e088568.</w:t>
      </w:r>
    </w:p>
    <w:p w14:paraId="4593985C" w14:textId="77777777" w:rsidR="007D6B36" w:rsidRPr="00DD0422" w:rsidRDefault="007D6B36" w:rsidP="007D6B36">
      <w:pPr>
        <w:rPr>
          <w:lang w:val="en-GB"/>
        </w:rPr>
      </w:pPr>
      <w:r w:rsidRPr="00DD0422">
        <w:rPr>
          <w:lang w:val="en-GB"/>
        </w:rPr>
        <w:t xml:space="preserve">Chowdhury, D., </w:t>
      </w:r>
      <w:proofErr w:type="spellStart"/>
      <w:r w:rsidRPr="00DD0422">
        <w:rPr>
          <w:lang w:val="en-GB"/>
        </w:rPr>
        <w:t>Stolee</w:t>
      </w:r>
      <w:proofErr w:type="spellEnd"/>
      <w:r w:rsidRPr="00DD0422">
        <w:rPr>
          <w:lang w:val="en-GB"/>
        </w:rPr>
        <w:t>, P., Sims-Gould, J. and Tong, C., 2023. "Think positive and don't die alone"-Foreign-born, South Asian older adults' perceptions on healthy aging. International Journal of Qualitative Studies on Health and Well-Being, 18(1), p.2253576.</w:t>
      </w:r>
    </w:p>
    <w:p w14:paraId="4A48DA83" w14:textId="77777777" w:rsidR="007D6B36" w:rsidRPr="00DD0422" w:rsidRDefault="007D6B36" w:rsidP="007D6B36">
      <w:pPr>
        <w:rPr>
          <w:lang w:val="en-GB"/>
        </w:rPr>
      </w:pPr>
      <w:r w:rsidRPr="00DD0422">
        <w:rPr>
          <w:lang w:val="en-GB"/>
        </w:rPr>
        <w:t>Bokayev, B., 2024. The socialization of international students in American society and its education system: A comprehensive literature review. Journal of Social Studies Education Research, 15(3), pp.289-316.</w:t>
      </w:r>
    </w:p>
    <w:p w14:paraId="67F3AC4E" w14:textId="77777777" w:rsidR="007D6B36" w:rsidRPr="00DD0422" w:rsidRDefault="007D6B36" w:rsidP="007D6B36">
      <w:pPr>
        <w:rPr>
          <w:lang w:val="en-GB"/>
        </w:rPr>
      </w:pPr>
      <w:r w:rsidRPr="00DD0422">
        <w:rPr>
          <w:lang w:val="en-GB"/>
        </w:rPr>
        <w:t xml:space="preserve">Nantel, A. and Gingras, V., 2023. </w:t>
      </w:r>
      <w:proofErr w:type="gramStart"/>
      <w:r w:rsidRPr="00DD0422">
        <w:rPr>
          <w:lang w:val="en-GB"/>
        </w:rPr>
        <w:t>Are</w:t>
      </w:r>
      <w:proofErr w:type="gramEnd"/>
      <w:r w:rsidRPr="00DD0422">
        <w:rPr>
          <w:lang w:val="en-GB"/>
        </w:rPr>
        <w:t xml:space="preserve"> complementary feeding practices aligned with current recommendations? A narrative review. Children, 10(5), p.794.</w:t>
      </w:r>
    </w:p>
    <w:p w14:paraId="0A260894" w14:textId="77777777" w:rsidR="007D6B36" w:rsidRPr="00DD0422" w:rsidRDefault="007D6B36" w:rsidP="007D6B36">
      <w:pPr>
        <w:rPr>
          <w:lang w:val="en-GB"/>
        </w:rPr>
      </w:pPr>
      <w:r w:rsidRPr="00DD0422">
        <w:rPr>
          <w:lang w:val="en-GB"/>
        </w:rPr>
        <w:t xml:space="preserve">Matovu, B., </w:t>
      </w:r>
      <w:proofErr w:type="spellStart"/>
      <w:r w:rsidRPr="00DD0422">
        <w:rPr>
          <w:lang w:val="en-GB"/>
        </w:rPr>
        <w:t>Bleischwitz</w:t>
      </w:r>
      <w:proofErr w:type="spellEnd"/>
      <w:r w:rsidRPr="00DD0422">
        <w:rPr>
          <w:lang w:val="en-GB"/>
        </w:rPr>
        <w:t xml:space="preserve">, R., </w:t>
      </w:r>
      <w:proofErr w:type="spellStart"/>
      <w:r w:rsidRPr="00DD0422">
        <w:rPr>
          <w:lang w:val="en-GB"/>
        </w:rPr>
        <w:t>Alkoyak</w:t>
      </w:r>
      <w:proofErr w:type="spellEnd"/>
      <w:r w:rsidRPr="00DD0422">
        <w:rPr>
          <w:lang w:val="en-GB"/>
        </w:rPr>
        <w:t xml:space="preserve">-Yildiz, M. and </w:t>
      </w:r>
      <w:proofErr w:type="spellStart"/>
      <w:r w:rsidRPr="00DD0422">
        <w:rPr>
          <w:lang w:val="en-GB"/>
        </w:rPr>
        <w:t>Arlikatti</w:t>
      </w:r>
      <w:proofErr w:type="spellEnd"/>
      <w:r w:rsidRPr="00DD0422">
        <w:rPr>
          <w:lang w:val="en-GB"/>
        </w:rPr>
        <w:t>, S., 2024. Invigorating women's empowerment in marine fishing to promote transformative cultures and narratives for sustainability in the blue economy: A scoping literature review from the Global South. Mitigation and Adaptation Strategies for Global Change, 29(8), p.83.</w:t>
      </w:r>
    </w:p>
    <w:p w14:paraId="7023B9E1" w14:textId="77777777" w:rsidR="007D6B36" w:rsidRPr="00DD0422" w:rsidRDefault="007D6B36" w:rsidP="007D6B36">
      <w:pPr>
        <w:rPr>
          <w:lang w:val="en-GB"/>
        </w:rPr>
      </w:pPr>
      <w:r w:rsidRPr="00DD0422">
        <w:rPr>
          <w:lang w:val="en-GB"/>
        </w:rPr>
        <w:t>Baker, C., Atkinson, D., Grabher, B. and Howcroft, M., 2024. Soft power, cultural relations and conflict through Eurovision and other mega-events: a literature review.</w:t>
      </w:r>
    </w:p>
    <w:p w14:paraId="259EDBB6" w14:textId="77777777" w:rsidR="007D6B36" w:rsidRPr="00DD0422" w:rsidRDefault="007D6B36" w:rsidP="007D6B36">
      <w:pPr>
        <w:rPr>
          <w:lang w:val="en-GB"/>
        </w:rPr>
      </w:pPr>
      <w:r w:rsidRPr="00DD0422">
        <w:rPr>
          <w:lang w:val="en-GB"/>
        </w:rPr>
        <w:t>Tripathi, S. and Azhar, S., 2022. A systematic review of intimate partner violence interventions impacting South Asian women in the United States. Trauma, Violence, &amp; Abuse, 23(2), pp.523-540.</w:t>
      </w:r>
    </w:p>
    <w:p w14:paraId="5A5F890B" w14:textId="77777777" w:rsidR="007D6B36" w:rsidRPr="00DD0422" w:rsidRDefault="007D6B36" w:rsidP="007D6B36">
      <w:pPr>
        <w:rPr>
          <w:lang w:val="en-GB"/>
        </w:rPr>
      </w:pPr>
      <w:r w:rsidRPr="00DD0422">
        <w:rPr>
          <w:lang w:val="en-GB"/>
        </w:rPr>
        <w:lastRenderedPageBreak/>
        <w:t xml:space="preserve">Ninomiya, M.E.M., Burns, N., Pollock, N.J., Green, N.T., Martin, J., Linton, J., Rand, J.R., Brubacher, L.J., Keeling, A. and Latta, A., 2023. Indigenous communities and the mental health impacts of land dispossession related to industrial resource development: a systematic review. The Lancet Planetary Health, 7(6), </w:t>
      </w:r>
      <w:proofErr w:type="gramStart"/>
      <w:r w:rsidRPr="00DD0422">
        <w:rPr>
          <w:lang w:val="en-GB"/>
        </w:rPr>
        <w:t>pp.e</w:t>
      </w:r>
      <w:proofErr w:type="gramEnd"/>
      <w:r w:rsidRPr="00DD0422">
        <w:rPr>
          <w:lang w:val="en-GB"/>
        </w:rPr>
        <w:t>501-e517.</w:t>
      </w:r>
    </w:p>
    <w:p w14:paraId="1E19401E" w14:textId="77777777" w:rsidR="007D6B36" w:rsidRPr="00DD0422" w:rsidRDefault="007D6B36" w:rsidP="007D6B36">
      <w:pPr>
        <w:rPr>
          <w:lang w:val="en-GB"/>
        </w:rPr>
      </w:pPr>
      <w:r w:rsidRPr="00DD0422">
        <w:rPr>
          <w:lang w:val="en-GB"/>
        </w:rPr>
        <w:t xml:space="preserve">Yanan, L., Ismail, M.A. and Aminuddin, A., 2024. How has rural tourism influenced the sustainable development of traditional villages? A systematic literature review. </w:t>
      </w:r>
      <w:proofErr w:type="spellStart"/>
      <w:r w:rsidRPr="00DD0422">
        <w:rPr>
          <w:lang w:val="en-GB"/>
        </w:rPr>
        <w:t>Heliyon</w:t>
      </w:r>
      <w:proofErr w:type="spellEnd"/>
      <w:r w:rsidRPr="00DD0422">
        <w:rPr>
          <w:lang w:val="en-GB"/>
        </w:rPr>
        <w:t>, 10(4).</w:t>
      </w:r>
    </w:p>
    <w:p w14:paraId="49BD7F90" w14:textId="77777777" w:rsidR="007D6B36" w:rsidRPr="00DD0422" w:rsidRDefault="007D6B36" w:rsidP="007D6B36">
      <w:pPr>
        <w:rPr>
          <w:lang w:val="en-GB"/>
        </w:rPr>
      </w:pPr>
      <w:r w:rsidRPr="00DD0422">
        <w:rPr>
          <w:lang w:val="en-GB"/>
        </w:rPr>
        <w:t xml:space="preserve">Lindert, J., </w:t>
      </w:r>
      <w:proofErr w:type="spellStart"/>
      <w:r w:rsidRPr="00DD0422">
        <w:rPr>
          <w:lang w:val="en-GB"/>
        </w:rPr>
        <w:t>Samkange</w:t>
      </w:r>
      <w:proofErr w:type="spellEnd"/>
      <w:r w:rsidRPr="00DD0422">
        <w:rPr>
          <w:lang w:val="en-GB"/>
        </w:rPr>
        <w:t xml:space="preserve">-Zeeb, F., </w:t>
      </w:r>
      <w:proofErr w:type="spellStart"/>
      <w:r w:rsidRPr="00DD0422">
        <w:rPr>
          <w:lang w:val="en-GB"/>
        </w:rPr>
        <w:t>Jakubauskiene</w:t>
      </w:r>
      <w:proofErr w:type="spellEnd"/>
      <w:r w:rsidRPr="00DD0422">
        <w:rPr>
          <w:lang w:val="en-GB"/>
        </w:rPr>
        <w:t>, M., Bain, P.A. and Mollica, R., 2023. Factors contributing to resilience among first generation migrants, refugees and asylum seekers: A systematic review. International journal of public health, 68, p.1606406.</w:t>
      </w:r>
    </w:p>
    <w:p w14:paraId="05D387CA" w14:textId="77777777" w:rsidR="007D6B36" w:rsidRPr="00DD0422" w:rsidRDefault="007D6B36" w:rsidP="007D6B36">
      <w:pPr>
        <w:rPr>
          <w:lang w:val="en-GB"/>
        </w:rPr>
      </w:pPr>
      <w:r w:rsidRPr="00DD0422">
        <w:rPr>
          <w:lang w:val="en-GB"/>
        </w:rPr>
        <w:t>Yong, R.Y.M., Chua, B.L., Han, H. and Kim, B., 2022. Taste your way across the globe: a systematic review of gastronomy tourism literature (2000-2021). Journal of Travel &amp; Tourism Marketing, 39(7-9), pp.623-650.</w:t>
      </w:r>
    </w:p>
    <w:p w14:paraId="1F0D0702" w14:textId="77777777" w:rsidR="007D6B36" w:rsidRPr="00DD0422" w:rsidRDefault="007D6B36" w:rsidP="007D6B36">
      <w:pPr>
        <w:rPr>
          <w:lang w:val="en-GB"/>
        </w:rPr>
      </w:pPr>
      <w:r w:rsidRPr="00DD0422">
        <w:rPr>
          <w:lang w:val="en-GB"/>
        </w:rPr>
        <w:t>World Health Organization, 2023. Mental health of refugees and migrants: risk and protective factors and access to care. World Health Organization.</w:t>
      </w:r>
    </w:p>
    <w:p w14:paraId="51D29B29" w14:textId="77777777" w:rsidR="007D6B36" w:rsidRPr="00DD0422" w:rsidRDefault="007D6B36" w:rsidP="007D6B36">
      <w:pPr>
        <w:rPr>
          <w:lang w:val="en-GB"/>
        </w:rPr>
      </w:pPr>
      <w:r w:rsidRPr="00DD0422">
        <w:rPr>
          <w:lang w:val="en-GB"/>
        </w:rPr>
        <w:t>Sethi, B., Williams, A. and Leung, J.L., 2022. Caregiving across international borders: A systematic review of literature on transnational carer-employees. Journal of cross-cultural gerontology, 37(4), pp.427-461.</w:t>
      </w:r>
    </w:p>
    <w:p w14:paraId="17976005" w14:textId="77777777" w:rsidR="007D6B36" w:rsidRPr="00DD0422" w:rsidRDefault="007D6B36" w:rsidP="007D6B36">
      <w:pPr>
        <w:rPr>
          <w:lang w:val="en-GB"/>
        </w:rPr>
      </w:pPr>
      <w:proofErr w:type="spellStart"/>
      <w:r w:rsidRPr="00DD0422">
        <w:rPr>
          <w:lang w:val="en-GB"/>
        </w:rPr>
        <w:t>Addaney</w:t>
      </w:r>
      <w:proofErr w:type="spellEnd"/>
      <w:r w:rsidRPr="00DD0422">
        <w:rPr>
          <w:lang w:val="en-GB"/>
        </w:rPr>
        <w:t xml:space="preserve">, M., </w:t>
      </w:r>
      <w:proofErr w:type="spellStart"/>
      <w:r w:rsidRPr="00DD0422">
        <w:rPr>
          <w:lang w:val="en-GB"/>
        </w:rPr>
        <w:t>Yegblemenawo</w:t>
      </w:r>
      <w:proofErr w:type="spellEnd"/>
      <w:r w:rsidRPr="00DD0422">
        <w:rPr>
          <w:lang w:val="en-GB"/>
        </w:rPr>
        <w:t xml:space="preserve">, S.A.M., </w:t>
      </w:r>
      <w:proofErr w:type="spellStart"/>
      <w:r w:rsidRPr="00DD0422">
        <w:rPr>
          <w:lang w:val="en-GB"/>
        </w:rPr>
        <w:t>Akudugu</w:t>
      </w:r>
      <w:proofErr w:type="spellEnd"/>
      <w:r w:rsidRPr="00DD0422">
        <w:rPr>
          <w:lang w:val="en-GB"/>
        </w:rPr>
        <w:t>, J.A. and Kodua, M.A., 2022. Climate change and preservation of minority languages in the upper regions of Ghana: A systematic review. Chinese Journal of Population, Resources and Environment, 20(2), pp.177-189.</w:t>
      </w:r>
    </w:p>
    <w:p w14:paraId="254B576A" w14:textId="77777777" w:rsidR="007D6B36" w:rsidRPr="00DD0422" w:rsidRDefault="007D6B36" w:rsidP="007D6B36">
      <w:pPr>
        <w:rPr>
          <w:lang w:val="en-GB"/>
        </w:rPr>
      </w:pPr>
      <w:proofErr w:type="spellStart"/>
      <w:r w:rsidRPr="00DD0422">
        <w:rPr>
          <w:lang w:val="en-GB"/>
        </w:rPr>
        <w:t>Naderbagi</w:t>
      </w:r>
      <w:proofErr w:type="spellEnd"/>
      <w:r w:rsidRPr="00DD0422">
        <w:rPr>
          <w:lang w:val="en-GB"/>
        </w:rPr>
        <w:t xml:space="preserve">, A., </w:t>
      </w:r>
      <w:proofErr w:type="spellStart"/>
      <w:r w:rsidRPr="00DD0422">
        <w:rPr>
          <w:lang w:val="en-GB"/>
        </w:rPr>
        <w:t>Loblay</w:t>
      </w:r>
      <w:proofErr w:type="spellEnd"/>
      <w:r w:rsidRPr="00DD0422">
        <w:rPr>
          <w:lang w:val="en-GB"/>
        </w:rPr>
        <w:t xml:space="preserve">, V., Zahed, I.U.M., </w:t>
      </w:r>
      <w:proofErr w:type="spellStart"/>
      <w:r w:rsidRPr="00DD0422">
        <w:rPr>
          <w:lang w:val="en-GB"/>
        </w:rPr>
        <w:t>Ekambareshwar</w:t>
      </w:r>
      <w:proofErr w:type="spellEnd"/>
      <w:r w:rsidRPr="00DD0422">
        <w:rPr>
          <w:lang w:val="en-GB"/>
        </w:rPr>
        <w:t>, M., Poulsen, A., Song, Y.J., Ospina-Pinillos, L., Krausz, M., Mamdouh Kamel, M., Hickie, I.B. and LaMonica, H.M., 2024. Cultural and contextual adaptation of digital health interventions: narrative review. Journal of medical Internet research, 26, p.e55130.</w:t>
      </w:r>
    </w:p>
    <w:p w14:paraId="56654ECE" w14:textId="77777777" w:rsidR="007D6B36" w:rsidRPr="00DD0422" w:rsidRDefault="007D6B36" w:rsidP="007D6B36">
      <w:pPr>
        <w:rPr>
          <w:lang w:val="en-GB"/>
        </w:rPr>
      </w:pPr>
      <w:r w:rsidRPr="00DD0422">
        <w:rPr>
          <w:lang w:val="en-GB"/>
        </w:rPr>
        <w:t xml:space="preserve">Baber, R., </w:t>
      </w:r>
      <w:proofErr w:type="spellStart"/>
      <w:r w:rsidRPr="00DD0422">
        <w:rPr>
          <w:lang w:val="en-GB"/>
        </w:rPr>
        <w:t>Sankpal</w:t>
      </w:r>
      <w:proofErr w:type="spellEnd"/>
      <w:r w:rsidRPr="00DD0422">
        <w:rPr>
          <w:lang w:val="en-GB"/>
        </w:rPr>
        <w:t xml:space="preserve">, S., Baber, P. and Gulati, C., 2024. Consumer ethnocentrism: What we learned and what we need to </w:t>
      </w:r>
      <w:proofErr w:type="gramStart"/>
      <w:r w:rsidRPr="00DD0422">
        <w:rPr>
          <w:lang w:val="en-GB"/>
        </w:rPr>
        <w:t>know?–</w:t>
      </w:r>
      <w:proofErr w:type="gramEnd"/>
      <w:r w:rsidRPr="00DD0422">
        <w:rPr>
          <w:lang w:val="en-GB"/>
        </w:rPr>
        <w:t>A systematic literature review. Cogent Business &amp; Management, 11(1), p.2321800.</w:t>
      </w:r>
    </w:p>
    <w:p w14:paraId="078D11C0" w14:textId="77777777" w:rsidR="007D6B36" w:rsidRPr="00DD0422" w:rsidRDefault="007D6B36" w:rsidP="007D6B36">
      <w:pPr>
        <w:rPr>
          <w:lang w:val="en-GB"/>
        </w:rPr>
      </w:pPr>
      <w:r w:rsidRPr="00DD0422">
        <w:rPr>
          <w:lang w:val="en-GB"/>
        </w:rPr>
        <w:lastRenderedPageBreak/>
        <w:t xml:space="preserve">Zhang, X., </w:t>
      </w:r>
      <w:proofErr w:type="spellStart"/>
      <w:r w:rsidRPr="00DD0422">
        <w:rPr>
          <w:lang w:val="en-GB"/>
        </w:rPr>
        <w:t>Dumitrica</w:t>
      </w:r>
      <w:proofErr w:type="spellEnd"/>
      <w:r w:rsidRPr="00DD0422">
        <w:rPr>
          <w:lang w:val="en-GB"/>
        </w:rPr>
        <w:t>, D. and Jansz, J., 2024. Mapping Chinese digital nationalism: A literature review. International Journal of Communication, 18, pp.1891-1912.</w:t>
      </w:r>
    </w:p>
    <w:p w14:paraId="49EEAF38" w14:textId="77777777" w:rsidR="007D6B36" w:rsidRPr="00DD0422" w:rsidRDefault="007D6B36" w:rsidP="007D6B36">
      <w:pPr>
        <w:rPr>
          <w:lang w:val="en-GB"/>
        </w:rPr>
      </w:pPr>
      <w:r w:rsidRPr="00DD0422">
        <w:rPr>
          <w:lang w:val="en-GB"/>
        </w:rPr>
        <w:t xml:space="preserve">Perera, M., </w:t>
      </w:r>
      <w:proofErr w:type="spellStart"/>
      <w:r w:rsidRPr="00DD0422">
        <w:rPr>
          <w:lang w:val="en-GB"/>
        </w:rPr>
        <w:t>Vidanaarachchi</w:t>
      </w:r>
      <w:proofErr w:type="spellEnd"/>
      <w:r w:rsidRPr="00DD0422">
        <w:rPr>
          <w:lang w:val="en-GB"/>
        </w:rPr>
        <w:t xml:space="preserve">, R., </w:t>
      </w:r>
      <w:proofErr w:type="spellStart"/>
      <w:r w:rsidRPr="00DD0422">
        <w:rPr>
          <w:lang w:val="en-GB"/>
        </w:rPr>
        <w:t>Chandrashekeran</w:t>
      </w:r>
      <w:proofErr w:type="spellEnd"/>
      <w:r w:rsidRPr="00DD0422">
        <w:rPr>
          <w:lang w:val="en-GB"/>
        </w:rPr>
        <w:t xml:space="preserve">, S., Kennedy, M., Kennedy, B. and </w:t>
      </w:r>
      <w:proofErr w:type="spellStart"/>
      <w:r w:rsidRPr="00DD0422">
        <w:rPr>
          <w:lang w:val="en-GB"/>
        </w:rPr>
        <w:t>Halgamuge</w:t>
      </w:r>
      <w:proofErr w:type="spellEnd"/>
      <w:r w:rsidRPr="00DD0422">
        <w:rPr>
          <w:lang w:val="en-GB"/>
        </w:rPr>
        <w:t>, S., 2025. Indigenous peoples and artificial intelligence: A systematic review and future directions. Big Data &amp; Society, 12(2), p.20539517251349170.</w:t>
      </w:r>
    </w:p>
    <w:p w14:paraId="64C4C139" w14:textId="77777777" w:rsidR="007D6B36" w:rsidRPr="00DD0422" w:rsidRDefault="007D6B36" w:rsidP="007D6B36">
      <w:pPr>
        <w:rPr>
          <w:lang w:val="en-GB"/>
        </w:rPr>
      </w:pPr>
      <w:proofErr w:type="spellStart"/>
      <w:r w:rsidRPr="00DD0422">
        <w:rPr>
          <w:lang w:val="en-GB"/>
        </w:rPr>
        <w:t>Tasbiha</w:t>
      </w:r>
      <w:proofErr w:type="spellEnd"/>
      <w:r w:rsidRPr="00DD0422">
        <w:rPr>
          <w:lang w:val="en-GB"/>
        </w:rPr>
        <w:t xml:space="preserve">, N.S. and Zaidi, A.U., 2025. The psycho-social factors that escalate intimate partner violence (IPV) among South Asian women in North America: An intersectional approach and analysis. Journal of Human </w:t>
      </w:r>
      <w:proofErr w:type="spellStart"/>
      <w:r w:rsidRPr="00DD0422">
        <w:rPr>
          <w:lang w:val="en-GB"/>
        </w:rPr>
        <w:t>Behavior</w:t>
      </w:r>
      <w:proofErr w:type="spellEnd"/>
      <w:r w:rsidRPr="00DD0422">
        <w:rPr>
          <w:lang w:val="en-GB"/>
        </w:rPr>
        <w:t xml:space="preserve"> in the Social Environment, 35(2), pp.196-244.</w:t>
      </w:r>
    </w:p>
    <w:p w14:paraId="6B35854A" w14:textId="77777777" w:rsidR="007D6B36" w:rsidRPr="00DD0422" w:rsidRDefault="007D6B36" w:rsidP="007D6B36">
      <w:pPr>
        <w:rPr>
          <w:lang w:val="en-GB"/>
        </w:rPr>
      </w:pPr>
      <w:r w:rsidRPr="00DD0422">
        <w:rPr>
          <w:lang w:val="en-GB"/>
        </w:rPr>
        <w:t xml:space="preserve">Hanif-Schneider, Z., 2026. What are the factors that enable men from second-generation South Asian backgrounds to seek help for mental </w:t>
      </w:r>
      <w:proofErr w:type="gramStart"/>
      <w:r w:rsidRPr="00DD0422">
        <w:rPr>
          <w:lang w:val="en-GB"/>
        </w:rPr>
        <w:t>health?.</w:t>
      </w:r>
      <w:proofErr w:type="gramEnd"/>
    </w:p>
    <w:p w14:paraId="7F476310" w14:textId="77777777" w:rsidR="007D6B36" w:rsidRPr="00DD0422" w:rsidRDefault="007D6B36" w:rsidP="007D6B36">
      <w:pPr>
        <w:rPr>
          <w:lang w:val="en-GB"/>
        </w:rPr>
      </w:pPr>
      <w:r w:rsidRPr="00DD0422">
        <w:rPr>
          <w:lang w:val="en-GB"/>
        </w:rPr>
        <w:t>Assmann, S., 2024. Culinary heritage in Asia: National and regional identities–Reflections from the field. Routledge Open Research, 3, p.6.</w:t>
      </w:r>
    </w:p>
    <w:p w14:paraId="70B04E54" w14:textId="77777777" w:rsidR="007D6B36" w:rsidRPr="00DD0422" w:rsidRDefault="007D6B36" w:rsidP="007D6B36">
      <w:pPr>
        <w:rPr>
          <w:lang w:val="en-GB"/>
        </w:rPr>
      </w:pPr>
      <w:r w:rsidRPr="00DD0422">
        <w:rPr>
          <w:lang w:val="en-GB"/>
        </w:rPr>
        <w:t xml:space="preserve">Muttaqin, M.I. and Suyurno, S.S., 2024. Exploring Global Phenomena of Modern Islamic Culture: A Systematic Literature Review. </w:t>
      </w:r>
      <w:proofErr w:type="spellStart"/>
      <w:r w:rsidRPr="00DD0422">
        <w:rPr>
          <w:lang w:val="en-GB"/>
        </w:rPr>
        <w:t>Mimbar</w:t>
      </w:r>
      <w:proofErr w:type="spellEnd"/>
      <w:r w:rsidRPr="00DD0422">
        <w:rPr>
          <w:lang w:val="en-GB"/>
        </w:rPr>
        <w:t xml:space="preserve"> Agama </w:t>
      </w:r>
      <w:proofErr w:type="spellStart"/>
      <w:r w:rsidRPr="00DD0422">
        <w:rPr>
          <w:lang w:val="en-GB"/>
        </w:rPr>
        <w:t>Budaya</w:t>
      </w:r>
      <w:proofErr w:type="spellEnd"/>
      <w:r w:rsidRPr="00DD0422">
        <w:rPr>
          <w:lang w:val="en-GB"/>
        </w:rPr>
        <w:t>, 41(1), pp.29-46.</w:t>
      </w:r>
    </w:p>
    <w:p w14:paraId="36B9CD8C" w14:textId="77777777" w:rsidR="007D6B36" w:rsidRPr="00DD0422" w:rsidRDefault="007D6B36" w:rsidP="007D6B36">
      <w:pPr>
        <w:rPr>
          <w:lang w:val="en-GB"/>
        </w:rPr>
      </w:pPr>
      <w:r w:rsidRPr="00DD0422">
        <w:rPr>
          <w:lang w:val="en-GB"/>
        </w:rPr>
        <w:t>Chan, J. and Hurst, M., 2022. South Asian women in the United Kingdom: The role of skin colour dissatisfaction in acculturation experiences and body dissatisfaction. Body Image, 42, pp.413-418.</w:t>
      </w:r>
    </w:p>
    <w:p w14:paraId="110F5665" w14:textId="77777777" w:rsidR="007D6B36" w:rsidRPr="00DD0422" w:rsidRDefault="007D6B36" w:rsidP="007D6B36">
      <w:pPr>
        <w:rPr>
          <w:lang w:val="en-GB"/>
        </w:rPr>
      </w:pPr>
      <w:r w:rsidRPr="00DD0422">
        <w:rPr>
          <w:lang w:val="en-GB"/>
        </w:rPr>
        <w:t xml:space="preserve">Dalal, S., 2024. "How authentic is your curry"? performing curry and diasporic identity in Naben </w:t>
      </w:r>
      <w:proofErr w:type="spellStart"/>
      <w:r w:rsidRPr="00DD0422">
        <w:rPr>
          <w:lang w:val="en-GB"/>
        </w:rPr>
        <w:t>Ruthnum's</w:t>
      </w:r>
      <w:proofErr w:type="spellEnd"/>
      <w:r w:rsidRPr="00DD0422">
        <w:rPr>
          <w:lang w:val="en-GB"/>
        </w:rPr>
        <w:t xml:space="preserve"> Curry: Eating, Reading, and Race. Food, Culture &amp; Society, 27(2), pp.297-309.</w:t>
      </w:r>
    </w:p>
    <w:p w14:paraId="14720EB3" w14:textId="77777777" w:rsidR="007D6B36" w:rsidRPr="00DD0422" w:rsidRDefault="007D6B36" w:rsidP="007D6B36">
      <w:pPr>
        <w:rPr>
          <w:lang w:val="en-GB"/>
        </w:rPr>
      </w:pPr>
      <w:r w:rsidRPr="00DD0422">
        <w:rPr>
          <w:lang w:val="en-GB"/>
        </w:rPr>
        <w:t>Sakib, S.N., 2023. Comparing the sociology of culture in Bangladesh and India: Similarities and differences in Bangladeshi and Indian cultures. Simulacra.</w:t>
      </w:r>
    </w:p>
    <w:p w14:paraId="76AAB0BB" w14:textId="77777777" w:rsidR="007D6B36" w:rsidRPr="00DD0422" w:rsidRDefault="007D6B36" w:rsidP="007D6B36">
      <w:pPr>
        <w:rPr>
          <w:lang w:val="en-GB"/>
        </w:rPr>
      </w:pPr>
      <w:r w:rsidRPr="00DD0422">
        <w:rPr>
          <w:lang w:val="en-GB"/>
        </w:rPr>
        <w:t xml:space="preserve">Ahsan Ullah, A.K.M. and </w:t>
      </w:r>
      <w:proofErr w:type="spellStart"/>
      <w:r w:rsidRPr="00DD0422">
        <w:rPr>
          <w:lang w:val="en-GB"/>
        </w:rPr>
        <w:t>Chattoraj</w:t>
      </w:r>
      <w:proofErr w:type="spellEnd"/>
      <w:r w:rsidRPr="00DD0422">
        <w:rPr>
          <w:lang w:val="en-GB"/>
        </w:rPr>
        <w:t xml:space="preserve">, D., 2025. Narratives shaping the perceptions of the second-generation Afghan diaspora: is Afghanistan a militant, occupied and politically disordered </w:t>
      </w:r>
      <w:proofErr w:type="gramStart"/>
      <w:r w:rsidRPr="00DD0422">
        <w:rPr>
          <w:lang w:val="en-GB"/>
        </w:rPr>
        <w:t>country?.</w:t>
      </w:r>
      <w:proofErr w:type="gramEnd"/>
      <w:r w:rsidRPr="00DD0422">
        <w:rPr>
          <w:lang w:val="en-GB"/>
        </w:rPr>
        <w:t xml:space="preserve"> South Asian Diaspora, 17(2), pp.289-306.</w:t>
      </w:r>
    </w:p>
    <w:p w14:paraId="0D4AEF9F" w14:textId="77777777" w:rsidR="007D6B36" w:rsidRPr="00DD0422" w:rsidRDefault="007D6B36" w:rsidP="007D6B36">
      <w:pPr>
        <w:rPr>
          <w:lang w:val="en-GB"/>
        </w:rPr>
      </w:pPr>
      <w:r w:rsidRPr="00DD0422">
        <w:rPr>
          <w:lang w:val="en-GB"/>
        </w:rPr>
        <w:t xml:space="preserve">Rojas-Méndez, J.I. and </w:t>
      </w:r>
      <w:proofErr w:type="spellStart"/>
      <w:r w:rsidRPr="00DD0422">
        <w:rPr>
          <w:lang w:val="en-GB"/>
        </w:rPr>
        <w:t>Khoshnevis</w:t>
      </w:r>
      <w:proofErr w:type="spellEnd"/>
      <w:r w:rsidRPr="00DD0422">
        <w:rPr>
          <w:lang w:val="en-GB"/>
        </w:rPr>
        <w:t>, M., 2023. Conceptualizing nation branding: the systematic literature review. Journal of Product &amp; Brand Management, 32(1), pp.107-123.</w:t>
      </w:r>
    </w:p>
    <w:p w14:paraId="0ED759A4" w14:textId="77777777" w:rsidR="007D6B36" w:rsidRPr="00DD0422" w:rsidRDefault="007D6B36" w:rsidP="007D6B36">
      <w:pPr>
        <w:rPr>
          <w:lang w:val="en-GB"/>
        </w:rPr>
      </w:pPr>
      <w:r w:rsidRPr="00DD0422">
        <w:rPr>
          <w:lang w:val="en-GB"/>
        </w:rPr>
        <w:lastRenderedPageBreak/>
        <w:t>Shen, H. and Lai, I.K.W., 2022. Souvenirs: A systematic literature review (1981–2020) and research agenda. Sage Open, 12(2), p.21582440221106734.</w:t>
      </w:r>
    </w:p>
    <w:p w14:paraId="7696A8DD" w14:textId="77777777" w:rsidR="007D6B36" w:rsidRPr="00DD0422" w:rsidRDefault="007D6B36" w:rsidP="007D6B36">
      <w:pPr>
        <w:rPr>
          <w:lang w:val="en-GB"/>
        </w:rPr>
      </w:pPr>
      <w:r w:rsidRPr="00DD0422">
        <w:rPr>
          <w:lang w:val="en-GB"/>
        </w:rPr>
        <w:t xml:space="preserve">Kempinski, R., </w:t>
      </w:r>
      <w:proofErr w:type="spellStart"/>
      <w:r w:rsidRPr="00DD0422">
        <w:rPr>
          <w:lang w:val="en-GB"/>
        </w:rPr>
        <w:t>Arabasz</w:t>
      </w:r>
      <w:proofErr w:type="spellEnd"/>
      <w:r w:rsidRPr="00DD0422">
        <w:rPr>
          <w:lang w:val="en-GB"/>
        </w:rPr>
        <w:t>, D. and Neubauer, K., 2024. Effects of milk and dairy on the risk and course of inflammatory bowel disease versus patients' dietary beliefs and practices: a systematic review. Nutrients, 16(15), p.2555.</w:t>
      </w:r>
    </w:p>
    <w:p w14:paraId="0CD920A6" w14:textId="77777777" w:rsidR="007D6B36" w:rsidRPr="00DD0422" w:rsidRDefault="007D6B36" w:rsidP="007D6B36">
      <w:pPr>
        <w:rPr>
          <w:lang w:val="en-GB"/>
        </w:rPr>
      </w:pPr>
      <w:proofErr w:type="spellStart"/>
      <w:r w:rsidRPr="00DD0422">
        <w:rPr>
          <w:lang w:val="en-GB"/>
        </w:rPr>
        <w:t>Maulidiyah</w:t>
      </w:r>
      <w:proofErr w:type="spellEnd"/>
      <w:r w:rsidRPr="00DD0422">
        <w:rPr>
          <w:lang w:val="en-GB"/>
        </w:rPr>
        <w:t>, D.N., 2024. Consensus on the role of culture in restraining financial crime: a systematic literature review. Journal of Financial Crime, 31(4), pp.883-897.</w:t>
      </w:r>
    </w:p>
    <w:p w14:paraId="00C62540" w14:textId="77777777" w:rsidR="007D6B36" w:rsidRPr="00DD0422" w:rsidRDefault="007D6B36" w:rsidP="007D6B36">
      <w:pPr>
        <w:rPr>
          <w:lang w:val="en-GB"/>
        </w:rPr>
      </w:pPr>
      <w:r w:rsidRPr="00DD0422">
        <w:rPr>
          <w:lang w:val="en-GB"/>
        </w:rPr>
        <w:t xml:space="preserve">Arzhang, P., Abbasi, S.H., </w:t>
      </w:r>
      <w:proofErr w:type="spellStart"/>
      <w:r w:rsidRPr="00DD0422">
        <w:rPr>
          <w:lang w:val="en-GB"/>
        </w:rPr>
        <w:t>Sarsangi</w:t>
      </w:r>
      <w:proofErr w:type="spellEnd"/>
      <w:r w:rsidRPr="00DD0422">
        <w:rPr>
          <w:lang w:val="en-GB"/>
        </w:rPr>
        <w:t xml:space="preserve">, P., </w:t>
      </w:r>
      <w:proofErr w:type="spellStart"/>
      <w:r w:rsidRPr="00DD0422">
        <w:rPr>
          <w:lang w:val="en-GB"/>
        </w:rPr>
        <w:t>Malekahmadi</w:t>
      </w:r>
      <w:proofErr w:type="spellEnd"/>
      <w:r w:rsidRPr="00DD0422">
        <w:rPr>
          <w:lang w:val="en-GB"/>
        </w:rPr>
        <w:t xml:space="preserve">, M., </w:t>
      </w:r>
      <w:proofErr w:type="spellStart"/>
      <w:r w:rsidRPr="00DD0422">
        <w:rPr>
          <w:lang w:val="en-GB"/>
        </w:rPr>
        <w:t>Nikbaf-Shandiz</w:t>
      </w:r>
      <w:proofErr w:type="spellEnd"/>
      <w:r w:rsidRPr="00DD0422">
        <w:rPr>
          <w:lang w:val="en-GB"/>
        </w:rPr>
        <w:t xml:space="preserve">, M., Bellissimo, N. and </w:t>
      </w:r>
      <w:proofErr w:type="spellStart"/>
      <w:r w:rsidRPr="00DD0422">
        <w:rPr>
          <w:lang w:val="en-GB"/>
        </w:rPr>
        <w:t>Azadbakht</w:t>
      </w:r>
      <w:proofErr w:type="spellEnd"/>
      <w:r w:rsidRPr="00DD0422">
        <w:rPr>
          <w:lang w:val="en-GB"/>
        </w:rPr>
        <w:t>, L., 2022. Prevalence of household food insecurity among a healthy Iranian population: A systematic review and meta-analysis. Frontiers in Nutrition, 9, p.1006543.</w:t>
      </w:r>
    </w:p>
    <w:p w14:paraId="4C8FAA6B" w14:textId="77777777" w:rsidR="007D6B36" w:rsidRPr="00DD0422" w:rsidRDefault="007D6B36" w:rsidP="007D6B36">
      <w:pPr>
        <w:rPr>
          <w:lang w:val="en-GB"/>
        </w:rPr>
      </w:pPr>
      <w:proofErr w:type="spellStart"/>
      <w:r w:rsidRPr="00DD0422">
        <w:rPr>
          <w:lang w:val="en-GB"/>
        </w:rPr>
        <w:t>Chakraverty</w:t>
      </w:r>
      <w:proofErr w:type="spellEnd"/>
      <w:r w:rsidRPr="00DD0422">
        <w:rPr>
          <w:lang w:val="en-GB"/>
        </w:rPr>
        <w:t xml:space="preserve">, D., Baumeister, A., Aldin, A., Seven, Ü.S., Monsef, I., </w:t>
      </w:r>
      <w:proofErr w:type="spellStart"/>
      <w:r w:rsidRPr="00DD0422">
        <w:rPr>
          <w:lang w:val="en-GB"/>
        </w:rPr>
        <w:t>Skoetz</w:t>
      </w:r>
      <w:proofErr w:type="spellEnd"/>
      <w:r w:rsidRPr="00DD0422">
        <w:rPr>
          <w:lang w:val="en-GB"/>
        </w:rPr>
        <w:t xml:space="preserve">, N., </w:t>
      </w:r>
      <w:proofErr w:type="spellStart"/>
      <w:r w:rsidRPr="00DD0422">
        <w:rPr>
          <w:lang w:val="en-GB"/>
        </w:rPr>
        <w:t>Woopen</w:t>
      </w:r>
      <w:proofErr w:type="spellEnd"/>
      <w:r w:rsidRPr="00DD0422">
        <w:rPr>
          <w:lang w:val="en-GB"/>
        </w:rPr>
        <w:t>, C. and Kalbe, E., 2022. Gender differences of health literacy in persons with a migration background: a systematic review and meta-analysis. BMJ open, 12(7), p.e056090.</w:t>
      </w:r>
    </w:p>
    <w:p w14:paraId="3E899E1E" w14:textId="77777777" w:rsidR="007D6B36" w:rsidRPr="00DD0422" w:rsidRDefault="007D6B36" w:rsidP="007D6B36">
      <w:pPr>
        <w:rPr>
          <w:lang w:val="en-GB"/>
        </w:rPr>
      </w:pPr>
      <w:r w:rsidRPr="00DD0422">
        <w:rPr>
          <w:lang w:val="en-GB"/>
        </w:rPr>
        <w:t>Martín-Rodríguez, A., Bustamante-Sánchez, Á., Martínez-Guardado, I., Navarro-Jiménez, E., Plata-</w:t>
      </w:r>
      <w:proofErr w:type="spellStart"/>
      <w:r w:rsidRPr="00DD0422">
        <w:rPr>
          <w:lang w:val="en-GB"/>
        </w:rPr>
        <w:t>SanJuan</w:t>
      </w:r>
      <w:proofErr w:type="spellEnd"/>
      <w:r w:rsidRPr="00DD0422">
        <w:rPr>
          <w:lang w:val="en-GB"/>
        </w:rPr>
        <w:t>, E., Tornero-Aguilera, J.F. and Clemente-Suárez, V.J., 2022. Infancy dietary patterns, development, and health: an extensive narrative review. Children, 9(7), p.1072.</w:t>
      </w:r>
    </w:p>
    <w:p w14:paraId="4083C2A2" w14:textId="77777777" w:rsidR="007D6B36" w:rsidRPr="00DD0422" w:rsidRDefault="007D6B36" w:rsidP="007D6B36">
      <w:pPr>
        <w:rPr>
          <w:lang w:val="en-GB"/>
        </w:rPr>
      </w:pPr>
      <w:r w:rsidRPr="00DD0422">
        <w:rPr>
          <w:lang w:val="en-GB"/>
        </w:rPr>
        <w:t xml:space="preserve">Niraula, A. and </w:t>
      </w:r>
      <w:proofErr w:type="spellStart"/>
      <w:r w:rsidRPr="00DD0422">
        <w:rPr>
          <w:lang w:val="en-GB"/>
        </w:rPr>
        <w:t>Triandafyllidou</w:t>
      </w:r>
      <w:proofErr w:type="spellEnd"/>
      <w:r w:rsidRPr="00DD0422">
        <w:rPr>
          <w:lang w:val="en-GB"/>
        </w:rPr>
        <w:t>, A., 2022. Highly skilled migrant decision-making under uncertainty: A literature review. TMCIS and the CERC Migration and Integration. Working Paper Series 2022, 9.</w:t>
      </w:r>
    </w:p>
    <w:p w14:paraId="19CEA39C" w14:textId="77777777" w:rsidR="007D6B36" w:rsidRPr="00DD0422" w:rsidRDefault="007D6B36" w:rsidP="007D6B36">
      <w:pPr>
        <w:rPr>
          <w:lang w:val="en-GB"/>
        </w:rPr>
      </w:pPr>
      <w:r w:rsidRPr="00DD0422">
        <w:rPr>
          <w:lang w:val="en-GB"/>
        </w:rPr>
        <w:t xml:space="preserve">Wahbeh, S., Anastasiadis, F., </w:t>
      </w:r>
      <w:proofErr w:type="spellStart"/>
      <w:r w:rsidRPr="00DD0422">
        <w:rPr>
          <w:lang w:val="en-GB"/>
        </w:rPr>
        <w:t>Sundarakani</w:t>
      </w:r>
      <w:proofErr w:type="spellEnd"/>
      <w:r w:rsidRPr="00DD0422">
        <w:rPr>
          <w:lang w:val="en-GB"/>
        </w:rPr>
        <w:t>, B. and Manikas, I., 2022. Exploration of food security challenges towards more sustainable food production: A systematic literature review of the major drivers and policies. Foods, 11(23), p.3804.</w:t>
      </w:r>
    </w:p>
    <w:p w14:paraId="27675A96" w14:textId="77777777" w:rsidR="007D6B36" w:rsidRPr="00DD0422" w:rsidRDefault="007D6B36" w:rsidP="007D6B36">
      <w:pPr>
        <w:rPr>
          <w:lang w:val="en-GB"/>
        </w:rPr>
      </w:pPr>
      <w:r w:rsidRPr="00DD0422">
        <w:rPr>
          <w:lang w:val="en-GB"/>
        </w:rPr>
        <w:t>Mu, Q. and Aimar, F., 2022. How are historical villages changed? A systematic literature review on European and Chinese cultural heritage preservation practices in rural areas. Land, 11(7), p.982.</w:t>
      </w:r>
    </w:p>
    <w:p w14:paraId="430AE7D6" w14:textId="77777777" w:rsidR="007D6B36" w:rsidRPr="008F5E07" w:rsidRDefault="007D6B36" w:rsidP="007D6B36">
      <w:pPr>
        <w:rPr>
          <w:lang w:val="en-GB"/>
        </w:rPr>
      </w:pPr>
      <w:proofErr w:type="spellStart"/>
      <w:r w:rsidRPr="00DD0422">
        <w:rPr>
          <w:lang w:val="en-GB"/>
        </w:rPr>
        <w:lastRenderedPageBreak/>
        <w:t>Tzotzis</w:t>
      </w:r>
      <w:proofErr w:type="spellEnd"/>
      <w:r w:rsidRPr="00DD0422">
        <w:rPr>
          <w:lang w:val="en-GB"/>
        </w:rPr>
        <w:t xml:space="preserve">, L., Hooper, M.E., Douglas, A., Kurz, E., </w:t>
      </w:r>
      <w:proofErr w:type="spellStart"/>
      <w:r w:rsidRPr="00DD0422">
        <w:rPr>
          <w:lang w:val="en-GB"/>
        </w:rPr>
        <w:t>Atchan</w:t>
      </w:r>
      <w:proofErr w:type="spellEnd"/>
      <w:r w:rsidRPr="00DD0422">
        <w:rPr>
          <w:lang w:val="en-GB"/>
        </w:rPr>
        <w:t>, M., Spiller, S. and Davis, D., 2023. The needs and experiences of women with gestational diabetes mellitus from minority ethnic backgrounds in high-income nations: A systematic integrative review. Women and Birth, 36(2), pp.205-216.</w:t>
      </w:r>
    </w:p>
    <w:p w14:paraId="146CD130" w14:textId="77777777" w:rsidR="007D6B36" w:rsidRDefault="007D6B36" w:rsidP="007D6B36">
      <w:r>
        <w:t>Tajfel, H. and Turner, J.C., 2004. The social identity theory of intergroup behavior. In Political psychology (pp. 276-293). Psychology Press.</w:t>
      </w:r>
    </w:p>
    <w:p w14:paraId="2DA1ED1D" w14:textId="77777777" w:rsidR="007D6B36" w:rsidRDefault="007D6B36" w:rsidP="007D6B36">
      <w:r>
        <w:t xml:space="preserve"> O’Sullivan, N. and </w:t>
      </w:r>
      <w:proofErr w:type="spellStart"/>
      <w:r>
        <w:t>Amirabdollahian</w:t>
      </w:r>
      <w:proofErr w:type="spellEnd"/>
      <w:r>
        <w:t>, F., 2016. Loyal tongue, liberal mind: International students’ experiences on dietary acculturation in England. Journal of International Students, 6(1), pp.107-127.</w:t>
      </w:r>
    </w:p>
    <w:p w14:paraId="381240BC" w14:textId="77777777" w:rsidR="007D6B36" w:rsidRDefault="007D6B36" w:rsidP="007D6B36">
      <w:r>
        <w:t xml:space="preserve">Mensah, F.Z., Lane, K.E. and Richardson, L.D., 2022. Determinants of eating </w:t>
      </w:r>
      <w:proofErr w:type="spellStart"/>
      <w:r>
        <w:t>behaviour</w:t>
      </w:r>
      <w:proofErr w:type="spellEnd"/>
      <w:r>
        <w:t xml:space="preserve"> in Black, Asian and Minority Ethnic (BAME) university students when living at and away from home: With a focus on the influence of food enculturation and food acculturation. Appetite, 171, p.105932.</w:t>
      </w:r>
    </w:p>
    <w:p w14:paraId="2F4A45EA" w14:textId="77777777" w:rsidR="007D6B36" w:rsidRDefault="007D6B36" w:rsidP="007D6B36">
      <w:r>
        <w:t xml:space="preserve">Saini, R., 2022. The </w:t>
      </w:r>
      <w:proofErr w:type="spellStart"/>
      <w:r>
        <w:t>racialisation</w:t>
      </w:r>
      <w:proofErr w:type="spellEnd"/>
      <w:r>
        <w:t xml:space="preserve"> of class and the </w:t>
      </w:r>
      <w:proofErr w:type="spellStart"/>
      <w:r>
        <w:t>racialisation</w:t>
      </w:r>
      <w:proofErr w:type="spellEnd"/>
      <w:r>
        <w:t xml:space="preserve"> of the nation: Ethnic minority identity formation across the British South Asian middle classes. South Asian Diaspora, 14(2), pp.109-125.</w:t>
      </w:r>
    </w:p>
    <w:p w14:paraId="4F68DEC6" w14:textId="77777777" w:rsidR="007D6B36" w:rsidRDefault="007D6B36" w:rsidP="007D6B36"/>
    <w:p w14:paraId="053737B0" w14:textId="77777777" w:rsidR="007D6B36" w:rsidRDefault="007D6B36" w:rsidP="007D6B36"/>
    <w:p w14:paraId="326001AD" w14:textId="77777777" w:rsidR="007D6B36" w:rsidRDefault="007D6B36" w:rsidP="007D6B36"/>
    <w:p w14:paraId="282D202B" w14:textId="77777777" w:rsidR="007D6B36" w:rsidRDefault="007D6B36" w:rsidP="007D6B36"/>
    <w:p w14:paraId="1718E466" w14:textId="77777777" w:rsidR="00F50B0C" w:rsidRPr="00793ED2" w:rsidRDefault="00F50B0C" w:rsidP="00F50B0C">
      <w:pPr>
        <w:rPr>
          <w:color w:val="00B0F0"/>
        </w:rPr>
      </w:pPr>
    </w:p>
    <w:p w14:paraId="30FED986" w14:textId="77777777" w:rsidR="00F50B0C" w:rsidRDefault="00F50B0C" w:rsidP="00F50B0C">
      <w:r>
        <w:t xml:space="preserve"> </w:t>
      </w:r>
    </w:p>
    <w:p w14:paraId="3BEBB38F" w14:textId="77777777" w:rsidR="00F50B0C" w:rsidRDefault="00F50B0C" w:rsidP="00F50B0C"/>
    <w:p w14:paraId="38EDC7D4" w14:textId="77777777" w:rsidR="00C960A9" w:rsidRDefault="00C960A9" w:rsidP="00EC677F">
      <w:pPr>
        <w:spacing w:line="360" w:lineRule="auto"/>
        <w:jc w:val="both"/>
        <w:rPr>
          <w:rFonts w:cs="Times New Roman"/>
          <w:b/>
          <w:bCs/>
          <w:sz w:val="32"/>
          <w:szCs w:val="32"/>
        </w:rPr>
      </w:pPr>
    </w:p>
    <w:p w14:paraId="4FEC59D1" w14:textId="77777777" w:rsidR="00C960A9" w:rsidRDefault="00C960A9" w:rsidP="00EC677F">
      <w:pPr>
        <w:spacing w:line="360" w:lineRule="auto"/>
        <w:jc w:val="both"/>
        <w:rPr>
          <w:rFonts w:cs="Times New Roman"/>
          <w:b/>
          <w:bCs/>
          <w:sz w:val="32"/>
          <w:szCs w:val="32"/>
        </w:rPr>
      </w:pPr>
    </w:p>
    <w:tbl>
      <w:tblPr>
        <w:tblStyle w:val="TableGrid"/>
        <w:tblW w:w="5000" w:type="pct"/>
        <w:tblLook w:val="04A0" w:firstRow="1" w:lastRow="0" w:firstColumn="1" w:lastColumn="0" w:noHBand="0" w:noVBand="1"/>
      </w:tblPr>
      <w:tblGrid>
        <w:gridCol w:w="460"/>
        <w:gridCol w:w="1140"/>
        <w:gridCol w:w="1264"/>
        <w:gridCol w:w="1506"/>
        <w:gridCol w:w="1324"/>
        <w:gridCol w:w="1190"/>
        <w:gridCol w:w="1092"/>
        <w:gridCol w:w="1306"/>
        <w:gridCol w:w="1122"/>
        <w:gridCol w:w="1306"/>
        <w:gridCol w:w="1240"/>
      </w:tblGrid>
      <w:tr w:rsidR="00491D44" w:rsidRPr="000E3BBE" w14:paraId="2F430A0D" w14:textId="77777777" w:rsidTr="00F011CB">
        <w:tc>
          <w:tcPr>
            <w:tcW w:w="178" w:type="pct"/>
          </w:tcPr>
          <w:p w14:paraId="3AD2B49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b/>
                <w:sz w:val="20"/>
                <w:szCs w:val="40"/>
              </w:rPr>
              <w:t>No.</w:t>
            </w:r>
          </w:p>
        </w:tc>
        <w:tc>
          <w:tcPr>
            <w:tcW w:w="442" w:type="pct"/>
          </w:tcPr>
          <w:p w14:paraId="4067ADF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b/>
                <w:sz w:val="20"/>
                <w:szCs w:val="40"/>
              </w:rPr>
              <w:t>Author &amp; Year</w:t>
            </w:r>
          </w:p>
        </w:tc>
        <w:tc>
          <w:tcPr>
            <w:tcW w:w="490" w:type="pct"/>
          </w:tcPr>
          <w:p w14:paraId="6488FE9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b/>
                <w:sz w:val="20"/>
                <w:szCs w:val="40"/>
              </w:rPr>
              <w:t xml:space="preserve">Key words </w:t>
            </w:r>
          </w:p>
        </w:tc>
        <w:tc>
          <w:tcPr>
            <w:tcW w:w="585" w:type="pct"/>
          </w:tcPr>
          <w:p w14:paraId="769CEE3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b/>
                <w:sz w:val="20"/>
                <w:szCs w:val="40"/>
              </w:rPr>
              <w:t>Context</w:t>
            </w:r>
          </w:p>
        </w:tc>
        <w:tc>
          <w:tcPr>
            <w:tcW w:w="512" w:type="pct"/>
          </w:tcPr>
          <w:p w14:paraId="7D6B35E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b/>
                <w:sz w:val="20"/>
                <w:szCs w:val="40"/>
              </w:rPr>
              <w:t>Aim</w:t>
            </w:r>
          </w:p>
        </w:tc>
        <w:tc>
          <w:tcPr>
            <w:tcW w:w="462" w:type="pct"/>
          </w:tcPr>
          <w:p w14:paraId="1500BAD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b/>
                <w:sz w:val="20"/>
                <w:szCs w:val="40"/>
              </w:rPr>
              <w:t>Population</w:t>
            </w:r>
          </w:p>
        </w:tc>
        <w:tc>
          <w:tcPr>
            <w:tcW w:w="424" w:type="pct"/>
          </w:tcPr>
          <w:p w14:paraId="580B7ED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b/>
                <w:sz w:val="20"/>
                <w:szCs w:val="40"/>
              </w:rPr>
              <w:t>RO1: Food culture dimensions in South Asian migrant communities in the UK</w:t>
            </w:r>
          </w:p>
        </w:tc>
        <w:tc>
          <w:tcPr>
            <w:tcW w:w="507" w:type="pct"/>
          </w:tcPr>
          <w:p w14:paraId="4C0D468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b/>
                <w:sz w:val="20"/>
                <w:szCs w:val="40"/>
              </w:rPr>
              <w:t>RO2: Cultural identity dimensions in South Asian migrant communities in the UK</w:t>
            </w:r>
          </w:p>
        </w:tc>
        <w:tc>
          <w:tcPr>
            <w:tcW w:w="412" w:type="pct"/>
          </w:tcPr>
          <w:p w14:paraId="3456CB9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b/>
                <w:sz w:val="20"/>
                <w:szCs w:val="40"/>
              </w:rPr>
              <w:t>RO3: Food culture and cultural identity among South Asian migrants in the UK</w:t>
            </w:r>
          </w:p>
        </w:tc>
        <w:tc>
          <w:tcPr>
            <w:tcW w:w="507" w:type="pct"/>
          </w:tcPr>
          <w:p w14:paraId="00CDE61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b/>
                <w:sz w:val="20"/>
                <w:szCs w:val="40"/>
              </w:rPr>
              <w:t>Key Findings</w:t>
            </w:r>
          </w:p>
        </w:tc>
        <w:tc>
          <w:tcPr>
            <w:tcW w:w="481" w:type="pct"/>
          </w:tcPr>
          <w:p w14:paraId="760169C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b/>
                <w:sz w:val="20"/>
                <w:szCs w:val="40"/>
              </w:rPr>
              <w:t>Research Gap</w:t>
            </w:r>
          </w:p>
        </w:tc>
      </w:tr>
      <w:tr w:rsidR="00491D44" w:rsidRPr="000E3BBE" w14:paraId="10EB81C3" w14:textId="77777777" w:rsidTr="00F011CB">
        <w:tc>
          <w:tcPr>
            <w:tcW w:w="178" w:type="pct"/>
          </w:tcPr>
          <w:p w14:paraId="39E55A2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w:t>
            </w:r>
          </w:p>
        </w:tc>
        <w:tc>
          <w:tcPr>
            <w:tcW w:w="442" w:type="pct"/>
          </w:tcPr>
          <w:p w14:paraId="2EC17F2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Gandhi (2024)</w:t>
            </w:r>
          </w:p>
        </w:tc>
        <w:tc>
          <w:tcPr>
            <w:tcW w:w="490" w:type="pct"/>
          </w:tcPr>
          <w:p w14:paraId="503829A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The Politics of Belonging through</w:t>
            </w:r>
          </w:p>
        </w:tc>
        <w:tc>
          <w:tcPr>
            <w:tcW w:w="585" w:type="pct"/>
          </w:tcPr>
          <w:p w14:paraId="15A3AD4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London, UK</w:t>
            </w:r>
          </w:p>
        </w:tc>
        <w:tc>
          <w:tcPr>
            <w:tcW w:w="512" w:type="pct"/>
          </w:tcPr>
          <w:p w14:paraId="433AADE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and belonging among</w:t>
            </w:r>
          </w:p>
        </w:tc>
        <w:tc>
          <w:tcPr>
            <w:tcW w:w="462" w:type="pct"/>
          </w:tcPr>
          <w:p w14:paraId="3D2DF9C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focuses South Asian</w:t>
            </w:r>
          </w:p>
        </w:tc>
        <w:tc>
          <w:tcPr>
            <w:tcW w:w="424" w:type="pct"/>
          </w:tcPr>
          <w:p w14:paraId="27D3AA4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Cooking, eating, sharing and food traditions</w:t>
            </w:r>
          </w:p>
        </w:tc>
        <w:tc>
          <w:tcPr>
            <w:tcW w:w="507" w:type="pct"/>
          </w:tcPr>
          <w:p w14:paraId="7E38F42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identity, belonging, heritage and home</w:t>
            </w:r>
          </w:p>
        </w:tc>
        <w:tc>
          <w:tcPr>
            <w:tcW w:w="412" w:type="pct"/>
          </w:tcPr>
          <w:p w14:paraId="69FAA3F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connects migrants with home, heritage and identity</w:t>
            </w:r>
          </w:p>
        </w:tc>
        <w:tc>
          <w:tcPr>
            <w:tcW w:w="507" w:type="pct"/>
          </w:tcPr>
          <w:p w14:paraId="4F718FC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has emotional, social and cultural meaning</w:t>
            </w:r>
          </w:p>
        </w:tc>
        <w:tc>
          <w:tcPr>
            <w:tcW w:w="481" w:type="pct"/>
          </w:tcPr>
          <w:p w14:paraId="52A4A21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Few studies compare different South Asian migrant groups</w:t>
            </w:r>
          </w:p>
        </w:tc>
      </w:tr>
      <w:tr w:rsidR="00491D44" w:rsidRPr="000E3BBE" w14:paraId="5B5B74B0" w14:textId="77777777" w:rsidTr="00F011CB">
        <w:tc>
          <w:tcPr>
            <w:tcW w:w="178" w:type="pct"/>
          </w:tcPr>
          <w:p w14:paraId="35DDBFC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w:t>
            </w:r>
          </w:p>
        </w:tc>
        <w:tc>
          <w:tcPr>
            <w:tcW w:w="442" w:type="pct"/>
          </w:tcPr>
          <w:p w14:paraId="1713EA8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Chowdhury (2023)</w:t>
            </w:r>
          </w:p>
        </w:tc>
        <w:tc>
          <w:tcPr>
            <w:tcW w:w="490" w:type="pct"/>
          </w:tcPr>
          <w:p w14:paraId="7218E25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What Does Food Sustain</w:t>
            </w:r>
          </w:p>
        </w:tc>
        <w:tc>
          <w:tcPr>
            <w:tcW w:w="585" w:type="pct"/>
          </w:tcPr>
          <w:p w14:paraId="3FB0A86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diasporic context</w:t>
            </w:r>
          </w:p>
        </w:tc>
        <w:tc>
          <w:tcPr>
            <w:tcW w:w="512" w:type="pct"/>
          </w:tcPr>
          <w:p w14:paraId="773A690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memory and</w:t>
            </w:r>
          </w:p>
        </w:tc>
        <w:tc>
          <w:tcPr>
            <w:tcW w:w="462" w:type="pct"/>
          </w:tcPr>
          <w:p w14:paraId="16DC7FC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241D976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Family meals, cooking and food choices</w:t>
            </w:r>
          </w:p>
        </w:tc>
        <w:tc>
          <w:tcPr>
            <w:tcW w:w="507" w:type="pct"/>
          </w:tcPr>
          <w:p w14:paraId="1E47370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Family, community and South Asian identity</w:t>
            </w:r>
          </w:p>
        </w:tc>
        <w:tc>
          <w:tcPr>
            <w:tcW w:w="412" w:type="pct"/>
          </w:tcPr>
          <w:p w14:paraId="2D168F6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helps sustain family, culture and identity</w:t>
            </w:r>
          </w:p>
        </w:tc>
        <w:tc>
          <w:tcPr>
            <w:tcW w:w="507" w:type="pct"/>
          </w:tcPr>
          <w:p w14:paraId="55888BC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practices reflect family and social life</w:t>
            </w:r>
          </w:p>
        </w:tc>
        <w:tc>
          <w:tcPr>
            <w:tcW w:w="481" w:type="pct"/>
          </w:tcPr>
          <w:p w14:paraId="7266586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Broader studies are needed across families and migrant groups</w:t>
            </w:r>
          </w:p>
        </w:tc>
      </w:tr>
      <w:tr w:rsidR="00491D44" w:rsidRPr="000E3BBE" w14:paraId="0EA9E058" w14:textId="77777777" w:rsidTr="00F011CB">
        <w:tc>
          <w:tcPr>
            <w:tcW w:w="178" w:type="pct"/>
          </w:tcPr>
          <w:p w14:paraId="5E98602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3</w:t>
            </w:r>
          </w:p>
        </w:tc>
        <w:tc>
          <w:tcPr>
            <w:tcW w:w="442" w:type="pct"/>
          </w:tcPr>
          <w:p w14:paraId="16AE68D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Iqbal (2023)</w:t>
            </w:r>
          </w:p>
        </w:tc>
        <w:tc>
          <w:tcPr>
            <w:tcW w:w="490" w:type="pct"/>
          </w:tcPr>
          <w:p w14:paraId="3BF8559F" w14:textId="62653D19"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Cultural Factors Influencing Eating </w:t>
            </w:r>
            <w:r w:rsidR="00600C9E" w:rsidRPr="000E3BBE">
              <w:rPr>
                <w:rFonts w:ascii="Cambria" w:eastAsia="MS Mincho" w:hAnsi="Cambria" w:cs="Times New Roman"/>
                <w:sz w:val="20"/>
                <w:szCs w:val="40"/>
              </w:rPr>
              <w:t>Behaviors</w:t>
            </w:r>
          </w:p>
        </w:tc>
        <w:tc>
          <w:tcPr>
            <w:tcW w:w="585" w:type="pct"/>
          </w:tcPr>
          <w:p w14:paraId="40F98EF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UK – England, Scotland</w:t>
            </w:r>
          </w:p>
        </w:tc>
        <w:tc>
          <w:tcPr>
            <w:tcW w:w="512" w:type="pct"/>
          </w:tcPr>
          <w:p w14:paraId="40EEDAF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factors affecting eating</w:t>
            </w:r>
          </w:p>
        </w:tc>
        <w:tc>
          <w:tcPr>
            <w:tcW w:w="462" w:type="pct"/>
          </w:tcPr>
          <w:p w14:paraId="2653473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scoping rather than</w:t>
            </w:r>
          </w:p>
        </w:tc>
        <w:tc>
          <w:tcPr>
            <w:tcW w:w="424" w:type="pct"/>
          </w:tcPr>
          <w:p w14:paraId="63E0E59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norms, beliefs and family influence</w:t>
            </w:r>
          </w:p>
        </w:tc>
        <w:tc>
          <w:tcPr>
            <w:tcW w:w="507" w:type="pct"/>
          </w:tcPr>
          <w:p w14:paraId="45D5E54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412" w:type="pct"/>
          </w:tcPr>
          <w:p w14:paraId="39C9601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7D78D60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norms, stigma and limited awareness</w:t>
            </w:r>
          </w:p>
        </w:tc>
        <w:tc>
          <w:tcPr>
            <w:tcW w:w="481" w:type="pct"/>
          </w:tcPr>
          <w:p w14:paraId="1FB8C6A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More research is needed on social and food factors</w:t>
            </w:r>
          </w:p>
        </w:tc>
      </w:tr>
      <w:tr w:rsidR="00491D44" w:rsidRPr="000E3BBE" w14:paraId="45AD04AF" w14:textId="77777777" w:rsidTr="00F011CB">
        <w:tc>
          <w:tcPr>
            <w:tcW w:w="178" w:type="pct"/>
          </w:tcPr>
          <w:p w14:paraId="2610441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4</w:t>
            </w:r>
          </w:p>
        </w:tc>
        <w:tc>
          <w:tcPr>
            <w:tcW w:w="442" w:type="pct"/>
          </w:tcPr>
          <w:p w14:paraId="59121CE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Rai (2023)</w:t>
            </w:r>
          </w:p>
        </w:tc>
        <w:tc>
          <w:tcPr>
            <w:tcW w:w="490" w:type="pct"/>
          </w:tcPr>
          <w:p w14:paraId="26EC646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Barriers and </w:t>
            </w:r>
            <w:r w:rsidRPr="000E3BBE">
              <w:rPr>
                <w:rFonts w:ascii="Cambria" w:eastAsia="MS Mincho" w:hAnsi="Cambria" w:cs="Times New Roman"/>
                <w:sz w:val="20"/>
                <w:szCs w:val="40"/>
              </w:rPr>
              <w:lastRenderedPageBreak/>
              <w:t>facilitators to dietary</w:t>
            </w:r>
          </w:p>
        </w:tc>
        <w:tc>
          <w:tcPr>
            <w:tcW w:w="585" w:type="pct"/>
          </w:tcPr>
          <w:p w14:paraId="55D46EA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 xml:space="preserve">Western countries, </w:t>
            </w:r>
            <w:r w:rsidRPr="000E3BBE">
              <w:rPr>
                <w:rFonts w:ascii="Cambria" w:eastAsia="MS Mincho" w:hAnsi="Cambria" w:cs="Times New Roman"/>
                <w:sz w:val="20"/>
                <w:szCs w:val="40"/>
              </w:rPr>
              <w:lastRenderedPageBreak/>
              <w:t>predominantly the</w:t>
            </w:r>
          </w:p>
        </w:tc>
        <w:tc>
          <w:tcPr>
            <w:tcW w:w="512" w:type="pct"/>
          </w:tcPr>
          <w:p w14:paraId="51A5CF1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Barriers and facilitators to</w:t>
            </w:r>
          </w:p>
        </w:tc>
        <w:tc>
          <w:tcPr>
            <w:tcW w:w="462" w:type="pct"/>
          </w:tcPr>
          <w:p w14:paraId="610677B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260 participants</w:t>
            </w:r>
          </w:p>
        </w:tc>
        <w:tc>
          <w:tcPr>
            <w:tcW w:w="424" w:type="pct"/>
          </w:tcPr>
          <w:p w14:paraId="502AFFC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Traditional foods, eating </w:t>
            </w:r>
            <w:r w:rsidRPr="000E3BBE">
              <w:rPr>
                <w:rFonts w:ascii="Cambria" w:eastAsia="MS Mincho" w:hAnsi="Cambria" w:cs="Times New Roman"/>
                <w:sz w:val="20"/>
                <w:szCs w:val="40"/>
              </w:rPr>
              <w:lastRenderedPageBreak/>
              <w:t>and cooking</w:t>
            </w:r>
          </w:p>
        </w:tc>
        <w:tc>
          <w:tcPr>
            <w:tcW w:w="507" w:type="pct"/>
          </w:tcPr>
          <w:p w14:paraId="1CA2F81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 xml:space="preserve">Cultural beliefs, family and </w:t>
            </w:r>
            <w:r w:rsidRPr="000E3BBE">
              <w:rPr>
                <w:rFonts w:ascii="Cambria" w:eastAsia="MS Mincho" w:hAnsi="Cambria" w:cs="Times New Roman"/>
                <w:sz w:val="20"/>
                <w:szCs w:val="40"/>
              </w:rPr>
              <w:lastRenderedPageBreak/>
              <w:t>social influence</w:t>
            </w:r>
          </w:p>
        </w:tc>
        <w:tc>
          <w:tcPr>
            <w:tcW w:w="412" w:type="pct"/>
          </w:tcPr>
          <w:p w14:paraId="3313734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 xml:space="preserve">Traditional food practices </w:t>
            </w:r>
            <w:r w:rsidRPr="000E3BBE">
              <w:rPr>
                <w:rFonts w:ascii="Cambria" w:eastAsia="MS Mincho" w:hAnsi="Cambria" w:cs="Times New Roman"/>
                <w:sz w:val="20"/>
                <w:szCs w:val="40"/>
              </w:rPr>
              <w:lastRenderedPageBreak/>
              <w:t>shape everyday dietary habits</w:t>
            </w:r>
          </w:p>
        </w:tc>
        <w:tc>
          <w:tcPr>
            <w:tcW w:w="507" w:type="pct"/>
          </w:tcPr>
          <w:p w14:paraId="0C3B239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 xml:space="preserve">Cultural beliefs and traditional </w:t>
            </w:r>
            <w:r w:rsidRPr="000E3BBE">
              <w:rPr>
                <w:rFonts w:ascii="Cambria" w:eastAsia="MS Mincho" w:hAnsi="Cambria" w:cs="Times New Roman"/>
                <w:sz w:val="20"/>
                <w:szCs w:val="40"/>
              </w:rPr>
              <w:lastRenderedPageBreak/>
              <w:t>food practices</w:t>
            </w:r>
          </w:p>
        </w:tc>
        <w:tc>
          <w:tcPr>
            <w:tcW w:w="481" w:type="pct"/>
          </w:tcPr>
          <w:p w14:paraId="53D24BA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 xml:space="preserve">More research is needed on </w:t>
            </w:r>
            <w:r w:rsidRPr="000E3BBE">
              <w:rPr>
                <w:rFonts w:ascii="Cambria" w:eastAsia="MS Mincho" w:hAnsi="Cambria" w:cs="Times New Roman"/>
                <w:sz w:val="20"/>
                <w:szCs w:val="40"/>
              </w:rPr>
              <w:lastRenderedPageBreak/>
              <w:t>culturally appropriate support</w:t>
            </w:r>
          </w:p>
        </w:tc>
      </w:tr>
      <w:tr w:rsidR="00491D44" w:rsidRPr="000E3BBE" w14:paraId="2E4F5451" w14:textId="77777777" w:rsidTr="00F011CB">
        <w:tc>
          <w:tcPr>
            <w:tcW w:w="178" w:type="pct"/>
          </w:tcPr>
          <w:p w14:paraId="19997E3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5</w:t>
            </w:r>
          </w:p>
        </w:tc>
        <w:tc>
          <w:tcPr>
            <w:tcW w:w="442" w:type="pct"/>
          </w:tcPr>
          <w:p w14:paraId="308B2F1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Vakil (2023)</w:t>
            </w:r>
          </w:p>
        </w:tc>
        <w:tc>
          <w:tcPr>
            <w:tcW w:w="490" w:type="pct"/>
          </w:tcPr>
          <w:p w14:paraId="669A408C" w14:textId="4EE75E1D"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Patient-</w:t>
            </w:r>
            <w:r w:rsidR="00600C9E" w:rsidRPr="000E3BBE">
              <w:rPr>
                <w:rFonts w:ascii="Cambria" w:eastAsia="MS Mincho" w:hAnsi="Cambria" w:cs="Times New Roman"/>
                <w:sz w:val="20"/>
                <w:szCs w:val="40"/>
              </w:rPr>
              <w:t>centered</w:t>
            </w:r>
            <w:r w:rsidRPr="000E3BBE">
              <w:rPr>
                <w:rFonts w:ascii="Cambria" w:eastAsia="MS Mincho" w:hAnsi="Cambria" w:cs="Times New Roman"/>
                <w:sz w:val="20"/>
                <w:szCs w:val="40"/>
              </w:rPr>
              <w:t xml:space="preserve"> care experiences of South</w:t>
            </w:r>
          </w:p>
        </w:tc>
        <w:tc>
          <w:tcPr>
            <w:tcW w:w="585" w:type="pct"/>
          </w:tcPr>
          <w:p w14:paraId="46AB27B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High-income Western countries, including</w:t>
            </w:r>
          </w:p>
        </w:tc>
        <w:tc>
          <w:tcPr>
            <w:tcW w:w="512" w:type="pct"/>
          </w:tcPr>
          <w:p w14:paraId="2F2007D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Healthcare experiences of first-generation</w:t>
            </w:r>
          </w:p>
        </w:tc>
        <w:tc>
          <w:tcPr>
            <w:tcW w:w="462" w:type="pct"/>
          </w:tcPr>
          <w:p w14:paraId="7ADA04A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61 studies</w:t>
            </w:r>
          </w:p>
        </w:tc>
        <w:tc>
          <w:tcPr>
            <w:tcW w:w="424" w:type="pct"/>
          </w:tcPr>
          <w:p w14:paraId="18F10E9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72C9E9B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beliefs, values and religion</w:t>
            </w:r>
          </w:p>
        </w:tc>
        <w:tc>
          <w:tcPr>
            <w:tcW w:w="412" w:type="pct"/>
          </w:tcPr>
          <w:p w14:paraId="4717B4B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737BF8E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beliefs, language and family barriers</w:t>
            </w:r>
          </w:p>
        </w:tc>
        <w:tc>
          <w:tcPr>
            <w:tcW w:w="481" w:type="pct"/>
          </w:tcPr>
          <w:p w14:paraId="76080FB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More research is needed across different migrant groups</w:t>
            </w:r>
          </w:p>
        </w:tc>
      </w:tr>
      <w:tr w:rsidR="00491D44" w:rsidRPr="000E3BBE" w14:paraId="16D12407" w14:textId="77777777" w:rsidTr="00F011CB">
        <w:tc>
          <w:tcPr>
            <w:tcW w:w="178" w:type="pct"/>
          </w:tcPr>
          <w:p w14:paraId="34627ED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6</w:t>
            </w:r>
          </w:p>
        </w:tc>
        <w:tc>
          <w:tcPr>
            <w:tcW w:w="442" w:type="pct"/>
          </w:tcPr>
          <w:p w14:paraId="41A9E38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Sudarsan (2022)</w:t>
            </w:r>
          </w:p>
        </w:tc>
        <w:tc>
          <w:tcPr>
            <w:tcW w:w="490" w:type="pct"/>
          </w:tcPr>
          <w:p w14:paraId="2D8A02C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immigrants, cultural beliefs</w:t>
            </w:r>
          </w:p>
        </w:tc>
        <w:tc>
          <w:tcPr>
            <w:tcW w:w="585" w:type="pct"/>
          </w:tcPr>
          <w:p w14:paraId="2298DB7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immigrant families</w:t>
            </w:r>
          </w:p>
        </w:tc>
        <w:tc>
          <w:tcPr>
            <w:tcW w:w="512" w:type="pct"/>
          </w:tcPr>
          <w:p w14:paraId="5D27476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beliefs practices experiences</w:t>
            </w:r>
          </w:p>
        </w:tc>
        <w:tc>
          <w:tcPr>
            <w:tcW w:w="462" w:type="pct"/>
          </w:tcPr>
          <w:p w14:paraId="46EB33F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266 participants</w:t>
            </w:r>
          </w:p>
        </w:tc>
        <w:tc>
          <w:tcPr>
            <w:tcW w:w="424" w:type="pct"/>
          </w:tcPr>
          <w:p w14:paraId="4834E2F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FF3267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beliefs religious</w:t>
            </w:r>
          </w:p>
        </w:tc>
        <w:tc>
          <w:tcPr>
            <w:tcW w:w="412" w:type="pct"/>
          </w:tcPr>
          <w:p w14:paraId="1E16B6A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686A43A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beliefs religious spiritual</w:t>
            </w:r>
          </w:p>
        </w:tc>
        <w:tc>
          <w:tcPr>
            <w:tcW w:w="481" w:type="pct"/>
          </w:tcPr>
          <w:p w14:paraId="4FB2BB8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required different South required</w:t>
            </w:r>
          </w:p>
        </w:tc>
      </w:tr>
      <w:tr w:rsidR="00491D44" w:rsidRPr="000E3BBE" w14:paraId="190CBF83" w14:textId="77777777" w:rsidTr="00F011CB">
        <w:tc>
          <w:tcPr>
            <w:tcW w:w="178" w:type="pct"/>
          </w:tcPr>
          <w:p w14:paraId="705FEF4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7</w:t>
            </w:r>
          </w:p>
        </w:tc>
        <w:tc>
          <w:tcPr>
            <w:tcW w:w="442" w:type="pct"/>
          </w:tcPr>
          <w:p w14:paraId="2B6BE66A"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Kodippili</w:t>
            </w:r>
            <w:proofErr w:type="spellEnd"/>
            <w:r w:rsidRPr="000E3BBE">
              <w:rPr>
                <w:rFonts w:ascii="Cambria" w:eastAsia="MS Mincho" w:hAnsi="Cambria" w:cs="Times New Roman"/>
                <w:sz w:val="20"/>
                <w:szCs w:val="40"/>
              </w:rPr>
              <w:t xml:space="preserve"> (2024)</w:t>
            </w:r>
          </w:p>
        </w:tc>
        <w:tc>
          <w:tcPr>
            <w:tcW w:w="490" w:type="pct"/>
          </w:tcPr>
          <w:p w14:paraId="6573462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Acculturation and psychological wellbeing among</w:t>
            </w:r>
          </w:p>
        </w:tc>
        <w:tc>
          <w:tcPr>
            <w:tcW w:w="585" w:type="pct"/>
          </w:tcPr>
          <w:p w14:paraId="1257114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immigrant adolescents</w:t>
            </w:r>
          </w:p>
        </w:tc>
        <w:tc>
          <w:tcPr>
            <w:tcW w:w="512" w:type="pct"/>
          </w:tcPr>
          <w:p w14:paraId="313D77E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impact acculturation psychological</w:t>
            </w:r>
          </w:p>
        </w:tc>
        <w:tc>
          <w:tcPr>
            <w:tcW w:w="462" w:type="pct"/>
          </w:tcPr>
          <w:p w14:paraId="1E2CABF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10 studies</w:t>
            </w:r>
          </w:p>
        </w:tc>
        <w:tc>
          <w:tcPr>
            <w:tcW w:w="424" w:type="pct"/>
          </w:tcPr>
          <w:p w14:paraId="32CEB3B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ED082A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Ethnic identity acculturation</w:t>
            </w:r>
          </w:p>
        </w:tc>
        <w:tc>
          <w:tcPr>
            <w:tcW w:w="412" w:type="pct"/>
          </w:tcPr>
          <w:p w14:paraId="6030924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268EA0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immigrant youth</w:t>
            </w:r>
          </w:p>
        </w:tc>
        <w:tc>
          <w:tcPr>
            <w:tcW w:w="481" w:type="pct"/>
          </w:tcPr>
          <w:p w14:paraId="4DE659B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required acculturation psychological required</w:t>
            </w:r>
          </w:p>
        </w:tc>
      </w:tr>
      <w:tr w:rsidR="00491D44" w:rsidRPr="000E3BBE" w14:paraId="2EC73F4D" w14:textId="77777777" w:rsidTr="00F011CB">
        <w:tc>
          <w:tcPr>
            <w:tcW w:w="178" w:type="pct"/>
          </w:tcPr>
          <w:p w14:paraId="191BCC0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8</w:t>
            </w:r>
          </w:p>
        </w:tc>
        <w:tc>
          <w:tcPr>
            <w:tcW w:w="442" w:type="pct"/>
          </w:tcPr>
          <w:p w14:paraId="5A6DD37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Olajide (2024)</w:t>
            </w:r>
          </w:p>
        </w:tc>
        <w:tc>
          <w:tcPr>
            <w:tcW w:w="490" w:type="pct"/>
          </w:tcPr>
          <w:p w14:paraId="4255A62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food practices among migrant</w:t>
            </w:r>
          </w:p>
        </w:tc>
        <w:tc>
          <w:tcPr>
            <w:tcW w:w="585" w:type="pct"/>
          </w:tcPr>
          <w:p w14:paraId="6AD371D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Migrant women from low-</w:t>
            </w:r>
          </w:p>
        </w:tc>
        <w:tc>
          <w:tcPr>
            <w:tcW w:w="512" w:type="pct"/>
          </w:tcPr>
          <w:p w14:paraId="4CC433B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food practices sources</w:t>
            </w:r>
          </w:p>
        </w:tc>
        <w:tc>
          <w:tcPr>
            <w:tcW w:w="462" w:type="pct"/>
          </w:tcPr>
          <w:p w14:paraId="1E015DE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2,415 participants</w:t>
            </w:r>
          </w:p>
        </w:tc>
        <w:tc>
          <w:tcPr>
            <w:tcW w:w="424" w:type="pct"/>
          </w:tcPr>
          <w:p w14:paraId="357D5AD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Traditional food practices shape everyday dietary habits</w:t>
            </w:r>
          </w:p>
        </w:tc>
        <w:tc>
          <w:tcPr>
            <w:tcW w:w="507" w:type="pct"/>
          </w:tcPr>
          <w:p w14:paraId="25139D3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traditions family</w:t>
            </w:r>
          </w:p>
        </w:tc>
        <w:tc>
          <w:tcPr>
            <w:tcW w:w="412" w:type="pct"/>
          </w:tcPr>
          <w:p w14:paraId="7C83F58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Maintaining traditional food</w:t>
            </w:r>
          </w:p>
        </w:tc>
        <w:tc>
          <w:tcPr>
            <w:tcW w:w="507" w:type="pct"/>
          </w:tcPr>
          <w:p w14:paraId="6D6F9AC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Many migrant women continued</w:t>
            </w:r>
          </w:p>
        </w:tc>
        <w:tc>
          <w:tcPr>
            <w:tcW w:w="481" w:type="pct"/>
          </w:tcPr>
          <w:p w14:paraId="6D92AB6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understand migrant understand</w:t>
            </w:r>
          </w:p>
        </w:tc>
      </w:tr>
      <w:tr w:rsidR="00491D44" w:rsidRPr="000E3BBE" w14:paraId="36E3E147" w14:textId="77777777" w:rsidTr="00F011CB">
        <w:tc>
          <w:tcPr>
            <w:tcW w:w="178" w:type="pct"/>
          </w:tcPr>
          <w:p w14:paraId="2CD44A8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9</w:t>
            </w:r>
          </w:p>
        </w:tc>
        <w:tc>
          <w:tcPr>
            <w:tcW w:w="442" w:type="pct"/>
          </w:tcPr>
          <w:p w14:paraId="673D24C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Liu (2026)</w:t>
            </w:r>
          </w:p>
        </w:tc>
        <w:tc>
          <w:tcPr>
            <w:tcW w:w="490" w:type="pct"/>
          </w:tcPr>
          <w:p w14:paraId="2FB864B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(Re)connection with Cultural Foods and</w:t>
            </w:r>
          </w:p>
        </w:tc>
        <w:tc>
          <w:tcPr>
            <w:tcW w:w="585" w:type="pct"/>
          </w:tcPr>
          <w:p w14:paraId="4FFCC7C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Canada</w:t>
            </w:r>
          </w:p>
        </w:tc>
        <w:tc>
          <w:tcPr>
            <w:tcW w:w="512" w:type="pct"/>
          </w:tcPr>
          <w:p w14:paraId="2F89DEF6" w14:textId="6C891EDB"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ethnic minority </w:t>
            </w:r>
            <w:r w:rsidR="009C7A50" w:rsidRPr="000E3BBE">
              <w:rPr>
                <w:rFonts w:ascii="Cambria" w:eastAsia="MS Mincho" w:hAnsi="Cambria" w:cs="Times New Roman"/>
                <w:sz w:val="20"/>
                <w:szCs w:val="40"/>
              </w:rPr>
              <w:t>immigrants’</w:t>
            </w:r>
            <w:r w:rsidRPr="000E3BBE">
              <w:rPr>
                <w:rFonts w:ascii="Cambria" w:eastAsia="MS Mincho" w:hAnsi="Cambria" w:cs="Times New Roman"/>
                <w:sz w:val="20"/>
                <w:szCs w:val="40"/>
              </w:rPr>
              <w:t xml:space="preserve"> connection</w:t>
            </w:r>
          </w:p>
        </w:tc>
        <w:tc>
          <w:tcPr>
            <w:tcW w:w="462" w:type="pct"/>
          </w:tcPr>
          <w:p w14:paraId="573B54E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Six first- or</w:t>
            </w:r>
          </w:p>
        </w:tc>
        <w:tc>
          <w:tcPr>
            <w:tcW w:w="424" w:type="pct"/>
          </w:tcPr>
          <w:p w14:paraId="1A347A4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presents cultural food</w:t>
            </w:r>
          </w:p>
        </w:tc>
        <w:tc>
          <w:tcPr>
            <w:tcW w:w="507" w:type="pct"/>
          </w:tcPr>
          <w:p w14:paraId="6A43F29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identity reflected</w:t>
            </w:r>
          </w:p>
        </w:tc>
        <w:tc>
          <w:tcPr>
            <w:tcW w:w="412" w:type="pct"/>
          </w:tcPr>
          <w:p w14:paraId="4BBFAF21" w14:textId="07B57103" w:rsidR="00491D44" w:rsidRPr="000E3BBE" w:rsidRDefault="009C7A50" w:rsidP="00491D44">
            <w:pPr>
              <w:rPr>
                <w:rFonts w:ascii="Cambria" w:eastAsia="MS Mincho" w:hAnsi="Cambria" w:cs="Times New Roman"/>
                <w:sz w:val="20"/>
                <w:szCs w:val="40"/>
              </w:rPr>
            </w:pPr>
            <w:r w:rsidRPr="000E3BBE">
              <w:rPr>
                <w:rFonts w:ascii="Cambria" w:eastAsia="MS Mincho" w:hAnsi="Cambria" w:cs="Times New Roman"/>
                <w:sz w:val="20"/>
                <w:szCs w:val="40"/>
              </w:rPr>
              <w:t>Create</w:t>
            </w:r>
            <w:r w:rsidR="00491D44" w:rsidRPr="000E3BBE">
              <w:rPr>
                <w:rFonts w:ascii="Cambria" w:eastAsia="MS Mincho" w:hAnsi="Cambria" w:cs="Times New Roman"/>
                <w:sz w:val="20"/>
                <w:szCs w:val="40"/>
              </w:rPr>
              <w:t xml:space="preserve"> evidence cultural</w:t>
            </w:r>
          </w:p>
        </w:tc>
        <w:tc>
          <w:tcPr>
            <w:tcW w:w="507" w:type="pct"/>
          </w:tcPr>
          <w:p w14:paraId="13AE580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six narratives cultural foods</w:t>
            </w:r>
          </w:p>
        </w:tc>
        <w:tc>
          <w:tcPr>
            <w:tcW w:w="481" w:type="pct"/>
          </w:tcPr>
          <w:p w14:paraId="2273287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author initial contribution under-researched author</w:t>
            </w:r>
          </w:p>
        </w:tc>
      </w:tr>
      <w:tr w:rsidR="00491D44" w:rsidRPr="000E3BBE" w14:paraId="61BC3214" w14:textId="77777777" w:rsidTr="00F011CB">
        <w:tc>
          <w:tcPr>
            <w:tcW w:w="178" w:type="pct"/>
          </w:tcPr>
          <w:p w14:paraId="5F46334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10</w:t>
            </w:r>
          </w:p>
        </w:tc>
        <w:tc>
          <w:tcPr>
            <w:tcW w:w="442" w:type="pct"/>
          </w:tcPr>
          <w:p w14:paraId="232A773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Ali et al.  (2022)</w:t>
            </w:r>
          </w:p>
        </w:tc>
        <w:tc>
          <w:tcPr>
            <w:tcW w:w="490" w:type="pct"/>
          </w:tcPr>
          <w:p w14:paraId="2F2BA6C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Drivers of Second-generation South Asian</w:t>
            </w:r>
          </w:p>
        </w:tc>
        <w:tc>
          <w:tcPr>
            <w:tcW w:w="585" w:type="pct"/>
          </w:tcPr>
          <w:p w14:paraId="38AA3CE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USA</w:t>
            </w:r>
          </w:p>
        </w:tc>
        <w:tc>
          <w:tcPr>
            <w:tcW w:w="512" w:type="pct"/>
          </w:tcPr>
          <w:p w14:paraId="75EEE8CB" w14:textId="4C140F34"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drivers </w:t>
            </w:r>
            <w:r w:rsidR="009C7A50" w:rsidRPr="000E3BBE">
              <w:rPr>
                <w:rFonts w:ascii="Cambria" w:eastAsia="MS Mincho" w:hAnsi="Cambria" w:cs="Times New Roman"/>
                <w:sz w:val="20"/>
                <w:szCs w:val="40"/>
              </w:rPr>
              <w:t>eating</w:t>
            </w:r>
            <w:r w:rsidRPr="000E3BBE">
              <w:rPr>
                <w:rFonts w:ascii="Cambria" w:eastAsia="MS Mincho" w:hAnsi="Cambria" w:cs="Times New Roman"/>
                <w:sz w:val="20"/>
                <w:szCs w:val="40"/>
              </w:rPr>
              <w:t xml:space="preserve"> second-generation</w:t>
            </w:r>
          </w:p>
        </w:tc>
        <w:tc>
          <w:tcPr>
            <w:tcW w:w="462" w:type="pct"/>
          </w:tcPr>
          <w:p w14:paraId="6965982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second-generation South Asian</w:t>
            </w:r>
          </w:p>
        </w:tc>
        <w:tc>
          <w:tcPr>
            <w:tcW w:w="424" w:type="pct"/>
          </w:tcPr>
          <w:p w14:paraId="798AD2E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culture reflected</w:t>
            </w:r>
          </w:p>
        </w:tc>
        <w:tc>
          <w:tcPr>
            <w:tcW w:w="507" w:type="pct"/>
          </w:tcPr>
          <w:p w14:paraId="5DCAC83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identity included</w:t>
            </w:r>
          </w:p>
        </w:tc>
        <w:tc>
          <w:tcPr>
            <w:tcW w:w="412" w:type="pct"/>
          </w:tcPr>
          <w:p w14:paraId="47705C4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Family cultural background</w:t>
            </w:r>
          </w:p>
        </w:tc>
        <w:tc>
          <w:tcPr>
            <w:tcW w:w="507" w:type="pct"/>
          </w:tcPr>
          <w:p w14:paraId="3C909EEE" w14:textId="35C038B5"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eating-</w:t>
            </w:r>
            <w:r w:rsidR="009C7A50" w:rsidRPr="000E3BBE">
              <w:rPr>
                <w:rFonts w:ascii="Cambria" w:eastAsia="MS Mincho" w:hAnsi="Cambria" w:cs="Times New Roman"/>
                <w:sz w:val="20"/>
                <w:szCs w:val="40"/>
              </w:rPr>
              <w:t>behavior</w:t>
            </w:r>
            <w:r w:rsidRPr="000E3BBE">
              <w:rPr>
                <w:rFonts w:ascii="Cambria" w:eastAsia="MS Mincho" w:hAnsi="Cambria" w:cs="Times New Roman"/>
                <w:sz w:val="20"/>
                <w:szCs w:val="40"/>
              </w:rPr>
              <w:t xml:space="preserve"> drivers </w:t>
            </w:r>
            <w:r w:rsidRPr="000E3BBE">
              <w:rPr>
                <w:rFonts w:ascii="Cambria" w:eastAsia="MS Mincho" w:hAnsi="Cambria" w:cs="Times New Roman"/>
                <w:sz w:val="20"/>
                <w:szCs w:val="40"/>
              </w:rPr>
              <w:lastRenderedPageBreak/>
              <w:t>connections Family</w:t>
            </w:r>
          </w:p>
        </w:tc>
        <w:tc>
          <w:tcPr>
            <w:tcW w:w="481" w:type="pct"/>
          </w:tcPr>
          <w:p w14:paraId="132DDE7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notes limited younger second-</w:t>
            </w:r>
            <w:r w:rsidRPr="000E3BBE">
              <w:rPr>
                <w:rFonts w:ascii="Cambria" w:eastAsia="MS Mincho" w:hAnsi="Cambria" w:cs="Times New Roman"/>
                <w:sz w:val="20"/>
                <w:szCs w:val="40"/>
              </w:rPr>
              <w:lastRenderedPageBreak/>
              <w:t>generation study</w:t>
            </w:r>
          </w:p>
        </w:tc>
      </w:tr>
      <w:tr w:rsidR="00491D44" w:rsidRPr="000E3BBE" w14:paraId="3790E060" w14:textId="77777777" w:rsidTr="00F011CB">
        <w:tc>
          <w:tcPr>
            <w:tcW w:w="178" w:type="pct"/>
          </w:tcPr>
          <w:p w14:paraId="0BDA019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11</w:t>
            </w:r>
          </w:p>
        </w:tc>
        <w:tc>
          <w:tcPr>
            <w:tcW w:w="442" w:type="pct"/>
          </w:tcPr>
          <w:p w14:paraId="457C771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Dalal (2024)</w:t>
            </w:r>
          </w:p>
        </w:tc>
        <w:tc>
          <w:tcPr>
            <w:tcW w:w="490" w:type="pct"/>
          </w:tcPr>
          <w:p w14:paraId="52F0A64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Performing curry and diasporic identity</w:t>
            </w:r>
          </w:p>
        </w:tc>
        <w:tc>
          <w:tcPr>
            <w:tcW w:w="585" w:type="pct"/>
          </w:tcPr>
          <w:p w14:paraId="75271F12" w14:textId="443741DD"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Canada — Indo-</w:t>
            </w:r>
            <w:r w:rsidR="009C7A50" w:rsidRPr="000E3BBE">
              <w:rPr>
                <w:rFonts w:ascii="Cambria" w:eastAsia="MS Mincho" w:hAnsi="Cambria" w:cs="Times New Roman"/>
                <w:sz w:val="20"/>
                <w:szCs w:val="40"/>
              </w:rPr>
              <w:t>Mauritian Canadian</w:t>
            </w:r>
            <w:r w:rsidRPr="000E3BBE">
              <w:rPr>
                <w:rFonts w:ascii="Cambria" w:eastAsia="MS Mincho" w:hAnsi="Cambria" w:cs="Times New Roman"/>
                <w:sz w:val="20"/>
                <w:szCs w:val="40"/>
              </w:rPr>
              <w:t xml:space="preserve"> diaspora</w:t>
            </w:r>
          </w:p>
        </w:tc>
        <w:tc>
          <w:tcPr>
            <w:tcW w:w="512" w:type="pct"/>
          </w:tcPr>
          <w:p w14:paraId="78DFE15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curry functions cultural</w:t>
            </w:r>
          </w:p>
        </w:tc>
        <w:tc>
          <w:tcPr>
            <w:tcW w:w="462" w:type="pct"/>
          </w:tcPr>
          <w:p w14:paraId="3FD56EF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7A0E22B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traditions culinary</w:t>
            </w:r>
          </w:p>
        </w:tc>
        <w:tc>
          <w:tcPr>
            <w:tcW w:w="507" w:type="pct"/>
          </w:tcPr>
          <w:p w14:paraId="0B578AE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diasporic</w:t>
            </w:r>
          </w:p>
        </w:tc>
        <w:tc>
          <w:tcPr>
            <w:tcW w:w="412" w:type="pct"/>
          </w:tcPr>
          <w:p w14:paraId="387946B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particularly curry</w:t>
            </w:r>
          </w:p>
        </w:tc>
        <w:tc>
          <w:tcPr>
            <w:tcW w:w="507" w:type="pct"/>
          </w:tcPr>
          <w:p w14:paraId="1F99CEA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argues there single authentic</w:t>
            </w:r>
          </w:p>
        </w:tc>
        <w:tc>
          <w:tcPr>
            <w:tcW w:w="481" w:type="pct"/>
          </w:tcPr>
          <w:p w14:paraId="6A9A2BD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present conventional empirical gap article</w:t>
            </w:r>
          </w:p>
        </w:tc>
      </w:tr>
      <w:tr w:rsidR="00491D44" w:rsidRPr="000E3BBE" w14:paraId="4A3580CD" w14:textId="77777777" w:rsidTr="00F011CB">
        <w:tc>
          <w:tcPr>
            <w:tcW w:w="178" w:type="pct"/>
          </w:tcPr>
          <w:p w14:paraId="4BFC93B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12</w:t>
            </w:r>
          </w:p>
        </w:tc>
        <w:tc>
          <w:tcPr>
            <w:tcW w:w="442" w:type="pct"/>
          </w:tcPr>
          <w:p w14:paraId="33BBF9AC"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Lillekroken</w:t>
            </w:r>
            <w:proofErr w:type="spellEnd"/>
            <w:r w:rsidRPr="000E3BBE">
              <w:rPr>
                <w:rFonts w:ascii="Cambria" w:eastAsia="MS Mincho" w:hAnsi="Cambria" w:cs="Times New Roman"/>
                <w:sz w:val="20"/>
                <w:szCs w:val="40"/>
              </w:rPr>
              <w:t xml:space="preserve"> (2024)</w:t>
            </w:r>
          </w:p>
        </w:tc>
        <w:tc>
          <w:tcPr>
            <w:tcW w:w="490" w:type="pct"/>
          </w:tcPr>
          <w:p w14:paraId="4D6610A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for Soul—Older Immigrants’ Food</w:t>
            </w:r>
          </w:p>
        </w:tc>
        <w:tc>
          <w:tcPr>
            <w:tcW w:w="585" w:type="pct"/>
          </w:tcPr>
          <w:p w14:paraId="5F9AAAD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4B98ECD2" w14:textId="646B161B" w:rsidR="00491D44" w:rsidRPr="000E3BBE" w:rsidRDefault="009C7A50"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older immigrants</w:t>
            </w:r>
          </w:p>
        </w:tc>
        <w:tc>
          <w:tcPr>
            <w:tcW w:w="462" w:type="pct"/>
          </w:tcPr>
          <w:p w14:paraId="44C211A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not</w:t>
            </w:r>
          </w:p>
        </w:tc>
        <w:tc>
          <w:tcPr>
            <w:tcW w:w="424" w:type="pct"/>
          </w:tcPr>
          <w:p w14:paraId="642BF39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culture included</w:t>
            </w:r>
          </w:p>
        </w:tc>
        <w:tc>
          <w:tcPr>
            <w:tcW w:w="507" w:type="pct"/>
          </w:tcPr>
          <w:p w14:paraId="052C72A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identity associated</w:t>
            </w:r>
          </w:p>
        </w:tc>
        <w:tc>
          <w:tcPr>
            <w:tcW w:w="412" w:type="pct"/>
          </w:tcPr>
          <w:p w14:paraId="153703C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strong maintaining</w:t>
            </w:r>
          </w:p>
        </w:tc>
        <w:tc>
          <w:tcPr>
            <w:tcW w:w="507" w:type="pct"/>
          </w:tcPr>
          <w:p w14:paraId="7A98A8FB" w14:textId="276C78DE" w:rsidR="00491D44" w:rsidRPr="000E3BBE" w:rsidRDefault="009C7A50" w:rsidP="00491D44">
            <w:pPr>
              <w:rPr>
                <w:rFonts w:ascii="Cambria" w:eastAsia="MS Mincho" w:hAnsi="Cambria" w:cs="Times New Roman"/>
                <w:sz w:val="20"/>
                <w:szCs w:val="40"/>
              </w:rPr>
            </w:pPr>
            <w:r w:rsidRPr="000E3BBE">
              <w:rPr>
                <w:rFonts w:ascii="Cambria" w:eastAsia="MS Mincho" w:hAnsi="Cambria" w:cs="Times New Roman"/>
                <w:sz w:val="20"/>
                <w:szCs w:val="40"/>
              </w:rPr>
              <w:t>synthesized</w:t>
            </w:r>
            <w:r w:rsidR="00491D44" w:rsidRPr="000E3BBE">
              <w:rPr>
                <w:rFonts w:ascii="Cambria" w:eastAsia="MS Mincho" w:hAnsi="Cambria" w:cs="Times New Roman"/>
                <w:sz w:val="20"/>
                <w:szCs w:val="40"/>
              </w:rPr>
              <w:t xml:space="preserve"> major findings significance</w:t>
            </w:r>
          </w:p>
        </w:tc>
        <w:tc>
          <w:tcPr>
            <w:tcW w:w="481" w:type="pct"/>
          </w:tcPr>
          <w:p w14:paraId="4D978E2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lack specifically examining older review</w:t>
            </w:r>
          </w:p>
        </w:tc>
      </w:tr>
      <w:tr w:rsidR="00491D44" w:rsidRPr="000E3BBE" w14:paraId="22379DCD" w14:textId="77777777" w:rsidTr="00F011CB">
        <w:tc>
          <w:tcPr>
            <w:tcW w:w="178" w:type="pct"/>
          </w:tcPr>
          <w:p w14:paraId="019B246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13</w:t>
            </w:r>
          </w:p>
        </w:tc>
        <w:tc>
          <w:tcPr>
            <w:tcW w:w="442" w:type="pct"/>
          </w:tcPr>
          <w:p w14:paraId="37CF1991"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Chattoraj</w:t>
            </w:r>
            <w:proofErr w:type="spellEnd"/>
            <w:r w:rsidRPr="000E3BBE">
              <w:rPr>
                <w:rFonts w:ascii="Cambria" w:eastAsia="MS Mincho" w:hAnsi="Cambria" w:cs="Times New Roman"/>
                <w:sz w:val="20"/>
                <w:szCs w:val="40"/>
              </w:rPr>
              <w:t xml:space="preserve"> (2025)</w:t>
            </w:r>
          </w:p>
        </w:tc>
        <w:tc>
          <w:tcPr>
            <w:tcW w:w="490" w:type="pct"/>
          </w:tcPr>
          <w:p w14:paraId="1F14AD5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 Search of Identity</w:t>
            </w:r>
          </w:p>
        </w:tc>
        <w:tc>
          <w:tcPr>
            <w:tcW w:w="585" w:type="pct"/>
          </w:tcPr>
          <w:p w14:paraId="774AA37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Global South Asian diaspora</w:t>
            </w:r>
          </w:p>
        </w:tc>
        <w:tc>
          <w:tcPr>
            <w:tcW w:w="512" w:type="pct"/>
          </w:tcPr>
          <w:p w14:paraId="056EFE2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introduce special issue</w:t>
            </w:r>
          </w:p>
        </w:tc>
        <w:tc>
          <w:tcPr>
            <w:tcW w:w="462" w:type="pct"/>
          </w:tcPr>
          <w:p w14:paraId="0E18EED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Review population</w:t>
            </w:r>
          </w:p>
        </w:tc>
        <w:tc>
          <w:tcPr>
            <w:tcW w:w="424" w:type="pct"/>
          </w:tcPr>
          <w:p w14:paraId="6D90862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food as a transmitted cultural trait</w:t>
            </w:r>
          </w:p>
        </w:tc>
        <w:tc>
          <w:tcPr>
            <w:tcW w:w="507" w:type="pct"/>
          </w:tcPr>
          <w:p w14:paraId="5C7849C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identity ethnicity</w:t>
            </w:r>
          </w:p>
        </w:tc>
        <w:tc>
          <w:tcPr>
            <w:tcW w:w="412" w:type="pct"/>
          </w:tcPr>
          <w:p w14:paraId="0DB36AF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ethnic food helps maintain identity</w:t>
            </w:r>
          </w:p>
        </w:tc>
        <w:tc>
          <w:tcPr>
            <w:tcW w:w="507" w:type="pct"/>
          </w:tcPr>
          <w:p w14:paraId="371BD32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special issue second-generation South</w:t>
            </w:r>
          </w:p>
        </w:tc>
        <w:tc>
          <w:tcPr>
            <w:tcW w:w="481" w:type="pct"/>
          </w:tcPr>
          <w:p w14:paraId="41818E2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introduction highlights need understand introduction</w:t>
            </w:r>
          </w:p>
        </w:tc>
      </w:tr>
      <w:tr w:rsidR="00491D44" w:rsidRPr="000E3BBE" w14:paraId="4187DD82" w14:textId="77777777" w:rsidTr="00F011CB">
        <w:tc>
          <w:tcPr>
            <w:tcW w:w="178" w:type="pct"/>
          </w:tcPr>
          <w:p w14:paraId="4AAD925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14</w:t>
            </w:r>
          </w:p>
        </w:tc>
        <w:tc>
          <w:tcPr>
            <w:tcW w:w="442" w:type="pct"/>
          </w:tcPr>
          <w:p w14:paraId="7FD32D4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Ahsan Ullah (2025)</w:t>
            </w:r>
          </w:p>
        </w:tc>
        <w:tc>
          <w:tcPr>
            <w:tcW w:w="490" w:type="pct"/>
          </w:tcPr>
          <w:p w14:paraId="637BEBC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Narratives shaping second-generation Afghan diaspora</w:t>
            </w:r>
          </w:p>
        </w:tc>
        <w:tc>
          <w:tcPr>
            <w:tcW w:w="585" w:type="pct"/>
          </w:tcPr>
          <w:p w14:paraId="24122BE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Afghan diaspora</w:t>
            </w:r>
          </w:p>
        </w:tc>
        <w:tc>
          <w:tcPr>
            <w:tcW w:w="512" w:type="pct"/>
          </w:tcPr>
          <w:p w14:paraId="682B369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external narratives media</w:t>
            </w:r>
          </w:p>
        </w:tc>
        <w:tc>
          <w:tcPr>
            <w:tcW w:w="462" w:type="pct"/>
          </w:tcPr>
          <w:p w14:paraId="5CDA8B2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471A70B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5C63639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Afghan cultural identity</w:t>
            </w:r>
          </w:p>
        </w:tc>
        <w:tc>
          <w:tcPr>
            <w:tcW w:w="412" w:type="pct"/>
          </w:tcPr>
          <w:p w14:paraId="6BEF7CE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5D9791D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Second-generation Afghan identity shaped</w:t>
            </w:r>
          </w:p>
        </w:tc>
        <w:tc>
          <w:tcPr>
            <w:tcW w:w="481" w:type="pct"/>
          </w:tcPr>
          <w:p w14:paraId="1AC2E2E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gap concerning external narratives article</w:t>
            </w:r>
          </w:p>
        </w:tc>
      </w:tr>
      <w:tr w:rsidR="00491D44" w:rsidRPr="000E3BBE" w14:paraId="14113E75" w14:textId="77777777" w:rsidTr="00F011CB">
        <w:tc>
          <w:tcPr>
            <w:tcW w:w="178" w:type="pct"/>
          </w:tcPr>
          <w:p w14:paraId="1449AE6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15</w:t>
            </w:r>
          </w:p>
        </w:tc>
        <w:tc>
          <w:tcPr>
            <w:tcW w:w="442" w:type="pct"/>
          </w:tcPr>
          <w:p w14:paraId="69B467A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Gingell (2022)</w:t>
            </w:r>
          </w:p>
        </w:tc>
        <w:tc>
          <w:tcPr>
            <w:tcW w:w="490" w:type="pct"/>
          </w:tcPr>
          <w:p w14:paraId="48F9616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security and cultural foods</w:t>
            </w:r>
          </w:p>
        </w:tc>
        <w:tc>
          <w:tcPr>
            <w:tcW w:w="585" w:type="pct"/>
          </w:tcPr>
          <w:p w14:paraId="2219E62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High-income resettlement countries</w:t>
            </w:r>
          </w:p>
        </w:tc>
        <w:tc>
          <w:tcPr>
            <w:tcW w:w="512" w:type="pct"/>
          </w:tcPr>
          <w:p w14:paraId="569E980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identify barriers facilitators</w:t>
            </w:r>
          </w:p>
        </w:tc>
        <w:tc>
          <w:tcPr>
            <w:tcW w:w="462" w:type="pct"/>
          </w:tcPr>
          <w:p w14:paraId="1D3AC05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22 studies</w:t>
            </w:r>
          </w:p>
        </w:tc>
        <w:tc>
          <w:tcPr>
            <w:tcW w:w="424" w:type="pct"/>
          </w:tcPr>
          <w:p w14:paraId="71F1E99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foods food</w:t>
            </w:r>
          </w:p>
        </w:tc>
        <w:tc>
          <w:tcPr>
            <w:tcW w:w="507" w:type="pct"/>
          </w:tcPr>
          <w:p w14:paraId="689AA50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linked cultural</w:t>
            </w:r>
          </w:p>
        </w:tc>
        <w:tc>
          <w:tcPr>
            <w:tcW w:w="412" w:type="pct"/>
          </w:tcPr>
          <w:p w14:paraId="0FBA353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food helps</w:t>
            </w:r>
          </w:p>
        </w:tc>
        <w:tc>
          <w:tcPr>
            <w:tcW w:w="507" w:type="pct"/>
          </w:tcPr>
          <w:p w14:paraId="75977A5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Identity Belonging Placemaking major</w:t>
            </w:r>
          </w:p>
        </w:tc>
        <w:tc>
          <w:tcPr>
            <w:tcW w:w="481" w:type="pct"/>
          </w:tcPr>
          <w:p w14:paraId="4F3DE1E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highlights need better recognition review</w:t>
            </w:r>
          </w:p>
        </w:tc>
      </w:tr>
      <w:tr w:rsidR="00491D44" w:rsidRPr="000E3BBE" w14:paraId="34CBDC8A" w14:textId="77777777" w:rsidTr="00F011CB">
        <w:tc>
          <w:tcPr>
            <w:tcW w:w="178" w:type="pct"/>
          </w:tcPr>
          <w:p w14:paraId="7495BD8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16</w:t>
            </w:r>
          </w:p>
        </w:tc>
        <w:tc>
          <w:tcPr>
            <w:tcW w:w="442" w:type="pct"/>
          </w:tcPr>
          <w:p w14:paraId="2F95F37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Nisar (2022)</w:t>
            </w:r>
          </w:p>
        </w:tc>
        <w:tc>
          <w:tcPr>
            <w:tcW w:w="490" w:type="pct"/>
          </w:tcPr>
          <w:p w14:paraId="26AAC27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Cost, culture and circumstances</w:t>
            </w:r>
          </w:p>
        </w:tc>
        <w:tc>
          <w:tcPr>
            <w:tcW w:w="585" w:type="pct"/>
          </w:tcPr>
          <w:p w14:paraId="7FF3816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Australia</w:t>
            </w:r>
          </w:p>
        </w:tc>
        <w:tc>
          <w:tcPr>
            <w:tcW w:w="512" w:type="pct"/>
          </w:tcPr>
          <w:p w14:paraId="3BB870B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gain in-depth understanding</w:t>
            </w:r>
          </w:p>
        </w:tc>
        <w:tc>
          <w:tcPr>
            <w:tcW w:w="462" w:type="pct"/>
          </w:tcPr>
          <w:p w14:paraId="2DC9C32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immigrant</w:t>
            </w:r>
          </w:p>
        </w:tc>
        <w:tc>
          <w:tcPr>
            <w:tcW w:w="424" w:type="pct"/>
          </w:tcPr>
          <w:p w14:paraId="305157E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preparation eating</w:t>
            </w:r>
          </w:p>
        </w:tc>
        <w:tc>
          <w:tcPr>
            <w:tcW w:w="507" w:type="pct"/>
          </w:tcPr>
          <w:p w14:paraId="3BA55E5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412" w:type="pct"/>
          </w:tcPr>
          <w:p w14:paraId="5220A59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97C787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described fundamental social</w:t>
            </w:r>
          </w:p>
        </w:tc>
        <w:tc>
          <w:tcPr>
            <w:tcW w:w="481" w:type="pct"/>
          </w:tcPr>
          <w:p w14:paraId="4726C12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authors note involved only</w:t>
            </w:r>
          </w:p>
        </w:tc>
      </w:tr>
      <w:tr w:rsidR="00491D44" w:rsidRPr="000E3BBE" w14:paraId="318D7055" w14:textId="77777777" w:rsidTr="00F011CB">
        <w:tc>
          <w:tcPr>
            <w:tcW w:w="178" w:type="pct"/>
          </w:tcPr>
          <w:p w14:paraId="0BD873E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17</w:t>
            </w:r>
          </w:p>
        </w:tc>
        <w:tc>
          <w:tcPr>
            <w:tcW w:w="442" w:type="pct"/>
          </w:tcPr>
          <w:p w14:paraId="09E3094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Ojo (2023)</w:t>
            </w:r>
          </w:p>
        </w:tc>
        <w:tc>
          <w:tcPr>
            <w:tcW w:w="490" w:type="pct"/>
          </w:tcPr>
          <w:p w14:paraId="65E7067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Dietary perceptions among minority ethnic</w:t>
            </w:r>
          </w:p>
        </w:tc>
        <w:tc>
          <w:tcPr>
            <w:tcW w:w="585" w:type="pct"/>
          </w:tcPr>
          <w:p w14:paraId="6AF0B74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Black, Asian and other</w:t>
            </w:r>
          </w:p>
        </w:tc>
        <w:tc>
          <w:tcPr>
            <w:tcW w:w="512" w:type="pct"/>
          </w:tcPr>
          <w:p w14:paraId="2FB3549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literature perceptions dietary</w:t>
            </w:r>
          </w:p>
        </w:tc>
        <w:tc>
          <w:tcPr>
            <w:tcW w:w="462" w:type="pct"/>
          </w:tcPr>
          <w:p w14:paraId="0DC1EBC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countries</w:t>
            </w:r>
          </w:p>
        </w:tc>
        <w:tc>
          <w:tcPr>
            <w:tcW w:w="424" w:type="pct"/>
          </w:tcPr>
          <w:p w14:paraId="637EAB2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Social cultural factors</w:t>
            </w:r>
          </w:p>
        </w:tc>
        <w:tc>
          <w:tcPr>
            <w:tcW w:w="507" w:type="pct"/>
          </w:tcPr>
          <w:p w14:paraId="0D78AEB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social and cultural context of food</w:t>
            </w:r>
          </w:p>
        </w:tc>
        <w:tc>
          <w:tcPr>
            <w:tcW w:w="412" w:type="pct"/>
          </w:tcPr>
          <w:p w14:paraId="69D286A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C83AF8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Eight major themes social</w:t>
            </w:r>
          </w:p>
        </w:tc>
        <w:tc>
          <w:tcPr>
            <w:tcW w:w="481" w:type="pct"/>
          </w:tcPr>
          <w:p w14:paraId="72F163C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authors identify need examining</w:t>
            </w:r>
          </w:p>
        </w:tc>
      </w:tr>
      <w:tr w:rsidR="00491D44" w:rsidRPr="000E3BBE" w14:paraId="1A349EEF" w14:textId="77777777" w:rsidTr="00F011CB">
        <w:tc>
          <w:tcPr>
            <w:tcW w:w="178" w:type="pct"/>
          </w:tcPr>
          <w:p w14:paraId="1A1B38C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18</w:t>
            </w:r>
          </w:p>
        </w:tc>
        <w:tc>
          <w:tcPr>
            <w:tcW w:w="442" w:type="pct"/>
          </w:tcPr>
          <w:p w14:paraId="215E2A9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Ma &amp; </w:t>
            </w:r>
            <w:proofErr w:type="gramStart"/>
            <w:r w:rsidRPr="000E3BBE">
              <w:rPr>
                <w:rFonts w:ascii="Cambria" w:eastAsia="MS Mincho" w:hAnsi="Cambria" w:cs="Times New Roman"/>
                <w:sz w:val="20"/>
                <w:szCs w:val="40"/>
              </w:rPr>
              <w:t>Joshi  (</w:t>
            </w:r>
            <w:proofErr w:type="gramEnd"/>
            <w:r w:rsidRPr="000E3BBE">
              <w:rPr>
                <w:rFonts w:ascii="Cambria" w:eastAsia="MS Mincho" w:hAnsi="Cambria" w:cs="Times New Roman"/>
                <w:sz w:val="20"/>
                <w:szCs w:val="40"/>
              </w:rPr>
              <w:t>2022)</w:t>
            </w:r>
          </w:p>
        </w:tc>
        <w:tc>
          <w:tcPr>
            <w:tcW w:w="490" w:type="pct"/>
          </w:tcPr>
          <w:p w14:paraId="3493FBA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Migrated Older Adults’ Lives in</w:t>
            </w:r>
          </w:p>
        </w:tc>
        <w:tc>
          <w:tcPr>
            <w:tcW w:w="585" w:type="pct"/>
          </w:tcPr>
          <w:p w14:paraId="2C2B177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UK</w:t>
            </w:r>
          </w:p>
        </w:tc>
        <w:tc>
          <w:tcPr>
            <w:tcW w:w="512" w:type="pct"/>
          </w:tcPr>
          <w:p w14:paraId="0C30984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complexity migrated older</w:t>
            </w:r>
          </w:p>
        </w:tc>
        <w:tc>
          <w:tcPr>
            <w:tcW w:w="462" w:type="pct"/>
          </w:tcPr>
          <w:p w14:paraId="3F4EF0C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5276D37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39C1EC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Ethnicity age gender</w:t>
            </w:r>
          </w:p>
        </w:tc>
        <w:tc>
          <w:tcPr>
            <w:tcW w:w="412" w:type="pct"/>
          </w:tcPr>
          <w:p w14:paraId="075687C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central analytical</w:t>
            </w:r>
          </w:p>
        </w:tc>
        <w:tc>
          <w:tcPr>
            <w:tcW w:w="507" w:type="pct"/>
          </w:tcPr>
          <w:p w14:paraId="1DA28C1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Highlights intersectional nature migrant</w:t>
            </w:r>
          </w:p>
        </w:tc>
        <w:tc>
          <w:tcPr>
            <w:tcW w:w="481" w:type="pct"/>
          </w:tcPr>
          <w:p w14:paraId="7FE5492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Greater attention needed specific</w:t>
            </w:r>
          </w:p>
        </w:tc>
      </w:tr>
      <w:tr w:rsidR="00491D44" w:rsidRPr="000E3BBE" w14:paraId="76676757" w14:textId="77777777" w:rsidTr="00F011CB">
        <w:tc>
          <w:tcPr>
            <w:tcW w:w="178" w:type="pct"/>
          </w:tcPr>
          <w:p w14:paraId="6FC2062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19</w:t>
            </w:r>
          </w:p>
        </w:tc>
        <w:tc>
          <w:tcPr>
            <w:tcW w:w="442" w:type="pct"/>
          </w:tcPr>
          <w:p w14:paraId="0173AD8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Wang-Chen et al.  (2022)</w:t>
            </w:r>
          </w:p>
        </w:tc>
        <w:tc>
          <w:tcPr>
            <w:tcW w:w="490" w:type="pct"/>
          </w:tcPr>
          <w:p w14:paraId="4DD53BC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Determinants of Food Choice among</w:t>
            </w:r>
          </w:p>
        </w:tc>
        <w:tc>
          <w:tcPr>
            <w:tcW w:w="585" w:type="pct"/>
          </w:tcPr>
          <w:p w14:paraId="0864424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Chinese mainlanders and Chinese</w:t>
            </w:r>
          </w:p>
        </w:tc>
        <w:tc>
          <w:tcPr>
            <w:tcW w:w="512" w:type="pct"/>
          </w:tcPr>
          <w:p w14:paraId="094F6714" w14:textId="7DA01814" w:rsidR="00491D44" w:rsidRPr="000E3BBE" w:rsidRDefault="00C00503"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determinants</w:t>
            </w:r>
          </w:p>
        </w:tc>
        <w:tc>
          <w:tcPr>
            <w:tcW w:w="462" w:type="pct"/>
          </w:tcPr>
          <w:p w14:paraId="4632101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involving Chinese mainlanders</w:t>
            </w:r>
          </w:p>
        </w:tc>
        <w:tc>
          <w:tcPr>
            <w:tcW w:w="424" w:type="pct"/>
          </w:tcPr>
          <w:p w14:paraId="09A0AB3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Traditional foods food</w:t>
            </w:r>
          </w:p>
        </w:tc>
        <w:tc>
          <w:tcPr>
            <w:tcW w:w="507" w:type="pct"/>
          </w:tcPr>
          <w:p w14:paraId="73D5E4F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background family</w:t>
            </w:r>
          </w:p>
        </w:tc>
        <w:tc>
          <w:tcPr>
            <w:tcW w:w="412" w:type="pct"/>
          </w:tcPr>
          <w:p w14:paraId="6FBD3B6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choices maintain</w:t>
            </w:r>
          </w:p>
        </w:tc>
        <w:tc>
          <w:tcPr>
            <w:tcW w:w="507" w:type="pct"/>
          </w:tcPr>
          <w:p w14:paraId="499CEBC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choice influenced cultural</w:t>
            </w:r>
          </w:p>
        </w:tc>
        <w:tc>
          <w:tcPr>
            <w:tcW w:w="481" w:type="pct"/>
          </w:tcPr>
          <w:p w14:paraId="240F34C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different migrant</w:t>
            </w:r>
          </w:p>
        </w:tc>
      </w:tr>
      <w:tr w:rsidR="00491D44" w:rsidRPr="000E3BBE" w14:paraId="30CD3741" w14:textId="77777777" w:rsidTr="00F011CB">
        <w:tc>
          <w:tcPr>
            <w:tcW w:w="178" w:type="pct"/>
          </w:tcPr>
          <w:p w14:paraId="77F45A4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20</w:t>
            </w:r>
          </w:p>
        </w:tc>
        <w:tc>
          <w:tcPr>
            <w:tcW w:w="442" w:type="pct"/>
          </w:tcPr>
          <w:p w14:paraId="743868B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Song (2023)</w:t>
            </w:r>
          </w:p>
        </w:tc>
        <w:tc>
          <w:tcPr>
            <w:tcW w:w="490" w:type="pct"/>
          </w:tcPr>
          <w:p w14:paraId="3316890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Acculturation and Eating Disorders</w:t>
            </w:r>
          </w:p>
        </w:tc>
        <w:tc>
          <w:tcPr>
            <w:tcW w:w="585" w:type="pct"/>
          </w:tcPr>
          <w:p w14:paraId="02949DB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 immigrant and ethnic</w:t>
            </w:r>
          </w:p>
        </w:tc>
        <w:tc>
          <w:tcPr>
            <w:tcW w:w="512" w:type="pct"/>
          </w:tcPr>
          <w:p w14:paraId="1A72BE0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relationship acculturation-related factors</w:t>
            </w:r>
          </w:p>
        </w:tc>
        <w:tc>
          <w:tcPr>
            <w:tcW w:w="462" w:type="pct"/>
          </w:tcPr>
          <w:p w14:paraId="3EF1293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44C76B44" w14:textId="3D79F945"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Eating </w:t>
            </w:r>
            <w:r w:rsidR="00C00503" w:rsidRPr="000E3BBE">
              <w:rPr>
                <w:rFonts w:ascii="Cambria" w:eastAsia="MS Mincho" w:hAnsi="Cambria" w:cs="Times New Roman"/>
                <w:sz w:val="20"/>
                <w:szCs w:val="40"/>
              </w:rPr>
              <w:t>behaviors</w:t>
            </w:r>
            <w:r w:rsidRPr="000E3BBE">
              <w:rPr>
                <w:rFonts w:ascii="Cambria" w:eastAsia="MS Mincho" w:hAnsi="Cambria" w:cs="Times New Roman"/>
                <w:sz w:val="20"/>
                <w:szCs w:val="40"/>
              </w:rPr>
              <w:t xml:space="preserve"> dietary</w:t>
            </w:r>
          </w:p>
        </w:tc>
        <w:tc>
          <w:tcPr>
            <w:tcW w:w="507" w:type="pct"/>
          </w:tcPr>
          <w:p w14:paraId="316AD75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Heritage identity host-country</w:t>
            </w:r>
          </w:p>
        </w:tc>
        <w:tc>
          <w:tcPr>
            <w:tcW w:w="412" w:type="pct"/>
          </w:tcPr>
          <w:p w14:paraId="6AD3CA9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transition acculturation</w:t>
            </w:r>
          </w:p>
        </w:tc>
        <w:tc>
          <w:tcPr>
            <w:tcW w:w="507" w:type="pct"/>
          </w:tcPr>
          <w:p w14:paraId="5A10069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complex relationships acculturation eating-related</w:t>
            </w:r>
          </w:p>
        </w:tc>
        <w:tc>
          <w:tcPr>
            <w:tcW w:w="481" w:type="pct"/>
          </w:tcPr>
          <w:p w14:paraId="33D9423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culturally specific needed different</w:t>
            </w:r>
          </w:p>
        </w:tc>
      </w:tr>
      <w:tr w:rsidR="00491D44" w:rsidRPr="000E3BBE" w14:paraId="0799529B" w14:textId="77777777" w:rsidTr="00F011CB">
        <w:tc>
          <w:tcPr>
            <w:tcW w:w="178" w:type="pct"/>
          </w:tcPr>
          <w:p w14:paraId="4BCD903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21</w:t>
            </w:r>
          </w:p>
        </w:tc>
        <w:tc>
          <w:tcPr>
            <w:tcW w:w="442" w:type="pct"/>
          </w:tcPr>
          <w:p w14:paraId="282201B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Rai (2023)</w:t>
            </w:r>
          </w:p>
        </w:tc>
        <w:tc>
          <w:tcPr>
            <w:tcW w:w="490" w:type="pct"/>
          </w:tcPr>
          <w:p w14:paraId="3BA7C53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Nature-Based Integration of Migrants</w:t>
            </w:r>
          </w:p>
        </w:tc>
        <w:tc>
          <w:tcPr>
            <w:tcW w:w="585" w:type="pct"/>
          </w:tcPr>
          <w:p w14:paraId="2E4651C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Cross-national migrant populations</w:t>
            </w:r>
          </w:p>
        </w:tc>
        <w:tc>
          <w:tcPr>
            <w:tcW w:w="512" w:type="pct"/>
          </w:tcPr>
          <w:p w14:paraId="5ABC4E54" w14:textId="3B5E8A71" w:rsidR="00491D44" w:rsidRPr="000E3BBE" w:rsidRDefault="00C00503"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concerning</w:t>
            </w:r>
          </w:p>
        </w:tc>
        <w:tc>
          <w:tcPr>
            <w:tcW w:w="462" w:type="pct"/>
          </w:tcPr>
          <w:p w14:paraId="0515E33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33BA10F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0428B93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Belonging social connection</w:t>
            </w:r>
          </w:p>
        </w:tc>
        <w:tc>
          <w:tcPr>
            <w:tcW w:w="412" w:type="pct"/>
          </w:tcPr>
          <w:p w14:paraId="2956D17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02ADC10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Nature-based environments facilitate social</w:t>
            </w:r>
          </w:p>
        </w:tc>
        <w:tc>
          <w:tcPr>
            <w:tcW w:w="481" w:type="pct"/>
          </w:tcPr>
          <w:p w14:paraId="5ED40A3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required specific cultural</w:t>
            </w:r>
          </w:p>
        </w:tc>
      </w:tr>
      <w:tr w:rsidR="00491D44" w:rsidRPr="000E3BBE" w14:paraId="75DDB29B" w14:textId="77777777" w:rsidTr="00F011CB">
        <w:tc>
          <w:tcPr>
            <w:tcW w:w="178" w:type="pct"/>
          </w:tcPr>
          <w:p w14:paraId="2002AE4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22</w:t>
            </w:r>
          </w:p>
        </w:tc>
        <w:tc>
          <w:tcPr>
            <w:tcW w:w="442" w:type="pct"/>
          </w:tcPr>
          <w:p w14:paraId="21E45C1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Sultana (2023)</w:t>
            </w:r>
          </w:p>
        </w:tc>
        <w:tc>
          <w:tcPr>
            <w:tcW w:w="490" w:type="pct"/>
          </w:tcPr>
          <w:p w14:paraId="50AEB69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Help-Seeking among South Asian Women</w:t>
            </w:r>
          </w:p>
        </w:tc>
        <w:tc>
          <w:tcPr>
            <w:tcW w:w="585" w:type="pct"/>
          </w:tcPr>
          <w:p w14:paraId="599F10C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women in</w:t>
            </w:r>
          </w:p>
        </w:tc>
        <w:tc>
          <w:tcPr>
            <w:tcW w:w="512" w:type="pct"/>
          </w:tcPr>
          <w:p w14:paraId="465360EF" w14:textId="377BC985" w:rsidR="00491D44" w:rsidRPr="000E3BBE" w:rsidRDefault="00C00503"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barriers facilitators</w:t>
            </w:r>
          </w:p>
        </w:tc>
        <w:tc>
          <w:tcPr>
            <w:tcW w:w="462" w:type="pct"/>
          </w:tcPr>
          <w:p w14:paraId="07BA84F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Meta-synthesis involving South</w:t>
            </w:r>
          </w:p>
        </w:tc>
        <w:tc>
          <w:tcPr>
            <w:tcW w:w="424" w:type="pct"/>
          </w:tcPr>
          <w:p w14:paraId="198BF74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9997EA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Ethnicity culture religion</w:t>
            </w:r>
          </w:p>
        </w:tc>
        <w:tc>
          <w:tcPr>
            <w:tcW w:w="412" w:type="pct"/>
          </w:tcPr>
          <w:p w14:paraId="009CF18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culture directly</w:t>
            </w:r>
          </w:p>
        </w:tc>
        <w:tc>
          <w:tcPr>
            <w:tcW w:w="507" w:type="pct"/>
          </w:tcPr>
          <w:p w14:paraId="1FE9F97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norms family expectations</w:t>
            </w:r>
          </w:p>
        </w:tc>
        <w:tc>
          <w:tcPr>
            <w:tcW w:w="481" w:type="pct"/>
          </w:tcPr>
          <w:p w14:paraId="6E134F7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culturally specific</w:t>
            </w:r>
          </w:p>
        </w:tc>
      </w:tr>
      <w:tr w:rsidR="00491D44" w:rsidRPr="000E3BBE" w14:paraId="4ABA6247" w14:textId="77777777" w:rsidTr="00F011CB">
        <w:tc>
          <w:tcPr>
            <w:tcW w:w="178" w:type="pct"/>
          </w:tcPr>
          <w:p w14:paraId="5519E97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23</w:t>
            </w:r>
          </w:p>
        </w:tc>
        <w:tc>
          <w:tcPr>
            <w:tcW w:w="442" w:type="pct"/>
          </w:tcPr>
          <w:p w14:paraId="5E1DFEC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Choi &amp; </w:t>
            </w:r>
            <w:proofErr w:type="gramStart"/>
            <w:r w:rsidRPr="000E3BBE">
              <w:rPr>
                <w:rFonts w:ascii="Cambria" w:eastAsia="MS Mincho" w:hAnsi="Cambria" w:cs="Times New Roman"/>
                <w:sz w:val="20"/>
                <w:szCs w:val="40"/>
              </w:rPr>
              <w:t>Kang  (</w:t>
            </w:r>
            <w:proofErr w:type="gramEnd"/>
            <w:r w:rsidRPr="000E3BBE">
              <w:rPr>
                <w:rFonts w:ascii="Cambria" w:eastAsia="MS Mincho" w:hAnsi="Cambria" w:cs="Times New Roman"/>
                <w:sz w:val="20"/>
                <w:szCs w:val="40"/>
              </w:rPr>
              <w:t>2025)</w:t>
            </w:r>
          </w:p>
        </w:tc>
        <w:tc>
          <w:tcPr>
            <w:tcW w:w="490" w:type="pct"/>
          </w:tcPr>
          <w:p w14:paraId="3FC4DB6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Factors Related to Immigrants’</w:t>
            </w:r>
          </w:p>
        </w:tc>
        <w:tc>
          <w:tcPr>
            <w:tcW w:w="585" w:type="pct"/>
          </w:tcPr>
          <w:p w14:paraId="7E21216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 immigrant populations</w:t>
            </w:r>
          </w:p>
        </w:tc>
        <w:tc>
          <w:tcPr>
            <w:tcW w:w="512" w:type="pct"/>
          </w:tcPr>
          <w:p w14:paraId="580C693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identify classify cultural</w:t>
            </w:r>
          </w:p>
        </w:tc>
        <w:tc>
          <w:tcPr>
            <w:tcW w:w="462" w:type="pct"/>
          </w:tcPr>
          <w:p w14:paraId="6F2CCDA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42 studies</w:t>
            </w:r>
          </w:p>
        </w:tc>
        <w:tc>
          <w:tcPr>
            <w:tcW w:w="424" w:type="pct"/>
          </w:tcPr>
          <w:p w14:paraId="24D955E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0C0822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Ethnic identity acculturation</w:t>
            </w:r>
          </w:p>
        </w:tc>
        <w:tc>
          <w:tcPr>
            <w:tcW w:w="412" w:type="pct"/>
          </w:tcPr>
          <w:p w14:paraId="344E4E8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culture directly</w:t>
            </w:r>
          </w:p>
        </w:tc>
        <w:tc>
          <w:tcPr>
            <w:tcW w:w="507" w:type="pct"/>
          </w:tcPr>
          <w:p w14:paraId="3B27D05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Acculturation ethnic identity social</w:t>
            </w:r>
          </w:p>
        </w:tc>
        <w:tc>
          <w:tcPr>
            <w:tcW w:w="481" w:type="pct"/>
          </w:tcPr>
          <w:p w14:paraId="017042A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needed under-represented migrant populations</w:t>
            </w:r>
          </w:p>
        </w:tc>
      </w:tr>
      <w:tr w:rsidR="00491D44" w:rsidRPr="000E3BBE" w14:paraId="36D33C95" w14:textId="77777777" w:rsidTr="00F011CB">
        <w:tc>
          <w:tcPr>
            <w:tcW w:w="178" w:type="pct"/>
          </w:tcPr>
          <w:p w14:paraId="6B59148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24</w:t>
            </w:r>
          </w:p>
        </w:tc>
        <w:tc>
          <w:tcPr>
            <w:tcW w:w="442" w:type="pct"/>
          </w:tcPr>
          <w:p w14:paraId="5376A44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Sun (2023)</w:t>
            </w:r>
          </w:p>
        </w:tc>
        <w:tc>
          <w:tcPr>
            <w:tcW w:w="490" w:type="pct"/>
          </w:tcPr>
          <w:p w14:paraId="09898BE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Asian Students and Familial Pressures</w:t>
            </w:r>
          </w:p>
        </w:tc>
        <w:tc>
          <w:tcPr>
            <w:tcW w:w="585" w:type="pct"/>
          </w:tcPr>
          <w:p w14:paraId="7CC9727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Anglosphere countries, including the</w:t>
            </w:r>
          </w:p>
        </w:tc>
        <w:tc>
          <w:tcPr>
            <w:tcW w:w="512" w:type="pct"/>
          </w:tcPr>
          <w:p w14:paraId="57390CA1" w14:textId="2ABC7CC7" w:rsidR="00491D44" w:rsidRPr="000E3BBE" w:rsidRDefault="00C00503"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concerning</w:t>
            </w:r>
          </w:p>
        </w:tc>
        <w:tc>
          <w:tcPr>
            <w:tcW w:w="462" w:type="pct"/>
          </w:tcPr>
          <w:p w14:paraId="42A66EC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involving Asian students</w:t>
            </w:r>
          </w:p>
        </w:tc>
        <w:tc>
          <w:tcPr>
            <w:tcW w:w="424" w:type="pct"/>
          </w:tcPr>
          <w:p w14:paraId="05F3BC08" w14:textId="080B68E2"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Eating </w:t>
            </w:r>
            <w:r w:rsidR="00C00503" w:rsidRPr="000E3BBE">
              <w:rPr>
                <w:rFonts w:ascii="Cambria" w:eastAsia="MS Mincho" w:hAnsi="Cambria" w:cs="Times New Roman"/>
                <w:sz w:val="20"/>
                <w:szCs w:val="40"/>
              </w:rPr>
              <w:t>behaviors</w:t>
            </w:r>
            <w:r w:rsidRPr="000E3BBE">
              <w:rPr>
                <w:rFonts w:ascii="Cambria" w:eastAsia="MS Mincho" w:hAnsi="Cambria" w:cs="Times New Roman"/>
                <w:sz w:val="20"/>
                <w:szCs w:val="40"/>
              </w:rPr>
              <w:t xml:space="preserve"> culturally</w:t>
            </w:r>
          </w:p>
        </w:tc>
        <w:tc>
          <w:tcPr>
            <w:tcW w:w="507" w:type="pct"/>
          </w:tcPr>
          <w:p w14:paraId="7281312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Asian cultural values</w:t>
            </w:r>
          </w:p>
        </w:tc>
        <w:tc>
          <w:tcPr>
            <w:tcW w:w="412" w:type="pct"/>
          </w:tcPr>
          <w:p w14:paraId="6148AD5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Eating practices reflect</w:t>
            </w:r>
          </w:p>
        </w:tc>
        <w:tc>
          <w:tcPr>
            <w:tcW w:w="507" w:type="pct"/>
          </w:tcPr>
          <w:p w14:paraId="3C2ED7B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Familial expectations intergenerational conflict</w:t>
            </w:r>
          </w:p>
        </w:tc>
        <w:tc>
          <w:tcPr>
            <w:tcW w:w="481" w:type="pct"/>
          </w:tcPr>
          <w:p w14:paraId="6C16840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differences Asian</w:t>
            </w:r>
          </w:p>
        </w:tc>
      </w:tr>
      <w:tr w:rsidR="00491D44" w:rsidRPr="000E3BBE" w14:paraId="7C06D024" w14:textId="77777777" w:rsidTr="00F011CB">
        <w:tc>
          <w:tcPr>
            <w:tcW w:w="178" w:type="pct"/>
          </w:tcPr>
          <w:p w14:paraId="60C803B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25</w:t>
            </w:r>
          </w:p>
        </w:tc>
        <w:tc>
          <w:tcPr>
            <w:tcW w:w="442" w:type="pct"/>
          </w:tcPr>
          <w:p w14:paraId="74431FF3"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Sunderaraman</w:t>
            </w:r>
            <w:proofErr w:type="spellEnd"/>
            <w:r w:rsidRPr="000E3BBE">
              <w:rPr>
                <w:rFonts w:ascii="Cambria" w:eastAsia="MS Mincho" w:hAnsi="Cambria" w:cs="Times New Roman"/>
                <w:sz w:val="20"/>
                <w:szCs w:val="40"/>
              </w:rPr>
              <w:t xml:space="preserve"> (2023)</w:t>
            </w:r>
          </w:p>
        </w:tc>
        <w:tc>
          <w:tcPr>
            <w:tcW w:w="490" w:type="pct"/>
          </w:tcPr>
          <w:p w14:paraId="4E2DAE6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Asian Indians in the United</w:t>
            </w:r>
          </w:p>
        </w:tc>
        <w:tc>
          <w:tcPr>
            <w:tcW w:w="585" w:type="pct"/>
          </w:tcPr>
          <w:p w14:paraId="498797E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USA</w:t>
            </w:r>
          </w:p>
        </w:tc>
        <w:tc>
          <w:tcPr>
            <w:tcW w:w="512" w:type="pct"/>
          </w:tcPr>
          <w:p w14:paraId="71DA6801" w14:textId="18E9B54C" w:rsidR="00491D44" w:rsidRPr="000E3BBE" w:rsidRDefault="00C00503" w:rsidP="00491D44">
            <w:pPr>
              <w:rPr>
                <w:rFonts w:ascii="Cambria" w:eastAsia="MS Mincho" w:hAnsi="Cambria" w:cs="Times New Roman"/>
                <w:sz w:val="20"/>
                <w:szCs w:val="40"/>
              </w:rPr>
            </w:pPr>
            <w:r w:rsidRPr="000E3BBE">
              <w:rPr>
                <w:rFonts w:ascii="Cambria" w:eastAsia="MS Mincho" w:hAnsi="Cambria" w:cs="Times New Roman"/>
                <w:sz w:val="20"/>
                <w:szCs w:val="40"/>
              </w:rPr>
              <w:t>Biopsychosocial</w:t>
            </w:r>
            <w:r w:rsidR="00491D44" w:rsidRPr="000E3BBE">
              <w:rPr>
                <w:rFonts w:ascii="Cambria" w:eastAsia="MS Mincho" w:hAnsi="Cambria" w:cs="Times New Roman"/>
                <w:sz w:val="20"/>
                <w:szCs w:val="40"/>
              </w:rPr>
              <w:t xml:space="preserve"> health characteristics</w:t>
            </w:r>
          </w:p>
        </w:tc>
        <w:tc>
          <w:tcPr>
            <w:tcW w:w="462" w:type="pct"/>
          </w:tcPr>
          <w:p w14:paraId="62D4E35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1C21D5D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5914BDF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Asian Indian cultural</w:t>
            </w:r>
          </w:p>
        </w:tc>
        <w:tc>
          <w:tcPr>
            <w:tcW w:w="412" w:type="pct"/>
          </w:tcPr>
          <w:p w14:paraId="0BC997E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FD588E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contextual information cultural psychosocial</w:t>
            </w:r>
          </w:p>
        </w:tc>
        <w:tc>
          <w:tcPr>
            <w:tcW w:w="481" w:type="pct"/>
          </w:tcPr>
          <w:p w14:paraId="4DF2F0A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address cultural</w:t>
            </w:r>
          </w:p>
        </w:tc>
      </w:tr>
      <w:tr w:rsidR="00491D44" w:rsidRPr="000E3BBE" w14:paraId="16E8F44C" w14:textId="77777777" w:rsidTr="00F011CB">
        <w:tc>
          <w:tcPr>
            <w:tcW w:w="178" w:type="pct"/>
          </w:tcPr>
          <w:p w14:paraId="2C6BEBF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26</w:t>
            </w:r>
          </w:p>
        </w:tc>
        <w:tc>
          <w:tcPr>
            <w:tcW w:w="442" w:type="pct"/>
          </w:tcPr>
          <w:p w14:paraId="43492CF1"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Lerias</w:t>
            </w:r>
            <w:proofErr w:type="spellEnd"/>
            <w:r w:rsidRPr="000E3BBE">
              <w:rPr>
                <w:rFonts w:ascii="Cambria" w:eastAsia="MS Mincho" w:hAnsi="Cambria" w:cs="Times New Roman"/>
                <w:sz w:val="20"/>
                <w:szCs w:val="40"/>
              </w:rPr>
              <w:t xml:space="preserve"> et al.  (2025)</w:t>
            </w:r>
          </w:p>
        </w:tc>
        <w:tc>
          <w:tcPr>
            <w:tcW w:w="490" w:type="pct"/>
          </w:tcPr>
          <w:p w14:paraId="694DDFD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Acculturative Stress and Immigrant Youth</w:t>
            </w:r>
          </w:p>
        </w:tc>
        <w:tc>
          <w:tcPr>
            <w:tcW w:w="585" w:type="pct"/>
          </w:tcPr>
          <w:p w14:paraId="6B90D6C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2E8B84E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acculturative stress mental</w:t>
            </w:r>
          </w:p>
        </w:tc>
        <w:tc>
          <w:tcPr>
            <w:tcW w:w="462" w:type="pct"/>
          </w:tcPr>
          <w:p w14:paraId="397757A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3269AC0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1AF9820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adaptation acculturation</w:t>
            </w:r>
          </w:p>
        </w:tc>
        <w:tc>
          <w:tcPr>
            <w:tcW w:w="412" w:type="pct"/>
          </w:tcPr>
          <w:p w14:paraId="70FD24B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A75B3A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Acculturative stress associated challenges</w:t>
            </w:r>
          </w:p>
        </w:tc>
        <w:tc>
          <w:tcPr>
            <w:tcW w:w="481" w:type="pct"/>
          </w:tcPr>
          <w:p w14:paraId="507AED2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needed diverse migrant groups</w:t>
            </w:r>
          </w:p>
        </w:tc>
      </w:tr>
      <w:tr w:rsidR="00491D44" w:rsidRPr="000E3BBE" w14:paraId="4CF1B53C" w14:textId="77777777" w:rsidTr="00F011CB">
        <w:tc>
          <w:tcPr>
            <w:tcW w:w="178" w:type="pct"/>
          </w:tcPr>
          <w:p w14:paraId="01F0B62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27</w:t>
            </w:r>
          </w:p>
        </w:tc>
        <w:tc>
          <w:tcPr>
            <w:tcW w:w="442" w:type="pct"/>
          </w:tcPr>
          <w:p w14:paraId="0A88553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Islam (2024)</w:t>
            </w:r>
          </w:p>
        </w:tc>
        <w:tc>
          <w:tcPr>
            <w:tcW w:w="490" w:type="pct"/>
          </w:tcPr>
          <w:p w14:paraId="2B39625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Women’s Participation in South Asian</w:t>
            </w:r>
          </w:p>
        </w:tc>
        <w:tc>
          <w:tcPr>
            <w:tcW w:w="585" w:type="pct"/>
          </w:tcPr>
          <w:p w14:paraId="537F7CA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agricultural contexts</w:t>
            </w:r>
          </w:p>
        </w:tc>
        <w:tc>
          <w:tcPr>
            <w:tcW w:w="512" w:type="pct"/>
          </w:tcPr>
          <w:p w14:paraId="5CDD7BA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comprehensively women participation</w:t>
            </w:r>
          </w:p>
        </w:tc>
        <w:tc>
          <w:tcPr>
            <w:tcW w:w="462" w:type="pct"/>
          </w:tcPr>
          <w:p w14:paraId="37DC9BC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2550849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production agricultural</w:t>
            </w:r>
          </w:p>
        </w:tc>
        <w:tc>
          <w:tcPr>
            <w:tcW w:w="507" w:type="pct"/>
          </w:tcPr>
          <w:p w14:paraId="1CFBA59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Gender social norms</w:t>
            </w:r>
          </w:p>
        </w:tc>
        <w:tc>
          <w:tcPr>
            <w:tcW w:w="412" w:type="pct"/>
          </w:tcPr>
          <w:p w14:paraId="7D0D758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production connected</w:t>
            </w:r>
          </w:p>
        </w:tc>
        <w:tc>
          <w:tcPr>
            <w:tcW w:w="507" w:type="pct"/>
          </w:tcPr>
          <w:p w14:paraId="0863127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women agricultural</w:t>
            </w:r>
          </w:p>
        </w:tc>
        <w:tc>
          <w:tcPr>
            <w:tcW w:w="481" w:type="pct"/>
          </w:tcPr>
          <w:p w14:paraId="5BC919D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cultural social</w:t>
            </w:r>
          </w:p>
        </w:tc>
      </w:tr>
      <w:tr w:rsidR="00491D44" w:rsidRPr="000E3BBE" w14:paraId="7ED430DB" w14:textId="77777777" w:rsidTr="00F011CB">
        <w:tc>
          <w:tcPr>
            <w:tcW w:w="178" w:type="pct"/>
          </w:tcPr>
          <w:p w14:paraId="6FC28DF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28</w:t>
            </w:r>
          </w:p>
        </w:tc>
        <w:tc>
          <w:tcPr>
            <w:tcW w:w="442" w:type="pct"/>
          </w:tcPr>
          <w:p w14:paraId="15CE494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Masih (2024)</w:t>
            </w:r>
          </w:p>
        </w:tc>
        <w:tc>
          <w:tcPr>
            <w:tcW w:w="490" w:type="pct"/>
          </w:tcPr>
          <w:p w14:paraId="25DCFF6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Domestic Abuse and Violence among</w:t>
            </w:r>
          </w:p>
        </w:tc>
        <w:tc>
          <w:tcPr>
            <w:tcW w:w="585" w:type="pct"/>
          </w:tcPr>
          <w:p w14:paraId="2A3E11F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2A450A60" w14:textId="6AE3A7E6" w:rsidR="00491D44" w:rsidRPr="000E3BBE" w:rsidRDefault="00385073"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psychological</w:t>
            </w:r>
          </w:p>
        </w:tc>
        <w:tc>
          <w:tcPr>
            <w:tcW w:w="462" w:type="pct"/>
          </w:tcPr>
          <w:p w14:paraId="35ABDB3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1D04CA3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5BCF14B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cultural</w:t>
            </w:r>
          </w:p>
        </w:tc>
        <w:tc>
          <w:tcPr>
            <w:tcW w:w="412" w:type="pct"/>
          </w:tcPr>
          <w:p w14:paraId="3259D3A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B1938C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social expectations influence</w:t>
            </w:r>
          </w:p>
        </w:tc>
        <w:tc>
          <w:tcPr>
            <w:tcW w:w="481" w:type="pct"/>
          </w:tcPr>
          <w:p w14:paraId="51A33FD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culturally sensitive intersectional needed</w:t>
            </w:r>
          </w:p>
        </w:tc>
      </w:tr>
      <w:tr w:rsidR="00491D44" w:rsidRPr="000E3BBE" w14:paraId="1524E75C" w14:textId="77777777" w:rsidTr="00F011CB">
        <w:tc>
          <w:tcPr>
            <w:tcW w:w="178" w:type="pct"/>
          </w:tcPr>
          <w:p w14:paraId="2D632C0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29</w:t>
            </w:r>
          </w:p>
        </w:tc>
        <w:tc>
          <w:tcPr>
            <w:tcW w:w="442" w:type="pct"/>
          </w:tcPr>
          <w:p w14:paraId="509D0D17"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Ngongalah</w:t>
            </w:r>
            <w:proofErr w:type="spellEnd"/>
            <w:r w:rsidRPr="000E3BBE">
              <w:rPr>
                <w:rFonts w:ascii="Cambria" w:eastAsia="MS Mincho" w:hAnsi="Cambria" w:cs="Times New Roman"/>
                <w:sz w:val="20"/>
                <w:szCs w:val="40"/>
              </w:rPr>
              <w:t xml:space="preserve"> et al.  (2023)</w:t>
            </w:r>
          </w:p>
        </w:tc>
        <w:tc>
          <w:tcPr>
            <w:tcW w:w="490" w:type="pct"/>
          </w:tcPr>
          <w:p w14:paraId="340C118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Influences on African Migrant</w:t>
            </w:r>
          </w:p>
        </w:tc>
        <w:tc>
          <w:tcPr>
            <w:tcW w:w="585" w:type="pct"/>
          </w:tcPr>
          <w:p w14:paraId="4E0A6B7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UK</w:t>
            </w:r>
          </w:p>
        </w:tc>
        <w:tc>
          <w:tcPr>
            <w:tcW w:w="512" w:type="pct"/>
          </w:tcPr>
          <w:p w14:paraId="00CACB1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influences dietary</w:t>
            </w:r>
          </w:p>
        </w:tc>
        <w:tc>
          <w:tcPr>
            <w:tcW w:w="462" w:type="pct"/>
          </w:tcPr>
          <w:p w14:paraId="7EDE170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African migrant pregnant</w:t>
            </w:r>
          </w:p>
        </w:tc>
        <w:tc>
          <w:tcPr>
            <w:tcW w:w="424" w:type="pct"/>
          </w:tcPr>
          <w:p w14:paraId="29267A6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Traditional foods food</w:t>
            </w:r>
          </w:p>
        </w:tc>
        <w:tc>
          <w:tcPr>
            <w:tcW w:w="507" w:type="pct"/>
          </w:tcPr>
          <w:p w14:paraId="4432A76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traditions family</w:t>
            </w:r>
          </w:p>
        </w:tc>
        <w:tc>
          <w:tcPr>
            <w:tcW w:w="412" w:type="pct"/>
          </w:tcPr>
          <w:p w14:paraId="664CAFB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Maintaining culturally familiar</w:t>
            </w:r>
          </w:p>
        </w:tc>
        <w:tc>
          <w:tcPr>
            <w:tcW w:w="507" w:type="pct"/>
          </w:tcPr>
          <w:p w14:paraId="26FD2FF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beliefs and traditional food practices</w:t>
            </w:r>
          </w:p>
        </w:tc>
        <w:tc>
          <w:tcPr>
            <w:tcW w:w="481" w:type="pct"/>
          </w:tcPr>
          <w:p w14:paraId="5A2694B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culturally appropriate</w:t>
            </w:r>
          </w:p>
        </w:tc>
      </w:tr>
      <w:tr w:rsidR="00491D44" w:rsidRPr="000E3BBE" w14:paraId="084910A4" w14:textId="77777777" w:rsidTr="00F011CB">
        <w:tc>
          <w:tcPr>
            <w:tcW w:w="178" w:type="pct"/>
          </w:tcPr>
          <w:p w14:paraId="43CC7FF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30</w:t>
            </w:r>
          </w:p>
        </w:tc>
        <w:tc>
          <w:tcPr>
            <w:tcW w:w="442" w:type="pct"/>
          </w:tcPr>
          <w:p w14:paraId="17556AB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Dhir et al.  (2024)</w:t>
            </w:r>
          </w:p>
        </w:tc>
        <w:tc>
          <w:tcPr>
            <w:tcW w:w="490" w:type="pct"/>
          </w:tcPr>
          <w:p w14:paraId="42EBB55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Type 2 Diabetes and Weight</w:t>
            </w:r>
          </w:p>
        </w:tc>
        <w:tc>
          <w:tcPr>
            <w:tcW w:w="585" w:type="pct"/>
          </w:tcPr>
          <w:p w14:paraId="6799842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High-income countries</w:t>
            </w:r>
          </w:p>
        </w:tc>
        <w:tc>
          <w:tcPr>
            <w:tcW w:w="512" w:type="pct"/>
          </w:tcPr>
          <w:p w14:paraId="0770B8EC" w14:textId="624A73EB" w:rsidR="00491D44" w:rsidRPr="000E3BBE" w:rsidRDefault="00385073"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views</w:t>
            </w:r>
          </w:p>
        </w:tc>
        <w:tc>
          <w:tcPr>
            <w:tcW w:w="462" w:type="pct"/>
          </w:tcPr>
          <w:p w14:paraId="0A72F1E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76B6FF4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Dietary practices culturally</w:t>
            </w:r>
          </w:p>
        </w:tc>
        <w:tc>
          <w:tcPr>
            <w:tcW w:w="507" w:type="pct"/>
          </w:tcPr>
          <w:p w14:paraId="656C819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Ethnicity culture family</w:t>
            </w:r>
          </w:p>
        </w:tc>
        <w:tc>
          <w:tcPr>
            <w:tcW w:w="412" w:type="pct"/>
          </w:tcPr>
          <w:p w14:paraId="0EB4514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dietary practices</w:t>
            </w:r>
          </w:p>
        </w:tc>
        <w:tc>
          <w:tcPr>
            <w:tcW w:w="507" w:type="pct"/>
          </w:tcPr>
          <w:p w14:paraId="369DE47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Participants described cultural social</w:t>
            </w:r>
          </w:p>
        </w:tc>
        <w:tc>
          <w:tcPr>
            <w:tcW w:w="481" w:type="pct"/>
          </w:tcPr>
          <w:p w14:paraId="62523F08" w14:textId="1575E7DD" w:rsidR="00491D44" w:rsidRPr="000E3BBE" w:rsidRDefault="00385073" w:rsidP="00491D44">
            <w:pPr>
              <w:rPr>
                <w:rFonts w:ascii="Cambria" w:eastAsia="MS Mincho" w:hAnsi="Cambria" w:cs="Times New Roman"/>
                <w:sz w:val="20"/>
                <w:szCs w:val="40"/>
              </w:rPr>
            </w:pPr>
            <w:r w:rsidRPr="000E3BBE">
              <w:rPr>
                <w:rFonts w:ascii="Cambria" w:eastAsia="MS Mincho" w:hAnsi="Cambria" w:cs="Times New Roman"/>
                <w:sz w:val="20"/>
                <w:szCs w:val="40"/>
              </w:rPr>
              <w:t>Culturally</w:t>
            </w:r>
            <w:r w:rsidR="00491D44" w:rsidRPr="000E3BBE">
              <w:rPr>
                <w:rFonts w:ascii="Cambria" w:eastAsia="MS Mincho" w:hAnsi="Cambria" w:cs="Times New Roman"/>
                <w:sz w:val="20"/>
                <w:szCs w:val="40"/>
              </w:rPr>
              <w:t xml:space="preserve"> </w:t>
            </w:r>
            <w:r w:rsidRPr="000E3BBE">
              <w:rPr>
                <w:rFonts w:ascii="Cambria" w:eastAsia="MS Mincho" w:hAnsi="Cambria" w:cs="Times New Roman"/>
                <w:sz w:val="20"/>
                <w:szCs w:val="40"/>
              </w:rPr>
              <w:t>responsively</w:t>
            </w:r>
            <w:r w:rsidR="00491D44" w:rsidRPr="000E3BBE">
              <w:rPr>
                <w:rFonts w:ascii="Cambria" w:eastAsia="MS Mincho" w:hAnsi="Cambria" w:cs="Times New Roman"/>
                <w:sz w:val="20"/>
                <w:szCs w:val="40"/>
              </w:rPr>
              <w:t xml:space="preserve"> needed specific</w:t>
            </w:r>
          </w:p>
        </w:tc>
      </w:tr>
      <w:tr w:rsidR="00491D44" w:rsidRPr="000E3BBE" w14:paraId="3BC4FFEE" w14:textId="77777777" w:rsidTr="00F011CB">
        <w:tc>
          <w:tcPr>
            <w:tcW w:w="178" w:type="pct"/>
          </w:tcPr>
          <w:p w14:paraId="76102B4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31</w:t>
            </w:r>
          </w:p>
        </w:tc>
        <w:tc>
          <w:tcPr>
            <w:tcW w:w="442" w:type="pct"/>
          </w:tcPr>
          <w:p w14:paraId="655962D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Luk (2025)</w:t>
            </w:r>
          </w:p>
        </w:tc>
        <w:tc>
          <w:tcPr>
            <w:tcW w:w="490" w:type="pct"/>
          </w:tcPr>
          <w:p w14:paraId="3131AB5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Ancestry, Geography and Diabetes Complications</w:t>
            </w:r>
          </w:p>
        </w:tc>
        <w:tc>
          <w:tcPr>
            <w:tcW w:w="585" w:type="pct"/>
          </w:tcPr>
          <w:p w14:paraId="5987359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3320E8C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ancestry geographical determinants</w:t>
            </w:r>
          </w:p>
        </w:tc>
        <w:tc>
          <w:tcPr>
            <w:tcW w:w="462" w:type="pct"/>
          </w:tcPr>
          <w:p w14:paraId="108E25B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3849525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6FE7C4C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Ancestry geographical background</w:t>
            </w:r>
          </w:p>
        </w:tc>
        <w:tc>
          <w:tcPr>
            <w:tcW w:w="412" w:type="pct"/>
          </w:tcPr>
          <w:p w14:paraId="297571A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19958EF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Diabetes complications vary populations</w:t>
            </w:r>
          </w:p>
        </w:tc>
        <w:tc>
          <w:tcPr>
            <w:tcW w:w="481" w:type="pct"/>
          </w:tcPr>
          <w:p w14:paraId="1999C91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required clarify interactions</w:t>
            </w:r>
          </w:p>
        </w:tc>
      </w:tr>
      <w:tr w:rsidR="00491D44" w:rsidRPr="000E3BBE" w14:paraId="221431A3" w14:textId="77777777" w:rsidTr="00F011CB">
        <w:tc>
          <w:tcPr>
            <w:tcW w:w="178" w:type="pct"/>
          </w:tcPr>
          <w:p w14:paraId="0F9B0F4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32</w:t>
            </w:r>
          </w:p>
        </w:tc>
        <w:tc>
          <w:tcPr>
            <w:tcW w:w="442" w:type="pct"/>
          </w:tcPr>
          <w:p w14:paraId="4AA4D02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Tripathi (2022)</w:t>
            </w:r>
          </w:p>
        </w:tc>
        <w:tc>
          <w:tcPr>
            <w:tcW w:w="490" w:type="pct"/>
          </w:tcPr>
          <w:p w14:paraId="2FD27A6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Unpaid Care Work among Women</w:t>
            </w:r>
          </w:p>
        </w:tc>
        <w:tc>
          <w:tcPr>
            <w:tcW w:w="585" w:type="pct"/>
          </w:tcPr>
          <w:p w14:paraId="38AF970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countries</w:t>
            </w:r>
          </w:p>
        </w:tc>
        <w:tc>
          <w:tcPr>
            <w:tcW w:w="512" w:type="pct"/>
          </w:tcPr>
          <w:p w14:paraId="4341521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evidence unpaid care</w:t>
            </w:r>
          </w:p>
        </w:tc>
        <w:tc>
          <w:tcPr>
            <w:tcW w:w="462" w:type="pct"/>
          </w:tcPr>
          <w:p w14:paraId="3BF7FE5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33E47D2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Household food preparation</w:t>
            </w:r>
          </w:p>
        </w:tc>
        <w:tc>
          <w:tcPr>
            <w:tcW w:w="507" w:type="pct"/>
          </w:tcPr>
          <w:p w14:paraId="5FA3556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Gender family responsibilities</w:t>
            </w:r>
          </w:p>
        </w:tc>
        <w:tc>
          <w:tcPr>
            <w:tcW w:w="412" w:type="pct"/>
          </w:tcPr>
          <w:p w14:paraId="18104EC0" w14:textId="6355D62D"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Food-related domestic </w:t>
            </w:r>
            <w:r w:rsidR="00385073" w:rsidRPr="000E3BBE">
              <w:rPr>
                <w:rFonts w:ascii="Cambria" w:eastAsia="MS Mincho" w:hAnsi="Cambria" w:cs="Times New Roman"/>
                <w:sz w:val="20"/>
                <w:szCs w:val="40"/>
              </w:rPr>
              <w:t>labor</w:t>
            </w:r>
          </w:p>
        </w:tc>
        <w:tc>
          <w:tcPr>
            <w:tcW w:w="507" w:type="pct"/>
          </w:tcPr>
          <w:p w14:paraId="44A9D8A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Women unpaid care work</w:t>
            </w:r>
          </w:p>
        </w:tc>
        <w:tc>
          <w:tcPr>
            <w:tcW w:w="481" w:type="pct"/>
          </w:tcPr>
          <w:p w14:paraId="42E9E57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needed intersectional differences changing</w:t>
            </w:r>
          </w:p>
        </w:tc>
      </w:tr>
      <w:tr w:rsidR="00491D44" w:rsidRPr="000E3BBE" w14:paraId="6D1DD6AE" w14:textId="77777777" w:rsidTr="00F011CB">
        <w:tc>
          <w:tcPr>
            <w:tcW w:w="178" w:type="pct"/>
          </w:tcPr>
          <w:p w14:paraId="7BC1114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33</w:t>
            </w:r>
          </w:p>
        </w:tc>
        <w:tc>
          <w:tcPr>
            <w:tcW w:w="442" w:type="pct"/>
          </w:tcPr>
          <w:p w14:paraId="38C0D38B"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Varre</w:t>
            </w:r>
            <w:proofErr w:type="spellEnd"/>
            <w:r w:rsidRPr="000E3BBE">
              <w:rPr>
                <w:rFonts w:ascii="Cambria" w:eastAsia="MS Mincho" w:hAnsi="Cambria" w:cs="Times New Roman"/>
                <w:sz w:val="20"/>
                <w:szCs w:val="40"/>
              </w:rPr>
              <w:t xml:space="preserve"> (2025)</w:t>
            </w:r>
          </w:p>
        </w:tc>
        <w:tc>
          <w:tcPr>
            <w:tcW w:w="490" w:type="pct"/>
          </w:tcPr>
          <w:p w14:paraId="588053F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Dietary Transformations in Migrant Populations</w:t>
            </w:r>
          </w:p>
        </w:tc>
        <w:tc>
          <w:tcPr>
            <w:tcW w:w="585" w:type="pct"/>
          </w:tcPr>
          <w:p w14:paraId="4E22D83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Global migrant populations</w:t>
            </w:r>
          </w:p>
        </w:tc>
        <w:tc>
          <w:tcPr>
            <w:tcW w:w="512" w:type="pct"/>
          </w:tcPr>
          <w:p w14:paraId="29CE995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dietary transformations migrant</w:t>
            </w:r>
          </w:p>
        </w:tc>
        <w:tc>
          <w:tcPr>
            <w:tcW w:w="462" w:type="pct"/>
          </w:tcPr>
          <w:p w14:paraId="75DE72A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71E06F4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Dietary acculturation traditional</w:t>
            </w:r>
          </w:p>
        </w:tc>
        <w:tc>
          <w:tcPr>
            <w:tcW w:w="507" w:type="pct"/>
          </w:tcPr>
          <w:p w14:paraId="4A19696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adaptation heritage</w:t>
            </w:r>
          </w:p>
        </w:tc>
        <w:tc>
          <w:tcPr>
            <w:tcW w:w="412" w:type="pct"/>
          </w:tcPr>
          <w:p w14:paraId="4BEC9ACF" w14:textId="5A71A51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Migration </w:t>
            </w:r>
            <w:r w:rsidR="00385073" w:rsidRPr="000E3BBE">
              <w:rPr>
                <w:rFonts w:ascii="Cambria" w:eastAsia="MS Mincho" w:hAnsi="Cambria" w:cs="Times New Roman"/>
                <w:sz w:val="20"/>
                <w:szCs w:val="40"/>
              </w:rPr>
              <w:t>transforms</w:t>
            </w:r>
            <w:r w:rsidRPr="000E3BBE">
              <w:rPr>
                <w:rFonts w:ascii="Cambria" w:eastAsia="MS Mincho" w:hAnsi="Cambria" w:cs="Times New Roman"/>
                <w:sz w:val="20"/>
                <w:szCs w:val="40"/>
              </w:rPr>
              <w:t xml:space="preserve"> food</w:t>
            </w:r>
          </w:p>
        </w:tc>
        <w:tc>
          <w:tcPr>
            <w:tcW w:w="507" w:type="pct"/>
          </w:tcPr>
          <w:p w14:paraId="4EFBD89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Migrants commonly experience dietary</w:t>
            </w:r>
          </w:p>
        </w:tc>
        <w:tc>
          <w:tcPr>
            <w:tcW w:w="481" w:type="pct"/>
          </w:tcPr>
          <w:p w14:paraId="2EB1913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understand dietary</w:t>
            </w:r>
          </w:p>
        </w:tc>
      </w:tr>
      <w:tr w:rsidR="00491D44" w:rsidRPr="000E3BBE" w14:paraId="54308D0F" w14:textId="77777777" w:rsidTr="00F011CB">
        <w:tc>
          <w:tcPr>
            <w:tcW w:w="178" w:type="pct"/>
          </w:tcPr>
          <w:p w14:paraId="2CC1C54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34</w:t>
            </w:r>
          </w:p>
        </w:tc>
        <w:tc>
          <w:tcPr>
            <w:tcW w:w="442" w:type="pct"/>
          </w:tcPr>
          <w:p w14:paraId="20B9F63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Neven et al.  (2022)</w:t>
            </w:r>
          </w:p>
        </w:tc>
        <w:tc>
          <w:tcPr>
            <w:tcW w:w="490" w:type="pct"/>
          </w:tcPr>
          <w:p w14:paraId="192718B0" w14:textId="068F4644"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Postpartum Health </w:t>
            </w:r>
            <w:r w:rsidR="003E633D" w:rsidRPr="000E3BBE">
              <w:rPr>
                <w:rFonts w:ascii="Cambria" w:eastAsia="MS Mincho" w:hAnsi="Cambria" w:cs="Times New Roman"/>
                <w:sz w:val="20"/>
                <w:szCs w:val="40"/>
              </w:rPr>
              <w:t>Behaviors</w:t>
            </w:r>
            <w:r w:rsidRPr="000E3BBE">
              <w:rPr>
                <w:rFonts w:ascii="Cambria" w:eastAsia="MS Mincho" w:hAnsi="Cambria" w:cs="Times New Roman"/>
                <w:sz w:val="20"/>
                <w:szCs w:val="40"/>
              </w:rPr>
              <w:t xml:space="preserve"> among Culturally</w:t>
            </w:r>
          </w:p>
        </w:tc>
        <w:tc>
          <w:tcPr>
            <w:tcW w:w="585" w:type="pct"/>
          </w:tcPr>
          <w:p w14:paraId="0BEACBB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Multiple high-income countries</w:t>
            </w:r>
          </w:p>
        </w:tc>
        <w:tc>
          <w:tcPr>
            <w:tcW w:w="512" w:type="pct"/>
          </w:tcPr>
          <w:p w14:paraId="4995F2A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identify barriers enablers</w:t>
            </w:r>
          </w:p>
        </w:tc>
        <w:tc>
          <w:tcPr>
            <w:tcW w:w="462" w:type="pct"/>
          </w:tcPr>
          <w:p w14:paraId="188B2CA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synthesis involving culturally</w:t>
            </w:r>
          </w:p>
        </w:tc>
        <w:tc>
          <w:tcPr>
            <w:tcW w:w="424" w:type="pct"/>
          </w:tcPr>
          <w:p w14:paraId="2E3D457C" w14:textId="05AA7B1B"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Dietary </w:t>
            </w:r>
            <w:r w:rsidR="003E633D" w:rsidRPr="000E3BBE">
              <w:rPr>
                <w:rFonts w:ascii="Cambria" w:eastAsia="MS Mincho" w:hAnsi="Cambria" w:cs="Times New Roman"/>
                <w:sz w:val="20"/>
                <w:szCs w:val="40"/>
              </w:rPr>
              <w:t>behaviors</w:t>
            </w:r>
            <w:r w:rsidRPr="000E3BBE">
              <w:rPr>
                <w:rFonts w:ascii="Cambria" w:eastAsia="MS Mincho" w:hAnsi="Cambria" w:cs="Times New Roman"/>
                <w:sz w:val="20"/>
                <w:szCs w:val="40"/>
              </w:rPr>
              <w:t xml:space="preserve"> food</w:t>
            </w:r>
          </w:p>
        </w:tc>
        <w:tc>
          <w:tcPr>
            <w:tcW w:w="507" w:type="pct"/>
          </w:tcPr>
          <w:p w14:paraId="7F9F63B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beliefs, family and social influence</w:t>
            </w:r>
          </w:p>
        </w:tc>
        <w:tc>
          <w:tcPr>
            <w:tcW w:w="412" w:type="pct"/>
          </w:tcPr>
          <w:p w14:paraId="20C129C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food practices</w:t>
            </w:r>
          </w:p>
        </w:tc>
        <w:tc>
          <w:tcPr>
            <w:tcW w:w="507" w:type="pct"/>
          </w:tcPr>
          <w:p w14:paraId="2D6C065E" w14:textId="2A8C6B50" w:rsidR="00491D44" w:rsidRPr="000E3BBE" w:rsidRDefault="003E633D" w:rsidP="00491D44">
            <w:pPr>
              <w:rPr>
                <w:rFonts w:ascii="Cambria" w:eastAsia="MS Mincho" w:hAnsi="Cambria" w:cs="Times New Roman"/>
                <w:sz w:val="20"/>
                <w:szCs w:val="40"/>
              </w:rPr>
            </w:pPr>
            <w:r w:rsidRPr="000E3BBE">
              <w:rPr>
                <w:rFonts w:ascii="Cambria" w:eastAsia="MS Mincho" w:hAnsi="Cambria" w:cs="Times New Roman"/>
                <w:sz w:val="20"/>
                <w:szCs w:val="40"/>
              </w:rPr>
              <w:t>Barrier’s</w:t>
            </w:r>
            <w:r w:rsidR="00491D44" w:rsidRPr="000E3BBE">
              <w:rPr>
                <w:rFonts w:ascii="Cambria" w:eastAsia="MS Mincho" w:hAnsi="Cambria" w:cs="Times New Roman"/>
                <w:sz w:val="20"/>
                <w:szCs w:val="40"/>
              </w:rPr>
              <w:t xml:space="preserve"> enablers postpartum health</w:t>
            </w:r>
          </w:p>
        </w:tc>
        <w:tc>
          <w:tcPr>
            <w:tcW w:w="481" w:type="pct"/>
          </w:tcPr>
          <w:p w14:paraId="243D068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culturally tailored needed</w:t>
            </w:r>
          </w:p>
        </w:tc>
      </w:tr>
      <w:tr w:rsidR="00491D44" w:rsidRPr="000E3BBE" w14:paraId="38C9A4D1" w14:textId="77777777" w:rsidTr="00F011CB">
        <w:tc>
          <w:tcPr>
            <w:tcW w:w="178" w:type="pct"/>
          </w:tcPr>
          <w:p w14:paraId="65A069B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35</w:t>
            </w:r>
          </w:p>
        </w:tc>
        <w:tc>
          <w:tcPr>
            <w:tcW w:w="442" w:type="pct"/>
          </w:tcPr>
          <w:p w14:paraId="56056A1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Abdoli (2024)</w:t>
            </w:r>
          </w:p>
        </w:tc>
        <w:tc>
          <w:tcPr>
            <w:tcW w:w="490" w:type="pct"/>
          </w:tcPr>
          <w:p w14:paraId="28C342C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Differences in Body Image</w:t>
            </w:r>
          </w:p>
        </w:tc>
        <w:tc>
          <w:tcPr>
            <w:tcW w:w="585" w:type="pct"/>
          </w:tcPr>
          <w:p w14:paraId="65E4B68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123A959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evidence concerning cultural</w:t>
            </w:r>
          </w:p>
        </w:tc>
        <w:tc>
          <w:tcPr>
            <w:tcW w:w="462" w:type="pct"/>
          </w:tcPr>
          <w:p w14:paraId="6C8A493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102821D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6EA6308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values social</w:t>
            </w:r>
          </w:p>
        </w:tc>
        <w:tc>
          <w:tcPr>
            <w:tcW w:w="412" w:type="pct"/>
          </w:tcPr>
          <w:p w14:paraId="78A1AB6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6D3A478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Body image influenced cultural</w:t>
            </w:r>
          </w:p>
        </w:tc>
        <w:tc>
          <w:tcPr>
            <w:tcW w:w="481" w:type="pct"/>
          </w:tcPr>
          <w:p w14:paraId="6FD77C5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needed cultural diversity intersectionality</w:t>
            </w:r>
          </w:p>
        </w:tc>
      </w:tr>
      <w:tr w:rsidR="00491D44" w:rsidRPr="000E3BBE" w14:paraId="2C42DCAD" w14:textId="77777777" w:rsidTr="00F011CB">
        <w:tc>
          <w:tcPr>
            <w:tcW w:w="178" w:type="pct"/>
          </w:tcPr>
          <w:p w14:paraId="2AC4BAF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36</w:t>
            </w:r>
          </w:p>
        </w:tc>
        <w:tc>
          <w:tcPr>
            <w:tcW w:w="442" w:type="pct"/>
          </w:tcPr>
          <w:p w14:paraId="58459C2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Nagesh (2024)</w:t>
            </w:r>
          </w:p>
        </w:tc>
        <w:tc>
          <w:tcPr>
            <w:tcW w:w="490" w:type="pct"/>
          </w:tcPr>
          <w:p w14:paraId="018458C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Women’s Perspectives and</w:t>
            </w:r>
          </w:p>
        </w:tc>
        <w:tc>
          <w:tcPr>
            <w:tcW w:w="585" w:type="pct"/>
          </w:tcPr>
          <w:p w14:paraId="4D4E0D7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Destination countries</w:t>
            </w:r>
          </w:p>
        </w:tc>
        <w:tc>
          <w:tcPr>
            <w:tcW w:w="512" w:type="pct"/>
          </w:tcPr>
          <w:p w14:paraId="4666E219" w14:textId="3D3A56D9" w:rsidR="00491D44" w:rsidRPr="000E3BBE" w:rsidRDefault="003E633D"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South Asian</w:t>
            </w:r>
          </w:p>
        </w:tc>
        <w:tc>
          <w:tcPr>
            <w:tcW w:w="462" w:type="pct"/>
          </w:tcPr>
          <w:p w14:paraId="73FCBEE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157 participants</w:t>
            </w:r>
          </w:p>
        </w:tc>
        <w:tc>
          <w:tcPr>
            <w:tcW w:w="424" w:type="pct"/>
          </w:tcPr>
          <w:p w14:paraId="4234C4B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Traditional food practices shape everyday dietary habits</w:t>
            </w:r>
          </w:p>
        </w:tc>
        <w:tc>
          <w:tcPr>
            <w:tcW w:w="507" w:type="pct"/>
          </w:tcPr>
          <w:p w14:paraId="7D6B72D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Ethnocultural identity religious</w:t>
            </w:r>
          </w:p>
        </w:tc>
        <w:tc>
          <w:tcPr>
            <w:tcW w:w="412" w:type="pct"/>
          </w:tcPr>
          <w:p w14:paraId="1E20FA6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Food-related practices form</w:t>
            </w:r>
          </w:p>
        </w:tc>
        <w:tc>
          <w:tcPr>
            <w:tcW w:w="507" w:type="pct"/>
          </w:tcPr>
          <w:p w14:paraId="7232C45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overarching theme navigating cross-cultural</w:t>
            </w:r>
          </w:p>
        </w:tc>
        <w:tc>
          <w:tcPr>
            <w:tcW w:w="481" w:type="pct"/>
          </w:tcPr>
          <w:p w14:paraId="20A31AA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culturally sensitive</w:t>
            </w:r>
          </w:p>
        </w:tc>
      </w:tr>
      <w:tr w:rsidR="00491D44" w:rsidRPr="000E3BBE" w14:paraId="7D4359CC" w14:textId="77777777" w:rsidTr="00F011CB">
        <w:tc>
          <w:tcPr>
            <w:tcW w:w="178" w:type="pct"/>
          </w:tcPr>
          <w:p w14:paraId="1C18A86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37</w:t>
            </w:r>
          </w:p>
        </w:tc>
        <w:tc>
          <w:tcPr>
            <w:tcW w:w="442" w:type="pct"/>
          </w:tcPr>
          <w:p w14:paraId="79020D5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 (2024)</w:t>
            </w:r>
          </w:p>
        </w:tc>
        <w:tc>
          <w:tcPr>
            <w:tcW w:w="490" w:type="pct"/>
          </w:tcPr>
          <w:p w14:paraId="5EC61E0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Ableism among Asian Children and</w:t>
            </w:r>
          </w:p>
        </w:tc>
        <w:tc>
          <w:tcPr>
            <w:tcW w:w="585" w:type="pct"/>
          </w:tcPr>
          <w:p w14:paraId="717B4D4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224FBED6" w14:textId="1EB3CA26" w:rsidR="00491D44" w:rsidRPr="000E3BBE" w:rsidRDefault="003E633D"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experiences</w:t>
            </w:r>
          </w:p>
        </w:tc>
        <w:tc>
          <w:tcPr>
            <w:tcW w:w="462" w:type="pct"/>
          </w:tcPr>
          <w:p w14:paraId="6858D3E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meta-synthesis articles covering</w:t>
            </w:r>
          </w:p>
        </w:tc>
        <w:tc>
          <w:tcPr>
            <w:tcW w:w="424" w:type="pct"/>
          </w:tcPr>
          <w:p w14:paraId="32C6660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00446F2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religious identity</w:t>
            </w:r>
          </w:p>
        </w:tc>
        <w:tc>
          <w:tcPr>
            <w:tcW w:w="412" w:type="pct"/>
          </w:tcPr>
          <w:p w14:paraId="5C694B3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E77563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religious stigma family</w:t>
            </w:r>
          </w:p>
        </w:tc>
        <w:tc>
          <w:tcPr>
            <w:tcW w:w="481" w:type="pct"/>
          </w:tcPr>
          <w:p w14:paraId="5333976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culturally responsive needed</w:t>
            </w:r>
          </w:p>
        </w:tc>
      </w:tr>
      <w:tr w:rsidR="00491D44" w:rsidRPr="000E3BBE" w14:paraId="604B498E" w14:textId="77777777" w:rsidTr="00F011CB">
        <w:tc>
          <w:tcPr>
            <w:tcW w:w="178" w:type="pct"/>
          </w:tcPr>
          <w:p w14:paraId="1BD8E71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38</w:t>
            </w:r>
          </w:p>
        </w:tc>
        <w:tc>
          <w:tcPr>
            <w:tcW w:w="442" w:type="pct"/>
          </w:tcPr>
          <w:p w14:paraId="6B261A1F" w14:textId="77777777" w:rsidR="00491D44" w:rsidRPr="000E3BBE" w:rsidRDefault="00491D44" w:rsidP="00491D44">
            <w:pPr>
              <w:rPr>
                <w:rFonts w:ascii="Cambria" w:eastAsia="MS Mincho" w:hAnsi="Cambria" w:cs="Times New Roman"/>
                <w:sz w:val="20"/>
                <w:szCs w:val="40"/>
              </w:rPr>
            </w:pPr>
            <w:proofErr w:type="gramStart"/>
            <w:r w:rsidRPr="000E3BBE">
              <w:rPr>
                <w:rFonts w:ascii="Cambria" w:eastAsia="MS Mincho" w:hAnsi="Cambria" w:cs="Times New Roman"/>
                <w:sz w:val="20"/>
                <w:szCs w:val="40"/>
              </w:rPr>
              <w:t>Radogna  (</w:t>
            </w:r>
            <w:proofErr w:type="gramEnd"/>
            <w:r w:rsidRPr="000E3BBE">
              <w:rPr>
                <w:rFonts w:ascii="Cambria" w:eastAsia="MS Mincho" w:hAnsi="Cambria" w:cs="Times New Roman"/>
                <w:sz w:val="20"/>
                <w:szCs w:val="40"/>
              </w:rPr>
              <w:t>2022)</w:t>
            </w:r>
          </w:p>
        </w:tc>
        <w:tc>
          <w:tcPr>
            <w:tcW w:w="490" w:type="pct"/>
          </w:tcPr>
          <w:p w14:paraId="2FC4FD04" w14:textId="7CED3CF6" w:rsidR="00491D44" w:rsidRPr="000E3BBE" w:rsidRDefault="003E633D" w:rsidP="00491D44">
            <w:pPr>
              <w:rPr>
                <w:rFonts w:ascii="Cambria" w:eastAsia="MS Mincho" w:hAnsi="Cambria" w:cs="Times New Roman"/>
                <w:sz w:val="20"/>
                <w:szCs w:val="40"/>
              </w:rPr>
            </w:pPr>
            <w:r w:rsidRPr="000E3BBE">
              <w:rPr>
                <w:rFonts w:ascii="Cambria" w:eastAsia="MS Mincho" w:hAnsi="Cambria" w:cs="Times New Roman"/>
                <w:sz w:val="20"/>
                <w:szCs w:val="40"/>
              </w:rPr>
              <w:t>Habits</w:t>
            </w:r>
            <w:r w:rsidR="00491D44" w:rsidRPr="000E3BBE">
              <w:rPr>
                <w:rFonts w:ascii="Cambria" w:eastAsia="MS Mincho" w:hAnsi="Cambria" w:cs="Times New Roman"/>
                <w:sz w:val="20"/>
                <w:szCs w:val="40"/>
              </w:rPr>
              <w:t xml:space="preserve"> in Migration Studies</w:t>
            </w:r>
          </w:p>
        </w:tc>
        <w:tc>
          <w:tcPr>
            <w:tcW w:w="585" w:type="pct"/>
          </w:tcPr>
          <w:p w14:paraId="332B4FB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 migration contexts</w:t>
            </w:r>
          </w:p>
        </w:tc>
        <w:tc>
          <w:tcPr>
            <w:tcW w:w="512" w:type="pct"/>
          </w:tcPr>
          <w:p w14:paraId="1F9D90A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concept habitus applied</w:t>
            </w:r>
          </w:p>
        </w:tc>
        <w:tc>
          <w:tcPr>
            <w:tcW w:w="462" w:type="pct"/>
          </w:tcPr>
          <w:p w14:paraId="7AC2E52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38 studies</w:t>
            </w:r>
          </w:p>
        </w:tc>
        <w:tc>
          <w:tcPr>
            <w:tcW w:w="424" w:type="pct"/>
          </w:tcPr>
          <w:p w14:paraId="21DCFF0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taste lifestyle everyday</w:t>
            </w:r>
          </w:p>
        </w:tc>
        <w:tc>
          <w:tcPr>
            <w:tcW w:w="507" w:type="pct"/>
          </w:tcPr>
          <w:p w14:paraId="362F7EF0" w14:textId="3D04A2DF" w:rsidR="00491D44" w:rsidRPr="000E3BBE" w:rsidRDefault="003E633D" w:rsidP="00491D44">
            <w:pPr>
              <w:rPr>
                <w:rFonts w:ascii="Cambria" w:eastAsia="MS Mincho" w:hAnsi="Cambria" w:cs="Times New Roman"/>
                <w:sz w:val="20"/>
                <w:szCs w:val="40"/>
              </w:rPr>
            </w:pPr>
            <w:r w:rsidRPr="000E3BBE">
              <w:rPr>
                <w:rFonts w:ascii="Cambria" w:eastAsia="MS Mincho" w:hAnsi="Cambria" w:cs="Times New Roman"/>
                <w:sz w:val="20"/>
                <w:szCs w:val="40"/>
              </w:rPr>
              <w:t>Habits of</w:t>
            </w:r>
            <w:r w:rsidR="00491D44" w:rsidRPr="000E3BBE">
              <w:rPr>
                <w:rFonts w:ascii="Cambria" w:eastAsia="MS Mincho" w:hAnsi="Cambria" w:cs="Times New Roman"/>
                <w:sz w:val="20"/>
                <w:szCs w:val="40"/>
              </w:rPr>
              <w:t xml:space="preserve"> identity social</w:t>
            </w:r>
          </w:p>
        </w:tc>
        <w:tc>
          <w:tcPr>
            <w:tcW w:w="412" w:type="pct"/>
          </w:tcPr>
          <w:p w14:paraId="5725922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practices dispositions</w:t>
            </w:r>
          </w:p>
        </w:tc>
        <w:tc>
          <w:tcPr>
            <w:tcW w:w="507" w:type="pct"/>
          </w:tcPr>
          <w:p w14:paraId="5764E19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Habitus framework understanding migrants</w:t>
            </w:r>
          </w:p>
        </w:tc>
        <w:tc>
          <w:tcPr>
            <w:tcW w:w="481" w:type="pct"/>
          </w:tcPr>
          <w:p w14:paraId="5430697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empirical needed habitus operates</w:t>
            </w:r>
          </w:p>
        </w:tc>
      </w:tr>
      <w:tr w:rsidR="00491D44" w:rsidRPr="000E3BBE" w14:paraId="712B68F0" w14:textId="77777777" w:rsidTr="00F011CB">
        <w:tc>
          <w:tcPr>
            <w:tcW w:w="178" w:type="pct"/>
          </w:tcPr>
          <w:p w14:paraId="4351BD6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39</w:t>
            </w:r>
          </w:p>
        </w:tc>
        <w:tc>
          <w:tcPr>
            <w:tcW w:w="442" w:type="pct"/>
          </w:tcPr>
          <w:p w14:paraId="31DCED9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Izumi (2024)</w:t>
            </w:r>
          </w:p>
        </w:tc>
        <w:tc>
          <w:tcPr>
            <w:tcW w:w="490" w:type="pct"/>
          </w:tcPr>
          <w:p w14:paraId="0392ADE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Migrant Women’s Exclusive Breastfeeding Experiences</w:t>
            </w:r>
          </w:p>
        </w:tc>
        <w:tc>
          <w:tcPr>
            <w:tcW w:w="585" w:type="pct"/>
          </w:tcPr>
          <w:p w14:paraId="2D25D1F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Migrant women in high-income</w:t>
            </w:r>
          </w:p>
        </w:tc>
        <w:tc>
          <w:tcPr>
            <w:tcW w:w="512" w:type="pct"/>
          </w:tcPr>
          <w:p w14:paraId="1EF54EF8" w14:textId="703A58AE"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migrant </w:t>
            </w:r>
            <w:r w:rsidR="003E633D" w:rsidRPr="000E3BBE">
              <w:rPr>
                <w:rFonts w:ascii="Cambria" w:eastAsia="MS Mincho" w:hAnsi="Cambria" w:cs="Times New Roman"/>
                <w:sz w:val="20"/>
                <w:szCs w:val="40"/>
              </w:rPr>
              <w:t>mothers’</w:t>
            </w:r>
            <w:r w:rsidRPr="000E3BBE">
              <w:rPr>
                <w:rFonts w:ascii="Cambria" w:eastAsia="MS Mincho" w:hAnsi="Cambria" w:cs="Times New Roman"/>
                <w:sz w:val="20"/>
                <w:szCs w:val="40"/>
              </w:rPr>
              <w:t xml:space="preserve"> perceptions</w:t>
            </w:r>
          </w:p>
        </w:tc>
        <w:tc>
          <w:tcPr>
            <w:tcW w:w="462" w:type="pct"/>
          </w:tcPr>
          <w:p w14:paraId="43E3503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involving migrant mothers</w:t>
            </w:r>
          </w:p>
        </w:tc>
        <w:tc>
          <w:tcPr>
            <w:tcW w:w="424" w:type="pct"/>
          </w:tcPr>
          <w:p w14:paraId="0288485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Traditional breastfeeding practices</w:t>
            </w:r>
          </w:p>
        </w:tc>
        <w:tc>
          <w:tcPr>
            <w:tcW w:w="507" w:type="pct"/>
          </w:tcPr>
          <w:p w14:paraId="414AD6B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Original ethnic identity</w:t>
            </w:r>
          </w:p>
        </w:tc>
        <w:tc>
          <w:tcPr>
            <w:tcW w:w="412" w:type="pct"/>
          </w:tcPr>
          <w:p w14:paraId="6F1CFAE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Migrant mothers maintain</w:t>
            </w:r>
          </w:p>
        </w:tc>
        <w:tc>
          <w:tcPr>
            <w:tcW w:w="507" w:type="pct"/>
          </w:tcPr>
          <w:p w14:paraId="45D29CD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Five themes included differences</w:t>
            </w:r>
          </w:p>
        </w:tc>
        <w:tc>
          <w:tcPr>
            <w:tcW w:w="481" w:type="pct"/>
          </w:tcPr>
          <w:p w14:paraId="3BD839B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notes limited evidence specific</w:t>
            </w:r>
          </w:p>
        </w:tc>
      </w:tr>
      <w:tr w:rsidR="00491D44" w:rsidRPr="000E3BBE" w14:paraId="47662753" w14:textId="77777777" w:rsidTr="00F011CB">
        <w:tc>
          <w:tcPr>
            <w:tcW w:w="178" w:type="pct"/>
          </w:tcPr>
          <w:p w14:paraId="2965AD4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40</w:t>
            </w:r>
          </w:p>
        </w:tc>
        <w:tc>
          <w:tcPr>
            <w:tcW w:w="442" w:type="pct"/>
          </w:tcPr>
          <w:p w14:paraId="3CB4905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Brik &amp; Brown (2024; 2026 issue)</w:t>
            </w:r>
          </w:p>
        </w:tc>
        <w:tc>
          <w:tcPr>
            <w:tcW w:w="490" w:type="pct"/>
          </w:tcPr>
          <w:p w14:paraId="76136CB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Global Social Inclusion Trends</w:t>
            </w:r>
          </w:p>
        </w:tc>
        <w:tc>
          <w:tcPr>
            <w:tcW w:w="585" w:type="pct"/>
          </w:tcPr>
          <w:p w14:paraId="623EB15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Global</w:t>
            </w:r>
          </w:p>
        </w:tc>
        <w:tc>
          <w:tcPr>
            <w:tcW w:w="512" w:type="pct"/>
          </w:tcPr>
          <w:p w14:paraId="1A27845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global trends social</w:t>
            </w:r>
          </w:p>
        </w:tc>
        <w:tc>
          <w:tcPr>
            <w:tcW w:w="462" w:type="pct"/>
          </w:tcPr>
          <w:p w14:paraId="790C0C7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5E47006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appears relation</w:t>
            </w:r>
          </w:p>
        </w:tc>
        <w:tc>
          <w:tcPr>
            <w:tcW w:w="507" w:type="pct"/>
          </w:tcPr>
          <w:p w14:paraId="64E855A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Social inclusion exclusion</w:t>
            </w:r>
          </w:p>
        </w:tc>
        <w:tc>
          <w:tcPr>
            <w:tcW w:w="412" w:type="pct"/>
          </w:tcPr>
          <w:p w14:paraId="402AAB6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Food-related policies contribute</w:t>
            </w:r>
          </w:p>
        </w:tc>
        <w:tc>
          <w:tcPr>
            <w:tcW w:w="507" w:type="pct"/>
          </w:tcPr>
          <w:p w14:paraId="3FFE700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expansion retrenchment social inclusion</w:t>
            </w:r>
          </w:p>
        </w:tc>
        <w:tc>
          <w:tcPr>
            <w:tcW w:w="481" w:type="pct"/>
          </w:tcPr>
          <w:p w14:paraId="1F1D703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authors identify lack detailed</w:t>
            </w:r>
          </w:p>
        </w:tc>
      </w:tr>
      <w:tr w:rsidR="00491D44" w:rsidRPr="000E3BBE" w14:paraId="31D7C8B7" w14:textId="77777777" w:rsidTr="00F011CB">
        <w:tc>
          <w:tcPr>
            <w:tcW w:w="178" w:type="pct"/>
          </w:tcPr>
          <w:p w14:paraId="34FF69F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41</w:t>
            </w:r>
          </w:p>
        </w:tc>
        <w:tc>
          <w:tcPr>
            <w:tcW w:w="442" w:type="pct"/>
          </w:tcPr>
          <w:p w14:paraId="459178F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Singh (2023)</w:t>
            </w:r>
          </w:p>
        </w:tc>
        <w:tc>
          <w:tcPr>
            <w:tcW w:w="490" w:type="pct"/>
          </w:tcPr>
          <w:p w14:paraId="78DA205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Determinants of Happiness across Cultures</w:t>
            </w:r>
          </w:p>
        </w:tc>
        <w:tc>
          <w:tcPr>
            <w:tcW w:w="585" w:type="pct"/>
          </w:tcPr>
          <w:p w14:paraId="6318E6C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4D5958E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determinants happiness different</w:t>
            </w:r>
          </w:p>
        </w:tc>
        <w:tc>
          <w:tcPr>
            <w:tcW w:w="462" w:type="pct"/>
          </w:tcPr>
          <w:p w14:paraId="77B440C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5925E83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1E4B2CD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Culture ethnicity ethnic</w:t>
            </w:r>
          </w:p>
        </w:tc>
        <w:tc>
          <w:tcPr>
            <w:tcW w:w="412" w:type="pct"/>
          </w:tcPr>
          <w:p w14:paraId="45036B2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F31879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Health Hope Harmony broad</w:t>
            </w:r>
          </w:p>
        </w:tc>
        <w:tc>
          <w:tcPr>
            <w:tcW w:w="481" w:type="pct"/>
          </w:tcPr>
          <w:p w14:paraId="1A2C557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culturally specific determinants</w:t>
            </w:r>
          </w:p>
        </w:tc>
      </w:tr>
      <w:tr w:rsidR="00491D44" w:rsidRPr="000E3BBE" w14:paraId="068D73A8" w14:textId="77777777" w:rsidTr="00F011CB">
        <w:tc>
          <w:tcPr>
            <w:tcW w:w="178" w:type="pct"/>
          </w:tcPr>
          <w:p w14:paraId="3E3BF27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42</w:t>
            </w:r>
          </w:p>
        </w:tc>
        <w:tc>
          <w:tcPr>
            <w:tcW w:w="442" w:type="pct"/>
          </w:tcPr>
          <w:p w14:paraId="1CD0AA5A"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Hanazaki</w:t>
            </w:r>
            <w:proofErr w:type="spellEnd"/>
            <w:r w:rsidRPr="000E3BBE">
              <w:rPr>
                <w:rFonts w:ascii="Cambria" w:eastAsia="MS Mincho" w:hAnsi="Cambria" w:cs="Times New Roman"/>
                <w:sz w:val="20"/>
                <w:szCs w:val="40"/>
              </w:rPr>
              <w:t xml:space="preserve"> (2023)</w:t>
            </w:r>
          </w:p>
        </w:tc>
        <w:tc>
          <w:tcPr>
            <w:tcW w:w="490" w:type="pct"/>
          </w:tcPr>
          <w:p w14:paraId="0C23F53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People’s Migrations and Plants for</w:t>
            </w:r>
          </w:p>
        </w:tc>
        <w:tc>
          <w:tcPr>
            <w:tcW w:w="585" w:type="pct"/>
          </w:tcPr>
          <w:p w14:paraId="5A842E5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1BF322F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relationship human migration</w:t>
            </w:r>
          </w:p>
        </w:tc>
        <w:tc>
          <w:tcPr>
            <w:tcW w:w="462" w:type="pct"/>
          </w:tcPr>
          <w:p w14:paraId="59902EC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58 studies</w:t>
            </w:r>
          </w:p>
        </w:tc>
        <w:tc>
          <w:tcPr>
            <w:tcW w:w="424" w:type="pct"/>
          </w:tcPr>
          <w:p w14:paraId="0B5F36C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plants traditional</w:t>
            </w:r>
          </w:p>
        </w:tc>
        <w:tc>
          <w:tcPr>
            <w:tcW w:w="507" w:type="pct"/>
          </w:tcPr>
          <w:p w14:paraId="5EC42EE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identity cultural</w:t>
            </w:r>
          </w:p>
        </w:tc>
        <w:tc>
          <w:tcPr>
            <w:tcW w:w="412" w:type="pct"/>
          </w:tcPr>
          <w:p w14:paraId="274834E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plants explicit</w:t>
            </w:r>
          </w:p>
        </w:tc>
        <w:tc>
          <w:tcPr>
            <w:tcW w:w="507" w:type="pct"/>
          </w:tcPr>
          <w:p w14:paraId="182150D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migration affects maintenance replacement</w:t>
            </w:r>
          </w:p>
        </w:tc>
        <w:tc>
          <w:tcPr>
            <w:tcW w:w="481" w:type="pct"/>
          </w:tcPr>
          <w:p w14:paraId="5127FFC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needed relationships food-plant knowledge</w:t>
            </w:r>
          </w:p>
        </w:tc>
      </w:tr>
      <w:tr w:rsidR="00491D44" w:rsidRPr="000E3BBE" w14:paraId="6B03B526" w14:textId="77777777" w:rsidTr="00F011CB">
        <w:tc>
          <w:tcPr>
            <w:tcW w:w="178" w:type="pct"/>
          </w:tcPr>
          <w:p w14:paraId="7B9AA42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43</w:t>
            </w:r>
          </w:p>
        </w:tc>
        <w:tc>
          <w:tcPr>
            <w:tcW w:w="442" w:type="pct"/>
          </w:tcPr>
          <w:p w14:paraId="76979DB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Beattie (2024)</w:t>
            </w:r>
          </w:p>
        </w:tc>
        <w:tc>
          <w:tcPr>
            <w:tcW w:w="490" w:type="pct"/>
          </w:tcPr>
          <w:p w14:paraId="318A6EF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Awareness in Heart Failure</w:t>
            </w:r>
          </w:p>
        </w:tc>
        <w:tc>
          <w:tcPr>
            <w:tcW w:w="585" w:type="pct"/>
          </w:tcPr>
          <w:p w14:paraId="26CED7F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683FCBF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importance cultural awareness</w:t>
            </w:r>
          </w:p>
        </w:tc>
        <w:tc>
          <w:tcPr>
            <w:tcW w:w="462" w:type="pct"/>
          </w:tcPr>
          <w:p w14:paraId="728177A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6BD8648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Traditional foods religious</w:t>
            </w:r>
          </w:p>
        </w:tc>
        <w:tc>
          <w:tcPr>
            <w:tcW w:w="507" w:type="pct"/>
          </w:tcPr>
          <w:p w14:paraId="6796BDF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Culture ethnicity heritage</w:t>
            </w:r>
          </w:p>
        </w:tc>
        <w:tc>
          <w:tcPr>
            <w:tcW w:w="412" w:type="pct"/>
          </w:tcPr>
          <w:p w14:paraId="1D022B2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practices reflect</w:t>
            </w:r>
          </w:p>
        </w:tc>
        <w:tc>
          <w:tcPr>
            <w:tcW w:w="507" w:type="pct"/>
          </w:tcPr>
          <w:p w14:paraId="773E7E7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beliefs influence illness</w:t>
            </w:r>
          </w:p>
        </w:tc>
        <w:tc>
          <w:tcPr>
            <w:tcW w:w="481" w:type="pct"/>
          </w:tcPr>
          <w:p w14:paraId="33875CE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develop culturally</w:t>
            </w:r>
          </w:p>
        </w:tc>
      </w:tr>
      <w:tr w:rsidR="00491D44" w:rsidRPr="000E3BBE" w14:paraId="1ED2F308" w14:textId="77777777" w:rsidTr="00F011CB">
        <w:tc>
          <w:tcPr>
            <w:tcW w:w="178" w:type="pct"/>
          </w:tcPr>
          <w:p w14:paraId="08496B9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44</w:t>
            </w:r>
          </w:p>
        </w:tc>
        <w:tc>
          <w:tcPr>
            <w:tcW w:w="442" w:type="pct"/>
          </w:tcPr>
          <w:p w14:paraId="03B1523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Zay </w:t>
            </w:r>
            <w:proofErr w:type="spellStart"/>
            <w:r w:rsidRPr="000E3BBE">
              <w:rPr>
                <w:rFonts w:ascii="Cambria" w:eastAsia="MS Mincho" w:hAnsi="Cambria" w:cs="Times New Roman"/>
                <w:sz w:val="20"/>
                <w:szCs w:val="40"/>
              </w:rPr>
              <w:t>Hta</w:t>
            </w:r>
            <w:proofErr w:type="spellEnd"/>
            <w:r w:rsidRPr="000E3BBE">
              <w:rPr>
                <w:rFonts w:ascii="Cambria" w:eastAsia="MS Mincho" w:hAnsi="Cambria" w:cs="Times New Roman"/>
                <w:sz w:val="20"/>
                <w:szCs w:val="40"/>
              </w:rPr>
              <w:t xml:space="preserve"> (2024)</w:t>
            </w:r>
          </w:p>
        </w:tc>
        <w:tc>
          <w:tcPr>
            <w:tcW w:w="490" w:type="pct"/>
          </w:tcPr>
          <w:p w14:paraId="44AB604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Factors Associated with Stigma</w:t>
            </w:r>
          </w:p>
        </w:tc>
        <w:tc>
          <w:tcPr>
            <w:tcW w:w="585" w:type="pct"/>
          </w:tcPr>
          <w:p w14:paraId="7D99069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729DB7C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factors associated</w:t>
            </w:r>
          </w:p>
        </w:tc>
        <w:tc>
          <w:tcPr>
            <w:tcW w:w="462" w:type="pct"/>
          </w:tcPr>
          <w:p w14:paraId="27A1061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empirical articles published</w:t>
            </w:r>
          </w:p>
        </w:tc>
        <w:tc>
          <w:tcPr>
            <w:tcW w:w="424" w:type="pct"/>
          </w:tcPr>
          <w:p w14:paraId="6774943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7E673B0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identity collectivistic</w:t>
            </w:r>
          </w:p>
        </w:tc>
        <w:tc>
          <w:tcPr>
            <w:tcW w:w="412" w:type="pct"/>
          </w:tcPr>
          <w:p w14:paraId="5951549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026E9D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links cultural values cultural</w:t>
            </w:r>
          </w:p>
        </w:tc>
        <w:tc>
          <w:tcPr>
            <w:tcW w:w="481" w:type="pct"/>
          </w:tcPr>
          <w:p w14:paraId="0FE6A84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understand cultural</w:t>
            </w:r>
          </w:p>
        </w:tc>
      </w:tr>
      <w:tr w:rsidR="00491D44" w:rsidRPr="000E3BBE" w14:paraId="799B1644" w14:textId="77777777" w:rsidTr="00F011CB">
        <w:tc>
          <w:tcPr>
            <w:tcW w:w="178" w:type="pct"/>
          </w:tcPr>
          <w:p w14:paraId="1DC22CB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45</w:t>
            </w:r>
          </w:p>
        </w:tc>
        <w:tc>
          <w:tcPr>
            <w:tcW w:w="442" w:type="pct"/>
          </w:tcPr>
          <w:p w14:paraId="3D39FB7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House (2024)</w:t>
            </w:r>
          </w:p>
        </w:tc>
        <w:tc>
          <w:tcPr>
            <w:tcW w:w="490" w:type="pct"/>
          </w:tcPr>
          <w:p w14:paraId="746FCFC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Culturally Appropriate Food Consumption</w:t>
            </w:r>
          </w:p>
        </w:tc>
        <w:tc>
          <w:tcPr>
            <w:tcW w:w="585" w:type="pct"/>
          </w:tcPr>
          <w:p w14:paraId="0083DCB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5DB6377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clarify cultural appropriateness</w:t>
            </w:r>
          </w:p>
        </w:tc>
        <w:tc>
          <w:tcPr>
            <w:tcW w:w="462" w:type="pct"/>
          </w:tcPr>
          <w:p w14:paraId="327A7672" w14:textId="45B6A76E"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literature publications</w:t>
            </w:r>
          </w:p>
        </w:tc>
        <w:tc>
          <w:tcPr>
            <w:tcW w:w="424" w:type="pct"/>
          </w:tcPr>
          <w:p w14:paraId="1F1ECAC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Existing dietary customs</w:t>
            </w:r>
          </w:p>
        </w:tc>
        <w:tc>
          <w:tcPr>
            <w:tcW w:w="507" w:type="pct"/>
          </w:tcPr>
          <w:p w14:paraId="7B562C8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Social cultural identity</w:t>
            </w:r>
          </w:p>
        </w:tc>
        <w:tc>
          <w:tcPr>
            <w:tcW w:w="412" w:type="pct"/>
          </w:tcPr>
          <w:p w14:paraId="33F80B8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practices express</w:t>
            </w:r>
          </w:p>
        </w:tc>
        <w:tc>
          <w:tcPr>
            <w:tcW w:w="507" w:type="pct"/>
          </w:tcPr>
          <w:p w14:paraId="4DDEAF2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Six themes cultural appropriateness</w:t>
            </w:r>
          </w:p>
        </w:tc>
        <w:tc>
          <w:tcPr>
            <w:tcW w:w="481" w:type="pct"/>
          </w:tcPr>
          <w:p w14:paraId="72F3449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clarify cultural</w:t>
            </w:r>
          </w:p>
        </w:tc>
      </w:tr>
      <w:tr w:rsidR="00491D44" w:rsidRPr="000E3BBE" w14:paraId="0A805C25" w14:textId="77777777" w:rsidTr="00F011CB">
        <w:tc>
          <w:tcPr>
            <w:tcW w:w="178" w:type="pct"/>
          </w:tcPr>
          <w:p w14:paraId="4DB21E9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46</w:t>
            </w:r>
          </w:p>
        </w:tc>
        <w:tc>
          <w:tcPr>
            <w:tcW w:w="442" w:type="pct"/>
          </w:tcPr>
          <w:p w14:paraId="454BA83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Sin (2025)</w:t>
            </w:r>
          </w:p>
        </w:tc>
        <w:tc>
          <w:tcPr>
            <w:tcW w:w="490" w:type="pct"/>
          </w:tcPr>
          <w:p w14:paraId="02815CB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COVID-19 and Social and Cultural</w:t>
            </w:r>
          </w:p>
        </w:tc>
        <w:tc>
          <w:tcPr>
            <w:tcW w:w="585" w:type="pct"/>
          </w:tcPr>
          <w:p w14:paraId="37CF83D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2F00DBDF" w14:textId="11CB7791" w:rsidR="00491D44" w:rsidRPr="000E3BBE" w:rsidRDefault="00BD6081"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COVID-</w:t>
            </w:r>
          </w:p>
        </w:tc>
        <w:tc>
          <w:tcPr>
            <w:tcW w:w="462" w:type="pct"/>
          </w:tcPr>
          <w:p w14:paraId="4EFFB68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literature research international</w:t>
            </w:r>
          </w:p>
        </w:tc>
        <w:tc>
          <w:tcPr>
            <w:tcW w:w="424" w:type="pct"/>
          </w:tcPr>
          <w:p w14:paraId="430B366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03419CA" w14:textId="5A2ECCB2"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Cultural </w:t>
            </w:r>
            <w:r w:rsidR="00BD6081" w:rsidRPr="000E3BBE">
              <w:rPr>
                <w:rFonts w:ascii="Cambria" w:eastAsia="MS Mincho" w:hAnsi="Cambria" w:cs="Times New Roman"/>
                <w:sz w:val="20"/>
                <w:szCs w:val="40"/>
              </w:rPr>
              <w:t>integration and</w:t>
            </w:r>
            <w:r w:rsidRPr="000E3BBE">
              <w:rPr>
                <w:rFonts w:ascii="Cambria" w:eastAsia="MS Mincho" w:hAnsi="Cambria" w:cs="Times New Roman"/>
                <w:sz w:val="20"/>
                <w:szCs w:val="40"/>
              </w:rPr>
              <w:t xml:space="preserve"> cultural</w:t>
            </w:r>
          </w:p>
        </w:tc>
        <w:tc>
          <w:tcPr>
            <w:tcW w:w="412" w:type="pct"/>
          </w:tcPr>
          <w:p w14:paraId="09CE2F9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6040866" w14:textId="2DD4B653" w:rsidR="00491D44" w:rsidRPr="000E3BBE" w:rsidRDefault="00BD6081" w:rsidP="00491D44">
            <w:pPr>
              <w:rPr>
                <w:rFonts w:ascii="Cambria" w:eastAsia="MS Mincho" w:hAnsi="Cambria" w:cs="Times New Roman"/>
                <w:sz w:val="20"/>
                <w:szCs w:val="40"/>
              </w:rPr>
            </w:pPr>
            <w:r w:rsidRPr="000E3BBE">
              <w:rPr>
                <w:rFonts w:ascii="Cambria" w:eastAsia="MS Mincho" w:hAnsi="Cambria" w:cs="Times New Roman"/>
                <w:sz w:val="20"/>
                <w:szCs w:val="40"/>
              </w:rPr>
              <w:t>International Students’</w:t>
            </w:r>
            <w:r w:rsidR="00491D44" w:rsidRPr="000E3BBE">
              <w:rPr>
                <w:rFonts w:ascii="Cambria" w:eastAsia="MS Mincho" w:hAnsi="Cambria" w:cs="Times New Roman"/>
                <w:sz w:val="20"/>
                <w:szCs w:val="40"/>
              </w:rPr>
              <w:t xml:space="preserve"> cultural integration</w:t>
            </w:r>
          </w:p>
        </w:tc>
        <w:tc>
          <w:tcPr>
            <w:tcW w:w="481" w:type="pct"/>
          </w:tcPr>
          <w:p w14:paraId="23C2FD6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international students</w:t>
            </w:r>
          </w:p>
        </w:tc>
      </w:tr>
      <w:tr w:rsidR="00491D44" w:rsidRPr="000E3BBE" w14:paraId="4DCD830E" w14:textId="77777777" w:rsidTr="00F011CB">
        <w:tc>
          <w:tcPr>
            <w:tcW w:w="178" w:type="pct"/>
          </w:tcPr>
          <w:p w14:paraId="795BB75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47</w:t>
            </w:r>
          </w:p>
        </w:tc>
        <w:tc>
          <w:tcPr>
            <w:tcW w:w="442" w:type="pct"/>
          </w:tcPr>
          <w:p w14:paraId="4E95F59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Glyn-Blanco (2023)</w:t>
            </w:r>
          </w:p>
        </w:tc>
        <w:tc>
          <w:tcPr>
            <w:tcW w:w="490" w:type="pct"/>
          </w:tcPr>
          <w:p w14:paraId="69FAE83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Factors in End-of-Life Care</w:t>
            </w:r>
          </w:p>
        </w:tc>
        <w:tc>
          <w:tcPr>
            <w:tcW w:w="585" w:type="pct"/>
          </w:tcPr>
          <w:p w14:paraId="59AC2BD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3D1B0CC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factors influence</w:t>
            </w:r>
          </w:p>
        </w:tc>
        <w:tc>
          <w:tcPr>
            <w:tcW w:w="462" w:type="pct"/>
          </w:tcPr>
          <w:p w14:paraId="51C7270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43 studies</w:t>
            </w:r>
          </w:p>
        </w:tc>
        <w:tc>
          <w:tcPr>
            <w:tcW w:w="424" w:type="pct"/>
          </w:tcPr>
          <w:p w14:paraId="603142D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5CDDD8E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beliefs, values and religion</w:t>
            </w:r>
          </w:p>
        </w:tc>
        <w:tc>
          <w:tcPr>
            <w:tcW w:w="412" w:type="pct"/>
          </w:tcPr>
          <w:p w14:paraId="45D78CA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793BE856" w14:textId="0D51F8B2"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Cultural </w:t>
            </w:r>
            <w:r w:rsidR="00BD6081" w:rsidRPr="000E3BBE">
              <w:rPr>
                <w:rFonts w:ascii="Cambria" w:eastAsia="MS Mincho" w:hAnsi="Cambria" w:cs="Times New Roman"/>
                <w:sz w:val="20"/>
                <w:szCs w:val="40"/>
              </w:rPr>
              <w:t>beliefs and</w:t>
            </w:r>
            <w:r w:rsidRPr="000E3BBE">
              <w:rPr>
                <w:rFonts w:ascii="Cambria" w:eastAsia="MS Mincho" w:hAnsi="Cambria" w:cs="Times New Roman"/>
                <w:sz w:val="20"/>
                <w:szCs w:val="40"/>
              </w:rPr>
              <w:t xml:space="preserve"> religious practices</w:t>
            </w:r>
          </w:p>
        </w:tc>
        <w:tc>
          <w:tcPr>
            <w:tcW w:w="481" w:type="pct"/>
          </w:tcPr>
          <w:p w14:paraId="0A4D2D3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culturally responsive professional</w:t>
            </w:r>
          </w:p>
        </w:tc>
      </w:tr>
      <w:tr w:rsidR="00491D44" w:rsidRPr="000E3BBE" w14:paraId="30B254B8" w14:textId="77777777" w:rsidTr="00F011CB">
        <w:tc>
          <w:tcPr>
            <w:tcW w:w="178" w:type="pct"/>
          </w:tcPr>
          <w:p w14:paraId="6029A0A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48</w:t>
            </w:r>
          </w:p>
        </w:tc>
        <w:tc>
          <w:tcPr>
            <w:tcW w:w="442" w:type="pct"/>
          </w:tcPr>
          <w:p w14:paraId="3804139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Louey (2024)</w:t>
            </w:r>
          </w:p>
        </w:tc>
        <w:tc>
          <w:tcPr>
            <w:tcW w:w="490" w:type="pct"/>
          </w:tcPr>
          <w:p w14:paraId="0F7025D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Facilitators and Barriers to Healthful</w:t>
            </w:r>
          </w:p>
        </w:tc>
        <w:tc>
          <w:tcPr>
            <w:tcW w:w="585" w:type="pct"/>
          </w:tcPr>
          <w:p w14:paraId="5C6802A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High-income countries</w:t>
            </w:r>
          </w:p>
        </w:tc>
        <w:tc>
          <w:tcPr>
            <w:tcW w:w="512" w:type="pct"/>
          </w:tcPr>
          <w:p w14:paraId="1D3B2CFF" w14:textId="0382C2BC" w:rsidR="00491D44" w:rsidRPr="000E3BBE" w:rsidRDefault="00BD6081"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factors</w:t>
            </w:r>
          </w:p>
        </w:tc>
        <w:tc>
          <w:tcPr>
            <w:tcW w:w="462" w:type="pct"/>
          </w:tcPr>
          <w:p w14:paraId="0239E21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Mixed-methods involving adolescents</w:t>
            </w:r>
          </w:p>
        </w:tc>
        <w:tc>
          <w:tcPr>
            <w:tcW w:w="424" w:type="pct"/>
          </w:tcPr>
          <w:p w14:paraId="01A27F3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preferences taste</w:t>
            </w:r>
          </w:p>
        </w:tc>
        <w:tc>
          <w:tcPr>
            <w:tcW w:w="507" w:type="pct"/>
          </w:tcPr>
          <w:p w14:paraId="51F64C8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Family peer identity</w:t>
            </w:r>
          </w:p>
        </w:tc>
        <w:tc>
          <w:tcPr>
            <w:tcW w:w="412" w:type="pct"/>
          </w:tcPr>
          <w:p w14:paraId="70E38E3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64D3A84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Healthful eating influenced individual</w:t>
            </w:r>
          </w:p>
        </w:tc>
        <w:tc>
          <w:tcPr>
            <w:tcW w:w="481" w:type="pct"/>
          </w:tcPr>
          <w:p w14:paraId="26EB6C9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develop interventions</w:t>
            </w:r>
          </w:p>
        </w:tc>
      </w:tr>
      <w:tr w:rsidR="00491D44" w:rsidRPr="000E3BBE" w14:paraId="064B1013" w14:textId="77777777" w:rsidTr="00F011CB">
        <w:tc>
          <w:tcPr>
            <w:tcW w:w="178" w:type="pct"/>
          </w:tcPr>
          <w:p w14:paraId="4468EB9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49</w:t>
            </w:r>
          </w:p>
        </w:tc>
        <w:tc>
          <w:tcPr>
            <w:tcW w:w="442" w:type="pct"/>
          </w:tcPr>
          <w:p w14:paraId="0822C40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Dey (2023)</w:t>
            </w:r>
          </w:p>
        </w:tc>
        <w:tc>
          <w:tcPr>
            <w:tcW w:w="490" w:type="pct"/>
          </w:tcPr>
          <w:p w14:paraId="38C798B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w:t>
            </w:r>
            <w:proofErr w:type="spellStart"/>
            <w:r w:rsidRPr="000E3BBE">
              <w:rPr>
                <w:rFonts w:ascii="Cambria" w:eastAsia="MS Mincho" w:hAnsi="Cambria" w:cs="Times New Roman"/>
                <w:sz w:val="20"/>
                <w:szCs w:val="40"/>
              </w:rPr>
              <w:t>Im</w:t>
            </w:r>
            <w:proofErr w:type="spellEnd"/>
            <w:r w:rsidRPr="000E3BBE">
              <w:rPr>
                <w:rFonts w:ascii="Cambria" w:eastAsia="MS Mincho" w:hAnsi="Cambria" w:cs="Times New Roman"/>
                <w:sz w:val="20"/>
                <w:szCs w:val="40"/>
              </w:rPr>
              <w:t>)migrants’ Appropriation of Culture</w:t>
            </w:r>
          </w:p>
        </w:tc>
        <w:tc>
          <w:tcPr>
            <w:tcW w:w="585" w:type="pct"/>
          </w:tcPr>
          <w:p w14:paraId="5C3A593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UK and Bahrain</w:t>
            </w:r>
          </w:p>
        </w:tc>
        <w:tc>
          <w:tcPr>
            <w:tcW w:w="512" w:type="pct"/>
          </w:tcPr>
          <w:p w14:paraId="457E017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understand migrants adopt</w:t>
            </w:r>
          </w:p>
        </w:tc>
        <w:tc>
          <w:tcPr>
            <w:tcW w:w="462" w:type="pct"/>
          </w:tcPr>
          <w:p w14:paraId="0E0B856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diaspora</w:t>
            </w:r>
          </w:p>
        </w:tc>
        <w:tc>
          <w:tcPr>
            <w:tcW w:w="424" w:type="pct"/>
          </w:tcPr>
          <w:p w14:paraId="6B08AED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purchasing ingredients</w:t>
            </w:r>
          </w:p>
        </w:tc>
        <w:tc>
          <w:tcPr>
            <w:tcW w:w="507" w:type="pct"/>
          </w:tcPr>
          <w:p w14:paraId="4727FDF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identity</w:t>
            </w:r>
          </w:p>
        </w:tc>
        <w:tc>
          <w:tcPr>
            <w:tcW w:w="412" w:type="pct"/>
          </w:tcPr>
          <w:p w14:paraId="6447C03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consumption operates</w:t>
            </w:r>
          </w:p>
        </w:tc>
        <w:tc>
          <w:tcPr>
            <w:tcW w:w="507" w:type="pct"/>
          </w:tcPr>
          <w:p w14:paraId="2FA671C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broad dimensions food consumption</w:t>
            </w:r>
          </w:p>
        </w:tc>
        <w:tc>
          <w:tcPr>
            <w:tcW w:w="481" w:type="pct"/>
          </w:tcPr>
          <w:p w14:paraId="1F687B3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Existing paid limited attention</w:t>
            </w:r>
          </w:p>
        </w:tc>
      </w:tr>
      <w:tr w:rsidR="00491D44" w:rsidRPr="000E3BBE" w14:paraId="3837324C" w14:textId="77777777" w:rsidTr="00F011CB">
        <w:tc>
          <w:tcPr>
            <w:tcW w:w="178" w:type="pct"/>
          </w:tcPr>
          <w:p w14:paraId="08B4536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50</w:t>
            </w:r>
          </w:p>
        </w:tc>
        <w:tc>
          <w:tcPr>
            <w:tcW w:w="442" w:type="pct"/>
          </w:tcPr>
          <w:p w14:paraId="08EFD66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Rodriguez (2024)</w:t>
            </w:r>
          </w:p>
        </w:tc>
        <w:tc>
          <w:tcPr>
            <w:tcW w:w="490" w:type="pct"/>
          </w:tcPr>
          <w:p w14:paraId="74020F2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Migrant Adolescents’ Experience of Depression</w:t>
            </w:r>
          </w:p>
        </w:tc>
        <w:tc>
          <w:tcPr>
            <w:tcW w:w="585" w:type="pct"/>
          </w:tcPr>
          <w:p w14:paraId="0E0C392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 migrant populations</w:t>
            </w:r>
          </w:p>
        </w:tc>
        <w:tc>
          <w:tcPr>
            <w:tcW w:w="512" w:type="pct"/>
          </w:tcPr>
          <w:p w14:paraId="05F9CC9D" w14:textId="0A720370" w:rsidR="00491D44" w:rsidRPr="000E3BBE" w:rsidRDefault="000E1EB3"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migrant</w:t>
            </w:r>
          </w:p>
        </w:tc>
        <w:tc>
          <w:tcPr>
            <w:tcW w:w="462" w:type="pct"/>
          </w:tcPr>
          <w:p w14:paraId="5B2B5A0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14 studies</w:t>
            </w:r>
          </w:p>
        </w:tc>
        <w:tc>
          <w:tcPr>
            <w:tcW w:w="424" w:type="pct"/>
          </w:tcPr>
          <w:p w14:paraId="2929CB2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364A19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transmission intergenerational</w:t>
            </w:r>
          </w:p>
        </w:tc>
        <w:tc>
          <w:tcPr>
            <w:tcW w:w="412" w:type="pct"/>
          </w:tcPr>
          <w:p w14:paraId="0697FDB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0FEC2EFE" w14:textId="2D219E77" w:rsidR="00491D44" w:rsidRPr="000E3BBE" w:rsidRDefault="000E1EB3" w:rsidP="00491D44">
            <w:pPr>
              <w:rPr>
                <w:rFonts w:ascii="Cambria" w:eastAsia="MS Mincho" w:hAnsi="Cambria" w:cs="Times New Roman"/>
                <w:sz w:val="20"/>
                <w:szCs w:val="40"/>
              </w:rPr>
            </w:pPr>
            <w:r w:rsidRPr="000E3BBE">
              <w:rPr>
                <w:rFonts w:ascii="Cambria" w:eastAsia="MS Mincho" w:hAnsi="Cambria" w:cs="Times New Roman"/>
                <w:sz w:val="20"/>
                <w:szCs w:val="40"/>
              </w:rPr>
              <w:t>Six</w:t>
            </w:r>
            <w:r w:rsidR="00491D44" w:rsidRPr="000E3BBE">
              <w:rPr>
                <w:rFonts w:ascii="Cambria" w:eastAsia="MS Mincho" w:hAnsi="Cambria" w:cs="Times New Roman"/>
                <w:sz w:val="20"/>
                <w:szCs w:val="40"/>
              </w:rPr>
              <w:t xml:space="preserve"> major themes including</w:t>
            </w:r>
          </w:p>
        </w:tc>
        <w:tc>
          <w:tcPr>
            <w:tcW w:w="481" w:type="pct"/>
          </w:tcPr>
          <w:p w14:paraId="72D388E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understand migrant</w:t>
            </w:r>
          </w:p>
        </w:tc>
      </w:tr>
      <w:tr w:rsidR="00491D44" w:rsidRPr="000E3BBE" w14:paraId="50C322EE" w14:textId="77777777" w:rsidTr="00F011CB">
        <w:tc>
          <w:tcPr>
            <w:tcW w:w="178" w:type="pct"/>
          </w:tcPr>
          <w:p w14:paraId="3891728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51</w:t>
            </w:r>
          </w:p>
        </w:tc>
        <w:tc>
          <w:tcPr>
            <w:tcW w:w="442" w:type="pct"/>
          </w:tcPr>
          <w:p w14:paraId="3EE3E54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Au (2024)</w:t>
            </w:r>
          </w:p>
        </w:tc>
        <w:tc>
          <w:tcPr>
            <w:tcW w:w="490" w:type="pct"/>
          </w:tcPr>
          <w:p w14:paraId="47E0E4F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Immigrant Older Adults’ Experiences of</w:t>
            </w:r>
          </w:p>
        </w:tc>
        <w:tc>
          <w:tcPr>
            <w:tcW w:w="585" w:type="pct"/>
          </w:tcPr>
          <w:p w14:paraId="19BD76D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14858B33" w14:textId="6D5ACE1A" w:rsidR="00491D44" w:rsidRPr="000E3BBE" w:rsidRDefault="000E1EB3"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immigrant</w:t>
            </w:r>
          </w:p>
        </w:tc>
        <w:tc>
          <w:tcPr>
            <w:tcW w:w="462" w:type="pct"/>
          </w:tcPr>
          <w:p w14:paraId="6239DC9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30 studies</w:t>
            </w:r>
          </w:p>
        </w:tc>
        <w:tc>
          <w:tcPr>
            <w:tcW w:w="424" w:type="pct"/>
          </w:tcPr>
          <w:p w14:paraId="60D1A95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Ethnic shops culturally</w:t>
            </w:r>
          </w:p>
        </w:tc>
        <w:tc>
          <w:tcPr>
            <w:tcW w:w="507" w:type="pct"/>
          </w:tcPr>
          <w:p w14:paraId="665A1F7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Sense belonging ethnic</w:t>
            </w:r>
          </w:p>
        </w:tc>
        <w:tc>
          <w:tcPr>
            <w:tcW w:w="412" w:type="pct"/>
          </w:tcPr>
          <w:p w14:paraId="2A75B5D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culturally familiar food supports belonging</w:t>
            </w:r>
          </w:p>
        </w:tc>
        <w:tc>
          <w:tcPr>
            <w:tcW w:w="507" w:type="pct"/>
          </w:tcPr>
          <w:p w14:paraId="00CD5631" w14:textId="7217A1FD" w:rsidR="00491D44" w:rsidRPr="000E3BBE" w:rsidRDefault="000E1EB3" w:rsidP="00491D44">
            <w:pPr>
              <w:rPr>
                <w:rFonts w:ascii="Cambria" w:eastAsia="MS Mincho" w:hAnsi="Cambria" w:cs="Times New Roman"/>
                <w:sz w:val="20"/>
                <w:szCs w:val="40"/>
              </w:rPr>
            </w:pPr>
            <w:r w:rsidRPr="000E3BBE">
              <w:rPr>
                <w:rFonts w:ascii="Cambria" w:eastAsia="MS Mincho" w:hAnsi="Cambria" w:cs="Times New Roman"/>
                <w:sz w:val="20"/>
                <w:szCs w:val="40"/>
              </w:rPr>
              <w:t>neighborhood</w:t>
            </w:r>
            <w:r w:rsidR="00491D44" w:rsidRPr="000E3BBE">
              <w:rPr>
                <w:rFonts w:ascii="Cambria" w:eastAsia="MS Mincho" w:hAnsi="Cambria" w:cs="Times New Roman"/>
                <w:sz w:val="20"/>
                <w:szCs w:val="40"/>
              </w:rPr>
              <w:t xml:space="preserve"> experiences shaped social</w:t>
            </w:r>
          </w:p>
        </w:tc>
        <w:tc>
          <w:tcPr>
            <w:tcW w:w="481" w:type="pct"/>
          </w:tcPr>
          <w:p w14:paraId="607056E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needed diverse immigrant groups</w:t>
            </w:r>
          </w:p>
        </w:tc>
      </w:tr>
      <w:tr w:rsidR="00491D44" w:rsidRPr="000E3BBE" w14:paraId="1FC97CA2" w14:textId="77777777" w:rsidTr="00F011CB">
        <w:tc>
          <w:tcPr>
            <w:tcW w:w="178" w:type="pct"/>
          </w:tcPr>
          <w:p w14:paraId="691FD42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52</w:t>
            </w:r>
          </w:p>
        </w:tc>
        <w:tc>
          <w:tcPr>
            <w:tcW w:w="442" w:type="pct"/>
          </w:tcPr>
          <w:p w14:paraId="051BF31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Henry (2025)</w:t>
            </w:r>
          </w:p>
        </w:tc>
        <w:tc>
          <w:tcPr>
            <w:tcW w:w="490" w:type="pct"/>
          </w:tcPr>
          <w:p w14:paraId="1C4A191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Insecurity among South Asian</w:t>
            </w:r>
          </w:p>
        </w:tc>
        <w:tc>
          <w:tcPr>
            <w:tcW w:w="585" w:type="pct"/>
          </w:tcPr>
          <w:p w14:paraId="61B16FB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USA</w:t>
            </w:r>
          </w:p>
        </w:tc>
        <w:tc>
          <w:tcPr>
            <w:tcW w:w="512" w:type="pct"/>
          </w:tcPr>
          <w:p w14:paraId="6F1833B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challenges perceptions coping</w:t>
            </w:r>
          </w:p>
        </w:tc>
        <w:tc>
          <w:tcPr>
            <w:tcW w:w="462" w:type="pct"/>
          </w:tcPr>
          <w:p w14:paraId="0E8605E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international</w:t>
            </w:r>
          </w:p>
        </w:tc>
        <w:tc>
          <w:tcPr>
            <w:tcW w:w="424" w:type="pct"/>
          </w:tcPr>
          <w:p w14:paraId="469DF8F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Culturally appropriate foods</w:t>
            </w:r>
          </w:p>
        </w:tc>
        <w:tc>
          <w:tcPr>
            <w:tcW w:w="507" w:type="pct"/>
          </w:tcPr>
          <w:p w14:paraId="3565DBF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cultural</w:t>
            </w:r>
          </w:p>
        </w:tc>
        <w:tc>
          <w:tcPr>
            <w:tcW w:w="412" w:type="pct"/>
          </w:tcPr>
          <w:p w14:paraId="1FB4C60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access affect</w:t>
            </w:r>
          </w:p>
        </w:tc>
        <w:tc>
          <w:tcPr>
            <w:tcW w:w="507" w:type="pct"/>
          </w:tcPr>
          <w:p w14:paraId="751E144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insecurity shaped financial</w:t>
            </w:r>
          </w:p>
        </w:tc>
        <w:tc>
          <w:tcPr>
            <w:tcW w:w="481" w:type="pct"/>
          </w:tcPr>
          <w:p w14:paraId="1DFD76F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culturally appropriate</w:t>
            </w:r>
          </w:p>
        </w:tc>
      </w:tr>
      <w:tr w:rsidR="00491D44" w:rsidRPr="000E3BBE" w14:paraId="7A997916" w14:textId="77777777" w:rsidTr="00F011CB">
        <w:tc>
          <w:tcPr>
            <w:tcW w:w="178" w:type="pct"/>
          </w:tcPr>
          <w:p w14:paraId="0FBF0E5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53</w:t>
            </w:r>
          </w:p>
        </w:tc>
        <w:tc>
          <w:tcPr>
            <w:tcW w:w="442" w:type="pct"/>
          </w:tcPr>
          <w:p w14:paraId="2F96285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Doucette (2023)</w:t>
            </w:r>
          </w:p>
        </w:tc>
        <w:tc>
          <w:tcPr>
            <w:tcW w:w="490" w:type="pct"/>
          </w:tcPr>
          <w:p w14:paraId="2E96CB2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Culture and Asian Immigrants’ Access</w:t>
            </w:r>
          </w:p>
        </w:tc>
        <w:tc>
          <w:tcPr>
            <w:tcW w:w="585" w:type="pct"/>
          </w:tcPr>
          <w:p w14:paraId="69FB80E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Canada</w:t>
            </w:r>
          </w:p>
        </w:tc>
        <w:tc>
          <w:tcPr>
            <w:tcW w:w="512" w:type="pct"/>
          </w:tcPr>
          <w:p w14:paraId="708E49C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factors influence</w:t>
            </w:r>
          </w:p>
        </w:tc>
        <w:tc>
          <w:tcPr>
            <w:tcW w:w="462" w:type="pct"/>
          </w:tcPr>
          <w:p w14:paraId="1DB077C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Scoping literature concerning</w:t>
            </w:r>
          </w:p>
        </w:tc>
        <w:tc>
          <w:tcPr>
            <w:tcW w:w="424" w:type="pct"/>
          </w:tcPr>
          <w:p w14:paraId="15EF370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151FC4F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beliefs language</w:t>
            </w:r>
          </w:p>
        </w:tc>
        <w:tc>
          <w:tcPr>
            <w:tcW w:w="412" w:type="pct"/>
          </w:tcPr>
          <w:p w14:paraId="7ED3158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02ED12C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beliefs, language and family barriers</w:t>
            </w:r>
          </w:p>
        </w:tc>
        <w:tc>
          <w:tcPr>
            <w:tcW w:w="481" w:type="pct"/>
          </w:tcPr>
          <w:p w14:paraId="5BF5AA77" w14:textId="54785FB3"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required </w:t>
            </w:r>
            <w:r w:rsidR="000E1EB3" w:rsidRPr="000E3BBE">
              <w:rPr>
                <w:rFonts w:ascii="Cambria" w:eastAsia="MS Mincho" w:hAnsi="Cambria" w:cs="Times New Roman"/>
                <w:sz w:val="20"/>
                <w:szCs w:val="40"/>
              </w:rPr>
              <w:t>to understand</w:t>
            </w:r>
            <w:r w:rsidRPr="000E3BBE">
              <w:rPr>
                <w:rFonts w:ascii="Cambria" w:eastAsia="MS Mincho" w:hAnsi="Cambria" w:cs="Times New Roman"/>
                <w:sz w:val="20"/>
                <w:szCs w:val="40"/>
              </w:rPr>
              <w:t xml:space="preserve"> culturally specific</w:t>
            </w:r>
          </w:p>
        </w:tc>
      </w:tr>
      <w:tr w:rsidR="00491D44" w:rsidRPr="000E3BBE" w14:paraId="5E2E6F9C" w14:textId="77777777" w:rsidTr="00F011CB">
        <w:tc>
          <w:tcPr>
            <w:tcW w:w="178" w:type="pct"/>
          </w:tcPr>
          <w:p w14:paraId="6CC73A6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54</w:t>
            </w:r>
          </w:p>
        </w:tc>
        <w:tc>
          <w:tcPr>
            <w:tcW w:w="442" w:type="pct"/>
          </w:tcPr>
          <w:p w14:paraId="3217589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Freitas (2024)</w:t>
            </w:r>
          </w:p>
        </w:tc>
        <w:tc>
          <w:tcPr>
            <w:tcW w:w="490" w:type="pct"/>
          </w:tcPr>
          <w:p w14:paraId="44AF032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Motherhood and Consumption</w:t>
            </w:r>
          </w:p>
        </w:tc>
        <w:tc>
          <w:tcPr>
            <w:tcW w:w="585" w:type="pct"/>
          </w:tcPr>
          <w:p w14:paraId="0918EF0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1C9581D5" w14:textId="05741EE4" w:rsidR="00491D44" w:rsidRPr="000E3BBE" w:rsidRDefault="000E1EB3" w:rsidP="00491D44">
            <w:pPr>
              <w:rPr>
                <w:rFonts w:ascii="Cambria" w:eastAsia="MS Mincho" w:hAnsi="Cambria" w:cs="Times New Roman"/>
                <w:sz w:val="20"/>
                <w:szCs w:val="40"/>
              </w:rPr>
            </w:pPr>
            <w:r w:rsidRPr="000E3BBE">
              <w:rPr>
                <w:rFonts w:ascii="Cambria" w:eastAsia="MS Mincho" w:hAnsi="Cambria" w:cs="Times New Roman"/>
                <w:sz w:val="20"/>
                <w:szCs w:val="40"/>
              </w:rPr>
              <w:t>relationship with</w:t>
            </w:r>
            <w:r w:rsidR="00491D44" w:rsidRPr="000E3BBE">
              <w:rPr>
                <w:rFonts w:ascii="Cambria" w:eastAsia="MS Mincho" w:hAnsi="Cambria" w:cs="Times New Roman"/>
                <w:sz w:val="20"/>
                <w:szCs w:val="40"/>
              </w:rPr>
              <w:t xml:space="preserve"> motherhood consumption</w:t>
            </w:r>
          </w:p>
        </w:tc>
        <w:tc>
          <w:tcPr>
            <w:tcW w:w="462" w:type="pct"/>
          </w:tcPr>
          <w:p w14:paraId="2EA2900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Hybrid literature articles</w:t>
            </w:r>
          </w:p>
        </w:tc>
        <w:tc>
          <w:tcPr>
            <w:tcW w:w="424" w:type="pct"/>
          </w:tcPr>
          <w:p w14:paraId="2D7B8F71" w14:textId="179D7190"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Food consumption </w:t>
            </w:r>
            <w:r w:rsidR="000E1EB3" w:rsidRPr="000E3BBE">
              <w:rPr>
                <w:rFonts w:ascii="Cambria" w:eastAsia="MS Mincho" w:hAnsi="Cambria" w:cs="Times New Roman"/>
                <w:sz w:val="20"/>
                <w:szCs w:val="40"/>
              </w:rPr>
              <w:t>appears</w:t>
            </w:r>
          </w:p>
        </w:tc>
        <w:tc>
          <w:tcPr>
            <w:tcW w:w="507" w:type="pct"/>
          </w:tcPr>
          <w:p w14:paraId="783ABF6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Motherhood consumer identity</w:t>
            </w:r>
          </w:p>
        </w:tc>
        <w:tc>
          <w:tcPr>
            <w:tcW w:w="412" w:type="pct"/>
          </w:tcPr>
          <w:p w14:paraId="00CE056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consumption links with family and identity</w:t>
            </w:r>
          </w:p>
        </w:tc>
        <w:tc>
          <w:tcPr>
            <w:tcW w:w="507" w:type="pct"/>
          </w:tcPr>
          <w:p w14:paraId="7AB2D7D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nine major perspectives including</w:t>
            </w:r>
          </w:p>
        </w:tc>
        <w:tc>
          <w:tcPr>
            <w:tcW w:w="481" w:type="pct"/>
          </w:tcPr>
          <w:p w14:paraId="3A0EA07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Future motherhood consumption diverse</w:t>
            </w:r>
          </w:p>
        </w:tc>
      </w:tr>
      <w:tr w:rsidR="00491D44" w:rsidRPr="000E3BBE" w14:paraId="37AAA16D" w14:textId="77777777" w:rsidTr="00F011CB">
        <w:tc>
          <w:tcPr>
            <w:tcW w:w="178" w:type="pct"/>
          </w:tcPr>
          <w:p w14:paraId="367C9BF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55</w:t>
            </w:r>
          </w:p>
        </w:tc>
        <w:tc>
          <w:tcPr>
            <w:tcW w:w="442" w:type="pct"/>
          </w:tcPr>
          <w:p w14:paraId="6578734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Awan (2022)</w:t>
            </w:r>
          </w:p>
        </w:tc>
        <w:tc>
          <w:tcPr>
            <w:tcW w:w="490" w:type="pct"/>
          </w:tcPr>
          <w:p w14:paraId="58EC34A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Emotional Distress and Mental Health</w:t>
            </w:r>
          </w:p>
        </w:tc>
        <w:tc>
          <w:tcPr>
            <w:tcW w:w="585" w:type="pct"/>
          </w:tcPr>
          <w:p w14:paraId="78ABCE4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UK and international primary/community</w:t>
            </w:r>
          </w:p>
        </w:tc>
        <w:tc>
          <w:tcPr>
            <w:tcW w:w="512" w:type="pct"/>
          </w:tcPr>
          <w:p w14:paraId="7215E9D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people South Asian</w:t>
            </w:r>
          </w:p>
        </w:tc>
        <w:tc>
          <w:tcPr>
            <w:tcW w:w="462" w:type="pct"/>
          </w:tcPr>
          <w:p w14:paraId="4DB99C3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involving South Asian</w:t>
            </w:r>
          </w:p>
        </w:tc>
        <w:tc>
          <w:tcPr>
            <w:tcW w:w="424" w:type="pct"/>
          </w:tcPr>
          <w:p w14:paraId="64AB27E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dietary practices within South Asian culture</w:t>
            </w:r>
          </w:p>
        </w:tc>
        <w:tc>
          <w:tcPr>
            <w:tcW w:w="507" w:type="pct"/>
          </w:tcPr>
          <w:p w14:paraId="1527742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identity</w:t>
            </w:r>
          </w:p>
        </w:tc>
        <w:tc>
          <w:tcPr>
            <w:tcW w:w="412" w:type="pct"/>
          </w:tcPr>
          <w:p w14:paraId="25A0F4A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AD7AD9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participants described</w:t>
            </w:r>
          </w:p>
        </w:tc>
        <w:tc>
          <w:tcPr>
            <w:tcW w:w="481" w:type="pct"/>
          </w:tcPr>
          <w:p w14:paraId="2F2BA01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needed develop culturally sensitive</w:t>
            </w:r>
          </w:p>
        </w:tc>
      </w:tr>
      <w:tr w:rsidR="00491D44" w:rsidRPr="000E3BBE" w14:paraId="488840D7" w14:textId="77777777" w:rsidTr="00F011CB">
        <w:tc>
          <w:tcPr>
            <w:tcW w:w="178" w:type="pct"/>
          </w:tcPr>
          <w:p w14:paraId="27FF961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56</w:t>
            </w:r>
          </w:p>
        </w:tc>
        <w:tc>
          <w:tcPr>
            <w:tcW w:w="442" w:type="pct"/>
          </w:tcPr>
          <w:p w14:paraId="132E7CE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Stenberg &amp; </w:t>
            </w:r>
            <w:proofErr w:type="gramStart"/>
            <w:r w:rsidRPr="000E3BBE">
              <w:rPr>
                <w:rFonts w:ascii="Cambria" w:eastAsia="MS Mincho" w:hAnsi="Cambria" w:cs="Times New Roman"/>
                <w:sz w:val="20"/>
                <w:szCs w:val="40"/>
              </w:rPr>
              <w:t>Hjelm  (</w:t>
            </w:r>
            <w:proofErr w:type="gramEnd"/>
            <w:r w:rsidRPr="000E3BBE">
              <w:rPr>
                <w:rFonts w:ascii="Cambria" w:eastAsia="MS Mincho" w:hAnsi="Cambria" w:cs="Times New Roman"/>
                <w:sz w:val="20"/>
                <w:szCs w:val="40"/>
              </w:rPr>
              <w:t>2023)</w:t>
            </w:r>
          </w:p>
        </w:tc>
        <w:tc>
          <w:tcPr>
            <w:tcW w:w="490" w:type="pct"/>
          </w:tcPr>
          <w:p w14:paraId="797A5D6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Migrant Informal Caregivers and Dementia</w:t>
            </w:r>
          </w:p>
        </w:tc>
        <w:tc>
          <w:tcPr>
            <w:tcW w:w="585" w:type="pct"/>
          </w:tcPr>
          <w:p w14:paraId="665DBD5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35367253" w14:textId="15B6CDBE" w:rsidR="00491D44" w:rsidRPr="000E3BBE" w:rsidRDefault="000E1EB3"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migrant family</w:t>
            </w:r>
          </w:p>
        </w:tc>
        <w:tc>
          <w:tcPr>
            <w:tcW w:w="462" w:type="pct"/>
          </w:tcPr>
          <w:p w14:paraId="04CCB651" w14:textId="5B74300F" w:rsidR="00491D44" w:rsidRPr="000E3BBE" w:rsidRDefault="000E1EB3" w:rsidP="00491D44">
            <w:pPr>
              <w:rPr>
                <w:rFonts w:ascii="Cambria" w:eastAsia="MS Mincho" w:hAnsi="Cambria" w:cs="Times New Roman"/>
                <w:sz w:val="20"/>
                <w:szCs w:val="40"/>
              </w:rPr>
            </w:pPr>
            <w:r w:rsidRPr="000E3BBE">
              <w:rPr>
                <w:rFonts w:ascii="Cambria" w:eastAsia="MS Mincho" w:hAnsi="Cambria" w:cs="Times New Roman"/>
                <w:sz w:val="20"/>
                <w:szCs w:val="40"/>
              </w:rPr>
              <w:t>Thematic</w:t>
            </w:r>
            <w:r w:rsidR="00491D44" w:rsidRPr="000E3BBE">
              <w:rPr>
                <w:rFonts w:ascii="Cambria" w:eastAsia="MS Mincho" w:hAnsi="Cambria" w:cs="Times New Roman"/>
                <w:sz w:val="20"/>
                <w:szCs w:val="40"/>
              </w:rPr>
              <w:t xml:space="preserve"> synthesis articles</w:t>
            </w:r>
          </w:p>
        </w:tc>
        <w:tc>
          <w:tcPr>
            <w:tcW w:w="424" w:type="pct"/>
          </w:tcPr>
          <w:p w14:paraId="3C7B04F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567937E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background family</w:t>
            </w:r>
          </w:p>
        </w:tc>
        <w:tc>
          <w:tcPr>
            <w:tcW w:w="412" w:type="pct"/>
          </w:tcPr>
          <w:p w14:paraId="0362E5D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0418878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Migrant caregivers experienced cultural</w:t>
            </w:r>
          </w:p>
        </w:tc>
        <w:tc>
          <w:tcPr>
            <w:tcW w:w="481" w:type="pct"/>
          </w:tcPr>
          <w:p w14:paraId="3C13394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understand culturally</w:t>
            </w:r>
          </w:p>
        </w:tc>
      </w:tr>
      <w:tr w:rsidR="00491D44" w:rsidRPr="000E3BBE" w14:paraId="7CC2AF7A" w14:textId="77777777" w:rsidTr="00F011CB">
        <w:tc>
          <w:tcPr>
            <w:tcW w:w="178" w:type="pct"/>
          </w:tcPr>
          <w:p w14:paraId="2E2C43D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57</w:t>
            </w:r>
          </w:p>
        </w:tc>
        <w:tc>
          <w:tcPr>
            <w:tcW w:w="442" w:type="pct"/>
          </w:tcPr>
          <w:p w14:paraId="73341AE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Cabral (2025)</w:t>
            </w:r>
          </w:p>
        </w:tc>
        <w:tc>
          <w:tcPr>
            <w:tcW w:w="490" w:type="pct"/>
          </w:tcPr>
          <w:p w14:paraId="30F8CA7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Gastronomic Approaches in Diplomacy</w:t>
            </w:r>
          </w:p>
        </w:tc>
        <w:tc>
          <w:tcPr>
            <w:tcW w:w="585" w:type="pct"/>
          </w:tcPr>
          <w:p w14:paraId="537AFF4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30A049C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development gastronomic approaches</w:t>
            </w:r>
          </w:p>
        </w:tc>
        <w:tc>
          <w:tcPr>
            <w:tcW w:w="462" w:type="pct"/>
          </w:tcPr>
          <w:p w14:paraId="103AD18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Rapid articles concerning</w:t>
            </w:r>
          </w:p>
        </w:tc>
        <w:tc>
          <w:tcPr>
            <w:tcW w:w="424" w:type="pct"/>
          </w:tcPr>
          <w:p w14:paraId="3B84DC0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Gastronomic practices national</w:t>
            </w:r>
          </w:p>
        </w:tc>
        <w:tc>
          <w:tcPr>
            <w:tcW w:w="507" w:type="pct"/>
          </w:tcPr>
          <w:p w14:paraId="72FA6E1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National identity cultural</w:t>
            </w:r>
          </w:p>
        </w:tc>
        <w:tc>
          <w:tcPr>
            <w:tcW w:w="412" w:type="pct"/>
          </w:tcPr>
          <w:p w14:paraId="0C5DFE8A" w14:textId="6E321EDA"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Food </w:t>
            </w:r>
            <w:r w:rsidR="000E1EB3" w:rsidRPr="000E3BBE">
              <w:rPr>
                <w:rFonts w:ascii="Cambria" w:eastAsia="MS Mincho" w:hAnsi="Cambria" w:cs="Times New Roman"/>
                <w:sz w:val="20"/>
                <w:szCs w:val="40"/>
              </w:rPr>
              <w:t>communicates</w:t>
            </w:r>
            <w:r w:rsidRPr="000E3BBE">
              <w:rPr>
                <w:rFonts w:ascii="Cambria" w:eastAsia="MS Mincho" w:hAnsi="Cambria" w:cs="Times New Roman"/>
                <w:sz w:val="20"/>
                <w:szCs w:val="40"/>
              </w:rPr>
              <w:t xml:space="preserve"> represent</w:t>
            </w:r>
          </w:p>
        </w:tc>
        <w:tc>
          <w:tcPr>
            <w:tcW w:w="507" w:type="pct"/>
          </w:tcPr>
          <w:p w14:paraId="0CFA9E9F" w14:textId="229A0B6C"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food gastronomy </w:t>
            </w:r>
            <w:r w:rsidR="000E1EB3" w:rsidRPr="000E3BBE">
              <w:rPr>
                <w:rFonts w:ascii="Cambria" w:eastAsia="MS Mincho" w:hAnsi="Cambria" w:cs="Times New Roman"/>
                <w:sz w:val="20"/>
                <w:szCs w:val="40"/>
              </w:rPr>
              <w:t>operates</w:t>
            </w:r>
            <w:r w:rsidRPr="000E3BBE">
              <w:rPr>
                <w:rFonts w:ascii="Cambria" w:eastAsia="MS Mincho" w:hAnsi="Cambria" w:cs="Times New Roman"/>
                <w:sz w:val="20"/>
                <w:szCs w:val="40"/>
              </w:rPr>
              <w:t xml:space="preserve"> beyond</w:t>
            </w:r>
          </w:p>
        </w:tc>
        <w:tc>
          <w:tcPr>
            <w:tcW w:w="481" w:type="pct"/>
          </w:tcPr>
          <w:p w14:paraId="05A3ECD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gastronomic diplomacy</w:t>
            </w:r>
          </w:p>
        </w:tc>
      </w:tr>
      <w:tr w:rsidR="00491D44" w:rsidRPr="000E3BBE" w14:paraId="76650F7D" w14:textId="77777777" w:rsidTr="00F011CB">
        <w:tc>
          <w:tcPr>
            <w:tcW w:w="178" w:type="pct"/>
          </w:tcPr>
          <w:p w14:paraId="53D2C95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58</w:t>
            </w:r>
          </w:p>
        </w:tc>
        <w:tc>
          <w:tcPr>
            <w:tcW w:w="442" w:type="pct"/>
          </w:tcPr>
          <w:p w14:paraId="5881F4C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Molla (2025)</w:t>
            </w:r>
          </w:p>
        </w:tc>
        <w:tc>
          <w:tcPr>
            <w:tcW w:w="490" w:type="pct"/>
          </w:tcPr>
          <w:p w14:paraId="0C9853A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Community, Religion, Spirituality and Cultural</w:t>
            </w:r>
          </w:p>
        </w:tc>
        <w:tc>
          <w:tcPr>
            <w:tcW w:w="585" w:type="pct"/>
          </w:tcPr>
          <w:p w14:paraId="4ACE13F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Sub-Saharan Africa</w:t>
            </w:r>
          </w:p>
        </w:tc>
        <w:tc>
          <w:tcPr>
            <w:tcW w:w="512" w:type="pct"/>
          </w:tcPr>
          <w:p w14:paraId="5EE0026E" w14:textId="5FAF4791"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community </w:t>
            </w:r>
            <w:r w:rsidR="000E1EB3" w:rsidRPr="000E3BBE">
              <w:rPr>
                <w:rFonts w:ascii="Cambria" w:eastAsia="MS Mincho" w:hAnsi="Cambria" w:cs="Times New Roman"/>
                <w:sz w:val="20"/>
                <w:szCs w:val="40"/>
              </w:rPr>
              <w:t>organizations</w:t>
            </w:r>
            <w:r w:rsidRPr="000E3BBE">
              <w:rPr>
                <w:rFonts w:ascii="Cambria" w:eastAsia="MS Mincho" w:hAnsi="Cambria" w:cs="Times New Roman"/>
                <w:sz w:val="20"/>
                <w:szCs w:val="40"/>
              </w:rPr>
              <w:t xml:space="preserve"> religion</w:t>
            </w:r>
          </w:p>
        </w:tc>
        <w:tc>
          <w:tcPr>
            <w:tcW w:w="462" w:type="pct"/>
          </w:tcPr>
          <w:p w14:paraId="52CA15C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47 studies</w:t>
            </w:r>
          </w:p>
        </w:tc>
        <w:tc>
          <w:tcPr>
            <w:tcW w:w="424" w:type="pct"/>
          </w:tcPr>
          <w:p w14:paraId="2DB2F2C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dietary practices and food choices</w:t>
            </w:r>
          </w:p>
        </w:tc>
        <w:tc>
          <w:tcPr>
            <w:tcW w:w="507" w:type="pct"/>
          </w:tcPr>
          <w:p w14:paraId="4519651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beliefs religion</w:t>
            </w:r>
          </w:p>
        </w:tc>
        <w:tc>
          <w:tcPr>
            <w:tcW w:w="412" w:type="pct"/>
          </w:tcPr>
          <w:p w14:paraId="7A47C2D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E09FD9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beliefs religion spirituality</w:t>
            </w:r>
          </w:p>
        </w:tc>
        <w:tc>
          <w:tcPr>
            <w:tcW w:w="481" w:type="pct"/>
          </w:tcPr>
          <w:p w14:paraId="50520A6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context-specific culturally</w:t>
            </w:r>
          </w:p>
        </w:tc>
      </w:tr>
      <w:tr w:rsidR="00491D44" w:rsidRPr="000E3BBE" w14:paraId="6988A499" w14:textId="77777777" w:rsidTr="00F011CB">
        <w:tc>
          <w:tcPr>
            <w:tcW w:w="178" w:type="pct"/>
          </w:tcPr>
          <w:p w14:paraId="1E102FF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59</w:t>
            </w:r>
          </w:p>
        </w:tc>
        <w:tc>
          <w:tcPr>
            <w:tcW w:w="442" w:type="pct"/>
          </w:tcPr>
          <w:p w14:paraId="6E0CCC7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Lindsay (2023)</w:t>
            </w:r>
          </w:p>
        </w:tc>
        <w:tc>
          <w:tcPr>
            <w:tcW w:w="490" w:type="pct"/>
          </w:tcPr>
          <w:p w14:paraId="7C0C610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Lived Experiences of Ethnic Minority</w:t>
            </w:r>
          </w:p>
        </w:tc>
        <w:tc>
          <w:tcPr>
            <w:tcW w:w="585" w:type="pct"/>
          </w:tcPr>
          <w:p w14:paraId="01F3DA3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 with strong Canadian</w:t>
            </w:r>
          </w:p>
        </w:tc>
        <w:tc>
          <w:tcPr>
            <w:tcW w:w="512" w:type="pct"/>
          </w:tcPr>
          <w:p w14:paraId="0306FCCC" w14:textId="6ED5D0C3" w:rsidR="00491D44" w:rsidRPr="000E3BBE" w:rsidRDefault="00521B5D"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lived</w:t>
            </w:r>
          </w:p>
        </w:tc>
        <w:tc>
          <w:tcPr>
            <w:tcW w:w="462" w:type="pct"/>
          </w:tcPr>
          <w:p w14:paraId="3E1CD3E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meta-synthesis involving ethnic</w:t>
            </w:r>
          </w:p>
        </w:tc>
        <w:tc>
          <w:tcPr>
            <w:tcW w:w="424" w:type="pct"/>
          </w:tcPr>
          <w:p w14:paraId="72FA6C2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0C13F68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Ethnic identity cultural</w:t>
            </w:r>
          </w:p>
        </w:tc>
        <w:tc>
          <w:tcPr>
            <w:tcW w:w="412" w:type="pct"/>
          </w:tcPr>
          <w:p w14:paraId="74E645B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10DEDD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Ethnic minority youth disabilities</w:t>
            </w:r>
          </w:p>
        </w:tc>
        <w:tc>
          <w:tcPr>
            <w:tcW w:w="481" w:type="pct"/>
          </w:tcPr>
          <w:p w14:paraId="4E6A92A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needed diverse ethnic minority</w:t>
            </w:r>
          </w:p>
        </w:tc>
      </w:tr>
      <w:tr w:rsidR="00491D44" w:rsidRPr="000E3BBE" w14:paraId="1C780384" w14:textId="77777777" w:rsidTr="00F011CB">
        <w:tc>
          <w:tcPr>
            <w:tcW w:w="178" w:type="pct"/>
          </w:tcPr>
          <w:p w14:paraId="3A1F678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60</w:t>
            </w:r>
          </w:p>
        </w:tc>
        <w:tc>
          <w:tcPr>
            <w:tcW w:w="442" w:type="pct"/>
          </w:tcPr>
          <w:p w14:paraId="61D4BAF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Soufi </w:t>
            </w:r>
            <w:proofErr w:type="spellStart"/>
            <w:r w:rsidRPr="000E3BBE">
              <w:rPr>
                <w:rFonts w:ascii="Cambria" w:eastAsia="MS Mincho" w:hAnsi="Cambria" w:cs="Times New Roman"/>
                <w:sz w:val="20"/>
                <w:szCs w:val="40"/>
              </w:rPr>
              <w:t>Amlashi</w:t>
            </w:r>
            <w:proofErr w:type="spellEnd"/>
            <w:r w:rsidRPr="000E3BBE">
              <w:rPr>
                <w:rFonts w:ascii="Cambria" w:eastAsia="MS Mincho" w:hAnsi="Cambria" w:cs="Times New Roman"/>
                <w:sz w:val="20"/>
                <w:szCs w:val="40"/>
              </w:rPr>
              <w:t xml:space="preserve"> (2024)</w:t>
            </w:r>
          </w:p>
        </w:tc>
        <w:tc>
          <w:tcPr>
            <w:tcW w:w="490" w:type="pct"/>
          </w:tcPr>
          <w:p w14:paraId="391512F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Acculturative Stress and Psychological Outcomes</w:t>
            </w:r>
          </w:p>
        </w:tc>
        <w:tc>
          <w:tcPr>
            <w:tcW w:w="585" w:type="pct"/>
          </w:tcPr>
          <w:p w14:paraId="7885258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26FEAFA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relationship acculturative stress</w:t>
            </w:r>
          </w:p>
        </w:tc>
        <w:tc>
          <w:tcPr>
            <w:tcW w:w="462" w:type="pct"/>
          </w:tcPr>
          <w:p w14:paraId="13A53EE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7,247 participants</w:t>
            </w:r>
          </w:p>
        </w:tc>
        <w:tc>
          <w:tcPr>
            <w:tcW w:w="424" w:type="pct"/>
          </w:tcPr>
          <w:p w14:paraId="456B2EA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BEAD8B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Acculturation cultural adaptation</w:t>
            </w:r>
          </w:p>
        </w:tc>
        <w:tc>
          <w:tcPr>
            <w:tcW w:w="412" w:type="pct"/>
          </w:tcPr>
          <w:p w14:paraId="3B881EC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701254C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higher acculturative stress associated</w:t>
            </w:r>
          </w:p>
        </w:tc>
        <w:tc>
          <w:tcPr>
            <w:tcW w:w="481" w:type="pct"/>
          </w:tcPr>
          <w:p w14:paraId="0A4BE40A" w14:textId="4A044E17" w:rsidR="00491D44" w:rsidRPr="000E3BBE" w:rsidRDefault="00521B5D" w:rsidP="00491D44">
            <w:pPr>
              <w:rPr>
                <w:rFonts w:ascii="Cambria" w:eastAsia="MS Mincho" w:hAnsi="Cambria" w:cs="Times New Roman"/>
                <w:sz w:val="20"/>
                <w:szCs w:val="40"/>
              </w:rPr>
            </w:pPr>
            <w:r w:rsidRPr="000E3BBE">
              <w:rPr>
                <w:rFonts w:ascii="Cambria" w:eastAsia="MS Mincho" w:hAnsi="Cambria" w:cs="Times New Roman"/>
                <w:sz w:val="20"/>
                <w:szCs w:val="40"/>
              </w:rPr>
              <w:t>Further</w:t>
            </w:r>
            <w:r w:rsidR="00491D44" w:rsidRPr="000E3BBE">
              <w:rPr>
                <w:rFonts w:ascii="Cambria" w:eastAsia="MS Mincho" w:hAnsi="Cambria" w:cs="Times New Roman"/>
                <w:sz w:val="20"/>
                <w:szCs w:val="40"/>
              </w:rPr>
              <w:t xml:space="preserve"> cultural contextual</w:t>
            </w:r>
          </w:p>
        </w:tc>
      </w:tr>
      <w:tr w:rsidR="00491D44" w:rsidRPr="000E3BBE" w14:paraId="046EA5AB" w14:textId="77777777" w:rsidTr="00F011CB">
        <w:tc>
          <w:tcPr>
            <w:tcW w:w="178" w:type="pct"/>
          </w:tcPr>
          <w:p w14:paraId="432B950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61</w:t>
            </w:r>
          </w:p>
        </w:tc>
        <w:tc>
          <w:tcPr>
            <w:tcW w:w="442" w:type="pct"/>
          </w:tcPr>
          <w:p w14:paraId="7A01F31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Dwyer (2024)</w:t>
            </w:r>
          </w:p>
        </w:tc>
        <w:tc>
          <w:tcPr>
            <w:tcW w:w="490" w:type="pct"/>
          </w:tcPr>
          <w:p w14:paraId="37D8356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Barriers and Facilitators to Self-Management</w:t>
            </w:r>
          </w:p>
        </w:tc>
        <w:tc>
          <w:tcPr>
            <w:tcW w:w="585" w:type="pct"/>
          </w:tcPr>
          <w:p w14:paraId="7C85FED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UK authors and healthcare</w:t>
            </w:r>
          </w:p>
        </w:tc>
        <w:tc>
          <w:tcPr>
            <w:tcW w:w="512" w:type="pct"/>
          </w:tcPr>
          <w:p w14:paraId="3B8E8E6B" w14:textId="724A7373" w:rsidR="00491D44" w:rsidRPr="000E3BBE" w:rsidRDefault="00521B5D"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barriers</w:t>
            </w:r>
          </w:p>
        </w:tc>
        <w:tc>
          <w:tcPr>
            <w:tcW w:w="462" w:type="pct"/>
          </w:tcPr>
          <w:p w14:paraId="66FA72B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publications involving women</w:t>
            </w:r>
          </w:p>
        </w:tc>
        <w:tc>
          <w:tcPr>
            <w:tcW w:w="424" w:type="pct"/>
          </w:tcPr>
          <w:p w14:paraId="310FBA2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dietary self-management practices</w:t>
            </w:r>
          </w:p>
        </w:tc>
        <w:tc>
          <w:tcPr>
            <w:tcW w:w="507" w:type="pct"/>
          </w:tcPr>
          <w:p w14:paraId="43649A8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Culture family support</w:t>
            </w:r>
          </w:p>
        </w:tc>
        <w:tc>
          <w:tcPr>
            <w:tcW w:w="412" w:type="pct"/>
          </w:tcPr>
          <w:p w14:paraId="0588B6F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68DEC7C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self-management influenced psychological capability</w:t>
            </w:r>
          </w:p>
        </w:tc>
        <w:tc>
          <w:tcPr>
            <w:tcW w:w="481" w:type="pct"/>
          </w:tcPr>
          <w:p w14:paraId="45A274FB" w14:textId="51043BA8"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culturally responsive self-management </w:t>
            </w:r>
            <w:r w:rsidR="000E1EB3" w:rsidRPr="000E3BBE">
              <w:rPr>
                <w:rFonts w:ascii="Cambria" w:eastAsia="MS Mincho" w:hAnsi="Cambria" w:cs="Times New Roman"/>
                <w:sz w:val="20"/>
                <w:szCs w:val="40"/>
              </w:rPr>
              <w:t>programmers</w:t>
            </w:r>
          </w:p>
        </w:tc>
      </w:tr>
      <w:tr w:rsidR="00491D44" w:rsidRPr="000E3BBE" w14:paraId="0E93990E" w14:textId="77777777" w:rsidTr="00F011CB">
        <w:tc>
          <w:tcPr>
            <w:tcW w:w="178" w:type="pct"/>
          </w:tcPr>
          <w:p w14:paraId="23D6347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62</w:t>
            </w:r>
          </w:p>
        </w:tc>
        <w:tc>
          <w:tcPr>
            <w:tcW w:w="442" w:type="pct"/>
          </w:tcPr>
          <w:p w14:paraId="6BA86F0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Chowdhury (2023)</w:t>
            </w:r>
          </w:p>
        </w:tc>
        <w:tc>
          <w:tcPr>
            <w:tcW w:w="490" w:type="pct"/>
          </w:tcPr>
          <w:p w14:paraId="37B96F8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Foreign-born South Asian Older Adults</w:t>
            </w:r>
          </w:p>
        </w:tc>
        <w:tc>
          <w:tcPr>
            <w:tcW w:w="585" w:type="pct"/>
          </w:tcPr>
          <w:p w14:paraId="5FF7BF2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Canada</w:t>
            </w:r>
          </w:p>
        </w:tc>
        <w:tc>
          <w:tcPr>
            <w:tcW w:w="512" w:type="pct"/>
          </w:tcPr>
          <w:p w14:paraId="3E6CBE0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social ethnocultural influences</w:t>
            </w:r>
          </w:p>
        </w:tc>
        <w:tc>
          <w:tcPr>
            <w:tcW w:w="462" w:type="pct"/>
          </w:tcPr>
          <w:p w14:paraId="6CC2758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involving foreign-born South</w:t>
            </w:r>
          </w:p>
        </w:tc>
        <w:tc>
          <w:tcPr>
            <w:tcW w:w="424" w:type="pct"/>
          </w:tcPr>
          <w:p w14:paraId="7B244A6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nutrition healthy</w:t>
            </w:r>
          </w:p>
        </w:tc>
        <w:tc>
          <w:tcPr>
            <w:tcW w:w="507" w:type="pct"/>
          </w:tcPr>
          <w:p w14:paraId="3A46793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cultural</w:t>
            </w:r>
          </w:p>
        </w:tc>
        <w:tc>
          <w:tcPr>
            <w:tcW w:w="412" w:type="pct"/>
          </w:tcPr>
          <w:p w14:paraId="3CA5880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food contributes to social connection</w:t>
            </w:r>
          </w:p>
        </w:tc>
        <w:tc>
          <w:tcPr>
            <w:tcW w:w="507" w:type="pct"/>
          </w:tcPr>
          <w:p w14:paraId="355F515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Participants food social interaction</w:t>
            </w:r>
          </w:p>
        </w:tc>
        <w:tc>
          <w:tcPr>
            <w:tcW w:w="481" w:type="pct"/>
          </w:tcPr>
          <w:p w14:paraId="24C0AC0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include wider range</w:t>
            </w:r>
          </w:p>
        </w:tc>
      </w:tr>
      <w:tr w:rsidR="00491D44" w:rsidRPr="000E3BBE" w14:paraId="231BB6D9" w14:textId="77777777" w:rsidTr="00F011CB">
        <w:tc>
          <w:tcPr>
            <w:tcW w:w="178" w:type="pct"/>
          </w:tcPr>
          <w:p w14:paraId="4F6356C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63</w:t>
            </w:r>
          </w:p>
        </w:tc>
        <w:tc>
          <w:tcPr>
            <w:tcW w:w="442" w:type="pct"/>
          </w:tcPr>
          <w:p w14:paraId="3104B59C" w14:textId="77777777" w:rsidR="00491D44" w:rsidRPr="000E3BBE" w:rsidRDefault="00491D44" w:rsidP="00491D44">
            <w:pPr>
              <w:rPr>
                <w:rFonts w:ascii="Cambria" w:eastAsia="MS Mincho" w:hAnsi="Cambria" w:cs="Times New Roman"/>
                <w:sz w:val="20"/>
                <w:szCs w:val="40"/>
              </w:rPr>
            </w:pPr>
            <w:proofErr w:type="spellStart"/>
            <w:proofErr w:type="gramStart"/>
            <w:r w:rsidRPr="000E3BBE">
              <w:rPr>
                <w:rFonts w:ascii="Cambria" w:eastAsia="MS Mincho" w:hAnsi="Cambria" w:cs="Times New Roman"/>
                <w:sz w:val="20"/>
                <w:szCs w:val="40"/>
              </w:rPr>
              <w:t>Bokayev</w:t>
            </w:r>
            <w:proofErr w:type="spellEnd"/>
            <w:r w:rsidRPr="000E3BBE">
              <w:rPr>
                <w:rFonts w:ascii="Cambria" w:eastAsia="MS Mincho" w:hAnsi="Cambria" w:cs="Times New Roman"/>
                <w:sz w:val="20"/>
                <w:szCs w:val="40"/>
              </w:rPr>
              <w:t xml:space="preserve">  (</w:t>
            </w:r>
            <w:proofErr w:type="gramEnd"/>
            <w:r w:rsidRPr="000E3BBE">
              <w:rPr>
                <w:rFonts w:ascii="Cambria" w:eastAsia="MS Mincho" w:hAnsi="Cambria" w:cs="Times New Roman"/>
                <w:sz w:val="20"/>
                <w:szCs w:val="40"/>
              </w:rPr>
              <w:t>2024)</w:t>
            </w:r>
          </w:p>
        </w:tc>
        <w:tc>
          <w:tcPr>
            <w:tcW w:w="490" w:type="pct"/>
          </w:tcPr>
          <w:p w14:paraId="1CB7E6A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Socialization of International Students in</w:t>
            </w:r>
          </w:p>
        </w:tc>
        <w:tc>
          <w:tcPr>
            <w:tcW w:w="585" w:type="pct"/>
          </w:tcPr>
          <w:p w14:paraId="5619863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USA</w:t>
            </w:r>
          </w:p>
        </w:tc>
        <w:tc>
          <w:tcPr>
            <w:tcW w:w="512" w:type="pct"/>
          </w:tcPr>
          <w:p w14:paraId="2C3EC020" w14:textId="07D2E04B" w:rsidR="00491D44" w:rsidRPr="000E3BBE" w:rsidRDefault="00521B5D" w:rsidP="00491D44">
            <w:pPr>
              <w:rPr>
                <w:rFonts w:ascii="Cambria" w:eastAsia="MS Mincho" w:hAnsi="Cambria" w:cs="Times New Roman"/>
                <w:sz w:val="20"/>
                <w:szCs w:val="40"/>
              </w:rPr>
            </w:pPr>
            <w:r w:rsidRPr="000E3BBE">
              <w:rPr>
                <w:rFonts w:ascii="Cambria" w:eastAsia="MS Mincho" w:hAnsi="Cambria" w:cs="Times New Roman"/>
                <w:sz w:val="20"/>
                <w:szCs w:val="40"/>
              </w:rPr>
              <w:t>socialization</w:t>
            </w:r>
            <w:r w:rsidR="00491D44" w:rsidRPr="000E3BBE">
              <w:rPr>
                <w:rFonts w:ascii="Cambria" w:eastAsia="MS Mincho" w:hAnsi="Cambria" w:cs="Times New Roman"/>
                <w:sz w:val="20"/>
                <w:szCs w:val="40"/>
              </w:rPr>
              <w:t xml:space="preserve"> adjustment integration</w:t>
            </w:r>
          </w:p>
        </w:tc>
        <w:tc>
          <w:tcPr>
            <w:tcW w:w="462" w:type="pct"/>
          </w:tcPr>
          <w:p w14:paraId="7E5D64C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Comprehensive literature empirical</w:t>
            </w:r>
          </w:p>
        </w:tc>
        <w:tc>
          <w:tcPr>
            <w:tcW w:w="424" w:type="pct"/>
          </w:tcPr>
          <w:p w14:paraId="5FF0791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761595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Acculturation cultural adaptation</w:t>
            </w:r>
          </w:p>
        </w:tc>
        <w:tc>
          <w:tcPr>
            <w:tcW w:w="412" w:type="pct"/>
          </w:tcPr>
          <w:p w14:paraId="5CAE3CF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365DD6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acculturation difficulties language barriers</w:t>
            </w:r>
          </w:p>
        </w:tc>
        <w:tc>
          <w:tcPr>
            <w:tcW w:w="481" w:type="pct"/>
          </w:tcPr>
          <w:p w14:paraId="15EC3E3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communication challenges</w:t>
            </w:r>
          </w:p>
        </w:tc>
      </w:tr>
      <w:tr w:rsidR="00491D44" w:rsidRPr="000E3BBE" w14:paraId="7A282089" w14:textId="77777777" w:rsidTr="00F011CB">
        <w:tc>
          <w:tcPr>
            <w:tcW w:w="178" w:type="pct"/>
          </w:tcPr>
          <w:p w14:paraId="794267C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64</w:t>
            </w:r>
          </w:p>
        </w:tc>
        <w:tc>
          <w:tcPr>
            <w:tcW w:w="442" w:type="pct"/>
          </w:tcPr>
          <w:p w14:paraId="0393A83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Nantel &amp; </w:t>
            </w:r>
            <w:proofErr w:type="gramStart"/>
            <w:r w:rsidRPr="000E3BBE">
              <w:rPr>
                <w:rFonts w:ascii="Cambria" w:eastAsia="MS Mincho" w:hAnsi="Cambria" w:cs="Times New Roman"/>
                <w:sz w:val="20"/>
                <w:szCs w:val="40"/>
              </w:rPr>
              <w:t>Gingras  (</w:t>
            </w:r>
            <w:proofErr w:type="gramEnd"/>
            <w:r w:rsidRPr="000E3BBE">
              <w:rPr>
                <w:rFonts w:ascii="Cambria" w:eastAsia="MS Mincho" w:hAnsi="Cambria" w:cs="Times New Roman"/>
                <w:sz w:val="20"/>
                <w:szCs w:val="40"/>
              </w:rPr>
              <w:t>2023)</w:t>
            </w:r>
          </w:p>
        </w:tc>
        <w:tc>
          <w:tcPr>
            <w:tcW w:w="490" w:type="pct"/>
          </w:tcPr>
          <w:p w14:paraId="52AA048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Complementary Feeding Practices and Current</w:t>
            </w:r>
          </w:p>
        </w:tc>
        <w:tc>
          <w:tcPr>
            <w:tcW w:w="585" w:type="pct"/>
          </w:tcPr>
          <w:p w14:paraId="5F7B824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2040FD10" w14:textId="1F42CDF0" w:rsidR="00491D44" w:rsidRPr="000E3BBE" w:rsidRDefault="00521B5D" w:rsidP="00491D44">
            <w:pPr>
              <w:rPr>
                <w:rFonts w:ascii="Cambria" w:eastAsia="MS Mincho" w:hAnsi="Cambria" w:cs="Times New Roman"/>
                <w:sz w:val="20"/>
                <w:szCs w:val="40"/>
              </w:rPr>
            </w:pPr>
            <w:r w:rsidRPr="000E3BBE">
              <w:rPr>
                <w:rFonts w:ascii="Cambria" w:eastAsia="MS Mincho" w:hAnsi="Cambria" w:cs="Times New Roman"/>
                <w:sz w:val="20"/>
                <w:szCs w:val="40"/>
              </w:rPr>
              <w:t>Describe</w:t>
            </w:r>
            <w:r w:rsidR="00491D44" w:rsidRPr="000E3BBE">
              <w:rPr>
                <w:rFonts w:ascii="Cambria" w:eastAsia="MS Mincho" w:hAnsi="Cambria" w:cs="Times New Roman"/>
                <w:sz w:val="20"/>
                <w:szCs w:val="40"/>
              </w:rPr>
              <w:t xml:space="preserve"> parental complementary</w:t>
            </w:r>
          </w:p>
        </w:tc>
        <w:tc>
          <w:tcPr>
            <w:tcW w:w="462" w:type="pct"/>
          </w:tcPr>
          <w:p w14:paraId="7839158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observational published between</w:t>
            </w:r>
          </w:p>
        </w:tc>
        <w:tc>
          <w:tcPr>
            <w:tcW w:w="424" w:type="pct"/>
          </w:tcPr>
          <w:p w14:paraId="40FC615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Timing food introduction</w:t>
            </w:r>
          </w:p>
        </w:tc>
        <w:tc>
          <w:tcPr>
            <w:tcW w:w="507" w:type="pct"/>
          </w:tcPr>
          <w:p w14:paraId="2D2E48F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412" w:type="pct"/>
          </w:tcPr>
          <w:p w14:paraId="63B17B0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AC992D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Complementary feeding practices vary</w:t>
            </w:r>
          </w:p>
        </w:tc>
        <w:tc>
          <w:tcPr>
            <w:tcW w:w="481" w:type="pct"/>
          </w:tcPr>
          <w:p w14:paraId="1212E6A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needed understand culturally socially</w:t>
            </w:r>
          </w:p>
        </w:tc>
      </w:tr>
      <w:tr w:rsidR="00491D44" w:rsidRPr="000E3BBE" w14:paraId="2DFC87B7" w14:textId="77777777" w:rsidTr="00F011CB">
        <w:tc>
          <w:tcPr>
            <w:tcW w:w="178" w:type="pct"/>
          </w:tcPr>
          <w:p w14:paraId="70750F9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65</w:t>
            </w:r>
          </w:p>
        </w:tc>
        <w:tc>
          <w:tcPr>
            <w:tcW w:w="442" w:type="pct"/>
          </w:tcPr>
          <w:p w14:paraId="55E5174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Matovu (2024)</w:t>
            </w:r>
          </w:p>
        </w:tc>
        <w:tc>
          <w:tcPr>
            <w:tcW w:w="490" w:type="pct"/>
          </w:tcPr>
          <w:p w14:paraId="50BC15B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Women’s Empowerment in Marine Fishing</w:t>
            </w:r>
          </w:p>
        </w:tc>
        <w:tc>
          <w:tcPr>
            <w:tcW w:w="585" w:type="pct"/>
          </w:tcPr>
          <w:p w14:paraId="5A9A6D3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Kerala, India</w:t>
            </w:r>
          </w:p>
        </w:tc>
        <w:tc>
          <w:tcPr>
            <w:tcW w:w="512" w:type="pct"/>
          </w:tcPr>
          <w:p w14:paraId="715CBF5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women empowerment marine</w:t>
            </w:r>
          </w:p>
        </w:tc>
        <w:tc>
          <w:tcPr>
            <w:tcW w:w="462" w:type="pct"/>
          </w:tcPr>
          <w:p w14:paraId="0E25E0E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Scoping literature articles</w:t>
            </w:r>
          </w:p>
        </w:tc>
        <w:tc>
          <w:tcPr>
            <w:tcW w:w="424" w:type="pct"/>
          </w:tcPr>
          <w:p w14:paraId="5E30AA8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0C0B870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food-related practices and social context</w:t>
            </w:r>
          </w:p>
        </w:tc>
        <w:tc>
          <w:tcPr>
            <w:tcW w:w="412" w:type="pct"/>
          </w:tcPr>
          <w:p w14:paraId="31485DB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040934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social economic political institutional</w:t>
            </w:r>
          </w:p>
        </w:tc>
        <w:tc>
          <w:tcPr>
            <w:tcW w:w="481" w:type="pct"/>
          </w:tcPr>
          <w:p w14:paraId="085E8AB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understand women</w:t>
            </w:r>
          </w:p>
        </w:tc>
      </w:tr>
      <w:tr w:rsidR="00491D44" w:rsidRPr="000E3BBE" w14:paraId="6261A339" w14:textId="77777777" w:rsidTr="00F011CB">
        <w:tc>
          <w:tcPr>
            <w:tcW w:w="178" w:type="pct"/>
          </w:tcPr>
          <w:p w14:paraId="4BEF4D4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66</w:t>
            </w:r>
          </w:p>
        </w:tc>
        <w:tc>
          <w:tcPr>
            <w:tcW w:w="442" w:type="pct"/>
          </w:tcPr>
          <w:p w14:paraId="36744F7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Baker (2024)</w:t>
            </w:r>
          </w:p>
        </w:tc>
        <w:tc>
          <w:tcPr>
            <w:tcW w:w="490" w:type="pct"/>
          </w:tcPr>
          <w:p w14:paraId="27189A2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Soft Power, Cultural Relations and</w:t>
            </w:r>
          </w:p>
        </w:tc>
        <w:tc>
          <w:tcPr>
            <w:tcW w:w="585" w:type="pct"/>
          </w:tcPr>
          <w:p w14:paraId="75DEF74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UK and international cultural</w:t>
            </w:r>
          </w:p>
        </w:tc>
        <w:tc>
          <w:tcPr>
            <w:tcW w:w="512" w:type="pct"/>
          </w:tcPr>
          <w:p w14:paraId="05C042B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Eurovision mega-events operate</w:t>
            </w:r>
          </w:p>
        </w:tc>
        <w:tc>
          <w:tcPr>
            <w:tcW w:w="462" w:type="pct"/>
          </w:tcPr>
          <w:p w14:paraId="3BCC590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Literature research Eurovision</w:t>
            </w:r>
          </w:p>
        </w:tc>
        <w:tc>
          <w:tcPr>
            <w:tcW w:w="424" w:type="pct"/>
          </w:tcPr>
          <w:p w14:paraId="2980F0C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food and livelihood practices</w:t>
            </w:r>
          </w:p>
        </w:tc>
        <w:tc>
          <w:tcPr>
            <w:tcW w:w="507" w:type="pct"/>
          </w:tcPr>
          <w:p w14:paraId="52A2172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National identity cultural</w:t>
            </w:r>
          </w:p>
        </w:tc>
        <w:tc>
          <w:tcPr>
            <w:tcW w:w="412" w:type="pct"/>
          </w:tcPr>
          <w:p w14:paraId="2F5FF01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food-related practices and community identity</w:t>
            </w:r>
          </w:p>
        </w:tc>
        <w:tc>
          <w:tcPr>
            <w:tcW w:w="507" w:type="pct"/>
          </w:tcPr>
          <w:p w14:paraId="0E8B6F6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events spaces countries</w:t>
            </w:r>
          </w:p>
        </w:tc>
        <w:tc>
          <w:tcPr>
            <w:tcW w:w="481" w:type="pct"/>
          </w:tcPr>
          <w:p w14:paraId="163DF80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cultural relations</w:t>
            </w:r>
          </w:p>
        </w:tc>
      </w:tr>
      <w:tr w:rsidR="00491D44" w:rsidRPr="000E3BBE" w14:paraId="5B093974" w14:textId="77777777" w:rsidTr="00F011CB">
        <w:tc>
          <w:tcPr>
            <w:tcW w:w="178" w:type="pct"/>
          </w:tcPr>
          <w:p w14:paraId="56BFAAC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67</w:t>
            </w:r>
          </w:p>
        </w:tc>
        <w:tc>
          <w:tcPr>
            <w:tcW w:w="442" w:type="pct"/>
          </w:tcPr>
          <w:p w14:paraId="1206A14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Tripathi &amp; </w:t>
            </w:r>
            <w:proofErr w:type="gramStart"/>
            <w:r w:rsidRPr="000E3BBE">
              <w:rPr>
                <w:rFonts w:ascii="Cambria" w:eastAsia="MS Mincho" w:hAnsi="Cambria" w:cs="Times New Roman"/>
                <w:sz w:val="20"/>
                <w:szCs w:val="40"/>
              </w:rPr>
              <w:t>Azhar  (</w:t>
            </w:r>
            <w:proofErr w:type="gramEnd"/>
            <w:r w:rsidRPr="000E3BBE">
              <w:rPr>
                <w:rFonts w:ascii="Cambria" w:eastAsia="MS Mincho" w:hAnsi="Cambria" w:cs="Times New Roman"/>
                <w:sz w:val="20"/>
                <w:szCs w:val="40"/>
              </w:rPr>
              <w:t>2022)</w:t>
            </w:r>
          </w:p>
        </w:tc>
        <w:tc>
          <w:tcPr>
            <w:tcW w:w="490" w:type="pct"/>
          </w:tcPr>
          <w:p w14:paraId="2366019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Intimate Partner Violence Interventions and</w:t>
            </w:r>
          </w:p>
        </w:tc>
        <w:tc>
          <w:tcPr>
            <w:tcW w:w="585" w:type="pct"/>
          </w:tcPr>
          <w:p w14:paraId="1B583E8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USA</w:t>
            </w:r>
          </w:p>
        </w:tc>
        <w:tc>
          <w:tcPr>
            <w:tcW w:w="512" w:type="pct"/>
          </w:tcPr>
          <w:p w14:paraId="236267E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interventions addressing intimate</w:t>
            </w:r>
          </w:p>
        </w:tc>
        <w:tc>
          <w:tcPr>
            <w:tcW w:w="462" w:type="pct"/>
          </w:tcPr>
          <w:p w14:paraId="1138D3A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12 studies</w:t>
            </w:r>
          </w:p>
        </w:tc>
        <w:tc>
          <w:tcPr>
            <w:tcW w:w="424" w:type="pct"/>
          </w:tcPr>
          <w:p w14:paraId="4C1B584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5016434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cultural</w:t>
            </w:r>
          </w:p>
        </w:tc>
        <w:tc>
          <w:tcPr>
            <w:tcW w:w="412" w:type="pct"/>
          </w:tcPr>
          <w:p w14:paraId="011FF06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1578C8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culturally specific barriers intervention</w:t>
            </w:r>
          </w:p>
        </w:tc>
        <w:tc>
          <w:tcPr>
            <w:tcW w:w="481" w:type="pct"/>
          </w:tcPr>
          <w:p w14:paraId="56B78F8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culturally responsive intersectional interventions</w:t>
            </w:r>
          </w:p>
        </w:tc>
      </w:tr>
      <w:tr w:rsidR="00491D44" w:rsidRPr="000E3BBE" w14:paraId="45EE5046" w14:textId="77777777" w:rsidTr="00F011CB">
        <w:tc>
          <w:tcPr>
            <w:tcW w:w="178" w:type="pct"/>
          </w:tcPr>
          <w:p w14:paraId="0BEDFF1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68</w:t>
            </w:r>
          </w:p>
        </w:tc>
        <w:tc>
          <w:tcPr>
            <w:tcW w:w="442" w:type="pct"/>
          </w:tcPr>
          <w:p w14:paraId="445F068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Ninomiya (2023)</w:t>
            </w:r>
          </w:p>
        </w:tc>
        <w:tc>
          <w:tcPr>
            <w:tcW w:w="490" w:type="pct"/>
          </w:tcPr>
          <w:p w14:paraId="0C8AD46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Indigenous Communities, Land Dispossession and</w:t>
            </w:r>
          </w:p>
        </w:tc>
        <w:tc>
          <w:tcPr>
            <w:tcW w:w="585" w:type="pct"/>
          </w:tcPr>
          <w:p w14:paraId="4502EE9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1C8931FD" w14:textId="6058254F" w:rsidR="00491D44" w:rsidRPr="000E3BBE" w:rsidRDefault="00521B5D"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w:t>
            </w:r>
            <w:r w:rsidRPr="000E3BBE">
              <w:rPr>
                <w:rFonts w:ascii="Cambria" w:eastAsia="MS Mincho" w:hAnsi="Cambria" w:cs="Times New Roman"/>
                <w:sz w:val="20"/>
                <w:szCs w:val="40"/>
              </w:rPr>
              <w:t>mental health</w:t>
            </w:r>
          </w:p>
        </w:tc>
        <w:tc>
          <w:tcPr>
            <w:tcW w:w="462" w:type="pct"/>
          </w:tcPr>
          <w:p w14:paraId="564F83C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literature concerning Indigenous</w:t>
            </w:r>
          </w:p>
        </w:tc>
        <w:tc>
          <w:tcPr>
            <w:tcW w:w="424" w:type="pct"/>
          </w:tcPr>
          <w:p w14:paraId="437F9DC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11D5648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Indigenous identity cultural</w:t>
            </w:r>
          </w:p>
        </w:tc>
        <w:tc>
          <w:tcPr>
            <w:tcW w:w="412" w:type="pct"/>
          </w:tcPr>
          <w:p w14:paraId="427EDC4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17D5309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Land dispossession associated impacts</w:t>
            </w:r>
          </w:p>
        </w:tc>
        <w:tc>
          <w:tcPr>
            <w:tcW w:w="481" w:type="pct"/>
          </w:tcPr>
          <w:p w14:paraId="68B6BFF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culturally grounded</w:t>
            </w:r>
          </w:p>
        </w:tc>
      </w:tr>
      <w:tr w:rsidR="00491D44" w:rsidRPr="000E3BBE" w14:paraId="16BDA846" w14:textId="77777777" w:rsidTr="00F011CB">
        <w:tc>
          <w:tcPr>
            <w:tcW w:w="178" w:type="pct"/>
          </w:tcPr>
          <w:p w14:paraId="628A717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69</w:t>
            </w:r>
          </w:p>
        </w:tc>
        <w:tc>
          <w:tcPr>
            <w:tcW w:w="442" w:type="pct"/>
          </w:tcPr>
          <w:p w14:paraId="742F822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Yanan (2024)</w:t>
            </w:r>
          </w:p>
        </w:tc>
        <w:tc>
          <w:tcPr>
            <w:tcW w:w="490" w:type="pct"/>
          </w:tcPr>
          <w:p w14:paraId="5DA0D42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Rural Tourism and Sustainable Development</w:t>
            </w:r>
          </w:p>
        </w:tc>
        <w:tc>
          <w:tcPr>
            <w:tcW w:w="585" w:type="pct"/>
          </w:tcPr>
          <w:p w14:paraId="7DF8C39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Mainly Asia, with 55</w:t>
            </w:r>
          </w:p>
        </w:tc>
        <w:tc>
          <w:tcPr>
            <w:tcW w:w="512" w:type="pct"/>
          </w:tcPr>
          <w:p w14:paraId="4B74AB1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rural tourism influences</w:t>
            </w:r>
          </w:p>
        </w:tc>
        <w:tc>
          <w:tcPr>
            <w:tcW w:w="462" w:type="pct"/>
          </w:tcPr>
          <w:p w14:paraId="55D4310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publications identified Web</w:t>
            </w:r>
          </w:p>
        </w:tc>
        <w:tc>
          <w:tcPr>
            <w:tcW w:w="424" w:type="pct"/>
          </w:tcPr>
          <w:p w14:paraId="486A933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B9DA5F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Community values cultural</w:t>
            </w:r>
          </w:p>
        </w:tc>
        <w:tc>
          <w:tcPr>
            <w:tcW w:w="412" w:type="pct"/>
          </w:tcPr>
          <w:p w14:paraId="29F5463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traditional practices support community identity</w:t>
            </w:r>
          </w:p>
        </w:tc>
        <w:tc>
          <w:tcPr>
            <w:tcW w:w="507" w:type="pct"/>
          </w:tcPr>
          <w:p w14:paraId="41941A2D" w14:textId="088D1C9D"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Rural tourism </w:t>
            </w:r>
            <w:r w:rsidR="00521B5D" w:rsidRPr="000E3BBE">
              <w:rPr>
                <w:rFonts w:ascii="Cambria" w:eastAsia="MS Mincho" w:hAnsi="Cambria" w:cs="Times New Roman"/>
                <w:sz w:val="20"/>
                <w:szCs w:val="40"/>
              </w:rPr>
              <w:t>generates</w:t>
            </w:r>
            <w:r w:rsidRPr="000E3BBE">
              <w:rPr>
                <w:rFonts w:ascii="Cambria" w:eastAsia="MS Mincho" w:hAnsi="Cambria" w:cs="Times New Roman"/>
                <w:sz w:val="20"/>
                <w:szCs w:val="40"/>
              </w:rPr>
              <w:t xml:space="preserve"> economic</w:t>
            </w:r>
          </w:p>
        </w:tc>
        <w:tc>
          <w:tcPr>
            <w:tcW w:w="481" w:type="pct"/>
          </w:tcPr>
          <w:p w14:paraId="69BD1AE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needed long-term social cultural</w:t>
            </w:r>
          </w:p>
        </w:tc>
      </w:tr>
      <w:tr w:rsidR="00491D44" w:rsidRPr="000E3BBE" w14:paraId="67E667B5" w14:textId="77777777" w:rsidTr="00F011CB">
        <w:tc>
          <w:tcPr>
            <w:tcW w:w="178" w:type="pct"/>
          </w:tcPr>
          <w:p w14:paraId="04ED3A2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70</w:t>
            </w:r>
          </w:p>
        </w:tc>
        <w:tc>
          <w:tcPr>
            <w:tcW w:w="442" w:type="pct"/>
          </w:tcPr>
          <w:p w14:paraId="1BDDCBC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Lindert (2023)</w:t>
            </w:r>
          </w:p>
        </w:tc>
        <w:tc>
          <w:tcPr>
            <w:tcW w:w="490" w:type="pct"/>
          </w:tcPr>
          <w:p w14:paraId="26DE8B2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Resilience among First-Generation Migrants, Refugees</w:t>
            </w:r>
          </w:p>
        </w:tc>
        <w:tc>
          <w:tcPr>
            <w:tcW w:w="585" w:type="pct"/>
          </w:tcPr>
          <w:p w14:paraId="428DEB9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59936960" w14:textId="7EC558EB"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identify </w:t>
            </w:r>
            <w:r w:rsidR="00870BA6" w:rsidRPr="000E3BBE">
              <w:rPr>
                <w:rFonts w:ascii="Cambria" w:eastAsia="MS Mincho" w:hAnsi="Cambria" w:cs="Times New Roman"/>
                <w:sz w:val="20"/>
                <w:szCs w:val="40"/>
              </w:rPr>
              <w:t>synthesize</w:t>
            </w:r>
            <w:r w:rsidRPr="000E3BBE">
              <w:rPr>
                <w:rFonts w:ascii="Cambria" w:eastAsia="MS Mincho" w:hAnsi="Cambria" w:cs="Times New Roman"/>
                <w:sz w:val="20"/>
                <w:szCs w:val="40"/>
              </w:rPr>
              <w:t xml:space="preserve"> factors</w:t>
            </w:r>
          </w:p>
        </w:tc>
        <w:tc>
          <w:tcPr>
            <w:tcW w:w="462" w:type="pct"/>
          </w:tcPr>
          <w:p w14:paraId="073E753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involving adult first-generation</w:t>
            </w:r>
          </w:p>
        </w:tc>
        <w:tc>
          <w:tcPr>
            <w:tcW w:w="424" w:type="pct"/>
          </w:tcPr>
          <w:p w14:paraId="0222D98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0DFFEC2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Social networks family</w:t>
            </w:r>
          </w:p>
        </w:tc>
        <w:tc>
          <w:tcPr>
            <w:tcW w:w="412" w:type="pct"/>
          </w:tcPr>
          <w:p w14:paraId="2E1290E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194D890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Resilience migrants associated individual</w:t>
            </w:r>
          </w:p>
        </w:tc>
        <w:tc>
          <w:tcPr>
            <w:tcW w:w="481" w:type="pct"/>
          </w:tcPr>
          <w:p w14:paraId="4E8F3B6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needed understand resilience different</w:t>
            </w:r>
          </w:p>
        </w:tc>
      </w:tr>
      <w:tr w:rsidR="00491D44" w:rsidRPr="000E3BBE" w14:paraId="70776F20" w14:textId="77777777" w:rsidTr="00F011CB">
        <w:tc>
          <w:tcPr>
            <w:tcW w:w="178" w:type="pct"/>
          </w:tcPr>
          <w:p w14:paraId="0D2578A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71</w:t>
            </w:r>
          </w:p>
        </w:tc>
        <w:tc>
          <w:tcPr>
            <w:tcW w:w="442" w:type="pct"/>
          </w:tcPr>
          <w:p w14:paraId="71934A3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Yong (2022)</w:t>
            </w:r>
          </w:p>
        </w:tc>
        <w:tc>
          <w:tcPr>
            <w:tcW w:w="490" w:type="pct"/>
          </w:tcPr>
          <w:p w14:paraId="3A939AE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Gastronomy Tourism Literature</w:t>
            </w:r>
          </w:p>
        </w:tc>
        <w:tc>
          <w:tcPr>
            <w:tcW w:w="585" w:type="pct"/>
          </w:tcPr>
          <w:p w14:paraId="4BAAE8F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76B8ED8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gastronomy tourism literature</w:t>
            </w:r>
          </w:p>
        </w:tc>
        <w:tc>
          <w:tcPr>
            <w:tcW w:w="462" w:type="pct"/>
          </w:tcPr>
          <w:p w14:paraId="2F7E2A8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gastronomy tourism published</w:t>
            </w:r>
          </w:p>
        </w:tc>
        <w:tc>
          <w:tcPr>
            <w:tcW w:w="424" w:type="pct"/>
          </w:tcPr>
          <w:p w14:paraId="1632D4C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Gastronomic experiences local</w:t>
            </w:r>
          </w:p>
        </w:tc>
        <w:tc>
          <w:tcPr>
            <w:tcW w:w="507" w:type="pct"/>
          </w:tcPr>
          <w:p w14:paraId="3719148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heritage local</w:t>
            </w:r>
          </w:p>
        </w:tc>
        <w:tc>
          <w:tcPr>
            <w:tcW w:w="412" w:type="pct"/>
          </w:tcPr>
          <w:p w14:paraId="583486A2" w14:textId="3EC5EA6F"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Gastronomy </w:t>
            </w:r>
            <w:r w:rsidR="00C62701" w:rsidRPr="000E3BBE">
              <w:rPr>
                <w:rFonts w:ascii="Cambria" w:eastAsia="MS Mincho" w:hAnsi="Cambria" w:cs="Times New Roman"/>
                <w:sz w:val="20"/>
                <w:szCs w:val="40"/>
              </w:rPr>
              <w:t>communicates</w:t>
            </w:r>
            <w:r w:rsidRPr="000E3BBE">
              <w:rPr>
                <w:rFonts w:ascii="Cambria" w:eastAsia="MS Mincho" w:hAnsi="Cambria" w:cs="Times New Roman"/>
                <w:sz w:val="20"/>
                <w:szCs w:val="40"/>
              </w:rPr>
              <w:t xml:space="preserve"> preserve</w:t>
            </w:r>
          </w:p>
        </w:tc>
        <w:tc>
          <w:tcPr>
            <w:tcW w:w="507" w:type="pct"/>
          </w:tcPr>
          <w:p w14:paraId="721DD2A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major themes gastronomy tourism</w:t>
            </w:r>
          </w:p>
        </w:tc>
        <w:tc>
          <w:tcPr>
            <w:tcW w:w="481" w:type="pct"/>
          </w:tcPr>
          <w:p w14:paraId="7D27871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emerging gastronomy</w:t>
            </w:r>
          </w:p>
        </w:tc>
      </w:tr>
      <w:tr w:rsidR="00491D44" w:rsidRPr="000E3BBE" w14:paraId="0276618F" w14:textId="77777777" w:rsidTr="00F011CB">
        <w:tc>
          <w:tcPr>
            <w:tcW w:w="178" w:type="pct"/>
          </w:tcPr>
          <w:p w14:paraId="30EF07C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72</w:t>
            </w:r>
          </w:p>
        </w:tc>
        <w:tc>
          <w:tcPr>
            <w:tcW w:w="442" w:type="pct"/>
          </w:tcPr>
          <w:p w14:paraId="5D092498" w14:textId="349D71D4"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World Health </w:t>
            </w:r>
            <w:r w:rsidR="00870BA6" w:rsidRPr="000E3BBE">
              <w:rPr>
                <w:rFonts w:ascii="Cambria" w:eastAsia="MS Mincho" w:hAnsi="Cambria" w:cs="Times New Roman"/>
                <w:sz w:val="20"/>
                <w:szCs w:val="40"/>
              </w:rPr>
              <w:t>Organization (</w:t>
            </w:r>
            <w:r w:rsidRPr="000E3BBE">
              <w:rPr>
                <w:rFonts w:ascii="Cambria" w:eastAsia="MS Mincho" w:hAnsi="Cambria" w:cs="Times New Roman"/>
                <w:sz w:val="20"/>
                <w:szCs w:val="40"/>
              </w:rPr>
              <w:t>2023)</w:t>
            </w:r>
          </w:p>
        </w:tc>
        <w:tc>
          <w:tcPr>
            <w:tcW w:w="490" w:type="pct"/>
          </w:tcPr>
          <w:p w14:paraId="42CDBEE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Mental Health of Refugees and</w:t>
            </w:r>
          </w:p>
        </w:tc>
        <w:tc>
          <w:tcPr>
            <w:tcW w:w="585" w:type="pct"/>
          </w:tcPr>
          <w:p w14:paraId="6A20612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 refugee and migrant</w:t>
            </w:r>
          </w:p>
        </w:tc>
        <w:tc>
          <w:tcPr>
            <w:tcW w:w="512" w:type="pct"/>
          </w:tcPr>
          <w:p w14:paraId="773CF853" w14:textId="57DC0DC9" w:rsidR="00491D44" w:rsidRPr="000E3BBE" w:rsidRDefault="00870BA6" w:rsidP="00491D44">
            <w:pPr>
              <w:rPr>
                <w:rFonts w:ascii="Cambria" w:eastAsia="MS Mincho" w:hAnsi="Cambria" w:cs="Times New Roman"/>
                <w:sz w:val="20"/>
                <w:szCs w:val="40"/>
              </w:rPr>
            </w:pPr>
            <w:r w:rsidRPr="000E3BBE">
              <w:rPr>
                <w:rFonts w:ascii="Cambria" w:eastAsia="MS Mincho" w:hAnsi="Cambria" w:cs="Times New Roman"/>
                <w:sz w:val="20"/>
                <w:szCs w:val="40"/>
              </w:rPr>
              <w:t>Summarizes</w:t>
            </w:r>
            <w:r w:rsidR="00491D44" w:rsidRPr="000E3BBE">
              <w:rPr>
                <w:rFonts w:ascii="Cambria" w:eastAsia="MS Mincho" w:hAnsi="Cambria" w:cs="Times New Roman"/>
                <w:sz w:val="20"/>
                <w:szCs w:val="40"/>
              </w:rPr>
              <w:t xml:space="preserve"> evidence </w:t>
            </w:r>
            <w:r w:rsidRPr="000E3BBE">
              <w:rPr>
                <w:rFonts w:ascii="Cambria" w:eastAsia="MS Mincho" w:hAnsi="Cambria" w:cs="Times New Roman"/>
                <w:sz w:val="20"/>
                <w:szCs w:val="40"/>
              </w:rPr>
              <w:t>mental health</w:t>
            </w:r>
          </w:p>
        </w:tc>
        <w:tc>
          <w:tcPr>
            <w:tcW w:w="462" w:type="pct"/>
          </w:tcPr>
          <w:p w14:paraId="790F877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63CC5E5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24CB49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identity social</w:t>
            </w:r>
          </w:p>
        </w:tc>
        <w:tc>
          <w:tcPr>
            <w:tcW w:w="412" w:type="pct"/>
          </w:tcPr>
          <w:p w14:paraId="43B884B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18C7DFA9" w14:textId="22920504" w:rsidR="00491D44" w:rsidRPr="000E3BBE" w:rsidRDefault="00C62701" w:rsidP="00491D44">
            <w:pPr>
              <w:rPr>
                <w:rFonts w:ascii="Cambria" w:eastAsia="MS Mincho" w:hAnsi="Cambria" w:cs="Times New Roman"/>
                <w:sz w:val="20"/>
                <w:szCs w:val="40"/>
              </w:rPr>
            </w:pPr>
            <w:r w:rsidRPr="000E3BBE">
              <w:rPr>
                <w:rFonts w:ascii="Cambria" w:eastAsia="MS Mincho" w:hAnsi="Cambria" w:cs="Times New Roman"/>
                <w:sz w:val="20"/>
                <w:szCs w:val="40"/>
              </w:rPr>
              <w:t>Refugees’</w:t>
            </w:r>
            <w:r w:rsidR="00491D44" w:rsidRPr="000E3BBE">
              <w:rPr>
                <w:rFonts w:ascii="Cambria" w:eastAsia="MS Mincho" w:hAnsi="Cambria" w:cs="Times New Roman"/>
                <w:sz w:val="20"/>
                <w:szCs w:val="40"/>
              </w:rPr>
              <w:t xml:space="preserve"> migrants experience </w:t>
            </w:r>
            <w:r w:rsidRPr="000E3BBE">
              <w:rPr>
                <w:rFonts w:ascii="Cambria" w:eastAsia="MS Mincho" w:hAnsi="Cambria" w:cs="Times New Roman"/>
                <w:sz w:val="20"/>
                <w:szCs w:val="40"/>
              </w:rPr>
              <w:t>mental health</w:t>
            </w:r>
          </w:p>
        </w:tc>
        <w:tc>
          <w:tcPr>
            <w:tcW w:w="481" w:type="pct"/>
          </w:tcPr>
          <w:p w14:paraId="46DC09F2" w14:textId="17E00B66"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Further culturally responsive </w:t>
            </w:r>
            <w:r w:rsidR="00C62701" w:rsidRPr="000E3BBE">
              <w:rPr>
                <w:rFonts w:ascii="Cambria" w:eastAsia="MS Mincho" w:hAnsi="Cambria" w:cs="Times New Roman"/>
                <w:sz w:val="20"/>
                <w:szCs w:val="40"/>
              </w:rPr>
              <w:t>mental health</w:t>
            </w:r>
          </w:p>
        </w:tc>
      </w:tr>
      <w:tr w:rsidR="00491D44" w:rsidRPr="000E3BBE" w14:paraId="45A62D12" w14:textId="77777777" w:rsidTr="00F011CB">
        <w:tc>
          <w:tcPr>
            <w:tcW w:w="178" w:type="pct"/>
          </w:tcPr>
          <w:p w14:paraId="128959D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73</w:t>
            </w:r>
          </w:p>
        </w:tc>
        <w:tc>
          <w:tcPr>
            <w:tcW w:w="442" w:type="pct"/>
          </w:tcPr>
          <w:p w14:paraId="3A48F52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Sethi (2022)</w:t>
            </w:r>
          </w:p>
        </w:tc>
        <w:tc>
          <w:tcPr>
            <w:tcW w:w="490" w:type="pct"/>
          </w:tcPr>
          <w:p w14:paraId="1BF2052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Transnational Carer-Employees</w:t>
            </w:r>
          </w:p>
        </w:tc>
        <w:tc>
          <w:tcPr>
            <w:tcW w:w="585" w:type="pct"/>
          </w:tcPr>
          <w:p w14:paraId="2EBB97A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6DB5EB9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literature migrant employees</w:t>
            </w:r>
          </w:p>
        </w:tc>
        <w:tc>
          <w:tcPr>
            <w:tcW w:w="462" w:type="pct"/>
          </w:tcPr>
          <w:p w14:paraId="771CA8D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research transnational migrant</w:t>
            </w:r>
          </w:p>
        </w:tc>
        <w:tc>
          <w:tcPr>
            <w:tcW w:w="424" w:type="pct"/>
          </w:tcPr>
          <w:p w14:paraId="21874DC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5EBE976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Transnational identity family</w:t>
            </w:r>
          </w:p>
        </w:tc>
        <w:tc>
          <w:tcPr>
            <w:tcW w:w="412" w:type="pct"/>
          </w:tcPr>
          <w:p w14:paraId="50C2AC9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5764382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Transnational caregivers negotiate employment</w:t>
            </w:r>
          </w:p>
        </w:tc>
        <w:tc>
          <w:tcPr>
            <w:tcW w:w="481" w:type="pct"/>
          </w:tcPr>
          <w:p w14:paraId="3ACC2B4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diverse migrant</w:t>
            </w:r>
          </w:p>
        </w:tc>
      </w:tr>
      <w:tr w:rsidR="00491D44" w:rsidRPr="000E3BBE" w14:paraId="2D09ED08" w14:textId="77777777" w:rsidTr="00F011CB">
        <w:tc>
          <w:tcPr>
            <w:tcW w:w="178" w:type="pct"/>
          </w:tcPr>
          <w:p w14:paraId="131BEE4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74</w:t>
            </w:r>
          </w:p>
        </w:tc>
        <w:tc>
          <w:tcPr>
            <w:tcW w:w="442" w:type="pct"/>
          </w:tcPr>
          <w:p w14:paraId="31919C86"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Addaney</w:t>
            </w:r>
            <w:proofErr w:type="spellEnd"/>
            <w:r w:rsidRPr="000E3BBE">
              <w:rPr>
                <w:rFonts w:ascii="Cambria" w:eastAsia="MS Mincho" w:hAnsi="Cambria" w:cs="Times New Roman"/>
                <w:sz w:val="20"/>
                <w:szCs w:val="40"/>
              </w:rPr>
              <w:t xml:space="preserve"> et al.  (2022)</w:t>
            </w:r>
          </w:p>
        </w:tc>
        <w:tc>
          <w:tcPr>
            <w:tcW w:w="490" w:type="pct"/>
          </w:tcPr>
          <w:p w14:paraId="3A2E7C0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Climate Change and Preservation of</w:t>
            </w:r>
          </w:p>
        </w:tc>
        <w:tc>
          <w:tcPr>
            <w:tcW w:w="585" w:type="pct"/>
          </w:tcPr>
          <w:p w14:paraId="2458C6A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Upper regions of Ghana</w:t>
            </w:r>
          </w:p>
        </w:tc>
        <w:tc>
          <w:tcPr>
            <w:tcW w:w="512" w:type="pct"/>
          </w:tcPr>
          <w:p w14:paraId="7CC8B6C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relationship climate change</w:t>
            </w:r>
          </w:p>
        </w:tc>
        <w:tc>
          <w:tcPr>
            <w:tcW w:w="462" w:type="pct"/>
          </w:tcPr>
          <w:p w14:paraId="3B19A5A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literature concerning minority</w:t>
            </w:r>
          </w:p>
        </w:tc>
        <w:tc>
          <w:tcPr>
            <w:tcW w:w="424" w:type="pct"/>
          </w:tcPr>
          <w:p w14:paraId="61F5912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4CF2F1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Minority language cultural</w:t>
            </w:r>
          </w:p>
        </w:tc>
        <w:tc>
          <w:tcPr>
            <w:tcW w:w="412" w:type="pct"/>
          </w:tcPr>
          <w:p w14:paraId="3B4E1A4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E5249D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highlights environmental change migration</w:t>
            </w:r>
          </w:p>
        </w:tc>
        <w:tc>
          <w:tcPr>
            <w:tcW w:w="481" w:type="pct"/>
          </w:tcPr>
          <w:p w14:paraId="75E6A9B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context-specific strategies</w:t>
            </w:r>
          </w:p>
        </w:tc>
      </w:tr>
      <w:tr w:rsidR="00491D44" w:rsidRPr="000E3BBE" w14:paraId="4DCCC304" w14:textId="77777777" w:rsidTr="00F011CB">
        <w:tc>
          <w:tcPr>
            <w:tcW w:w="178" w:type="pct"/>
          </w:tcPr>
          <w:p w14:paraId="70D7290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75</w:t>
            </w:r>
          </w:p>
        </w:tc>
        <w:tc>
          <w:tcPr>
            <w:tcW w:w="442" w:type="pct"/>
          </w:tcPr>
          <w:p w14:paraId="094E5C5F"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Naderbagi</w:t>
            </w:r>
            <w:proofErr w:type="spellEnd"/>
            <w:r w:rsidRPr="000E3BBE">
              <w:rPr>
                <w:rFonts w:ascii="Cambria" w:eastAsia="MS Mincho" w:hAnsi="Cambria" w:cs="Times New Roman"/>
                <w:sz w:val="20"/>
                <w:szCs w:val="40"/>
              </w:rPr>
              <w:t xml:space="preserve"> et al.  (2024)</w:t>
            </w:r>
          </w:p>
        </w:tc>
        <w:tc>
          <w:tcPr>
            <w:tcW w:w="490" w:type="pct"/>
          </w:tcPr>
          <w:p w14:paraId="1E3A662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and Contextual Adaptation of</w:t>
            </w:r>
          </w:p>
        </w:tc>
        <w:tc>
          <w:tcPr>
            <w:tcW w:w="585" w:type="pct"/>
          </w:tcPr>
          <w:p w14:paraId="416EB8F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4FBBD0A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digital health interventions</w:t>
            </w:r>
          </w:p>
        </w:tc>
        <w:tc>
          <w:tcPr>
            <w:tcW w:w="462" w:type="pct"/>
          </w:tcPr>
          <w:p w14:paraId="73404B1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examining cultural contextual</w:t>
            </w:r>
          </w:p>
        </w:tc>
        <w:tc>
          <w:tcPr>
            <w:tcW w:w="424" w:type="pct"/>
          </w:tcPr>
          <w:p w14:paraId="048E9D7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6E3A759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Culture religion family</w:t>
            </w:r>
          </w:p>
        </w:tc>
        <w:tc>
          <w:tcPr>
            <w:tcW w:w="412" w:type="pct"/>
          </w:tcPr>
          <w:p w14:paraId="53BD88D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93713BE" w14:textId="06313ED1"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demonstrates cultural </w:t>
            </w:r>
            <w:r w:rsidR="00C62701" w:rsidRPr="000E3BBE">
              <w:rPr>
                <w:rFonts w:ascii="Cambria" w:eastAsia="MS Mincho" w:hAnsi="Cambria" w:cs="Times New Roman"/>
                <w:sz w:val="20"/>
                <w:szCs w:val="40"/>
              </w:rPr>
              <w:t>values and</w:t>
            </w:r>
            <w:r w:rsidRPr="000E3BBE">
              <w:rPr>
                <w:rFonts w:ascii="Cambria" w:eastAsia="MS Mincho" w:hAnsi="Cambria" w:cs="Times New Roman"/>
                <w:sz w:val="20"/>
                <w:szCs w:val="40"/>
              </w:rPr>
              <w:t xml:space="preserve"> beliefs</w:t>
            </w:r>
          </w:p>
        </w:tc>
        <w:tc>
          <w:tcPr>
            <w:tcW w:w="481" w:type="pct"/>
          </w:tcPr>
          <w:p w14:paraId="40FD3AF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needed culturally diverse populations</w:t>
            </w:r>
          </w:p>
        </w:tc>
      </w:tr>
      <w:tr w:rsidR="00491D44" w:rsidRPr="000E3BBE" w14:paraId="70BEFF6C" w14:textId="77777777" w:rsidTr="00F011CB">
        <w:tc>
          <w:tcPr>
            <w:tcW w:w="178" w:type="pct"/>
          </w:tcPr>
          <w:p w14:paraId="436258C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76</w:t>
            </w:r>
          </w:p>
        </w:tc>
        <w:tc>
          <w:tcPr>
            <w:tcW w:w="442" w:type="pct"/>
          </w:tcPr>
          <w:p w14:paraId="2EF3B7F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Baber et al.  (2024)</w:t>
            </w:r>
          </w:p>
        </w:tc>
        <w:tc>
          <w:tcPr>
            <w:tcW w:w="490" w:type="pct"/>
          </w:tcPr>
          <w:p w14:paraId="56E515A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Consumer Ethnocentrism</w:t>
            </w:r>
          </w:p>
        </w:tc>
        <w:tc>
          <w:tcPr>
            <w:tcW w:w="585" w:type="pct"/>
          </w:tcPr>
          <w:p w14:paraId="2D7CBE3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 consumer research</w:t>
            </w:r>
          </w:p>
        </w:tc>
        <w:tc>
          <w:tcPr>
            <w:tcW w:w="512" w:type="pct"/>
          </w:tcPr>
          <w:p w14:paraId="25998125" w14:textId="15BE365F" w:rsidR="00491D44" w:rsidRPr="000E3BBE" w:rsidRDefault="00C62701"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existing literature</w:t>
            </w:r>
          </w:p>
        </w:tc>
        <w:tc>
          <w:tcPr>
            <w:tcW w:w="462" w:type="pct"/>
          </w:tcPr>
          <w:p w14:paraId="0CFC416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4465176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consumer food-related identity</w:t>
            </w:r>
          </w:p>
        </w:tc>
        <w:tc>
          <w:tcPr>
            <w:tcW w:w="507" w:type="pct"/>
          </w:tcPr>
          <w:p w14:paraId="753EC8B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Systematic published consumer</w:t>
            </w:r>
          </w:p>
        </w:tc>
        <w:tc>
          <w:tcPr>
            <w:tcW w:w="412" w:type="pct"/>
          </w:tcPr>
          <w:p w14:paraId="04A7049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16674B0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Consumer ethnocentrism connects cultural</w:t>
            </w:r>
          </w:p>
        </w:tc>
        <w:tc>
          <w:tcPr>
            <w:tcW w:w="481" w:type="pct"/>
          </w:tcPr>
          <w:p w14:paraId="13B70EC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diverse cultural</w:t>
            </w:r>
          </w:p>
        </w:tc>
      </w:tr>
      <w:tr w:rsidR="00491D44" w:rsidRPr="000E3BBE" w14:paraId="323F3410" w14:textId="77777777" w:rsidTr="00F011CB">
        <w:tc>
          <w:tcPr>
            <w:tcW w:w="178" w:type="pct"/>
          </w:tcPr>
          <w:p w14:paraId="6A59BA3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77</w:t>
            </w:r>
          </w:p>
        </w:tc>
        <w:tc>
          <w:tcPr>
            <w:tcW w:w="442" w:type="pct"/>
          </w:tcPr>
          <w:p w14:paraId="0F4A6E2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Zhang (2024)</w:t>
            </w:r>
          </w:p>
        </w:tc>
        <w:tc>
          <w:tcPr>
            <w:tcW w:w="490" w:type="pct"/>
          </w:tcPr>
          <w:p w14:paraId="356FDC2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Mapping Chinese Digital Nationalism</w:t>
            </w:r>
          </w:p>
        </w:tc>
        <w:tc>
          <w:tcPr>
            <w:tcW w:w="585" w:type="pct"/>
          </w:tcPr>
          <w:p w14:paraId="1F5CA64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China / Chinese digital</w:t>
            </w:r>
          </w:p>
        </w:tc>
        <w:tc>
          <w:tcPr>
            <w:tcW w:w="512" w:type="pct"/>
          </w:tcPr>
          <w:p w14:paraId="40646FF3" w14:textId="446D88A4" w:rsidR="00491D44" w:rsidRPr="000E3BBE" w:rsidRDefault="00C62701" w:rsidP="00491D44">
            <w:pPr>
              <w:rPr>
                <w:rFonts w:ascii="Cambria" w:eastAsia="MS Mincho" w:hAnsi="Cambria" w:cs="Times New Roman"/>
                <w:sz w:val="20"/>
                <w:szCs w:val="40"/>
              </w:rPr>
            </w:pPr>
            <w:r w:rsidRPr="000E3BBE">
              <w:rPr>
                <w:rFonts w:ascii="Cambria" w:eastAsia="MS Mincho" w:hAnsi="Cambria" w:cs="Times New Roman"/>
                <w:sz w:val="20"/>
                <w:szCs w:val="40"/>
              </w:rPr>
              <w:t>maps</w:t>
            </w:r>
            <w:r w:rsidR="00491D44" w:rsidRPr="000E3BBE">
              <w:rPr>
                <w:rFonts w:ascii="Cambria" w:eastAsia="MS Mincho" w:hAnsi="Cambria" w:cs="Times New Roman"/>
                <w:sz w:val="20"/>
                <w:szCs w:val="40"/>
              </w:rPr>
              <w:t xml:space="preserve"> </w:t>
            </w: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existing</w:t>
            </w:r>
          </w:p>
        </w:tc>
        <w:tc>
          <w:tcPr>
            <w:tcW w:w="462" w:type="pct"/>
          </w:tcPr>
          <w:p w14:paraId="68279BE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5295234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E77D26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National identity cultural</w:t>
            </w:r>
          </w:p>
        </w:tc>
        <w:tc>
          <w:tcPr>
            <w:tcW w:w="412" w:type="pct"/>
          </w:tcPr>
          <w:p w14:paraId="15D0AC2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016997C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digital spaces contexts national</w:t>
            </w:r>
          </w:p>
        </w:tc>
        <w:tc>
          <w:tcPr>
            <w:tcW w:w="481" w:type="pct"/>
          </w:tcPr>
          <w:p w14:paraId="4AF19DC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changing forms</w:t>
            </w:r>
          </w:p>
        </w:tc>
      </w:tr>
      <w:tr w:rsidR="00491D44" w:rsidRPr="000E3BBE" w14:paraId="30320002" w14:textId="77777777" w:rsidTr="00F011CB">
        <w:tc>
          <w:tcPr>
            <w:tcW w:w="178" w:type="pct"/>
          </w:tcPr>
          <w:p w14:paraId="3DBD1B6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78</w:t>
            </w:r>
          </w:p>
        </w:tc>
        <w:tc>
          <w:tcPr>
            <w:tcW w:w="442" w:type="pct"/>
          </w:tcPr>
          <w:p w14:paraId="1AD15D9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Perera (2025)</w:t>
            </w:r>
          </w:p>
        </w:tc>
        <w:tc>
          <w:tcPr>
            <w:tcW w:w="490" w:type="pct"/>
          </w:tcPr>
          <w:p w14:paraId="6CFF560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Indigenous Peoples and Artificial Intelligence</w:t>
            </w:r>
          </w:p>
        </w:tc>
        <w:tc>
          <w:tcPr>
            <w:tcW w:w="585" w:type="pct"/>
          </w:tcPr>
          <w:p w14:paraId="1A93EF8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Indigenous communities</w:t>
            </w:r>
          </w:p>
        </w:tc>
        <w:tc>
          <w:tcPr>
            <w:tcW w:w="512" w:type="pct"/>
          </w:tcPr>
          <w:p w14:paraId="385A109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concerning Indigenous peoples</w:t>
            </w:r>
          </w:p>
        </w:tc>
        <w:tc>
          <w:tcPr>
            <w:tcW w:w="462" w:type="pct"/>
          </w:tcPr>
          <w:p w14:paraId="723B9AA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73A8765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0D0F60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Indigenous identity cultural</w:t>
            </w:r>
          </w:p>
        </w:tc>
        <w:tc>
          <w:tcPr>
            <w:tcW w:w="412" w:type="pct"/>
          </w:tcPr>
          <w:p w14:paraId="0B7BE96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BB4D880" w14:textId="5527EBE5"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highlights </w:t>
            </w:r>
            <w:r w:rsidR="00C62701" w:rsidRPr="000E3BBE">
              <w:rPr>
                <w:rFonts w:ascii="Cambria" w:eastAsia="MS Mincho" w:hAnsi="Cambria" w:cs="Times New Roman"/>
                <w:sz w:val="20"/>
                <w:szCs w:val="40"/>
              </w:rPr>
              <w:t>concern</w:t>
            </w:r>
            <w:r w:rsidRPr="000E3BBE">
              <w:rPr>
                <w:rFonts w:ascii="Cambria" w:eastAsia="MS Mincho" w:hAnsi="Cambria" w:cs="Times New Roman"/>
                <w:sz w:val="20"/>
                <w:szCs w:val="40"/>
              </w:rPr>
              <w:t xml:space="preserve"> around protecting</w:t>
            </w:r>
          </w:p>
        </w:tc>
        <w:tc>
          <w:tcPr>
            <w:tcW w:w="481" w:type="pct"/>
          </w:tcPr>
          <w:p w14:paraId="53E26B0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Indigenous data</w:t>
            </w:r>
          </w:p>
        </w:tc>
      </w:tr>
      <w:tr w:rsidR="00491D44" w:rsidRPr="000E3BBE" w14:paraId="71A036EA" w14:textId="77777777" w:rsidTr="00F011CB">
        <w:tc>
          <w:tcPr>
            <w:tcW w:w="178" w:type="pct"/>
          </w:tcPr>
          <w:p w14:paraId="0937133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79</w:t>
            </w:r>
          </w:p>
        </w:tc>
        <w:tc>
          <w:tcPr>
            <w:tcW w:w="442" w:type="pct"/>
          </w:tcPr>
          <w:p w14:paraId="20E9BBB7"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Tasbiha</w:t>
            </w:r>
            <w:proofErr w:type="spellEnd"/>
            <w:r w:rsidRPr="000E3BBE">
              <w:rPr>
                <w:rFonts w:ascii="Cambria" w:eastAsia="MS Mincho" w:hAnsi="Cambria" w:cs="Times New Roman"/>
                <w:sz w:val="20"/>
                <w:szCs w:val="40"/>
              </w:rPr>
              <w:t xml:space="preserve"> (2025)</w:t>
            </w:r>
          </w:p>
        </w:tc>
        <w:tc>
          <w:tcPr>
            <w:tcW w:w="490" w:type="pct"/>
          </w:tcPr>
          <w:p w14:paraId="41D329E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Psycho-social Factors and IPV among</w:t>
            </w:r>
          </w:p>
        </w:tc>
        <w:tc>
          <w:tcPr>
            <w:tcW w:w="585" w:type="pct"/>
          </w:tcPr>
          <w:p w14:paraId="5CFC701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USA and Canada</w:t>
            </w:r>
          </w:p>
        </w:tc>
        <w:tc>
          <w:tcPr>
            <w:tcW w:w="512" w:type="pct"/>
          </w:tcPr>
          <w:p w14:paraId="5B6614E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psycho-social factors intensify</w:t>
            </w:r>
          </w:p>
        </w:tc>
        <w:tc>
          <w:tcPr>
            <w:tcW w:w="462" w:type="pct"/>
          </w:tcPr>
          <w:p w14:paraId="763BB76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Literature-based analysis South</w:t>
            </w:r>
          </w:p>
        </w:tc>
        <w:tc>
          <w:tcPr>
            <w:tcW w:w="424" w:type="pct"/>
          </w:tcPr>
          <w:p w14:paraId="6BF6F48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7C10D03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Ethnicity gender religion</w:t>
            </w:r>
          </w:p>
        </w:tc>
        <w:tc>
          <w:tcPr>
            <w:tcW w:w="412" w:type="pct"/>
          </w:tcPr>
          <w:p w14:paraId="2C10A5B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15B278A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highlights overlapping ethnic gender</w:t>
            </w:r>
          </w:p>
        </w:tc>
        <w:tc>
          <w:tcPr>
            <w:tcW w:w="481" w:type="pct"/>
          </w:tcPr>
          <w:p w14:paraId="7ACBA5A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intersecting experiences</w:t>
            </w:r>
          </w:p>
        </w:tc>
      </w:tr>
      <w:tr w:rsidR="00491D44" w:rsidRPr="000E3BBE" w14:paraId="0255EFA0" w14:textId="77777777" w:rsidTr="00F011CB">
        <w:tc>
          <w:tcPr>
            <w:tcW w:w="178" w:type="pct"/>
          </w:tcPr>
          <w:p w14:paraId="2A67911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80</w:t>
            </w:r>
          </w:p>
        </w:tc>
        <w:tc>
          <w:tcPr>
            <w:tcW w:w="442" w:type="pct"/>
          </w:tcPr>
          <w:p w14:paraId="6235F05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Hanif-Schneider (2026)</w:t>
            </w:r>
          </w:p>
        </w:tc>
        <w:tc>
          <w:tcPr>
            <w:tcW w:w="490" w:type="pct"/>
          </w:tcPr>
          <w:p w14:paraId="4A52941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Help-Seeking among Second-Generation South Asian</w:t>
            </w:r>
          </w:p>
        </w:tc>
        <w:tc>
          <w:tcPr>
            <w:tcW w:w="585" w:type="pct"/>
          </w:tcPr>
          <w:p w14:paraId="5D08500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UK</w:t>
            </w:r>
          </w:p>
        </w:tc>
        <w:tc>
          <w:tcPr>
            <w:tcW w:w="512" w:type="pct"/>
          </w:tcPr>
          <w:p w14:paraId="22F331A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factors enabling men</w:t>
            </w:r>
          </w:p>
        </w:tc>
        <w:tc>
          <w:tcPr>
            <w:tcW w:w="462" w:type="pct"/>
          </w:tcPr>
          <w:p w14:paraId="66C498F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Second-generation South Asian</w:t>
            </w:r>
          </w:p>
        </w:tc>
        <w:tc>
          <w:tcPr>
            <w:tcW w:w="424" w:type="pct"/>
          </w:tcPr>
          <w:p w14:paraId="1F2D895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0FA6BE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Second-generation South Asian</w:t>
            </w:r>
          </w:p>
        </w:tc>
        <w:tc>
          <w:tcPr>
            <w:tcW w:w="412" w:type="pct"/>
          </w:tcPr>
          <w:p w14:paraId="120A579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1CEC0B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evidence second-generation South Asian</w:t>
            </w:r>
          </w:p>
        </w:tc>
        <w:tc>
          <w:tcPr>
            <w:tcW w:w="481" w:type="pct"/>
          </w:tcPr>
          <w:p w14:paraId="63C471F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differences South Asian</w:t>
            </w:r>
          </w:p>
        </w:tc>
      </w:tr>
      <w:tr w:rsidR="00491D44" w:rsidRPr="000E3BBE" w14:paraId="70600807" w14:textId="77777777" w:rsidTr="00F011CB">
        <w:tc>
          <w:tcPr>
            <w:tcW w:w="178" w:type="pct"/>
          </w:tcPr>
          <w:p w14:paraId="35D6722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81</w:t>
            </w:r>
          </w:p>
        </w:tc>
        <w:tc>
          <w:tcPr>
            <w:tcW w:w="442" w:type="pct"/>
          </w:tcPr>
          <w:p w14:paraId="7EE59E9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Assmann (2024)</w:t>
            </w:r>
          </w:p>
        </w:tc>
        <w:tc>
          <w:tcPr>
            <w:tcW w:w="490" w:type="pct"/>
          </w:tcPr>
          <w:p w14:paraId="4A0179E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Culinary Heritage in Asia</w:t>
            </w:r>
          </w:p>
        </w:tc>
        <w:tc>
          <w:tcPr>
            <w:tcW w:w="585" w:type="pct"/>
          </w:tcPr>
          <w:p w14:paraId="35AE0FD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Asian countries</w:t>
            </w:r>
          </w:p>
        </w:tc>
        <w:tc>
          <w:tcPr>
            <w:tcW w:w="512" w:type="pct"/>
          </w:tcPr>
          <w:p w14:paraId="71A2C08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trends culinary heritage</w:t>
            </w:r>
          </w:p>
        </w:tc>
        <w:tc>
          <w:tcPr>
            <w:tcW w:w="462" w:type="pct"/>
          </w:tcPr>
          <w:p w14:paraId="0BC042C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69CE700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Culinary heritage traditional</w:t>
            </w:r>
          </w:p>
        </w:tc>
        <w:tc>
          <w:tcPr>
            <w:tcW w:w="507" w:type="pct"/>
          </w:tcPr>
          <w:p w14:paraId="2FACD56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National identity regional</w:t>
            </w:r>
          </w:p>
        </w:tc>
        <w:tc>
          <w:tcPr>
            <w:tcW w:w="412" w:type="pct"/>
          </w:tcPr>
          <w:p w14:paraId="1483728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culinary heritage</w:t>
            </w:r>
          </w:p>
        </w:tc>
        <w:tc>
          <w:tcPr>
            <w:tcW w:w="507" w:type="pct"/>
          </w:tcPr>
          <w:p w14:paraId="11CCD7D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important marker culinary</w:t>
            </w:r>
          </w:p>
        </w:tc>
        <w:tc>
          <w:tcPr>
            <w:tcW w:w="481" w:type="pct"/>
          </w:tcPr>
          <w:p w14:paraId="7A82360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different forms</w:t>
            </w:r>
          </w:p>
        </w:tc>
      </w:tr>
      <w:tr w:rsidR="00491D44" w:rsidRPr="000E3BBE" w14:paraId="5C050676" w14:textId="77777777" w:rsidTr="00F011CB">
        <w:tc>
          <w:tcPr>
            <w:tcW w:w="178" w:type="pct"/>
          </w:tcPr>
          <w:p w14:paraId="2F20F20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82</w:t>
            </w:r>
          </w:p>
        </w:tc>
        <w:tc>
          <w:tcPr>
            <w:tcW w:w="442" w:type="pct"/>
          </w:tcPr>
          <w:p w14:paraId="1DF299C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Muttaqin (2024)</w:t>
            </w:r>
          </w:p>
        </w:tc>
        <w:tc>
          <w:tcPr>
            <w:tcW w:w="490" w:type="pct"/>
          </w:tcPr>
          <w:p w14:paraId="7F02B5A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Modern Islamic Culture</w:t>
            </w:r>
          </w:p>
        </w:tc>
        <w:tc>
          <w:tcPr>
            <w:tcW w:w="585" w:type="pct"/>
          </w:tcPr>
          <w:p w14:paraId="25FF5DE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50C2FEA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themes trends transformations</w:t>
            </w:r>
          </w:p>
        </w:tc>
        <w:tc>
          <w:tcPr>
            <w:tcW w:w="462" w:type="pct"/>
          </w:tcPr>
          <w:p w14:paraId="63AF1C6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documents selected Scopus</w:t>
            </w:r>
          </w:p>
        </w:tc>
        <w:tc>
          <w:tcPr>
            <w:tcW w:w="424" w:type="pct"/>
          </w:tcPr>
          <w:p w14:paraId="4FE2C62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9D7F13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Islamic culture cultural</w:t>
            </w:r>
          </w:p>
        </w:tc>
        <w:tc>
          <w:tcPr>
            <w:tcW w:w="412" w:type="pct"/>
          </w:tcPr>
          <w:p w14:paraId="7C4D0C1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2D6A587" w14:textId="4E7DFC2B" w:rsidR="00491D44" w:rsidRPr="000E3BBE" w:rsidRDefault="0039760C" w:rsidP="00491D44">
            <w:pPr>
              <w:rPr>
                <w:rFonts w:ascii="Cambria" w:eastAsia="MS Mincho" w:hAnsi="Cambria" w:cs="Times New Roman"/>
                <w:sz w:val="20"/>
                <w:szCs w:val="40"/>
              </w:rPr>
            </w:pPr>
            <w:r w:rsidRPr="000E3BBE">
              <w:rPr>
                <w:rFonts w:ascii="Cambria" w:eastAsia="MS Mincho" w:hAnsi="Cambria" w:cs="Times New Roman"/>
                <w:sz w:val="20"/>
                <w:szCs w:val="40"/>
              </w:rPr>
              <w:t>Cultural</w:t>
            </w:r>
            <w:r w:rsidR="00491D44" w:rsidRPr="000E3BBE">
              <w:rPr>
                <w:rFonts w:ascii="Cambria" w:eastAsia="MS Mincho" w:hAnsi="Cambria" w:cs="Times New Roman"/>
                <w:sz w:val="20"/>
                <w:szCs w:val="40"/>
              </w:rPr>
              <w:t xml:space="preserve"> change adaptation important</w:t>
            </w:r>
          </w:p>
        </w:tc>
        <w:tc>
          <w:tcPr>
            <w:tcW w:w="481" w:type="pct"/>
          </w:tcPr>
          <w:p w14:paraId="6F99029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changing Islamic</w:t>
            </w:r>
          </w:p>
        </w:tc>
      </w:tr>
      <w:tr w:rsidR="00491D44" w:rsidRPr="000E3BBE" w14:paraId="61D3F96E" w14:textId="77777777" w:rsidTr="00F011CB">
        <w:tc>
          <w:tcPr>
            <w:tcW w:w="178" w:type="pct"/>
          </w:tcPr>
          <w:p w14:paraId="47D5D24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83</w:t>
            </w:r>
          </w:p>
        </w:tc>
        <w:tc>
          <w:tcPr>
            <w:tcW w:w="442" w:type="pct"/>
          </w:tcPr>
          <w:p w14:paraId="70F0DFD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Chan (2022)</w:t>
            </w:r>
          </w:p>
        </w:tc>
        <w:tc>
          <w:tcPr>
            <w:tcW w:w="490" w:type="pct"/>
          </w:tcPr>
          <w:p w14:paraId="63C7D9C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Women, Acculturation and</w:t>
            </w:r>
          </w:p>
        </w:tc>
        <w:tc>
          <w:tcPr>
            <w:tcW w:w="585" w:type="pct"/>
          </w:tcPr>
          <w:p w14:paraId="04F97FD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UK</w:t>
            </w:r>
          </w:p>
        </w:tc>
        <w:tc>
          <w:tcPr>
            <w:tcW w:w="512" w:type="pct"/>
          </w:tcPr>
          <w:p w14:paraId="72A9C320" w14:textId="012FD794" w:rsidR="00491D44" w:rsidRPr="000E3BBE" w:rsidRDefault="0039760C" w:rsidP="00491D44">
            <w:pPr>
              <w:rPr>
                <w:rFonts w:ascii="Cambria" w:eastAsia="MS Mincho" w:hAnsi="Cambria" w:cs="Times New Roman"/>
                <w:sz w:val="20"/>
                <w:szCs w:val="40"/>
              </w:rPr>
            </w:pPr>
            <w:r w:rsidRPr="000E3BBE">
              <w:rPr>
                <w:rFonts w:ascii="Cambria" w:eastAsia="MS Mincho" w:hAnsi="Cambria" w:cs="Times New Roman"/>
                <w:sz w:val="20"/>
                <w:szCs w:val="40"/>
              </w:rPr>
              <w:t>relationships with an</w:t>
            </w:r>
            <w:r w:rsidR="00491D44" w:rsidRPr="000E3BBE">
              <w:rPr>
                <w:rFonts w:ascii="Cambria" w:eastAsia="MS Mincho" w:hAnsi="Cambria" w:cs="Times New Roman"/>
                <w:sz w:val="20"/>
                <w:szCs w:val="40"/>
              </w:rPr>
              <w:t xml:space="preserve"> appearance-related ethnic</w:t>
            </w:r>
          </w:p>
        </w:tc>
        <w:tc>
          <w:tcPr>
            <w:tcW w:w="462" w:type="pct"/>
          </w:tcPr>
          <w:p w14:paraId="75AF9E0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First-generation South Asian</w:t>
            </w:r>
          </w:p>
        </w:tc>
        <w:tc>
          <w:tcPr>
            <w:tcW w:w="424" w:type="pct"/>
          </w:tcPr>
          <w:p w14:paraId="6D4E790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7686504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identification</w:t>
            </w:r>
          </w:p>
        </w:tc>
        <w:tc>
          <w:tcPr>
            <w:tcW w:w="412" w:type="pct"/>
          </w:tcPr>
          <w:p w14:paraId="19C2469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D1B4C3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demonstrates ethnic national identification</w:t>
            </w:r>
          </w:p>
        </w:tc>
        <w:tc>
          <w:tcPr>
            <w:tcW w:w="481" w:type="pct"/>
          </w:tcPr>
          <w:p w14:paraId="2B471A9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cultural identity acculturation</w:t>
            </w:r>
          </w:p>
        </w:tc>
      </w:tr>
      <w:tr w:rsidR="00491D44" w:rsidRPr="000E3BBE" w14:paraId="023C7F56" w14:textId="77777777" w:rsidTr="00F011CB">
        <w:tc>
          <w:tcPr>
            <w:tcW w:w="178" w:type="pct"/>
          </w:tcPr>
          <w:p w14:paraId="1C14E45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84</w:t>
            </w:r>
          </w:p>
        </w:tc>
        <w:tc>
          <w:tcPr>
            <w:tcW w:w="442" w:type="pct"/>
          </w:tcPr>
          <w:p w14:paraId="6889200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Dalal (2024)</w:t>
            </w:r>
          </w:p>
        </w:tc>
        <w:tc>
          <w:tcPr>
            <w:tcW w:w="490" w:type="pct"/>
          </w:tcPr>
          <w:p w14:paraId="6F9F2D8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Performing Curry and Diasporic Identity</w:t>
            </w:r>
          </w:p>
        </w:tc>
        <w:tc>
          <w:tcPr>
            <w:tcW w:w="585" w:type="pct"/>
          </w:tcPr>
          <w:p w14:paraId="48A32EB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Canada</w:t>
            </w:r>
          </w:p>
        </w:tc>
        <w:tc>
          <w:tcPr>
            <w:tcW w:w="512" w:type="pct"/>
          </w:tcPr>
          <w:p w14:paraId="37453BF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curry cultural signifier challenge</w:t>
            </w:r>
          </w:p>
        </w:tc>
        <w:tc>
          <w:tcPr>
            <w:tcW w:w="462" w:type="pct"/>
          </w:tcPr>
          <w:p w14:paraId="761A3FC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680CC4D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Curry cooking recipes</w:t>
            </w:r>
          </w:p>
        </w:tc>
        <w:tc>
          <w:tcPr>
            <w:tcW w:w="507" w:type="pct"/>
          </w:tcPr>
          <w:p w14:paraId="4CE7BA4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South Asian diasporic</w:t>
            </w:r>
          </w:p>
        </w:tc>
        <w:tc>
          <w:tcPr>
            <w:tcW w:w="412" w:type="pct"/>
          </w:tcPr>
          <w:p w14:paraId="70E217A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Curry culinary practices</w:t>
            </w:r>
          </w:p>
        </w:tc>
        <w:tc>
          <w:tcPr>
            <w:tcW w:w="507" w:type="pct"/>
          </w:tcPr>
          <w:p w14:paraId="2CB21DB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argues diasporic food identity</w:t>
            </w:r>
          </w:p>
        </w:tc>
        <w:tc>
          <w:tcPr>
            <w:tcW w:w="481" w:type="pct"/>
          </w:tcPr>
          <w:p w14:paraId="4829AF7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diverse diasporic food</w:t>
            </w:r>
          </w:p>
        </w:tc>
      </w:tr>
      <w:tr w:rsidR="00491D44" w:rsidRPr="000E3BBE" w14:paraId="52FBC0AB" w14:textId="77777777" w:rsidTr="00F011CB">
        <w:tc>
          <w:tcPr>
            <w:tcW w:w="178" w:type="pct"/>
          </w:tcPr>
          <w:p w14:paraId="65EDAE5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85</w:t>
            </w:r>
          </w:p>
        </w:tc>
        <w:tc>
          <w:tcPr>
            <w:tcW w:w="442" w:type="pct"/>
          </w:tcPr>
          <w:p w14:paraId="6A45AD2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Sakib (2023)</w:t>
            </w:r>
          </w:p>
        </w:tc>
        <w:tc>
          <w:tcPr>
            <w:tcW w:w="490" w:type="pct"/>
          </w:tcPr>
          <w:p w14:paraId="0E116DF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Sociology of Culture in Bangladesh</w:t>
            </w:r>
          </w:p>
        </w:tc>
        <w:tc>
          <w:tcPr>
            <w:tcW w:w="585" w:type="pct"/>
          </w:tcPr>
          <w:p w14:paraId="4DB475A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Bangladesh and India</w:t>
            </w:r>
          </w:p>
        </w:tc>
        <w:tc>
          <w:tcPr>
            <w:tcW w:w="512" w:type="pct"/>
          </w:tcPr>
          <w:p w14:paraId="1F13124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compare cultural similarities</w:t>
            </w:r>
          </w:p>
        </w:tc>
        <w:tc>
          <w:tcPr>
            <w:tcW w:w="462" w:type="pct"/>
          </w:tcPr>
          <w:p w14:paraId="39B078D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4217DA0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813C17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practices beliefs</w:t>
            </w:r>
          </w:p>
        </w:tc>
        <w:tc>
          <w:tcPr>
            <w:tcW w:w="412" w:type="pct"/>
          </w:tcPr>
          <w:p w14:paraId="18F1CF4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0FAA3AA7" w14:textId="01B9FE1E" w:rsidR="00491D44" w:rsidRPr="000E3BBE" w:rsidRDefault="0039760C" w:rsidP="00491D44">
            <w:pPr>
              <w:rPr>
                <w:rFonts w:ascii="Cambria" w:eastAsia="MS Mincho" w:hAnsi="Cambria" w:cs="Times New Roman"/>
                <w:sz w:val="20"/>
                <w:szCs w:val="40"/>
              </w:rPr>
            </w:pPr>
            <w:r w:rsidRPr="000E3BBE">
              <w:rPr>
                <w:rFonts w:ascii="Cambria" w:eastAsia="MS Mincho" w:hAnsi="Cambria" w:cs="Times New Roman"/>
                <w:sz w:val="20"/>
                <w:szCs w:val="40"/>
              </w:rPr>
              <w:t>Comparison</w:t>
            </w:r>
            <w:r w:rsidR="00491D44" w:rsidRPr="000E3BBE">
              <w:rPr>
                <w:rFonts w:ascii="Cambria" w:eastAsia="MS Mincho" w:hAnsi="Cambria" w:cs="Times New Roman"/>
                <w:sz w:val="20"/>
                <w:szCs w:val="40"/>
              </w:rPr>
              <w:t xml:space="preserve"> demonstrates cultural practices</w:t>
            </w:r>
          </w:p>
        </w:tc>
        <w:tc>
          <w:tcPr>
            <w:tcW w:w="481" w:type="pct"/>
          </w:tcPr>
          <w:p w14:paraId="1098DA4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cultural identity cultural</w:t>
            </w:r>
          </w:p>
        </w:tc>
      </w:tr>
      <w:tr w:rsidR="00491D44" w:rsidRPr="000E3BBE" w14:paraId="74EE5444" w14:textId="77777777" w:rsidTr="00F011CB">
        <w:tc>
          <w:tcPr>
            <w:tcW w:w="178" w:type="pct"/>
          </w:tcPr>
          <w:p w14:paraId="1F1B544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86</w:t>
            </w:r>
          </w:p>
        </w:tc>
        <w:tc>
          <w:tcPr>
            <w:tcW w:w="442" w:type="pct"/>
          </w:tcPr>
          <w:p w14:paraId="767C56A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Ahsan Ullah (2025)</w:t>
            </w:r>
          </w:p>
        </w:tc>
        <w:tc>
          <w:tcPr>
            <w:tcW w:w="490" w:type="pct"/>
          </w:tcPr>
          <w:p w14:paraId="1B14DCA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Second-Generation Afghan </w:t>
            </w:r>
            <w:r w:rsidRPr="000E3BBE">
              <w:rPr>
                <w:rFonts w:ascii="Cambria" w:eastAsia="MS Mincho" w:hAnsi="Cambria" w:cs="Times New Roman"/>
                <w:sz w:val="20"/>
                <w:szCs w:val="40"/>
              </w:rPr>
              <w:lastRenderedPageBreak/>
              <w:t>Diaspora and Identity</w:t>
            </w:r>
          </w:p>
        </w:tc>
        <w:tc>
          <w:tcPr>
            <w:tcW w:w="585" w:type="pct"/>
          </w:tcPr>
          <w:p w14:paraId="0A61849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Afghan diaspora living abroad</w:t>
            </w:r>
          </w:p>
        </w:tc>
        <w:tc>
          <w:tcPr>
            <w:tcW w:w="512" w:type="pct"/>
          </w:tcPr>
          <w:p w14:paraId="5A27E50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narratives shaping perceptions</w:t>
            </w:r>
          </w:p>
        </w:tc>
        <w:tc>
          <w:tcPr>
            <w:tcW w:w="462" w:type="pct"/>
          </w:tcPr>
          <w:p w14:paraId="478B01E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Second- third-generation Afghan</w:t>
            </w:r>
          </w:p>
        </w:tc>
        <w:tc>
          <w:tcPr>
            <w:tcW w:w="424" w:type="pct"/>
          </w:tcPr>
          <w:p w14:paraId="3AD5077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198CF09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Diasporic identity family</w:t>
            </w:r>
          </w:p>
        </w:tc>
        <w:tc>
          <w:tcPr>
            <w:tcW w:w="412" w:type="pct"/>
          </w:tcPr>
          <w:p w14:paraId="4EF6DB2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6F430CA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family migration narratives memories</w:t>
            </w:r>
          </w:p>
        </w:tc>
        <w:tc>
          <w:tcPr>
            <w:tcW w:w="481" w:type="pct"/>
          </w:tcPr>
          <w:p w14:paraId="7A499BE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identity formation different</w:t>
            </w:r>
          </w:p>
        </w:tc>
      </w:tr>
      <w:tr w:rsidR="00491D44" w:rsidRPr="000E3BBE" w14:paraId="3D66576B" w14:textId="77777777" w:rsidTr="00F011CB">
        <w:tc>
          <w:tcPr>
            <w:tcW w:w="178" w:type="pct"/>
          </w:tcPr>
          <w:p w14:paraId="762397D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87</w:t>
            </w:r>
          </w:p>
        </w:tc>
        <w:tc>
          <w:tcPr>
            <w:tcW w:w="442" w:type="pct"/>
          </w:tcPr>
          <w:p w14:paraId="4E84AC3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Rojas-Méndez (2023)</w:t>
            </w:r>
          </w:p>
        </w:tc>
        <w:tc>
          <w:tcPr>
            <w:tcW w:w="490" w:type="pct"/>
          </w:tcPr>
          <w:p w14:paraId="52CF416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Conceptualizing Nation Branding</w:t>
            </w:r>
          </w:p>
        </w:tc>
        <w:tc>
          <w:tcPr>
            <w:tcW w:w="585" w:type="pct"/>
          </w:tcPr>
          <w:p w14:paraId="740CBF3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2810A707" w14:textId="206A3EBB"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develop integrated </w:t>
            </w:r>
            <w:r w:rsidR="0039760C" w:rsidRPr="000E3BBE">
              <w:rPr>
                <w:rFonts w:ascii="Cambria" w:eastAsia="MS Mincho" w:hAnsi="Cambria" w:cs="Times New Roman"/>
                <w:sz w:val="20"/>
                <w:szCs w:val="40"/>
              </w:rPr>
              <w:t>conceptualization</w:t>
            </w:r>
          </w:p>
        </w:tc>
        <w:tc>
          <w:tcPr>
            <w:tcW w:w="462" w:type="pct"/>
          </w:tcPr>
          <w:p w14:paraId="21E48FB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586AF11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19B0F33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National identity social-cultural</w:t>
            </w:r>
          </w:p>
        </w:tc>
        <w:tc>
          <w:tcPr>
            <w:tcW w:w="412" w:type="pct"/>
          </w:tcPr>
          <w:p w14:paraId="346FBE0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DDAEB97" w14:textId="2C2C3E30" w:rsidR="00491D44" w:rsidRPr="000E3BBE" w:rsidRDefault="0039760C" w:rsidP="00491D44">
            <w:pPr>
              <w:rPr>
                <w:rFonts w:ascii="Cambria" w:eastAsia="MS Mincho" w:hAnsi="Cambria" w:cs="Times New Roman"/>
                <w:sz w:val="20"/>
                <w:szCs w:val="40"/>
              </w:rPr>
            </w:pPr>
            <w:r w:rsidRPr="000E3BBE">
              <w:rPr>
                <w:rFonts w:ascii="Cambria" w:eastAsia="MS Mincho" w:hAnsi="Cambria" w:cs="Times New Roman"/>
                <w:sz w:val="20"/>
                <w:szCs w:val="40"/>
              </w:rPr>
              <w:t>Social</w:t>
            </w:r>
            <w:r w:rsidR="00491D44" w:rsidRPr="000E3BBE">
              <w:rPr>
                <w:rFonts w:ascii="Cambria" w:eastAsia="MS Mincho" w:hAnsi="Cambria" w:cs="Times New Roman"/>
                <w:sz w:val="20"/>
                <w:szCs w:val="40"/>
              </w:rPr>
              <w:t xml:space="preserve"> cultural dimensions important</w:t>
            </w:r>
          </w:p>
        </w:tc>
        <w:tc>
          <w:tcPr>
            <w:tcW w:w="481" w:type="pct"/>
          </w:tcPr>
          <w:p w14:paraId="128CC4C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refine nation-branding</w:t>
            </w:r>
          </w:p>
        </w:tc>
      </w:tr>
      <w:tr w:rsidR="00491D44" w:rsidRPr="000E3BBE" w14:paraId="7FFEA1A7" w14:textId="77777777" w:rsidTr="00F011CB">
        <w:tc>
          <w:tcPr>
            <w:tcW w:w="178" w:type="pct"/>
          </w:tcPr>
          <w:p w14:paraId="1A347C2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88</w:t>
            </w:r>
          </w:p>
        </w:tc>
        <w:tc>
          <w:tcPr>
            <w:tcW w:w="442" w:type="pct"/>
          </w:tcPr>
          <w:p w14:paraId="6A8B238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Shen (2022)</w:t>
            </w:r>
          </w:p>
        </w:tc>
        <w:tc>
          <w:tcPr>
            <w:tcW w:w="490" w:type="pct"/>
          </w:tcPr>
          <w:p w14:paraId="76DDEF1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Souvenirs</w:t>
            </w:r>
          </w:p>
        </w:tc>
        <w:tc>
          <w:tcPr>
            <w:tcW w:w="585" w:type="pct"/>
          </w:tcPr>
          <w:p w14:paraId="3B294BE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 tourism literature</w:t>
            </w:r>
          </w:p>
        </w:tc>
        <w:tc>
          <w:tcPr>
            <w:tcW w:w="512" w:type="pct"/>
          </w:tcPr>
          <w:p w14:paraId="3A517F9C" w14:textId="3DBC6F3E" w:rsidR="00491D44" w:rsidRPr="000E3BBE" w:rsidRDefault="0039760C"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souvenirs identify</w:t>
            </w:r>
          </w:p>
        </w:tc>
        <w:tc>
          <w:tcPr>
            <w:tcW w:w="462" w:type="pct"/>
          </w:tcPr>
          <w:p w14:paraId="6399615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0E37D5A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0F0CC82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identity national</w:t>
            </w:r>
          </w:p>
        </w:tc>
        <w:tc>
          <w:tcPr>
            <w:tcW w:w="412" w:type="pct"/>
          </w:tcPr>
          <w:p w14:paraId="7867617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114437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products communicate identity</w:t>
            </w:r>
          </w:p>
        </w:tc>
        <w:tc>
          <w:tcPr>
            <w:tcW w:w="481" w:type="pct"/>
          </w:tcPr>
          <w:p w14:paraId="716D0FA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cultural meanings</w:t>
            </w:r>
          </w:p>
        </w:tc>
      </w:tr>
      <w:tr w:rsidR="00491D44" w:rsidRPr="000E3BBE" w14:paraId="73E81F3D" w14:textId="77777777" w:rsidTr="00F011CB">
        <w:tc>
          <w:tcPr>
            <w:tcW w:w="178" w:type="pct"/>
          </w:tcPr>
          <w:p w14:paraId="668C8D2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89</w:t>
            </w:r>
          </w:p>
        </w:tc>
        <w:tc>
          <w:tcPr>
            <w:tcW w:w="442" w:type="pct"/>
          </w:tcPr>
          <w:p w14:paraId="391043B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Kempinski (2024)</w:t>
            </w:r>
          </w:p>
        </w:tc>
        <w:tc>
          <w:tcPr>
            <w:tcW w:w="490" w:type="pct"/>
          </w:tcPr>
          <w:p w14:paraId="4002E44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Milk and Dairy in Inflammatory</w:t>
            </w:r>
          </w:p>
        </w:tc>
        <w:tc>
          <w:tcPr>
            <w:tcW w:w="585" w:type="pct"/>
          </w:tcPr>
          <w:p w14:paraId="49FC49F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 clinical and dietary</w:t>
            </w:r>
          </w:p>
        </w:tc>
        <w:tc>
          <w:tcPr>
            <w:tcW w:w="512" w:type="pct"/>
          </w:tcPr>
          <w:p w14:paraId="6EAF52B6" w14:textId="4C23B676" w:rsidR="00491D44" w:rsidRPr="000E3BBE" w:rsidRDefault="00134495" w:rsidP="00491D44">
            <w:pPr>
              <w:rPr>
                <w:rFonts w:ascii="Cambria" w:eastAsia="MS Mincho" w:hAnsi="Cambria" w:cs="Times New Roman"/>
                <w:sz w:val="20"/>
                <w:szCs w:val="40"/>
              </w:rPr>
            </w:pPr>
            <w:r w:rsidRPr="000E3BBE">
              <w:rPr>
                <w:rFonts w:ascii="Cambria" w:eastAsia="MS Mincho" w:hAnsi="Cambria" w:cs="Times New Roman"/>
                <w:sz w:val="20"/>
                <w:szCs w:val="40"/>
              </w:rPr>
              <w:t>Evidence</w:t>
            </w:r>
            <w:r w:rsidR="00491D44" w:rsidRPr="000E3BBE">
              <w:rPr>
                <w:rFonts w:ascii="Cambria" w:eastAsia="MS Mincho" w:hAnsi="Cambria" w:cs="Times New Roman"/>
                <w:sz w:val="20"/>
                <w:szCs w:val="40"/>
              </w:rPr>
              <w:t xml:space="preserve"> concerning relationship</w:t>
            </w:r>
          </w:p>
        </w:tc>
        <w:tc>
          <w:tcPr>
            <w:tcW w:w="462" w:type="pct"/>
          </w:tcPr>
          <w:p w14:paraId="57050E3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77FF6F2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Dairy consumption dietary</w:t>
            </w:r>
          </w:p>
        </w:tc>
        <w:tc>
          <w:tcPr>
            <w:tcW w:w="507" w:type="pct"/>
          </w:tcPr>
          <w:p w14:paraId="1D58323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cultural beliefs affect dietary choices</w:t>
            </w:r>
          </w:p>
        </w:tc>
        <w:tc>
          <w:tcPr>
            <w:tcW w:w="412" w:type="pct"/>
          </w:tcPr>
          <w:p w14:paraId="5B8A419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food beliefs relate to cultural context</w:t>
            </w:r>
          </w:p>
        </w:tc>
        <w:tc>
          <w:tcPr>
            <w:tcW w:w="507" w:type="pct"/>
          </w:tcPr>
          <w:p w14:paraId="62022141" w14:textId="60F9DA0F"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Evidence </w:t>
            </w:r>
            <w:r w:rsidR="00134495" w:rsidRPr="000E3BBE">
              <w:rPr>
                <w:rFonts w:ascii="Cambria" w:eastAsia="MS Mincho" w:hAnsi="Cambria" w:cs="Times New Roman"/>
                <w:sz w:val="20"/>
                <w:szCs w:val="40"/>
              </w:rPr>
              <w:t>variation of</w:t>
            </w:r>
            <w:r w:rsidRPr="000E3BBE">
              <w:rPr>
                <w:rFonts w:ascii="Cambria" w:eastAsia="MS Mincho" w:hAnsi="Cambria" w:cs="Times New Roman"/>
                <w:sz w:val="20"/>
                <w:szCs w:val="40"/>
              </w:rPr>
              <w:t xml:space="preserve"> patients' beliefs</w:t>
            </w:r>
          </w:p>
        </w:tc>
        <w:tc>
          <w:tcPr>
            <w:tcW w:w="481" w:type="pct"/>
          </w:tcPr>
          <w:p w14:paraId="06C2A2B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clarify relationship</w:t>
            </w:r>
          </w:p>
        </w:tc>
      </w:tr>
      <w:tr w:rsidR="00491D44" w:rsidRPr="000E3BBE" w14:paraId="5013ECF2" w14:textId="77777777" w:rsidTr="00F011CB">
        <w:tc>
          <w:tcPr>
            <w:tcW w:w="178" w:type="pct"/>
          </w:tcPr>
          <w:p w14:paraId="2B03572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90</w:t>
            </w:r>
          </w:p>
        </w:tc>
        <w:tc>
          <w:tcPr>
            <w:tcW w:w="442" w:type="pct"/>
          </w:tcPr>
          <w:p w14:paraId="3A344878"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Maulidiyah</w:t>
            </w:r>
            <w:proofErr w:type="spellEnd"/>
            <w:r w:rsidRPr="000E3BBE">
              <w:rPr>
                <w:rFonts w:ascii="Cambria" w:eastAsia="MS Mincho" w:hAnsi="Cambria" w:cs="Times New Roman"/>
                <w:sz w:val="20"/>
                <w:szCs w:val="40"/>
              </w:rPr>
              <w:t xml:space="preserve"> (2024)</w:t>
            </w:r>
          </w:p>
        </w:tc>
        <w:tc>
          <w:tcPr>
            <w:tcW w:w="490" w:type="pct"/>
          </w:tcPr>
          <w:p w14:paraId="02CCE56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The Role of Culture in</w:t>
            </w:r>
          </w:p>
        </w:tc>
        <w:tc>
          <w:tcPr>
            <w:tcW w:w="585" w:type="pct"/>
          </w:tcPr>
          <w:p w14:paraId="0988A68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5A68B520" w14:textId="1E09D66E" w:rsidR="00491D44" w:rsidRPr="000E3BBE" w:rsidRDefault="00134495"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evidence concerning</w:t>
            </w:r>
          </w:p>
        </w:tc>
        <w:tc>
          <w:tcPr>
            <w:tcW w:w="462" w:type="pct"/>
          </w:tcPr>
          <w:p w14:paraId="7DF96CA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64CAEE2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581F4F1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values norms</w:t>
            </w:r>
          </w:p>
        </w:tc>
        <w:tc>
          <w:tcPr>
            <w:tcW w:w="412" w:type="pct"/>
          </w:tcPr>
          <w:p w14:paraId="442B22E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5E65B5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norms values influence</w:t>
            </w:r>
          </w:p>
        </w:tc>
        <w:tc>
          <w:tcPr>
            <w:tcW w:w="481" w:type="pct"/>
          </w:tcPr>
          <w:p w14:paraId="314C1D7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required cultural influences</w:t>
            </w:r>
          </w:p>
        </w:tc>
      </w:tr>
      <w:tr w:rsidR="00491D44" w:rsidRPr="000E3BBE" w14:paraId="051EE287" w14:textId="77777777" w:rsidTr="00F011CB">
        <w:tc>
          <w:tcPr>
            <w:tcW w:w="178" w:type="pct"/>
          </w:tcPr>
          <w:p w14:paraId="2775E40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91</w:t>
            </w:r>
          </w:p>
        </w:tc>
        <w:tc>
          <w:tcPr>
            <w:tcW w:w="442" w:type="pct"/>
          </w:tcPr>
          <w:p w14:paraId="70B9611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Arzhang (2022)</w:t>
            </w:r>
          </w:p>
        </w:tc>
        <w:tc>
          <w:tcPr>
            <w:tcW w:w="490" w:type="pct"/>
          </w:tcPr>
          <w:p w14:paraId="12CDAD6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Household Food Insecurity among a</w:t>
            </w:r>
          </w:p>
        </w:tc>
        <w:tc>
          <w:tcPr>
            <w:tcW w:w="585" w:type="pct"/>
          </w:tcPr>
          <w:p w14:paraId="7783304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Iran</w:t>
            </w:r>
          </w:p>
        </w:tc>
        <w:tc>
          <w:tcPr>
            <w:tcW w:w="512" w:type="pct"/>
          </w:tcPr>
          <w:p w14:paraId="7EE0BD8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estimate prevalence household</w:t>
            </w:r>
          </w:p>
        </w:tc>
        <w:tc>
          <w:tcPr>
            <w:tcW w:w="462" w:type="pct"/>
          </w:tcPr>
          <w:p w14:paraId="0ED4EAC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1940517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Systematic meta-analysis Iranian</w:t>
            </w:r>
          </w:p>
        </w:tc>
        <w:tc>
          <w:tcPr>
            <w:tcW w:w="507" w:type="pct"/>
          </w:tcPr>
          <w:p w14:paraId="5382861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cultural context shapes food insecurity</w:t>
            </w:r>
          </w:p>
        </w:tc>
        <w:tc>
          <w:tcPr>
            <w:tcW w:w="412" w:type="pct"/>
          </w:tcPr>
          <w:p w14:paraId="515F193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8572C4B" w14:textId="4F412326"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substantial </w:t>
            </w:r>
            <w:r w:rsidR="00134495" w:rsidRPr="000E3BBE">
              <w:rPr>
                <w:rFonts w:ascii="Cambria" w:eastAsia="MS Mincho" w:hAnsi="Cambria" w:cs="Times New Roman"/>
                <w:sz w:val="20"/>
                <w:szCs w:val="40"/>
              </w:rPr>
              <w:t>variation of</w:t>
            </w:r>
            <w:r w:rsidRPr="000E3BBE">
              <w:rPr>
                <w:rFonts w:ascii="Cambria" w:eastAsia="MS Mincho" w:hAnsi="Cambria" w:cs="Times New Roman"/>
                <w:sz w:val="20"/>
                <w:szCs w:val="40"/>
              </w:rPr>
              <w:t xml:space="preserve"> household food</w:t>
            </w:r>
          </w:p>
        </w:tc>
        <w:tc>
          <w:tcPr>
            <w:tcW w:w="481" w:type="pct"/>
          </w:tcPr>
          <w:p w14:paraId="534B26D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needed consistent measurement approaches</w:t>
            </w:r>
          </w:p>
        </w:tc>
      </w:tr>
      <w:tr w:rsidR="00491D44" w:rsidRPr="000E3BBE" w14:paraId="77FD2D2E" w14:textId="77777777" w:rsidTr="00F011CB">
        <w:tc>
          <w:tcPr>
            <w:tcW w:w="178" w:type="pct"/>
          </w:tcPr>
          <w:p w14:paraId="0CE4FA4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92</w:t>
            </w:r>
          </w:p>
        </w:tc>
        <w:tc>
          <w:tcPr>
            <w:tcW w:w="442" w:type="pct"/>
          </w:tcPr>
          <w:p w14:paraId="4762808F"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Chakraverty</w:t>
            </w:r>
            <w:proofErr w:type="spellEnd"/>
            <w:r w:rsidRPr="000E3BBE">
              <w:rPr>
                <w:rFonts w:ascii="Cambria" w:eastAsia="MS Mincho" w:hAnsi="Cambria" w:cs="Times New Roman"/>
                <w:sz w:val="20"/>
                <w:szCs w:val="40"/>
              </w:rPr>
              <w:t xml:space="preserve"> (2022)</w:t>
            </w:r>
          </w:p>
        </w:tc>
        <w:tc>
          <w:tcPr>
            <w:tcW w:w="490" w:type="pct"/>
          </w:tcPr>
          <w:p w14:paraId="28EAD71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Gender Differences in Health Literacy</w:t>
            </w:r>
          </w:p>
        </w:tc>
        <w:tc>
          <w:tcPr>
            <w:tcW w:w="585" w:type="pct"/>
          </w:tcPr>
          <w:p w14:paraId="5449C7A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 migrant populations</w:t>
            </w:r>
          </w:p>
        </w:tc>
        <w:tc>
          <w:tcPr>
            <w:tcW w:w="512" w:type="pct"/>
          </w:tcPr>
          <w:p w14:paraId="2D7DEE2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gender differences health</w:t>
            </w:r>
          </w:p>
        </w:tc>
        <w:tc>
          <w:tcPr>
            <w:tcW w:w="462" w:type="pct"/>
          </w:tcPr>
          <w:p w14:paraId="5326DBE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14CF4FE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703893E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Migration background cultural</w:t>
            </w:r>
          </w:p>
        </w:tc>
        <w:tc>
          <w:tcPr>
            <w:tcW w:w="412" w:type="pct"/>
          </w:tcPr>
          <w:p w14:paraId="458FCA7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3857B35D" w14:textId="54B70E67" w:rsidR="00491D44" w:rsidRPr="000E3BBE" w:rsidRDefault="00134495" w:rsidP="00491D44">
            <w:pPr>
              <w:rPr>
                <w:rFonts w:ascii="Cambria" w:eastAsia="MS Mincho" w:hAnsi="Cambria" w:cs="Times New Roman"/>
                <w:sz w:val="20"/>
                <w:szCs w:val="40"/>
              </w:rPr>
            </w:pPr>
            <w:r w:rsidRPr="000E3BBE">
              <w:rPr>
                <w:rFonts w:ascii="Cambria" w:eastAsia="MS Mincho" w:hAnsi="Cambria" w:cs="Times New Roman"/>
                <w:sz w:val="20"/>
                <w:szCs w:val="40"/>
              </w:rPr>
              <w:t>differences between migrants’</w:t>
            </w:r>
            <w:r w:rsidR="00491D44" w:rsidRPr="000E3BBE">
              <w:rPr>
                <w:rFonts w:ascii="Cambria" w:eastAsia="MS Mincho" w:hAnsi="Cambria" w:cs="Times New Roman"/>
                <w:sz w:val="20"/>
                <w:szCs w:val="40"/>
              </w:rPr>
              <w:t xml:space="preserve"> health-literacy experiences migrant</w:t>
            </w:r>
          </w:p>
        </w:tc>
        <w:tc>
          <w:tcPr>
            <w:tcW w:w="481" w:type="pct"/>
          </w:tcPr>
          <w:p w14:paraId="1788D91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gender migration-related</w:t>
            </w:r>
          </w:p>
        </w:tc>
      </w:tr>
      <w:tr w:rsidR="00491D44" w:rsidRPr="000E3BBE" w14:paraId="12BA80E8" w14:textId="77777777" w:rsidTr="00F011CB">
        <w:tc>
          <w:tcPr>
            <w:tcW w:w="178" w:type="pct"/>
          </w:tcPr>
          <w:p w14:paraId="46BB382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93</w:t>
            </w:r>
          </w:p>
        </w:tc>
        <w:tc>
          <w:tcPr>
            <w:tcW w:w="442" w:type="pct"/>
          </w:tcPr>
          <w:p w14:paraId="1765B5C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Tajfel (2004)</w:t>
            </w:r>
          </w:p>
        </w:tc>
        <w:tc>
          <w:tcPr>
            <w:tcW w:w="490" w:type="pct"/>
          </w:tcPr>
          <w:p w14:paraId="33FBD1C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The Social Identity Theory of</w:t>
            </w:r>
          </w:p>
        </w:tc>
        <w:tc>
          <w:tcPr>
            <w:tcW w:w="585" w:type="pct"/>
          </w:tcPr>
          <w:p w14:paraId="5EAAF55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Theoretical / social psychology</w:t>
            </w:r>
          </w:p>
        </w:tc>
        <w:tc>
          <w:tcPr>
            <w:tcW w:w="512" w:type="pct"/>
          </w:tcPr>
          <w:p w14:paraId="5F92D9BA" w14:textId="63F2FF61"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explain social </w:t>
            </w:r>
            <w:r w:rsidR="00134495" w:rsidRPr="000E3BBE">
              <w:rPr>
                <w:rFonts w:ascii="Cambria" w:eastAsia="MS Mincho" w:hAnsi="Cambria" w:cs="Times New Roman"/>
                <w:sz w:val="20"/>
                <w:szCs w:val="40"/>
              </w:rPr>
              <w:t>categorization</w:t>
            </w:r>
          </w:p>
        </w:tc>
        <w:tc>
          <w:tcPr>
            <w:tcW w:w="462" w:type="pct"/>
          </w:tcPr>
          <w:p w14:paraId="1FB7AD9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648AEE0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0D9F4D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Social identity formed</w:t>
            </w:r>
          </w:p>
        </w:tc>
        <w:tc>
          <w:tcPr>
            <w:tcW w:w="412" w:type="pct"/>
          </w:tcPr>
          <w:p w14:paraId="0492600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7E79CAE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theory framework understanding membership</w:t>
            </w:r>
          </w:p>
        </w:tc>
        <w:tc>
          <w:tcPr>
            <w:tcW w:w="481" w:type="pct"/>
          </w:tcPr>
          <w:p w14:paraId="216AA14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theory broad conceptual foundation</w:t>
            </w:r>
          </w:p>
        </w:tc>
      </w:tr>
      <w:tr w:rsidR="00491D44" w:rsidRPr="000E3BBE" w14:paraId="2FE6D948" w14:textId="77777777" w:rsidTr="00F011CB">
        <w:tc>
          <w:tcPr>
            <w:tcW w:w="178" w:type="pct"/>
          </w:tcPr>
          <w:p w14:paraId="17F002C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lastRenderedPageBreak/>
              <w:t>94</w:t>
            </w:r>
          </w:p>
        </w:tc>
        <w:tc>
          <w:tcPr>
            <w:tcW w:w="442" w:type="pct"/>
          </w:tcPr>
          <w:p w14:paraId="6DA72C2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O’Sullivan (2016)</w:t>
            </w:r>
          </w:p>
        </w:tc>
        <w:tc>
          <w:tcPr>
            <w:tcW w:w="490" w:type="pct"/>
          </w:tcPr>
          <w:p w14:paraId="41551C1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Dietary Acculturation among International Students</w:t>
            </w:r>
          </w:p>
        </w:tc>
        <w:tc>
          <w:tcPr>
            <w:tcW w:w="585" w:type="pct"/>
          </w:tcPr>
          <w:p w14:paraId="7924B03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England</w:t>
            </w:r>
          </w:p>
        </w:tc>
        <w:tc>
          <w:tcPr>
            <w:tcW w:w="512" w:type="pct"/>
          </w:tcPr>
          <w:p w14:paraId="0F884D54" w14:textId="1884CFB9"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international </w:t>
            </w:r>
            <w:r w:rsidR="00134495" w:rsidRPr="000E3BBE">
              <w:rPr>
                <w:rFonts w:ascii="Cambria" w:eastAsia="MS Mincho" w:hAnsi="Cambria" w:cs="Times New Roman"/>
                <w:sz w:val="20"/>
                <w:szCs w:val="40"/>
              </w:rPr>
              <w:t>students’</w:t>
            </w:r>
            <w:r w:rsidRPr="000E3BBE">
              <w:rPr>
                <w:rFonts w:ascii="Cambria" w:eastAsia="MS Mincho" w:hAnsi="Cambria" w:cs="Times New Roman"/>
                <w:sz w:val="20"/>
                <w:szCs w:val="40"/>
              </w:rPr>
              <w:t xml:space="preserve"> experiences</w:t>
            </w:r>
          </w:p>
        </w:tc>
        <w:tc>
          <w:tcPr>
            <w:tcW w:w="462" w:type="pct"/>
          </w:tcPr>
          <w:p w14:paraId="7B0B370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 students studying</w:t>
            </w:r>
          </w:p>
        </w:tc>
        <w:tc>
          <w:tcPr>
            <w:tcW w:w="424" w:type="pct"/>
          </w:tcPr>
          <w:p w14:paraId="7849F0A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Dietary acculturation food</w:t>
            </w:r>
          </w:p>
        </w:tc>
        <w:tc>
          <w:tcPr>
            <w:tcW w:w="507" w:type="pct"/>
          </w:tcPr>
          <w:p w14:paraId="47A17DF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Home-country cultural identity</w:t>
            </w:r>
          </w:p>
        </w:tc>
        <w:tc>
          <w:tcPr>
            <w:tcW w:w="412" w:type="pct"/>
          </w:tcPr>
          <w:p w14:paraId="196999F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Changes dietary practices</w:t>
            </w:r>
          </w:p>
        </w:tc>
        <w:tc>
          <w:tcPr>
            <w:tcW w:w="507" w:type="pct"/>
          </w:tcPr>
          <w:p w14:paraId="03434AA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 students experience changes</w:t>
            </w:r>
          </w:p>
        </w:tc>
        <w:tc>
          <w:tcPr>
            <w:tcW w:w="481" w:type="pct"/>
          </w:tcPr>
          <w:p w14:paraId="4794BB6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dietary acculturation specific</w:t>
            </w:r>
          </w:p>
        </w:tc>
      </w:tr>
      <w:tr w:rsidR="00491D44" w:rsidRPr="000E3BBE" w14:paraId="742ACBA5" w14:textId="77777777" w:rsidTr="00F011CB">
        <w:tc>
          <w:tcPr>
            <w:tcW w:w="178" w:type="pct"/>
          </w:tcPr>
          <w:p w14:paraId="462A6EB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95</w:t>
            </w:r>
          </w:p>
        </w:tc>
        <w:tc>
          <w:tcPr>
            <w:tcW w:w="442" w:type="pct"/>
          </w:tcPr>
          <w:p w14:paraId="64E6D20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Mensah (2022)</w:t>
            </w:r>
          </w:p>
        </w:tc>
        <w:tc>
          <w:tcPr>
            <w:tcW w:w="490" w:type="pct"/>
          </w:tcPr>
          <w:p w14:paraId="0614251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Enculturation and Acculturation among</w:t>
            </w:r>
          </w:p>
        </w:tc>
        <w:tc>
          <w:tcPr>
            <w:tcW w:w="585" w:type="pct"/>
          </w:tcPr>
          <w:p w14:paraId="4DDEE4C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UK</w:t>
            </w:r>
          </w:p>
        </w:tc>
        <w:tc>
          <w:tcPr>
            <w:tcW w:w="512" w:type="pct"/>
          </w:tcPr>
          <w:p w14:paraId="7AFC6E53" w14:textId="26EF0ECA"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determinants eating </w:t>
            </w:r>
            <w:r w:rsidR="00134495" w:rsidRPr="000E3BBE">
              <w:rPr>
                <w:rFonts w:ascii="Cambria" w:eastAsia="MS Mincho" w:hAnsi="Cambria" w:cs="Times New Roman"/>
                <w:sz w:val="20"/>
                <w:szCs w:val="40"/>
              </w:rPr>
              <w:t>behavior</w:t>
            </w:r>
            <w:r w:rsidRPr="000E3BBE">
              <w:rPr>
                <w:rFonts w:ascii="Cambria" w:eastAsia="MS Mincho" w:hAnsi="Cambria" w:cs="Times New Roman"/>
                <w:sz w:val="20"/>
                <w:szCs w:val="40"/>
              </w:rPr>
              <w:t xml:space="preserve"> BAME</w:t>
            </w:r>
          </w:p>
        </w:tc>
        <w:tc>
          <w:tcPr>
            <w:tcW w:w="462" w:type="pct"/>
          </w:tcPr>
          <w:p w14:paraId="41216EE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BAME university students</w:t>
            </w:r>
          </w:p>
        </w:tc>
        <w:tc>
          <w:tcPr>
            <w:tcW w:w="424" w:type="pct"/>
          </w:tcPr>
          <w:p w14:paraId="3AA8341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enculturation food</w:t>
            </w:r>
          </w:p>
        </w:tc>
        <w:tc>
          <w:tcPr>
            <w:tcW w:w="507" w:type="pct"/>
          </w:tcPr>
          <w:p w14:paraId="61E220B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background ethnic</w:t>
            </w:r>
          </w:p>
        </w:tc>
        <w:tc>
          <w:tcPr>
            <w:tcW w:w="412" w:type="pct"/>
          </w:tcPr>
          <w:p w14:paraId="3B0E746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enculturation acculturation</w:t>
            </w:r>
          </w:p>
        </w:tc>
        <w:tc>
          <w:tcPr>
            <w:tcW w:w="507" w:type="pct"/>
          </w:tcPr>
          <w:p w14:paraId="3493B443" w14:textId="36D26FEE"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 xml:space="preserve">Eating </w:t>
            </w:r>
            <w:r w:rsidR="00134495" w:rsidRPr="000E3BBE">
              <w:rPr>
                <w:rFonts w:ascii="Cambria" w:eastAsia="MS Mincho" w:hAnsi="Cambria" w:cs="Times New Roman"/>
                <w:sz w:val="20"/>
                <w:szCs w:val="40"/>
              </w:rPr>
              <w:t>behavior</w:t>
            </w:r>
            <w:r w:rsidRPr="000E3BBE">
              <w:rPr>
                <w:rFonts w:ascii="Cambria" w:eastAsia="MS Mincho" w:hAnsi="Cambria" w:cs="Times New Roman"/>
                <w:sz w:val="20"/>
                <w:szCs w:val="40"/>
              </w:rPr>
              <w:t xml:space="preserve"> influenced family</w:t>
            </w:r>
          </w:p>
        </w:tc>
        <w:tc>
          <w:tcPr>
            <w:tcW w:w="481" w:type="pct"/>
          </w:tcPr>
          <w:p w14:paraId="21772DF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specific ethnic groups</w:t>
            </w:r>
          </w:p>
        </w:tc>
      </w:tr>
      <w:tr w:rsidR="00491D44" w:rsidRPr="000E3BBE" w14:paraId="19E7C672" w14:textId="77777777" w:rsidTr="00F011CB">
        <w:tc>
          <w:tcPr>
            <w:tcW w:w="178" w:type="pct"/>
          </w:tcPr>
          <w:p w14:paraId="28D3694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96</w:t>
            </w:r>
          </w:p>
        </w:tc>
        <w:tc>
          <w:tcPr>
            <w:tcW w:w="442" w:type="pct"/>
          </w:tcPr>
          <w:p w14:paraId="5179ED9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Saini (2022)</w:t>
            </w:r>
          </w:p>
        </w:tc>
        <w:tc>
          <w:tcPr>
            <w:tcW w:w="490" w:type="pct"/>
          </w:tcPr>
          <w:p w14:paraId="4D9D2AF9" w14:textId="010F565A" w:rsidR="00491D44" w:rsidRPr="000E3BBE" w:rsidRDefault="00134495" w:rsidP="00491D44">
            <w:pPr>
              <w:rPr>
                <w:rFonts w:ascii="Cambria" w:eastAsia="MS Mincho" w:hAnsi="Cambria" w:cs="Times New Roman"/>
                <w:sz w:val="20"/>
                <w:szCs w:val="40"/>
              </w:rPr>
            </w:pPr>
            <w:r w:rsidRPr="000E3BBE">
              <w:rPr>
                <w:rFonts w:ascii="Cambria" w:eastAsia="MS Mincho" w:hAnsi="Cambria" w:cs="Times New Roman"/>
                <w:sz w:val="20"/>
                <w:szCs w:val="40"/>
              </w:rPr>
              <w:t>Racialization</w:t>
            </w:r>
            <w:r w:rsidR="00491D44" w:rsidRPr="000E3BBE">
              <w:rPr>
                <w:rFonts w:ascii="Cambria" w:eastAsia="MS Mincho" w:hAnsi="Cambria" w:cs="Times New Roman"/>
                <w:sz w:val="20"/>
                <w:szCs w:val="40"/>
              </w:rPr>
              <w:t xml:space="preserve"> of Class, Nation and</w:t>
            </w:r>
          </w:p>
        </w:tc>
        <w:tc>
          <w:tcPr>
            <w:tcW w:w="585" w:type="pct"/>
          </w:tcPr>
          <w:p w14:paraId="2186803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UK</w:t>
            </w:r>
          </w:p>
        </w:tc>
        <w:tc>
          <w:tcPr>
            <w:tcW w:w="512" w:type="pct"/>
          </w:tcPr>
          <w:p w14:paraId="3FF20EE2"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ethnic minority identity</w:t>
            </w:r>
          </w:p>
        </w:tc>
        <w:tc>
          <w:tcPr>
            <w:tcW w:w="462" w:type="pct"/>
          </w:tcPr>
          <w:p w14:paraId="4431B77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British South Asian</w:t>
            </w:r>
          </w:p>
        </w:tc>
        <w:tc>
          <w:tcPr>
            <w:tcW w:w="424" w:type="pct"/>
          </w:tcPr>
          <w:p w14:paraId="42580F0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74514E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British South Asian</w:t>
            </w:r>
          </w:p>
        </w:tc>
        <w:tc>
          <w:tcPr>
            <w:tcW w:w="412" w:type="pct"/>
          </w:tcPr>
          <w:p w14:paraId="403F8C7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60FD04C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demonstrates British South Asian</w:t>
            </w:r>
          </w:p>
        </w:tc>
        <w:tc>
          <w:tcPr>
            <w:tcW w:w="481" w:type="pct"/>
          </w:tcPr>
          <w:p w14:paraId="65AC312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identity formation different</w:t>
            </w:r>
          </w:p>
        </w:tc>
      </w:tr>
      <w:tr w:rsidR="00491D44" w:rsidRPr="000E3BBE" w14:paraId="4DF19BCA" w14:textId="77777777" w:rsidTr="00F011CB">
        <w:tc>
          <w:tcPr>
            <w:tcW w:w="178" w:type="pct"/>
          </w:tcPr>
          <w:p w14:paraId="6BB4CC3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97</w:t>
            </w:r>
          </w:p>
        </w:tc>
        <w:tc>
          <w:tcPr>
            <w:tcW w:w="442" w:type="pct"/>
          </w:tcPr>
          <w:p w14:paraId="120C55A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Niraula (2022)</w:t>
            </w:r>
          </w:p>
        </w:tc>
        <w:tc>
          <w:tcPr>
            <w:tcW w:w="490" w:type="pct"/>
          </w:tcPr>
          <w:p w14:paraId="7E3E5CC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Highly Skilled Migrant Decision-Making under</w:t>
            </w:r>
          </w:p>
        </w:tc>
        <w:tc>
          <w:tcPr>
            <w:tcW w:w="585" w:type="pct"/>
          </w:tcPr>
          <w:p w14:paraId="397B17B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 highly skilled migrants</w:t>
            </w:r>
          </w:p>
        </w:tc>
        <w:tc>
          <w:tcPr>
            <w:tcW w:w="512" w:type="pct"/>
          </w:tcPr>
          <w:p w14:paraId="4249890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literature highly skilled</w:t>
            </w:r>
          </w:p>
        </w:tc>
        <w:tc>
          <w:tcPr>
            <w:tcW w:w="462" w:type="pct"/>
          </w:tcPr>
          <w:p w14:paraId="1A1B425D"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22CDBBA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49A5F08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Migrant identity belonging</w:t>
            </w:r>
          </w:p>
        </w:tc>
        <w:tc>
          <w:tcPr>
            <w:tcW w:w="412" w:type="pct"/>
          </w:tcPr>
          <w:p w14:paraId="7E086D1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244DD83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highlights importance personal family</w:t>
            </w:r>
          </w:p>
        </w:tc>
        <w:tc>
          <w:tcPr>
            <w:tcW w:w="481" w:type="pct"/>
          </w:tcPr>
          <w:p w14:paraId="596D375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identity decision-making different</w:t>
            </w:r>
          </w:p>
        </w:tc>
      </w:tr>
      <w:tr w:rsidR="00491D44" w:rsidRPr="000E3BBE" w14:paraId="4E51A12E" w14:textId="77777777" w:rsidTr="00F011CB">
        <w:tc>
          <w:tcPr>
            <w:tcW w:w="178" w:type="pct"/>
          </w:tcPr>
          <w:p w14:paraId="48F2664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98</w:t>
            </w:r>
          </w:p>
        </w:tc>
        <w:tc>
          <w:tcPr>
            <w:tcW w:w="442" w:type="pct"/>
          </w:tcPr>
          <w:p w14:paraId="164AA01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Wahbeh (2022)</w:t>
            </w:r>
          </w:p>
        </w:tc>
        <w:tc>
          <w:tcPr>
            <w:tcW w:w="490" w:type="pct"/>
          </w:tcPr>
          <w:p w14:paraId="47EC543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Security Challenges and Sustainable</w:t>
            </w:r>
          </w:p>
        </w:tc>
        <w:tc>
          <w:tcPr>
            <w:tcW w:w="585" w:type="pct"/>
          </w:tcPr>
          <w:p w14:paraId="5067B53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International</w:t>
            </w:r>
          </w:p>
        </w:tc>
        <w:tc>
          <w:tcPr>
            <w:tcW w:w="512" w:type="pct"/>
          </w:tcPr>
          <w:p w14:paraId="35A00D1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identify major drivers</w:t>
            </w:r>
          </w:p>
        </w:tc>
        <w:tc>
          <w:tcPr>
            <w:tcW w:w="462" w:type="pct"/>
          </w:tcPr>
          <w:p w14:paraId="582427B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7E138B7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Food security food</w:t>
            </w:r>
          </w:p>
        </w:tc>
        <w:tc>
          <w:tcPr>
            <w:tcW w:w="507" w:type="pct"/>
          </w:tcPr>
          <w:p w14:paraId="4ED9353B"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412" w:type="pct"/>
          </w:tcPr>
          <w:p w14:paraId="7DDC07D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7D2613D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economic environmental political institutional</w:t>
            </w:r>
          </w:p>
        </w:tc>
        <w:tc>
          <w:tcPr>
            <w:tcW w:w="481" w:type="pct"/>
          </w:tcPr>
          <w:p w14:paraId="38D4947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needed integrated policies</w:t>
            </w:r>
          </w:p>
        </w:tc>
      </w:tr>
      <w:tr w:rsidR="00491D44" w:rsidRPr="000E3BBE" w14:paraId="7E84B385" w14:textId="77777777" w:rsidTr="00F011CB">
        <w:tc>
          <w:tcPr>
            <w:tcW w:w="178" w:type="pct"/>
          </w:tcPr>
          <w:p w14:paraId="2CA141C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99</w:t>
            </w:r>
          </w:p>
        </w:tc>
        <w:tc>
          <w:tcPr>
            <w:tcW w:w="442" w:type="pct"/>
          </w:tcPr>
          <w:p w14:paraId="4164F72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Mu (2022)</w:t>
            </w:r>
          </w:p>
        </w:tc>
        <w:tc>
          <w:tcPr>
            <w:tcW w:w="490" w:type="pct"/>
          </w:tcPr>
          <w:p w14:paraId="596ABC8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Heritage Preservation in European</w:t>
            </w:r>
          </w:p>
        </w:tc>
        <w:tc>
          <w:tcPr>
            <w:tcW w:w="585" w:type="pct"/>
          </w:tcPr>
          <w:p w14:paraId="6ECE8E2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Europe and China</w:t>
            </w:r>
          </w:p>
        </w:tc>
        <w:tc>
          <w:tcPr>
            <w:tcW w:w="512" w:type="pct"/>
          </w:tcPr>
          <w:p w14:paraId="05317B71"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approaches cultural heritage</w:t>
            </w:r>
          </w:p>
        </w:tc>
        <w:tc>
          <w:tcPr>
            <w:tcW w:w="462" w:type="pct"/>
          </w:tcPr>
          <w:p w14:paraId="565953E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No participants</w:t>
            </w:r>
          </w:p>
        </w:tc>
        <w:tc>
          <w:tcPr>
            <w:tcW w:w="424" w:type="pct"/>
          </w:tcPr>
          <w:p w14:paraId="3BF57594"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52AC775F"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heritage local</w:t>
            </w:r>
          </w:p>
        </w:tc>
        <w:tc>
          <w:tcPr>
            <w:tcW w:w="412" w:type="pct"/>
          </w:tcPr>
          <w:p w14:paraId="3D6C51BA"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7F881AB8"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demonstrates preservation cultural heritage</w:t>
            </w:r>
          </w:p>
        </w:tc>
        <w:tc>
          <w:tcPr>
            <w:tcW w:w="481" w:type="pct"/>
          </w:tcPr>
          <w:p w14:paraId="2375EFFE"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Further compare heritage preservation</w:t>
            </w:r>
          </w:p>
        </w:tc>
      </w:tr>
      <w:tr w:rsidR="00491D44" w:rsidRPr="000E3BBE" w14:paraId="14EF5899" w14:textId="77777777" w:rsidTr="00F011CB">
        <w:tc>
          <w:tcPr>
            <w:tcW w:w="178" w:type="pct"/>
          </w:tcPr>
          <w:p w14:paraId="43E7E3C3"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100</w:t>
            </w:r>
          </w:p>
        </w:tc>
        <w:tc>
          <w:tcPr>
            <w:tcW w:w="442" w:type="pct"/>
          </w:tcPr>
          <w:p w14:paraId="32197FCA" w14:textId="77777777" w:rsidR="00491D44" w:rsidRPr="000E3BBE" w:rsidRDefault="00491D44" w:rsidP="00491D44">
            <w:pPr>
              <w:rPr>
                <w:rFonts w:ascii="Cambria" w:eastAsia="MS Mincho" w:hAnsi="Cambria" w:cs="Times New Roman"/>
                <w:sz w:val="20"/>
                <w:szCs w:val="40"/>
              </w:rPr>
            </w:pPr>
            <w:proofErr w:type="spellStart"/>
            <w:r w:rsidRPr="000E3BBE">
              <w:rPr>
                <w:rFonts w:ascii="Cambria" w:eastAsia="MS Mincho" w:hAnsi="Cambria" w:cs="Times New Roman"/>
                <w:sz w:val="20"/>
                <w:szCs w:val="40"/>
              </w:rPr>
              <w:t>Tzotzis</w:t>
            </w:r>
            <w:proofErr w:type="spellEnd"/>
            <w:r w:rsidRPr="000E3BBE">
              <w:rPr>
                <w:rFonts w:ascii="Cambria" w:eastAsia="MS Mincho" w:hAnsi="Cambria" w:cs="Times New Roman"/>
                <w:sz w:val="20"/>
                <w:szCs w:val="40"/>
              </w:rPr>
              <w:t xml:space="preserve"> (2023)</w:t>
            </w:r>
          </w:p>
        </w:tc>
        <w:tc>
          <w:tcPr>
            <w:tcW w:w="490" w:type="pct"/>
          </w:tcPr>
          <w:p w14:paraId="17483AF5"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Experiences of Minority Ethnic Women</w:t>
            </w:r>
          </w:p>
        </w:tc>
        <w:tc>
          <w:tcPr>
            <w:tcW w:w="585" w:type="pct"/>
          </w:tcPr>
          <w:p w14:paraId="490A82E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High-income nations</w:t>
            </w:r>
          </w:p>
        </w:tc>
        <w:tc>
          <w:tcPr>
            <w:tcW w:w="512" w:type="pct"/>
          </w:tcPr>
          <w:p w14:paraId="334D813C" w14:textId="405AC502" w:rsidR="00491D44" w:rsidRPr="000E3BBE" w:rsidRDefault="00CF3E5B" w:rsidP="00491D44">
            <w:pPr>
              <w:rPr>
                <w:rFonts w:ascii="Cambria" w:eastAsia="MS Mincho" w:hAnsi="Cambria" w:cs="Times New Roman"/>
                <w:sz w:val="20"/>
                <w:szCs w:val="40"/>
              </w:rPr>
            </w:pPr>
            <w:r w:rsidRPr="000E3BBE">
              <w:rPr>
                <w:rFonts w:ascii="Cambria" w:eastAsia="MS Mincho" w:hAnsi="Cambria" w:cs="Times New Roman"/>
                <w:sz w:val="20"/>
                <w:szCs w:val="40"/>
              </w:rPr>
              <w:t>synthesize</w:t>
            </w:r>
            <w:r w:rsidR="00491D44" w:rsidRPr="000E3BBE">
              <w:rPr>
                <w:rFonts w:ascii="Cambria" w:eastAsia="MS Mincho" w:hAnsi="Cambria" w:cs="Times New Roman"/>
                <w:sz w:val="20"/>
                <w:szCs w:val="40"/>
              </w:rPr>
              <w:t xml:space="preserve"> needs experiences</w:t>
            </w:r>
          </w:p>
        </w:tc>
        <w:tc>
          <w:tcPr>
            <w:tcW w:w="462" w:type="pct"/>
          </w:tcPr>
          <w:p w14:paraId="3F63AB0C"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integrative involving minority</w:t>
            </w:r>
          </w:p>
        </w:tc>
        <w:tc>
          <w:tcPr>
            <w:tcW w:w="424" w:type="pct"/>
          </w:tcPr>
          <w:p w14:paraId="6DA5B370"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Limited: dietary practices in minority groups</w:t>
            </w:r>
          </w:p>
        </w:tc>
        <w:tc>
          <w:tcPr>
            <w:tcW w:w="507" w:type="pct"/>
          </w:tcPr>
          <w:p w14:paraId="08E1C5DA" w14:textId="4183A082" w:rsidR="00491D44" w:rsidRPr="000E3BBE" w:rsidRDefault="00CF3E5B" w:rsidP="00491D44">
            <w:pPr>
              <w:rPr>
                <w:rFonts w:ascii="Cambria" w:eastAsia="MS Mincho" w:hAnsi="Cambria" w:cs="Times New Roman"/>
                <w:sz w:val="20"/>
                <w:szCs w:val="40"/>
              </w:rPr>
            </w:pPr>
            <w:r w:rsidRPr="000E3BBE">
              <w:rPr>
                <w:rFonts w:ascii="Cambria" w:eastAsia="MS Mincho" w:hAnsi="Cambria" w:cs="Times New Roman"/>
                <w:sz w:val="20"/>
                <w:szCs w:val="40"/>
              </w:rPr>
              <w:t>Ethnicity and</w:t>
            </w:r>
            <w:r w:rsidR="00491D44" w:rsidRPr="000E3BBE">
              <w:rPr>
                <w:rFonts w:ascii="Cambria" w:eastAsia="MS Mincho" w:hAnsi="Cambria" w:cs="Times New Roman"/>
                <w:sz w:val="20"/>
                <w:szCs w:val="40"/>
              </w:rPr>
              <w:t xml:space="preserve"> cultural beliefs</w:t>
            </w:r>
          </w:p>
        </w:tc>
        <w:tc>
          <w:tcPr>
            <w:tcW w:w="412" w:type="pct"/>
          </w:tcPr>
          <w:p w14:paraId="587000E7"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N/A</w:t>
            </w:r>
          </w:p>
        </w:tc>
        <w:tc>
          <w:tcPr>
            <w:tcW w:w="507" w:type="pct"/>
          </w:tcPr>
          <w:p w14:paraId="5BDF8D69"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 context influences women</w:t>
            </w:r>
          </w:p>
        </w:tc>
        <w:tc>
          <w:tcPr>
            <w:tcW w:w="481" w:type="pct"/>
          </w:tcPr>
          <w:p w14:paraId="2A40D9C6" w14:textId="77777777" w:rsidR="00491D44" w:rsidRPr="000E3BBE" w:rsidRDefault="00491D44" w:rsidP="00491D44">
            <w:pPr>
              <w:rPr>
                <w:rFonts w:ascii="Cambria" w:eastAsia="MS Mincho" w:hAnsi="Cambria" w:cs="Times New Roman"/>
                <w:sz w:val="20"/>
                <w:szCs w:val="40"/>
              </w:rPr>
            </w:pPr>
            <w:r w:rsidRPr="000E3BBE">
              <w:rPr>
                <w:rFonts w:ascii="Cambria" w:eastAsia="MS Mincho" w:hAnsi="Cambria" w:cs="Times New Roman"/>
                <w:sz w:val="20"/>
                <w:szCs w:val="40"/>
              </w:rPr>
              <w:t>culturally responsive services needed</w:t>
            </w:r>
          </w:p>
        </w:tc>
      </w:tr>
    </w:tbl>
    <w:p w14:paraId="13228E04" w14:textId="77777777" w:rsidR="008C0631" w:rsidRDefault="008C0631" w:rsidP="00F011CB">
      <w:pPr>
        <w:rPr>
          <w:sz w:val="32"/>
          <w:szCs w:val="48"/>
        </w:rPr>
      </w:pPr>
    </w:p>
    <w:p w14:paraId="7354EAA2" w14:textId="1F0A20B0" w:rsidR="007C2DAF" w:rsidRDefault="00F011CB" w:rsidP="00780239">
      <w:r w:rsidRPr="008C0631">
        <w:rPr>
          <w:sz w:val="32"/>
          <w:szCs w:val="48"/>
        </w:rPr>
        <w:lastRenderedPageBreak/>
        <w:t xml:space="preserve"> </w:t>
      </w:r>
    </w:p>
    <w:p w14:paraId="559CC3BB" w14:textId="77777777" w:rsidR="007C2DAF" w:rsidRDefault="007C2DAF" w:rsidP="004262B2">
      <w:pPr>
        <w:pStyle w:val="Heading2"/>
      </w:pPr>
    </w:p>
    <w:sectPr w:rsidR="007C2DAF" w:rsidSect="002A1B0B">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urier">
    <w:panose1 w:val="02070409020205020404"/>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4207679"/>
    <w:multiLevelType w:val="hybridMultilevel"/>
    <w:tmpl w:val="1D1C02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F0959B2"/>
    <w:multiLevelType w:val="hybridMultilevel"/>
    <w:tmpl w:val="73C824E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D23560A"/>
    <w:multiLevelType w:val="hybridMultilevel"/>
    <w:tmpl w:val="74DA2B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A9A32CF"/>
    <w:multiLevelType w:val="hybridMultilevel"/>
    <w:tmpl w:val="F8AC71FA"/>
    <w:lvl w:ilvl="0" w:tplc="0409000F">
      <w:start w:val="1"/>
      <w:numFmt w:val="decimal"/>
      <w:lvlText w:val="%1."/>
      <w:lvlJc w:val="left"/>
      <w:pPr>
        <w:ind w:left="54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9902910">
    <w:abstractNumId w:val="9"/>
  </w:num>
  <w:num w:numId="2" w16cid:durableId="1160727925">
    <w:abstractNumId w:val="11"/>
  </w:num>
  <w:num w:numId="3" w16cid:durableId="750153171">
    <w:abstractNumId w:val="12"/>
  </w:num>
  <w:num w:numId="4" w16cid:durableId="154537259">
    <w:abstractNumId w:val="10"/>
  </w:num>
  <w:num w:numId="5" w16cid:durableId="1344238126">
    <w:abstractNumId w:val="8"/>
  </w:num>
  <w:num w:numId="6" w16cid:durableId="1440174607">
    <w:abstractNumId w:val="6"/>
  </w:num>
  <w:num w:numId="7" w16cid:durableId="1996370430">
    <w:abstractNumId w:val="5"/>
  </w:num>
  <w:num w:numId="8" w16cid:durableId="1798061570">
    <w:abstractNumId w:val="4"/>
  </w:num>
  <w:num w:numId="9" w16cid:durableId="2114550200">
    <w:abstractNumId w:val="7"/>
  </w:num>
  <w:num w:numId="10" w16cid:durableId="1683969318">
    <w:abstractNumId w:val="3"/>
  </w:num>
  <w:num w:numId="11" w16cid:durableId="1151172591">
    <w:abstractNumId w:val="2"/>
  </w:num>
  <w:num w:numId="12" w16cid:durableId="475220847">
    <w:abstractNumId w:val="1"/>
  </w:num>
  <w:num w:numId="13" w16cid:durableId="1764717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B0C"/>
    <w:rsid w:val="00054B86"/>
    <w:rsid w:val="00076419"/>
    <w:rsid w:val="000803CF"/>
    <w:rsid w:val="000C3DB6"/>
    <w:rsid w:val="000D5C12"/>
    <w:rsid w:val="000E1EB3"/>
    <w:rsid w:val="000E3BBE"/>
    <w:rsid w:val="000E465C"/>
    <w:rsid w:val="00101698"/>
    <w:rsid w:val="00127747"/>
    <w:rsid w:val="001333BC"/>
    <w:rsid w:val="00134495"/>
    <w:rsid w:val="00145BB3"/>
    <w:rsid w:val="00146280"/>
    <w:rsid w:val="001526A1"/>
    <w:rsid w:val="0016544C"/>
    <w:rsid w:val="00197F1B"/>
    <w:rsid w:val="001C0CE3"/>
    <w:rsid w:val="00226FE3"/>
    <w:rsid w:val="0025308A"/>
    <w:rsid w:val="00275C3A"/>
    <w:rsid w:val="00290969"/>
    <w:rsid w:val="002A1B0B"/>
    <w:rsid w:val="002A210B"/>
    <w:rsid w:val="002E6C87"/>
    <w:rsid w:val="002F3CA4"/>
    <w:rsid w:val="00300E9A"/>
    <w:rsid w:val="00385073"/>
    <w:rsid w:val="0039760C"/>
    <w:rsid w:val="003E2183"/>
    <w:rsid w:val="003E633D"/>
    <w:rsid w:val="003F686E"/>
    <w:rsid w:val="003F75C5"/>
    <w:rsid w:val="00412355"/>
    <w:rsid w:val="004262B2"/>
    <w:rsid w:val="00426C23"/>
    <w:rsid w:val="004522E2"/>
    <w:rsid w:val="004709A0"/>
    <w:rsid w:val="00491D44"/>
    <w:rsid w:val="004C7503"/>
    <w:rsid w:val="00521B5D"/>
    <w:rsid w:val="00531CAA"/>
    <w:rsid w:val="00533625"/>
    <w:rsid w:val="00561955"/>
    <w:rsid w:val="00575F03"/>
    <w:rsid w:val="00583ECD"/>
    <w:rsid w:val="00584C96"/>
    <w:rsid w:val="005B506A"/>
    <w:rsid w:val="005C74C1"/>
    <w:rsid w:val="00600C9E"/>
    <w:rsid w:val="00611650"/>
    <w:rsid w:val="006412AC"/>
    <w:rsid w:val="00664002"/>
    <w:rsid w:val="006C2618"/>
    <w:rsid w:val="006E243E"/>
    <w:rsid w:val="00737A9D"/>
    <w:rsid w:val="007647DA"/>
    <w:rsid w:val="007678B3"/>
    <w:rsid w:val="00780239"/>
    <w:rsid w:val="00783A19"/>
    <w:rsid w:val="00792EA8"/>
    <w:rsid w:val="00793ED2"/>
    <w:rsid w:val="007C2DAF"/>
    <w:rsid w:val="007C414E"/>
    <w:rsid w:val="007D3A1D"/>
    <w:rsid w:val="007D65EF"/>
    <w:rsid w:val="007D6B36"/>
    <w:rsid w:val="007E02A5"/>
    <w:rsid w:val="007E4D73"/>
    <w:rsid w:val="008277B9"/>
    <w:rsid w:val="00827863"/>
    <w:rsid w:val="00830346"/>
    <w:rsid w:val="00832907"/>
    <w:rsid w:val="00835B25"/>
    <w:rsid w:val="00852D59"/>
    <w:rsid w:val="00854735"/>
    <w:rsid w:val="00860FC3"/>
    <w:rsid w:val="00870BA6"/>
    <w:rsid w:val="00877A2D"/>
    <w:rsid w:val="00883ECE"/>
    <w:rsid w:val="008A0DBD"/>
    <w:rsid w:val="008C0631"/>
    <w:rsid w:val="008D2124"/>
    <w:rsid w:val="008D319A"/>
    <w:rsid w:val="008D48FA"/>
    <w:rsid w:val="008E4CCD"/>
    <w:rsid w:val="00912DDD"/>
    <w:rsid w:val="009A2DCA"/>
    <w:rsid w:val="009C6B3B"/>
    <w:rsid w:val="009C7A50"/>
    <w:rsid w:val="00A05B2C"/>
    <w:rsid w:val="00A149D3"/>
    <w:rsid w:val="00A2165D"/>
    <w:rsid w:val="00A64275"/>
    <w:rsid w:val="00A6624C"/>
    <w:rsid w:val="00B16209"/>
    <w:rsid w:val="00B30CB9"/>
    <w:rsid w:val="00B35F8C"/>
    <w:rsid w:val="00B47199"/>
    <w:rsid w:val="00B47E38"/>
    <w:rsid w:val="00BD6081"/>
    <w:rsid w:val="00C00503"/>
    <w:rsid w:val="00C10949"/>
    <w:rsid w:val="00C14A12"/>
    <w:rsid w:val="00C379B4"/>
    <w:rsid w:val="00C62701"/>
    <w:rsid w:val="00C725DE"/>
    <w:rsid w:val="00C938C2"/>
    <w:rsid w:val="00C960A9"/>
    <w:rsid w:val="00CD6F5E"/>
    <w:rsid w:val="00CE58C6"/>
    <w:rsid w:val="00CF3E5B"/>
    <w:rsid w:val="00D6087E"/>
    <w:rsid w:val="00D67E99"/>
    <w:rsid w:val="00D762ED"/>
    <w:rsid w:val="00E46787"/>
    <w:rsid w:val="00E47452"/>
    <w:rsid w:val="00E76257"/>
    <w:rsid w:val="00E927FD"/>
    <w:rsid w:val="00EB4EA8"/>
    <w:rsid w:val="00EB6506"/>
    <w:rsid w:val="00EC677F"/>
    <w:rsid w:val="00F011CB"/>
    <w:rsid w:val="00F356F4"/>
    <w:rsid w:val="00F50B0C"/>
    <w:rsid w:val="00F51464"/>
    <w:rsid w:val="00F65D6B"/>
    <w:rsid w:val="00FB08C6"/>
    <w:rsid w:val="00FE09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0CB5A"/>
  <w15:chartTrackingRefBased/>
  <w15:docId w15:val="{2B659F9B-0998-4263-8F91-C21B4B9F8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243E"/>
    <w:pPr>
      <w:keepNext/>
      <w:keepLines/>
      <w:spacing w:before="360" w:after="80"/>
      <w:outlineLvl w:val="0"/>
    </w:pPr>
    <w:rPr>
      <w:rFonts w:ascii="Times New Roman" w:eastAsiaTheme="majorEastAsia" w:hAnsi="Times New Roman" w:cstheme="majorBidi"/>
      <w:sz w:val="28"/>
      <w:szCs w:val="40"/>
    </w:rPr>
  </w:style>
  <w:style w:type="paragraph" w:styleId="Heading2">
    <w:name w:val="heading 2"/>
    <w:basedOn w:val="Normal"/>
    <w:next w:val="Normal"/>
    <w:link w:val="Heading2Char"/>
    <w:uiPriority w:val="9"/>
    <w:unhideWhenUsed/>
    <w:qFormat/>
    <w:rsid w:val="00F50B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50B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B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B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B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B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B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B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43E"/>
    <w:rPr>
      <w:rFonts w:ascii="Times New Roman" w:eastAsiaTheme="majorEastAsia" w:hAnsi="Times New Roman" w:cstheme="majorBidi"/>
      <w:sz w:val="28"/>
      <w:szCs w:val="40"/>
    </w:rPr>
  </w:style>
  <w:style w:type="character" w:customStyle="1" w:styleId="Heading2Char">
    <w:name w:val="Heading 2 Char"/>
    <w:basedOn w:val="DefaultParagraphFont"/>
    <w:link w:val="Heading2"/>
    <w:uiPriority w:val="9"/>
    <w:rsid w:val="00F50B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50B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B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B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B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B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B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B0C"/>
    <w:rPr>
      <w:rFonts w:eastAsiaTheme="majorEastAsia" w:cstheme="majorBidi"/>
      <w:color w:val="272727" w:themeColor="text1" w:themeTint="D8"/>
    </w:rPr>
  </w:style>
  <w:style w:type="paragraph" w:styleId="Title">
    <w:name w:val="Title"/>
    <w:basedOn w:val="Normal"/>
    <w:next w:val="Normal"/>
    <w:link w:val="TitleChar"/>
    <w:uiPriority w:val="10"/>
    <w:qFormat/>
    <w:rsid w:val="00F50B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B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B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B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B0C"/>
    <w:pPr>
      <w:spacing w:before="160"/>
      <w:jc w:val="center"/>
    </w:pPr>
    <w:rPr>
      <w:i/>
      <w:iCs/>
      <w:color w:val="404040" w:themeColor="text1" w:themeTint="BF"/>
    </w:rPr>
  </w:style>
  <w:style w:type="character" w:customStyle="1" w:styleId="QuoteChar">
    <w:name w:val="Quote Char"/>
    <w:basedOn w:val="DefaultParagraphFont"/>
    <w:link w:val="Quote"/>
    <w:uiPriority w:val="29"/>
    <w:rsid w:val="00F50B0C"/>
    <w:rPr>
      <w:i/>
      <w:iCs/>
      <w:color w:val="404040" w:themeColor="text1" w:themeTint="BF"/>
    </w:rPr>
  </w:style>
  <w:style w:type="paragraph" w:styleId="ListParagraph">
    <w:name w:val="List Paragraph"/>
    <w:basedOn w:val="Normal"/>
    <w:uiPriority w:val="34"/>
    <w:qFormat/>
    <w:rsid w:val="00F50B0C"/>
    <w:pPr>
      <w:ind w:left="720"/>
      <w:contextualSpacing/>
    </w:pPr>
  </w:style>
  <w:style w:type="character" w:styleId="IntenseEmphasis">
    <w:name w:val="Intense Emphasis"/>
    <w:basedOn w:val="DefaultParagraphFont"/>
    <w:uiPriority w:val="21"/>
    <w:qFormat/>
    <w:rsid w:val="00F50B0C"/>
    <w:rPr>
      <w:i/>
      <w:iCs/>
      <w:color w:val="0F4761" w:themeColor="accent1" w:themeShade="BF"/>
    </w:rPr>
  </w:style>
  <w:style w:type="paragraph" w:styleId="IntenseQuote">
    <w:name w:val="Intense Quote"/>
    <w:basedOn w:val="Normal"/>
    <w:next w:val="Normal"/>
    <w:link w:val="IntenseQuoteChar"/>
    <w:uiPriority w:val="30"/>
    <w:qFormat/>
    <w:rsid w:val="00F50B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B0C"/>
    <w:rPr>
      <w:i/>
      <w:iCs/>
      <w:color w:val="0F4761" w:themeColor="accent1" w:themeShade="BF"/>
    </w:rPr>
  </w:style>
  <w:style w:type="character" w:styleId="IntenseReference">
    <w:name w:val="Intense Reference"/>
    <w:basedOn w:val="DefaultParagraphFont"/>
    <w:uiPriority w:val="32"/>
    <w:qFormat/>
    <w:rsid w:val="00F50B0C"/>
    <w:rPr>
      <w:b/>
      <w:bCs/>
      <w:smallCaps/>
      <w:color w:val="0F4761" w:themeColor="accent1" w:themeShade="BF"/>
      <w:spacing w:val="5"/>
    </w:rPr>
  </w:style>
  <w:style w:type="paragraph" w:styleId="Header">
    <w:name w:val="header"/>
    <w:basedOn w:val="Normal"/>
    <w:link w:val="HeaderChar"/>
    <w:uiPriority w:val="99"/>
    <w:unhideWhenUsed/>
    <w:rsid w:val="00533625"/>
    <w:pPr>
      <w:tabs>
        <w:tab w:val="center" w:pos="4680"/>
        <w:tab w:val="right" w:pos="9360"/>
      </w:tabs>
      <w:spacing w:after="0" w:line="240" w:lineRule="auto"/>
    </w:pPr>
    <w:rPr>
      <w:rFonts w:eastAsiaTheme="minorEastAsia"/>
      <w:kern w:val="0"/>
      <w:sz w:val="22"/>
      <w:szCs w:val="22"/>
      <w14:ligatures w14:val="none"/>
    </w:rPr>
  </w:style>
  <w:style w:type="character" w:customStyle="1" w:styleId="HeaderChar">
    <w:name w:val="Header Char"/>
    <w:basedOn w:val="DefaultParagraphFont"/>
    <w:link w:val="Header"/>
    <w:uiPriority w:val="99"/>
    <w:rsid w:val="00533625"/>
    <w:rPr>
      <w:rFonts w:eastAsiaTheme="minorEastAsia"/>
      <w:kern w:val="0"/>
      <w:sz w:val="22"/>
      <w:szCs w:val="22"/>
      <w14:ligatures w14:val="none"/>
    </w:rPr>
  </w:style>
  <w:style w:type="paragraph" w:styleId="Footer">
    <w:name w:val="footer"/>
    <w:basedOn w:val="Normal"/>
    <w:link w:val="FooterChar"/>
    <w:uiPriority w:val="99"/>
    <w:unhideWhenUsed/>
    <w:rsid w:val="00533625"/>
    <w:pPr>
      <w:tabs>
        <w:tab w:val="center" w:pos="4680"/>
        <w:tab w:val="right" w:pos="9360"/>
      </w:tabs>
      <w:spacing w:after="0" w:line="240" w:lineRule="auto"/>
    </w:pPr>
    <w:rPr>
      <w:rFonts w:eastAsiaTheme="minorEastAsia"/>
      <w:kern w:val="0"/>
      <w:sz w:val="22"/>
      <w:szCs w:val="22"/>
      <w14:ligatures w14:val="none"/>
    </w:rPr>
  </w:style>
  <w:style w:type="character" w:customStyle="1" w:styleId="FooterChar">
    <w:name w:val="Footer Char"/>
    <w:basedOn w:val="DefaultParagraphFont"/>
    <w:link w:val="Footer"/>
    <w:uiPriority w:val="99"/>
    <w:rsid w:val="00533625"/>
    <w:rPr>
      <w:rFonts w:eastAsiaTheme="minorEastAsia"/>
      <w:kern w:val="0"/>
      <w:sz w:val="22"/>
      <w:szCs w:val="22"/>
      <w14:ligatures w14:val="none"/>
    </w:rPr>
  </w:style>
  <w:style w:type="paragraph" w:styleId="NoSpacing">
    <w:name w:val="No Spacing"/>
    <w:uiPriority w:val="1"/>
    <w:qFormat/>
    <w:rsid w:val="00533625"/>
    <w:pPr>
      <w:spacing w:after="0" w:line="240" w:lineRule="auto"/>
    </w:pPr>
    <w:rPr>
      <w:rFonts w:eastAsiaTheme="minorEastAsia"/>
      <w:kern w:val="0"/>
      <w:sz w:val="22"/>
      <w:szCs w:val="22"/>
      <w14:ligatures w14:val="none"/>
    </w:rPr>
  </w:style>
  <w:style w:type="paragraph" w:styleId="BodyText">
    <w:name w:val="Body Text"/>
    <w:basedOn w:val="Normal"/>
    <w:link w:val="BodyTextChar"/>
    <w:uiPriority w:val="99"/>
    <w:unhideWhenUsed/>
    <w:rsid w:val="00533625"/>
    <w:pPr>
      <w:spacing w:after="120" w:line="276" w:lineRule="auto"/>
    </w:pPr>
    <w:rPr>
      <w:rFonts w:eastAsiaTheme="minorEastAsia"/>
      <w:kern w:val="0"/>
      <w:sz w:val="22"/>
      <w:szCs w:val="22"/>
      <w14:ligatures w14:val="none"/>
    </w:rPr>
  </w:style>
  <w:style w:type="character" w:customStyle="1" w:styleId="BodyTextChar">
    <w:name w:val="Body Text Char"/>
    <w:basedOn w:val="DefaultParagraphFont"/>
    <w:link w:val="BodyText"/>
    <w:uiPriority w:val="99"/>
    <w:rsid w:val="00533625"/>
    <w:rPr>
      <w:rFonts w:eastAsiaTheme="minorEastAsia"/>
      <w:kern w:val="0"/>
      <w:sz w:val="22"/>
      <w:szCs w:val="22"/>
      <w14:ligatures w14:val="none"/>
    </w:rPr>
  </w:style>
  <w:style w:type="paragraph" w:styleId="BodyText2">
    <w:name w:val="Body Text 2"/>
    <w:basedOn w:val="Normal"/>
    <w:link w:val="BodyText2Char"/>
    <w:uiPriority w:val="99"/>
    <w:unhideWhenUsed/>
    <w:rsid w:val="00533625"/>
    <w:pPr>
      <w:spacing w:after="120" w:line="480" w:lineRule="auto"/>
    </w:pPr>
    <w:rPr>
      <w:rFonts w:eastAsiaTheme="minorEastAsia"/>
      <w:kern w:val="0"/>
      <w:sz w:val="22"/>
      <w:szCs w:val="22"/>
      <w14:ligatures w14:val="none"/>
    </w:rPr>
  </w:style>
  <w:style w:type="character" w:customStyle="1" w:styleId="BodyText2Char">
    <w:name w:val="Body Text 2 Char"/>
    <w:basedOn w:val="DefaultParagraphFont"/>
    <w:link w:val="BodyText2"/>
    <w:uiPriority w:val="99"/>
    <w:rsid w:val="00533625"/>
    <w:rPr>
      <w:rFonts w:eastAsiaTheme="minorEastAsia"/>
      <w:kern w:val="0"/>
      <w:sz w:val="22"/>
      <w:szCs w:val="22"/>
      <w14:ligatures w14:val="none"/>
    </w:rPr>
  </w:style>
  <w:style w:type="paragraph" w:styleId="BodyText3">
    <w:name w:val="Body Text 3"/>
    <w:basedOn w:val="Normal"/>
    <w:link w:val="BodyText3Char"/>
    <w:uiPriority w:val="99"/>
    <w:unhideWhenUsed/>
    <w:rsid w:val="00533625"/>
    <w:pPr>
      <w:spacing w:after="120" w:line="276" w:lineRule="auto"/>
    </w:pPr>
    <w:rPr>
      <w:rFonts w:eastAsiaTheme="minorEastAsia"/>
      <w:kern w:val="0"/>
      <w:sz w:val="16"/>
      <w:szCs w:val="16"/>
      <w14:ligatures w14:val="none"/>
    </w:rPr>
  </w:style>
  <w:style w:type="character" w:customStyle="1" w:styleId="BodyText3Char">
    <w:name w:val="Body Text 3 Char"/>
    <w:basedOn w:val="DefaultParagraphFont"/>
    <w:link w:val="BodyText3"/>
    <w:uiPriority w:val="99"/>
    <w:rsid w:val="00533625"/>
    <w:rPr>
      <w:rFonts w:eastAsiaTheme="minorEastAsia"/>
      <w:kern w:val="0"/>
      <w:sz w:val="16"/>
      <w:szCs w:val="16"/>
      <w14:ligatures w14:val="none"/>
    </w:rPr>
  </w:style>
  <w:style w:type="paragraph" w:styleId="List">
    <w:name w:val="List"/>
    <w:basedOn w:val="Normal"/>
    <w:uiPriority w:val="99"/>
    <w:unhideWhenUsed/>
    <w:rsid w:val="00533625"/>
    <w:pPr>
      <w:spacing w:after="200" w:line="276" w:lineRule="auto"/>
      <w:ind w:left="360" w:hanging="360"/>
      <w:contextualSpacing/>
    </w:pPr>
    <w:rPr>
      <w:rFonts w:eastAsiaTheme="minorEastAsia"/>
      <w:kern w:val="0"/>
      <w:sz w:val="22"/>
      <w:szCs w:val="22"/>
      <w14:ligatures w14:val="none"/>
    </w:rPr>
  </w:style>
  <w:style w:type="paragraph" w:styleId="List2">
    <w:name w:val="List 2"/>
    <w:basedOn w:val="Normal"/>
    <w:uiPriority w:val="99"/>
    <w:unhideWhenUsed/>
    <w:rsid w:val="00533625"/>
    <w:pPr>
      <w:spacing w:after="200" w:line="276" w:lineRule="auto"/>
      <w:ind w:left="720" w:hanging="360"/>
      <w:contextualSpacing/>
    </w:pPr>
    <w:rPr>
      <w:rFonts w:eastAsiaTheme="minorEastAsia"/>
      <w:kern w:val="0"/>
      <w:sz w:val="22"/>
      <w:szCs w:val="22"/>
      <w14:ligatures w14:val="none"/>
    </w:rPr>
  </w:style>
  <w:style w:type="paragraph" w:styleId="List3">
    <w:name w:val="List 3"/>
    <w:basedOn w:val="Normal"/>
    <w:uiPriority w:val="99"/>
    <w:unhideWhenUsed/>
    <w:rsid w:val="00533625"/>
    <w:pPr>
      <w:spacing w:after="200" w:line="276" w:lineRule="auto"/>
      <w:ind w:left="1080" w:hanging="360"/>
      <w:contextualSpacing/>
    </w:pPr>
    <w:rPr>
      <w:rFonts w:eastAsiaTheme="minorEastAsia"/>
      <w:kern w:val="0"/>
      <w:sz w:val="22"/>
      <w:szCs w:val="22"/>
      <w14:ligatures w14:val="none"/>
    </w:rPr>
  </w:style>
  <w:style w:type="paragraph" w:styleId="ListBullet">
    <w:name w:val="List Bullet"/>
    <w:basedOn w:val="Normal"/>
    <w:uiPriority w:val="99"/>
    <w:unhideWhenUsed/>
    <w:rsid w:val="00533625"/>
    <w:pPr>
      <w:numPr>
        <w:numId w:val="5"/>
      </w:numPr>
      <w:tabs>
        <w:tab w:val="clear" w:pos="360"/>
      </w:tabs>
      <w:spacing w:after="200" w:line="276" w:lineRule="auto"/>
      <w:ind w:left="0" w:firstLine="0"/>
      <w:contextualSpacing/>
    </w:pPr>
    <w:rPr>
      <w:rFonts w:eastAsiaTheme="minorEastAsia"/>
      <w:kern w:val="0"/>
      <w:sz w:val="22"/>
      <w:szCs w:val="22"/>
      <w14:ligatures w14:val="none"/>
    </w:rPr>
  </w:style>
  <w:style w:type="paragraph" w:styleId="ListBullet2">
    <w:name w:val="List Bullet 2"/>
    <w:basedOn w:val="Normal"/>
    <w:uiPriority w:val="99"/>
    <w:unhideWhenUsed/>
    <w:rsid w:val="00533625"/>
    <w:pPr>
      <w:numPr>
        <w:numId w:val="6"/>
      </w:numPr>
      <w:tabs>
        <w:tab w:val="clear" w:pos="720"/>
      </w:tabs>
      <w:spacing w:after="200" w:line="276" w:lineRule="auto"/>
      <w:ind w:left="0" w:firstLine="0"/>
      <w:contextualSpacing/>
    </w:pPr>
    <w:rPr>
      <w:rFonts w:eastAsiaTheme="minorEastAsia"/>
      <w:kern w:val="0"/>
      <w:sz w:val="22"/>
      <w:szCs w:val="22"/>
      <w14:ligatures w14:val="none"/>
    </w:rPr>
  </w:style>
  <w:style w:type="paragraph" w:styleId="ListBullet3">
    <w:name w:val="List Bullet 3"/>
    <w:basedOn w:val="Normal"/>
    <w:uiPriority w:val="99"/>
    <w:unhideWhenUsed/>
    <w:rsid w:val="00533625"/>
    <w:pPr>
      <w:numPr>
        <w:numId w:val="7"/>
      </w:numPr>
      <w:tabs>
        <w:tab w:val="clear" w:pos="1080"/>
      </w:tabs>
      <w:spacing w:after="200" w:line="276" w:lineRule="auto"/>
      <w:ind w:left="0" w:firstLine="0"/>
      <w:contextualSpacing/>
    </w:pPr>
    <w:rPr>
      <w:rFonts w:eastAsiaTheme="minorEastAsia"/>
      <w:kern w:val="0"/>
      <w:sz w:val="22"/>
      <w:szCs w:val="22"/>
      <w14:ligatures w14:val="none"/>
    </w:rPr>
  </w:style>
  <w:style w:type="paragraph" w:styleId="ListNumber">
    <w:name w:val="List Number"/>
    <w:basedOn w:val="Normal"/>
    <w:uiPriority w:val="99"/>
    <w:unhideWhenUsed/>
    <w:rsid w:val="00533625"/>
    <w:pPr>
      <w:numPr>
        <w:numId w:val="9"/>
      </w:numPr>
      <w:tabs>
        <w:tab w:val="clear" w:pos="360"/>
      </w:tabs>
      <w:spacing w:after="200" w:line="276" w:lineRule="auto"/>
      <w:ind w:left="0" w:firstLine="0"/>
      <w:contextualSpacing/>
    </w:pPr>
    <w:rPr>
      <w:rFonts w:eastAsiaTheme="minorEastAsia"/>
      <w:kern w:val="0"/>
      <w:sz w:val="22"/>
      <w:szCs w:val="22"/>
      <w14:ligatures w14:val="none"/>
    </w:rPr>
  </w:style>
  <w:style w:type="paragraph" w:styleId="ListNumber2">
    <w:name w:val="List Number 2"/>
    <w:basedOn w:val="Normal"/>
    <w:uiPriority w:val="99"/>
    <w:unhideWhenUsed/>
    <w:rsid w:val="00533625"/>
    <w:pPr>
      <w:numPr>
        <w:numId w:val="10"/>
      </w:numPr>
      <w:tabs>
        <w:tab w:val="clear" w:pos="720"/>
      </w:tabs>
      <w:spacing w:after="200" w:line="276" w:lineRule="auto"/>
      <w:ind w:left="0" w:firstLine="0"/>
      <w:contextualSpacing/>
    </w:pPr>
    <w:rPr>
      <w:rFonts w:eastAsiaTheme="minorEastAsia"/>
      <w:kern w:val="0"/>
      <w:sz w:val="22"/>
      <w:szCs w:val="22"/>
      <w14:ligatures w14:val="none"/>
    </w:rPr>
  </w:style>
  <w:style w:type="paragraph" w:styleId="ListNumber3">
    <w:name w:val="List Number 3"/>
    <w:basedOn w:val="Normal"/>
    <w:uiPriority w:val="99"/>
    <w:unhideWhenUsed/>
    <w:rsid w:val="00533625"/>
    <w:pPr>
      <w:numPr>
        <w:numId w:val="11"/>
      </w:numPr>
      <w:tabs>
        <w:tab w:val="clear" w:pos="1080"/>
      </w:tabs>
      <w:spacing w:after="200" w:line="276" w:lineRule="auto"/>
      <w:ind w:left="0" w:firstLine="0"/>
      <w:contextualSpacing/>
    </w:pPr>
    <w:rPr>
      <w:rFonts w:eastAsiaTheme="minorEastAsia"/>
      <w:kern w:val="0"/>
      <w:sz w:val="22"/>
      <w:szCs w:val="22"/>
      <w14:ligatures w14:val="none"/>
    </w:rPr>
  </w:style>
  <w:style w:type="paragraph" w:styleId="ListContinue">
    <w:name w:val="List Continue"/>
    <w:basedOn w:val="Normal"/>
    <w:uiPriority w:val="99"/>
    <w:unhideWhenUsed/>
    <w:rsid w:val="00533625"/>
    <w:pPr>
      <w:spacing w:after="120" w:line="276" w:lineRule="auto"/>
      <w:ind w:left="360"/>
      <w:contextualSpacing/>
    </w:pPr>
    <w:rPr>
      <w:rFonts w:eastAsiaTheme="minorEastAsia"/>
      <w:kern w:val="0"/>
      <w:sz w:val="22"/>
      <w:szCs w:val="22"/>
      <w14:ligatures w14:val="none"/>
    </w:rPr>
  </w:style>
  <w:style w:type="paragraph" w:styleId="ListContinue2">
    <w:name w:val="List Continue 2"/>
    <w:basedOn w:val="Normal"/>
    <w:uiPriority w:val="99"/>
    <w:unhideWhenUsed/>
    <w:rsid w:val="00533625"/>
    <w:pPr>
      <w:spacing w:after="120" w:line="276" w:lineRule="auto"/>
      <w:ind w:left="720"/>
      <w:contextualSpacing/>
    </w:pPr>
    <w:rPr>
      <w:rFonts w:eastAsiaTheme="minorEastAsia"/>
      <w:kern w:val="0"/>
      <w:sz w:val="22"/>
      <w:szCs w:val="22"/>
      <w14:ligatures w14:val="none"/>
    </w:rPr>
  </w:style>
  <w:style w:type="paragraph" w:styleId="ListContinue3">
    <w:name w:val="List Continue 3"/>
    <w:basedOn w:val="Normal"/>
    <w:uiPriority w:val="99"/>
    <w:unhideWhenUsed/>
    <w:rsid w:val="00533625"/>
    <w:pPr>
      <w:spacing w:after="120" w:line="276" w:lineRule="auto"/>
      <w:ind w:left="1080"/>
      <w:contextualSpacing/>
    </w:pPr>
    <w:rPr>
      <w:rFonts w:eastAsiaTheme="minorEastAsia"/>
      <w:kern w:val="0"/>
      <w:sz w:val="22"/>
      <w:szCs w:val="22"/>
      <w14:ligatures w14:val="none"/>
    </w:rPr>
  </w:style>
  <w:style w:type="paragraph" w:styleId="MacroText">
    <w:name w:val="macro"/>
    <w:link w:val="MacroTextChar"/>
    <w:uiPriority w:val="99"/>
    <w:unhideWhenUsed/>
    <w:rsid w:val="00533625"/>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kern w:val="0"/>
      <w:sz w:val="20"/>
      <w:szCs w:val="20"/>
      <w14:ligatures w14:val="none"/>
    </w:rPr>
  </w:style>
  <w:style w:type="character" w:customStyle="1" w:styleId="MacroTextChar">
    <w:name w:val="Macro Text Char"/>
    <w:basedOn w:val="DefaultParagraphFont"/>
    <w:link w:val="MacroText"/>
    <w:uiPriority w:val="99"/>
    <w:rsid w:val="00533625"/>
    <w:rPr>
      <w:rFonts w:ascii="Courier" w:eastAsiaTheme="minorEastAsia" w:hAnsi="Courier"/>
      <w:kern w:val="0"/>
      <w:sz w:val="20"/>
      <w:szCs w:val="20"/>
      <w14:ligatures w14:val="none"/>
    </w:rPr>
  </w:style>
  <w:style w:type="paragraph" w:styleId="Caption">
    <w:name w:val="caption"/>
    <w:basedOn w:val="Normal"/>
    <w:next w:val="Normal"/>
    <w:uiPriority w:val="35"/>
    <w:semiHidden/>
    <w:unhideWhenUsed/>
    <w:qFormat/>
    <w:rsid w:val="00533625"/>
    <w:pPr>
      <w:spacing w:after="200" w:line="240" w:lineRule="auto"/>
    </w:pPr>
    <w:rPr>
      <w:rFonts w:eastAsiaTheme="minorEastAsia"/>
      <w:b/>
      <w:bCs/>
      <w:color w:val="156082" w:themeColor="accent1"/>
      <w:kern w:val="0"/>
      <w:sz w:val="18"/>
      <w:szCs w:val="18"/>
      <w14:ligatures w14:val="none"/>
    </w:rPr>
  </w:style>
  <w:style w:type="character" w:styleId="Strong">
    <w:name w:val="Strong"/>
    <w:basedOn w:val="DefaultParagraphFont"/>
    <w:uiPriority w:val="22"/>
    <w:qFormat/>
    <w:rsid w:val="00533625"/>
    <w:rPr>
      <w:b/>
      <w:bCs/>
    </w:rPr>
  </w:style>
  <w:style w:type="character" w:styleId="Emphasis">
    <w:name w:val="Emphasis"/>
    <w:basedOn w:val="DefaultParagraphFont"/>
    <w:uiPriority w:val="20"/>
    <w:qFormat/>
    <w:rsid w:val="00533625"/>
    <w:rPr>
      <w:i/>
      <w:iCs/>
    </w:rPr>
  </w:style>
  <w:style w:type="character" w:styleId="SubtleEmphasis">
    <w:name w:val="Subtle Emphasis"/>
    <w:basedOn w:val="DefaultParagraphFont"/>
    <w:uiPriority w:val="19"/>
    <w:qFormat/>
    <w:rsid w:val="00533625"/>
    <w:rPr>
      <w:i/>
      <w:iCs/>
      <w:color w:val="808080" w:themeColor="text1" w:themeTint="7F"/>
    </w:rPr>
  </w:style>
  <w:style w:type="character" w:styleId="SubtleReference">
    <w:name w:val="Subtle Reference"/>
    <w:basedOn w:val="DefaultParagraphFont"/>
    <w:uiPriority w:val="31"/>
    <w:qFormat/>
    <w:rsid w:val="00533625"/>
    <w:rPr>
      <w:smallCaps/>
      <w:color w:val="E97132" w:themeColor="accent2"/>
      <w:u w:val="single"/>
    </w:rPr>
  </w:style>
  <w:style w:type="character" w:styleId="BookTitle">
    <w:name w:val="Book Title"/>
    <w:basedOn w:val="DefaultParagraphFont"/>
    <w:uiPriority w:val="33"/>
    <w:qFormat/>
    <w:rsid w:val="00533625"/>
    <w:rPr>
      <w:b/>
      <w:bCs/>
      <w:smallCaps/>
      <w:spacing w:val="5"/>
    </w:rPr>
  </w:style>
  <w:style w:type="paragraph" w:styleId="TOCHeading">
    <w:name w:val="TOC Heading"/>
    <w:basedOn w:val="Heading1"/>
    <w:next w:val="Normal"/>
    <w:uiPriority w:val="39"/>
    <w:unhideWhenUsed/>
    <w:qFormat/>
    <w:rsid w:val="00533625"/>
    <w:pPr>
      <w:spacing w:before="480" w:after="0" w:line="276" w:lineRule="auto"/>
      <w:outlineLvl w:val="9"/>
    </w:pPr>
    <w:rPr>
      <w:rFonts w:asciiTheme="majorHAnsi" w:hAnsiTheme="majorHAnsi"/>
      <w:b/>
      <w:bCs/>
      <w:color w:val="0F4761" w:themeColor="accent1" w:themeShade="BF"/>
      <w:kern w:val="0"/>
      <w:szCs w:val="28"/>
      <w14:ligatures w14:val="none"/>
    </w:rPr>
  </w:style>
  <w:style w:type="table" w:styleId="TableGrid">
    <w:name w:val="Table Grid"/>
    <w:basedOn w:val="TableNormal"/>
    <w:uiPriority w:val="59"/>
    <w:rsid w:val="00533625"/>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533625"/>
    <w:pPr>
      <w:spacing w:after="0" w:line="240" w:lineRule="auto"/>
    </w:pPr>
    <w:rPr>
      <w:rFonts w:eastAsiaTheme="minorEastAsia"/>
      <w:color w:val="000000" w:themeColor="text1" w:themeShade="BF"/>
      <w:kern w:val="0"/>
      <w:sz w:val="22"/>
      <w:szCs w:val="22"/>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533625"/>
    <w:pPr>
      <w:spacing w:after="0" w:line="240" w:lineRule="auto"/>
    </w:pPr>
    <w:rPr>
      <w:rFonts w:eastAsiaTheme="minorEastAsia"/>
      <w:color w:val="0F4761" w:themeColor="accent1" w:themeShade="BF"/>
      <w:kern w:val="0"/>
      <w:sz w:val="22"/>
      <w:szCs w:val="22"/>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533625"/>
    <w:pPr>
      <w:spacing w:after="0" w:line="240" w:lineRule="auto"/>
    </w:pPr>
    <w:rPr>
      <w:rFonts w:eastAsiaTheme="minorEastAsia"/>
      <w:color w:val="BF4E14" w:themeColor="accent2" w:themeShade="BF"/>
      <w:kern w:val="0"/>
      <w:sz w:val="22"/>
      <w:szCs w:val="22"/>
      <w14:ligatures w14:val="none"/>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533625"/>
    <w:pPr>
      <w:spacing w:after="0" w:line="240" w:lineRule="auto"/>
    </w:pPr>
    <w:rPr>
      <w:rFonts w:eastAsiaTheme="minorEastAsia"/>
      <w:color w:val="124F1A" w:themeColor="accent3" w:themeShade="BF"/>
      <w:kern w:val="0"/>
      <w:sz w:val="22"/>
      <w:szCs w:val="22"/>
      <w14:ligatures w14:val="none"/>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533625"/>
    <w:pPr>
      <w:spacing w:after="0" w:line="240" w:lineRule="auto"/>
    </w:pPr>
    <w:rPr>
      <w:rFonts w:eastAsiaTheme="minorEastAsia"/>
      <w:color w:val="0B769F" w:themeColor="accent4" w:themeShade="BF"/>
      <w:kern w:val="0"/>
      <w:sz w:val="22"/>
      <w:szCs w:val="22"/>
      <w14:ligatures w14:val="none"/>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533625"/>
    <w:pPr>
      <w:spacing w:after="0" w:line="240" w:lineRule="auto"/>
    </w:pPr>
    <w:rPr>
      <w:rFonts w:eastAsiaTheme="minorEastAsia"/>
      <w:color w:val="77206D" w:themeColor="accent5" w:themeShade="BF"/>
      <w:kern w:val="0"/>
      <w:sz w:val="22"/>
      <w:szCs w:val="22"/>
      <w14:ligatures w14:val="none"/>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533625"/>
    <w:pPr>
      <w:spacing w:after="0" w:line="240" w:lineRule="auto"/>
    </w:pPr>
    <w:rPr>
      <w:rFonts w:eastAsiaTheme="minorEastAsia"/>
      <w:color w:val="3A7C22" w:themeColor="accent6" w:themeShade="BF"/>
      <w:kern w:val="0"/>
      <w:sz w:val="22"/>
      <w:szCs w:val="22"/>
      <w14:ligatures w14:val="none"/>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533625"/>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533625"/>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533625"/>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533625"/>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533625"/>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533625"/>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533625"/>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533625"/>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533625"/>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533625"/>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533625"/>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533625"/>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533625"/>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533625"/>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533625"/>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533625"/>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rfulShading">
    <w:name w:val="Colorful Shading"/>
    <w:basedOn w:val="TableNormal"/>
    <w:uiPriority w:val="71"/>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rfulShading-Accent4">
    <w:name w:val="Colorful Shading Accent 4"/>
    <w:basedOn w:val="TableNormal"/>
    <w:uiPriority w:val="71"/>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533625"/>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533625"/>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rfulList-Accent2">
    <w:name w:val="Colorful List Accent 2"/>
    <w:basedOn w:val="TableNormal"/>
    <w:uiPriority w:val="72"/>
    <w:rsid w:val="00533625"/>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rfulList-Accent3">
    <w:name w:val="Colorful List Accent 3"/>
    <w:basedOn w:val="TableNormal"/>
    <w:uiPriority w:val="72"/>
    <w:rsid w:val="00533625"/>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rfulList-Accent4">
    <w:name w:val="Colorful List Accent 4"/>
    <w:basedOn w:val="TableNormal"/>
    <w:uiPriority w:val="72"/>
    <w:rsid w:val="00533625"/>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rfulList-Accent5">
    <w:name w:val="Colorful List Accent 5"/>
    <w:basedOn w:val="TableNormal"/>
    <w:uiPriority w:val="72"/>
    <w:rsid w:val="00533625"/>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rfulList-Accent6">
    <w:name w:val="Colorful List Accent 6"/>
    <w:basedOn w:val="TableNormal"/>
    <w:uiPriority w:val="72"/>
    <w:rsid w:val="00533625"/>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rfulGrid">
    <w:name w:val="Colorful Grid"/>
    <w:basedOn w:val="TableNormal"/>
    <w:uiPriority w:val="73"/>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rfulGrid-Accent2">
    <w:name w:val="Colorful Grid Accent 2"/>
    <w:basedOn w:val="TableNormal"/>
    <w:uiPriority w:val="73"/>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rfulGrid-Accent3">
    <w:name w:val="Colorful Grid Accent 3"/>
    <w:basedOn w:val="TableNormal"/>
    <w:uiPriority w:val="73"/>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rfulGrid-Accent4">
    <w:name w:val="Colorful Grid Accent 4"/>
    <w:basedOn w:val="TableNormal"/>
    <w:uiPriority w:val="73"/>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rfulGrid-Accent5">
    <w:name w:val="Colorful Grid Accent 5"/>
    <w:basedOn w:val="TableNormal"/>
    <w:uiPriority w:val="73"/>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rfulGrid-Accent6">
    <w:name w:val="Colorful Grid Accent 6"/>
    <w:basedOn w:val="TableNormal"/>
    <w:uiPriority w:val="73"/>
    <w:rsid w:val="00533625"/>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numbering" w:customStyle="1" w:styleId="NoList1">
    <w:name w:val="No List1"/>
    <w:next w:val="NoList"/>
    <w:uiPriority w:val="99"/>
    <w:semiHidden/>
    <w:unhideWhenUsed/>
    <w:rsid w:val="00C10949"/>
  </w:style>
  <w:style w:type="numbering" w:customStyle="1" w:styleId="NoList2">
    <w:name w:val="No List2"/>
    <w:next w:val="NoList"/>
    <w:uiPriority w:val="99"/>
    <w:semiHidden/>
    <w:unhideWhenUsed/>
    <w:rsid w:val="00491D44"/>
  </w:style>
  <w:style w:type="paragraph" w:styleId="TOC1">
    <w:name w:val="toc 1"/>
    <w:basedOn w:val="Normal"/>
    <w:next w:val="Normal"/>
    <w:autoRedefine/>
    <w:uiPriority w:val="39"/>
    <w:unhideWhenUsed/>
    <w:rsid w:val="00FB08C6"/>
    <w:pPr>
      <w:spacing w:after="100" w:line="360" w:lineRule="auto"/>
      <w:jc w:val="both"/>
    </w:pPr>
    <w:rPr>
      <w:rFonts w:ascii="Times New Roman" w:hAnsi="Times New Roman"/>
    </w:rPr>
  </w:style>
  <w:style w:type="paragraph" w:styleId="TOC2">
    <w:name w:val="toc 2"/>
    <w:basedOn w:val="Normal"/>
    <w:next w:val="Normal"/>
    <w:autoRedefine/>
    <w:uiPriority w:val="39"/>
    <w:unhideWhenUsed/>
    <w:rsid w:val="00FB08C6"/>
    <w:pPr>
      <w:spacing w:after="100" w:line="360" w:lineRule="auto"/>
      <w:ind w:left="240"/>
      <w:jc w:val="both"/>
    </w:pPr>
    <w:rPr>
      <w:rFonts w:ascii="Times New Roman" w:hAnsi="Times New Roman"/>
    </w:rPr>
  </w:style>
  <w:style w:type="paragraph" w:styleId="TOC3">
    <w:name w:val="toc 3"/>
    <w:basedOn w:val="Normal"/>
    <w:next w:val="Normal"/>
    <w:autoRedefine/>
    <w:uiPriority w:val="39"/>
    <w:unhideWhenUsed/>
    <w:rsid w:val="00FB08C6"/>
    <w:pPr>
      <w:spacing w:after="100" w:line="360" w:lineRule="auto"/>
      <w:ind w:left="480"/>
      <w:jc w:val="both"/>
    </w:pPr>
    <w:rPr>
      <w:rFonts w:ascii="Times New Roman" w:hAnsi="Times New Roman"/>
    </w:rPr>
  </w:style>
  <w:style w:type="character" w:styleId="Hyperlink">
    <w:name w:val="Hyperlink"/>
    <w:basedOn w:val="DefaultParagraphFont"/>
    <w:uiPriority w:val="99"/>
    <w:unhideWhenUsed/>
    <w:rsid w:val="00FB08C6"/>
    <w:rPr>
      <w:color w:val="467886" w:themeColor="hyperlink"/>
      <w:u w:val="single"/>
    </w:rPr>
  </w:style>
  <w:style w:type="numbering" w:customStyle="1" w:styleId="NoList3">
    <w:name w:val="No List3"/>
    <w:next w:val="NoList"/>
    <w:uiPriority w:val="99"/>
    <w:semiHidden/>
    <w:unhideWhenUsed/>
    <w:rsid w:val="001333BC"/>
  </w:style>
  <w:style w:type="numbering" w:customStyle="1" w:styleId="NoList11">
    <w:name w:val="No List11"/>
    <w:next w:val="NoList"/>
    <w:uiPriority w:val="99"/>
    <w:semiHidden/>
    <w:unhideWhenUsed/>
    <w:rsid w:val="001333BC"/>
  </w:style>
  <w:style w:type="numbering" w:customStyle="1" w:styleId="NoList21">
    <w:name w:val="No List21"/>
    <w:next w:val="NoList"/>
    <w:uiPriority w:val="99"/>
    <w:semiHidden/>
    <w:unhideWhenUsed/>
    <w:rsid w:val="001333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104</TotalTime>
  <Pages>69</Pages>
  <Words>17537</Words>
  <Characters>99967</Characters>
  <Application>Microsoft Office Word</Application>
  <DocSecurity>0</DocSecurity>
  <Lines>833</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ummay huney</dc:creator>
  <cp:keywords/>
  <dc:description/>
  <cp:lastModifiedBy>ummay huney</cp:lastModifiedBy>
  <cp:revision>71</cp:revision>
  <dcterms:created xsi:type="dcterms:W3CDTF">2026-09-24T20:35:00Z</dcterms:created>
  <dcterms:modified xsi:type="dcterms:W3CDTF">2026-09-29T16:12:00Z</dcterms:modified>
</cp:coreProperties>
</file>