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fc000" w:val="clear"/>
            <w:vAlign w:val="center"/>
          </w:tcPr>
          <w:p w:rsidR="00000000" w:rsidDel="00000000" w:rsidP="00000000" w:rsidRDefault="00000000" w:rsidRPr="00000000" w14:paraId="00000002">
            <w:pPr>
              <w:jc w:val="left"/>
              <w:rPr/>
            </w:pPr>
            <w:r w:rsidDel="00000000" w:rsidR="00000000" w:rsidRPr="00000000">
              <w:rPr>
                <w:b w:val="1"/>
                <w:rtl w:val="0"/>
              </w:rPr>
              <w:t xml:space="preserve">Student name:</w:t>
            </w:r>
            <w:r w:rsidDel="00000000" w:rsidR="00000000" w:rsidRPr="00000000">
              <w:rPr>
                <w:rtl w:val="0"/>
              </w:rPr>
              <w:t xml:space="preserve"> Salman Ali</w:t>
            </w:r>
          </w:p>
        </w:tc>
        <w:tc>
          <w:tcPr>
            <w:tcBorders>
              <w:top w:color="000000" w:space="0" w:sz="4" w:val="single"/>
              <w:left w:color="000000" w:space="0" w:sz="4" w:val="single"/>
              <w:bottom w:color="000000" w:space="0" w:sz="4" w:val="single"/>
              <w:right w:color="000000" w:space="0" w:sz="4" w:val="single"/>
            </w:tcBorders>
            <w:shd w:fill="ffc000" w:val="clear"/>
            <w:vAlign w:val="center"/>
          </w:tcPr>
          <w:p w:rsidR="00000000" w:rsidDel="00000000" w:rsidP="00000000" w:rsidRDefault="00000000" w:rsidRPr="00000000" w14:paraId="00000003">
            <w:pPr>
              <w:jc w:val="left"/>
              <w:rPr/>
            </w:pPr>
            <w:r w:rsidDel="00000000" w:rsidR="00000000" w:rsidRPr="00000000">
              <w:rPr>
                <w:b w:val="1"/>
                <w:rtl w:val="0"/>
              </w:rPr>
              <w:t xml:space="preserve">Module:</w:t>
            </w:r>
            <w:r w:rsidDel="00000000" w:rsidR="00000000" w:rsidRPr="00000000">
              <w:rPr>
                <w:rtl w:val="0"/>
              </w:rPr>
              <w:t xml:space="preserve"> Food &amp; Beverage Operations</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fc000" w:val="clear"/>
            <w:vAlign w:val="center"/>
          </w:tcPr>
          <w:p w:rsidR="00000000" w:rsidDel="00000000" w:rsidP="00000000" w:rsidRDefault="00000000" w:rsidRPr="00000000" w14:paraId="00000004">
            <w:pPr>
              <w:jc w:val="left"/>
              <w:rPr>
                <w:b w:val="1"/>
              </w:rPr>
            </w:pPr>
            <w:r w:rsidDel="00000000" w:rsidR="00000000" w:rsidRPr="00000000">
              <w:rPr>
                <w:b w:val="1"/>
                <w:rtl w:val="0"/>
              </w:rPr>
              <w:t xml:space="preserve">Student number: 2119165</w:t>
            </w:r>
          </w:p>
        </w:tc>
        <w:tc>
          <w:tcPr>
            <w:tcBorders>
              <w:top w:color="000000" w:space="0" w:sz="4" w:val="single"/>
              <w:left w:color="000000" w:space="0" w:sz="4" w:val="single"/>
              <w:bottom w:color="000000" w:space="0" w:sz="4" w:val="single"/>
              <w:right w:color="000000" w:space="0" w:sz="4" w:val="single"/>
            </w:tcBorders>
            <w:shd w:fill="ffc000" w:val="clear"/>
            <w:vAlign w:val="center"/>
          </w:tcPr>
          <w:p w:rsidR="00000000" w:rsidDel="00000000" w:rsidP="00000000" w:rsidRDefault="00000000" w:rsidRPr="00000000" w14:paraId="00000005">
            <w:pPr>
              <w:jc w:val="left"/>
              <w:rPr/>
            </w:pPr>
            <w:r w:rsidDel="00000000" w:rsidR="00000000" w:rsidRPr="00000000">
              <w:rPr>
                <w:b w:val="1"/>
                <w:rtl w:val="0"/>
              </w:rPr>
              <w:t xml:space="preserve">Lecturers:</w:t>
            </w:r>
            <w:r w:rsidDel="00000000" w:rsidR="00000000" w:rsidRPr="00000000">
              <w:rPr>
                <w:rtl w:val="0"/>
              </w:rPr>
            </w:r>
          </w:p>
          <w:p w:rsidR="00000000" w:rsidDel="00000000" w:rsidP="00000000" w:rsidRDefault="00000000" w:rsidRPr="00000000" w14:paraId="00000006">
            <w:pPr>
              <w:jc w:val="left"/>
              <w:rPr/>
            </w:pPr>
            <w:r w:rsidDel="00000000" w:rsidR="00000000" w:rsidRPr="00000000">
              <w:rPr>
                <w:rtl w:val="0"/>
              </w:rPr>
              <w:t xml:space="preserve">Laurence Blake </w:t>
            </w:r>
          </w:p>
        </w:tc>
      </w:tr>
    </w:tbl>
    <w:p w:rsidR="00000000" w:rsidDel="00000000" w:rsidP="00000000" w:rsidRDefault="00000000" w:rsidRPr="00000000" w14:paraId="00000007">
      <w:pPr>
        <w:spacing w:after="160" w:line="256" w:lineRule="auto"/>
        <w:jc w:val="left"/>
        <w:rPr/>
      </w:pPr>
      <w:r w:rsidDel="00000000" w:rsidR="00000000" w:rsidRPr="00000000">
        <w:rPr>
          <w:rtl w:val="0"/>
        </w:rPr>
      </w:r>
    </w:p>
    <w:tbl>
      <w:tblPr>
        <w:tblStyle w:val="Table2"/>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fc000" w:val="clear"/>
            <w:vAlign w:val="center"/>
          </w:tcPr>
          <w:p w:rsidR="00000000" w:rsidDel="00000000" w:rsidP="00000000" w:rsidRDefault="00000000" w:rsidRPr="00000000" w14:paraId="00000008">
            <w:pPr>
              <w:spacing w:after="240" w:lineRule="auto"/>
              <w:rPr>
                <w:highlight w:val="white"/>
              </w:rPr>
            </w:pPr>
            <w:r w:rsidDel="00000000" w:rsidR="00000000" w:rsidRPr="00000000">
              <w:rPr>
                <w:b w:val="1"/>
                <w:rtl w:val="0"/>
              </w:rPr>
              <w:t xml:space="preserve">The topic of choice: </w:t>
            </w:r>
            <w:r w:rsidDel="00000000" w:rsidR="00000000" w:rsidRPr="00000000">
              <w:rPr>
                <w:rtl w:val="0"/>
              </w:rPr>
              <w:t xml:space="preserve">Allergies and Intolerances and the importance within the industry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c000" w:val="clear"/>
            <w:vAlign w:val="center"/>
          </w:tcPr>
          <w:p w:rsidR="00000000" w:rsidDel="00000000" w:rsidP="00000000" w:rsidRDefault="00000000" w:rsidRPr="00000000" w14:paraId="00000009">
            <w:pPr>
              <w:jc w:val="left"/>
              <w:rPr>
                <w:b w:val="1"/>
              </w:rPr>
            </w:pPr>
            <w:r w:rsidDel="00000000" w:rsidR="00000000" w:rsidRPr="00000000">
              <w:rPr>
                <w:rtl w:val="0"/>
              </w:rPr>
            </w:r>
          </w:p>
        </w:tc>
      </w:tr>
      <w:tr>
        <w:trPr>
          <w:cantSplit w:val="0"/>
          <w:trHeight w:val="2510" w:hRule="atLeast"/>
          <w:tblHeader w:val="0"/>
        </w:trPr>
        <w:tc>
          <w:tcPr>
            <w:gridSpan w:val="2"/>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0A">
            <w:pPr>
              <w:rPr>
                <w:b w:val="1"/>
              </w:rPr>
            </w:pPr>
            <w:r w:rsidDel="00000000" w:rsidR="00000000" w:rsidRPr="00000000">
              <w:rPr>
                <w:b w:val="1"/>
                <w:rtl w:val="0"/>
              </w:rPr>
              <w:t xml:space="preserve">What are allergies and intolerances?</w:t>
            </w:r>
          </w:p>
          <w:p w:rsidR="00000000" w:rsidDel="00000000" w:rsidP="00000000" w:rsidRDefault="00000000" w:rsidRPr="00000000" w14:paraId="0000000B">
            <w:pPr>
              <w:rPr/>
            </w:pPr>
            <w:r w:rsidDel="00000000" w:rsidR="00000000" w:rsidRPr="00000000">
              <w:rPr>
                <w:rtl w:val="0"/>
              </w:rPr>
              <w:t xml:space="preserve">Normal food is consumed by a human regularly. But some allergic food items may impact the immune system of an individual. The immune system of an allergic intolerant person is highly impacted with normal food items. Number of people with allergies and intolerances is increasing day by day. Allergy is the incident when a person faces physical problems. Allergy causes an itching problem. In the UK, both adults and children are impacted by this incident. Almost 2 million people in the UK have this problem (NHS.UK, 2022). At the same time, a person faces some other problems also. Such as, a blocked nose. Food intolerance indicates the intolerance of a person towards some food items. Allergic intolerance foods state the foods that are highly responsible for causing allergic problems. Caution from both the consumers and the food makers is needed for ensuring a safe food experience for the consumers. The case of Natasha is an example of ignorance from the side of food makers. A new law was developed and designed for Natasha’s case. Some normal foods cause allergic problems. Nuts are allergic to some consumers. Such as peanuts, walnuts, almonds etc. Foods with gluten content can also cause harm to the health of an allergic intolerant person. Cereals are a popular breakfast in the hospitality industry. Health concerned people use cereal as their breakfast. But this innocent food can create a great health hazard to people with allergy intolerance. Sesame seeds may seem a normal food. This normal food caused a problem for an individual named Natasha. Natasha ate a food item, which contained sesame seeds (bbc.com, 2022). Natasha faced a serious health hazard, which caused her death. Seafood can also be a source of allergic intolerance. Eggs and milk can also be sometimes sources of allergies (</w:t>
            </w:r>
            <w:r w:rsidDel="00000000" w:rsidR="00000000" w:rsidRPr="00000000">
              <w:rPr>
                <w:highlight w:val="white"/>
                <w:rtl w:val="0"/>
              </w:rPr>
              <w:t xml:space="preserve">Sung and Kwak, 2018)</w:t>
            </w:r>
            <w:r w:rsidDel="00000000" w:rsidR="00000000" w:rsidRPr="00000000">
              <w:rPr>
                <w:rtl w:val="0"/>
              </w:rPr>
              <w:t xml:space="preserve">. From the above discussion, we conclude that the mentioned topic is highly important for the industry we are talking about. In this industry, reputation is the ultimate thing. That’s why client satisfaction should be the ultimate goal of a hotel (</w:t>
            </w:r>
            <w:r w:rsidDel="00000000" w:rsidR="00000000" w:rsidRPr="00000000">
              <w:rPr>
                <w:highlight w:val="white"/>
                <w:rtl w:val="0"/>
              </w:rPr>
              <w:t xml:space="preserve">Oktadiana, Pearce and Mohammadi, 2020)</w:t>
            </w:r>
            <w:r w:rsidDel="00000000" w:rsidR="00000000" w:rsidRPr="00000000">
              <w:rPr>
                <w:rtl w:val="0"/>
              </w:rPr>
              <w:t xml:space="preserve">. That’s why they should consider the allergy and intolerance issue seriously.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b w:val="1"/>
                <w:rtl w:val="0"/>
              </w:rPr>
              <w:t xml:space="preserve">How important allergies and intolerances is to the hospitality industry?</w:t>
            </w:r>
          </w:p>
          <w:p w:rsidR="00000000" w:rsidDel="00000000" w:rsidP="00000000" w:rsidRDefault="00000000" w:rsidRPr="00000000" w14:paraId="0000000E">
            <w:pPr>
              <w:rPr/>
            </w:pPr>
            <w:r w:rsidDel="00000000" w:rsidR="00000000" w:rsidRPr="00000000">
              <w:rPr>
                <w:rtl w:val="0"/>
              </w:rPr>
              <w:t xml:space="preserve">In the hospitality industry, clients want to spend quality time. In a hotel stay, food is important for both the hotel and the clients. The foods mentioned in the previous section are normal. That’s why it becomes difficult for the hotel authority to identify the foods that cause allergic intolerance. The best way to handle this situation is to use labels on the front of each food item. All food items including the non-packaged foods should be taken under labels so that it becomes easy for a customer to identify the food items based on his preference (</w:t>
            </w:r>
            <w:r w:rsidDel="00000000" w:rsidR="00000000" w:rsidRPr="00000000">
              <w:rPr>
                <w:highlight w:val="white"/>
                <w:rtl w:val="0"/>
              </w:rPr>
              <w:t xml:space="preserve">Dzwolak, 2017)</w:t>
            </w:r>
            <w:r w:rsidDel="00000000" w:rsidR="00000000" w:rsidRPr="00000000">
              <w:rPr>
                <w:rtl w:val="0"/>
              </w:rPr>
              <w:t xml:space="preserve">. </w:t>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b w:val="1"/>
                <w:rtl w:val="0"/>
              </w:rPr>
              <w:t xml:space="preserve">Overview of the existing literature</w:t>
            </w:r>
          </w:p>
          <w:p w:rsidR="00000000" w:rsidDel="00000000" w:rsidP="00000000" w:rsidRDefault="00000000" w:rsidRPr="00000000" w14:paraId="00000012">
            <w:pPr>
              <w:rPr/>
            </w:pPr>
            <w:r w:rsidDel="00000000" w:rsidR="00000000" w:rsidRPr="00000000">
              <w:rPr>
                <w:rtl w:val="0"/>
              </w:rPr>
              <w:t xml:space="preserve">I was learn lots of new things from Lectures and you tube video at class about Allergies and Intolerances. I was interested to know how some harmless food elements can hamper a person who is sensitive to allergies. To increase my in depth knowledge in this topic, I searched different articles online and gathered some necessary information. At the same time, I was waiting for an opportunity to hear from someone others regarding this topic. That’s why I participated in one group discussion (</w:t>
            </w:r>
            <w:r w:rsidDel="00000000" w:rsidR="00000000" w:rsidRPr="00000000">
              <w:rPr>
                <w:highlight w:val="white"/>
                <w:rtl w:val="0"/>
              </w:rPr>
              <w:t xml:space="preserve">Gallo, Naviglio and Ferrara, 2014)</w:t>
            </w:r>
            <w:r w:rsidDel="00000000" w:rsidR="00000000" w:rsidRPr="00000000">
              <w:rPr>
                <w:rtl w:val="0"/>
              </w:rPr>
              <w:t xml:space="preserve">. My groupmate referred to a study conducted by (</w:t>
            </w:r>
            <w:r w:rsidDel="00000000" w:rsidR="00000000" w:rsidRPr="00000000">
              <w:rPr>
                <w:highlight w:val="white"/>
                <w:rtl w:val="0"/>
              </w:rPr>
              <w:t xml:space="preserve">Schiefert and Matteucci, 2018)</w:t>
            </w:r>
            <w:r w:rsidDel="00000000" w:rsidR="00000000" w:rsidRPr="00000000">
              <w:rPr>
                <w:rtl w:val="0"/>
              </w:rPr>
              <w:t xml:space="preserve"> I also added to his point. I studied a study that clients are also sometimes ignorant of their allergies. They do not know all foods that cause them allergies. Because clients visit a hotel from different nationalities. They visit the hotel and explore foods of other cultures. These food items may be allergic to them. Sometimes, the client knows much important information regarding his health (</w:t>
            </w:r>
            <w:r w:rsidDel="00000000" w:rsidR="00000000" w:rsidRPr="00000000">
              <w:rPr>
                <w:highlight w:val="white"/>
                <w:rtl w:val="0"/>
              </w:rPr>
              <w:t xml:space="preserve">Serdar, 2020)</w:t>
            </w:r>
            <w:r w:rsidDel="00000000" w:rsidR="00000000" w:rsidRPr="00000000">
              <w:rPr>
                <w:rtl w:val="0"/>
              </w:rPr>
              <w:t xml:space="preserve">. But he does not disclose it to the hotel authority. If they disclose necessary information, it will be easy for the hotel authority to prepare food for them by considering the guideline given by the customer. Another group made divided the food items into two categories. The first one is packaged food and the second one is freshly prepared food. These two types of foods have a basic difference. Packaged food items contain the list of the ingredients used to prepare the food. At the same time, packaged food items are packaged by maintaining certain rules and regulations (</w:t>
            </w:r>
            <w:r w:rsidDel="00000000" w:rsidR="00000000" w:rsidRPr="00000000">
              <w:rPr>
                <w:highlight w:val="white"/>
                <w:rtl w:val="0"/>
              </w:rPr>
              <w:t xml:space="preserve">Bordelon, 2016)</w:t>
            </w:r>
            <w:r w:rsidDel="00000000" w:rsidR="00000000" w:rsidRPr="00000000">
              <w:rPr>
                <w:rtl w:val="0"/>
              </w:rPr>
              <w:t xml:space="preserve">. A client can go through the list of ingredients and decide whether he will consume the food or not. But is difficult for a kitchen to manage a separate space for an individual. They prepare foods with ultimate effort. But sometimes, some allergic ingredients may come into touch with the cooking procedure, which may hamper the enjoyment of a client. </w:t>
            </w:r>
          </w:p>
          <w:p w:rsidR="00000000" w:rsidDel="00000000" w:rsidP="00000000" w:rsidRDefault="00000000" w:rsidRPr="00000000" w14:paraId="00000013">
            <w:pPr>
              <w:rPr/>
            </w:pPr>
            <w:r w:rsidDel="00000000" w:rsidR="00000000" w:rsidRPr="00000000">
              <w:rPr>
                <w:rtl w:val="0"/>
              </w:rPr>
              <w:t xml:space="preserve">The above literature shows how normal foods can become highly intolerant to an individual. To remain in a safe zone, it is important for a hotel operating in the hospitality industry to deliver foods with ingredient labels so that customers can pick up their choice.   </w:t>
            </w:r>
          </w:p>
          <w:p w:rsidR="00000000" w:rsidDel="00000000" w:rsidP="00000000" w:rsidRDefault="00000000" w:rsidRPr="00000000" w14:paraId="00000014">
            <w:pPr>
              <w:rPr/>
            </w:pPr>
            <w:r w:rsidDel="00000000" w:rsidR="00000000" w:rsidRPr="00000000">
              <w:rPr>
                <w:rtl w:val="0"/>
              </w:rPr>
              <w:t xml:space="preserve">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b w:val="1"/>
              </w:rPr>
            </w:pPr>
            <w:r w:rsidDel="00000000" w:rsidR="00000000" w:rsidRPr="00000000">
              <w:rPr>
                <w:b w:val="1"/>
                <w:rtl w:val="0"/>
              </w:rPr>
              <w:t xml:space="preserve">Reference List</w:t>
            </w:r>
          </w:p>
          <w:p w:rsidR="00000000" w:rsidDel="00000000" w:rsidP="00000000" w:rsidRDefault="00000000" w:rsidRPr="00000000" w14:paraId="00000017">
            <w:pPr>
              <w:rPr>
                <w:highlight w:val="white"/>
              </w:rPr>
            </w:pPr>
            <w:r w:rsidDel="00000000" w:rsidR="00000000" w:rsidRPr="00000000">
              <w:rPr>
                <w:highlight w:val="white"/>
                <w:rtl w:val="0"/>
              </w:rPr>
              <w:t xml:space="preserve">BBC.com (2022) </w:t>
            </w:r>
            <w:r w:rsidDel="00000000" w:rsidR="00000000" w:rsidRPr="00000000">
              <w:rPr>
                <w:i w:val="1"/>
                <w:highlight w:val="white"/>
                <w:rtl w:val="0"/>
              </w:rPr>
              <w:t xml:space="preserve">www.bbc.com</w:t>
            </w:r>
            <w:r w:rsidDel="00000000" w:rsidR="00000000" w:rsidRPr="00000000">
              <w:rPr>
                <w:highlight w:val="white"/>
                <w:rtl w:val="0"/>
              </w:rPr>
              <w:t xml:space="preserve">. [online] Available at: &lt;https://www.bbc.com/news/uk-58756597&gt; [Accessed 28 May 2022].</w:t>
            </w:r>
          </w:p>
          <w:p w:rsidR="00000000" w:rsidDel="00000000" w:rsidP="00000000" w:rsidRDefault="00000000" w:rsidRPr="00000000" w14:paraId="00000018">
            <w:pPr>
              <w:rPr>
                <w:b w:val="1"/>
              </w:rPr>
            </w:pPr>
            <w:r w:rsidDel="00000000" w:rsidR="00000000" w:rsidRPr="00000000">
              <w:rPr>
                <w:rtl w:val="0"/>
              </w:rPr>
            </w:r>
          </w:p>
          <w:p w:rsidR="00000000" w:rsidDel="00000000" w:rsidP="00000000" w:rsidRDefault="00000000" w:rsidRPr="00000000" w14:paraId="00000019">
            <w:pPr>
              <w:spacing w:after="240" w:lineRule="auto"/>
              <w:rPr>
                <w:highlight w:val="white"/>
              </w:rPr>
            </w:pPr>
            <w:r w:rsidDel="00000000" w:rsidR="00000000" w:rsidRPr="00000000">
              <w:rPr>
                <w:highlight w:val="white"/>
                <w:rtl w:val="0"/>
              </w:rPr>
              <w:t xml:space="preserve">Bordelon, B.M. (2016) To travel or not to travel: exploring food allergy policy in the tourism and hospitality industry.</w:t>
            </w:r>
          </w:p>
          <w:p w:rsidR="00000000" w:rsidDel="00000000" w:rsidP="00000000" w:rsidRDefault="00000000" w:rsidRPr="00000000" w14:paraId="0000001A">
            <w:pPr>
              <w:spacing w:after="240" w:lineRule="auto"/>
              <w:rPr>
                <w:highlight w:val="white"/>
              </w:rPr>
            </w:pPr>
            <w:bookmarkStart w:colFirst="0" w:colLast="0" w:name="_gjdgxs" w:id="0"/>
            <w:bookmarkEnd w:id="0"/>
            <w:r w:rsidDel="00000000" w:rsidR="00000000" w:rsidRPr="00000000">
              <w:rPr>
                <w:highlight w:val="white"/>
                <w:rtl w:val="0"/>
              </w:rPr>
              <w:t xml:space="preserve">Dzwolak, W. (2017) Assessment of food allergen management in small food facilities. </w:t>
            </w:r>
            <w:r w:rsidDel="00000000" w:rsidR="00000000" w:rsidRPr="00000000">
              <w:rPr>
                <w:i w:val="1"/>
                <w:highlight w:val="white"/>
                <w:rtl w:val="0"/>
              </w:rPr>
              <w:t xml:space="preserve">Food control</w:t>
            </w:r>
            <w:r w:rsidDel="00000000" w:rsidR="00000000" w:rsidRPr="00000000">
              <w:rPr>
                <w:highlight w:val="white"/>
                <w:rtl w:val="0"/>
              </w:rPr>
              <w:t xml:space="preserve">, </w:t>
            </w:r>
            <w:r w:rsidDel="00000000" w:rsidR="00000000" w:rsidRPr="00000000">
              <w:rPr>
                <w:i w:val="1"/>
                <w:highlight w:val="white"/>
                <w:rtl w:val="0"/>
              </w:rPr>
              <w:t xml:space="preserve">73</w:t>
            </w:r>
            <w:r w:rsidDel="00000000" w:rsidR="00000000" w:rsidRPr="00000000">
              <w:rPr>
                <w:highlight w:val="white"/>
                <w:rtl w:val="0"/>
              </w:rPr>
              <w:t xml:space="preserve">, pp.323-331.</w:t>
            </w:r>
          </w:p>
          <w:p w:rsidR="00000000" w:rsidDel="00000000" w:rsidP="00000000" w:rsidRDefault="00000000" w:rsidRPr="00000000" w14:paraId="0000001B">
            <w:pPr>
              <w:spacing w:after="240" w:lineRule="auto"/>
              <w:rPr>
                <w:highlight w:val="white"/>
              </w:rPr>
            </w:pPr>
            <w:r w:rsidDel="00000000" w:rsidR="00000000" w:rsidRPr="00000000">
              <w:rPr>
                <w:highlight w:val="white"/>
                <w:rtl w:val="0"/>
              </w:rPr>
              <w:t xml:space="preserve">Gallo, M., Naviglio, D. and Ferrara, L. (2014) Nasunin, an antioxidant anthocyanin from eggplant peels, as natural dye to avoid food allergies and intolerances. </w:t>
            </w:r>
            <w:r w:rsidDel="00000000" w:rsidR="00000000" w:rsidRPr="00000000">
              <w:rPr>
                <w:i w:val="1"/>
                <w:highlight w:val="white"/>
                <w:rtl w:val="0"/>
              </w:rPr>
              <w:t xml:space="preserve">European Scientific Journal</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(9).</w:t>
            </w:r>
          </w:p>
          <w:p w:rsidR="00000000" w:rsidDel="00000000" w:rsidP="00000000" w:rsidRDefault="00000000" w:rsidRPr="00000000" w14:paraId="0000001C">
            <w:pPr>
              <w:spacing w:after="240" w:lineRule="auto"/>
              <w:rPr>
                <w:highlight w:val="white"/>
              </w:rPr>
            </w:pPr>
            <w:r w:rsidDel="00000000" w:rsidR="00000000" w:rsidRPr="00000000">
              <w:rPr>
                <w:highlight w:val="white"/>
                <w:rtl w:val="0"/>
              </w:rPr>
              <w:t xml:space="preserve">Oktadiana, H., Pearce, P.L. and Mohammadi, Z. (2020) Special dietary requirements: Restaurant sector responses across six tourist cities. </w:t>
            </w:r>
            <w:r w:rsidDel="00000000" w:rsidR="00000000" w:rsidRPr="00000000">
              <w:rPr>
                <w:i w:val="1"/>
                <w:highlight w:val="white"/>
                <w:rtl w:val="0"/>
              </w:rPr>
              <w:t xml:space="preserve">International Journal of Tourism Research</w:t>
            </w:r>
            <w:r w:rsidDel="00000000" w:rsidR="00000000" w:rsidRPr="00000000">
              <w:rPr>
                <w:highlight w:val="white"/>
                <w:rtl w:val="0"/>
              </w:rPr>
              <w:t xml:space="preserve">, </w:t>
            </w:r>
            <w:r w:rsidDel="00000000" w:rsidR="00000000" w:rsidRPr="00000000">
              <w:rPr>
                <w:i w:val="1"/>
                <w:highlight w:val="white"/>
                <w:rtl w:val="0"/>
              </w:rPr>
              <w:t xml:space="preserve">22</w:t>
            </w:r>
            <w:r w:rsidDel="00000000" w:rsidR="00000000" w:rsidRPr="00000000">
              <w:rPr>
                <w:highlight w:val="white"/>
                <w:rtl w:val="0"/>
              </w:rPr>
              <w:t xml:space="preserve">(4), pp.507-517.</w:t>
            </w:r>
          </w:p>
          <w:p w:rsidR="00000000" w:rsidDel="00000000" w:rsidP="00000000" w:rsidRDefault="00000000" w:rsidRPr="00000000" w14:paraId="0000001D">
            <w:pPr>
              <w:spacing w:after="240" w:lineRule="auto"/>
              <w:rPr>
                <w:highlight w:val="white"/>
              </w:rPr>
            </w:pPr>
            <w:r w:rsidDel="00000000" w:rsidR="00000000" w:rsidRPr="00000000">
              <w:rPr>
                <w:highlight w:val="white"/>
                <w:rtl w:val="0"/>
              </w:rPr>
              <w:t xml:space="preserve">Pettersson, M.E., Koppelman, G.H., Flokstra</w:t>
            </w:r>
            <w:r w:rsidDel="00000000" w:rsidR="00000000" w:rsidRPr="00000000">
              <w:rPr>
                <w:rFonts w:ascii="Cambria Math" w:cs="Cambria Math" w:eastAsia="Cambria Math" w:hAnsi="Cambria Math"/>
                <w:highlight w:val="white"/>
                <w:rtl w:val="0"/>
              </w:rPr>
              <w:t xml:space="preserve">‐</w:t>
            </w:r>
            <w:r w:rsidDel="00000000" w:rsidR="00000000" w:rsidRPr="00000000">
              <w:rPr>
                <w:highlight w:val="white"/>
                <w:rtl w:val="0"/>
              </w:rPr>
              <w:t xml:space="preserve">de Blok, B.M., Kollen, B.J. and Dubois, A.E. (2018) Prediction of the severity of allergic reactions to foods. </w:t>
            </w:r>
            <w:r w:rsidDel="00000000" w:rsidR="00000000" w:rsidRPr="00000000">
              <w:rPr>
                <w:i w:val="1"/>
                <w:highlight w:val="white"/>
                <w:rtl w:val="0"/>
              </w:rPr>
              <w:t xml:space="preserve">Allergy</w:t>
            </w:r>
            <w:r w:rsidDel="00000000" w:rsidR="00000000" w:rsidRPr="00000000">
              <w:rPr>
                <w:highlight w:val="white"/>
                <w:rtl w:val="0"/>
              </w:rPr>
              <w:t xml:space="preserve">, </w:t>
            </w:r>
            <w:r w:rsidDel="00000000" w:rsidR="00000000" w:rsidRPr="00000000">
              <w:rPr>
                <w:i w:val="1"/>
                <w:highlight w:val="white"/>
                <w:rtl w:val="0"/>
              </w:rPr>
              <w:t xml:space="preserve">73</w:t>
            </w:r>
            <w:r w:rsidDel="00000000" w:rsidR="00000000" w:rsidRPr="00000000">
              <w:rPr>
                <w:highlight w:val="white"/>
                <w:rtl w:val="0"/>
              </w:rPr>
              <w:t xml:space="preserve">(7), pp.1532-1540.</w:t>
            </w:r>
          </w:p>
          <w:p w:rsidR="00000000" w:rsidDel="00000000" w:rsidP="00000000" w:rsidRDefault="00000000" w:rsidRPr="00000000" w14:paraId="0000001E">
            <w:pPr>
              <w:spacing w:after="240" w:lineRule="auto"/>
              <w:rPr>
                <w:highlight w:val="white"/>
              </w:rPr>
            </w:pPr>
            <w:r w:rsidDel="00000000" w:rsidR="00000000" w:rsidRPr="00000000">
              <w:rPr>
                <w:highlight w:val="white"/>
                <w:rtl w:val="0"/>
              </w:rPr>
              <w:t xml:space="preserve">Schiefert, V.M. and Matteucci, X. (2018) Experiences of tourists suffering from food intolerances. </w:t>
            </w:r>
            <w:r w:rsidDel="00000000" w:rsidR="00000000" w:rsidRPr="00000000">
              <w:rPr>
                <w:i w:val="1"/>
                <w:highlight w:val="white"/>
                <w:rtl w:val="0"/>
              </w:rPr>
              <w:t xml:space="preserve">Journal of Gastronomy and Tourism</w:t>
            </w:r>
            <w:r w:rsidDel="00000000" w:rsidR="00000000" w:rsidRPr="00000000">
              <w:rPr>
                <w:highlight w:val="white"/>
                <w:rtl w:val="0"/>
              </w:rPr>
              <w:t xml:space="preserve">, </w:t>
            </w:r>
            <w:r w:rsidDel="00000000" w:rsidR="00000000" w:rsidRPr="00000000">
              <w:rPr>
                <w:i w:val="1"/>
                <w:highlight w:val="white"/>
                <w:rtl w:val="0"/>
              </w:rPr>
              <w:t xml:space="preserve">3</w:t>
            </w:r>
            <w:r w:rsidDel="00000000" w:rsidR="00000000" w:rsidRPr="00000000">
              <w:rPr>
                <w:highlight w:val="white"/>
                <w:rtl w:val="0"/>
              </w:rPr>
              <w:t xml:space="preserve">(3), pp.191-202.</w:t>
            </w:r>
          </w:p>
          <w:p w:rsidR="00000000" w:rsidDel="00000000" w:rsidP="00000000" w:rsidRDefault="00000000" w:rsidRPr="00000000" w14:paraId="0000001F">
            <w:pPr>
              <w:spacing w:after="240" w:lineRule="auto"/>
              <w:rPr>
                <w:highlight w:val="white"/>
              </w:rPr>
            </w:pPr>
            <w:r w:rsidDel="00000000" w:rsidR="00000000" w:rsidRPr="00000000">
              <w:rPr>
                <w:highlight w:val="white"/>
                <w:rtl w:val="0"/>
              </w:rPr>
              <w:t xml:space="preserve">Serdar, E.R.E.N. (2020) Food-related barriers to gastronomy and tourism: The role of food allergies and diet preferences. </w:t>
            </w:r>
            <w:r w:rsidDel="00000000" w:rsidR="00000000" w:rsidRPr="00000000">
              <w:rPr>
                <w:i w:val="1"/>
                <w:highlight w:val="white"/>
                <w:rtl w:val="0"/>
              </w:rPr>
              <w:t xml:space="preserve">MANAS Sosyal Araştırmalar Dergisi</w:t>
            </w:r>
            <w:r w:rsidDel="00000000" w:rsidR="00000000" w:rsidRPr="00000000">
              <w:rPr>
                <w:highlight w:val="white"/>
                <w:rtl w:val="0"/>
              </w:rPr>
              <w:t xml:space="preserve">, </w:t>
            </w:r>
            <w:r w:rsidDel="00000000" w:rsidR="00000000" w:rsidRPr="00000000">
              <w:rPr>
                <w:i w:val="1"/>
                <w:highlight w:val="white"/>
                <w:rtl w:val="0"/>
              </w:rPr>
              <w:t xml:space="preserve">9</w:t>
            </w:r>
            <w:r w:rsidDel="00000000" w:rsidR="00000000" w:rsidRPr="00000000">
              <w:rPr>
                <w:highlight w:val="white"/>
                <w:rtl w:val="0"/>
              </w:rPr>
              <w:t xml:space="preserve">(2), pp.1117-1129.</w:t>
            </w:r>
          </w:p>
          <w:p w:rsidR="00000000" w:rsidDel="00000000" w:rsidP="00000000" w:rsidRDefault="00000000" w:rsidRPr="00000000" w14:paraId="00000020">
            <w:pPr>
              <w:spacing w:after="240" w:lineRule="auto"/>
              <w:rPr>
                <w:highlight w:val="white"/>
              </w:rPr>
            </w:pPr>
            <w:bookmarkStart w:colFirst="0" w:colLast="0" w:name="_30j0zll" w:id="1"/>
            <w:bookmarkEnd w:id="1"/>
            <w:r w:rsidDel="00000000" w:rsidR="00000000" w:rsidRPr="00000000">
              <w:rPr>
                <w:highlight w:val="white"/>
                <w:rtl w:val="0"/>
              </w:rPr>
              <w:t xml:space="preserve">Sung, D.E. and Kwak, H.S. (2018) Food allergen management in industry. </w:t>
            </w:r>
            <w:r w:rsidDel="00000000" w:rsidR="00000000" w:rsidRPr="00000000">
              <w:rPr>
                <w:i w:val="1"/>
                <w:highlight w:val="white"/>
                <w:rtl w:val="0"/>
              </w:rPr>
              <w:t xml:space="preserve">Food Engineering Progress</w:t>
            </w:r>
            <w:r w:rsidDel="00000000" w:rsidR="00000000" w:rsidRPr="00000000">
              <w:rPr>
                <w:highlight w:val="white"/>
                <w:rtl w:val="0"/>
              </w:rPr>
              <w:t xml:space="preserve">, </w:t>
            </w:r>
            <w:r w:rsidDel="00000000" w:rsidR="00000000" w:rsidRPr="00000000">
              <w:rPr>
                <w:i w:val="1"/>
                <w:highlight w:val="white"/>
                <w:rtl w:val="0"/>
              </w:rPr>
              <w:t xml:space="preserve">22</w:t>
            </w:r>
            <w:r w:rsidDel="00000000" w:rsidR="00000000" w:rsidRPr="00000000">
              <w:rPr>
                <w:highlight w:val="white"/>
                <w:rtl w:val="0"/>
              </w:rPr>
              <w:t xml:space="preserve">(4), pp.283-294.</w:t>
            </w:r>
          </w:p>
          <w:p w:rsidR="00000000" w:rsidDel="00000000" w:rsidP="00000000" w:rsidRDefault="00000000" w:rsidRPr="00000000" w14:paraId="00000021">
            <w:pPr>
              <w:spacing w:after="240" w:lineRule="auto"/>
              <w:rPr>
                <w:b w:val="1"/>
              </w:rPr>
            </w:pPr>
            <w:r w:rsidDel="00000000" w:rsidR="00000000" w:rsidRPr="00000000">
              <w:rPr>
                <w:rtl w:val="0"/>
              </w:rPr>
            </w:r>
          </w:p>
        </w:tc>
      </w:tr>
    </w:tbl>
    <w:p w:rsidR="00000000" w:rsidDel="00000000" w:rsidP="00000000" w:rsidRDefault="00000000" w:rsidRPr="00000000" w14:paraId="00000023">
      <w:pPr>
        <w:spacing w:after="160" w:line="25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eorgia"/>
  <w:font w:name="Cambria Math">
    <w:embedRegular w:fontKey="{00000000-0000-0000-0000-000000000000}" r:id="rId1"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120" w:lineRule="auto"/>
    </w:pPr>
    <w:rPr>
      <w:rFonts w:ascii="Times New Roman" w:cs="Times New Roman" w:eastAsia="Times New Roman" w:hAnsi="Times New Roman"/>
      <w:b w:val="1"/>
      <w:color w:val="2f5496"/>
      <w:sz w:val="32"/>
      <w:szCs w:val="32"/>
    </w:rPr>
  </w:style>
  <w:style w:type="paragraph" w:styleId="Heading2">
    <w:name w:val="heading 2"/>
    <w:basedOn w:val="Normal"/>
    <w:next w:val="Normal"/>
    <w:pPr>
      <w:keepNext w:val="1"/>
      <w:keepLines w:val="1"/>
      <w:spacing w:after="120" w:before="120" w:lineRule="auto"/>
    </w:pPr>
    <w:rPr>
      <w:rFonts w:ascii="Times New Roman" w:cs="Times New Roman" w:eastAsia="Times New Roman" w:hAnsi="Times New Roman"/>
      <w:b w:val="1"/>
      <w:color w:val="2f5496"/>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