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BD20E" w14:textId="77777777" w:rsidR="00C24ECC" w:rsidRDefault="00000000">
      <w:pPr>
        <w:spacing w:after="40" w:line="240" w:lineRule="auto"/>
        <w:jc w:val="center"/>
      </w:pPr>
      <w:r>
        <w:rPr>
          <w:noProof/>
        </w:rPr>
        <w:drawing>
          <wp:inline distT="0" distB="0" distL="0" distR="0" wp14:anchorId="6FD2E7C4" wp14:editId="09124085">
            <wp:extent cx="1600200" cy="5628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1600200" cy="562884"/>
                    </a:xfrm>
                    <a:prstGeom prst="rect">
                      <a:avLst/>
                    </a:prstGeom>
                  </pic:spPr>
                </pic:pic>
              </a:graphicData>
            </a:graphic>
          </wp:inline>
        </w:drawing>
      </w:r>
    </w:p>
    <w:p w14:paraId="7FD6180F" w14:textId="77777777" w:rsidR="00C24ECC" w:rsidRDefault="00000000">
      <w:pPr>
        <w:spacing w:after="40" w:line="240" w:lineRule="auto"/>
        <w:jc w:val="center"/>
      </w:pPr>
      <w:r>
        <w:rPr>
          <w:b/>
          <w:color w:val="0058A3"/>
          <w:sz w:val="30"/>
        </w:rPr>
        <w:t>MASTER OF BUSINESS ADMINISTRATION</w:t>
      </w:r>
    </w:p>
    <w:p w14:paraId="5365E166" w14:textId="77777777" w:rsidR="00C24ECC" w:rsidRDefault="00000000">
      <w:pPr>
        <w:spacing w:after="40" w:line="240" w:lineRule="auto"/>
        <w:jc w:val="center"/>
      </w:pPr>
      <w:r>
        <w:rPr>
          <w:b/>
          <w:sz w:val="26"/>
        </w:rPr>
        <w:t>LCMB7034 - INTERNATIONAL BUSINESS CONCEPTS</w:t>
      </w:r>
    </w:p>
    <w:p w14:paraId="0684D9E7" w14:textId="77777777" w:rsidR="00C24ECC" w:rsidRDefault="00000000">
      <w:pPr>
        <w:spacing w:after="40" w:line="240" w:lineRule="auto"/>
        <w:jc w:val="center"/>
      </w:pPr>
      <w:r>
        <w:rPr>
          <w:b/>
          <w:color w:val="0058A3"/>
          <w:sz w:val="48"/>
        </w:rPr>
        <w:t>INTERNATIONAL MARKET ENTRY REPORT</w:t>
      </w:r>
    </w:p>
    <w:p w14:paraId="31A83036" w14:textId="77777777" w:rsidR="00C24ECC" w:rsidRDefault="00000000">
      <w:pPr>
        <w:spacing w:after="40" w:line="240" w:lineRule="auto"/>
        <w:jc w:val="center"/>
      </w:pPr>
      <w:r>
        <w:rPr>
          <w:b/>
          <w:color w:val="263238"/>
          <w:sz w:val="36"/>
        </w:rPr>
        <w:t>IKEA’s Proposed Entry into Kenya</w:t>
      </w:r>
    </w:p>
    <w:p w14:paraId="1C4E516D" w14:textId="77777777" w:rsidR="00C24ECC" w:rsidRDefault="00000000">
      <w:pPr>
        <w:spacing w:after="40" w:line="240" w:lineRule="auto"/>
        <w:jc w:val="center"/>
      </w:pPr>
      <w:r>
        <w:rPr>
          <w:i/>
          <w:color w:val="9C0006"/>
          <w:sz w:val="22"/>
        </w:rPr>
        <w:t>A research draft for independent rewriting</w:t>
      </w:r>
    </w:p>
    <w:p w14:paraId="039672DB" w14:textId="77777777" w:rsidR="00C24ECC" w:rsidRDefault="00000000">
      <w:pPr>
        <w:spacing w:after="40" w:line="240" w:lineRule="auto"/>
        <w:jc w:val="center"/>
      </w:pPr>
      <w:r>
        <w:rPr>
          <w:noProof/>
        </w:rPr>
        <w:drawing>
          <wp:inline distT="0" distB="0" distL="0" distR="0" wp14:anchorId="1C41DA9A" wp14:editId="256C06D6">
            <wp:extent cx="5074920" cy="18044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_montage.jpg"/>
                    <pic:cNvPicPr/>
                  </pic:nvPicPr>
                  <pic:blipFill>
                    <a:blip r:embed="rId9"/>
                    <a:stretch>
                      <a:fillRect/>
                    </a:stretch>
                  </pic:blipFill>
                  <pic:spPr>
                    <a:xfrm>
                      <a:off x="0" y="0"/>
                      <a:ext cx="5074920" cy="1804416"/>
                    </a:xfrm>
                    <a:prstGeom prst="rect">
                      <a:avLst/>
                    </a:prstGeom>
                  </pic:spPr>
                </pic:pic>
              </a:graphicData>
            </a:graphic>
          </wp:inline>
        </w:drawing>
      </w:r>
    </w:p>
    <w:p w14:paraId="3DC0EE23" w14:textId="77777777" w:rsidR="00C24ECC" w:rsidRDefault="00000000">
      <w:pPr>
        <w:pStyle w:val="SourceText"/>
        <w:spacing w:after="40" w:line="240" w:lineRule="auto"/>
        <w:jc w:val="center"/>
      </w:pPr>
      <w:r>
        <w:rPr>
          <w:sz w:val="15"/>
        </w:rPr>
        <w:t>Images: IKEA store, Montgomery County Planning Commission (CC BY-SA 2.0); Nairobi skyline, Lmwangi (CC BY-SA 3.0), via Wikimedia Commons.</w:t>
      </w:r>
    </w:p>
    <w:tbl>
      <w:tblPr>
        <w:tblStyle w:val="TableGrid"/>
        <w:tblW w:w="0" w:type="auto"/>
        <w:jc w:val="center"/>
        <w:tblLook w:val="04A0" w:firstRow="1" w:lastRow="0" w:firstColumn="1" w:lastColumn="0" w:noHBand="0" w:noVBand="1"/>
      </w:tblPr>
      <w:tblGrid>
        <w:gridCol w:w="4705"/>
        <w:gridCol w:w="4705"/>
      </w:tblGrid>
      <w:tr w:rsidR="00C24ECC" w14:paraId="0E882C59" w14:textId="77777777">
        <w:trPr>
          <w:cantSplit/>
          <w:jc w:val="center"/>
        </w:trPr>
        <w:tc>
          <w:tcPr>
            <w:tcW w:w="4705" w:type="dxa"/>
            <w:shd w:val="clear" w:color="auto" w:fill="EAF3F8"/>
            <w:tcMar>
              <w:top w:w="45" w:type="dxa"/>
              <w:left w:w="80" w:type="dxa"/>
              <w:bottom w:w="45" w:type="dxa"/>
              <w:right w:w="80" w:type="dxa"/>
            </w:tcMar>
            <w:vAlign w:val="center"/>
          </w:tcPr>
          <w:p w14:paraId="2D7C7F7F" w14:textId="77777777" w:rsidR="00C24ECC" w:rsidRDefault="00000000">
            <w:pPr>
              <w:spacing w:after="0" w:line="240" w:lineRule="auto"/>
            </w:pPr>
            <w:r>
              <w:rPr>
                <w:b/>
                <w:sz w:val="18"/>
              </w:rPr>
              <w:t>Student name</w:t>
            </w:r>
          </w:p>
        </w:tc>
        <w:tc>
          <w:tcPr>
            <w:tcW w:w="4705" w:type="dxa"/>
            <w:tcMar>
              <w:top w:w="45" w:type="dxa"/>
              <w:left w:w="80" w:type="dxa"/>
              <w:bottom w:w="45" w:type="dxa"/>
              <w:right w:w="80" w:type="dxa"/>
            </w:tcMar>
            <w:vAlign w:val="center"/>
          </w:tcPr>
          <w:p w14:paraId="1C33E941" w14:textId="3132D222" w:rsidR="00C24ECC" w:rsidRPr="006E6EC9" w:rsidRDefault="006E6EC9">
            <w:pPr>
              <w:spacing w:after="0" w:line="240" w:lineRule="auto"/>
              <w:rPr>
                <w:sz w:val="18"/>
                <w:szCs w:val="18"/>
              </w:rPr>
            </w:pPr>
            <w:r w:rsidRPr="006E6EC9">
              <w:rPr>
                <w:sz w:val="18"/>
                <w:szCs w:val="18"/>
              </w:rPr>
              <w:t>Dharmesh Tanwar</w:t>
            </w:r>
          </w:p>
        </w:tc>
      </w:tr>
      <w:tr w:rsidR="00C24ECC" w14:paraId="0C95AE46" w14:textId="77777777">
        <w:trPr>
          <w:cantSplit/>
          <w:jc w:val="center"/>
        </w:trPr>
        <w:tc>
          <w:tcPr>
            <w:tcW w:w="4705" w:type="dxa"/>
            <w:shd w:val="clear" w:color="auto" w:fill="EAF3F8"/>
            <w:tcMar>
              <w:top w:w="45" w:type="dxa"/>
              <w:left w:w="80" w:type="dxa"/>
              <w:bottom w:w="45" w:type="dxa"/>
              <w:right w:w="80" w:type="dxa"/>
            </w:tcMar>
            <w:vAlign w:val="center"/>
          </w:tcPr>
          <w:p w14:paraId="1919FB9F" w14:textId="77777777" w:rsidR="00C24ECC" w:rsidRDefault="00000000">
            <w:pPr>
              <w:spacing w:after="0" w:line="240" w:lineRule="auto"/>
            </w:pPr>
            <w:r>
              <w:rPr>
                <w:b/>
                <w:sz w:val="18"/>
              </w:rPr>
              <w:t>Student ID</w:t>
            </w:r>
          </w:p>
        </w:tc>
        <w:tc>
          <w:tcPr>
            <w:tcW w:w="4705" w:type="dxa"/>
            <w:tcMar>
              <w:top w:w="45" w:type="dxa"/>
              <w:left w:w="80" w:type="dxa"/>
              <w:bottom w:w="45" w:type="dxa"/>
              <w:right w:w="80" w:type="dxa"/>
            </w:tcMar>
            <w:vAlign w:val="center"/>
          </w:tcPr>
          <w:p w14:paraId="14D6B976" w14:textId="6A042526" w:rsidR="00C24ECC" w:rsidRPr="006E6EC9" w:rsidRDefault="006E6EC9">
            <w:pPr>
              <w:spacing w:after="0" w:line="240" w:lineRule="auto"/>
              <w:rPr>
                <w:sz w:val="18"/>
                <w:szCs w:val="18"/>
              </w:rPr>
            </w:pPr>
            <w:r w:rsidRPr="006E6EC9">
              <w:rPr>
                <w:sz w:val="18"/>
                <w:szCs w:val="18"/>
              </w:rPr>
              <w:t>2531862</w:t>
            </w:r>
          </w:p>
        </w:tc>
      </w:tr>
      <w:tr w:rsidR="00C24ECC" w14:paraId="4215CE5E" w14:textId="77777777">
        <w:trPr>
          <w:cantSplit/>
          <w:jc w:val="center"/>
        </w:trPr>
        <w:tc>
          <w:tcPr>
            <w:tcW w:w="4705" w:type="dxa"/>
            <w:shd w:val="clear" w:color="auto" w:fill="EAF3F8"/>
            <w:tcMar>
              <w:top w:w="45" w:type="dxa"/>
              <w:left w:w="80" w:type="dxa"/>
              <w:bottom w:w="45" w:type="dxa"/>
              <w:right w:w="80" w:type="dxa"/>
            </w:tcMar>
            <w:vAlign w:val="center"/>
          </w:tcPr>
          <w:p w14:paraId="654B7511" w14:textId="77777777" w:rsidR="00C24ECC" w:rsidRDefault="00000000">
            <w:pPr>
              <w:spacing w:after="0" w:line="240" w:lineRule="auto"/>
            </w:pPr>
            <w:r>
              <w:rPr>
                <w:b/>
                <w:sz w:val="18"/>
              </w:rPr>
              <w:t>Lecturers</w:t>
            </w:r>
          </w:p>
        </w:tc>
        <w:tc>
          <w:tcPr>
            <w:tcW w:w="4705" w:type="dxa"/>
            <w:tcMar>
              <w:top w:w="45" w:type="dxa"/>
              <w:left w:w="80" w:type="dxa"/>
              <w:bottom w:w="45" w:type="dxa"/>
              <w:right w:w="80" w:type="dxa"/>
            </w:tcMar>
            <w:vAlign w:val="center"/>
          </w:tcPr>
          <w:p w14:paraId="1AD6EB83" w14:textId="1F6BF145" w:rsidR="00C24ECC" w:rsidRDefault="00000000">
            <w:pPr>
              <w:spacing w:after="0" w:line="240" w:lineRule="auto"/>
            </w:pPr>
            <w:r>
              <w:rPr>
                <w:sz w:val="18"/>
              </w:rPr>
              <w:t xml:space="preserve"> </w:t>
            </w:r>
            <w:r w:rsidR="006E6EC9" w:rsidRPr="006E6EC9">
              <w:rPr>
                <w:sz w:val="18"/>
              </w:rPr>
              <w:t>Gladius Kulothungan</w:t>
            </w:r>
            <w:r w:rsidR="006E6EC9">
              <w:rPr>
                <w:sz w:val="18"/>
              </w:rPr>
              <w:t xml:space="preserve"> and </w:t>
            </w:r>
            <w:r w:rsidR="006E6EC9">
              <w:rPr>
                <w:sz w:val="18"/>
              </w:rPr>
              <w:t>Akshay Narayanan</w:t>
            </w:r>
          </w:p>
        </w:tc>
      </w:tr>
      <w:tr w:rsidR="00C24ECC" w14:paraId="50EBFF1A" w14:textId="77777777">
        <w:trPr>
          <w:cantSplit/>
          <w:jc w:val="center"/>
        </w:trPr>
        <w:tc>
          <w:tcPr>
            <w:tcW w:w="4705" w:type="dxa"/>
            <w:shd w:val="clear" w:color="auto" w:fill="EAF3F8"/>
            <w:tcMar>
              <w:top w:w="45" w:type="dxa"/>
              <w:left w:w="80" w:type="dxa"/>
              <w:bottom w:w="45" w:type="dxa"/>
              <w:right w:w="80" w:type="dxa"/>
            </w:tcMar>
            <w:vAlign w:val="center"/>
          </w:tcPr>
          <w:p w14:paraId="599AB474" w14:textId="77777777" w:rsidR="00C24ECC" w:rsidRDefault="00000000">
            <w:pPr>
              <w:spacing w:after="0" w:line="240" w:lineRule="auto"/>
            </w:pPr>
            <w:r>
              <w:rPr>
                <w:b/>
                <w:sz w:val="18"/>
              </w:rPr>
              <w:t>Submission date</w:t>
            </w:r>
          </w:p>
        </w:tc>
        <w:tc>
          <w:tcPr>
            <w:tcW w:w="4705" w:type="dxa"/>
            <w:tcMar>
              <w:top w:w="45" w:type="dxa"/>
              <w:left w:w="80" w:type="dxa"/>
              <w:bottom w:w="45" w:type="dxa"/>
              <w:right w:w="80" w:type="dxa"/>
            </w:tcMar>
            <w:vAlign w:val="center"/>
          </w:tcPr>
          <w:p w14:paraId="1F09AAD9" w14:textId="77777777" w:rsidR="00C24ECC" w:rsidRDefault="00000000">
            <w:pPr>
              <w:spacing w:after="0" w:line="240" w:lineRule="auto"/>
            </w:pPr>
            <w:r>
              <w:rPr>
                <w:sz w:val="18"/>
              </w:rPr>
              <w:t>14 August 2026</w:t>
            </w:r>
          </w:p>
        </w:tc>
      </w:tr>
      <w:tr w:rsidR="00C24ECC" w14:paraId="1C87E41F" w14:textId="77777777">
        <w:trPr>
          <w:cantSplit/>
          <w:jc w:val="center"/>
        </w:trPr>
        <w:tc>
          <w:tcPr>
            <w:tcW w:w="4705" w:type="dxa"/>
            <w:shd w:val="clear" w:color="auto" w:fill="EAF3F8"/>
            <w:tcMar>
              <w:top w:w="45" w:type="dxa"/>
              <w:left w:w="80" w:type="dxa"/>
              <w:bottom w:w="45" w:type="dxa"/>
              <w:right w:w="80" w:type="dxa"/>
            </w:tcMar>
            <w:vAlign w:val="center"/>
          </w:tcPr>
          <w:p w14:paraId="08A67219" w14:textId="77777777" w:rsidR="00C24ECC" w:rsidRDefault="00000000">
            <w:pPr>
              <w:spacing w:after="0" w:line="240" w:lineRule="auto"/>
            </w:pPr>
            <w:r>
              <w:rPr>
                <w:b/>
                <w:sz w:val="18"/>
              </w:rPr>
              <w:t>Word count</w:t>
            </w:r>
          </w:p>
        </w:tc>
        <w:tc>
          <w:tcPr>
            <w:tcW w:w="4705" w:type="dxa"/>
            <w:tcMar>
              <w:top w:w="45" w:type="dxa"/>
              <w:left w:w="80" w:type="dxa"/>
              <w:bottom w:w="45" w:type="dxa"/>
              <w:right w:w="80" w:type="dxa"/>
            </w:tcMar>
            <w:vAlign w:val="center"/>
          </w:tcPr>
          <w:p w14:paraId="7473E0E7" w14:textId="77777777" w:rsidR="00C24ECC" w:rsidRDefault="00000000">
            <w:r>
              <w:rPr>
                <w:sz w:val="20"/>
              </w:rPr>
              <w:t>5,476 words (excluding front matter, references and appendix)</w:t>
            </w:r>
          </w:p>
        </w:tc>
      </w:tr>
    </w:tbl>
    <w:p w14:paraId="244749D0" w14:textId="77777777" w:rsidR="00C24ECC" w:rsidRDefault="00000000">
      <w:pPr>
        <w:spacing w:after="40" w:line="240" w:lineRule="auto"/>
      </w:pPr>
      <w:r>
        <w:br w:type="page"/>
      </w:r>
    </w:p>
    <w:p w14:paraId="5DE76E27" w14:textId="77777777" w:rsidR="00C24ECC" w:rsidRDefault="00C24ECC">
      <w:pPr>
        <w:spacing w:after="40" w:line="240" w:lineRule="auto"/>
        <w:sectPr w:rsidR="00C24ECC">
          <w:pgSz w:w="11906" w:h="16838"/>
          <w:pgMar w:top="567" w:right="1191" w:bottom="567" w:left="1191" w:header="720" w:footer="720" w:gutter="0"/>
          <w:cols w:space="720"/>
          <w:docGrid w:linePitch="360"/>
        </w:sectPr>
      </w:pPr>
    </w:p>
    <w:p w14:paraId="1B564B2C" w14:textId="5078B78D" w:rsidR="00C24ECC" w:rsidRDefault="00000000" w:rsidP="00C551E0">
      <w:pPr>
        <w:pStyle w:val="Heading1"/>
      </w:pPr>
      <w:r>
        <w:lastRenderedPageBreak/>
        <w:t>Table of Contents</w:t>
      </w:r>
    </w:p>
    <w:tbl>
      <w:tblPr>
        <w:tblW w:w="0" w:type="auto"/>
        <w:jc w:val="center"/>
        <w:tblBorders>
          <w:top w:val="nil"/>
          <w:left w:val="nil"/>
          <w:bottom w:val="nil"/>
          <w:right w:val="nil"/>
          <w:insideH w:val="nil"/>
          <w:insideV w:val="nil"/>
        </w:tblBorders>
        <w:tblLook w:val="04A0" w:firstRow="1" w:lastRow="0" w:firstColumn="1" w:lastColumn="0" w:noHBand="0" w:noVBand="1"/>
      </w:tblPr>
      <w:tblGrid>
        <w:gridCol w:w="8208"/>
        <w:gridCol w:w="648"/>
      </w:tblGrid>
      <w:tr w:rsidR="00C24ECC" w14:paraId="31D74213" w14:textId="77777777">
        <w:trPr>
          <w:cantSplit/>
          <w:jc w:val="center"/>
        </w:trPr>
        <w:tc>
          <w:tcPr>
            <w:tcW w:w="8208" w:type="dxa"/>
            <w:tcMar>
              <w:top w:w="18" w:type="dxa"/>
              <w:left w:w="20" w:type="dxa"/>
              <w:bottom w:w="18" w:type="dxa"/>
              <w:right w:w="20" w:type="dxa"/>
            </w:tcMar>
            <w:vAlign w:val="center"/>
          </w:tcPr>
          <w:p w14:paraId="588E93AD" w14:textId="77777777" w:rsidR="00C24ECC" w:rsidRDefault="00000000">
            <w:pPr>
              <w:spacing w:after="0"/>
              <w:jc w:val="left"/>
            </w:pPr>
            <w:r>
              <w:rPr>
                <w:b/>
                <w:color w:val="0058A3"/>
                <w:sz w:val="18"/>
              </w:rPr>
              <w:t>Executive Summary</w:t>
            </w:r>
          </w:p>
        </w:tc>
        <w:tc>
          <w:tcPr>
            <w:tcW w:w="648" w:type="dxa"/>
            <w:tcMar>
              <w:top w:w="18" w:type="dxa"/>
              <w:left w:w="20" w:type="dxa"/>
              <w:bottom w:w="18" w:type="dxa"/>
              <w:right w:w="20" w:type="dxa"/>
            </w:tcMar>
            <w:vAlign w:val="center"/>
          </w:tcPr>
          <w:p w14:paraId="70C432A1" w14:textId="77777777" w:rsidR="00C24ECC" w:rsidRDefault="00000000">
            <w:pPr>
              <w:jc w:val="right"/>
            </w:pPr>
            <w:r>
              <w:rPr>
                <w:sz w:val="20"/>
              </w:rPr>
              <w:t>3</w:t>
            </w:r>
          </w:p>
        </w:tc>
      </w:tr>
      <w:tr w:rsidR="00C24ECC" w14:paraId="6256F1BD" w14:textId="77777777">
        <w:trPr>
          <w:cantSplit/>
          <w:jc w:val="center"/>
        </w:trPr>
        <w:tc>
          <w:tcPr>
            <w:tcW w:w="8208" w:type="dxa"/>
            <w:tcMar>
              <w:top w:w="18" w:type="dxa"/>
              <w:left w:w="20" w:type="dxa"/>
              <w:bottom w:w="18" w:type="dxa"/>
              <w:right w:w="20" w:type="dxa"/>
            </w:tcMar>
            <w:vAlign w:val="center"/>
          </w:tcPr>
          <w:p w14:paraId="2A0EA8D9" w14:textId="77777777" w:rsidR="00C24ECC" w:rsidRDefault="00000000">
            <w:pPr>
              <w:spacing w:after="0"/>
              <w:jc w:val="left"/>
            </w:pPr>
            <w:r>
              <w:rPr>
                <w:b/>
                <w:color w:val="0058A3"/>
                <w:sz w:val="18"/>
              </w:rPr>
              <w:t>1. Introduction and Case Validity</w:t>
            </w:r>
          </w:p>
        </w:tc>
        <w:tc>
          <w:tcPr>
            <w:tcW w:w="648" w:type="dxa"/>
            <w:tcMar>
              <w:top w:w="18" w:type="dxa"/>
              <w:left w:w="20" w:type="dxa"/>
              <w:bottom w:w="18" w:type="dxa"/>
              <w:right w:w="20" w:type="dxa"/>
            </w:tcMar>
            <w:vAlign w:val="center"/>
          </w:tcPr>
          <w:p w14:paraId="0F704D6C" w14:textId="77777777" w:rsidR="00C24ECC" w:rsidRDefault="00000000">
            <w:pPr>
              <w:jc w:val="right"/>
            </w:pPr>
            <w:r>
              <w:rPr>
                <w:sz w:val="20"/>
              </w:rPr>
              <w:t>3</w:t>
            </w:r>
          </w:p>
        </w:tc>
      </w:tr>
      <w:tr w:rsidR="00C24ECC" w14:paraId="062BD1C6" w14:textId="77777777">
        <w:trPr>
          <w:cantSplit/>
          <w:jc w:val="center"/>
        </w:trPr>
        <w:tc>
          <w:tcPr>
            <w:tcW w:w="8208" w:type="dxa"/>
            <w:tcMar>
              <w:top w:w="18" w:type="dxa"/>
              <w:left w:w="20" w:type="dxa"/>
              <w:bottom w:w="18" w:type="dxa"/>
              <w:right w:w="20" w:type="dxa"/>
            </w:tcMar>
            <w:vAlign w:val="center"/>
          </w:tcPr>
          <w:p w14:paraId="3C84C0C5" w14:textId="77777777" w:rsidR="00C24ECC" w:rsidRDefault="00000000">
            <w:pPr>
              <w:spacing w:after="0"/>
              <w:jc w:val="left"/>
            </w:pPr>
            <w:r>
              <w:rPr>
                <w:b/>
                <w:color w:val="0058A3"/>
                <w:sz w:val="18"/>
              </w:rPr>
              <w:t>2. Organisational Classification and Global Strategy</w:t>
            </w:r>
          </w:p>
        </w:tc>
        <w:tc>
          <w:tcPr>
            <w:tcW w:w="648" w:type="dxa"/>
            <w:tcMar>
              <w:top w:w="18" w:type="dxa"/>
              <w:left w:w="20" w:type="dxa"/>
              <w:bottom w:w="18" w:type="dxa"/>
              <w:right w:w="20" w:type="dxa"/>
            </w:tcMar>
            <w:vAlign w:val="center"/>
          </w:tcPr>
          <w:p w14:paraId="4BE408A0" w14:textId="77777777" w:rsidR="00C24ECC" w:rsidRDefault="00000000">
            <w:pPr>
              <w:jc w:val="right"/>
            </w:pPr>
            <w:r>
              <w:rPr>
                <w:sz w:val="20"/>
              </w:rPr>
              <w:t>4</w:t>
            </w:r>
          </w:p>
        </w:tc>
      </w:tr>
      <w:tr w:rsidR="00C24ECC" w14:paraId="60350A6E" w14:textId="77777777">
        <w:trPr>
          <w:cantSplit/>
          <w:jc w:val="center"/>
        </w:trPr>
        <w:tc>
          <w:tcPr>
            <w:tcW w:w="8208" w:type="dxa"/>
            <w:tcMar>
              <w:top w:w="18" w:type="dxa"/>
              <w:left w:w="20" w:type="dxa"/>
              <w:bottom w:w="18" w:type="dxa"/>
              <w:right w:w="20" w:type="dxa"/>
            </w:tcMar>
            <w:vAlign w:val="center"/>
          </w:tcPr>
          <w:p w14:paraId="5A1B3EC4" w14:textId="77777777" w:rsidR="00C24ECC" w:rsidRDefault="00000000">
            <w:pPr>
              <w:spacing w:after="0"/>
              <w:ind w:left="317"/>
              <w:jc w:val="left"/>
            </w:pPr>
            <w:r>
              <w:rPr>
                <w:color w:val="2D2D2D"/>
                <w:sz w:val="18"/>
              </w:rPr>
              <w:t>2.1 Bartlett and Ghoshal classification</w:t>
            </w:r>
          </w:p>
        </w:tc>
        <w:tc>
          <w:tcPr>
            <w:tcW w:w="648" w:type="dxa"/>
            <w:tcMar>
              <w:top w:w="18" w:type="dxa"/>
              <w:left w:w="20" w:type="dxa"/>
              <w:bottom w:w="18" w:type="dxa"/>
              <w:right w:w="20" w:type="dxa"/>
            </w:tcMar>
            <w:vAlign w:val="center"/>
          </w:tcPr>
          <w:p w14:paraId="6243DAFD" w14:textId="77777777" w:rsidR="00C24ECC" w:rsidRDefault="00000000">
            <w:pPr>
              <w:jc w:val="right"/>
            </w:pPr>
            <w:r>
              <w:rPr>
                <w:sz w:val="20"/>
              </w:rPr>
              <w:t>4</w:t>
            </w:r>
          </w:p>
        </w:tc>
      </w:tr>
      <w:tr w:rsidR="00C24ECC" w14:paraId="32BA8064" w14:textId="77777777">
        <w:trPr>
          <w:cantSplit/>
          <w:jc w:val="center"/>
        </w:trPr>
        <w:tc>
          <w:tcPr>
            <w:tcW w:w="8208" w:type="dxa"/>
            <w:tcMar>
              <w:top w:w="18" w:type="dxa"/>
              <w:left w:w="20" w:type="dxa"/>
              <w:bottom w:w="18" w:type="dxa"/>
              <w:right w:w="20" w:type="dxa"/>
            </w:tcMar>
            <w:vAlign w:val="center"/>
          </w:tcPr>
          <w:p w14:paraId="6DDDF4BA" w14:textId="77777777" w:rsidR="00C24ECC" w:rsidRDefault="00000000">
            <w:pPr>
              <w:spacing w:after="0"/>
              <w:ind w:left="317"/>
              <w:jc w:val="left"/>
            </w:pPr>
            <w:r>
              <w:rPr>
                <w:color w:val="2D2D2D"/>
                <w:sz w:val="18"/>
              </w:rPr>
              <w:t>2.2 Global configuration and value creation</w:t>
            </w:r>
          </w:p>
        </w:tc>
        <w:tc>
          <w:tcPr>
            <w:tcW w:w="648" w:type="dxa"/>
            <w:tcMar>
              <w:top w:w="18" w:type="dxa"/>
              <w:left w:w="20" w:type="dxa"/>
              <w:bottom w:w="18" w:type="dxa"/>
              <w:right w:w="20" w:type="dxa"/>
            </w:tcMar>
            <w:vAlign w:val="center"/>
          </w:tcPr>
          <w:p w14:paraId="77026A72" w14:textId="77777777" w:rsidR="00C24ECC" w:rsidRDefault="00000000">
            <w:pPr>
              <w:jc w:val="right"/>
            </w:pPr>
            <w:r>
              <w:rPr>
                <w:sz w:val="20"/>
              </w:rPr>
              <w:t>5</w:t>
            </w:r>
          </w:p>
        </w:tc>
      </w:tr>
      <w:tr w:rsidR="00C24ECC" w14:paraId="695CECB8" w14:textId="77777777">
        <w:trPr>
          <w:cantSplit/>
          <w:jc w:val="center"/>
        </w:trPr>
        <w:tc>
          <w:tcPr>
            <w:tcW w:w="8208" w:type="dxa"/>
            <w:tcMar>
              <w:top w:w="18" w:type="dxa"/>
              <w:left w:w="20" w:type="dxa"/>
              <w:bottom w:w="18" w:type="dxa"/>
              <w:right w:w="20" w:type="dxa"/>
            </w:tcMar>
            <w:vAlign w:val="center"/>
          </w:tcPr>
          <w:p w14:paraId="37DC423D" w14:textId="77777777" w:rsidR="00C24ECC" w:rsidRDefault="00000000">
            <w:pPr>
              <w:spacing w:after="0"/>
              <w:jc w:val="left"/>
            </w:pPr>
            <w:r>
              <w:rPr>
                <w:b/>
                <w:color w:val="0058A3"/>
                <w:sz w:val="18"/>
              </w:rPr>
              <w:t>3. Macro-Environmental Appraisal and Market Attractiveness</w:t>
            </w:r>
          </w:p>
        </w:tc>
        <w:tc>
          <w:tcPr>
            <w:tcW w:w="648" w:type="dxa"/>
            <w:tcMar>
              <w:top w:w="18" w:type="dxa"/>
              <w:left w:w="20" w:type="dxa"/>
              <w:bottom w:w="18" w:type="dxa"/>
              <w:right w:w="20" w:type="dxa"/>
            </w:tcMar>
            <w:vAlign w:val="center"/>
          </w:tcPr>
          <w:p w14:paraId="17E5E3B2" w14:textId="77777777" w:rsidR="00C24ECC" w:rsidRDefault="00000000">
            <w:pPr>
              <w:jc w:val="right"/>
            </w:pPr>
            <w:r>
              <w:rPr>
                <w:sz w:val="20"/>
              </w:rPr>
              <w:t>6</w:t>
            </w:r>
          </w:p>
        </w:tc>
      </w:tr>
      <w:tr w:rsidR="00C24ECC" w14:paraId="2597C9B4" w14:textId="77777777">
        <w:trPr>
          <w:cantSplit/>
          <w:jc w:val="center"/>
        </w:trPr>
        <w:tc>
          <w:tcPr>
            <w:tcW w:w="8208" w:type="dxa"/>
            <w:tcMar>
              <w:top w:w="18" w:type="dxa"/>
              <w:left w:w="20" w:type="dxa"/>
              <w:bottom w:w="18" w:type="dxa"/>
              <w:right w:w="20" w:type="dxa"/>
            </w:tcMar>
            <w:vAlign w:val="center"/>
          </w:tcPr>
          <w:p w14:paraId="2CF22C81" w14:textId="77777777" w:rsidR="00C24ECC" w:rsidRDefault="00000000">
            <w:pPr>
              <w:spacing w:after="0"/>
              <w:ind w:left="317"/>
              <w:jc w:val="left"/>
            </w:pPr>
            <w:r>
              <w:rPr>
                <w:color w:val="2D2D2D"/>
                <w:sz w:val="18"/>
              </w:rPr>
              <w:t>3.1 Political and institutional environment</w:t>
            </w:r>
          </w:p>
        </w:tc>
        <w:tc>
          <w:tcPr>
            <w:tcW w:w="648" w:type="dxa"/>
            <w:tcMar>
              <w:top w:w="18" w:type="dxa"/>
              <w:left w:w="20" w:type="dxa"/>
              <w:bottom w:w="18" w:type="dxa"/>
              <w:right w:w="20" w:type="dxa"/>
            </w:tcMar>
            <w:vAlign w:val="center"/>
          </w:tcPr>
          <w:p w14:paraId="61A22CA6" w14:textId="77777777" w:rsidR="00C24ECC" w:rsidRDefault="00000000">
            <w:pPr>
              <w:jc w:val="right"/>
            </w:pPr>
            <w:r>
              <w:rPr>
                <w:sz w:val="20"/>
              </w:rPr>
              <w:t>6</w:t>
            </w:r>
          </w:p>
        </w:tc>
      </w:tr>
      <w:tr w:rsidR="00C24ECC" w14:paraId="51BD773E" w14:textId="77777777">
        <w:trPr>
          <w:cantSplit/>
          <w:jc w:val="center"/>
        </w:trPr>
        <w:tc>
          <w:tcPr>
            <w:tcW w:w="8208" w:type="dxa"/>
            <w:tcMar>
              <w:top w:w="18" w:type="dxa"/>
              <w:left w:w="20" w:type="dxa"/>
              <w:bottom w:w="18" w:type="dxa"/>
              <w:right w:w="20" w:type="dxa"/>
            </w:tcMar>
            <w:vAlign w:val="center"/>
          </w:tcPr>
          <w:p w14:paraId="4B21B95C" w14:textId="77777777" w:rsidR="00C24ECC" w:rsidRDefault="00000000">
            <w:pPr>
              <w:spacing w:after="0"/>
              <w:ind w:left="317"/>
              <w:jc w:val="left"/>
            </w:pPr>
            <w:r>
              <w:rPr>
                <w:color w:val="2D2D2D"/>
                <w:sz w:val="18"/>
              </w:rPr>
              <w:t>3.2 Economic environment and demand potential</w:t>
            </w:r>
          </w:p>
        </w:tc>
        <w:tc>
          <w:tcPr>
            <w:tcW w:w="648" w:type="dxa"/>
            <w:tcMar>
              <w:top w:w="18" w:type="dxa"/>
              <w:left w:w="20" w:type="dxa"/>
              <w:bottom w:w="18" w:type="dxa"/>
              <w:right w:w="20" w:type="dxa"/>
            </w:tcMar>
            <w:vAlign w:val="center"/>
          </w:tcPr>
          <w:p w14:paraId="67D0D663" w14:textId="77777777" w:rsidR="00C24ECC" w:rsidRDefault="00000000">
            <w:pPr>
              <w:jc w:val="right"/>
            </w:pPr>
            <w:r>
              <w:rPr>
                <w:sz w:val="20"/>
              </w:rPr>
              <w:t>7</w:t>
            </w:r>
          </w:p>
        </w:tc>
      </w:tr>
      <w:tr w:rsidR="00C24ECC" w14:paraId="3502CA40" w14:textId="77777777">
        <w:trPr>
          <w:cantSplit/>
          <w:jc w:val="center"/>
        </w:trPr>
        <w:tc>
          <w:tcPr>
            <w:tcW w:w="8208" w:type="dxa"/>
            <w:tcMar>
              <w:top w:w="18" w:type="dxa"/>
              <w:left w:w="20" w:type="dxa"/>
              <w:bottom w:w="18" w:type="dxa"/>
              <w:right w:w="20" w:type="dxa"/>
            </w:tcMar>
            <w:vAlign w:val="center"/>
          </w:tcPr>
          <w:p w14:paraId="6C947936" w14:textId="77777777" w:rsidR="00C24ECC" w:rsidRDefault="00000000">
            <w:pPr>
              <w:spacing w:after="0"/>
              <w:ind w:left="317"/>
              <w:jc w:val="left"/>
            </w:pPr>
            <w:r>
              <w:rPr>
                <w:color w:val="2D2D2D"/>
                <w:sz w:val="18"/>
              </w:rPr>
              <w:t>3.3 Legal and regulatory environment</w:t>
            </w:r>
          </w:p>
        </w:tc>
        <w:tc>
          <w:tcPr>
            <w:tcW w:w="648" w:type="dxa"/>
            <w:tcMar>
              <w:top w:w="18" w:type="dxa"/>
              <w:left w:w="20" w:type="dxa"/>
              <w:bottom w:w="18" w:type="dxa"/>
              <w:right w:w="20" w:type="dxa"/>
            </w:tcMar>
            <w:vAlign w:val="center"/>
          </w:tcPr>
          <w:p w14:paraId="16FAF7D8" w14:textId="77777777" w:rsidR="00C24ECC" w:rsidRDefault="00000000">
            <w:pPr>
              <w:jc w:val="right"/>
            </w:pPr>
            <w:r>
              <w:rPr>
                <w:sz w:val="20"/>
              </w:rPr>
              <w:t>10</w:t>
            </w:r>
          </w:p>
        </w:tc>
      </w:tr>
      <w:tr w:rsidR="00C24ECC" w14:paraId="5C130507" w14:textId="77777777">
        <w:trPr>
          <w:cantSplit/>
          <w:jc w:val="center"/>
        </w:trPr>
        <w:tc>
          <w:tcPr>
            <w:tcW w:w="8208" w:type="dxa"/>
            <w:tcMar>
              <w:top w:w="18" w:type="dxa"/>
              <w:left w:w="20" w:type="dxa"/>
              <w:bottom w:w="18" w:type="dxa"/>
              <w:right w:w="20" w:type="dxa"/>
            </w:tcMar>
            <w:vAlign w:val="center"/>
          </w:tcPr>
          <w:p w14:paraId="4715B63E" w14:textId="77777777" w:rsidR="00C24ECC" w:rsidRDefault="00000000">
            <w:pPr>
              <w:spacing w:after="0"/>
              <w:ind w:left="317"/>
              <w:jc w:val="left"/>
            </w:pPr>
            <w:r>
              <w:rPr>
                <w:color w:val="2D2D2D"/>
                <w:sz w:val="18"/>
              </w:rPr>
              <w:t>3.4 Cultural and consumer-market environment</w:t>
            </w:r>
          </w:p>
        </w:tc>
        <w:tc>
          <w:tcPr>
            <w:tcW w:w="648" w:type="dxa"/>
            <w:tcMar>
              <w:top w:w="18" w:type="dxa"/>
              <w:left w:w="20" w:type="dxa"/>
              <w:bottom w:w="18" w:type="dxa"/>
              <w:right w:w="20" w:type="dxa"/>
            </w:tcMar>
            <w:vAlign w:val="center"/>
          </w:tcPr>
          <w:p w14:paraId="26FD3CD2" w14:textId="77777777" w:rsidR="00C24ECC" w:rsidRDefault="00000000">
            <w:pPr>
              <w:jc w:val="right"/>
            </w:pPr>
            <w:r>
              <w:rPr>
                <w:sz w:val="20"/>
              </w:rPr>
              <w:t>11</w:t>
            </w:r>
          </w:p>
        </w:tc>
      </w:tr>
      <w:tr w:rsidR="00C24ECC" w14:paraId="226CA652" w14:textId="77777777">
        <w:trPr>
          <w:cantSplit/>
          <w:jc w:val="center"/>
        </w:trPr>
        <w:tc>
          <w:tcPr>
            <w:tcW w:w="8208" w:type="dxa"/>
            <w:tcMar>
              <w:top w:w="18" w:type="dxa"/>
              <w:left w:w="20" w:type="dxa"/>
              <w:bottom w:w="18" w:type="dxa"/>
              <w:right w:w="20" w:type="dxa"/>
            </w:tcMar>
            <w:vAlign w:val="center"/>
          </w:tcPr>
          <w:p w14:paraId="60B4B4FC" w14:textId="77777777" w:rsidR="00C24ECC" w:rsidRDefault="00000000">
            <w:pPr>
              <w:spacing w:after="0"/>
              <w:ind w:left="317"/>
              <w:jc w:val="left"/>
            </w:pPr>
            <w:r>
              <w:rPr>
                <w:color w:val="2D2D2D"/>
                <w:sz w:val="18"/>
              </w:rPr>
              <w:t>3.5 Market-attractiveness synthesis</w:t>
            </w:r>
          </w:p>
        </w:tc>
        <w:tc>
          <w:tcPr>
            <w:tcW w:w="648" w:type="dxa"/>
            <w:tcMar>
              <w:top w:w="18" w:type="dxa"/>
              <w:left w:w="20" w:type="dxa"/>
              <w:bottom w:w="18" w:type="dxa"/>
              <w:right w:w="20" w:type="dxa"/>
            </w:tcMar>
            <w:vAlign w:val="center"/>
          </w:tcPr>
          <w:p w14:paraId="0F90006A" w14:textId="77777777" w:rsidR="00C24ECC" w:rsidRDefault="00000000">
            <w:pPr>
              <w:jc w:val="right"/>
            </w:pPr>
            <w:r>
              <w:rPr>
                <w:sz w:val="20"/>
              </w:rPr>
              <w:t>12</w:t>
            </w:r>
          </w:p>
        </w:tc>
      </w:tr>
      <w:tr w:rsidR="00C24ECC" w14:paraId="152955BA" w14:textId="77777777">
        <w:trPr>
          <w:cantSplit/>
          <w:jc w:val="center"/>
        </w:trPr>
        <w:tc>
          <w:tcPr>
            <w:tcW w:w="8208" w:type="dxa"/>
            <w:tcMar>
              <w:top w:w="18" w:type="dxa"/>
              <w:left w:w="20" w:type="dxa"/>
              <w:bottom w:w="18" w:type="dxa"/>
              <w:right w:w="20" w:type="dxa"/>
            </w:tcMar>
            <w:vAlign w:val="center"/>
          </w:tcPr>
          <w:p w14:paraId="3D355A07" w14:textId="77777777" w:rsidR="00C24ECC" w:rsidRDefault="00000000">
            <w:pPr>
              <w:spacing w:after="0"/>
              <w:jc w:val="left"/>
            </w:pPr>
            <w:r>
              <w:rPr>
                <w:b/>
                <w:color w:val="0058A3"/>
                <w:sz w:val="18"/>
              </w:rPr>
              <w:t>4. Dunning’s Eclectic Paradigm and Strategic Synthesis</w:t>
            </w:r>
          </w:p>
        </w:tc>
        <w:tc>
          <w:tcPr>
            <w:tcW w:w="648" w:type="dxa"/>
            <w:tcMar>
              <w:top w:w="18" w:type="dxa"/>
              <w:left w:w="20" w:type="dxa"/>
              <w:bottom w:w="18" w:type="dxa"/>
              <w:right w:w="20" w:type="dxa"/>
            </w:tcMar>
            <w:vAlign w:val="center"/>
          </w:tcPr>
          <w:p w14:paraId="42CB87E6" w14:textId="77777777" w:rsidR="00C24ECC" w:rsidRDefault="00000000">
            <w:pPr>
              <w:jc w:val="right"/>
            </w:pPr>
            <w:r>
              <w:rPr>
                <w:sz w:val="20"/>
              </w:rPr>
              <w:t>12</w:t>
            </w:r>
          </w:p>
        </w:tc>
      </w:tr>
      <w:tr w:rsidR="00C24ECC" w14:paraId="4DE20F87" w14:textId="77777777">
        <w:trPr>
          <w:cantSplit/>
          <w:jc w:val="center"/>
        </w:trPr>
        <w:tc>
          <w:tcPr>
            <w:tcW w:w="8208" w:type="dxa"/>
            <w:tcMar>
              <w:top w:w="18" w:type="dxa"/>
              <w:left w:w="20" w:type="dxa"/>
              <w:bottom w:w="18" w:type="dxa"/>
              <w:right w:w="20" w:type="dxa"/>
            </w:tcMar>
            <w:vAlign w:val="center"/>
          </w:tcPr>
          <w:p w14:paraId="6DCA8BDF" w14:textId="77777777" w:rsidR="00C24ECC" w:rsidRDefault="00000000">
            <w:pPr>
              <w:spacing w:after="0"/>
              <w:jc w:val="left"/>
            </w:pPr>
            <w:r>
              <w:rPr>
                <w:b/>
                <w:color w:val="0058A3"/>
                <w:sz w:val="18"/>
              </w:rPr>
              <w:t>5. Entry Mode Strategy and Strategic Synthesis</w:t>
            </w:r>
          </w:p>
        </w:tc>
        <w:tc>
          <w:tcPr>
            <w:tcW w:w="648" w:type="dxa"/>
            <w:tcMar>
              <w:top w:w="18" w:type="dxa"/>
              <w:left w:w="20" w:type="dxa"/>
              <w:bottom w:w="18" w:type="dxa"/>
              <w:right w:w="20" w:type="dxa"/>
            </w:tcMar>
            <w:vAlign w:val="center"/>
          </w:tcPr>
          <w:p w14:paraId="0E64D8E9" w14:textId="77777777" w:rsidR="00C24ECC" w:rsidRDefault="00000000">
            <w:pPr>
              <w:jc w:val="right"/>
            </w:pPr>
            <w:r>
              <w:rPr>
                <w:sz w:val="20"/>
              </w:rPr>
              <w:t>14</w:t>
            </w:r>
          </w:p>
        </w:tc>
      </w:tr>
      <w:tr w:rsidR="00C24ECC" w14:paraId="0A315071" w14:textId="77777777">
        <w:trPr>
          <w:cantSplit/>
          <w:jc w:val="center"/>
        </w:trPr>
        <w:tc>
          <w:tcPr>
            <w:tcW w:w="8208" w:type="dxa"/>
            <w:tcMar>
              <w:top w:w="18" w:type="dxa"/>
              <w:left w:w="20" w:type="dxa"/>
              <w:bottom w:w="18" w:type="dxa"/>
              <w:right w:w="20" w:type="dxa"/>
            </w:tcMar>
            <w:vAlign w:val="center"/>
          </w:tcPr>
          <w:p w14:paraId="747A8050" w14:textId="77777777" w:rsidR="00C24ECC" w:rsidRDefault="00000000">
            <w:pPr>
              <w:spacing w:after="0"/>
              <w:ind w:left="317"/>
              <w:jc w:val="left"/>
            </w:pPr>
            <w:r>
              <w:rPr>
                <w:color w:val="2D2D2D"/>
                <w:sz w:val="18"/>
              </w:rPr>
              <w:t>5.1 Historical entry pattern</w:t>
            </w:r>
          </w:p>
        </w:tc>
        <w:tc>
          <w:tcPr>
            <w:tcW w:w="648" w:type="dxa"/>
            <w:tcMar>
              <w:top w:w="18" w:type="dxa"/>
              <w:left w:w="20" w:type="dxa"/>
              <w:bottom w:w="18" w:type="dxa"/>
              <w:right w:w="20" w:type="dxa"/>
            </w:tcMar>
            <w:vAlign w:val="center"/>
          </w:tcPr>
          <w:p w14:paraId="1A9967D7" w14:textId="77777777" w:rsidR="00C24ECC" w:rsidRDefault="00000000">
            <w:pPr>
              <w:jc w:val="right"/>
            </w:pPr>
            <w:r>
              <w:rPr>
                <w:sz w:val="20"/>
              </w:rPr>
              <w:t>14</w:t>
            </w:r>
          </w:p>
        </w:tc>
      </w:tr>
      <w:tr w:rsidR="00C24ECC" w14:paraId="5F25A3E2" w14:textId="77777777">
        <w:trPr>
          <w:cantSplit/>
          <w:jc w:val="center"/>
        </w:trPr>
        <w:tc>
          <w:tcPr>
            <w:tcW w:w="8208" w:type="dxa"/>
            <w:tcMar>
              <w:top w:w="18" w:type="dxa"/>
              <w:left w:w="20" w:type="dxa"/>
              <w:bottom w:w="18" w:type="dxa"/>
              <w:right w:w="20" w:type="dxa"/>
            </w:tcMar>
            <w:vAlign w:val="center"/>
          </w:tcPr>
          <w:p w14:paraId="20E7AE68" w14:textId="77777777" w:rsidR="00C24ECC" w:rsidRDefault="00000000">
            <w:pPr>
              <w:spacing w:after="0"/>
              <w:ind w:left="317"/>
              <w:jc w:val="left"/>
            </w:pPr>
            <w:r>
              <w:rPr>
                <w:color w:val="2D2D2D"/>
                <w:sz w:val="18"/>
              </w:rPr>
              <w:t>5.2 Comparison of feasible entry modes</w:t>
            </w:r>
          </w:p>
        </w:tc>
        <w:tc>
          <w:tcPr>
            <w:tcW w:w="648" w:type="dxa"/>
            <w:tcMar>
              <w:top w:w="18" w:type="dxa"/>
              <w:left w:w="20" w:type="dxa"/>
              <w:bottom w:w="18" w:type="dxa"/>
              <w:right w:w="20" w:type="dxa"/>
            </w:tcMar>
            <w:vAlign w:val="center"/>
          </w:tcPr>
          <w:p w14:paraId="731A9DD3" w14:textId="77777777" w:rsidR="00C24ECC" w:rsidRDefault="00000000">
            <w:pPr>
              <w:jc w:val="right"/>
            </w:pPr>
            <w:r>
              <w:rPr>
                <w:sz w:val="20"/>
              </w:rPr>
              <w:t>14</w:t>
            </w:r>
          </w:p>
        </w:tc>
      </w:tr>
      <w:tr w:rsidR="00C24ECC" w14:paraId="684DD3E9" w14:textId="77777777">
        <w:trPr>
          <w:cantSplit/>
          <w:jc w:val="center"/>
        </w:trPr>
        <w:tc>
          <w:tcPr>
            <w:tcW w:w="8208" w:type="dxa"/>
            <w:tcMar>
              <w:top w:w="18" w:type="dxa"/>
              <w:left w:w="20" w:type="dxa"/>
              <w:bottom w:w="18" w:type="dxa"/>
              <w:right w:w="20" w:type="dxa"/>
            </w:tcMar>
            <w:vAlign w:val="center"/>
          </w:tcPr>
          <w:p w14:paraId="420CF53C" w14:textId="77777777" w:rsidR="00C24ECC" w:rsidRDefault="00000000">
            <w:pPr>
              <w:spacing w:after="0"/>
              <w:ind w:left="317"/>
              <w:jc w:val="left"/>
            </w:pPr>
            <w:r>
              <w:rPr>
                <w:color w:val="2D2D2D"/>
                <w:sz w:val="18"/>
              </w:rPr>
              <w:t>5.3 Recommended entry design and implementation</w:t>
            </w:r>
          </w:p>
        </w:tc>
        <w:tc>
          <w:tcPr>
            <w:tcW w:w="648" w:type="dxa"/>
            <w:tcMar>
              <w:top w:w="18" w:type="dxa"/>
              <w:left w:w="20" w:type="dxa"/>
              <w:bottom w:w="18" w:type="dxa"/>
              <w:right w:w="20" w:type="dxa"/>
            </w:tcMar>
            <w:vAlign w:val="center"/>
          </w:tcPr>
          <w:p w14:paraId="0628DA5D" w14:textId="77777777" w:rsidR="00C24ECC" w:rsidRDefault="00000000">
            <w:pPr>
              <w:jc w:val="right"/>
            </w:pPr>
            <w:r>
              <w:rPr>
                <w:sz w:val="20"/>
              </w:rPr>
              <w:t>16</w:t>
            </w:r>
          </w:p>
        </w:tc>
      </w:tr>
      <w:tr w:rsidR="00C24ECC" w14:paraId="5D2A1A42" w14:textId="77777777">
        <w:trPr>
          <w:cantSplit/>
          <w:jc w:val="center"/>
        </w:trPr>
        <w:tc>
          <w:tcPr>
            <w:tcW w:w="8208" w:type="dxa"/>
            <w:tcMar>
              <w:top w:w="18" w:type="dxa"/>
              <w:left w:w="20" w:type="dxa"/>
              <w:bottom w:w="18" w:type="dxa"/>
              <w:right w:w="20" w:type="dxa"/>
            </w:tcMar>
            <w:vAlign w:val="center"/>
          </w:tcPr>
          <w:p w14:paraId="0CC77F58" w14:textId="77777777" w:rsidR="00C24ECC" w:rsidRDefault="00000000">
            <w:pPr>
              <w:spacing w:after="0"/>
              <w:ind w:left="317"/>
              <w:jc w:val="left"/>
            </w:pPr>
            <w:r>
              <w:rPr>
                <w:color w:val="2D2D2D"/>
                <w:sz w:val="18"/>
              </w:rPr>
              <w:t>5.4 Risk controls and performance governance</w:t>
            </w:r>
          </w:p>
        </w:tc>
        <w:tc>
          <w:tcPr>
            <w:tcW w:w="648" w:type="dxa"/>
            <w:tcMar>
              <w:top w:w="18" w:type="dxa"/>
              <w:left w:w="20" w:type="dxa"/>
              <w:bottom w:w="18" w:type="dxa"/>
              <w:right w:w="20" w:type="dxa"/>
            </w:tcMar>
            <w:vAlign w:val="center"/>
          </w:tcPr>
          <w:p w14:paraId="5C6D0372" w14:textId="77777777" w:rsidR="00C24ECC" w:rsidRDefault="00000000">
            <w:pPr>
              <w:jc w:val="right"/>
            </w:pPr>
            <w:r>
              <w:rPr>
                <w:sz w:val="20"/>
              </w:rPr>
              <w:t>17</w:t>
            </w:r>
          </w:p>
        </w:tc>
      </w:tr>
      <w:tr w:rsidR="00C24ECC" w14:paraId="210CC903" w14:textId="77777777">
        <w:trPr>
          <w:cantSplit/>
          <w:jc w:val="center"/>
        </w:trPr>
        <w:tc>
          <w:tcPr>
            <w:tcW w:w="8208" w:type="dxa"/>
            <w:tcMar>
              <w:top w:w="18" w:type="dxa"/>
              <w:left w:w="20" w:type="dxa"/>
              <w:bottom w:w="18" w:type="dxa"/>
              <w:right w:w="20" w:type="dxa"/>
            </w:tcMar>
            <w:vAlign w:val="center"/>
          </w:tcPr>
          <w:p w14:paraId="333E3AC2" w14:textId="77777777" w:rsidR="00C24ECC" w:rsidRDefault="00000000">
            <w:pPr>
              <w:spacing w:after="0"/>
              <w:jc w:val="left"/>
            </w:pPr>
            <w:r>
              <w:rPr>
                <w:b/>
                <w:color w:val="0058A3"/>
                <w:sz w:val="18"/>
              </w:rPr>
              <w:t>6. Conclusion and Final Recommendation</w:t>
            </w:r>
          </w:p>
        </w:tc>
        <w:tc>
          <w:tcPr>
            <w:tcW w:w="648" w:type="dxa"/>
            <w:tcMar>
              <w:top w:w="18" w:type="dxa"/>
              <w:left w:w="20" w:type="dxa"/>
              <w:bottom w:w="18" w:type="dxa"/>
              <w:right w:w="20" w:type="dxa"/>
            </w:tcMar>
            <w:vAlign w:val="center"/>
          </w:tcPr>
          <w:p w14:paraId="7560E3B7" w14:textId="77777777" w:rsidR="00C24ECC" w:rsidRDefault="00000000">
            <w:pPr>
              <w:jc w:val="right"/>
            </w:pPr>
            <w:r>
              <w:rPr>
                <w:sz w:val="20"/>
              </w:rPr>
              <w:t>18</w:t>
            </w:r>
          </w:p>
        </w:tc>
      </w:tr>
      <w:tr w:rsidR="00C24ECC" w14:paraId="42B247BA" w14:textId="77777777">
        <w:trPr>
          <w:cantSplit/>
          <w:jc w:val="center"/>
        </w:trPr>
        <w:tc>
          <w:tcPr>
            <w:tcW w:w="8208" w:type="dxa"/>
            <w:tcMar>
              <w:top w:w="18" w:type="dxa"/>
              <w:left w:w="20" w:type="dxa"/>
              <w:bottom w:w="18" w:type="dxa"/>
              <w:right w:w="20" w:type="dxa"/>
            </w:tcMar>
            <w:vAlign w:val="center"/>
          </w:tcPr>
          <w:p w14:paraId="0288305D" w14:textId="77777777" w:rsidR="00C24ECC" w:rsidRDefault="00000000">
            <w:pPr>
              <w:spacing w:after="0"/>
              <w:jc w:val="left"/>
            </w:pPr>
            <w:r>
              <w:rPr>
                <w:b/>
                <w:color w:val="0058A3"/>
                <w:sz w:val="18"/>
              </w:rPr>
              <w:t>Section 2. Reflective Account</w:t>
            </w:r>
          </w:p>
        </w:tc>
        <w:tc>
          <w:tcPr>
            <w:tcW w:w="648" w:type="dxa"/>
            <w:tcMar>
              <w:top w:w="18" w:type="dxa"/>
              <w:left w:w="20" w:type="dxa"/>
              <w:bottom w:w="18" w:type="dxa"/>
              <w:right w:w="20" w:type="dxa"/>
            </w:tcMar>
            <w:vAlign w:val="center"/>
          </w:tcPr>
          <w:p w14:paraId="3DB42312" w14:textId="77777777" w:rsidR="00C24ECC" w:rsidRDefault="00000000">
            <w:pPr>
              <w:jc w:val="right"/>
            </w:pPr>
            <w:r>
              <w:rPr>
                <w:sz w:val="20"/>
              </w:rPr>
              <w:t>19</w:t>
            </w:r>
          </w:p>
        </w:tc>
      </w:tr>
      <w:tr w:rsidR="00C24ECC" w14:paraId="7AFA7CAF" w14:textId="77777777">
        <w:trPr>
          <w:cantSplit/>
          <w:jc w:val="center"/>
        </w:trPr>
        <w:tc>
          <w:tcPr>
            <w:tcW w:w="8208" w:type="dxa"/>
            <w:tcMar>
              <w:top w:w="18" w:type="dxa"/>
              <w:left w:w="20" w:type="dxa"/>
              <w:bottom w:w="18" w:type="dxa"/>
              <w:right w:w="20" w:type="dxa"/>
            </w:tcMar>
            <w:vAlign w:val="center"/>
          </w:tcPr>
          <w:p w14:paraId="4C768169" w14:textId="77777777" w:rsidR="00C24ECC" w:rsidRDefault="00000000">
            <w:pPr>
              <w:spacing w:after="0"/>
              <w:jc w:val="left"/>
            </w:pPr>
            <w:r>
              <w:rPr>
                <w:b/>
                <w:color w:val="0058A3"/>
                <w:sz w:val="18"/>
              </w:rPr>
              <w:t>Reference List</w:t>
            </w:r>
          </w:p>
        </w:tc>
        <w:tc>
          <w:tcPr>
            <w:tcW w:w="648" w:type="dxa"/>
            <w:tcMar>
              <w:top w:w="18" w:type="dxa"/>
              <w:left w:w="20" w:type="dxa"/>
              <w:bottom w:w="18" w:type="dxa"/>
              <w:right w:w="20" w:type="dxa"/>
            </w:tcMar>
            <w:vAlign w:val="center"/>
          </w:tcPr>
          <w:p w14:paraId="794F86FC" w14:textId="77777777" w:rsidR="00C24ECC" w:rsidRDefault="00000000">
            <w:pPr>
              <w:jc w:val="right"/>
            </w:pPr>
            <w:r>
              <w:rPr>
                <w:sz w:val="20"/>
              </w:rPr>
              <w:t>22</w:t>
            </w:r>
          </w:p>
        </w:tc>
      </w:tr>
      <w:tr w:rsidR="00C24ECC" w14:paraId="76FE7BCA" w14:textId="77777777">
        <w:trPr>
          <w:cantSplit/>
          <w:jc w:val="center"/>
        </w:trPr>
        <w:tc>
          <w:tcPr>
            <w:tcW w:w="8208" w:type="dxa"/>
            <w:tcMar>
              <w:top w:w="18" w:type="dxa"/>
              <w:left w:w="20" w:type="dxa"/>
              <w:bottom w:w="18" w:type="dxa"/>
              <w:right w:w="20" w:type="dxa"/>
            </w:tcMar>
            <w:vAlign w:val="center"/>
          </w:tcPr>
          <w:p w14:paraId="768E519D" w14:textId="77777777" w:rsidR="00C24ECC" w:rsidRDefault="00000000">
            <w:pPr>
              <w:spacing w:after="0"/>
              <w:jc w:val="left"/>
            </w:pPr>
            <w:r>
              <w:rPr>
                <w:b/>
                <w:color w:val="0058A3"/>
                <w:sz w:val="18"/>
              </w:rPr>
              <w:t>Appendix A. Quantitative Data Used in Figures</w:t>
            </w:r>
          </w:p>
        </w:tc>
        <w:tc>
          <w:tcPr>
            <w:tcW w:w="648" w:type="dxa"/>
            <w:tcMar>
              <w:top w:w="18" w:type="dxa"/>
              <w:left w:w="20" w:type="dxa"/>
              <w:bottom w:w="18" w:type="dxa"/>
              <w:right w:w="20" w:type="dxa"/>
            </w:tcMar>
            <w:vAlign w:val="center"/>
          </w:tcPr>
          <w:p w14:paraId="4CDDE09B" w14:textId="77777777" w:rsidR="00C24ECC" w:rsidRDefault="00000000">
            <w:pPr>
              <w:jc w:val="right"/>
            </w:pPr>
            <w:r>
              <w:rPr>
                <w:sz w:val="20"/>
              </w:rPr>
              <w:t>25</w:t>
            </w:r>
          </w:p>
        </w:tc>
      </w:tr>
    </w:tbl>
    <w:p w14:paraId="1BDFDA4A" w14:textId="77777777" w:rsidR="00C24ECC" w:rsidRDefault="00000000">
      <w:r>
        <w:br w:type="page"/>
      </w:r>
    </w:p>
    <w:p w14:paraId="75C5FD8E" w14:textId="77777777" w:rsidR="00C24ECC" w:rsidRDefault="00000000">
      <w:pPr>
        <w:pStyle w:val="Heading1"/>
      </w:pPr>
      <w:r>
        <w:lastRenderedPageBreak/>
        <w:t>Executive Summary</w:t>
      </w:r>
    </w:p>
    <w:p w14:paraId="479D2506" w14:textId="728D99FD" w:rsidR="00C24ECC" w:rsidRDefault="00C551E0">
      <w:r w:rsidRPr="00C551E0">
        <w:t>This report checks IKEA proposed move into Kenya, where the company had basically no serious, formal day to day operating presence as of 1 June 2026, at the cutoff date. Inter IKEA said it ran 63 retail markets across 13 franchisee groups in FY25, but Kenya was not part of that picture so in practice project based International Sales create only some limited, indirect accessibility rather than a true, formal entry (Inter IKEA Group, 2025a; IKEA, 2026a). IKEA gets classed as a global transnational hybrid, meaning the brand, the product assortment, and the supply setup stay centrally integrated, while franchisees still handle bounded local tuning. Kenya meanwhile brings a Nairobi centered demand base, economic steadiness, mobile enabled shopping, plus regional access, but these upsides get toned down by uneven purchasing strength, fiscal uncertainty import duties and VAT, currency exposure, and the heavy goods logistics that are harder to move. Dunning OLI framework tends to back a staged and tightly supervised exclusive franchise, starting with e commerce then moving into a plan and order studio plus collection points. A medium format store should come afterward, only once delivered price affordability is confirmed, service performance is stable, and repeat demand shows up</w:t>
      </w:r>
      <w:r>
        <w:t>.</w:t>
      </w:r>
    </w:p>
    <w:p w14:paraId="59A5C8CF" w14:textId="77777777" w:rsidR="00C551E0" w:rsidRDefault="00C551E0"/>
    <w:p w14:paraId="7F90BDC8" w14:textId="77777777" w:rsidR="00C551E0" w:rsidRDefault="00C551E0"/>
    <w:p w14:paraId="5FB09EB9" w14:textId="77777777" w:rsidR="00C551E0" w:rsidRDefault="00C551E0"/>
    <w:p w14:paraId="67D048F1" w14:textId="77777777" w:rsidR="00C551E0" w:rsidRDefault="00C551E0"/>
    <w:p w14:paraId="43C0E8A6" w14:textId="77777777" w:rsidR="00C551E0" w:rsidRDefault="00C551E0"/>
    <w:p w14:paraId="49D8B7D1" w14:textId="77777777" w:rsidR="00C551E0" w:rsidRDefault="00C551E0"/>
    <w:p w14:paraId="0BCEFF65" w14:textId="77777777" w:rsidR="00C551E0" w:rsidRDefault="00C551E0"/>
    <w:p w14:paraId="71245C9D" w14:textId="77777777" w:rsidR="00C551E0" w:rsidRDefault="00C551E0"/>
    <w:p w14:paraId="34DD3CE8" w14:textId="77777777" w:rsidR="00C551E0" w:rsidRDefault="00C551E0"/>
    <w:p w14:paraId="28CC0DAF" w14:textId="77777777" w:rsidR="00C551E0" w:rsidRDefault="00C551E0"/>
    <w:p w14:paraId="23E1C7D9" w14:textId="77777777" w:rsidR="00C551E0" w:rsidRDefault="00C551E0"/>
    <w:p w14:paraId="09BDB491" w14:textId="77777777" w:rsidR="00C551E0" w:rsidRDefault="00C551E0"/>
    <w:p w14:paraId="153A3743" w14:textId="77777777" w:rsidR="00C551E0" w:rsidRDefault="00C551E0"/>
    <w:p w14:paraId="023A0B2D" w14:textId="77777777" w:rsidR="00C551E0" w:rsidRDefault="00C551E0"/>
    <w:p w14:paraId="1DB62823" w14:textId="77777777" w:rsidR="00C551E0" w:rsidRDefault="00C551E0"/>
    <w:p w14:paraId="72A23B82" w14:textId="77777777" w:rsidR="00C24ECC" w:rsidRDefault="00000000">
      <w:pPr>
        <w:pStyle w:val="Heading1"/>
      </w:pPr>
      <w:r>
        <w:t>1. Introduction and Case Validity</w:t>
      </w:r>
    </w:p>
    <w:p w14:paraId="04E59F42" w14:textId="5C69715B" w:rsidR="00C551E0" w:rsidRDefault="00C551E0" w:rsidP="00C551E0">
      <w:r>
        <w:t xml:space="preserve">International market entry needs more than just seeing national growth, kind of like, you can’t stop there. The firm has to work out if its ownership advantages stay useful abroad, if the host place actually delivers net commercial gains, and also if control should be kept in-house or shared with someone else. This becomes especially critical for IKEA because its low-price proposition is not random, it relies on coordinated design, flat-pack logistics, scale purchasing and routine </w:t>
      </w:r>
      <w:proofErr w:type="spellStart"/>
      <w:r>
        <w:t>standardisation</w:t>
      </w:r>
      <w:proofErr w:type="spellEnd"/>
      <w:r>
        <w:t xml:space="preserve">. </w:t>
      </w:r>
      <w:proofErr w:type="gramStart"/>
      <w:r>
        <w:t>So</w:t>
      </w:r>
      <w:proofErr w:type="gramEnd"/>
      <w:r>
        <w:t xml:space="preserve"> tariffs, freight, service costs, or an adaptation that ends up mismatching local demand can easily turn a country that looks appealing at first into something incompatible with IKEA’s mass-market set-up.</w:t>
      </w:r>
    </w:p>
    <w:p w14:paraId="0F9AA3A5" w14:textId="4D193DEC" w:rsidR="00C24ECC" w:rsidRDefault="00C551E0" w:rsidP="00C551E0">
      <w:r>
        <w:t>The case fits the brief because Inter IKEA’s FY25 disclosure names 63 retail markets but does not include Kenya, while New Zealand, Panama, and Costa Rica were pointed out elsewhere as opening or announced markets (Inter IKEA Group, 2025a). Also, IKEA’s International Sales unit can provide bulk projects to countries even without stores, so a limited, sporadic Kenyan availability cannot be treated as a subsidiary, a factory, a franchise, or an established retail network (IKEA, 2023; 2026a). The analytical question is therefore whether IKEA should convert occasional cross-border supply into a scalable, locally legitimate market presence, and not just a one-off distribution arrangement that stays kind of hanging.</w:t>
      </w:r>
    </w:p>
    <w:tbl>
      <w:tblPr>
        <w:tblW w:w="0" w:type="auto"/>
        <w:jc w:val="center"/>
        <w:tblLook w:val="04A0" w:firstRow="1" w:lastRow="0" w:firstColumn="1" w:lastColumn="0" w:noHBand="0" w:noVBand="1"/>
      </w:tblPr>
      <w:tblGrid>
        <w:gridCol w:w="4705"/>
        <w:gridCol w:w="4705"/>
      </w:tblGrid>
      <w:tr w:rsidR="00C24ECC" w14:paraId="4E6E39F1" w14:textId="77777777">
        <w:trPr>
          <w:cantSplit/>
          <w:jc w:val="center"/>
        </w:trPr>
        <w:tc>
          <w:tcPr>
            <w:tcW w:w="4705" w:type="dxa"/>
            <w:tcMar>
              <w:top w:w="30" w:type="dxa"/>
              <w:left w:w="30" w:type="dxa"/>
              <w:bottom w:w="30" w:type="dxa"/>
              <w:right w:w="30" w:type="dxa"/>
            </w:tcMar>
          </w:tcPr>
          <w:p w14:paraId="3A84B4D4" w14:textId="77777777" w:rsidR="00C24ECC" w:rsidRDefault="00000000">
            <w:pPr>
              <w:jc w:val="center"/>
            </w:pPr>
            <w:r>
              <w:rPr>
                <w:noProof/>
              </w:rPr>
              <w:drawing>
                <wp:inline distT="0" distB="0" distL="0" distR="0" wp14:anchorId="3C4EFEC2" wp14:editId="3D90291A">
                  <wp:extent cx="2743200" cy="182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kea_store.jpg"/>
                          <pic:cNvPicPr/>
                        </pic:nvPicPr>
                        <pic:blipFill>
                          <a:blip r:embed="rId10"/>
                          <a:stretch>
                            <a:fillRect/>
                          </a:stretch>
                        </pic:blipFill>
                        <pic:spPr>
                          <a:xfrm>
                            <a:off x="0" y="0"/>
                            <a:ext cx="2743200" cy="1828800"/>
                          </a:xfrm>
                          <a:prstGeom prst="rect">
                            <a:avLst/>
                          </a:prstGeom>
                        </pic:spPr>
                      </pic:pic>
                    </a:graphicData>
                  </a:graphic>
                </wp:inline>
              </w:drawing>
            </w:r>
          </w:p>
        </w:tc>
        <w:tc>
          <w:tcPr>
            <w:tcW w:w="4705" w:type="dxa"/>
            <w:tcMar>
              <w:top w:w="30" w:type="dxa"/>
              <w:left w:w="30" w:type="dxa"/>
              <w:bottom w:w="30" w:type="dxa"/>
              <w:right w:w="30" w:type="dxa"/>
            </w:tcMar>
          </w:tcPr>
          <w:p w14:paraId="1019F239" w14:textId="77777777" w:rsidR="00C24ECC" w:rsidRDefault="00000000">
            <w:pPr>
              <w:jc w:val="center"/>
            </w:pPr>
            <w:r>
              <w:rPr>
                <w:noProof/>
              </w:rPr>
              <w:drawing>
                <wp:inline distT="0" distB="0" distL="0" distR="0" wp14:anchorId="5E858F01" wp14:editId="44CBFAEC">
                  <wp:extent cx="2743200" cy="205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airobi_skyline.jpg"/>
                          <pic:cNvPicPr/>
                        </pic:nvPicPr>
                        <pic:blipFill>
                          <a:blip r:embed="rId11"/>
                          <a:stretch>
                            <a:fillRect/>
                          </a:stretch>
                        </pic:blipFill>
                        <pic:spPr>
                          <a:xfrm>
                            <a:off x="0" y="0"/>
                            <a:ext cx="2743200" cy="2057400"/>
                          </a:xfrm>
                          <a:prstGeom prst="rect">
                            <a:avLst/>
                          </a:prstGeom>
                        </pic:spPr>
                      </pic:pic>
                    </a:graphicData>
                  </a:graphic>
                </wp:inline>
              </w:drawing>
            </w:r>
          </w:p>
        </w:tc>
      </w:tr>
    </w:tbl>
    <w:p w14:paraId="75B1A618" w14:textId="77777777" w:rsidR="00C24ECC" w:rsidRDefault="00000000">
      <w:pPr>
        <w:pStyle w:val="CaptionText"/>
        <w:jc w:val="center"/>
      </w:pPr>
      <w:r>
        <w:rPr>
          <w:b/>
        </w:rPr>
        <w:t>Figure 1. IKEA’s established large-format retail model and Nairobi as the proposed gateway market.</w:t>
      </w:r>
    </w:p>
    <w:p w14:paraId="3B3DD4DD" w14:textId="77777777" w:rsidR="00C24ECC" w:rsidRDefault="00000000">
      <w:pPr>
        <w:pStyle w:val="SourceText"/>
        <w:jc w:val="center"/>
      </w:pPr>
      <w:r>
        <w:t>Sources: Montgomery County Planning Commission (2012), CC BY-SA 2.0; Lmwangi (2008), CC BY-SA 3.0, via Wikimedia Commons.</w:t>
      </w:r>
    </w:p>
    <w:p w14:paraId="4E1BFCB9" w14:textId="77777777" w:rsidR="00C24ECC" w:rsidRDefault="00000000">
      <w:pPr>
        <w:pStyle w:val="Heading1"/>
      </w:pPr>
      <w:r>
        <w:lastRenderedPageBreak/>
        <w:t>2. Organisational Classification and Global Strategy</w:t>
      </w:r>
    </w:p>
    <w:p w14:paraId="22BB2844" w14:textId="77777777" w:rsidR="00C24ECC" w:rsidRDefault="00000000">
      <w:pPr>
        <w:pStyle w:val="Heading2"/>
      </w:pPr>
      <w:r>
        <w:t>2.1 Bartlett and Ghoshal classification</w:t>
      </w:r>
    </w:p>
    <w:p w14:paraId="3B340BAF" w14:textId="5FA0E8AA" w:rsidR="00C551E0" w:rsidRDefault="00C551E0" w:rsidP="00C551E0">
      <w:r>
        <w:t xml:space="preserve">Bartlett and Ghoshal’s (1989) framework kind of separates strategies based on how much they push for global togetherness, versus local acting. IKEA is probably best read as a global transnational hybrid, but leaning more toward integration than people might expect. It’s not just international, because the capabilities live inside one coordinated worldwide set of routines; and it’s not really multidomestic either because the franchisees cannot tweak the core idea. A purely global label also feels too small, since local formats, services, market know how, and even day to day communication matter. For Kenya, that classification implies the main IKEA concept has to stay centrally steered, while things like customer access, payment, delivery, assembly and even room presentation get </w:t>
      </w:r>
      <w:proofErr w:type="spellStart"/>
      <w:r>
        <w:t>localised</w:t>
      </w:r>
      <w:proofErr w:type="spellEnd"/>
      <w:r>
        <w:t xml:space="preserve">. </w:t>
      </w:r>
      <w:proofErr w:type="gramStart"/>
      <w:r>
        <w:t>So</w:t>
      </w:r>
      <w:proofErr w:type="gramEnd"/>
      <w:r>
        <w:t xml:space="preserve"> the strategic issue is basically where </w:t>
      </w:r>
      <w:proofErr w:type="spellStart"/>
      <w:r>
        <w:t>localisation</w:t>
      </w:r>
      <w:proofErr w:type="spellEnd"/>
      <w:r>
        <w:t xml:space="preserve"> brings real value, without eroding scale advantages or breaking brand consistency.</w:t>
      </w:r>
    </w:p>
    <w:p w14:paraId="5F228073" w14:textId="16EB657B" w:rsidR="00C551E0" w:rsidRDefault="00C551E0" w:rsidP="00C551E0">
      <w:r>
        <w:t>Integration is anchored in Inter IKEA Systems B.V.’s control over the concept and franchise set up, IKEA of Sweden’s role in range development, IKEA Supply’s sourcing coordination, plus the shared marketing architecture. Roughly 90 per cent of the range is sourced through external suppliers, and franchisees then rely on shared methods and pay 3 per cent of net sales for the trademarks, range and operating system (Inter IKEA Group, 2025a; IKEA, 2026b). These arrangements do build scale, and keep things consistent, but they also demand strict controls in Kenya around quality, brand, and data governance.</w:t>
      </w:r>
    </w:p>
    <w:p w14:paraId="196461F1" w14:textId="22AB0BAB" w:rsidR="00C551E0" w:rsidRDefault="00C551E0" w:rsidP="00C551E0">
      <w:r>
        <w:t xml:space="preserve">Responsiveness comes through franchisees that actually run local businesses. They bring market insight, and they can choose among store </w:t>
      </w:r>
      <w:proofErr w:type="gramStart"/>
      <w:r>
        <w:t>sizes ,</w:t>
      </w:r>
      <w:proofErr w:type="gramEnd"/>
      <w:r>
        <w:t xml:space="preserve"> smaller formats, plan and order points, collection sites, and digital channels. In FY25 IKEA opened 66 new sales locations, and online sales made up 28 per cent of turnover (Inter IKEA Group, 2025a). In other </w:t>
      </w:r>
      <w:proofErr w:type="gramStart"/>
      <w:r>
        <w:t>words</w:t>
      </w:r>
      <w:proofErr w:type="gramEnd"/>
      <w:r>
        <w:t xml:space="preserve"> local discretion is mainly about access, fulfilment, payment, services and presentation, while it stays fenced in by concept rules and system standards.</w:t>
      </w:r>
    </w:p>
    <w:p w14:paraId="7B5E0161" w14:textId="250096EF" w:rsidR="00C24ECC" w:rsidRDefault="00C551E0" w:rsidP="00C551E0">
      <w:r>
        <w:t xml:space="preserve">This hybrid model creates some agency and capability risks. A franchisee may contribute capital and local knowledge, but they might also chase short term returns, instead of affordability goals, sustainability, or even long run learning within the system. And since furniture retail relies on tacit routines in planning, delivery, quality, and after sales support, formal contracts by themselves are not enough. A Kenyan partner would likely need real logistics capacity, digital </w:t>
      </w:r>
      <w:proofErr w:type="gramStart"/>
      <w:r>
        <w:t>competence ,</w:t>
      </w:r>
      <w:proofErr w:type="gramEnd"/>
      <w:r>
        <w:t xml:space="preserve"> financial discipline, shared data processes, training, and verifiable compliance, not just operate like a passive </w:t>
      </w:r>
      <w:proofErr w:type="spellStart"/>
      <w:r>
        <w:t>licence</w:t>
      </w:r>
      <w:proofErr w:type="spellEnd"/>
      <w:r>
        <w:t xml:space="preserve"> holder.</w:t>
      </w:r>
    </w:p>
    <w:p w14:paraId="6067E4CA" w14:textId="77777777" w:rsidR="00C24ECC" w:rsidRDefault="00000000">
      <w:pPr>
        <w:pStyle w:val="CaptionText"/>
      </w:pPr>
      <w:r>
        <w:lastRenderedPageBreak/>
        <w:t>Table 1. Strategic classification of IKEA and implications for Kenya. Source: Author synthesis.</w:t>
      </w:r>
    </w:p>
    <w:tbl>
      <w:tblPr>
        <w:tblStyle w:val="TableGrid"/>
        <w:tblW w:w="0" w:type="auto"/>
        <w:jc w:val="center"/>
        <w:tblLook w:val="04A0" w:firstRow="1" w:lastRow="0" w:firstColumn="1" w:lastColumn="0" w:noHBand="0" w:noVBand="1"/>
      </w:tblPr>
      <w:tblGrid>
        <w:gridCol w:w="2154"/>
        <w:gridCol w:w="3462"/>
        <w:gridCol w:w="3785"/>
      </w:tblGrid>
      <w:tr w:rsidR="00C24ECC" w14:paraId="32F8B60A" w14:textId="77777777">
        <w:trPr>
          <w:cantSplit/>
          <w:tblHeader/>
          <w:jc w:val="center"/>
        </w:trPr>
        <w:tc>
          <w:tcPr>
            <w:tcW w:w="2268" w:type="dxa"/>
            <w:shd w:val="clear" w:color="auto" w:fill="0058A3"/>
            <w:tcMar>
              <w:top w:w="80" w:type="dxa"/>
              <w:left w:w="90" w:type="dxa"/>
              <w:bottom w:w="80" w:type="dxa"/>
              <w:right w:w="90" w:type="dxa"/>
            </w:tcMar>
            <w:vAlign w:val="center"/>
          </w:tcPr>
          <w:p w14:paraId="0CC111A5" w14:textId="77777777" w:rsidR="00C24ECC" w:rsidRDefault="00000000">
            <w:pPr>
              <w:jc w:val="center"/>
            </w:pPr>
            <w:r>
              <w:rPr>
                <w:b/>
                <w:color w:val="FFFFFF"/>
                <w:sz w:val="16"/>
              </w:rPr>
              <w:t>Strategic dimension</w:t>
            </w:r>
          </w:p>
        </w:tc>
        <w:tc>
          <w:tcPr>
            <w:tcW w:w="3742" w:type="dxa"/>
            <w:shd w:val="clear" w:color="auto" w:fill="0058A3"/>
            <w:tcMar>
              <w:top w:w="80" w:type="dxa"/>
              <w:left w:w="90" w:type="dxa"/>
              <w:bottom w:w="80" w:type="dxa"/>
              <w:right w:w="90" w:type="dxa"/>
            </w:tcMar>
            <w:vAlign w:val="center"/>
          </w:tcPr>
          <w:p w14:paraId="65CEAEDF" w14:textId="77777777" w:rsidR="00C24ECC" w:rsidRDefault="00000000">
            <w:pPr>
              <w:jc w:val="center"/>
            </w:pPr>
            <w:r>
              <w:rPr>
                <w:b/>
                <w:color w:val="FFFFFF"/>
                <w:sz w:val="16"/>
              </w:rPr>
              <w:t>Observed IKEA configuration</w:t>
            </w:r>
          </w:p>
        </w:tc>
        <w:tc>
          <w:tcPr>
            <w:tcW w:w="4139" w:type="dxa"/>
            <w:shd w:val="clear" w:color="auto" w:fill="0058A3"/>
            <w:tcMar>
              <w:top w:w="80" w:type="dxa"/>
              <w:left w:w="90" w:type="dxa"/>
              <w:bottom w:w="80" w:type="dxa"/>
              <w:right w:w="90" w:type="dxa"/>
            </w:tcMar>
            <w:vAlign w:val="center"/>
          </w:tcPr>
          <w:p w14:paraId="4517893D" w14:textId="77777777" w:rsidR="00C24ECC" w:rsidRDefault="00000000">
            <w:pPr>
              <w:jc w:val="center"/>
            </w:pPr>
            <w:r>
              <w:rPr>
                <w:b/>
                <w:color w:val="FFFFFF"/>
                <w:sz w:val="16"/>
              </w:rPr>
              <w:t>Critical implication for Kenya</w:t>
            </w:r>
          </w:p>
        </w:tc>
      </w:tr>
      <w:tr w:rsidR="00C24ECC" w14:paraId="392EF6F0" w14:textId="77777777">
        <w:trPr>
          <w:cantSplit/>
          <w:jc w:val="center"/>
        </w:trPr>
        <w:tc>
          <w:tcPr>
            <w:tcW w:w="2268" w:type="dxa"/>
            <w:tcMar>
              <w:top w:w="80" w:type="dxa"/>
              <w:left w:w="90" w:type="dxa"/>
              <w:bottom w:w="80" w:type="dxa"/>
              <w:right w:w="90" w:type="dxa"/>
            </w:tcMar>
          </w:tcPr>
          <w:p w14:paraId="0A6C5F0C" w14:textId="77777777" w:rsidR="00C24ECC" w:rsidRDefault="00000000">
            <w:pPr>
              <w:spacing w:after="0" w:line="252" w:lineRule="auto"/>
              <w:jc w:val="left"/>
            </w:pPr>
            <w:r>
              <w:rPr>
                <w:sz w:val="16"/>
              </w:rPr>
              <w:t>Global integration</w:t>
            </w:r>
          </w:p>
        </w:tc>
        <w:tc>
          <w:tcPr>
            <w:tcW w:w="3742" w:type="dxa"/>
            <w:tcMar>
              <w:top w:w="80" w:type="dxa"/>
              <w:left w:w="90" w:type="dxa"/>
              <w:bottom w:w="80" w:type="dxa"/>
              <w:right w:w="90" w:type="dxa"/>
            </w:tcMar>
          </w:tcPr>
          <w:p w14:paraId="7A8718C9" w14:textId="77777777" w:rsidR="00C24ECC" w:rsidRDefault="00000000">
            <w:pPr>
              <w:spacing w:after="0" w:line="252" w:lineRule="auto"/>
              <w:jc w:val="left"/>
            </w:pPr>
            <w:r>
              <w:rPr>
                <w:sz w:val="16"/>
              </w:rPr>
              <w:t>Central ownership of the concept, brand, range development, communication and supply coordination; common franchise methods and a 3% franchise fee.</w:t>
            </w:r>
          </w:p>
        </w:tc>
        <w:tc>
          <w:tcPr>
            <w:tcW w:w="4139" w:type="dxa"/>
            <w:tcMar>
              <w:top w:w="80" w:type="dxa"/>
              <w:left w:w="90" w:type="dxa"/>
              <w:bottom w:w="80" w:type="dxa"/>
              <w:right w:w="90" w:type="dxa"/>
            </w:tcMar>
          </w:tcPr>
          <w:p w14:paraId="2BCED786" w14:textId="77777777" w:rsidR="00C24ECC" w:rsidRDefault="00000000">
            <w:pPr>
              <w:spacing w:after="0" w:line="252" w:lineRule="auto"/>
              <w:jc w:val="left"/>
            </w:pPr>
            <w:r>
              <w:rPr>
                <w:sz w:val="16"/>
              </w:rPr>
              <w:t>The Kenyan operation can access proven intellectual property and global scale, but it must preserve concept and quality controls.</w:t>
            </w:r>
          </w:p>
        </w:tc>
      </w:tr>
      <w:tr w:rsidR="00C24ECC" w14:paraId="3BDEF3C5" w14:textId="77777777">
        <w:trPr>
          <w:cantSplit/>
          <w:jc w:val="center"/>
        </w:trPr>
        <w:tc>
          <w:tcPr>
            <w:tcW w:w="2268" w:type="dxa"/>
            <w:shd w:val="clear" w:color="auto" w:fill="F1F5F8"/>
            <w:tcMar>
              <w:top w:w="80" w:type="dxa"/>
              <w:left w:w="90" w:type="dxa"/>
              <w:bottom w:w="80" w:type="dxa"/>
              <w:right w:w="90" w:type="dxa"/>
            </w:tcMar>
          </w:tcPr>
          <w:p w14:paraId="59C4250F" w14:textId="77777777" w:rsidR="00C24ECC" w:rsidRDefault="00000000">
            <w:pPr>
              <w:spacing w:after="0" w:line="252" w:lineRule="auto"/>
              <w:jc w:val="left"/>
            </w:pPr>
            <w:r>
              <w:rPr>
                <w:sz w:val="16"/>
              </w:rPr>
              <w:t>Local responsiveness</w:t>
            </w:r>
          </w:p>
        </w:tc>
        <w:tc>
          <w:tcPr>
            <w:tcW w:w="3742" w:type="dxa"/>
            <w:shd w:val="clear" w:color="auto" w:fill="F1F5F8"/>
            <w:tcMar>
              <w:top w:w="80" w:type="dxa"/>
              <w:left w:w="90" w:type="dxa"/>
              <w:bottom w:w="80" w:type="dxa"/>
              <w:right w:w="90" w:type="dxa"/>
            </w:tcMar>
          </w:tcPr>
          <w:p w14:paraId="54CEA26A" w14:textId="77777777" w:rsidR="00C24ECC" w:rsidRDefault="00000000">
            <w:pPr>
              <w:spacing w:after="0" w:line="252" w:lineRule="auto"/>
              <w:jc w:val="left"/>
            </w:pPr>
            <w:r>
              <w:rPr>
                <w:sz w:val="16"/>
              </w:rPr>
              <w:t>Franchisees adapt channels, room displays, communications and services and feed consumer insights into the system.</w:t>
            </w:r>
          </w:p>
        </w:tc>
        <w:tc>
          <w:tcPr>
            <w:tcW w:w="4139" w:type="dxa"/>
            <w:shd w:val="clear" w:color="auto" w:fill="F1F5F8"/>
            <w:tcMar>
              <w:top w:w="80" w:type="dxa"/>
              <w:left w:w="90" w:type="dxa"/>
              <w:bottom w:w="80" w:type="dxa"/>
              <w:right w:w="90" w:type="dxa"/>
            </w:tcMar>
          </w:tcPr>
          <w:p w14:paraId="1639A0EA" w14:textId="77777777" w:rsidR="00C24ECC" w:rsidRDefault="00000000">
            <w:pPr>
              <w:spacing w:after="0" w:line="252" w:lineRule="auto"/>
              <w:jc w:val="left"/>
            </w:pPr>
            <w:r>
              <w:rPr>
                <w:sz w:val="16"/>
              </w:rPr>
              <w:t>A Kenyan partner and local life-at-home research are necessary to adapt access, payments, delivery and product presentation.</w:t>
            </w:r>
          </w:p>
        </w:tc>
      </w:tr>
      <w:tr w:rsidR="00C24ECC" w14:paraId="64E93B13" w14:textId="77777777">
        <w:trPr>
          <w:cantSplit/>
          <w:jc w:val="center"/>
        </w:trPr>
        <w:tc>
          <w:tcPr>
            <w:tcW w:w="2268" w:type="dxa"/>
            <w:tcMar>
              <w:top w:w="80" w:type="dxa"/>
              <w:left w:w="90" w:type="dxa"/>
              <w:bottom w:w="80" w:type="dxa"/>
              <w:right w:w="90" w:type="dxa"/>
            </w:tcMar>
          </w:tcPr>
          <w:p w14:paraId="733AA055" w14:textId="77777777" w:rsidR="00C24ECC" w:rsidRDefault="00000000">
            <w:pPr>
              <w:spacing w:after="0" w:line="252" w:lineRule="auto"/>
              <w:jc w:val="left"/>
            </w:pPr>
            <w:r>
              <w:rPr>
                <w:sz w:val="16"/>
              </w:rPr>
              <w:t>Worldwide learning</w:t>
            </w:r>
          </w:p>
        </w:tc>
        <w:tc>
          <w:tcPr>
            <w:tcW w:w="3742" w:type="dxa"/>
            <w:tcMar>
              <w:top w:w="80" w:type="dxa"/>
              <w:left w:w="90" w:type="dxa"/>
              <w:bottom w:w="80" w:type="dxa"/>
              <w:right w:w="90" w:type="dxa"/>
            </w:tcMar>
          </w:tcPr>
          <w:p w14:paraId="2B25DFEE" w14:textId="77777777" w:rsidR="00C24ECC" w:rsidRDefault="00000000">
            <w:pPr>
              <w:spacing w:after="0" w:line="252" w:lineRule="auto"/>
              <w:jc w:val="left"/>
            </w:pPr>
            <w:r>
              <w:rPr>
                <w:sz w:val="16"/>
              </w:rPr>
              <w:t>Consumer knowledge and operating experience circulate between franchisor, franchisees and suppliers.</w:t>
            </w:r>
          </w:p>
        </w:tc>
        <w:tc>
          <w:tcPr>
            <w:tcW w:w="4139" w:type="dxa"/>
            <w:tcMar>
              <w:top w:w="80" w:type="dxa"/>
              <w:left w:w="90" w:type="dxa"/>
              <w:bottom w:w="80" w:type="dxa"/>
              <w:right w:w="90" w:type="dxa"/>
            </w:tcMar>
          </w:tcPr>
          <w:p w14:paraId="670C7B76" w14:textId="77777777" w:rsidR="00C24ECC" w:rsidRDefault="00000000">
            <w:pPr>
              <w:spacing w:after="0" w:line="252" w:lineRule="auto"/>
              <w:jc w:val="left"/>
            </w:pPr>
            <w:r>
              <w:rPr>
                <w:sz w:val="16"/>
              </w:rPr>
              <w:t>Kenya should be treated as a learning platform for East Africa rather than a simple copy of a European store.</w:t>
            </w:r>
          </w:p>
        </w:tc>
      </w:tr>
      <w:tr w:rsidR="00C24ECC" w14:paraId="4B8A7812" w14:textId="77777777">
        <w:trPr>
          <w:cantSplit/>
          <w:jc w:val="center"/>
        </w:trPr>
        <w:tc>
          <w:tcPr>
            <w:tcW w:w="2268" w:type="dxa"/>
            <w:shd w:val="clear" w:color="auto" w:fill="F1F5F8"/>
            <w:tcMar>
              <w:top w:w="80" w:type="dxa"/>
              <w:left w:w="90" w:type="dxa"/>
              <w:bottom w:w="80" w:type="dxa"/>
              <w:right w:w="90" w:type="dxa"/>
            </w:tcMar>
          </w:tcPr>
          <w:p w14:paraId="628C469B" w14:textId="77777777" w:rsidR="00C24ECC" w:rsidRDefault="00000000">
            <w:pPr>
              <w:spacing w:after="0" w:line="252" w:lineRule="auto"/>
              <w:jc w:val="left"/>
            </w:pPr>
            <w:r>
              <w:rPr>
                <w:sz w:val="16"/>
              </w:rPr>
              <w:t>Strategic tension</w:t>
            </w:r>
          </w:p>
        </w:tc>
        <w:tc>
          <w:tcPr>
            <w:tcW w:w="3742" w:type="dxa"/>
            <w:shd w:val="clear" w:color="auto" w:fill="F1F5F8"/>
            <w:tcMar>
              <w:top w:w="80" w:type="dxa"/>
              <w:left w:w="90" w:type="dxa"/>
              <w:bottom w:w="80" w:type="dxa"/>
              <w:right w:w="90" w:type="dxa"/>
            </w:tcMar>
          </w:tcPr>
          <w:p w14:paraId="3A7D8811" w14:textId="77777777" w:rsidR="00C24ECC" w:rsidRDefault="00000000">
            <w:pPr>
              <w:spacing w:after="0" w:line="252" w:lineRule="auto"/>
              <w:jc w:val="left"/>
            </w:pPr>
            <w:r>
              <w:rPr>
                <w:sz w:val="16"/>
              </w:rPr>
              <w:t>Standardisation lowers cost, while localisation adds relevance and operating expense.</w:t>
            </w:r>
          </w:p>
        </w:tc>
        <w:tc>
          <w:tcPr>
            <w:tcW w:w="4139" w:type="dxa"/>
            <w:shd w:val="clear" w:color="auto" w:fill="F1F5F8"/>
            <w:tcMar>
              <w:top w:w="80" w:type="dxa"/>
              <w:left w:w="90" w:type="dxa"/>
              <w:bottom w:w="80" w:type="dxa"/>
              <w:right w:w="90" w:type="dxa"/>
            </w:tcMar>
          </w:tcPr>
          <w:p w14:paraId="7CD9D342" w14:textId="77777777" w:rsidR="00C24ECC" w:rsidRDefault="00000000">
            <w:pPr>
              <w:spacing w:after="0" w:line="252" w:lineRule="auto"/>
              <w:jc w:val="left"/>
            </w:pPr>
            <w:r>
              <w:rPr>
                <w:sz w:val="16"/>
              </w:rPr>
              <w:t>Entry is viable only when localisation improves demand enough to justify its cost without destroying affordability.</w:t>
            </w:r>
          </w:p>
        </w:tc>
      </w:tr>
    </w:tbl>
    <w:p w14:paraId="1A2D365D" w14:textId="77777777" w:rsidR="00C24ECC" w:rsidRDefault="00C24ECC"/>
    <w:p w14:paraId="538B4FDF" w14:textId="77777777" w:rsidR="00C24ECC" w:rsidRDefault="00000000">
      <w:pPr>
        <w:pStyle w:val="Heading2"/>
      </w:pPr>
      <w:r>
        <w:t>2.2 Global configuration and value creation</w:t>
      </w:r>
    </w:p>
    <w:p w14:paraId="2283FFCC" w14:textId="2C336413" w:rsidR="00C24ECC" w:rsidRDefault="00C551E0">
      <w:r w:rsidRPr="00C551E0">
        <w:t xml:space="preserve">IKEA’s global configuration kind of builds scale, </w:t>
      </w:r>
      <w:proofErr w:type="spellStart"/>
      <w:r w:rsidRPr="00C551E0">
        <w:t>specialised</w:t>
      </w:r>
      <w:proofErr w:type="spellEnd"/>
      <w:r w:rsidRPr="00C551E0">
        <w:t xml:space="preserve"> capabilities and repeated learning over time. In FY25, the retail network reached 63 markets, 13 franchisee groups and more than 800 customer meeting points, but the concept, range and supply functions stayed internationally distributed, even if they are coordinated (Inter IKEA Group, 2025a). That separation lets manufacturing, sourcing and retail activity sit more efficiently, it diversifies demand and it also enables different entry formats, instead of asking every market to start from a big destination store right away</w:t>
      </w:r>
      <w:r>
        <w:t>.</w:t>
      </w:r>
    </w:p>
    <w:p w14:paraId="3CF8EA29" w14:textId="77777777" w:rsidR="00C24ECC" w:rsidRDefault="00000000">
      <w:pPr>
        <w:jc w:val="center"/>
      </w:pPr>
      <w:r>
        <w:rPr>
          <w:noProof/>
        </w:rPr>
        <w:drawing>
          <wp:inline distT="0" distB="0" distL="0" distR="0" wp14:anchorId="6065F63E" wp14:editId="42A47F71">
            <wp:extent cx="5760720" cy="32348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ikea_sales.png"/>
                    <pic:cNvPicPr/>
                  </pic:nvPicPr>
                  <pic:blipFill>
                    <a:blip r:embed="rId12"/>
                    <a:stretch>
                      <a:fillRect/>
                    </a:stretch>
                  </pic:blipFill>
                  <pic:spPr>
                    <a:xfrm>
                      <a:off x="0" y="0"/>
                      <a:ext cx="5760720" cy="3234865"/>
                    </a:xfrm>
                    <a:prstGeom prst="rect">
                      <a:avLst/>
                    </a:prstGeom>
                  </pic:spPr>
                </pic:pic>
              </a:graphicData>
            </a:graphic>
          </wp:inline>
        </w:drawing>
      </w:r>
    </w:p>
    <w:p w14:paraId="343BF173" w14:textId="77777777" w:rsidR="00C24ECC" w:rsidRDefault="00000000">
      <w:pPr>
        <w:pStyle w:val="CaptionText"/>
        <w:jc w:val="center"/>
      </w:pPr>
      <w:r>
        <w:rPr>
          <w:b/>
        </w:rPr>
        <w:t>Figure 2. IKEA global retail sales, FY23-FY25.</w:t>
      </w:r>
    </w:p>
    <w:p w14:paraId="7AAA9859" w14:textId="77777777" w:rsidR="00C24ECC" w:rsidRDefault="00000000">
      <w:pPr>
        <w:pStyle w:val="SourceText"/>
        <w:jc w:val="center"/>
      </w:pPr>
      <w:r>
        <w:t>Source: Author’s chart based on Inter IKEA Group (2025a).</w:t>
      </w:r>
    </w:p>
    <w:p w14:paraId="1C47AF70" w14:textId="010BB91A" w:rsidR="00C551E0" w:rsidRDefault="00C551E0" w:rsidP="00C551E0">
      <w:r>
        <w:lastRenderedPageBreak/>
        <w:t xml:space="preserve">Figure 2 shows sales declining from EUR47.6 billion in FY23 to EUR44.6 billion in FY25, while FY25 quantities increased by 2.6 per cent, and stores received 915 million visits after price reductions (Inter IKEA Group, 2025a). </w:t>
      </w:r>
      <w:proofErr w:type="gramStart"/>
      <w:r>
        <w:t>So</w:t>
      </w:r>
      <w:proofErr w:type="gramEnd"/>
      <w:r>
        <w:t xml:space="preserve"> the drop seems less like demand collapse and more like an affordability strategy. For Kenya, the implication is that IKEA has the scale to fund market development but must keep tariffs and fulfilment costs from turning a mass-market idea into something closer to premium imports.</w:t>
      </w:r>
    </w:p>
    <w:p w14:paraId="061035FD" w14:textId="0A5885A5" w:rsidR="00C24ECC" w:rsidRDefault="00C551E0" w:rsidP="00C551E0">
      <w:r>
        <w:t xml:space="preserve">Globally, the network lowers factory, and design costs but it also raises exposure to freight, exchange rates, customs and disruption, kind of a </w:t>
      </w:r>
      <w:proofErr w:type="spellStart"/>
      <w:r>
        <w:t>trade off</w:t>
      </w:r>
      <w:proofErr w:type="spellEnd"/>
      <w:r>
        <w:t xml:space="preserve">. </w:t>
      </w:r>
      <w:proofErr w:type="spellStart"/>
      <w:r>
        <w:t>Centralised</w:t>
      </w:r>
      <w:proofErr w:type="spellEnd"/>
      <w:r>
        <w:t xml:space="preserve"> product development helps coherence, still it can respond slowly to different room </w:t>
      </w:r>
      <w:proofErr w:type="gramStart"/>
      <w:r>
        <w:t>sizes ,</w:t>
      </w:r>
      <w:proofErr w:type="gramEnd"/>
      <w:r>
        <w:t xml:space="preserve"> cooking routines or even service expectations. </w:t>
      </w:r>
      <w:proofErr w:type="gramStart"/>
      <w:r>
        <w:t>So</w:t>
      </w:r>
      <w:proofErr w:type="gramEnd"/>
      <w:r>
        <w:t xml:space="preserve"> Kenya needs selective local value add, a tighter early range and smaller formats that preserve global cost discipline while still creating local learning opportunities, over time.</w:t>
      </w:r>
    </w:p>
    <w:p w14:paraId="36F3CCDB" w14:textId="77777777" w:rsidR="00C24ECC" w:rsidRDefault="00000000">
      <w:pPr>
        <w:pStyle w:val="Heading1"/>
      </w:pPr>
      <w:r>
        <w:t>3. Macro-Environmental Appraisal and Market Attractiveness</w:t>
      </w:r>
    </w:p>
    <w:p w14:paraId="4206ABE6" w14:textId="77777777" w:rsidR="00C24ECC" w:rsidRDefault="00000000">
      <w:pPr>
        <w:pStyle w:val="Heading2"/>
      </w:pPr>
      <w:r>
        <w:t>3.1 Political and institutional environment</w:t>
      </w:r>
    </w:p>
    <w:p w14:paraId="11477D2F" w14:textId="2F6078C0" w:rsidR="00C551E0" w:rsidRDefault="00C551E0" w:rsidP="00C551E0">
      <w:r>
        <w:t xml:space="preserve">Kenya does support foreign investment and it </w:t>
      </w:r>
      <w:proofErr w:type="spellStart"/>
      <w:r>
        <w:t>kinda</w:t>
      </w:r>
      <w:proofErr w:type="spellEnd"/>
      <w:r>
        <w:t xml:space="preserve"> works as an East African commercial and diplomatic hub, while Nairobi’s corporate services, transport links and retail infrastructure giving a decent base for a first operation. But regional chance is not an automatic scale, not really, because customs handling, consumer income and regulation differ across the neighboring states. </w:t>
      </w:r>
      <w:proofErr w:type="gramStart"/>
      <w:r>
        <w:t>So</w:t>
      </w:r>
      <w:proofErr w:type="gramEnd"/>
      <w:r>
        <w:t xml:space="preserve"> the first rationale should be Kenyan demand, and then later you can do regional distribution or something like that.</w:t>
      </w:r>
    </w:p>
    <w:p w14:paraId="7A456564" w14:textId="51DD3C55" w:rsidR="00C551E0" w:rsidRDefault="00C551E0" w:rsidP="00C551E0">
      <w:r>
        <w:t xml:space="preserve">The main political-economic problem seems to be fiscal fragility. The World Bank reported that public-debt distress risk is high, with interest payments taking about one third of tax revenue, plus policy uncertainty and protest pressure (World Bank, 2025a). Revenue changes can swing duties, levies, fuel costs and even compliance load, while cutting spending can also reduce demand and slow infrastructure outcomes. </w:t>
      </w:r>
      <w:proofErr w:type="gramStart"/>
      <w:r>
        <w:t>So</w:t>
      </w:r>
      <w:proofErr w:type="gramEnd"/>
      <w:r>
        <w:t xml:space="preserve"> if IKEA makes a high sunk investment early, it would end up exposed to both market turbulence and policy volatility, at the same time, and more than one expects.</w:t>
      </w:r>
    </w:p>
    <w:p w14:paraId="3402FDAB" w14:textId="7D0F5FDA" w:rsidR="00C551E0" w:rsidRDefault="00C551E0" w:rsidP="00C551E0">
      <w:r>
        <w:t>Governance quality also adds transaction risk. Kenya scored 30/100 and ranked 130 of 182 countries in Transparency International’s 2025 index (Transparency International, 2026). Now the index can’t really forecast any single act of misconduct, but it still backs up real documentation due diligence, separation of tasks, audit trails and safe reporting channels across the franchisee, customs agents, landlords, contractors, logistics providers, and suppliers.</w:t>
      </w:r>
    </w:p>
    <w:p w14:paraId="7142628C" w14:textId="71CA6847" w:rsidR="00C24ECC" w:rsidRDefault="00C551E0" w:rsidP="00C551E0">
      <w:r>
        <w:lastRenderedPageBreak/>
        <w:t xml:space="preserve">All of this points toward a real options style approach: start by committing to research, tariff rulings, partner selection, and limited customer facing infrastructure, then expand only after regulatory steadiness and day to day operating performance get demonstrated. Political uncertainty should shape the order of moves and the governance setup rather than cause either a blanket </w:t>
      </w:r>
      <w:proofErr w:type="gramStart"/>
      <w:r>
        <w:t>rejection ,</w:t>
      </w:r>
      <w:proofErr w:type="gramEnd"/>
      <w:r>
        <w:t xml:space="preserve"> or an irreversible entry that can’t be fixed later.</w:t>
      </w:r>
    </w:p>
    <w:p w14:paraId="1ACB8BC6" w14:textId="77777777" w:rsidR="00C24ECC" w:rsidRDefault="00000000">
      <w:pPr>
        <w:pStyle w:val="CaptionText"/>
      </w:pPr>
      <w:r>
        <w:t>Table 2. Political and institutional issues affecting IKEA’s Kenya entry. Source: Author synthesis.</w:t>
      </w:r>
    </w:p>
    <w:tbl>
      <w:tblPr>
        <w:tblStyle w:val="TableGrid"/>
        <w:tblW w:w="0" w:type="auto"/>
        <w:jc w:val="center"/>
        <w:tblLook w:val="04A0" w:firstRow="1" w:lastRow="0" w:firstColumn="1" w:lastColumn="0" w:noHBand="0" w:noVBand="1"/>
      </w:tblPr>
      <w:tblGrid>
        <w:gridCol w:w="2145"/>
        <w:gridCol w:w="3681"/>
        <w:gridCol w:w="3575"/>
      </w:tblGrid>
      <w:tr w:rsidR="00C24ECC" w14:paraId="60E66F35" w14:textId="77777777">
        <w:trPr>
          <w:cantSplit/>
          <w:tblHeader/>
          <w:jc w:val="center"/>
        </w:trPr>
        <w:tc>
          <w:tcPr>
            <w:tcW w:w="2268" w:type="dxa"/>
            <w:shd w:val="clear" w:color="auto" w:fill="0058A3"/>
            <w:tcMar>
              <w:top w:w="80" w:type="dxa"/>
              <w:left w:w="90" w:type="dxa"/>
              <w:bottom w:w="80" w:type="dxa"/>
              <w:right w:w="90" w:type="dxa"/>
            </w:tcMar>
            <w:vAlign w:val="center"/>
          </w:tcPr>
          <w:p w14:paraId="0DBDE899" w14:textId="77777777" w:rsidR="00C24ECC" w:rsidRDefault="00000000">
            <w:pPr>
              <w:jc w:val="center"/>
            </w:pPr>
            <w:r>
              <w:rPr>
                <w:b/>
                <w:color w:val="FFFFFF"/>
                <w:sz w:val="16"/>
              </w:rPr>
              <w:t>Political issue</w:t>
            </w:r>
          </w:p>
        </w:tc>
        <w:tc>
          <w:tcPr>
            <w:tcW w:w="3969" w:type="dxa"/>
            <w:shd w:val="clear" w:color="auto" w:fill="0058A3"/>
            <w:tcMar>
              <w:top w:w="80" w:type="dxa"/>
              <w:left w:w="90" w:type="dxa"/>
              <w:bottom w:w="80" w:type="dxa"/>
              <w:right w:w="90" w:type="dxa"/>
            </w:tcMar>
            <w:vAlign w:val="center"/>
          </w:tcPr>
          <w:p w14:paraId="4990FBDD" w14:textId="77777777" w:rsidR="00C24ECC" w:rsidRDefault="00000000">
            <w:pPr>
              <w:jc w:val="center"/>
            </w:pPr>
            <w:r>
              <w:rPr>
                <w:b/>
                <w:color w:val="FFFFFF"/>
                <w:sz w:val="16"/>
              </w:rPr>
              <w:t>Commercial effect on IKEA</w:t>
            </w:r>
          </w:p>
        </w:tc>
        <w:tc>
          <w:tcPr>
            <w:tcW w:w="3855" w:type="dxa"/>
            <w:shd w:val="clear" w:color="auto" w:fill="0058A3"/>
            <w:tcMar>
              <w:top w:w="80" w:type="dxa"/>
              <w:left w:w="90" w:type="dxa"/>
              <w:bottom w:w="80" w:type="dxa"/>
              <w:right w:w="90" w:type="dxa"/>
            </w:tcMar>
            <w:vAlign w:val="center"/>
          </w:tcPr>
          <w:p w14:paraId="5A1B35A9" w14:textId="77777777" w:rsidR="00C24ECC" w:rsidRDefault="00000000">
            <w:pPr>
              <w:jc w:val="center"/>
            </w:pPr>
            <w:r>
              <w:rPr>
                <w:b/>
                <w:color w:val="FFFFFF"/>
                <w:sz w:val="16"/>
              </w:rPr>
              <w:t>Strategic response</w:t>
            </w:r>
          </w:p>
        </w:tc>
      </w:tr>
      <w:tr w:rsidR="00C24ECC" w14:paraId="4E79787B" w14:textId="77777777">
        <w:trPr>
          <w:cantSplit/>
          <w:jc w:val="center"/>
        </w:trPr>
        <w:tc>
          <w:tcPr>
            <w:tcW w:w="2268" w:type="dxa"/>
            <w:tcMar>
              <w:top w:w="80" w:type="dxa"/>
              <w:left w:w="90" w:type="dxa"/>
              <w:bottom w:w="80" w:type="dxa"/>
              <w:right w:w="90" w:type="dxa"/>
            </w:tcMar>
          </w:tcPr>
          <w:p w14:paraId="034523CB" w14:textId="77777777" w:rsidR="00C24ECC" w:rsidRDefault="00000000">
            <w:pPr>
              <w:spacing w:after="0" w:line="252" w:lineRule="auto"/>
              <w:jc w:val="left"/>
            </w:pPr>
            <w:r>
              <w:rPr>
                <w:sz w:val="16"/>
              </w:rPr>
              <w:t>Regional gateway position</w:t>
            </w:r>
          </w:p>
        </w:tc>
        <w:tc>
          <w:tcPr>
            <w:tcW w:w="3969" w:type="dxa"/>
            <w:tcMar>
              <w:top w:w="80" w:type="dxa"/>
              <w:left w:w="90" w:type="dxa"/>
              <w:bottom w:w="80" w:type="dxa"/>
              <w:right w:w="90" w:type="dxa"/>
            </w:tcMar>
          </w:tcPr>
          <w:p w14:paraId="0E7AC691" w14:textId="77777777" w:rsidR="00C24ECC" w:rsidRDefault="00000000">
            <w:pPr>
              <w:spacing w:after="0" w:line="252" w:lineRule="auto"/>
              <w:jc w:val="left"/>
            </w:pPr>
            <w:r>
              <w:rPr>
                <w:sz w:val="16"/>
              </w:rPr>
              <w:t>Creates option value for East African learning and later distribution but does not guarantee regional market homogeneity.</w:t>
            </w:r>
          </w:p>
        </w:tc>
        <w:tc>
          <w:tcPr>
            <w:tcW w:w="3855" w:type="dxa"/>
            <w:tcMar>
              <w:top w:w="80" w:type="dxa"/>
              <w:left w:w="90" w:type="dxa"/>
              <w:bottom w:w="80" w:type="dxa"/>
              <w:right w:w="90" w:type="dxa"/>
            </w:tcMar>
          </w:tcPr>
          <w:p w14:paraId="1720556A" w14:textId="77777777" w:rsidR="00C24ECC" w:rsidRDefault="00000000">
            <w:pPr>
              <w:spacing w:after="0" w:line="252" w:lineRule="auto"/>
              <w:jc w:val="left"/>
            </w:pPr>
            <w:r>
              <w:rPr>
                <w:sz w:val="16"/>
              </w:rPr>
              <w:t>Build Kenya as a domestic proof point first; evaluate each neighbouring market separately.</w:t>
            </w:r>
          </w:p>
        </w:tc>
      </w:tr>
      <w:tr w:rsidR="00C24ECC" w14:paraId="126EA9D1" w14:textId="77777777">
        <w:trPr>
          <w:cantSplit/>
          <w:jc w:val="center"/>
        </w:trPr>
        <w:tc>
          <w:tcPr>
            <w:tcW w:w="2268" w:type="dxa"/>
            <w:shd w:val="clear" w:color="auto" w:fill="F1F5F8"/>
            <w:tcMar>
              <w:top w:w="80" w:type="dxa"/>
              <w:left w:w="90" w:type="dxa"/>
              <w:bottom w:w="80" w:type="dxa"/>
              <w:right w:w="90" w:type="dxa"/>
            </w:tcMar>
          </w:tcPr>
          <w:p w14:paraId="250FF0A2" w14:textId="77777777" w:rsidR="00C24ECC" w:rsidRDefault="00000000">
            <w:pPr>
              <w:spacing w:after="0" w:line="252" w:lineRule="auto"/>
              <w:jc w:val="left"/>
            </w:pPr>
            <w:r>
              <w:rPr>
                <w:sz w:val="16"/>
              </w:rPr>
              <w:t>Fiscal vulnerability</w:t>
            </w:r>
          </w:p>
        </w:tc>
        <w:tc>
          <w:tcPr>
            <w:tcW w:w="3969" w:type="dxa"/>
            <w:shd w:val="clear" w:color="auto" w:fill="F1F5F8"/>
            <w:tcMar>
              <w:top w:w="80" w:type="dxa"/>
              <w:left w:w="90" w:type="dxa"/>
              <w:bottom w:w="80" w:type="dxa"/>
              <w:right w:w="90" w:type="dxa"/>
            </w:tcMar>
          </w:tcPr>
          <w:p w14:paraId="6F8F4A8B" w14:textId="77777777" w:rsidR="00C24ECC" w:rsidRDefault="00000000">
            <w:pPr>
              <w:spacing w:after="0" w:line="252" w:lineRule="auto"/>
              <w:jc w:val="left"/>
            </w:pPr>
            <w:r>
              <w:rPr>
                <w:sz w:val="16"/>
              </w:rPr>
              <w:t>Raises the probability of tax, duty, fuel-cost and spending-policy changes that affect demand and operating costs.</w:t>
            </w:r>
          </w:p>
        </w:tc>
        <w:tc>
          <w:tcPr>
            <w:tcW w:w="3855" w:type="dxa"/>
            <w:shd w:val="clear" w:color="auto" w:fill="F1F5F8"/>
            <w:tcMar>
              <w:top w:w="80" w:type="dxa"/>
              <w:left w:w="90" w:type="dxa"/>
              <w:bottom w:w="80" w:type="dxa"/>
              <w:right w:w="90" w:type="dxa"/>
            </w:tcMar>
          </w:tcPr>
          <w:p w14:paraId="672BB293" w14:textId="77777777" w:rsidR="00C24ECC" w:rsidRDefault="00000000">
            <w:pPr>
              <w:spacing w:after="0" w:line="252" w:lineRule="auto"/>
              <w:jc w:val="left"/>
            </w:pPr>
            <w:r>
              <w:rPr>
                <w:sz w:val="16"/>
              </w:rPr>
              <w:t>Use scenario analysis, regulatory-change clauses and staged capital commitment.</w:t>
            </w:r>
          </w:p>
        </w:tc>
      </w:tr>
      <w:tr w:rsidR="00C24ECC" w14:paraId="0DB12CDE" w14:textId="77777777">
        <w:trPr>
          <w:cantSplit/>
          <w:jc w:val="center"/>
        </w:trPr>
        <w:tc>
          <w:tcPr>
            <w:tcW w:w="2268" w:type="dxa"/>
            <w:tcMar>
              <w:top w:w="80" w:type="dxa"/>
              <w:left w:w="90" w:type="dxa"/>
              <w:bottom w:w="80" w:type="dxa"/>
              <w:right w:w="90" w:type="dxa"/>
            </w:tcMar>
          </w:tcPr>
          <w:p w14:paraId="3A75666E" w14:textId="77777777" w:rsidR="00C24ECC" w:rsidRDefault="00000000">
            <w:pPr>
              <w:spacing w:after="0" w:line="252" w:lineRule="auto"/>
              <w:jc w:val="left"/>
            </w:pPr>
            <w:r>
              <w:rPr>
                <w:sz w:val="16"/>
              </w:rPr>
              <w:t>Policy legitimacy and disruption</w:t>
            </w:r>
          </w:p>
        </w:tc>
        <w:tc>
          <w:tcPr>
            <w:tcW w:w="3969" w:type="dxa"/>
            <w:tcMar>
              <w:top w:w="80" w:type="dxa"/>
              <w:left w:w="90" w:type="dxa"/>
              <w:bottom w:w="80" w:type="dxa"/>
              <w:right w:w="90" w:type="dxa"/>
            </w:tcMar>
          </w:tcPr>
          <w:p w14:paraId="44E769F2" w14:textId="77777777" w:rsidR="00C24ECC" w:rsidRDefault="00000000">
            <w:pPr>
              <w:spacing w:after="0" w:line="252" w:lineRule="auto"/>
              <w:jc w:val="left"/>
            </w:pPr>
            <w:r>
              <w:rPr>
                <w:sz w:val="16"/>
              </w:rPr>
              <w:t>Protests and policy reversals can interrupt transport, sites and customer access.</w:t>
            </w:r>
          </w:p>
        </w:tc>
        <w:tc>
          <w:tcPr>
            <w:tcW w:w="3855" w:type="dxa"/>
            <w:tcMar>
              <w:top w:w="80" w:type="dxa"/>
              <w:left w:w="90" w:type="dxa"/>
              <w:bottom w:w="80" w:type="dxa"/>
              <w:right w:w="90" w:type="dxa"/>
            </w:tcMar>
          </w:tcPr>
          <w:p w14:paraId="7CD83689" w14:textId="77777777" w:rsidR="00C24ECC" w:rsidRDefault="00000000">
            <w:pPr>
              <w:spacing w:after="0" w:line="252" w:lineRule="auto"/>
              <w:jc w:val="left"/>
            </w:pPr>
            <w:r>
              <w:rPr>
                <w:sz w:val="16"/>
              </w:rPr>
              <w:t>Maintain business-continuity procedures, inventory buffers and remote ordering capability.</w:t>
            </w:r>
          </w:p>
        </w:tc>
      </w:tr>
      <w:tr w:rsidR="00C24ECC" w14:paraId="0CF53423" w14:textId="77777777">
        <w:trPr>
          <w:cantSplit/>
          <w:jc w:val="center"/>
        </w:trPr>
        <w:tc>
          <w:tcPr>
            <w:tcW w:w="2268" w:type="dxa"/>
            <w:shd w:val="clear" w:color="auto" w:fill="F1F5F8"/>
            <w:tcMar>
              <w:top w:w="80" w:type="dxa"/>
              <w:left w:w="90" w:type="dxa"/>
              <w:bottom w:w="80" w:type="dxa"/>
              <w:right w:w="90" w:type="dxa"/>
            </w:tcMar>
          </w:tcPr>
          <w:p w14:paraId="6113074E" w14:textId="77777777" w:rsidR="00C24ECC" w:rsidRDefault="00000000">
            <w:pPr>
              <w:spacing w:after="0" w:line="252" w:lineRule="auto"/>
              <w:jc w:val="left"/>
            </w:pPr>
            <w:r>
              <w:rPr>
                <w:sz w:val="16"/>
              </w:rPr>
              <w:t>Governance and third-party integrity</w:t>
            </w:r>
          </w:p>
        </w:tc>
        <w:tc>
          <w:tcPr>
            <w:tcW w:w="3969" w:type="dxa"/>
            <w:shd w:val="clear" w:color="auto" w:fill="F1F5F8"/>
            <w:tcMar>
              <w:top w:w="80" w:type="dxa"/>
              <w:left w:w="90" w:type="dxa"/>
              <w:bottom w:w="80" w:type="dxa"/>
              <w:right w:w="90" w:type="dxa"/>
            </w:tcMar>
          </w:tcPr>
          <w:p w14:paraId="320C2031" w14:textId="77777777" w:rsidR="00C24ECC" w:rsidRDefault="00000000">
            <w:pPr>
              <w:spacing w:after="0" w:line="252" w:lineRule="auto"/>
              <w:jc w:val="left"/>
            </w:pPr>
            <w:r>
              <w:rPr>
                <w:sz w:val="16"/>
              </w:rPr>
              <w:t>Creates customs, permitting and reputational exposure.</w:t>
            </w:r>
          </w:p>
        </w:tc>
        <w:tc>
          <w:tcPr>
            <w:tcW w:w="3855" w:type="dxa"/>
            <w:shd w:val="clear" w:color="auto" w:fill="F1F5F8"/>
            <w:tcMar>
              <w:top w:w="80" w:type="dxa"/>
              <w:left w:w="90" w:type="dxa"/>
              <w:bottom w:w="80" w:type="dxa"/>
              <w:right w:w="90" w:type="dxa"/>
            </w:tcMar>
          </w:tcPr>
          <w:p w14:paraId="163BBE03" w14:textId="77777777" w:rsidR="00C24ECC" w:rsidRDefault="00000000">
            <w:pPr>
              <w:spacing w:after="0" w:line="252" w:lineRule="auto"/>
              <w:jc w:val="left"/>
            </w:pPr>
            <w:r>
              <w:rPr>
                <w:sz w:val="16"/>
              </w:rPr>
              <w:t>Apply rigorous due diligence, transaction monitoring, audit rights and anti-bribery training.</w:t>
            </w:r>
          </w:p>
        </w:tc>
      </w:tr>
    </w:tbl>
    <w:p w14:paraId="35DDDB49" w14:textId="77777777" w:rsidR="00C24ECC" w:rsidRDefault="00C24ECC"/>
    <w:p w14:paraId="1B325EAE" w14:textId="77777777" w:rsidR="00C24ECC" w:rsidRDefault="00000000">
      <w:pPr>
        <w:pStyle w:val="Heading2"/>
      </w:pPr>
      <w:r>
        <w:t>3.2 Economic environment and demand potential</w:t>
      </w:r>
    </w:p>
    <w:p w14:paraId="766706E9" w14:textId="77777777" w:rsidR="00C24ECC" w:rsidRDefault="00000000">
      <w:r>
        <w:t>Kenya offers long-term demand potential, but national growth is not equivalent to an immediately addressable furniture market. The Kenya National Bureau of Statistics (KNBS) reported real GDP growth of 4.6 per cent in 2025 after 4.7 per cent in 2024, while the International Monetary Fund (IMF) projected 4.5 per cent for 2026 (Kenya National Bureau of Statistics, 2026; International Monetary Fund, 2026). The relevant market is Nairobi’s urban households and businesses that value modular, functional furniture and possess sufficient purchasing power.</w:t>
      </w:r>
    </w:p>
    <w:p w14:paraId="69810058" w14:textId="77777777" w:rsidR="00C24ECC" w:rsidRDefault="00000000">
      <w:pPr>
        <w:jc w:val="center"/>
      </w:pPr>
      <w:r>
        <w:rPr>
          <w:noProof/>
        </w:rPr>
        <w:lastRenderedPageBreak/>
        <w:drawing>
          <wp:inline distT="0" distB="0" distL="0" distR="0" wp14:anchorId="3BB9E080" wp14:editId="64E66F28">
            <wp:extent cx="5760720" cy="32348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kenya_gdp.png"/>
                    <pic:cNvPicPr/>
                  </pic:nvPicPr>
                  <pic:blipFill>
                    <a:blip r:embed="rId13"/>
                    <a:stretch>
                      <a:fillRect/>
                    </a:stretch>
                  </pic:blipFill>
                  <pic:spPr>
                    <a:xfrm>
                      <a:off x="0" y="0"/>
                      <a:ext cx="5760720" cy="3234865"/>
                    </a:xfrm>
                    <a:prstGeom prst="rect">
                      <a:avLst/>
                    </a:prstGeom>
                  </pic:spPr>
                </pic:pic>
              </a:graphicData>
            </a:graphic>
          </wp:inline>
        </w:drawing>
      </w:r>
    </w:p>
    <w:p w14:paraId="14F718CC" w14:textId="77777777" w:rsidR="00C24ECC" w:rsidRDefault="00000000">
      <w:pPr>
        <w:pStyle w:val="CaptionText"/>
        <w:jc w:val="center"/>
      </w:pPr>
      <w:r>
        <w:rPr>
          <w:b/>
        </w:rPr>
        <w:t>Figure 3. Kenya real GDP growth and 2026 IMF forecast.</w:t>
      </w:r>
    </w:p>
    <w:p w14:paraId="667F0201" w14:textId="77777777" w:rsidR="00C24ECC" w:rsidRDefault="00000000">
      <w:pPr>
        <w:pStyle w:val="SourceText"/>
        <w:jc w:val="center"/>
      </w:pPr>
      <w:r>
        <w:t>Source: Author’s chart based on Kenya National Bureau of Statistics (2025; 2026) and International Monetary Fund (2026). 2026 is a forecast.</w:t>
      </w:r>
    </w:p>
    <w:p w14:paraId="735FCE01" w14:textId="6A443E41" w:rsidR="00D7543A" w:rsidRDefault="00D7543A" w:rsidP="00D7543A">
      <w:r>
        <w:t xml:space="preserve">Nairobi is the logical entry location </w:t>
      </w:r>
      <w:proofErr w:type="spellStart"/>
      <w:r>
        <w:t>cuz</w:t>
      </w:r>
      <w:proofErr w:type="spellEnd"/>
      <w:r>
        <w:t xml:space="preserve"> it concentrates formal employment, rental housing, commercial </w:t>
      </w:r>
      <w:proofErr w:type="gramStart"/>
      <w:r>
        <w:t>activity ,</w:t>
      </w:r>
      <w:proofErr w:type="gramEnd"/>
      <w:r>
        <w:t xml:space="preserve"> higher income households and modern retail. Kenya’s urban population was about 32 per cent in </w:t>
      </w:r>
      <w:proofErr w:type="gramStart"/>
      <w:r>
        <w:t>2025 ,</w:t>
      </w:r>
      <w:proofErr w:type="gramEnd"/>
      <w:r>
        <w:t xml:space="preserve"> so a nationwide launch would be </w:t>
      </w:r>
      <w:proofErr w:type="spellStart"/>
      <w:r>
        <w:t>kinda</w:t>
      </w:r>
      <w:proofErr w:type="spellEnd"/>
      <w:r>
        <w:t xml:space="preserve"> premature (World Bank, 2026). A Nairobi-first model cuts the delivery spans and it lets the company test household composition, storage requirements, office demand and how people feel about </w:t>
      </w:r>
      <w:proofErr w:type="spellStart"/>
      <w:proofErr w:type="gramStart"/>
      <w:r>
        <w:t>self assembly</w:t>
      </w:r>
      <w:proofErr w:type="spellEnd"/>
      <w:proofErr w:type="gramEnd"/>
      <w:r>
        <w:t xml:space="preserve"> vs paid installation.</w:t>
      </w:r>
    </w:p>
    <w:p w14:paraId="63807394" w14:textId="6D9AE4B1" w:rsidR="00D7543A" w:rsidRDefault="00D7543A" w:rsidP="00D7543A">
      <w:r>
        <w:t xml:space="preserve">Landed cost is really the decisive economic wall. The East African Community tariff can hit 35 per cent for certain final </w:t>
      </w:r>
      <w:proofErr w:type="gramStart"/>
      <w:r>
        <w:t>goods ,</w:t>
      </w:r>
      <w:proofErr w:type="gramEnd"/>
      <w:r>
        <w:t xml:space="preserve"> and imports also get hit with 16 per cent VAT plus logistics, insurance, clearance, storage and damage costs (East African Community, </w:t>
      </w:r>
      <w:proofErr w:type="gramStart"/>
      <w:r>
        <w:t>2022 ;</w:t>
      </w:r>
      <w:proofErr w:type="gramEnd"/>
      <w:r>
        <w:t xml:space="preserve"> Kenya Revenue Authority, 2026a). If a factory value is set at 100, it can climb to roughly 180 before domestic delivery, and retail margins, depending on the classification and whether reliefs apply. </w:t>
      </w:r>
      <w:proofErr w:type="gramStart"/>
      <w:r>
        <w:t>So</w:t>
      </w:r>
      <w:proofErr w:type="gramEnd"/>
      <w:r>
        <w:t xml:space="preserve"> tariff guidance that’s binding and product level price modelling are essential before any commitment is made.</w:t>
      </w:r>
    </w:p>
    <w:p w14:paraId="6FD911BD" w14:textId="5CE23868" w:rsidR="00D7543A" w:rsidRDefault="00D7543A" w:rsidP="00D7543A">
      <w:r>
        <w:t xml:space="preserve">Affordability creates a strategic contradiction too: IKEA’s edge is democratic design at low </w:t>
      </w:r>
      <w:proofErr w:type="gramStart"/>
      <w:r>
        <w:t>price ,</w:t>
      </w:r>
      <w:proofErr w:type="gramEnd"/>
      <w:r>
        <w:t xml:space="preserve"> not just the Scandinavian look as a standalone thing. If duty-loaded items turn into premium imports, then demand might end up limited to better-off consumers and that could erode the whole business model. Representative baskets, covering beds, wardrobes, sofas, dining sets, storage and desks, should be benchmarked against formal retailers and local substitutes before choosing the initial product mix.  </w:t>
      </w:r>
    </w:p>
    <w:p w14:paraId="7ADA52ED" w14:textId="758A7CCA" w:rsidR="00C24ECC" w:rsidRDefault="00D7543A" w:rsidP="00D7543A">
      <w:r>
        <w:lastRenderedPageBreak/>
        <w:t xml:space="preserve">Kenya’s digital scale supports staged market testing. In January to March 2025, the Communications Authority noted 76.16 million SIM subscriptions, 57.18 million mobile data subscriptions, 45.36 million mobile money </w:t>
      </w:r>
      <w:proofErr w:type="gramStart"/>
      <w:r>
        <w:t>subscriptions ,</w:t>
      </w:r>
      <w:proofErr w:type="gramEnd"/>
      <w:r>
        <w:t xml:space="preserve"> and 42.35 million smartphones. At the same time the 2025 to 2030 broadband strategy </w:t>
      </w:r>
      <w:proofErr w:type="spellStart"/>
      <w:r>
        <w:t>prioritises</w:t>
      </w:r>
      <w:proofErr w:type="spellEnd"/>
      <w:r>
        <w:t xml:space="preserve"> broader access (Communications Authority of Kenya, </w:t>
      </w:r>
      <w:proofErr w:type="gramStart"/>
      <w:r>
        <w:t>2025 ;</w:t>
      </w:r>
      <w:proofErr w:type="gramEnd"/>
      <w:r>
        <w:t xml:space="preserve"> 2026). E-commerce plus mobile payments can shrink initial property needs, but furniture still needs planning backup, reliable dimensions, delivery scheduling, returns handling and optional assembly.</w:t>
      </w:r>
    </w:p>
    <w:p w14:paraId="24AC4C5B" w14:textId="77777777" w:rsidR="00C24ECC" w:rsidRDefault="00000000">
      <w:pPr>
        <w:jc w:val="center"/>
      </w:pPr>
      <w:r>
        <w:rPr>
          <w:noProof/>
        </w:rPr>
        <w:drawing>
          <wp:inline distT="0" distB="0" distL="0" distR="0" wp14:anchorId="77433781" wp14:editId="68B5583B">
            <wp:extent cx="5760720" cy="32969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digital_scale.png"/>
                    <pic:cNvPicPr/>
                  </pic:nvPicPr>
                  <pic:blipFill>
                    <a:blip r:embed="rId14"/>
                    <a:stretch>
                      <a:fillRect/>
                    </a:stretch>
                  </pic:blipFill>
                  <pic:spPr>
                    <a:xfrm>
                      <a:off x="0" y="0"/>
                      <a:ext cx="5760720" cy="3296970"/>
                    </a:xfrm>
                    <a:prstGeom prst="rect">
                      <a:avLst/>
                    </a:prstGeom>
                  </pic:spPr>
                </pic:pic>
              </a:graphicData>
            </a:graphic>
          </wp:inline>
        </w:drawing>
      </w:r>
    </w:p>
    <w:p w14:paraId="00F9F516" w14:textId="77777777" w:rsidR="00C24ECC" w:rsidRDefault="00000000">
      <w:pPr>
        <w:pStyle w:val="CaptionText"/>
        <w:jc w:val="center"/>
      </w:pPr>
      <w:r>
        <w:rPr>
          <w:b/>
        </w:rPr>
        <w:t>Figure 4. Selected indicators of Kenya’s digital-market scale, January-March 2025.</w:t>
      </w:r>
    </w:p>
    <w:p w14:paraId="103BFF0C" w14:textId="77777777" w:rsidR="00C24ECC" w:rsidRDefault="00000000">
      <w:pPr>
        <w:pStyle w:val="SourceText"/>
        <w:jc w:val="center"/>
      </w:pPr>
      <w:r>
        <w:t>Source: Author’s chart based on Communications Authority of Kenya (2025). Values are subscriptions or connected devices and can exceed the population because individuals may hold multiple subscriptions.</w:t>
      </w:r>
    </w:p>
    <w:p w14:paraId="68B42FB9" w14:textId="77777777" w:rsidR="00C24ECC" w:rsidRDefault="00000000">
      <w:r>
        <w:t>Mombasa port and the Nairobi-Mombasa corridor provide regional logistics access, but congestion, inland transport, final-mile complexity and reverse logistics can erode the flat-pack advantage. Entry is commercially credible only if tariff engineering, assortment design and service productivity preserve the value proposition. Kenya is therefore a focused Nairobi opportunity with a longer-term regional option, not an immediate national-scale market.</w:t>
      </w:r>
    </w:p>
    <w:p w14:paraId="6397B2AB" w14:textId="77777777" w:rsidR="00C24ECC" w:rsidRDefault="00000000">
      <w:pPr>
        <w:pStyle w:val="CaptionText"/>
      </w:pPr>
      <w:r>
        <w:t>Table 3. Selected Kenyan market indicators and strategic implications. Source: Author synthesis.</w:t>
      </w:r>
    </w:p>
    <w:tbl>
      <w:tblPr>
        <w:tblStyle w:val="TableGrid"/>
        <w:tblW w:w="0" w:type="auto"/>
        <w:jc w:val="center"/>
        <w:tblLook w:val="04A0" w:firstRow="1" w:lastRow="0" w:firstColumn="1" w:lastColumn="0" w:noHBand="0" w:noVBand="1"/>
      </w:tblPr>
      <w:tblGrid>
        <w:gridCol w:w="1877"/>
        <w:gridCol w:w="3691"/>
        <w:gridCol w:w="3833"/>
      </w:tblGrid>
      <w:tr w:rsidR="00C24ECC" w14:paraId="75A94C11" w14:textId="77777777">
        <w:trPr>
          <w:cantSplit/>
          <w:tblHeader/>
          <w:jc w:val="center"/>
        </w:trPr>
        <w:tc>
          <w:tcPr>
            <w:tcW w:w="1984" w:type="dxa"/>
            <w:shd w:val="clear" w:color="auto" w:fill="0058A3"/>
            <w:tcMar>
              <w:top w:w="80" w:type="dxa"/>
              <w:left w:w="90" w:type="dxa"/>
              <w:bottom w:w="80" w:type="dxa"/>
              <w:right w:w="90" w:type="dxa"/>
            </w:tcMar>
            <w:vAlign w:val="center"/>
          </w:tcPr>
          <w:p w14:paraId="4DAE4634" w14:textId="77777777" w:rsidR="00C24ECC" w:rsidRDefault="00000000">
            <w:pPr>
              <w:jc w:val="center"/>
            </w:pPr>
            <w:r>
              <w:rPr>
                <w:b/>
                <w:color w:val="FFFFFF"/>
                <w:sz w:val="16"/>
              </w:rPr>
              <w:t>Indicator</w:t>
            </w:r>
          </w:p>
        </w:tc>
        <w:tc>
          <w:tcPr>
            <w:tcW w:w="3969" w:type="dxa"/>
            <w:shd w:val="clear" w:color="auto" w:fill="0058A3"/>
            <w:tcMar>
              <w:top w:w="80" w:type="dxa"/>
              <w:left w:w="90" w:type="dxa"/>
              <w:bottom w:w="80" w:type="dxa"/>
              <w:right w:w="90" w:type="dxa"/>
            </w:tcMar>
            <w:vAlign w:val="center"/>
          </w:tcPr>
          <w:p w14:paraId="31C80AF0" w14:textId="77777777" w:rsidR="00C24ECC" w:rsidRDefault="00000000">
            <w:pPr>
              <w:jc w:val="center"/>
            </w:pPr>
            <w:r>
              <w:rPr>
                <w:b/>
                <w:color w:val="FFFFFF"/>
                <w:sz w:val="16"/>
              </w:rPr>
              <w:t>Evidence available by the cutoff</w:t>
            </w:r>
          </w:p>
        </w:tc>
        <w:tc>
          <w:tcPr>
            <w:tcW w:w="4139" w:type="dxa"/>
            <w:shd w:val="clear" w:color="auto" w:fill="0058A3"/>
            <w:tcMar>
              <w:top w:w="80" w:type="dxa"/>
              <w:left w:w="90" w:type="dxa"/>
              <w:bottom w:w="80" w:type="dxa"/>
              <w:right w:w="90" w:type="dxa"/>
            </w:tcMar>
            <w:vAlign w:val="center"/>
          </w:tcPr>
          <w:p w14:paraId="62586F0E" w14:textId="77777777" w:rsidR="00C24ECC" w:rsidRDefault="00000000">
            <w:pPr>
              <w:jc w:val="center"/>
            </w:pPr>
            <w:r>
              <w:rPr>
                <w:b/>
                <w:color w:val="FFFFFF"/>
                <w:sz w:val="16"/>
              </w:rPr>
              <w:t>Strategic meaning</w:t>
            </w:r>
          </w:p>
        </w:tc>
      </w:tr>
      <w:tr w:rsidR="00C24ECC" w14:paraId="56509C50" w14:textId="77777777">
        <w:trPr>
          <w:cantSplit/>
          <w:jc w:val="center"/>
        </w:trPr>
        <w:tc>
          <w:tcPr>
            <w:tcW w:w="1984" w:type="dxa"/>
            <w:tcMar>
              <w:top w:w="80" w:type="dxa"/>
              <w:left w:w="90" w:type="dxa"/>
              <w:bottom w:w="80" w:type="dxa"/>
              <w:right w:w="90" w:type="dxa"/>
            </w:tcMar>
          </w:tcPr>
          <w:p w14:paraId="7AD81C29" w14:textId="77777777" w:rsidR="00C24ECC" w:rsidRDefault="00000000">
            <w:pPr>
              <w:spacing w:after="0" w:line="252" w:lineRule="auto"/>
              <w:jc w:val="left"/>
            </w:pPr>
            <w:r>
              <w:rPr>
                <w:sz w:val="16"/>
              </w:rPr>
              <w:t>Real GDP growth</w:t>
            </w:r>
          </w:p>
        </w:tc>
        <w:tc>
          <w:tcPr>
            <w:tcW w:w="3969" w:type="dxa"/>
            <w:tcMar>
              <w:top w:w="80" w:type="dxa"/>
              <w:left w:w="90" w:type="dxa"/>
              <w:bottom w:w="80" w:type="dxa"/>
              <w:right w:w="90" w:type="dxa"/>
            </w:tcMar>
          </w:tcPr>
          <w:p w14:paraId="4FBD57FD" w14:textId="77777777" w:rsidR="00C24ECC" w:rsidRDefault="00000000">
            <w:pPr>
              <w:spacing w:after="0" w:line="252" w:lineRule="auto"/>
              <w:jc w:val="left"/>
            </w:pPr>
            <w:r>
              <w:rPr>
                <w:sz w:val="16"/>
              </w:rPr>
              <w:t>4.6% in 2025; IMF forecast of 4.5% in 2026.</w:t>
            </w:r>
          </w:p>
        </w:tc>
        <w:tc>
          <w:tcPr>
            <w:tcW w:w="4139" w:type="dxa"/>
            <w:tcMar>
              <w:top w:w="80" w:type="dxa"/>
              <w:left w:w="90" w:type="dxa"/>
              <w:bottom w:w="80" w:type="dxa"/>
              <w:right w:w="90" w:type="dxa"/>
            </w:tcMar>
          </w:tcPr>
          <w:p w14:paraId="2DE571EF" w14:textId="77777777" w:rsidR="00C24ECC" w:rsidRDefault="00000000">
            <w:pPr>
              <w:spacing w:after="0" w:line="252" w:lineRule="auto"/>
              <w:jc w:val="left"/>
            </w:pPr>
            <w:r>
              <w:rPr>
                <w:sz w:val="16"/>
              </w:rPr>
              <w:t>Supports a resilient demand environment but does not prove affordability.</w:t>
            </w:r>
          </w:p>
        </w:tc>
      </w:tr>
      <w:tr w:rsidR="00C24ECC" w14:paraId="590C94CD" w14:textId="77777777">
        <w:trPr>
          <w:cantSplit/>
          <w:jc w:val="center"/>
        </w:trPr>
        <w:tc>
          <w:tcPr>
            <w:tcW w:w="1984" w:type="dxa"/>
            <w:shd w:val="clear" w:color="auto" w:fill="F1F5F8"/>
            <w:tcMar>
              <w:top w:w="80" w:type="dxa"/>
              <w:left w:w="90" w:type="dxa"/>
              <w:bottom w:w="80" w:type="dxa"/>
              <w:right w:w="90" w:type="dxa"/>
            </w:tcMar>
          </w:tcPr>
          <w:p w14:paraId="6D8995A2" w14:textId="77777777" w:rsidR="00C24ECC" w:rsidRDefault="00000000">
            <w:pPr>
              <w:spacing w:after="0" w:line="252" w:lineRule="auto"/>
              <w:jc w:val="left"/>
            </w:pPr>
            <w:r>
              <w:rPr>
                <w:sz w:val="16"/>
              </w:rPr>
              <w:t>Urban population share</w:t>
            </w:r>
          </w:p>
        </w:tc>
        <w:tc>
          <w:tcPr>
            <w:tcW w:w="3969" w:type="dxa"/>
            <w:shd w:val="clear" w:color="auto" w:fill="F1F5F8"/>
            <w:tcMar>
              <w:top w:w="80" w:type="dxa"/>
              <w:left w:w="90" w:type="dxa"/>
              <w:bottom w:w="80" w:type="dxa"/>
              <w:right w:w="90" w:type="dxa"/>
            </w:tcMar>
          </w:tcPr>
          <w:p w14:paraId="523E4942" w14:textId="77777777" w:rsidR="00C24ECC" w:rsidRDefault="00000000">
            <w:pPr>
              <w:spacing w:after="0" w:line="252" w:lineRule="auto"/>
              <w:jc w:val="left"/>
            </w:pPr>
            <w:r>
              <w:rPr>
                <w:sz w:val="16"/>
              </w:rPr>
              <w:t>Approximately 32% in 2025.</w:t>
            </w:r>
          </w:p>
        </w:tc>
        <w:tc>
          <w:tcPr>
            <w:tcW w:w="4139" w:type="dxa"/>
            <w:shd w:val="clear" w:color="auto" w:fill="F1F5F8"/>
            <w:tcMar>
              <w:top w:w="80" w:type="dxa"/>
              <w:left w:w="90" w:type="dxa"/>
              <w:bottom w:w="80" w:type="dxa"/>
              <w:right w:w="90" w:type="dxa"/>
            </w:tcMar>
          </w:tcPr>
          <w:p w14:paraId="3A8D47E9" w14:textId="77777777" w:rsidR="00C24ECC" w:rsidRDefault="00000000">
            <w:pPr>
              <w:spacing w:after="0" w:line="252" w:lineRule="auto"/>
              <w:jc w:val="left"/>
            </w:pPr>
            <w:r>
              <w:rPr>
                <w:sz w:val="16"/>
              </w:rPr>
              <w:t>Supports a Nairobi-first approach and cautions against rapid nationwide rollout.</w:t>
            </w:r>
          </w:p>
        </w:tc>
      </w:tr>
      <w:tr w:rsidR="00C24ECC" w14:paraId="056C1223" w14:textId="77777777">
        <w:trPr>
          <w:cantSplit/>
          <w:jc w:val="center"/>
        </w:trPr>
        <w:tc>
          <w:tcPr>
            <w:tcW w:w="1984" w:type="dxa"/>
            <w:tcMar>
              <w:top w:w="80" w:type="dxa"/>
              <w:left w:w="90" w:type="dxa"/>
              <w:bottom w:w="80" w:type="dxa"/>
              <w:right w:w="90" w:type="dxa"/>
            </w:tcMar>
          </w:tcPr>
          <w:p w14:paraId="52B57089" w14:textId="77777777" w:rsidR="00C24ECC" w:rsidRDefault="00000000">
            <w:pPr>
              <w:spacing w:after="0" w:line="252" w:lineRule="auto"/>
              <w:jc w:val="left"/>
            </w:pPr>
            <w:r>
              <w:rPr>
                <w:sz w:val="16"/>
              </w:rPr>
              <w:t>Digital access</w:t>
            </w:r>
          </w:p>
        </w:tc>
        <w:tc>
          <w:tcPr>
            <w:tcW w:w="3969" w:type="dxa"/>
            <w:tcMar>
              <w:top w:w="80" w:type="dxa"/>
              <w:left w:w="90" w:type="dxa"/>
              <w:bottom w:w="80" w:type="dxa"/>
              <w:right w:w="90" w:type="dxa"/>
            </w:tcMar>
          </w:tcPr>
          <w:p w14:paraId="15AB1F79" w14:textId="77777777" w:rsidR="00C24ECC" w:rsidRDefault="00000000">
            <w:pPr>
              <w:spacing w:after="0" w:line="252" w:lineRule="auto"/>
              <w:jc w:val="left"/>
            </w:pPr>
            <w:r>
              <w:rPr>
                <w:sz w:val="16"/>
              </w:rPr>
              <w:t>76.16m SIMs, 57.18m mobile-data subscriptions, 45.36m mobile-money subscriptions and 42.35m smartphones in Jan-Mar 2025.</w:t>
            </w:r>
          </w:p>
        </w:tc>
        <w:tc>
          <w:tcPr>
            <w:tcW w:w="4139" w:type="dxa"/>
            <w:tcMar>
              <w:top w:w="80" w:type="dxa"/>
              <w:left w:w="90" w:type="dxa"/>
              <w:bottom w:w="80" w:type="dxa"/>
              <w:right w:w="90" w:type="dxa"/>
            </w:tcMar>
          </w:tcPr>
          <w:p w14:paraId="60E3276B" w14:textId="77777777" w:rsidR="00C24ECC" w:rsidRDefault="00000000">
            <w:pPr>
              <w:spacing w:after="0" w:line="252" w:lineRule="auto"/>
              <w:jc w:val="left"/>
            </w:pPr>
            <w:r>
              <w:rPr>
                <w:sz w:val="16"/>
              </w:rPr>
              <w:t>Enables digital demand testing, mobile payment and omnichannel access.</w:t>
            </w:r>
          </w:p>
        </w:tc>
      </w:tr>
      <w:tr w:rsidR="00C24ECC" w14:paraId="2FE15D0E" w14:textId="77777777">
        <w:trPr>
          <w:cantSplit/>
          <w:jc w:val="center"/>
        </w:trPr>
        <w:tc>
          <w:tcPr>
            <w:tcW w:w="1984" w:type="dxa"/>
            <w:shd w:val="clear" w:color="auto" w:fill="F1F5F8"/>
            <w:tcMar>
              <w:top w:w="80" w:type="dxa"/>
              <w:left w:w="90" w:type="dxa"/>
              <w:bottom w:w="80" w:type="dxa"/>
              <w:right w:w="90" w:type="dxa"/>
            </w:tcMar>
          </w:tcPr>
          <w:p w14:paraId="1E006929" w14:textId="77777777" w:rsidR="00C24ECC" w:rsidRDefault="00000000">
            <w:pPr>
              <w:spacing w:after="0" w:line="252" w:lineRule="auto"/>
              <w:jc w:val="left"/>
            </w:pPr>
            <w:r>
              <w:rPr>
                <w:sz w:val="16"/>
              </w:rPr>
              <w:lastRenderedPageBreak/>
              <w:t>Import taxation</w:t>
            </w:r>
          </w:p>
        </w:tc>
        <w:tc>
          <w:tcPr>
            <w:tcW w:w="3969" w:type="dxa"/>
            <w:shd w:val="clear" w:color="auto" w:fill="F1F5F8"/>
            <w:tcMar>
              <w:top w:w="80" w:type="dxa"/>
              <w:left w:w="90" w:type="dxa"/>
              <w:bottom w:w="80" w:type="dxa"/>
              <w:right w:w="90" w:type="dxa"/>
            </w:tcMar>
          </w:tcPr>
          <w:p w14:paraId="10CF1653" w14:textId="77777777" w:rsidR="00C24ECC" w:rsidRDefault="00000000">
            <w:pPr>
              <w:spacing w:after="0" w:line="252" w:lineRule="auto"/>
              <w:jc w:val="left"/>
            </w:pPr>
            <w:r>
              <w:rPr>
                <w:sz w:val="16"/>
              </w:rPr>
              <w:t>EAC tariff structure reaches 35%; general VAT rate is 16%.</w:t>
            </w:r>
          </w:p>
        </w:tc>
        <w:tc>
          <w:tcPr>
            <w:tcW w:w="4139" w:type="dxa"/>
            <w:shd w:val="clear" w:color="auto" w:fill="F1F5F8"/>
            <w:tcMar>
              <w:top w:w="80" w:type="dxa"/>
              <w:left w:w="90" w:type="dxa"/>
              <w:bottom w:w="80" w:type="dxa"/>
              <w:right w:w="90" w:type="dxa"/>
            </w:tcMar>
          </w:tcPr>
          <w:p w14:paraId="73982C1D" w14:textId="77777777" w:rsidR="00C24ECC" w:rsidRDefault="00000000">
            <w:pPr>
              <w:spacing w:after="0" w:line="252" w:lineRule="auto"/>
              <w:jc w:val="left"/>
            </w:pPr>
            <w:r>
              <w:rPr>
                <w:sz w:val="16"/>
              </w:rPr>
              <w:t>Creates the principal threat to IKEA’s low-price positioning and makes tariff classification and local value addition critical.</w:t>
            </w:r>
          </w:p>
        </w:tc>
      </w:tr>
      <w:tr w:rsidR="00C24ECC" w14:paraId="74DE4A1A" w14:textId="77777777">
        <w:trPr>
          <w:cantSplit/>
          <w:jc w:val="center"/>
        </w:trPr>
        <w:tc>
          <w:tcPr>
            <w:tcW w:w="1984" w:type="dxa"/>
            <w:tcMar>
              <w:top w:w="80" w:type="dxa"/>
              <w:left w:w="90" w:type="dxa"/>
              <w:bottom w:w="80" w:type="dxa"/>
              <w:right w:w="90" w:type="dxa"/>
            </w:tcMar>
          </w:tcPr>
          <w:p w14:paraId="73BBBA20" w14:textId="77777777" w:rsidR="00C24ECC" w:rsidRDefault="00000000">
            <w:pPr>
              <w:spacing w:after="0" w:line="252" w:lineRule="auto"/>
              <w:jc w:val="left"/>
            </w:pPr>
            <w:r>
              <w:rPr>
                <w:sz w:val="16"/>
              </w:rPr>
              <w:t>Fiscal conditions</w:t>
            </w:r>
          </w:p>
        </w:tc>
        <w:tc>
          <w:tcPr>
            <w:tcW w:w="3969" w:type="dxa"/>
            <w:tcMar>
              <w:top w:w="80" w:type="dxa"/>
              <w:left w:w="90" w:type="dxa"/>
              <w:bottom w:w="80" w:type="dxa"/>
              <w:right w:w="90" w:type="dxa"/>
            </w:tcMar>
          </w:tcPr>
          <w:p w14:paraId="03E047E1" w14:textId="77777777" w:rsidR="00C24ECC" w:rsidRDefault="00000000">
            <w:pPr>
              <w:spacing w:after="0" w:line="252" w:lineRule="auto"/>
              <w:jc w:val="left"/>
            </w:pPr>
            <w:r>
              <w:rPr>
                <w:sz w:val="16"/>
              </w:rPr>
              <w:t>Debt at high risk of distress and interest absorbing about one-third of tax revenue.</w:t>
            </w:r>
          </w:p>
        </w:tc>
        <w:tc>
          <w:tcPr>
            <w:tcW w:w="4139" w:type="dxa"/>
            <w:tcMar>
              <w:top w:w="80" w:type="dxa"/>
              <w:left w:w="90" w:type="dxa"/>
              <w:bottom w:w="80" w:type="dxa"/>
              <w:right w:w="90" w:type="dxa"/>
            </w:tcMar>
          </w:tcPr>
          <w:p w14:paraId="4E3225BB" w14:textId="77777777" w:rsidR="00C24ECC" w:rsidRDefault="00000000">
            <w:pPr>
              <w:spacing w:after="0" w:line="252" w:lineRule="auto"/>
              <w:jc w:val="left"/>
            </w:pPr>
            <w:r>
              <w:rPr>
                <w:sz w:val="16"/>
              </w:rPr>
              <w:t>Increases tax-policy, credit-cost and consumer-demand uncertainty.</w:t>
            </w:r>
          </w:p>
        </w:tc>
      </w:tr>
    </w:tbl>
    <w:p w14:paraId="0ECDB91D" w14:textId="77777777" w:rsidR="00C24ECC" w:rsidRDefault="00C24ECC"/>
    <w:p w14:paraId="05435625" w14:textId="77777777" w:rsidR="00C24ECC" w:rsidRDefault="00000000">
      <w:pPr>
        <w:pStyle w:val="Heading2"/>
      </w:pPr>
      <w:r>
        <w:t>3.3 Legal and regulatory environment</w:t>
      </w:r>
    </w:p>
    <w:p w14:paraId="4BB8FAD2" w14:textId="23A8895F" w:rsidR="00D7543A" w:rsidRDefault="00D7543A" w:rsidP="00D7543A">
      <w:r>
        <w:t>Kenya does allow a formal foreign business presence, but it comes with that layered type of compliance, you know, step by step. The Companies Act basically handles the incorporation side and also the foreign-company registration. In practice resident companies are usually taxed at 30 per cent while non-residents sit at 37.5 per cent, and then taxable goods plus services generally end up with 16 per cent VAT. (Kenya Law, 2015; Kenya Revenue Authority, 2026a; 2026b). So corporate setup, tax structuring, transfer pricing, franchise fees, customs dealings, and the repatriation of profits all need to be designed in a clear transparent way, there’s not really room for guesswork there.</w:t>
      </w:r>
    </w:p>
    <w:p w14:paraId="1C3C5419" w14:textId="7B310C0F" w:rsidR="00D7543A" w:rsidRDefault="00D7543A" w:rsidP="00D7543A">
      <w:r>
        <w:t>Product compliance becomes a big deal since furniture, lighting, textiles, and kitchenware will likely cut across various tariff lines as well as different safety categories. KEBS runs tests on furniture and related items and it oversees conformity obligations, (Kenya Bureau of Standards, 2026). That means IKEA would need standards mapping product by product, pre-export verification, label that is actually compliant, and specialist customs know how. If that goes wrong, delays start stacking, costs rise, and reputational harm follows pretty fast.</w:t>
      </w:r>
    </w:p>
    <w:p w14:paraId="44FBE001" w14:textId="55FA3787" w:rsidR="00D7543A" w:rsidRDefault="00D7543A" w:rsidP="00D7543A">
      <w:r>
        <w:t>Then there are the Competition Act and the Consumer Protection Act, which shape pricing, warranties, advertising, and even the franchise relationship itself (Kenya Law, 2010; 2012). Promotional pricing, sustainability claims, guarantees, and delivery commitments, all must be backed up with substance. Also, clear disclosure matters a lot, because a low shelf or ad price can mislead shoppers when compulsory delivery or assembly fees are left out, even if those fees are only revealed later.</w:t>
      </w:r>
    </w:p>
    <w:p w14:paraId="1D2C82D4" w14:textId="598714F7" w:rsidR="00D7543A" w:rsidRDefault="00D7543A" w:rsidP="00D7543A">
      <w:r>
        <w:t xml:space="preserve">On the digital side, a local platform would handle things like identity, address, payments, browsing </w:t>
      </w:r>
      <w:proofErr w:type="spellStart"/>
      <w:r>
        <w:t>behaviour</w:t>
      </w:r>
      <w:proofErr w:type="spellEnd"/>
      <w:r>
        <w:t xml:space="preserve">, and planning data. The Data Protection Act 2019, along with later regulations, expects lawful processing, strong governance, and registration where it applies (Kenya Law, 2019; 2021a; 2021b). Responsibilities between Inter IKEA, the franchisee, payment providers and delivery partners should be written in contracts in a </w:t>
      </w:r>
      <w:r>
        <w:lastRenderedPageBreak/>
        <w:t>very specific manner, covering security, data retention, consent handling, and incident response procedures.</w:t>
      </w:r>
    </w:p>
    <w:p w14:paraId="577F84B2" w14:textId="2E3C2F95" w:rsidR="00C24ECC" w:rsidRDefault="00D7543A" w:rsidP="00D7543A">
      <w:proofErr w:type="gramStart"/>
      <w:r>
        <w:t>Overall</w:t>
      </w:r>
      <w:proofErr w:type="gramEnd"/>
      <w:r>
        <w:t xml:space="preserve"> Kenya doesn’t show a single outright blocking legal barrier, but compliance is still operationally intense. Customs handling, standards checking, consumer protection, privacy expectations, and franchise governance all tend to work better with a controlled partnership model, with audit rights and information access. And using a staged market entry can reduce exposure at first, until regulatory performance and actual demand prove themselves, then you expand with more confidence.</w:t>
      </w:r>
    </w:p>
    <w:p w14:paraId="52127987" w14:textId="77777777" w:rsidR="00C24ECC" w:rsidRDefault="00000000">
      <w:pPr>
        <w:pStyle w:val="Heading2"/>
      </w:pPr>
      <w:r>
        <w:t>3.4 Cultural and consumer-market environment</w:t>
      </w:r>
    </w:p>
    <w:p w14:paraId="43D570D0" w14:textId="602FF19E" w:rsidR="00D7543A" w:rsidRDefault="00D7543A" w:rsidP="00D7543A">
      <w:r>
        <w:t xml:space="preserve">Cultural analysis should not really reduce Kenya to national scores, you know. Hofstede’s dimensions and Hall’s context framework can make managers more alert to hierarchy, relationships, uncertainty and communication, but they cannot replace direct market evidence (Hall, 1976; Hofstede, Hofstede and Minkov, 2010). For IKEA, the point is to look into how households actually use space, how they manage money for purchases, how they </w:t>
      </w:r>
      <w:proofErr w:type="spellStart"/>
      <w:r>
        <w:t>organise</w:t>
      </w:r>
      <w:proofErr w:type="spellEnd"/>
      <w:r>
        <w:t xml:space="preserve"> delivery and assembly, and also how much trust people feel about online furniture. </w:t>
      </w:r>
      <w:proofErr w:type="gramStart"/>
      <w:r>
        <w:t>So</w:t>
      </w:r>
      <w:proofErr w:type="gramEnd"/>
      <w:r>
        <w:t xml:space="preserve"> for IKEA’s Kenya decision these models support local consumer research, not a simple transplant of European assumptions, even if it seems “close enough”. Culture should be treated like an operational design variable that shapes service, communication and room solutions not as some deterministic reason to enter or avoid the market.</w:t>
      </w:r>
    </w:p>
    <w:p w14:paraId="6906031F" w14:textId="311A7CBB" w:rsidR="00D7543A" w:rsidRDefault="00D7543A" w:rsidP="00D7543A">
      <w:r>
        <w:t xml:space="preserve">In Nairobi and in general, urban apartments, rental mobility and small businesses create a kind of opening for modular storage, compact furniture, and even portable flat-pack products. Mobile money can lower payment friction, and that matters. Still, European room sets may end up underrepresenting extended-family hosting, the use of domestic help, dust, ventilation, security concerns, plus expectations around </w:t>
      </w:r>
      <w:proofErr w:type="gramStart"/>
      <w:r>
        <w:t>durable ,</w:t>
      </w:r>
      <w:proofErr w:type="gramEnd"/>
      <w:r>
        <w:t xml:space="preserve"> or repairable materials. There’s also the reality that customers may want delivery and assembly as one integrated offer, rather than quietly accepting that </w:t>
      </w:r>
      <w:proofErr w:type="spellStart"/>
      <w:r>
        <w:t>labour</w:t>
      </w:r>
      <w:proofErr w:type="spellEnd"/>
      <w:r>
        <w:t xml:space="preserve"> gets “handed over” implicitly to them.</w:t>
      </w:r>
    </w:p>
    <w:p w14:paraId="39B1557C" w14:textId="26B2B6C5" w:rsidR="00C24ECC" w:rsidRDefault="00D7543A" w:rsidP="00D7543A">
      <w:r>
        <w:t xml:space="preserve">Adaptation should focus more on use situations than on symbolic </w:t>
      </w:r>
      <w:proofErr w:type="spellStart"/>
      <w:r>
        <w:t>localisation</w:t>
      </w:r>
      <w:proofErr w:type="spellEnd"/>
      <w:r>
        <w:t xml:space="preserve">. That means Nairobi home visits, landlord and developer interviews, small-business research, and prototype room testing should feed into the choices for dimensions, storage solutions, product content, payment methods, delivery, assembly, and spare-parts support. Using English and Swahili for communication can help access, yes, but operational credibility </w:t>
      </w:r>
      <w:r>
        <w:lastRenderedPageBreak/>
        <w:t>depends on showing in practice how the products work inside Kenyan homes, not just on claims from brochures or templates.</w:t>
      </w:r>
    </w:p>
    <w:p w14:paraId="63294937" w14:textId="77777777" w:rsidR="00C24ECC" w:rsidRDefault="00000000">
      <w:pPr>
        <w:pStyle w:val="CaptionText"/>
      </w:pPr>
      <w:r>
        <w:t>Table 4. Consumer-market fit and adaptation priorities for IKEA in Kenya. Source: Author synthesis.</w:t>
      </w:r>
    </w:p>
    <w:tbl>
      <w:tblPr>
        <w:tblStyle w:val="TableGrid"/>
        <w:tblW w:w="0" w:type="auto"/>
        <w:jc w:val="center"/>
        <w:tblLook w:val="04A0" w:firstRow="1" w:lastRow="0" w:firstColumn="1" w:lastColumn="0" w:noHBand="0" w:noVBand="1"/>
      </w:tblPr>
      <w:tblGrid>
        <w:gridCol w:w="1724"/>
        <w:gridCol w:w="2569"/>
        <w:gridCol w:w="2541"/>
        <w:gridCol w:w="2567"/>
      </w:tblGrid>
      <w:tr w:rsidR="00C24ECC" w14:paraId="45025B7C" w14:textId="77777777">
        <w:trPr>
          <w:cantSplit/>
          <w:tblHeader/>
          <w:jc w:val="center"/>
        </w:trPr>
        <w:tc>
          <w:tcPr>
            <w:tcW w:w="1871" w:type="dxa"/>
            <w:shd w:val="clear" w:color="auto" w:fill="0058A3"/>
            <w:tcMar>
              <w:top w:w="80" w:type="dxa"/>
              <w:left w:w="90" w:type="dxa"/>
              <w:bottom w:w="80" w:type="dxa"/>
              <w:right w:w="90" w:type="dxa"/>
            </w:tcMar>
            <w:vAlign w:val="center"/>
          </w:tcPr>
          <w:p w14:paraId="41EAB4A6" w14:textId="77777777" w:rsidR="00C24ECC" w:rsidRDefault="00000000">
            <w:pPr>
              <w:jc w:val="center"/>
            </w:pPr>
            <w:r>
              <w:rPr>
                <w:b/>
                <w:color w:val="FFFFFF"/>
                <w:sz w:val="16"/>
              </w:rPr>
              <w:t>Consumer issue</w:t>
            </w:r>
          </w:p>
        </w:tc>
        <w:tc>
          <w:tcPr>
            <w:tcW w:w="2835" w:type="dxa"/>
            <w:shd w:val="clear" w:color="auto" w:fill="0058A3"/>
            <w:tcMar>
              <w:top w:w="80" w:type="dxa"/>
              <w:left w:w="90" w:type="dxa"/>
              <w:bottom w:w="80" w:type="dxa"/>
              <w:right w:w="90" w:type="dxa"/>
            </w:tcMar>
            <w:vAlign w:val="center"/>
          </w:tcPr>
          <w:p w14:paraId="64210CD5" w14:textId="77777777" w:rsidR="00C24ECC" w:rsidRDefault="00000000">
            <w:pPr>
              <w:jc w:val="center"/>
            </w:pPr>
            <w:r>
              <w:rPr>
                <w:b/>
                <w:color w:val="FFFFFF"/>
                <w:sz w:val="16"/>
              </w:rPr>
              <w:t>Potential fit</w:t>
            </w:r>
          </w:p>
        </w:tc>
        <w:tc>
          <w:tcPr>
            <w:tcW w:w="2835" w:type="dxa"/>
            <w:shd w:val="clear" w:color="auto" w:fill="0058A3"/>
            <w:tcMar>
              <w:top w:w="80" w:type="dxa"/>
              <w:left w:w="90" w:type="dxa"/>
              <w:bottom w:w="80" w:type="dxa"/>
              <w:right w:w="90" w:type="dxa"/>
            </w:tcMar>
            <w:vAlign w:val="center"/>
          </w:tcPr>
          <w:p w14:paraId="62F640FC" w14:textId="77777777" w:rsidR="00C24ECC" w:rsidRDefault="00000000">
            <w:pPr>
              <w:jc w:val="center"/>
            </w:pPr>
            <w:r>
              <w:rPr>
                <w:b/>
                <w:color w:val="FFFFFF"/>
                <w:sz w:val="16"/>
              </w:rPr>
              <w:t>Risk of mismatch</w:t>
            </w:r>
          </w:p>
        </w:tc>
        <w:tc>
          <w:tcPr>
            <w:tcW w:w="2835" w:type="dxa"/>
            <w:shd w:val="clear" w:color="auto" w:fill="0058A3"/>
            <w:tcMar>
              <w:top w:w="80" w:type="dxa"/>
              <w:left w:w="90" w:type="dxa"/>
              <w:bottom w:w="80" w:type="dxa"/>
              <w:right w:w="90" w:type="dxa"/>
            </w:tcMar>
            <w:vAlign w:val="center"/>
          </w:tcPr>
          <w:p w14:paraId="1C27FC2F" w14:textId="77777777" w:rsidR="00C24ECC" w:rsidRDefault="00000000">
            <w:pPr>
              <w:jc w:val="center"/>
            </w:pPr>
            <w:r>
              <w:rPr>
                <w:b/>
                <w:color w:val="FFFFFF"/>
                <w:sz w:val="16"/>
              </w:rPr>
              <w:t>Required evidence or adaptation</w:t>
            </w:r>
          </w:p>
        </w:tc>
      </w:tr>
      <w:tr w:rsidR="00C24ECC" w14:paraId="525D5636" w14:textId="77777777">
        <w:trPr>
          <w:cantSplit/>
          <w:jc w:val="center"/>
        </w:trPr>
        <w:tc>
          <w:tcPr>
            <w:tcW w:w="1871" w:type="dxa"/>
            <w:tcMar>
              <w:top w:w="80" w:type="dxa"/>
              <w:left w:w="90" w:type="dxa"/>
              <w:bottom w:w="80" w:type="dxa"/>
              <w:right w:w="90" w:type="dxa"/>
            </w:tcMar>
          </w:tcPr>
          <w:p w14:paraId="067C77AC" w14:textId="77777777" w:rsidR="00C24ECC" w:rsidRDefault="00000000">
            <w:pPr>
              <w:spacing w:after="0" w:line="252" w:lineRule="auto"/>
              <w:jc w:val="left"/>
            </w:pPr>
            <w:r>
              <w:rPr>
                <w:sz w:val="16"/>
              </w:rPr>
              <w:t>Compact urban living</w:t>
            </w:r>
          </w:p>
        </w:tc>
        <w:tc>
          <w:tcPr>
            <w:tcW w:w="2835" w:type="dxa"/>
            <w:tcMar>
              <w:top w:w="80" w:type="dxa"/>
              <w:left w:w="90" w:type="dxa"/>
              <w:bottom w:w="80" w:type="dxa"/>
              <w:right w:w="90" w:type="dxa"/>
            </w:tcMar>
          </w:tcPr>
          <w:p w14:paraId="7007A9DE" w14:textId="77777777" w:rsidR="00C24ECC" w:rsidRDefault="00000000">
            <w:pPr>
              <w:spacing w:after="0" w:line="252" w:lineRule="auto"/>
              <w:jc w:val="left"/>
            </w:pPr>
            <w:r>
              <w:rPr>
                <w:sz w:val="16"/>
              </w:rPr>
              <w:t>Modular storage and multifunctional products can solve space constraints.</w:t>
            </w:r>
          </w:p>
        </w:tc>
        <w:tc>
          <w:tcPr>
            <w:tcW w:w="2835" w:type="dxa"/>
            <w:tcMar>
              <w:top w:w="80" w:type="dxa"/>
              <w:left w:w="90" w:type="dxa"/>
              <w:bottom w:w="80" w:type="dxa"/>
              <w:right w:w="90" w:type="dxa"/>
            </w:tcMar>
          </w:tcPr>
          <w:p w14:paraId="710CA62D" w14:textId="77777777" w:rsidR="00C24ECC" w:rsidRDefault="00000000">
            <w:pPr>
              <w:spacing w:after="0" w:line="252" w:lineRule="auto"/>
              <w:jc w:val="left"/>
            </w:pPr>
            <w:r>
              <w:rPr>
                <w:sz w:val="16"/>
              </w:rPr>
              <w:t>Standard room sets may not reflect local household composition or hosting.</w:t>
            </w:r>
          </w:p>
        </w:tc>
        <w:tc>
          <w:tcPr>
            <w:tcW w:w="2835" w:type="dxa"/>
            <w:tcMar>
              <w:top w:w="80" w:type="dxa"/>
              <w:left w:w="90" w:type="dxa"/>
              <w:bottom w:w="80" w:type="dxa"/>
              <w:right w:w="90" w:type="dxa"/>
            </w:tcMar>
          </w:tcPr>
          <w:p w14:paraId="0D50085B" w14:textId="77777777" w:rsidR="00C24ECC" w:rsidRDefault="00000000">
            <w:pPr>
              <w:spacing w:after="0" w:line="252" w:lineRule="auto"/>
              <w:jc w:val="left"/>
            </w:pPr>
            <w:r>
              <w:rPr>
                <w:sz w:val="16"/>
              </w:rPr>
              <w:t>Conduct Nairobi home visits and test locally realistic room sets.</w:t>
            </w:r>
          </w:p>
        </w:tc>
      </w:tr>
      <w:tr w:rsidR="00C24ECC" w14:paraId="3FF40C46" w14:textId="77777777">
        <w:trPr>
          <w:cantSplit/>
          <w:jc w:val="center"/>
        </w:trPr>
        <w:tc>
          <w:tcPr>
            <w:tcW w:w="1871" w:type="dxa"/>
            <w:shd w:val="clear" w:color="auto" w:fill="F1F5F8"/>
            <w:tcMar>
              <w:top w:w="80" w:type="dxa"/>
              <w:left w:w="90" w:type="dxa"/>
              <w:bottom w:w="80" w:type="dxa"/>
              <w:right w:w="90" w:type="dxa"/>
            </w:tcMar>
          </w:tcPr>
          <w:p w14:paraId="61C13693" w14:textId="77777777" w:rsidR="00C24ECC" w:rsidRDefault="00000000">
            <w:pPr>
              <w:spacing w:after="0" w:line="252" w:lineRule="auto"/>
              <w:jc w:val="left"/>
            </w:pPr>
            <w:r>
              <w:rPr>
                <w:sz w:val="16"/>
              </w:rPr>
              <w:t>Price and payment</w:t>
            </w:r>
          </w:p>
        </w:tc>
        <w:tc>
          <w:tcPr>
            <w:tcW w:w="2835" w:type="dxa"/>
            <w:shd w:val="clear" w:color="auto" w:fill="F1F5F8"/>
            <w:tcMar>
              <w:top w:w="80" w:type="dxa"/>
              <w:left w:w="90" w:type="dxa"/>
              <w:bottom w:w="80" w:type="dxa"/>
              <w:right w:w="90" w:type="dxa"/>
            </w:tcMar>
          </w:tcPr>
          <w:p w14:paraId="4C5780E4" w14:textId="77777777" w:rsidR="00C24ECC" w:rsidRDefault="00000000">
            <w:pPr>
              <w:spacing w:after="0" w:line="252" w:lineRule="auto"/>
              <w:jc w:val="left"/>
            </w:pPr>
            <w:r>
              <w:rPr>
                <w:sz w:val="16"/>
              </w:rPr>
              <w:t>Transparent entry prices and mobile payment can attract value-conscious buyers.</w:t>
            </w:r>
          </w:p>
        </w:tc>
        <w:tc>
          <w:tcPr>
            <w:tcW w:w="2835" w:type="dxa"/>
            <w:shd w:val="clear" w:color="auto" w:fill="F1F5F8"/>
            <w:tcMar>
              <w:top w:w="80" w:type="dxa"/>
              <w:left w:w="90" w:type="dxa"/>
              <w:bottom w:w="80" w:type="dxa"/>
              <w:right w:w="90" w:type="dxa"/>
            </w:tcMar>
          </w:tcPr>
          <w:p w14:paraId="53F87C59" w14:textId="77777777" w:rsidR="00C24ECC" w:rsidRDefault="00000000">
            <w:pPr>
              <w:spacing w:after="0" w:line="252" w:lineRule="auto"/>
              <w:jc w:val="left"/>
            </w:pPr>
            <w:r>
              <w:rPr>
                <w:sz w:val="16"/>
              </w:rPr>
              <w:t>Tariff-loaded prices may position IKEA as an affluent import brand.</w:t>
            </w:r>
          </w:p>
        </w:tc>
        <w:tc>
          <w:tcPr>
            <w:tcW w:w="2835" w:type="dxa"/>
            <w:shd w:val="clear" w:color="auto" w:fill="F1F5F8"/>
            <w:tcMar>
              <w:top w:w="80" w:type="dxa"/>
              <w:left w:w="90" w:type="dxa"/>
              <w:bottom w:w="80" w:type="dxa"/>
              <w:right w:w="90" w:type="dxa"/>
            </w:tcMar>
          </w:tcPr>
          <w:p w14:paraId="7EC75425" w14:textId="77777777" w:rsidR="00C24ECC" w:rsidRDefault="00000000">
            <w:pPr>
              <w:spacing w:after="0" w:line="252" w:lineRule="auto"/>
              <w:jc w:val="left"/>
            </w:pPr>
            <w:r>
              <w:rPr>
                <w:sz w:val="16"/>
              </w:rPr>
              <w:t>Benchmark representative baskets and provide transparent total delivered cost.</w:t>
            </w:r>
          </w:p>
        </w:tc>
      </w:tr>
      <w:tr w:rsidR="00C24ECC" w14:paraId="283988B5" w14:textId="77777777">
        <w:trPr>
          <w:cantSplit/>
          <w:jc w:val="center"/>
        </w:trPr>
        <w:tc>
          <w:tcPr>
            <w:tcW w:w="1871" w:type="dxa"/>
            <w:tcMar>
              <w:top w:w="80" w:type="dxa"/>
              <w:left w:w="90" w:type="dxa"/>
              <w:bottom w:w="80" w:type="dxa"/>
              <w:right w:w="90" w:type="dxa"/>
            </w:tcMar>
          </w:tcPr>
          <w:p w14:paraId="1087A496" w14:textId="77777777" w:rsidR="00C24ECC" w:rsidRDefault="00000000">
            <w:pPr>
              <w:spacing w:after="0" w:line="252" w:lineRule="auto"/>
              <w:jc w:val="left"/>
            </w:pPr>
            <w:r>
              <w:rPr>
                <w:sz w:val="16"/>
              </w:rPr>
              <w:t>Self-service and assembly</w:t>
            </w:r>
          </w:p>
        </w:tc>
        <w:tc>
          <w:tcPr>
            <w:tcW w:w="2835" w:type="dxa"/>
            <w:tcMar>
              <w:top w:w="80" w:type="dxa"/>
              <w:left w:w="90" w:type="dxa"/>
              <w:bottom w:w="80" w:type="dxa"/>
              <w:right w:w="90" w:type="dxa"/>
            </w:tcMar>
          </w:tcPr>
          <w:p w14:paraId="3EC1C916" w14:textId="77777777" w:rsidR="00C24ECC" w:rsidRDefault="00000000">
            <w:pPr>
              <w:spacing w:after="0" w:line="252" w:lineRule="auto"/>
              <w:jc w:val="left"/>
            </w:pPr>
            <w:r>
              <w:rPr>
                <w:sz w:val="16"/>
              </w:rPr>
              <w:t>Flat-pack products support transport and customer flexibility.</w:t>
            </w:r>
          </w:p>
        </w:tc>
        <w:tc>
          <w:tcPr>
            <w:tcW w:w="2835" w:type="dxa"/>
            <w:tcMar>
              <w:top w:w="80" w:type="dxa"/>
              <w:left w:w="90" w:type="dxa"/>
              <w:bottom w:w="80" w:type="dxa"/>
              <w:right w:w="90" w:type="dxa"/>
            </w:tcMar>
          </w:tcPr>
          <w:p w14:paraId="2B4C2C7B" w14:textId="77777777" w:rsidR="00C24ECC" w:rsidRDefault="00000000">
            <w:pPr>
              <w:spacing w:after="0" w:line="252" w:lineRule="auto"/>
              <w:jc w:val="left"/>
            </w:pPr>
            <w:r>
              <w:rPr>
                <w:sz w:val="16"/>
              </w:rPr>
              <w:t>Customers may expect integrated delivery, assembly and problem resolution.</w:t>
            </w:r>
          </w:p>
        </w:tc>
        <w:tc>
          <w:tcPr>
            <w:tcW w:w="2835" w:type="dxa"/>
            <w:tcMar>
              <w:top w:w="80" w:type="dxa"/>
              <w:left w:w="90" w:type="dxa"/>
              <w:bottom w:w="80" w:type="dxa"/>
              <w:right w:w="90" w:type="dxa"/>
            </w:tcMar>
          </w:tcPr>
          <w:p w14:paraId="24533C35" w14:textId="77777777" w:rsidR="00C24ECC" w:rsidRDefault="00000000">
            <w:pPr>
              <w:spacing w:after="0" w:line="252" w:lineRule="auto"/>
              <w:jc w:val="left"/>
            </w:pPr>
            <w:r>
              <w:rPr>
                <w:sz w:val="16"/>
              </w:rPr>
              <w:t>Offer optional paid assembly, clear instructions, spare parts and service guarantees.</w:t>
            </w:r>
          </w:p>
        </w:tc>
      </w:tr>
      <w:tr w:rsidR="00C24ECC" w14:paraId="6340482F" w14:textId="77777777">
        <w:trPr>
          <w:cantSplit/>
          <w:jc w:val="center"/>
        </w:trPr>
        <w:tc>
          <w:tcPr>
            <w:tcW w:w="1871" w:type="dxa"/>
            <w:shd w:val="clear" w:color="auto" w:fill="F1F5F8"/>
            <w:tcMar>
              <w:top w:w="80" w:type="dxa"/>
              <w:left w:w="90" w:type="dxa"/>
              <w:bottom w:w="80" w:type="dxa"/>
              <w:right w:w="90" w:type="dxa"/>
            </w:tcMar>
          </w:tcPr>
          <w:p w14:paraId="423E5E39" w14:textId="77777777" w:rsidR="00C24ECC" w:rsidRDefault="00000000">
            <w:pPr>
              <w:spacing w:after="0" w:line="252" w:lineRule="auto"/>
              <w:jc w:val="left"/>
            </w:pPr>
            <w:r>
              <w:rPr>
                <w:sz w:val="16"/>
              </w:rPr>
              <w:t>Trust in online furniture</w:t>
            </w:r>
          </w:p>
        </w:tc>
        <w:tc>
          <w:tcPr>
            <w:tcW w:w="2835" w:type="dxa"/>
            <w:shd w:val="clear" w:color="auto" w:fill="F1F5F8"/>
            <w:tcMar>
              <w:top w:w="80" w:type="dxa"/>
              <w:left w:w="90" w:type="dxa"/>
              <w:bottom w:w="80" w:type="dxa"/>
              <w:right w:w="90" w:type="dxa"/>
            </w:tcMar>
          </w:tcPr>
          <w:p w14:paraId="6DB17BB5" w14:textId="77777777" w:rsidR="00C24ECC" w:rsidRDefault="00000000">
            <w:pPr>
              <w:spacing w:after="0" w:line="252" w:lineRule="auto"/>
              <w:jc w:val="left"/>
            </w:pPr>
            <w:r>
              <w:rPr>
                <w:sz w:val="16"/>
              </w:rPr>
              <w:t>Digital reach supports discovery and planning.</w:t>
            </w:r>
          </w:p>
        </w:tc>
        <w:tc>
          <w:tcPr>
            <w:tcW w:w="2835" w:type="dxa"/>
            <w:shd w:val="clear" w:color="auto" w:fill="F1F5F8"/>
            <w:tcMar>
              <w:top w:w="80" w:type="dxa"/>
              <w:left w:w="90" w:type="dxa"/>
              <w:bottom w:w="80" w:type="dxa"/>
              <w:right w:w="90" w:type="dxa"/>
            </w:tcMar>
          </w:tcPr>
          <w:p w14:paraId="4CE3C823" w14:textId="77777777" w:rsidR="00C24ECC" w:rsidRDefault="00000000">
            <w:pPr>
              <w:spacing w:after="0" w:line="252" w:lineRule="auto"/>
              <w:jc w:val="left"/>
            </w:pPr>
            <w:r>
              <w:rPr>
                <w:sz w:val="16"/>
              </w:rPr>
              <w:t>Material, colour, size and delivery uncertainty may reduce conversion.</w:t>
            </w:r>
          </w:p>
        </w:tc>
        <w:tc>
          <w:tcPr>
            <w:tcW w:w="2835" w:type="dxa"/>
            <w:shd w:val="clear" w:color="auto" w:fill="F1F5F8"/>
            <w:tcMar>
              <w:top w:w="80" w:type="dxa"/>
              <w:left w:w="90" w:type="dxa"/>
              <w:bottom w:w="80" w:type="dxa"/>
              <w:right w:w="90" w:type="dxa"/>
            </w:tcMar>
          </w:tcPr>
          <w:p w14:paraId="5981CA71" w14:textId="77777777" w:rsidR="00C24ECC" w:rsidRDefault="00000000">
            <w:pPr>
              <w:spacing w:after="0" w:line="252" w:lineRule="auto"/>
              <w:jc w:val="left"/>
            </w:pPr>
            <w:r>
              <w:rPr>
                <w:sz w:val="16"/>
              </w:rPr>
              <w:t>Use a physical planning studio, samples, accurate visualisation and simple returns.</w:t>
            </w:r>
          </w:p>
        </w:tc>
      </w:tr>
    </w:tbl>
    <w:p w14:paraId="341E2BEF" w14:textId="77777777" w:rsidR="00C24ECC" w:rsidRDefault="00C24ECC"/>
    <w:p w14:paraId="04884925" w14:textId="77777777" w:rsidR="00C24ECC" w:rsidRDefault="00000000">
      <w:pPr>
        <w:pStyle w:val="Heading2"/>
      </w:pPr>
      <w:r>
        <w:t>3.5 Market-attractiveness synthesis</w:t>
      </w:r>
    </w:p>
    <w:p w14:paraId="7B6AB155" w14:textId="77777777" w:rsidR="00C24ECC" w:rsidRDefault="00000000">
      <w:r>
        <w:t>Kenya is moderately, not unambiguously, attractive. Nairobi’s demand concentration, economic resilience, mobile commerce and gateway role support entry, while import taxation, freight, working capital, fiscal uncertainty and service complexity threaten affordability. These factors interact: digital entry reduces property exposure but not delivery cost; local assembly may reduce freight yet requires scale; and a franchisee adds knowledge while creating control risk.</w:t>
      </w:r>
    </w:p>
    <w:p w14:paraId="4722001E" w14:textId="77777777" w:rsidR="00C24ECC" w:rsidRDefault="00000000">
      <w:r>
        <w:t>The decision rule is whether IKEA can preserve an affordable, reliable and accessible furnishing system. Entry should proceed only if a tested assortment achieves viable delivered prices, a partner meets IKEA governance standards and logistics trials deliver acceptable damage, return and on-time performance. Market size alone is insufficient. Kenya is attractive, but IKEA should enter gradually because tariffs, affordability and logistics create significant risks.</w:t>
      </w:r>
    </w:p>
    <w:p w14:paraId="7E6B4AA6" w14:textId="77777777" w:rsidR="00C24ECC" w:rsidRDefault="00000000">
      <w:pPr>
        <w:pStyle w:val="Heading1"/>
      </w:pPr>
      <w:r>
        <w:t>4. Dunning’s Eclectic Paradigm and Strategic Synthesis</w:t>
      </w:r>
    </w:p>
    <w:p w14:paraId="2512D7DE" w14:textId="1CE00252" w:rsidR="00D7543A" w:rsidRDefault="00D7543A" w:rsidP="00D7543A">
      <w:r>
        <w:t xml:space="preserve">Dunning’s eclectic paradigm kind of stitches together ownership, location and </w:t>
      </w:r>
      <w:proofErr w:type="spellStart"/>
      <w:r>
        <w:t>internalisation</w:t>
      </w:r>
      <w:proofErr w:type="spellEnd"/>
      <w:r>
        <w:t xml:space="preserve"> advantages (Dunning, 1988; 2001</w:t>
      </w:r>
      <w:proofErr w:type="gramStart"/>
      <w:r>
        <w:t>) .</w:t>
      </w:r>
      <w:proofErr w:type="gramEnd"/>
      <w:r>
        <w:t xml:space="preserve"> Used this way, it pushes you to ask why IKEA is competitively qualified, why Kenya actually creates net value and, then, why the whole setup should be run through a specific governance form. You can’t really treat these parts separately, because tariffs might erode ownership value and a franchise could make local know-how usable without surrendering control over the concept. For the Kenya </w:t>
      </w:r>
      <w:r>
        <w:lastRenderedPageBreak/>
        <w:t xml:space="preserve">case, OLI therefore suggests that strong ownership advantages aren’t enough by themselves: location economics must be </w:t>
      </w:r>
      <w:proofErr w:type="spellStart"/>
      <w:r>
        <w:t>favourable</w:t>
      </w:r>
      <w:proofErr w:type="spellEnd"/>
      <w:r>
        <w:t xml:space="preserve"> as well, plus governance has to work in practice. If tariffs wreck </w:t>
      </w:r>
      <w:proofErr w:type="gramStart"/>
      <w:r>
        <w:t>affordability ,</w:t>
      </w:r>
      <w:proofErr w:type="gramEnd"/>
      <w:r>
        <w:t xml:space="preserve"> or if effective control cannot be kept via a capable </w:t>
      </w:r>
      <w:proofErr w:type="gramStart"/>
      <w:r>
        <w:t>partner</w:t>
      </w:r>
      <w:proofErr w:type="gramEnd"/>
      <w:r>
        <w:t xml:space="preserve"> then entry should be postponed rather than being sold purely as a “brand-strength” story.</w:t>
      </w:r>
    </w:p>
    <w:p w14:paraId="3E987C14" w14:textId="64EAC04C" w:rsidR="00D7543A" w:rsidRDefault="00D7543A" w:rsidP="00D7543A">
      <w:r>
        <w:t xml:space="preserve">IKEA’s ownership advantages include a </w:t>
      </w:r>
      <w:proofErr w:type="spellStart"/>
      <w:proofErr w:type="gramStart"/>
      <w:r>
        <w:t>well known</w:t>
      </w:r>
      <w:proofErr w:type="spellEnd"/>
      <w:proofErr w:type="gramEnd"/>
      <w:r>
        <w:t xml:space="preserve"> brand, democratic design, a coordinated product architecture, flat-pack logistics, global sourcing, large-scale purchasing, planning routines and an established franchise system. These kinds of system assets are more defensible than one-off product designs. Still, they only translate into value in Kenya if duty freight and service costs don’t eat up the low-price architecture; brand awareness can’t keep covering the gap forever when delivered prices turn unaffordable.</w:t>
      </w:r>
    </w:p>
    <w:p w14:paraId="04E40A4A" w14:textId="23A75168" w:rsidR="00D7543A" w:rsidRDefault="00D7543A" w:rsidP="00D7543A">
      <w:r>
        <w:t xml:space="preserve">Kenya’s location advantages cluster around Nairobi: demand density, modern retail </w:t>
      </w:r>
      <w:proofErr w:type="gramStart"/>
      <w:r>
        <w:t>infrastructure ,</w:t>
      </w:r>
      <w:proofErr w:type="gramEnd"/>
      <w:r>
        <w:t xml:space="preserve"> corporate shoppers, service capabilities and digital connectivity. There’s also support from Mombasa logistics and wider access across East Africa. But tariff exposure, uneven purchasing power, fiscal volatility and final-mile complexity reduce those benefits. </w:t>
      </w:r>
      <w:proofErr w:type="gramStart"/>
      <w:r>
        <w:t>So</w:t>
      </w:r>
      <w:proofErr w:type="gramEnd"/>
      <w:r>
        <w:t xml:space="preserve"> Kenya looks suitable as a staged learning platform, not as proof that immediate full-scale replication is warranted.</w:t>
      </w:r>
    </w:p>
    <w:p w14:paraId="333D5648" w14:textId="3B6B6FA8" w:rsidR="00C24ECC" w:rsidRDefault="00D7543A" w:rsidP="00D7543A">
      <w:r>
        <w:t xml:space="preserve">Finally, IKEA needs to </w:t>
      </w:r>
      <w:proofErr w:type="spellStart"/>
      <w:r>
        <w:t>internalise</w:t>
      </w:r>
      <w:proofErr w:type="spellEnd"/>
      <w:r>
        <w:t xml:space="preserve"> or tightly govern trademarks, product standards, digital assets, sustainability claims and the customer experience itself. If that governance fails global reputation gets hurt, fast. A fully owned unit would maximize control, but it would also absorb political, logistics and market-learning risks inside IKEA. A governed franchise lands somewhere in the middle: the franchisor keeps the concept and quality in line via contracts, audits, data sharing and training, while the local partner brings </w:t>
      </w:r>
      <w:proofErr w:type="gramStart"/>
      <w:r>
        <w:t>capital ,</w:t>
      </w:r>
      <w:proofErr w:type="gramEnd"/>
      <w:r>
        <w:t xml:space="preserve"> relationships and operating knowledge.</w:t>
      </w:r>
    </w:p>
    <w:p w14:paraId="5323CFDD" w14:textId="77777777" w:rsidR="00C24ECC" w:rsidRDefault="00000000">
      <w:pPr>
        <w:jc w:val="center"/>
      </w:pPr>
      <w:r>
        <w:rPr>
          <w:noProof/>
        </w:rPr>
        <w:lastRenderedPageBreak/>
        <w:drawing>
          <wp:inline distT="0" distB="0" distL="0" distR="0" wp14:anchorId="1006BFC1" wp14:editId="6DF70D4D">
            <wp:extent cx="5760720" cy="2834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oli.png"/>
                    <pic:cNvPicPr/>
                  </pic:nvPicPr>
                  <pic:blipFill>
                    <a:blip r:embed="rId15"/>
                    <a:stretch>
                      <a:fillRect/>
                    </a:stretch>
                  </pic:blipFill>
                  <pic:spPr>
                    <a:xfrm>
                      <a:off x="0" y="0"/>
                      <a:ext cx="5760720" cy="2834640"/>
                    </a:xfrm>
                    <a:prstGeom prst="rect">
                      <a:avLst/>
                    </a:prstGeom>
                  </pic:spPr>
                </pic:pic>
              </a:graphicData>
            </a:graphic>
          </wp:inline>
        </w:drawing>
      </w:r>
    </w:p>
    <w:p w14:paraId="1FEA249C" w14:textId="77777777" w:rsidR="00C24ECC" w:rsidRDefault="00000000">
      <w:pPr>
        <w:pStyle w:val="CaptionText"/>
        <w:jc w:val="center"/>
      </w:pPr>
      <w:r>
        <w:rPr>
          <w:b/>
        </w:rPr>
        <w:t>Figure 5. Integrated OLI logic for IKEA’s proposed entry into Kenya.</w:t>
      </w:r>
    </w:p>
    <w:p w14:paraId="748B278C" w14:textId="77777777" w:rsidR="00C24ECC" w:rsidRDefault="00000000">
      <w:pPr>
        <w:pStyle w:val="SourceText"/>
        <w:jc w:val="center"/>
      </w:pPr>
      <w:r>
        <w:t>Source: Author-developed figure informed by Dunning (1988; 2001) and the evidence analysed in this report.</w:t>
      </w:r>
    </w:p>
    <w:p w14:paraId="19790C84" w14:textId="77777777" w:rsidR="00C24ECC" w:rsidRDefault="00000000">
      <w:r>
        <w:t>OLI is comparatively static and gives limited guidance on timing or learning under uncertainty. Transaction-cost reasoning suggests greater control when assets are specialised and uncertainty is high, while institutional and cultural conditions can alter entry-mode performance (Anderson and Gatignon, 1986; Brouthers, 2002). These limitations support staged franchising with explicit performance gates rather than a once-and-for-all commitment. For IKEA, this means treating Kenya as reversible learning: each stage should generate evidence before additional capital and organisational commitment are authorised.</w:t>
      </w:r>
    </w:p>
    <w:p w14:paraId="53E1D1BC" w14:textId="77777777" w:rsidR="00C24ECC" w:rsidRDefault="00000000">
      <w:pPr>
        <w:pStyle w:val="Heading1"/>
      </w:pPr>
      <w:r>
        <w:t>5. Entry Mode Strategy and Strategic Synthesis</w:t>
      </w:r>
    </w:p>
    <w:p w14:paraId="1937F277" w14:textId="77777777" w:rsidR="00C24ECC" w:rsidRDefault="00000000">
      <w:pPr>
        <w:pStyle w:val="Heading2"/>
      </w:pPr>
      <w:r>
        <w:t>5.1 Historical entry pattern</w:t>
      </w:r>
    </w:p>
    <w:p w14:paraId="63F73E79" w14:textId="3B94CE85" w:rsidR="00D7543A" w:rsidRDefault="00D7543A" w:rsidP="00D7543A">
      <w:r>
        <w:t xml:space="preserve">IKEA’s main entry approach is mostly franchising, even though the formats and ownership set-ups can change, a bit, depending. In practice Inter IKEA Systems B.V. gives franchisees territorial </w:t>
      </w:r>
      <w:proofErr w:type="gramStart"/>
      <w:r>
        <w:t>permissions ,</w:t>
      </w:r>
      <w:proofErr w:type="gramEnd"/>
      <w:r>
        <w:t xml:space="preserve"> so they can run stores and other channels under the IKEA Concept; Ingka Group is the biggest franchise holder. Lately the growth has leaned on a mix of full-size and smaller store layouts, planning hubs, pick-up points and also online channels, which kind of signals that physical presence and digital access work together, not against each other (Inter IKEA Group, 2025a).</w:t>
      </w:r>
    </w:p>
    <w:p w14:paraId="26E69157" w14:textId="582C6E6A" w:rsidR="00C24ECC" w:rsidRDefault="00D7543A" w:rsidP="00D7543A">
      <w:r>
        <w:t xml:space="preserve">The same theme shows up again in the newer expansion steps: Panama and Costa Rica were allocated via Sarton Group, while New Zealand opened through an already running franchise organization in December 2025. International Sales acts like a low-commitment starting option in places that do not yet have stores, but it still does not deliver the proper </w:t>
      </w:r>
      <w:r>
        <w:lastRenderedPageBreak/>
        <w:t xml:space="preserve">customer experience needed for home retail in the usual sense (IKEA, 2023; 2026a). And then sometimes IKEA also acquires franchise </w:t>
      </w:r>
      <w:proofErr w:type="gramStart"/>
      <w:r>
        <w:t>operations ,</w:t>
      </w:r>
      <w:proofErr w:type="gramEnd"/>
      <w:r>
        <w:t xml:space="preserve"> which suggests that ownership can be increased later, when tighter control or cumulative learning becomes worthwhile.</w:t>
      </w:r>
    </w:p>
    <w:p w14:paraId="76628175" w14:textId="77777777" w:rsidR="00C24ECC" w:rsidRDefault="00000000">
      <w:pPr>
        <w:pStyle w:val="CaptionText"/>
      </w:pPr>
      <w:r>
        <w:t>Table 5. IKEA’s historical entry modes and relevance to Kenya. Source: Author synthesis.</w:t>
      </w:r>
    </w:p>
    <w:tbl>
      <w:tblPr>
        <w:tblStyle w:val="TableGrid"/>
        <w:tblW w:w="0" w:type="auto"/>
        <w:jc w:val="center"/>
        <w:tblLook w:val="04A0" w:firstRow="1" w:lastRow="0" w:firstColumn="1" w:lastColumn="0" w:noHBand="0" w:noVBand="1"/>
      </w:tblPr>
      <w:tblGrid>
        <w:gridCol w:w="2289"/>
        <w:gridCol w:w="3504"/>
        <w:gridCol w:w="3608"/>
      </w:tblGrid>
      <w:tr w:rsidR="00C24ECC" w14:paraId="150EABC1" w14:textId="77777777">
        <w:trPr>
          <w:cantSplit/>
          <w:tblHeader/>
          <w:jc w:val="center"/>
        </w:trPr>
        <w:tc>
          <w:tcPr>
            <w:tcW w:w="2381" w:type="dxa"/>
            <w:shd w:val="clear" w:color="auto" w:fill="0058A3"/>
            <w:tcMar>
              <w:top w:w="80" w:type="dxa"/>
              <w:left w:w="90" w:type="dxa"/>
              <w:bottom w:w="80" w:type="dxa"/>
              <w:right w:w="90" w:type="dxa"/>
            </w:tcMar>
            <w:vAlign w:val="center"/>
          </w:tcPr>
          <w:p w14:paraId="3C0D50F4" w14:textId="77777777" w:rsidR="00C24ECC" w:rsidRDefault="00000000">
            <w:pPr>
              <w:jc w:val="center"/>
            </w:pPr>
            <w:r>
              <w:rPr>
                <w:b/>
                <w:color w:val="FFFFFF"/>
                <w:sz w:val="16"/>
              </w:rPr>
              <w:t>Mode used by IKEA</w:t>
            </w:r>
          </w:p>
        </w:tc>
        <w:tc>
          <w:tcPr>
            <w:tcW w:w="3685" w:type="dxa"/>
            <w:shd w:val="clear" w:color="auto" w:fill="0058A3"/>
            <w:tcMar>
              <w:top w:w="80" w:type="dxa"/>
              <w:left w:w="90" w:type="dxa"/>
              <w:bottom w:w="80" w:type="dxa"/>
              <w:right w:w="90" w:type="dxa"/>
            </w:tcMar>
            <w:vAlign w:val="center"/>
          </w:tcPr>
          <w:p w14:paraId="65E76666" w14:textId="77777777" w:rsidR="00C24ECC" w:rsidRDefault="00000000">
            <w:pPr>
              <w:jc w:val="center"/>
            </w:pPr>
            <w:r>
              <w:rPr>
                <w:b/>
                <w:color w:val="FFFFFF"/>
                <w:sz w:val="16"/>
              </w:rPr>
              <w:t>Strategic role</w:t>
            </w:r>
          </w:p>
        </w:tc>
        <w:tc>
          <w:tcPr>
            <w:tcW w:w="3798" w:type="dxa"/>
            <w:shd w:val="clear" w:color="auto" w:fill="0058A3"/>
            <w:tcMar>
              <w:top w:w="80" w:type="dxa"/>
              <w:left w:w="90" w:type="dxa"/>
              <w:bottom w:w="80" w:type="dxa"/>
              <w:right w:w="90" w:type="dxa"/>
            </w:tcMar>
            <w:vAlign w:val="center"/>
          </w:tcPr>
          <w:p w14:paraId="79503503" w14:textId="77777777" w:rsidR="00C24ECC" w:rsidRDefault="00000000">
            <w:pPr>
              <w:jc w:val="center"/>
            </w:pPr>
            <w:r>
              <w:rPr>
                <w:b/>
                <w:color w:val="FFFFFF"/>
                <w:sz w:val="16"/>
              </w:rPr>
              <w:t>Kenyan relevance</w:t>
            </w:r>
          </w:p>
        </w:tc>
      </w:tr>
      <w:tr w:rsidR="00C24ECC" w14:paraId="026C1512" w14:textId="77777777">
        <w:trPr>
          <w:cantSplit/>
          <w:jc w:val="center"/>
        </w:trPr>
        <w:tc>
          <w:tcPr>
            <w:tcW w:w="2381" w:type="dxa"/>
            <w:tcMar>
              <w:top w:w="80" w:type="dxa"/>
              <w:left w:w="90" w:type="dxa"/>
              <w:bottom w:w="80" w:type="dxa"/>
              <w:right w:w="90" w:type="dxa"/>
            </w:tcMar>
          </w:tcPr>
          <w:p w14:paraId="6EDFC1BC" w14:textId="77777777" w:rsidR="00C24ECC" w:rsidRDefault="00000000">
            <w:pPr>
              <w:spacing w:after="0" w:line="252" w:lineRule="auto"/>
              <w:jc w:val="left"/>
            </w:pPr>
            <w:r>
              <w:rPr>
                <w:sz w:val="16"/>
              </w:rPr>
              <w:t>International Sales and project exports</w:t>
            </w:r>
          </w:p>
        </w:tc>
        <w:tc>
          <w:tcPr>
            <w:tcW w:w="3685" w:type="dxa"/>
            <w:tcMar>
              <w:top w:w="80" w:type="dxa"/>
              <w:left w:w="90" w:type="dxa"/>
              <w:bottom w:w="80" w:type="dxa"/>
              <w:right w:w="90" w:type="dxa"/>
            </w:tcMar>
          </w:tcPr>
          <w:p w14:paraId="19183319" w14:textId="77777777" w:rsidR="00C24ECC" w:rsidRDefault="00000000">
            <w:pPr>
              <w:spacing w:after="0" w:line="252" w:lineRule="auto"/>
              <w:jc w:val="left"/>
            </w:pPr>
            <w:r>
              <w:rPr>
                <w:sz w:val="16"/>
              </w:rPr>
              <w:t>Supplies bulk orders to countries without formal stores and tests demand with low commitment.</w:t>
            </w:r>
          </w:p>
        </w:tc>
        <w:tc>
          <w:tcPr>
            <w:tcW w:w="3798" w:type="dxa"/>
            <w:tcMar>
              <w:top w:w="80" w:type="dxa"/>
              <w:left w:w="90" w:type="dxa"/>
              <w:bottom w:w="80" w:type="dxa"/>
              <w:right w:w="90" w:type="dxa"/>
            </w:tcMar>
          </w:tcPr>
          <w:p w14:paraId="506D0BD7" w14:textId="77777777" w:rsidR="00C24ECC" w:rsidRDefault="00000000">
            <w:pPr>
              <w:spacing w:after="0" w:line="252" w:lineRule="auto"/>
              <w:jc w:val="left"/>
            </w:pPr>
            <w:r>
              <w:rPr>
                <w:sz w:val="16"/>
              </w:rPr>
              <w:t>Useful for institutional orders and early learning but inadequate for scalable household retail.</w:t>
            </w:r>
          </w:p>
        </w:tc>
      </w:tr>
      <w:tr w:rsidR="00C24ECC" w14:paraId="4C9FE3E3" w14:textId="77777777">
        <w:trPr>
          <w:cantSplit/>
          <w:jc w:val="center"/>
        </w:trPr>
        <w:tc>
          <w:tcPr>
            <w:tcW w:w="2381" w:type="dxa"/>
            <w:shd w:val="clear" w:color="auto" w:fill="F1F5F8"/>
            <w:tcMar>
              <w:top w:w="80" w:type="dxa"/>
              <w:left w:w="90" w:type="dxa"/>
              <w:bottom w:w="80" w:type="dxa"/>
              <w:right w:w="90" w:type="dxa"/>
            </w:tcMar>
          </w:tcPr>
          <w:p w14:paraId="0770FE7A" w14:textId="77777777" w:rsidR="00C24ECC" w:rsidRDefault="00000000">
            <w:pPr>
              <w:spacing w:after="0" w:line="252" w:lineRule="auto"/>
              <w:jc w:val="left"/>
            </w:pPr>
            <w:r>
              <w:rPr>
                <w:sz w:val="16"/>
              </w:rPr>
              <w:t>Exclusive territorial franchise</w:t>
            </w:r>
          </w:p>
        </w:tc>
        <w:tc>
          <w:tcPr>
            <w:tcW w:w="3685" w:type="dxa"/>
            <w:shd w:val="clear" w:color="auto" w:fill="F1F5F8"/>
            <w:tcMar>
              <w:top w:w="80" w:type="dxa"/>
              <w:left w:w="90" w:type="dxa"/>
              <w:bottom w:w="80" w:type="dxa"/>
              <w:right w:w="90" w:type="dxa"/>
            </w:tcMar>
          </w:tcPr>
          <w:p w14:paraId="14DF44E0" w14:textId="77777777" w:rsidR="00C24ECC" w:rsidRDefault="00000000">
            <w:pPr>
              <w:spacing w:after="0" w:line="252" w:lineRule="auto"/>
              <w:jc w:val="left"/>
            </w:pPr>
            <w:r>
              <w:rPr>
                <w:sz w:val="16"/>
              </w:rPr>
              <w:t>Combines local capital and market knowledge with global concept, range and governance.</w:t>
            </w:r>
          </w:p>
        </w:tc>
        <w:tc>
          <w:tcPr>
            <w:tcW w:w="3798" w:type="dxa"/>
            <w:shd w:val="clear" w:color="auto" w:fill="F1F5F8"/>
            <w:tcMar>
              <w:top w:w="80" w:type="dxa"/>
              <w:left w:w="90" w:type="dxa"/>
              <w:bottom w:w="80" w:type="dxa"/>
              <w:right w:w="90" w:type="dxa"/>
            </w:tcMar>
          </w:tcPr>
          <w:p w14:paraId="5461F279" w14:textId="77777777" w:rsidR="00C24ECC" w:rsidRDefault="00000000">
            <w:pPr>
              <w:spacing w:after="0" w:line="252" w:lineRule="auto"/>
              <w:jc w:val="left"/>
            </w:pPr>
            <w:r>
              <w:rPr>
                <w:sz w:val="16"/>
              </w:rPr>
              <w:t>Best structural fit if partner capability and control mechanisms are strong.</w:t>
            </w:r>
          </w:p>
        </w:tc>
      </w:tr>
      <w:tr w:rsidR="00C24ECC" w14:paraId="5928623C" w14:textId="77777777">
        <w:trPr>
          <w:cantSplit/>
          <w:jc w:val="center"/>
        </w:trPr>
        <w:tc>
          <w:tcPr>
            <w:tcW w:w="2381" w:type="dxa"/>
            <w:tcMar>
              <w:top w:w="80" w:type="dxa"/>
              <w:left w:w="90" w:type="dxa"/>
              <w:bottom w:w="80" w:type="dxa"/>
              <w:right w:w="90" w:type="dxa"/>
            </w:tcMar>
          </w:tcPr>
          <w:p w14:paraId="2CF6480B" w14:textId="77777777" w:rsidR="00C24ECC" w:rsidRDefault="00000000">
            <w:pPr>
              <w:spacing w:after="0" w:line="252" w:lineRule="auto"/>
              <w:jc w:val="left"/>
            </w:pPr>
            <w:r>
              <w:rPr>
                <w:sz w:val="16"/>
              </w:rPr>
              <w:t>Multiple retail formats</w:t>
            </w:r>
          </w:p>
        </w:tc>
        <w:tc>
          <w:tcPr>
            <w:tcW w:w="3685" w:type="dxa"/>
            <w:tcMar>
              <w:top w:w="80" w:type="dxa"/>
              <w:left w:w="90" w:type="dxa"/>
              <w:bottom w:w="80" w:type="dxa"/>
              <w:right w:w="90" w:type="dxa"/>
            </w:tcMar>
          </w:tcPr>
          <w:p w14:paraId="7F3699E5" w14:textId="77777777" w:rsidR="00C24ECC" w:rsidRDefault="00000000">
            <w:pPr>
              <w:spacing w:after="0" w:line="252" w:lineRule="auto"/>
              <w:jc w:val="left"/>
            </w:pPr>
            <w:r>
              <w:rPr>
                <w:sz w:val="16"/>
              </w:rPr>
              <w:t>Uses full-size stores, small stores, plan-and-order points, e-commerce and collection locations.</w:t>
            </w:r>
          </w:p>
        </w:tc>
        <w:tc>
          <w:tcPr>
            <w:tcW w:w="3798" w:type="dxa"/>
            <w:tcMar>
              <w:top w:w="80" w:type="dxa"/>
              <w:left w:w="90" w:type="dxa"/>
              <w:bottom w:w="80" w:type="dxa"/>
              <w:right w:w="90" w:type="dxa"/>
            </w:tcMar>
          </w:tcPr>
          <w:p w14:paraId="6CBAE677" w14:textId="77777777" w:rsidR="00C24ECC" w:rsidRDefault="00000000">
            <w:pPr>
              <w:spacing w:after="0" w:line="252" w:lineRule="auto"/>
              <w:jc w:val="left"/>
            </w:pPr>
            <w:r>
              <w:rPr>
                <w:sz w:val="16"/>
              </w:rPr>
              <w:t>Allows a Nairobi entry without the cost and rigidity of a conventional destination store.</w:t>
            </w:r>
          </w:p>
        </w:tc>
      </w:tr>
      <w:tr w:rsidR="00C24ECC" w14:paraId="50F3BF5C" w14:textId="77777777">
        <w:trPr>
          <w:cantSplit/>
          <w:jc w:val="center"/>
        </w:trPr>
        <w:tc>
          <w:tcPr>
            <w:tcW w:w="2381" w:type="dxa"/>
            <w:shd w:val="clear" w:color="auto" w:fill="F1F5F8"/>
            <w:tcMar>
              <w:top w:w="80" w:type="dxa"/>
              <w:left w:w="90" w:type="dxa"/>
              <w:bottom w:w="80" w:type="dxa"/>
              <w:right w:w="90" w:type="dxa"/>
            </w:tcMar>
          </w:tcPr>
          <w:p w14:paraId="7D4D6D23" w14:textId="77777777" w:rsidR="00C24ECC" w:rsidRDefault="00000000">
            <w:pPr>
              <w:spacing w:after="0" w:line="252" w:lineRule="auto"/>
              <w:jc w:val="left"/>
            </w:pPr>
            <w:r>
              <w:rPr>
                <w:sz w:val="16"/>
              </w:rPr>
              <w:t>Wholly owned or acquired retail operations</w:t>
            </w:r>
          </w:p>
        </w:tc>
        <w:tc>
          <w:tcPr>
            <w:tcW w:w="3685" w:type="dxa"/>
            <w:shd w:val="clear" w:color="auto" w:fill="F1F5F8"/>
            <w:tcMar>
              <w:top w:w="80" w:type="dxa"/>
              <w:left w:w="90" w:type="dxa"/>
              <w:bottom w:w="80" w:type="dxa"/>
              <w:right w:w="90" w:type="dxa"/>
            </w:tcMar>
          </w:tcPr>
          <w:p w14:paraId="1E60D3A6" w14:textId="77777777" w:rsidR="00C24ECC" w:rsidRDefault="00000000">
            <w:pPr>
              <w:spacing w:after="0" w:line="252" w:lineRule="auto"/>
              <w:jc w:val="left"/>
            </w:pPr>
            <w:r>
              <w:rPr>
                <w:sz w:val="16"/>
              </w:rPr>
              <w:t>Used selectively when greater control or strategic learning is valuable.</w:t>
            </w:r>
          </w:p>
        </w:tc>
        <w:tc>
          <w:tcPr>
            <w:tcW w:w="3798" w:type="dxa"/>
            <w:shd w:val="clear" w:color="auto" w:fill="F1F5F8"/>
            <w:tcMar>
              <w:top w:w="80" w:type="dxa"/>
              <w:left w:w="90" w:type="dxa"/>
              <w:bottom w:w="80" w:type="dxa"/>
              <w:right w:w="90" w:type="dxa"/>
            </w:tcMar>
          </w:tcPr>
          <w:p w14:paraId="03A44B92" w14:textId="77777777" w:rsidR="00C24ECC" w:rsidRDefault="00000000">
            <w:pPr>
              <w:spacing w:after="0" w:line="252" w:lineRule="auto"/>
              <w:jc w:val="left"/>
            </w:pPr>
            <w:r>
              <w:rPr>
                <w:sz w:val="16"/>
              </w:rPr>
              <w:t>Possible later-stage option, but excessive before Kenyan economics are proven.</w:t>
            </w:r>
          </w:p>
        </w:tc>
      </w:tr>
    </w:tbl>
    <w:p w14:paraId="3201036A" w14:textId="77777777" w:rsidR="00C24ECC" w:rsidRDefault="00C24ECC"/>
    <w:p w14:paraId="6BECCEEC" w14:textId="77777777" w:rsidR="00C24ECC" w:rsidRDefault="00000000">
      <w:pPr>
        <w:pStyle w:val="Heading2"/>
      </w:pPr>
      <w:r>
        <w:t>5.2 Comparison of feasible entry modes</w:t>
      </w:r>
    </w:p>
    <w:p w14:paraId="2EFF5E7F" w14:textId="3E7EDCBF" w:rsidR="00967FFD" w:rsidRDefault="00967FFD" w:rsidP="00967FFD">
      <w:r>
        <w:t xml:space="preserve">Export-only offers low commitment and it can test demand, but it somehow won’t work as IKEA’s main household-retail </w:t>
      </w:r>
      <w:proofErr w:type="gramStart"/>
      <w:r>
        <w:t>way ,</w:t>
      </w:r>
      <w:proofErr w:type="gramEnd"/>
      <w:r>
        <w:t xml:space="preserve"> because duties and freight stay high while control over planning delivery returns and even assembly is pretty weak. Licensing needs little capital, sure, yet it keeps the IKEA name but separates it from the everyday operating routines that guard quality and customer experience, which then nudges up brand, and agency risk. A joint venture helps with local know-how and risk </w:t>
      </w:r>
      <w:proofErr w:type="gramStart"/>
      <w:r>
        <w:t>sharing ,</w:t>
      </w:r>
      <w:proofErr w:type="gramEnd"/>
      <w:r>
        <w:t xml:space="preserve"> but shared ownership can make decisions slower and can spark disagreements around sourcing pricing reinvestment and concept standards, plus it isn’t really needed when IKEA’s franchise model already mixes local initiative with franchisor control. A wholly owned greenfield subsidiary gives maximum authority, but it piles political, tariff, logistics, and demand risk onto IKEA, and it also asks for high sunk spending before Kenyan economics are even proven (Anderson and </w:t>
      </w:r>
      <w:proofErr w:type="spellStart"/>
      <w:r>
        <w:t>Gatignon</w:t>
      </w:r>
      <w:proofErr w:type="spellEnd"/>
      <w:r>
        <w:t xml:space="preserve">, 1986; </w:t>
      </w:r>
      <w:proofErr w:type="spellStart"/>
      <w:r>
        <w:t>Brouthers</w:t>
      </w:r>
      <w:proofErr w:type="spellEnd"/>
      <w:r>
        <w:t>, 2002).</w:t>
      </w:r>
    </w:p>
    <w:p w14:paraId="6CFBCB47" w14:textId="15D8F014" w:rsidR="00C24ECC" w:rsidRDefault="00967FFD" w:rsidP="00967FFD">
      <w:r>
        <w:t xml:space="preserve">Because of that, staged exclusive franchising is the best strategic match. It follows IKEA’s long-running international pattern, brings in a partner’s capital, connections and operational </w:t>
      </w:r>
      <w:proofErr w:type="gramStart"/>
      <w:r>
        <w:t>experience ,</w:t>
      </w:r>
      <w:proofErr w:type="gramEnd"/>
      <w:r>
        <w:t xml:space="preserve"> and it still </w:t>
      </w:r>
      <w:proofErr w:type="gramStart"/>
      <w:r>
        <w:t>lets</w:t>
      </w:r>
      <w:proofErr w:type="gramEnd"/>
      <w:r>
        <w:t xml:space="preserve"> Inter IKEA keep control over trademarks, assortment, standards, data and the overall concept governance (Inter IKEA Group, 2025a; IKEA, 2026b). Staging matters, since e-commerce, a plan-and-order studio, and collection points can check affordability and service quality first, before a medium-format store gets approved. This mode isn’t riskless though, so partner dependency should be boxed in through milestones, audits and data rights, approved sourcing, training, service </w:t>
      </w:r>
      <w:r>
        <w:lastRenderedPageBreak/>
        <w:t xml:space="preserve">and sustainability standards, cure </w:t>
      </w:r>
      <w:proofErr w:type="gramStart"/>
      <w:r>
        <w:t>periods ,</w:t>
      </w:r>
      <w:proofErr w:type="gramEnd"/>
      <w:r>
        <w:t xml:space="preserve"> termination rights, and where possible step-in or acquisition options.</w:t>
      </w:r>
    </w:p>
    <w:p w14:paraId="12B24853" w14:textId="77777777" w:rsidR="00C24ECC" w:rsidRDefault="00000000">
      <w:pPr>
        <w:pStyle w:val="CaptionText"/>
      </w:pPr>
      <w:r>
        <w:t>Table 6. Weighted comparison of feasible entry modes for Kenya. Source: Author synthesis.</w:t>
      </w:r>
    </w:p>
    <w:tbl>
      <w:tblPr>
        <w:tblStyle w:val="TableGrid"/>
        <w:tblW w:w="0" w:type="auto"/>
        <w:jc w:val="center"/>
        <w:tblLook w:val="04A0" w:firstRow="1" w:lastRow="0" w:firstColumn="1" w:lastColumn="0" w:noHBand="0" w:noVBand="1"/>
      </w:tblPr>
      <w:tblGrid>
        <w:gridCol w:w="2073"/>
        <w:gridCol w:w="1227"/>
        <w:gridCol w:w="1263"/>
        <w:gridCol w:w="1366"/>
        <w:gridCol w:w="1845"/>
        <w:gridCol w:w="1627"/>
      </w:tblGrid>
      <w:tr w:rsidR="00C24ECC" w14:paraId="5EE744DA" w14:textId="77777777">
        <w:trPr>
          <w:cantSplit/>
          <w:tblHeader/>
          <w:jc w:val="center"/>
        </w:trPr>
        <w:tc>
          <w:tcPr>
            <w:tcW w:w="2268" w:type="dxa"/>
            <w:shd w:val="clear" w:color="auto" w:fill="0058A3"/>
            <w:tcMar>
              <w:top w:w="80" w:type="dxa"/>
              <w:left w:w="90" w:type="dxa"/>
              <w:bottom w:w="80" w:type="dxa"/>
              <w:right w:w="90" w:type="dxa"/>
            </w:tcMar>
            <w:vAlign w:val="center"/>
          </w:tcPr>
          <w:p w14:paraId="5C8D506C" w14:textId="77777777" w:rsidR="00C24ECC" w:rsidRDefault="00000000">
            <w:pPr>
              <w:jc w:val="center"/>
            </w:pPr>
            <w:r>
              <w:rPr>
                <w:b/>
                <w:color w:val="FFFFFF"/>
                <w:sz w:val="15"/>
              </w:rPr>
              <w:t>Criterion (weight)</w:t>
            </w:r>
          </w:p>
        </w:tc>
        <w:tc>
          <w:tcPr>
            <w:tcW w:w="1361" w:type="dxa"/>
            <w:shd w:val="clear" w:color="auto" w:fill="0058A3"/>
            <w:tcMar>
              <w:top w:w="80" w:type="dxa"/>
              <w:left w:w="90" w:type="dxa"/>
              <w:bottom w:w="80" w:type="dxa"/>
              <w:right w:w="90" w:type="dxa"/>
            </w:tcMar>
            <w:vAlign w:val="center"/>
          </w:tcPr>
          <w:p w14:paraId="345328E2" w14:textId="77777777" w:rsidR="00C24ECC" w:rsidRDefault="00000000">
            <w:pPr>
              <w:jc w:val="center"/>
            </w:pPr>
            <w:r>
              <w:rPr>
                <w:b/>
                <w:color w:val="FFFFFF"/>
                <w:sz w:val="15"/>
              </w:rPr>
              <w:t>Export-only</w:t>
            </w:r>
          </w:p>
        </w:tc>
        <w:tc>
          <w:tcPr>
            <w:tcW w:w="1361" w:type="dxa"/>
            <w:shd w:val="clear" w:color="auto" w:fill="0058A3"/>
            <w:tcMar>
              <w:top w:w="80" w:type="dxa"/>
              <w:left w:w="90" w:type="dxa"/>
              <w:bottom w:w="80" w:type="dxa"/>
              <w:right w:w="90" w:type="dxa"/>
            </w:tcMar>
            <w:vAlign w:val="center"/>
          </w:tcPr>
          <w:p w14:paraId="75544449" w14:textId="77777777" w:rsidR="00C24ECC" w:rsidRDefault="00000000">
            <w:pPr>
              <w:jc w:val="center"/>
            </w:pPr>
            <w:r>
              <w:rPr>
                <w:b/>
                <w:color w:val="FFFFFF"/>
                <w:sz w:val="15"/>
              </w:rPr>
              <w:t>Licensing</w:t>
            </w:r>
          </w:p>
        </w:tc>
        <w:tc>
          <w:tcPr>
            <w:tcW w:w="1531" w:type="dxa"/>
            <w:shd w:val="clear" w:color="auto" w:fill="0058A3"/>
            <w:tcMar>
              <w:top w:w="80" w:type="dxa"/>
              <w:left w:w="90" w:type="dxa"/>
              <w:bottom w:w="80" w:type="dxa"/>
              <w:right w:w="90" w:type="dxa"/>
            </w:tcMar>
            <w:vAlign w:val="center"/>
          </w:tcPr>
          <w:p w14:paraId="3CCC8AB9" w14:textId="77777777" w:rsidR="00C24ECC" w:rsidRDefault="00000000">
            <w:pPr>
              <w:jc w:val="center"/>
            </w:pPr>
            <w:r>
              <w:rPr>
                <w:b/>
                <w:color w:val="FFFFFF"/>
                <w:sz w:val="15"/>
              </w:rPr>
              <w:t>Joint venture</w:t>
            </w:r>
          </w:p>
        </w:tc>
        <w:tc>
          <w:tcPr>
            <w:tcW w:w="2098" w:type="dxa"/>
            <w:shd w:val="clear" w:color="auto" w:fill="0058A3"/>
            <w:tcMar>
              <w:top w:w="80" w:type="dxa"/>
              <w:left w:w="90" w:type="dxa"/>
              <w:bottom w:w="80" w:type="dxa"/>
              <w:right w:w="90" w:type="dxa"/>
            </w:tcMar>
            <w:vAlign w:val="center"/>
          </w:tcPr>
          <w:p w14:paraId="0DF2ABC2" w14:textId="77777777" w:rsidR="00C24ECC" w:rsidRDefault="00000000">
            <w:pPr>
              <w:jc w:val="center"/>
            </w:pPr>
            <w:r>
              <w:rPr>
                <w:b/>
                <w:color w:val="FFFFFF"/>
                <w:sz w:val="15"/>
              </w:rPr>
              <w:t>Staged exclusive franchise</w:t>
            </w:r>
          </w:p>
        </w:tc>
        <w:tc>
          <w:tcPr>
            <w:tcW w:w="1814" w:type="dxa"/>
            <w:shd w:val="clear" w:color="auto" w:fill="0058A3"/>
            <w:tcMar>
              <w:top w:w="80" w:type="dxa"/>
              <w:left w:w="90" w:type="dxa"/>
              <w:bottom w:w="80" w:type="dxa"/>
              <w:right w:w="90" w:type="dxa"/>
            </w:tcMar>
            <w:vAlign w:val="center"/>
          </w:tcPr>
          <w:p w14:paraId="31B3EF12" w14:textId="77777777" w:rsidR="00C24ECC" w:rsidRDefault="00000000">
            <w:pPr>
              <w:jc w:val="center"/>
            </w:pPr>
            <w:r>
              <w:rPr>
                <w:b/>
                <w:color w:val="FFFFFF"/>
                <w:sz w:val="15"/>
              </w:rPr>
              <w:t>Wholly owned greenfield</w:t>
            </w:r>
          </w:p>
        </w:tc>
      </w:tr>
      <w:tr w:rsidR="00C24ECC" w14:paraId="772CD0A8" w14:textId="77777777">
        <w:trPr>
          <w:cantSplit/>
          <w:jc w:val="center"/>
        </w:trPr>
        <w:tc>
          <w:tcPr>
            <w:tcW w:w="2268" w:type="dxa"/>
            <w:tcMar>
              <w:top w:w="80" w:type="dxa"/>
              <w:left w:w="90" w:type="dxa"/>
              <w:bottom w:w="80" w:type="dxa"/>
              <w:right w:w="90" w:type="dxa"/>
            </w:tcMar>
          </w:tcPr>
          <w:p w14:paraId="69494BB0" w14:textId="77777777" w:rsidR="00C24ECC" w:rsidRDefault="00000000">
            <w:pPr>
              <w:spacing w:after="0" w:line="252" w:lineRule="auto"/>
              <w:jc w:val="left"/>
            </w:pPr>
            <w:r>
              <w:rPr>
                <w:sz w:val="15"/>
              </w:rPr>
              <w:t>Brand and experience control (20%)</w:t>
            </w:r>
          </w:p>
        </w:tc>
        <w:tc>
          <w:tcPr>
            <w:tcW w:w="1361" w:type="dxa"/>
            <w:tcMar>
              <w:top w:w="80" w:type="dxa"/>
              <w:left w:w="90" w:type="dxa"/>
              <w:bottom w:w="80" w:type="dxa"/>
              <w:right w:w="90" w:type="dxa"/>
            </w:tcMar>
          </w:tcPr>
          <w:p w14:paraId="3BE99FBD" w14:textId="77777777" w:rsidR="00C24ECC" w:rsidRDefault="00000000">
            <w:pPr>
              <w:spacing w:after="0" w:line="252" w:lineRule="auto"/>
              <w:jc w:val="left"/>
            </w:pPr>
            <w:r>
              <w:rPr>
                <w:sz w:val="15"/>
              </w:rPr>
              <w:t>2</w:t>
            </w:r>
          </w:p>
        </w:tc>
        <w:tc>
          <w:tcPr>
            <w:tcW w:w="1361" w:type="dxa"/>
            <w:tcMar>
              <w:top w:w="80" w:type="dxa"/>
              <w:left w:w="90" w:type="dxa"/>
              <w:bottom w:w="80" w:type="dxa"/>
              <w:right w:w="90" w:type="dxa"/>
            </w:tcMar>
          </w:tcPr>
          <w:p w14:paraId="0CA1F8B8" w14:textId="77777777" w:rsidR="00C24ECC" w:rsidRDefault="00000000">
            <w:pPr>
              <w:spacing w:after="0" w:line="252" w:lineRule="auto"/>
              <w:jc w:val="left"/>
            </w:pPr>
            <w:r>
              <w:rPr>
                <w:sz w:val="15"/>
              </w:rPr>
              <w:t>1</w:t>
            </w:r>
          </w:p>
        </w:tc>
        <w:tc>
          <w:tcPr>
            <w:tcW w:w="1531" w:type="dxa"/>
            <w:tcMar>
              <w:top w:w="80" w:type="dxa"/>
              <w:left w:w="90" w:type="dxa"/>
              <w:bottom w:w="80" w:type="dxa"/>
              <w:right w:w="90" w:type="dxa"/>
            </w:tcMar>
          </w:tcPr>
          <w:p w14:paraId="3CCF6344" w14:textId="77777777" w:rsidR="00C24ECC" w:rsidRDefault="00000000">
            <w:pPr>
              <w:spacing w:after="0" w:line="252" w:lineRule="auto"/>
              <w:jc w:val="left"/>
            </w:pPr>
            <w:r>
              <w:rPr>
                <w:sz w:val="15"/>
              </w:rPr>
              <w:t>4</w:t>
            </w:r>
          </w:p>
        </w:tc>
        <w:tc>
          <w:tcPr>
            <w:tcW w:w="2098" w:type="dxa"/>
            <w:tcMar>
              <w:top w:w="80" w:type="dxa"/>
              <w:left w:w="90" w:type="dxa"/>
              <w:bottom w:w="80" w:type="dxa"/>
              <w:right w:w="90" w:type="dxa"/>
            </w:tcMar>
          </w:tcPr>
          <w:p w14:paraId="7B1FF8EC" w14:textId="77777777" w:rsidR="00C24ECC" w:rsidRDefault="00000000">
            <w:pPr>
              <w:spacing w:after="0" w:line="252" w:lineRule="auto"/>
              <w:jc w:val="left"/>
            </w:pPr>
            <w:r>
              <w:rPr>
                <w:sz w:val="15"/>
              </w:rPr>
              <w:t>4</w:t>
            </w:r>
          </w:p>
        </w:tc>
        <w:tc>
          <w:tcPr>
            <w:tcW w:w="1814" w:type="dxa"/>
            <w:tcMar>
              <w:top w:w="80" w:type="dxa"/>
              <w:left w:w="90" w:type="dxa"/>
              <w:bottom w:w="80" w:type="dxa"/>
              <w:right w:w="90" w:type="dxa"/>
            </w:tcMar>
          </w:tcPr>
          <w:p w14:paraId="149D720B" w14:textId="77777777" w:rsidR="00C24ECC" w:rsidRDefault="00000000">
            <w:pPr>
              <w:spacing w:after="0" w:line="252" w:lineRule="auto"/>
              <w:jc w:val="left"/>
            </w:pPr>
            <w:r>
              <w:rPr>
                <w:sz w:val="15"/>
              </w:rPr>
              <w:t>5</w:t>
            </w:r>
          </w:p>
        </w:tc>
      </w:tr>
      <w:tr w:rsidR="00C24ECC" w14:paraId="409A9617" w14:textId="77777777">
        <w:trPr>
          <w:cantSplit/>
          <w:jc w:val="center"/>
        </w:trPr>
        <w:tc>
          <w:tcPr>
            <w:tcW w:w="2268" w:type="dxa"/>
            <w:shd w:val="clear" w:color="auto" w:fill="F1F5F8"/>
            <w:tcMar>
              <w:top w:w="80" w:type="dxa"/>
              <w:left w:w="90" w:type="dxa"/>
              <w:bottom w:w="80" w:type="dxa"/>
              <w:right w:w="90" w:type="dxa"/>
            </w:tcMar>
          </w:tcPr>
          <w:p w14:paraId="0D4DB3DF" w14:textId="77777777" w:rsidR="00C24ECC" w:rsidRDefault="00000000">
            <w:pPr>
              <w:spacing w:after="0" w:line="252" w:lineRule="auto"/>
              <w:jc w:val="left"/>
            </w:pPr>
            <w:r>
              <w:rPr>
                <w:sz w:val="15"/>
              </w:rPr>
              <w:t>Capital exposure (15%)</w:t>
            </w:r>
          </w:p>
        </w:tc>
        <w:tc>
          <w:tcPr>
            <w:tcW w:w="1361" w:type="dxa"/>
            <w:shd w:val="clear" w:color="auto" w:fill="F1F5F8"/>
            <w:tcMar>
              <w:top w:w="80" w:type="dxa"/>
              <w:left w:w="90" w:type="dxa"/>
              <w:bottom w:w="80" w:type="dxa"/>
              <w:right w:w="90" w:type="dxa"/>
            </w:tcMar>
          </w:tcPr>
          <w:p w14:paraId="78FA28C8" w14:textId="77777777" w:rsidR="00C24ECC" w:rsidRDefault="00000000">
            <w:pPr>
              <w:spacing w:after="0" w:line="252" w:lineRule="auto"/>
              <w:jc w:val="left"/>
            </w:pPr>
            <w:r>
              <w:rPr>
                <w:sz w:val="15"/>
              </w:rPr>
              <w:t>5</w:t>
            </w:r>
          </w:p>
        </w:tc>
        <w:tc>
          <w:tcPr>
            <w:tcW w:w="1361" w:type="dxa"/>
            <w:shd w:val="clear" w:color="auto" w:fill="F1F5F8"/>
            <w:tcMar>
              <w:top w:w="80" w:type="dxa"/>
              <w:left w:w="90" w:type="dxa"/>
              <w:bottom w:w="80" w:type="dxa"/>
              <w:right w:w="90" w:type="dxa"/>
            </w:tcMar>
          </w:tcPr>
          <w:p w14:paraId="2FFB7865" w14:textId="77777777" w:rsidR="00C24ECC" w:rsidRDefault="00000000">
            <w:pPr>
              <w:spacing w:after="0" w:line="252" w:lineRule="auto"/>
              <w:jc w:val="left"/>
            </w:pPr>
            <w:r>
              <w:rPr>
                <w:sz w:val="15"/>
              </w:rPr>
              <w:t>5</w:t>
            </w:r>
          </w:p>
        </w:tc>
        <w:tc>
          <w:tcPr>
            <w:tcW w:w="1531" w:type="dxa"/>
            <w:shd w:val="clear" w:color="auto" w:fill="F1F5F8"/>
            <w:tcMar>
              <w:top w:w="80" w:type="dxa"/>
              <w:left w:w="90" w:type="dxa"/>
              <w:bottom w:w="80" w:type="dxa"/>
              <w:right w:w="90" w:type="dxa"/>
            </w:tcMar>
          </w:tcPr>
          <w:p w14:paraId="5D46785B" w14:textId="77777777" w:rsidR="00C24ECC" w:rsidRDefault="00000000">
            <w:pPr>
              <w:spacing w:after="0" w:line="252" w:lineRule="auto"/>
              <w:jc w:val="left"/>
            </w:pPr>
            <w:r>
              <w:rPr>
                <w:sz w:val="15"/>
              </w:rPr>
              <w:t>3</w:t>
            </w:r>
          </w:p>
        </w:tc>
        <w:tc>
          <w:tcPr>
            <w:tcW w:w="2098" w:type="dxa"/>
            <w:shd w:val="clear" w:color="auto" w:fill="F1F5F8"/>
            <w:tcMar>
              <w:top w:w="80" w:type="dxa"/>
              <w:left w:w="90" w:type="dxa"/>
              <w:bottom w:w="80" w:type="dxa"/>
              <w:right w:w="90" w:type="dxa"/>
            </w:tcMar>
          </w:tcPr>
          <w:p w14:paraId="738427B4" w14:textId="77777777" w:rsidR="00C24ECC" w:rsidRDefault="00000000">
            <w:pPr>
              <w:spacing w:after="0" w:line="252" w:lineRule="auto"/>
              <w:jc w:val="left"/>
            </w:pPr>
            <w:r>
              <w:rPr>
                <w:sz w:val="15"/>
              </w:rPr>
              <w:t>4</w:t>
            </w:r>
          </w:p>
        </w:tc>
        <w:tc>
          <w:tcPr>
            <w:tcW w:w="1814" w:type="dxa"/>
            <w:shd w:val="clear" w:color="auto" w:fill="F1F5F8"/>
            <w:tcMar>
              <w:top w:w="80" w:type="dxa"/>
              <w:left w:w="90" w:type="dxa"/>
              <w:bottom w:w="80" w:type="dxa"/>
              <w:right w:w="90" w:type="dxa"/>
            </w:tcMar>
          </w:tcPr>
          <w:p w14:paraId="2FF40CC4" w14:textId="77777777" w:rsidR="00C24ECC" w:rsidRDefault="00000000">
            <w:pPr>
              <w:spacing w:after="0" w:line="252" w:lineRule="auto"/>
              <w:jc w:val="left"/>
            </w:pPr>
            <w:r>
              <w:rPr>
                <w:sz w:val="15"/>
              </w:rPr>
              <w:t>1</w:t>
            </w:r>
          </w:p>
        </w:tc>
      </w:tr>
      <w:tr w:rsidR="00C24ECC" w14:paraId="3DF8413B" w14:textId="77777777">
        <w:trPr>
          <w:cantSplit/>
          <w:jc w:val="center"/>
        </w:trPr>
        <w:tc>
          <w:tcPr>
            <w:tcW w:w="2268" w:type="dxa"/>
            <w:tcMar>
              <w:top w:w="80" w:type="dxa"/>
              <w:left w:w="90" w:type="dxa"/>
              <w:bottom w:w="80" w:type="dxa"/>
              <w:right w:w="90" w:type="dxa"/>
            </w:tcMar>
          </w:tcPr>
          <w:p w14:paraId="057CD6DC" w14:textId="77777777" w:rsidR="00C24ECC" w:rsidRDefault="00000000">
            <w:pPr>
              <w:spacing w:after="0" w:line="252" w:lineRule="auto"/>
              <w:jc w:val="left"/>
            </w:pPr>
            <w:r>
              <w:rPr>
                <w:sz w:val="15"/>
              </w:rPr>
              <w:t>Local knowledge (15%)</w:t>
            </w:r>
          </w:p>
        </w:tc>
        <w:tc>
          <w:tcPr>
            <w:tcW w:w="1361" w:type="dxa"/>
            <w:tcMar>
              <w:top w:w="80" w:type="dxa"/>
              <w:left w:w="90" w:type="dxa"/>
              <w:bottom w:w="80" w:type="dxa"/>
              <w:right w:w="90" w:type="dxa"/>
            </w:tcMar>
          </w:tcPr>
          <w:p w14:paraId="214B7BFB" w14:textId="77777777" w:rsidR="00C24ECC" w:rsidRDefault="00000000">
            <w:pPr>
              <w:spacing w:after="0" w:line="252" w:lineRule="auto"/>
              <w:jc w:val="left"/>
            </w:pPr>
            <w:r>
              <w:rPr>
                <w:sz w:val="15"/>
              </w:rPr>
              <w:t>2</w:t>
            </w:r>
          </w:p>
        </w:tc>
        <w:tc>
          <w:tcPr>
            <w:tcW w:w="1361" w:type="dxa"/>
            <w:tcMar>
              <w:top w:w="80" w:type="dxa"/>
              <w:left w:w="90" w:type="dxa"/>
              <w:bottom w:w="80" w:type="dxa"/>
              <w:right w:w="90" w:type="dxa"/>
            </w:tcMar>
          </w:tcPr>
          <w:p w14:paraId="67E01FA7" w14:textId="77777777" w:rsidR="00C24ECC" w:rsidRDefault="00000000">
            <w:pPr>
              <w:spacing w:after="0" w:line="252" w:lineRule="auto"/>
              <w:jc w:val="left"/>
            </w:pPr>
            <w:r>
              <w:rPr>
                <w:sz w:val="15"/>
              </w:rPr>
              <w:t>3</w:t>
            </w:r>
          </w:p>
        </w:tc>
        <w:tc>
          <w:tcPr>
            <w:tcW w:w="1531" w:type="dxa"/>
            <w:tcMar>
              <w:top w:w="80" w:type="dxa"/>
              <w:left w:w="90" w:type="dxa"/>
              <w:bottom w:w="80" w:type="dxa"/>
              <w:right w:w="90" w:type="dxa"/>
            </w:tcMar>
          </w:tcPr>
          <w:p w14:paraId="1C2B30D9" w14:textId="77777777" w:rsidR="00C24ECC" w:rsidRDefault="00000000">
            <w:pPr>
              <w:spacing w:after="0" w:line="252" w:lineRule="auto"/>
              <w:jc w:val="left"/>
            </w:pPr>
            <w:r>
              <w:rPr>
                <w:sz w:val="15"/>
              </w:rPr>
              <w:t>5</w:t>
            </w:r>
          </w:p>
        </w:tc>
        <w:tc>
          <w:tcPr>
            <w:tcW w:w="2098" w:type="dxa"/>
            <w:tcMar>
              <w:top w:w="80" w:type="dxa"/>
              <w:left w:w="90" w:type="dxa"/>
              <w:bottom w:w="80" w:type="dxa"/>
              <w:right w:w="90" w:type="dxa"/>
            </w:tcMar>
          </w:tcPr>
          <w:p w14:paraId="3FFDACE1" w14:textId="77777777" w:rsidR="00C24ECC" w:rsidRDefault="00000000">
            <w:pPr>
              <w:spacing w:after="0" w:line="252" w:lineRule="auto"/>
              <w:jc w:val="left"/>
            </w:pPr>
            <w:r>
              <w:rPr>
                <w:sz w:val="15"/>
              </w:rPr>
              <w:t>5</w:t>
            </w:r>
          </w:p>
        </w:tc>
        <w:tc>
          <w:tcPr>
            <w:tcW w:w="1814" w:type="dxa"/>
            <w:tcMar>
              <w:top w:w="80" w:type="dxa"/>
              <w:left w:w="90" w:type="dxa"/>
              <w:bottom w:w="80" w:type="dxa"/>
              <w:right w:w="90" w:type="dxa"/>
            </w:tcMar>
          </w:tcPr>
          <w:p w14:paraId="01DE087C" w14:textId="77777777" w:rsidR="00C24ECC" w:rsidRDefault="00000000">
            <w:pPr>
              <w:spacing w:after="0" w:line="252" w:lineRule="auto"/>
              <w:jc w:val="left"/>
            </w:pPr>
            <w:r>
              <w:rPr>
                <w:sz w:val="15"/>
              </w:rPr>
              <w:t>2</w:t>
            </w:r>
          </w:p>
        </w:tc>
      </w:tr>
      <w:tr w:rsidR="00C24ECC" w14:paraId="7B3317D7" w14:textId="77777777">
        <w:trPr>
          <w:cantSplit/>
          <w:jc w:val="center"/>
        </w:trPr>
        <w:tc>
          <w:tcPr>
            <w:tcW w:w="2268" w:type="dxa"/>
            <w:shd w:val="clear" w:color="auto" w:fill="F1F5F8"/>
            <w:tcMar>
              <w:top w:w="80" w:type="dxa"/>
              <w:left w:w="90" w:type="dxa"/>
              <w:bottom w:w="80" w:type="dxa"/>
              <w:right w:w="90" w:type="dxa"/>
            </w:tcMar>
          </w:tcPr>
          <w:p w14:paraId="77EB5983" w14:textId="77777777" w:rsidR="00C24ECC" w:rsidRDefault="00000000">
            <w:pPr>
              <w:spacing w:after="0" w:line="252" w:lineRule="auto"/>
              <w:jc w:val="left"/>
            </w:pPr>
            <w:r>
              <w:rPr>
                <w:sz w:val="15"/>
              </w:rPr>
              <w:t>Speed and flexibility (15%)</w:t>
            </w:r>
          </w:p>
        </w:tc>
        <w:tc>
          <w:tcPr>
            <w:tcW w:w="1361" w:type="dxa"/>
            <w:shd w:val="clear" w:color="auto" w:fill="F1F5F8"/>
            <w:tcMar>
              <w:top w:w="80" w:type="dxa"/>
              <w:left w:w="90" w:type="dxa"/>
              <w:bottom w:w="80" w:type="dxa"/>
              <w:right w:w="90" w:type="dxa"/>
            </w:tcMar>
          </w:tcPr>
          <w:p w14:paraId="1AD5E8B5" w14:textId="77777777" w:rsidR="00C24ECC" w:rsidRDefault="00000000">
            <w:pPr>
              <w:spacing w:after="0" w:line="252" w:lineRule="auto"/>
              <w:jc w:val="left"/>
            </w:pPr>
            <w:r>
              <w:rPr>
                <w:sz w:val="15"/>
              </w:rPr>
              <w:t>4</w:t>
            </w:r>
          </w:p>
        </w:tc>
        <w:tc>
          <w:tcPr>
            <w:tcW w:w="1361" w:type="dxa"/>
            <w:shd w:val="clear" w:color="auto" w:fill="F1F5F8"/>
            <w:tcMar>
              <w:top w:w="80" w:type="dxa"/>
              <w:left w:w="90" w:type="dxa"/>
              <w:bottom w:w="80" w:type="dxa"/>
              <w:right w:w="90" w:type="dxa"/>
            </w:tcMar>
          </w:tcPr>
          <w:p w14:paraId="1B4D33CF" w14:textId="77777777" w:rsidR="00C24ECC" w:rsidRDefault="00000000">
            <w:pPr>
              <w:spacing w:after="0" w:line="252" w:lineRule="auto"/>
              <w:jc w:val="left"/>
            </w:pPr>
            <w:r>
              <w:rPr>
                <w:sz w:val="15"/>
              </w:rPr>
              <w:t>4</w:t>
            </w:r>
          </w:p>
        </w:tc>
        <w:tc>
          <w:tcPr>
            <w:tcW w:w="1531" w:type="dxa"/>
            <w:shd w:val="clear" w:color="auto" w:fill="F1F5F8"/>
            <w:tcMar>
              <w:top w:w="80" w:type="dxa"/>
              <w:left w:w="90" w:type="dxa"/>
              <w:bottom w:w="80" w:type="dxa"/>
              <w:right w:w="90" w:type="dxa"/>
            </w:tcMar>
          </w:tcPr>
          <w:p w14:paraId="7BC94DAF" w14:textId="77777777" w:rsidR="00C24ECC" w:rsidRDefault="00000000">
            <w:pPr>
              <w:spacing w:after="0" w:line="252" w:lineRule="auto"/>
              <w:jc w:val="left"/>
            </w:pPr>
            <w:r>
              <w:rPr>
                <w:sz w:val="15"/>
              </w:rPr>
              <w:t>3</w:t>
            </w:r>
          </w:p>
        </w:tc>
        <w:tc>
          <w:tcPr>
            <w:tcW w:w="2098" w:type="dxa"/>
            <w:shd w:val="clear" w:color="auto" w:fill="F1F5F8"/>
            <w:tcMar>
              <w:top w:w="80" w:type="dxa"/>
              <w:left w:w="90" w:type="dxa"/>
              <w:bottom w:w="80" w:type="dxa"/>
              <w:right w:w="90" w:type="dxa"/>
            </w:tcMar>
          </w:tcPr>
          <w:p w14:paraId="74B62955" w14:textId="77777777" w:rsidR="00C24ECC" w:rsidRDefault="00000000">
            <w:pPr>
              <w:spacing w:after="0" w:line="252" w:lineRule="auto"/>
              <w:jc w:val="left"/>
            </w:pPr>
            <w:r>
              <w:rPr>
                <w:sz w:val="15"/>
              </w:rPr>
              <w:t>4</w:t>
            </w:r>
          </w:p>
        </w:tc>
        <w:tc>
          <w:tcPr>
            <w:tcW w:w="1814" w:type="dxa"/>
            <w:shd w:val="clear" w:color="auto" w:fill="F1F5F8"/>
            <w:tcMar>
              <w:top w:w="80" w:type="dxa"/>
              <w:left w:w="90" w:type="dxa"/>
              <w:bottom w:w="80" w:type="dxa"/>
              <w:right w:w="90" w:type="dxa"/>
            </w:tcMar>
          </w:tcPr>
          <w:p w14:paraId="0B5C9E57" w14:textId="77777777" w:rsidR="00C24ECC" w:rsidRDefault="00000000">
            <w:pPr>
              <w:spacing w:after="0" w:line="252" w:lineRule="auto"/>
              <w:jc w:val="left"/>
            </w:pPr>
            <w:r>
              <w:rPr>
                <w:sz w:val="15"/>
              </w:rPr>
              <w:t>1</w:t>
            </w:r>
          </w:p>
        </w:tc>
      </w:tr>
      <w:tr w:rsidR="00C24ECC" w14:paraId="2FE70E09" w14:textId="77777777">
        <w:trPr>
          <w:cantSplit/>
          <w:jc w:val="center"/>
        </w:trPr>
        <w:tc>
          <w:tcPr>
            <w:tcW w:w="2268" w:type="dxa"/>
            <w:tcMar>
              <w:top w:w="80" w:type="dxa"/>
              <w:left w:w="90" w:type="dxa"/>
              <w:bottom w:w="80" w:type="dxa"/>
              <w:right w:w="90" w:type="dxa"/>
            </w:tcMar>
          </w:tcPr>
          <w:p w14:paraId="722681B2" w14:textId="77777777" w:rsidR="00C24ECC" w:rsidRDefault="00000000">
            <w:pPr>
              <w:spacing w:after="0" w:line="252" w:lineRule="auto"/>
              <w:jc w:val="left"/>
            </w:pPr>
            <w:r>
              <w:rPr>
                <w:sz w:val="15"/>
              </w:rPr>
              <w:t>Tariff/localisation potential (15%)</w:t>
            </w:r>
          </w:p>
        </w:tc>
        <w:tc>
          <w:tcPr>
            <w:tcW w:w="1361" w:type="dxa"/>
            <w:tcMar>
              <w:top w:w="80" w:type="dxa"/>
              <w:left w:w="90" w:type="dxa"/>
              <w:bottom w:w="80" w:type="dxa"/>
              <w:right w:w="90" w:type="dxa"/>
            </w:tcMar>
          </w:tcPr>
          <w:p w14:paraId="4A4A8DC3" w14:textId="77777777" w:rsidR="00C24ECC" w:rsidRDefault="00000000">
            <w:pPr>
              <w:spacing w:after="0" w:line="252" w:lineRule="auto"/>
              <w:jc w:val="left"/>
            </w:pPr>
            <w:r>
              <w:rPr>
                <w:sz w:val="15"/>
              </w:rPr>
              <w:t>1</w:t>
            </w:r>
          </w:p>
        </w:tc>
        <w:tc>
          <w:tcPr>
            <w:tcW w:w="1361" w:type="dxa"/>
            <w:tcMar>
              <w:top w:w="80" w:type="dxa"/>
              <w:left w:w="90" w:type="dxa"/>
              <w:bottom w:w="80" w:type="dxa"/>
              <w:right w:w="90" w:type="dxa"/>
            </w:tcMar>
          </w:tcPr>
          <w:p w14:paraId="292D54AC" w14:textId="77777777" w:rsidR="00C24ECC" w:rsidRDefault="00000000">
            <w:pPr>
              <w:spacing w:after="0" w:line="252" w:lineRule="auto"/>
              <w:jc w:val="left"/>
            </w:pPr>
            <w:r>
              <w:rPr>
                <w:sz w:val="15"/>
              </w:rPr>
              <w:t>2</w:t>
            </w:r>
          </w:p>
        </w:tc>
        <w:tc>
          <w:tcPr>
            <w:tcW w:w="1531" w:type="dxa"/>
            <w:tcMar>
              <w:top w:w="80" w:type="dxa"/>
              <w:left w:w="90" w:type="dxa"/>
              <w:bottom w:w="80" w:type="dxa"/>
              <w:right w:w="90" w:type="dxa"/>
            </w:tcMar>
          </w:tcPr>
          <w:p w14:paraId="4B16145D" w14:textId="77777777" w:rsidR="00C24ECC" w:rsidRDefault="00000000">
            <w:pPr>
              <w:spacing w:after="0" w:line="252" w:lineRule="auto"/>
              <w:jc w:val="left"/>
            </w:pPr>
            <w:r>
              <w:rPr>
                <w:sz w:val="15"/>
              </w:rPr>
              <w:t>4</w:t>
            </w:r>
          </w:p>
        </w:tc>
        <w:tc>
          <w:tcPr>
            <w:tcW w:w="2098" w:type="dxa"/>
            <w:tcMar>
              <w:top w:w="80" w:type="dxa"/>
              <w:left w:w="90" w:type="dxa"/>
              <w:bottom w:w="80" w:type="dxa"/>
              <w:right w:w="90" w:type="dxa"/>
            </w:tcMar>
          </w:tcPr>
          <w:p w14:paraId="2918115F" w14:textId="77777777" w:rsidR="00C24ECC" w:rsidRDefault="00000000">
            <w:pPr>
              <w:spacing w:after="0" w:line="252" w:lineRule="auto"/>
              <w:jc w:val="left"/>
            </w:pPr>
            <w:r>
              <w:rPr>
                <w:sz w:val="15"/>
              </w:rPr>
              <w:t>4</w:t>
            </w:r>
          </w:p>
        </w:tc>
        <w:tc>
          <w:tcPr>
            <w:tcW w:w="1814" w:type="dxa"/>
            <w:tcMar>
              <w:top w:w="80" w:type="dxa"/>
              <w:left w:w="90" w:type="dxa"/>
              <w:bottom w:w="80" w:type="dxa"/>
              <w:right w:w="90" w:type="dxa"/>
            </w:tcMar>
          </w:tcPr>
          <w:p w14:paraId="1B5F3E55" w14:textId="77777777" w:rsidR="00C24ECC" w:rsidRDefault="00000000">
            <w:pPr>
              <w:spacing w:after="0" w:line="252" w:lineRule="auto"/>
              <w:jc w:val="left"/>
            </w:pPr>
            <w:r>
              <w:rPr>
                <w:sz w:val="15"/>
              </w:rPr>
              <w:t>4</w:t>
            </w:r>
          </w:p>
        </w:tc>
      </w:tr>
      <w:tr w:rsidR="00C24ECC" w14:paraId="75C1EB92" w14:textId="77777777">
        <w:trPr>
          <w:cantSplit/>
          <w:jc w:val="center"/>
        </w:trPr>
        <w:tc>
          <w:tcPr>
            <w:tcW w:w="2268" w:type="dxa"/>
            <w:shd w:val="clear" w:color="auto" w:fill="F1F5F8"/>
            <w:tcMar>
              <w:top w:w="80" w:type="dxa"/>
              <w:left w:w="90" w:type="dxa"/>
              <w:bottom w:w="80" w:type="dxa"/>
              <w:right w:w="90" w:type="dxa"/>
            </w:tcMar>
          </w:tcPr>
          <w:p w14:paraId="4E1229DD" w14:textId="77777777" w:rsidR="00C24ECC" w:rsidRDefault="00000000">
            <w:pPr>
              <w:spacing w:after="0" w:line="252" w:lineRule="auto"/>
              <w:jc w:val="left"/>
            </w:pPr>
            <w:r>
              <w:rPr>
                <w:sz w:val="15"/>
              </w:rPr>
              <w:t>Customer-experience capability (10%)</w:t>
            </w:r>
          </w:p>
        </w:tc>
        <w:tc>
          <w:tcPr>
            <w:tcW w:w="1361" w:type="dxa"/>
            <w:shd w:val="clear" w:color="auto" w:fill="F1F5F8"/>
            <w:tcMar>
              <w:top w:w="80" w:type="dxa"/>
              <w:left w:w="90" w:type="dxa"/>
              <w:bottom w:w="80" w:type="dxa"/>
              <w:right w:w="90" w:type="dxa"/>
            </w:tcMar>
          </w:tcPr>
          <w:p w14:paraId="29DCDEC6" w14:textId="77777777" w:rsidR="00C24ECC" w:rsidRDefault="00000000">
            <w:pPr>
              <w:spacing w:after="0" w:line="252" w:lineRule="auto"/>
              <w:jc w:val="left"/>
            </w:pPr>
            <w:r>
              <w:rPr>
                <w:sz w:val="15"/>
              </w:rPr>
              <w:t>1</w:t>
            </w:r>
          </w:p>
        </w:tc>
        <w:tc>
          <w:tcPr>
            <w:tcW w:w="1361" w:type="dxa"/>
            <w:shd w:val="clear" w:color="auto" w:fill="F1F5F8"/>
            <w:tcMar>
              <w:top w:w="80" w:type="dxa"/>
              <w:left w:w="90" w:type="dxa"/>
              <w:bottom w:w="80" w:type="dxa"/>
              <w:right w:w="90" w:type="dxa"/>
            </w:tcMar>
          </w:tcPr>
          <w:p w14:paraId="195B2374" w14:textId="77777777" w:rsidR="00C24ECC" w:rsidRDefault="00000000">
            <w:pPr>
              <w:spacing w:after="0" w:line="252" w:lineRule="auto"/>
              <w:jc w:val="left"/>
            </w:pPr>
            <w:r>
              <w:rPr>
                <w:sz w:val="15"/>
              </w:rPr>
              <w:t>2</w:t>
            </w:r>
          </w:p>
        </w:tc>
        <w:tc>
          <w:tcPr>
            <w:tcW w:w="1531" w:type="dxa"/>
            <w:shd w:val="clear" w:color="auto" w:fill="F1F5F8"/>
            <w:tcMar>
              <w:top w:w="80" w:type="dxa"/>
              <w:left w:w="90" w:type="dxa"/>
              <w:bottom w:w="80" w:type="dxa"/>
              <w:right w:w="90" w:type="dxa"/>
            </w:tcMar>
          </w:tcPr>
          <w:p w14:paraId="586BE498" w14:textId="77777777" w:rsidR="00C24ECC" w:rsidRDefault="00000000">
            <w:pPr>
              <w:spacing w:after="0" w:line="252" w:lineRule="auto"/>
              <w:jc w:val="left"/>
            </w:pPr>
            <w:r>
              <w:rPr>
                <w:sz w:val="15"/>
              </w:rPr>
              <w:t>4</w:t>
            </w:r>
          </w:p>
        </w:tc>
        <w:tc>
          <w:tcPr>
            <w:tcW w:w="2098" w:type="dxa"/>
            <w:shd w:val="clear" w:color="auto" w:fill="F1F5F8"/>
            <w:tcMar>
              <w:top w:w="80" w:type="dxa"/>
              <w:left w:w="90" w:type="dxa"/>
              <w:bottom w:w="80" w:type="dxa"/>
              <w:right w:w="90" w:type="dxa"/>
            </w:tcMar>
          </w:tcPr>
          <w:p w14:paraId="3E2D71B0" w14:textId="77777777" w:rsidR="00C24ECC" w:rsidRDefault="00000000">
            <w:pPr>
              <w:spacing w:after="0" w:line="252" w:lineRule="auto"/>
              <w:jc w:val="left"/>
            </w:pPr>
            <w:r>
              <w:rPr>
                <w:sz w:val="15"/>
              </w:rPr>
              <w:t>4</w:t>
            </w:r>
          </w:p>
        </w:tc>
        <w:tc>
          <w:tcPr>
            <w:tcW w:w="1814" w:type="dxa"/>
            <w:shd w:val="clear" w:color="auto" w:fill="F1F5F8"/>
            <w:tcMar>
              <w:top w:w="80" w:type="dxa"/>
              <w:left w:w="90" w:type="dxa"/>
              <w:bottom w:w="80" w:type="dxa"/>
              <w:right w:w="90" w:type="dxa"/>
            </w:tcMar>
          </w:tcPr>
          <w:p w14:paraId="706F37F0" w14:textId="77777777" w:rsidR="00C24ECC" w:rsidRDefault="00000000">
            <w:pPr>
              <w:spacing w:after="0" w:line="252" w:lineRule="auto"/>
              <w:jc w:val="left"/>
            </w:pPr>
            <w:r>
              <w:rPr>
                <w:sz w:val="15"/>
              </w:rPr>
              <w:t>5</w:t>
            </w:r>
          </w:p>
        </w:tc>
      </w:tr>
      <w:tr w:rsidR="00C24ECC" w14:paraId="1AC02068" w14:textId="77777777">
        <w:trPr>
          <w:cantSplit/>
          <w:jc w:val="center"/>
        </w:trPr>
        <w:tc>
          <w:tcPr>
            <w:tcW w:w="2268" w:type="dxa"/>
            <w:tcMar>
              <w:top w:w="80" w:type="dxa"/>
              <w:left w:w="90" w:type="dxa"/>
              <w:bottom w:w="80" w:type="dxa"/>
              <w:right w:w="90" w:type="dxa"/>
            </w:tcMar>
          </w:tcPr>
          <w:p w14:paraId="2B7723C5" w14:textId="77777777" w:rsidR="00C24ECC" w:rsidRDefault="00000000">
            <w:pPr>
              <w:spacing w:after="0" w:line="252" w:lineRule="auto"/>
              <w:jc w:val="left"/>
            </w:pPr>
            <w:r>
              <w:rPr>
                <w:sz w:val="15"/>
              </w:rPr>
              <w:t>Political and operational risk sharing (10%)</w:t>
            </w:r>
          </w:p>
        </w:tc>
        <w:tc>
          <w:tcPr>
            <w:tcW w:w="1361" w:type="dxa"/>
            <w:tcMar>
              <w:top w:w="80" w:type="dxa"/>
              <w:left w:w="90" w:type="dxa"/>
              <w:bottom w:w="80" w:type="dxa"/>
              <w:right w:w="90" w:type="dxa"/>
            </w:tcMar>
          </w:tcPr>
          <w:p w14:paraId="14A40D6B" w14:textId="77777777" w:rsidR="00C24ECC" w:rsidRDefault="00000000">
            <w:pPr>
              <w:spacing w:after="0" w:line="252" w:lineRule="auto"/>
              <w:jc w:val="left"/>
            </w:pPr>
            <w:r>
              <w:rPr>
                <w:sz w:val="15"/>
              </w:rPr>
              <w:t>4</w:t>
            </w:r>
          </w:p>
        </w:tc>
        <w:tc>
          <w:tcPr>
            <w:tcW w:w="1361" w:type="dxa"/>
            <w:tcMar>
              <w:top w:w="80" w:type="dxa"/>
              <w:left w:w="90" w:type="dxa"/>
              <w:bottom w:w="80" w:type="dxa"/>
              <w:right w:w="90" w:type="dxa"/>
            </w:tcMar>
          </w:tcPr>
          <w:p w14:paraId="74A374F8" w14:textId="77777777" w:rsidR="00C24ECC" w:rsidRDefault="00000000">
            <w:pPr>
              <w:spacing w:after="0" w:line="252" w:lineRule="auto"/>
              <w:jc w:val="left"/>
            </w:pPr>
            <w:r>
              <w:rPr>
                <w:sz w:val="15"/>
              </w:rPr>
              <w:t>4</w:t>
            </w:r>
          </w:p>
        </w:tc>
        <w:tc>
          <w:tcPr>
            <w:tcW w:w="1531" w:type="dxa"/>
            <w:tcMar>
              <w:top w:w="80" w:type="dxa"/>
              <w:left w:w="90" w:type="dxa"/>
              <w:bottom w:w="80" w:type="dxa"/>
              <w:right w:w="90" w:type="dxa"/>
            </w:tcMar>
          </w:tcPr>
          <w:p w14:paraId="3DCB49A7" w14:textId="77777777" w:rsidR="00C24ECC" w:rsidRDefault="00000000">
            <w:pPr>
              <w:spacing w:after="0" w:line="252" w:lineRule="auto"/>
              <w:jc w:val="left"/>
            </w:pPr>
            <w:r>
              <w:rPr>
                <w:sz w:val="15"/>
              </w:rPr>
              <w:t>4</w:t>
            </w:r>
          </w:p>
        </w:tc>
        <w:tc>
          <w:tcPr>
            <w:tcW w:w="2098" w:type="dxa"/>
            <w:tcMar>
              <w:top w:w="80" w:type="dxa"/>
              <w:left w:w="90" w:type="dxa"/>
              <w:bottom w:w="80" w:type="dxa"/>
              <w:right w:w="90" w:type="dxa"/>
            </w:tcMar>
          </w:tcPr>
          <w:p w14:paraId="3AD55360" w14:textId="77777777" w:rsidR="00C24ECC" w:rsidRDefault="00000000">
            <w:pPr>
              <w:spacing w:after="0" w:line="252" w:lineRule="auto"/>
              <w:jc w:val="left"/>
            </w:pPr>
            <w:r>
              <w:rPr>
                <w:sz w:val="15"/>
              </w:rPr>
              <w:t>5</w:t>
            </w:r>
          </w:p>
        </w:tc>
        <w:tc>
          <w:tcPr>
            <w:tcW w:w="1814" w:type="dxa"/>
            <w:tcMar>
              <w:top w:w="80" w:type="dxa"/>
              <w:left w:w="90" w:type="dxa"/>
              <w:bottom w:w="80" w:type="dxa"/>
              <w:right w:w="90" w:type="dxa"/>
            </w:tcMar>
          </w:tcPr>
          <w:p w14:paraId="24EC5D32" w14:textId="77777777" w:rsidR="00C24ECC" w:rsidRDefault="00000000">
            <w:pPr>
              <w:spacing w:after="0" w:line="252" w:lineRule="auto"/>
              <w:jc w:val="left"/>
            </w:pPr>
            <w:r>
              <w:rPr>
                <w:sz w:val="15"/>
              </w:rPr>
              <w:t>1</w:t>
            </w:r>
          </w:p>
        </w:tc>
      </w:tr>
      <w:tr w:rsidR="00C24ECC" w14:paraId="26E4CA1B" w14:textId="77777777">
        <w:trPr>
          <w:cantSplit/>
          <w:jc w:val="center"/>
        </w:trPr>
        <w:tc>
          <w:tcPr>
            <w:tcW w:w="2268" w:type="dxa"/>
            <w:shd w:val="clear" w:color="auto" w:fill="F1F5F8"/>
            <w:tcMar>
              <w:top w:w="80" w:type="dxa"/>
              <w:left w:w="90" w:type="dxa"/>
              <w:bottom w:w="80" w:type="dxa"/>
              <w:right w:w="90" w:type="dxa"/>
            </w:tcMar>
          </w:tcPr>
          <w:p w14:paraId="57A7F612" w14:textId="77777777" w:rsidR="00C24ECC" w:rsidRDefault="00000000">
            <w:pPr>
              <w:spacing w:after="0" w:line="252" w:lineRule="auto"/>
              <w:jc w:val="left"/>
            </w:pPr>
            <w:r>
              <w:rPr>
                <w:sz w:val="15"/>
              </w:rPr>
              <w:t>Indicative weighted score /5</w:t>
            </w:r>
          </w:p>
        </w:tc>
        <w:tc>
          <w:tcPr>
            <w:tcW w:w="1361" w:type="dxa"/>
            <w:shd w:val="clear" w:color="auto" w:fill="F1F5F8"/>
            <w:tcMar>
              <w:top w:w="80" w:type="dxa"/>
              <w:left w:w="90" w:type="dxa"/>
              <w:bottom w:w="80" w:type="dxa"/>
              <w:right w:w="90" w:type="dxa"/>
            </w:tcMar>
          </w:tcPr>
          <w:p w14:paraId="6197E488" w14:textId="77777777" w:rsidR="00C24ECC" w:rsidRDefault="00000000">
            <w:pPr>
              <w:spacing w:after="0" w:line="252" w:lineRule="auto"/>
              <w:jc w:val="left"/>
            </w:pPr>
            <w:r>
              <w:rPr>
                <w:sz w:val="15"/>
              </w:rPr>
              <w:t>2.25</w:t>
            </w:r>
          </w:p>
        </w:tc>
        <w:tc>
          <w:tcPr>
            <w:tcW w:w="1361" w:type="dxa"/>
            <w:shd w:val="clear" w:color="auto" w:fill="F1F5F8"/>
            <w:tcMar>
              <w:top w:w="80" w:type="dxa"/>
              <w:left w:w="90" w:type="dxa"/>
              <w:bottom w:w="80" w:type="dxa"/>
              <w:right w:w="90" w:type="dxa"/>
            </w:tcMar>
          </w:tcPr>
          <w:p w14:paraId="1B272700" w14:textId="77777777" w:rsidR="00C24ECC" w:rsidRDefault="00000000">
            <w:pPr>
              <w:spacing w:after="0" w:line="252" w:lineRule="auto"/>
              <w:jc w:val="left"/>
            </w:pPr>
            <w:r>
              <w:rPr>
                <w:sz w:val="15"/>
              </w:rPr>
              <w:t>2.35</w:t>
            </w:r>
          </w:p>
        </w:tc>
        <w:tc>
          <w:tcPr>
            <w:tcW w:w="1531" w:type="dxa"/>
            <w:shd w:val="clear" w:color="auto" w:fill="F1F5F8"/>
            <w:tcMar>
              <w:top w:w="80" w:type="dxa"/>
              <w:left w:w="90" w:type="dxa"/>
              <w:bottom w:w="80" w:type="dxa"/>
              <w:right w:w="90" w:type="dxa"/>
            </w:tcMar>
          </w:tcPr>
          <w:p w14:paraId="480FEC90" w14:textId="77777777" w:rsidR="00C24ECC" w:rsidRDefault="00000000">
            <w:pPr>
              <w:spacing w:after="0" w:line="252" w:lineRule="auto"/>
              <w:jc w:val="left"/>
            </w:pPr>
            <w:r>
              <w:rPr>
                <w:sz w:val="15"/>
              </w:rPr>
              <w:t>3.55</w:t>
            </w:r>
          </w:p>
        </w:tc>
        <w:tc>
          <w:tcPr>
            <w:tcW w:w="2098" w:type="dxa"/>
            <w:shd w:val="clear" w:color="auto" w:fill="F1F5F8"/>
            <w:tcMar>
              <w:top w:w="80" w:type="dxa"/>
              <w:left w:w="90" w:type="dxa"/>
              <w:bottom w:w="80" w:type="dxa"/>
              <w:right w:w="90" w:type="dxa"/>
            </w:tcMar>
          </w:tcPr>
          <w:p w14:paraId="25F327AE" w14:textId="77777777" w:rsidR="00C24ECC" w:rsidRDefault="00000000">
            <w:pPr>
              <w:spacing w:after="0" w:line="252" w:lineRule="auto"/>
              <w:jc w:val="left"/>
            </w:pPr>
            <w:r>
              <w:rPr>
                <w:sz w:val="15"/>
              </w:rPr>
              <w:t>4.25</w:t>
            </w:r>
          </w:p>
        </w:tc>
        <w:tc>
          <w:tcPr>
            <w:tcW w:w="1814" w:type="dxa"/>
            <w:shd w:val="clear" w:color="auto" w:fill="F1F5F8"/>
            <w:tcMar>
              <w:top w:w="80" w:type="dxa"/>
              <w:left w:w="90" w:type="dxa"/>
              <w:bottom w:w="80" w:type="dxa"/>
              <w:right w:w="90" w:type="dxa"/>
            </w:tcMar>
          </w:tcPr>
          <w:p w14:paraId="7C46101B" w14:textId="77777777" w:rsidR="00C24ECC" w:rsidRDefault="00000000">
            <w:pPr>
              <w:spacing w:after="0" w:line="252" w:lineRule="auto"/>
              <w:jc w:val="left"/>
            </w:pPr>
            <w:r>
              <w:rPr>
                <w:sz w:val="15"/>
              </w:rPr>
              <w:t>2.90</w:t>
            </w:r>
          </w:p>
        </w:tc>
      </w:tr>
    </w:tbl>
    <w:p w14:paraId="322A2FAC" w14:textId="77777777" w:rsidR="00C24ECC" w:rsidRDefault="00C24ECC"/>
    <w:p w14:paraId="1773A65D" w14:textId="77777777" w:rsidR="00C24ECC" w:rsidRDefault="00000000">
      <w:r>
        <w:t>The weighted scores are judgemental rather than empirical. They make assumptions transparent and allow sensitivity testing when control, capital, localisation or risk receives a different priority. Under the stated criteria, staged franchising provides the most balanced response to Kenya’s opportunity and uncertainty.</w:t>
      </w:r>
    </w:p>
    <w:p w14:paraId="4AC1FF32" w14:textId="77777777" w:rsidR="00C24ECC" w:rsidRDefault="00000000">
      <w:pPr>
        <w:jc w:val="center"/>
      </w:pPr>
      <w:r>
        <w:rPr>
          <w:noProof/>
        </w:rPr>
        <w:drawing>
          <wp:inline distT="0" distB="0" distL="0" distR="0" wp14:anchorId="39C63A09" wp14:editId="04AD36E0">
            <wp:extent cx="5760720" cy="334070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entry_mode.png"/>
                    <pic:cNvPicPr/>
                  </pic:nvPicPr>
                  <pic:blipFill>
                    <a:blip r:embed="rId16"/>
                    <a:stretch>
                      <a:fillRect/>
                    </a:stretch>
                  </pic:blipFill>
                  <pic:spPr>
                    <a:xfrm>
                      <a:off x="0" y="0"/>
                      <a:ext cx="5760720" cy="3340708"/>
                    </a:xfrm>
                    <a:prstGeom prst="rect">
                      <a:avLst/>
                    </a:prstGeom>
                  </pic:spPr>
                </pic:pic>
              </a:graphicData>
            </a:graphic>
          </wp:inline>
        </w:drawing>
      </w:r>
    </w:p>
    <w:p w14:paraId="0F6810F6" w14:textId="77777777" w:rsidR="00C24ECC" w:rsidRDefault="00000000">
      <w:pPr>
        <w:pStyle w:val="CaptionText"/>
        <w:jc w:val="center"/>
      </w:pPr>
      <w:r>
        <w:rPr>
          <w:b/>
        </w:rPr>
        <w:t>Figure 6. Indicative weighted entry-mode assessment for IKEA in Kenya.</w:t>
      </w:r>
    </w:p>
    <w:p w14:paraId="265F6125" w14:textId="77777777" w:rsidR="00C24ECC" w:rsidRDefault="00000000">
      <w:pPr>
        <w:pStyle w:val="SourceText"/>
        <w:jc w:val="center"/>
      </w:pPr>
      <w:r>
        <w:t>Source: Author-developed assessment based on the evidence in this report. Scores are judgemental and should be sensitivity-tested.</w:t>
      </w:r>
    </w:p>
    <w:p w14:paraId="341E8FA0" w14:textId="77777777" w:rsidR="00C24ECC" w:rsidRDefault="00000000">
      <w:pPr>
        <w:pStyle w:val="Heading2"/>
      </w:pPr>
      <w:r>
        <w:lastRenderedPageBreak/>
        <w:t>5.3 Recommended entry design and implementation</w:t>
      </w:r>
    </w:p>
    <w:p w14:paraId="76483936" w14:textId="2CC40B8B" w:rsidR="00967FFD" w:rsidRDefault="00967FFD" w:rsidP="00967FFD">
      <w:r>
        <w:t xml:space="preserve">The recommended strategy is </w:t>
      </w:r>
      <w:proofErr w:type="gramStart"/>
      <w:r>
        <w:t>conditional ,</w:t>
      </w:r>
      <w:proofErr w:type="gramEnd"/>
      <w:r>
        <w:t xml:space="preserve"> and staged. Gate 0 should test Nairobi demand, representative product baskets, binding customs classifications, freight and delivery lanes, site options, and the franchisee’s financial, integrity and operational </w:t>
      </w:r>
      <w:proofErr w:type="gramStart"/>
      <w:r>
        <w:t>capability ,</w:t>
      </w:r>
      <w:proofErr w:type="gramEnd"/>
      <w:r>
        <w:t xml:space="preserve"> sort of. Entry should stop if the core assortment can’t hit viable delivered prices or the partner cannot show governance, logistics and digital competence in a practical way.</w:t>
      </w:r>
    </w:p>
    <w:p w14:paraId="4BC7B69A" w14:textId="77777777" w:rsidR="00967FFD" w:rsidRDefault="00967FFD" w:rsidP="00967FFD">
      <w:r>
        <w:t xml:space="preserve">Phase 1 should blend a narrow local e-commerce range with a Nairobi plan-and-order studio, plus collection </w:t>
      </w:r>
      <w:proofErr w:type="gramStart"/>
      <w:r>
        <w:t>points ,</w:t>
      </w:r>
      <w:proofErr w:type="gramEnd"/>
      <w:r>
        <w:t xml:space="preserve"> customer care, delivery and optional assembly. High-</w:t>
      </w:r>
      <w:proofErr w:type="gramStart"/>
      <w:r>
        <w:t>demand ,</w:t>
      </w:r>
      <w:proofErr w:type="gramEnd"/>
      <w:r>
        <w:t xml:space="preserve"> space-saving and high value density products should be </w:t>
      </w:r>
      <w:proofErr w:type="spellStart"/>
      <w:r>
        <w:t>prioritised</w:t>
      </w:r>
      <w:proofErr w:type="spellEnd"/>
      <w:r>
        <w:t xml:space="preserve">. At least two seasonal cycles should be used to measure conversion, basket size, planning demand, damage, returns, delivery reliability, complaints and tariff adjusted margin before any big property </w:t>
      </w:r>
      <w:proofErr w:type="gramStart"/>
      <w:r>
        <w:t>commitment ,</w:t>
      </w:r>
      <w:proofErr w:type="gramEnd"/>
      <w:r>
        <w:t xml:space="preserve"> honestly.</w:t>
      </w:r>
    </w:p>
    <w:p w14:paraId="35ACA485" w14:textId="25B5066B" w:rsidR="00C24ECC" w:rsidRDefault="00967FFD" w:rsidP="00967FFD">
      <w:r>
        <w:t xml:space="preserve">Phase 2 should open a medium-format Nairobi store only after repeat demand and viable unit economics are demonstrated. Room inspiration, planning and services should be put forward, supported by central warehousing and </w:t>
      </w:r>
      <w:proofErr w:type="gramStart"/>
      <w:r>
        <w:t>collection ,</w:t>
      </w:r>
      <w:proofErr w:type="gramEnd"/>
      <w:r>
        <w:t xml:space="preserve"> because that helps. Phase 3 should consider selective Kenyan or EAC sourcing or assembly only where suppliers meet IKEA’s cost, quality, sustainability and volume requirements, thereby reducing freight exposure and improving repair capability without symbolic </w:t>
      </w:r>
      <w:proofErr w:type="spellStart"/>
      <w:proofErr w:type="gramStart"/>
      <w:r>
        <w:t>localisation</w:t>
      </w:r>
      <w:proofErr w:type="spellEnd"/>
      <w:r>
        <w:t xml:space="preserve"> ,</w:t>
      </w:r>
      <w:proofErr w:type="gramEnd"/>
      <w:r>
        <w:t xml:space="preserve"> at all.</w:t>
      </w:r>
    </w:p>
    <w:p w14:paraId="3B30489A" w14:textId="77777777" w:rsidR="00C24ECC" w:rsidRDefault="00000000">
      <w:pPr>
        <w:jc w:val="center"/>
      </w:pPr>
      <w:r>
        <w:rPr>
          <w:noProof/>
        </w:rPr>
        <w:drawing>
          <wp:inline distT="0" distB="0" distL="0" distR="0" wp14:anchorId="041EED6B" wp14:editId="3186E4A2">
            <wp:extent cx="5760720" cy="24231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pathway.png"/>
                    <pic:cNvPicPr/>
                  </pic:nvPicPr>
                  <pic:blipFill>
                    <a:blip r:embed="rId17"/>
                    <a:stretch>
                      <a:fillRect/>
                    </a:stretch>
                  </pic:blipFill>
                  <pic:spPr>
                    <a:xfrm>
                      <a:off x="0" y="0"/>
                      <a:ext cx="5760720" cy="2423160"/>
                    </a:xfrm>
                    <a:prstGeom prst="rect">
                      <a:avLst/>
                    </a:prstGeom>
                  </pic:spPr>
                </pic:pic>
              </a:graphicData>
            </a:graphic>
          </wp:inline>
        </w:drawing>
      </w:r>
    </w:p>
    <w:p w14:paraId="465DFDF5" w14:textId="77777777" w:rsidR="00C24ECC" w:rsidRDefault="00000000">
      <w:pPr>
        <w:pStyle w:val="CaptionText"/>
        <w:jc w:val="center"/>
      </w:pPr>
      <w:r>
        <w:rPr>
          <w:b/>
        </w:rPr>
        <w:t>Figure 7. Proposed staged market-entry pathway.</w:t>
      </w:r>
    </w:p>
    <w:p w14:paraId="1EE47AD2" w14:textId="77777777" w:rsidR="00C24ECC" w:rsidRDefault="00000000">
      <w:pPr>
        <w:pStyle w:val="SourceText"/>
        <w:jc w:val="center"/>
      </w:pPr>
      <w:r>
        <w:t>Source: Author-developed implementation model based on real-options logic and IKEA’s multi-format expansion practices.</w:t>
      </w:r>
    </w:p>
    <w:p w14:paraId="3E488376" w14:textId="77777777" w:rsidR="00C24ECC" w:rsidRDefault="00000000">
      <w:pPr>
        <w:pStyle w:val="CaptionText"/>
      </w:pPr>
      <w:r>
        <w:t>Table 7. Staged entry plan and progression evidence. Source: Author synthesis.</w:t>
      </w:r>
    </w:p>
    <w:tbl>
      <w:tblPr>
        <w:tblStyle w:val="TableGrid"/>
        <w:tblW w:w="0" w:type="auto"/>
        <w:jc w:val="center"/>
        <w:tblLook w:val="04A0" w:firstRow="1" w:lastRow="0" w:firstColumn="1" w:lastColumn="0" w:noHBand="0" w:noVBand="1"/>
      </w:tblPr>
      <w:tblGrid>
        <w:gridCol w:w="1631"/>
        <w:gridCol w:w="3773"/>
        <w:gridCol w:w="3997"/>
      </w:tblGrid>
      <w:tr w:rsidR="00C24ECC" w14:paraId="165FA7A1" w14:textId="77777777">
        <w:trPr>
          <w:cantSplit/>
          <w:tblHeader/>
          <w:jc w:val="center"/>
        </w:trPr>
        <w:tc>
          <w:tcPr>
            <w:tcW w:w="1701" w:type="dxa"/>
            <w:shd w:val="clear" w:color="auto" w:fill="0058A3"/>
            <w:tcMar>
              <w:top w:w="80" w:type="dxa"/>
              <w:left w:w="90" w:type="dxa"/>
              <w:bottom w:w="80" w:type="dxa"/>
              <w:right w:w="90" w:type="dxa"/>
            </w:tcMar>
            <w:vAlign w:val="center"/>
          </w:tcPr>
          <w:p w14:paraId="7EE8100B" w14:textId="77777777" w:rsidR="00C24ECC" w:rsidRDefault="00000000">
            <w:pPr>
              <w:jc w:val="center"/>
            </w:pPr>
            <w:r>
              <w:rPr>
                <w:b/>
                <w:color w:val="FFFFFF"/>
                <w:sz w:val="16"/>
              </w:rPr>
              <w:t>Stage</w:t>
            </w:r>
          </w:p>
        </w:tc>
        <w:tc>
          <w:tcPr>
            <w:tcW w:w="3969" w:type="dxa"/>
            <w:shd w:val="clear" w:color="auto" w:fill="0058A3"/>
            <w:tcMar>
              <w:top w:w="80" w:type="dxa"/>
              <w:left w:w="90" w:type="dxa"/>
              <w:bottom w:w="80" w:type="dxa"/>
              <w:right w:w="90" w:type="dxa"/>
            </w:tcMar>
            <w:vAlign w:val="center"/>
          </w:tcPr>
          <w:p w14:paraId="27BC6F75" w14:textId="77777777" w:rsidR="00C24ECC" w:rsidRDefault="00000000">
            <w:pPr>
              <w:jc w:val="center"/>
            </w:pPr>
            <w:r>
              <w:rPr>
                <w:b/>
                <w:color w:val="FFFFFF"/>
                <w:sz w:val="16"/>
              </w:rPr>
              <w:t>Principal action</w:t>
            </w:r>
          </w:p>
        </w:tc>
        <w:tc>
          <w:tcPr>
            <w:tcW w:w="4195" w:type="dxa"/>
            <w:shd w:val="clear" w:color="auto" w:fill="0058A3"/>
            <w:tcMar>
              <w:top w:w="80" w:type="dxa"/>
              <w:left w:w="90" w:type="dxa"/>
              <w:bottom w:w="80" w:type="dxa"/>
              <w:right w:w="90" w:type="dxa"/>
            </w:tcMar>
            <w:vAlign w:val="center"/>
          </w:tcPr>
          <w:p w14:paraId="030C9FEB" w14:textId="77777777" w:rsidR="00C24ECC" w:rsidRDefault="00000000">
            <w:pPr>
              <w:jc w:val="center"/>
            </w:pPr>
            <w:r>
              <w:rPr>
                <w:b/>
                <w:color w:val="FFFFFF"/>
                <w:sz w:val="16"/>
              </w:rPr>
              <w:t>Evidence required before progression</w:t>
            </w:r>
          </w:p>
        </w:tc>
      </w:tr>
      <w:tr w:rsidR="00C24ECC" w14:paraId="7B519488" w14:textId="77777777">
        <w:trPr>
          <w:cantSplit/>
          <w:jc w:val="center"/>
        </w:trPr>
        <w:tc>
          <w:tcPr>
            <w:tcW w:w="1701" w:type="dxa"/>
            <w:tcMar>
              <w:top w:w="80" w:type="dxa"/>
              <w:left w:w="90" w:type="dxa"/>
              <w:bottom w:w="80" w:type="dxa"/>
              <w:right w:w="90" w:type="dxa"/>
            </w:tcMar>
          </w:tcPr>
          <w:p w14:paraId="6EAE9A3D" w14:textId="77777777" w:rsidR="00C24ECC" w:rsidRDefault="00000000">
            <w:pPr>
              <w:spacing w:after="0" w:line="252" w:lineRule="auto"/>
              <w:jc w:val="left"/>
            </w:pPr>
            <w:r>
              <w:rPr>
                <w:sz w:val="16"/>
              </w:rPr>
              <w:t>Gate 0</w:t>
            </w:r>
          </w:p>
        </w:tc>
        <w:tc>
          <w:tcPr>
            <w:tcW w:w="3969" w:type="dxa"/>
            <w:tcMar>
              <w:top w:w="80" w:type="dxa"/>
              <w:left w:w="90" w:type="dxa"/>
              <w:bottom w:w="80" w:type="dxa"/>
              <w:right w:w="90" w:type="dxa"/>
            </w:tcMar>
          </w:tcPr>
          <w:p w14:paraId="3B600355" w14:textId="77777777" w:rsidR="00C24ECC" w:rsidRDefault="00000000">
            <w:pPr>
              <w:spacing w:after="0" w:line="252" w:lineRule="auto"/>
              <w:jc w:val="left"/>
            </w:pPr>
            <w:r>
              <w:rPr>
                <w:sz w:val="16"/>
              </w:rPr>
              <w:t>Validate demand, product-basket pricing, tariff treatment, logistics and partner integrity.</w:t>
            </w:r>
          </w:p>
        </w:tc>
        <w:tc>
          <w:tcPr>
            <w:tcW w:w="4195" w:type="dxa"/>
            <w:tcMar>
              <w:top w:w="80" w:type="dxa"/>
              <w:left w:w="90" w:type="dxa"/>
              <w:bottom w:w="80" w:type="dxa"/>
              <w:right w:w="90" w:type="dxa"/>
            </w:tcMar>
          </w:tcPr>
          <w:p w14:paraId="6D6CA061" w14:textId="77777777" w:rsidR="00C24ECC" w:rsidRDefault="00000000">
            <w:pPr>
              <w:spacing w:after="0" w:line="252" w:lineRule="auto"/>
              <w:jc w:val="left"/>
            </w:pPr>
            <w:r>
              <w:rPr>
                <w:sz w:val="16"/>
              </w:rPr>
              <w:t>A viable delivered-price architecture, compliant product plan and partner that passes financial and integrity due diligence.</w:t>
            </w:r>
          </w:p>
        </w:tc>
      </w:tr>
      <w:tr w:rsidR="00C24ECC" w14:paraId="5CC7CCE4" w14:textId="77777777">
        <w:trPr>
          <w:cantSplit/>
          <w:jc w:val="center"/>
        </w:trPr>
        <w:tc>
          <w:tcPr>
            <w:tcW w:w="1701" w:type="dxa"/>
            <w:shd w:val="clear" w:color="auto" w:fill="F1F5F8"/>
            <w:tcMar>
              <w:top w:w="80" w:type="dxa"/>
              <w:left w:w="90" w:type="dxa"/>
              <w:bottom w:w="80" w:type="dxa"/>
              <w:right w:w="90" w:type="dxa"/>
            </w:tcMar>
          </w:tcPr>
          <w:p w14:paraId="03BC29CF" w14:textId="77777777" w:rsidR="00C24ECC" w:rsidRDefault="00000000">
            <w:pPr>
              <w:spacing w:after="0" w:line="252" w:lineRule="auto"/>
              <w:jc w:val="left"/>
            </w:pPr>
            <w:r>
              <w:rPr>
                <w:sz w:val="16"/>
              </w:rPr>
              <w:lastRenderedPageBreak/>
              <w:t>Phase 1</w:t>
            </w:r>
          </w:p>
        </w:tc>
        <w:tc>
          <w:tcPr>
            <w:tcW w:w="3969" w:type="dxa"/>
            <w:shd w:val="clear" w:color="auto" w:fill="F1F5F8"/>
            <w:tcMar>
              <w:top w:w="80" w:type="dxa"/>
              <w:left w:w="90" w:type="dxa"/>
              <w:bottom w:w="80" w:type="dxa"/>
              <w:right w:w="90" w:type="dxa"/>
            </w:tcMar>
          </w:tcPr>
          <w:p w14:paraId="649C9C2D" w14:textId="77777777" w:rsidR="00C24ECC" w:rsidRDefault="00000000">
            <w:pPr>
              <w:spacing w:after="0" w:line="252" w:lineRule="auto"/>
              <w:jc w:val="left"/>
            </w:pPr>
            <w:r>
              <w:rPr>
                <w:sz w:val="16"/>
              </w:rPr>
              <w:t>Launch local e-commerce, a plan-and-order studio, collection points, delivery and optional assembly.</w:t>
            </w:r>
          </w:p>
        </w:tc>
        <w:tc>
          <w:tcPr>
            <w:tcW w:w="4195" w:type="dxa"/>
            <w:shd w:val="clear" w:color="auto" w:fill="F1F5F8"/>
            <w:tcMar>
              <w:top w:w="80" w:type="dxa"/>
              <w:left w:w="90" w:type="dxa"/>
              <w:bottom w:w="80" w:type="dxa"/>
              <w:right w:w="90" w:type="dxa"/>
            </w:tcMar>
          </w:tcPr>
          <w:p w14:paraId="67204A1B" w14:textId="77777777" w:rsidR="00C24ECC" w:rsidRDefault="00000000">
            <w:pPr>
              <w:spacing w:after="0" w:line="252" w:lineRule="auto"/>
              <w:jc w:val="left"/>
            </w:pPr>
            <w:r>
              <w:rPr>
                <w:sz w:val="16"/>
              </w:rPr>
              <w:t>Acceptable conversion, gross margin, on-time delivery, damage, return, complaint and repeat-purchase performance.</w:t>
            </w:r>
          </w:p>
        </w:tc>
      </w:tr>
      <w:tr w:rsidR="00C24ECC" w14:paraId="687FDAEB" w14:textId="77777777">
        <w:trPr>
          <w:cantSplit/>
          <w:jc w:val="center"/>
        </w:trPr>
        <w:tc>
          <w:tcPr>
            <w:tcW w:w="1701" w:type="dxa"/>
            <w:tcMar>
              <w:top w:w="80" w:type="dxa"/>
              <w:left w:w="90" w:type="dxa"/>
              <w:bottom w:w="80" w:type="dxa"/>
              <w:right w:w="90" w:type="dxa"/>
            </w:tcMar>
          </w:tcPr>
          <w:p w14:paraId="780C33EC" w14:textId="77777777" w:rsidR="00C24ECC" w:rsidRDefault="00000000">
            <w:pPr>
              <w:spacing w:after="0" w:line="252" w:lineRule="auto"/>
              <w:jc w:val="left"/>
            </w:pPr>
            <w:r>
              <w:rPr>
                <w:sz w:val="16"/>
              </w:rPr>
              <w:t>Phase 2</w:t>
            </w:r>
          </w:p>
        </w:tc>
        <w:tc>
          <w:tcPr>
            <w:tcW w:w="3969" w:type="dxa"/>
            <w:tcMar>
              <w:top w:w="80" w:type="dxa"/>
              <w:left w:w="90" w:type="dxa"/>
              <w:bottom w:w="80" w:type="dxa"/>
              <w:right w:w="90" w:type="dxa"/>
            </w:tcMar>
          </w:tcPr>
          <w:p w14:paraId="0730D08F" w14:textId="77777777" w:rsidR="00C24ECC" w:rsidRDefault="00000000">
            <w:pPr>
              <w:spacing w:after="0" w:line="252" w:lineRule="auto"/>
              <w:jc w:val="left"/>
            </w:pPr>
            <w:r>
              <w:rPr>
                <w:sz w:val="16"/>
              </w:rPr>
              <w:t>Open a medium-format Nairobi store integrated with central fulfilment.</w:t>
            </w:r>
          </w:p>
        </w:tc>
        <w:tc>
          <w:tcPr>
            <w:tcW w:w="4195" w:type="dxa"/>
            <w:tcMar>
              <w:top w:w="80" w:type="dxa"/>
              <w:left w:w="90" w:type="dxa"/>
              <w:bottom w:w="80" w:type="dxa"/>
              <w:right w:w="90" w:type="dxa"/>
            </w:tcMar>
          </w:tcPr>
          <w:p w14:paraId="76BDC01C" w14:textId="77777777" w:rsidR="00C24ECC" w:rsidRDefault="00000000">
            <w:pPr>
              <w:spacing w:after="0" w:line="252" w:lineRule="auto"/>
              <w:jc w:val="left"/>
            </w:pPr>
            <w:r>
              <w:rPr>
                <w:sz w:val="16"/>
              </w:rPr>
              <w:t>Stable demand beyond early adopters, adequate inventory turns and sustainable customer-acquisition economics.</w:t>
            </w:r>
          </w:p>
        </w:tc>
      </w:tr>
      <w:tr w:rsidR="00C24ECC" w14:paraId="533F1CFB" w14:textId="77777777">
        <w:trPr>
          <w:cantSplit/>
          <w:jc w:val="center"/>
        </w:trPr>
        <w:tc>
          <w:tcPr>
            <w:tcW w:w="1701" w:type="dxa"/>
            <w:shd w:val="clear" w:color="auto" w:fill="F1F5F8"/>
            <w:tcMar>
              <w:top w:w="80" w:type="dxa"/>
              <w:left w:w="90" w:type="dxa"/>
              <w:bottom w:w="80" w:type="dxa"/>
              <w:right w:w="90" w:type="dxa"/>
            </w:tcMar>
          </w:tcPr>
          <w:p w14:paraId="0BFE672E" w14:textId="77777777" w:rsidR="00C24ECC" w:rsidRDefault="00000000">
            <w:pPr>
              <w:spacing w:after="0" w:line="252" w:lineRule="auto"/>
              <w:jc w:val="left"/>
            </w:pPr>
            <w:r>
              <w:rPr>
                <w:sz w:val="16"/>
              </w:rPr>
              <w:t>Phase 3</w:t>
            </w:r>
          </w:p>
        </w:tc>
        <w:tc>
          <w:tcPr>
            <w:tcW w:w="3969" w:type="dxa"/>
            <w:shd w:val="clear" w:color="auto" w:fill="F1F5F8"/>
            <w:tcMar>
              <w:top w:w="80" w:type="dxa"/>
              <w:left w:w="90" w:type="dxa"/>
              <w:bottom w:w="80" w:type="dxa"/>
              <w:right w:w="90" w:type="dxa"/>
            </w:tcMar>
          </w:tcPr>
          <w:p w14:paraId="39C90237" w14:textId="77777777" w:rsidR="00C24ECC" w:rsidRDefault="00000000">
            <w:pPr>
              <w:spacing w:after="0" w:line="252" w:lineRule="auto"/>
              <w:jc w:val="left"/>
            </w:pPr>
            <w:r>
              <w:rPr>
                <w:sz w:val="16"/>
              </w:rPr>
              <w:t>Build selective local/EAC sourcing or assembly and evaluate regional replication.</w:t>
            </w:r>
          </w:p>
        </w:tc>
        <w:tc>
          <w:tcPr>
            <w:tcW w:w="4195" w:type="dxa"/>
            <w:shd w:val="clear" w:color="auto" w:fill="F1F5F8"/>
            <w:tcMar>
              <w:top w:w="80" w:type="dxa"/>
              <w:left w:w="90" w:type="dxa"/>
              <w:bottom w:w="80" w:type="dxa"/>
              <w:right w:w="90" w:type="dxa"/>
            </w:tcMar>
          </w:tcPr>
          <w:p w14:paraId="6F66BBCA" w14:textId="77777777" w:rsidR="00C24ECC" w:rsidRDefault="00000000">
            <w:pPr>
              <w:spacing w:after="0" w:line="252" w:lineRule="auto"/>
              <w:jc w:val="left"/>
            </w:pPr>
            <w:r>
              <w:rPr>
                <w:sz w:val="16"/>
              </w:rPr>
              <w:t>Suppliers meet IKEA cost, quality, sustainability and scale requirements; regional economics are independently verified.</w:t>
            </w:r>
          </w:p>
        </w:tc>
      </w:tr>
    </w:tbl>
    <w:p w14:paraId="3747B8E7" w14:textId="77777777" w:rsidR="00C24ECC" w:rsidRDefault="00C24ECC"/>
    <w:p w14:paraId="558D4916" w14:textId="77777777" w:rsidR="00C24ECC" w:rsidRDefault="00000000">
      <w:pPr>
        <w:pStyle w:val="Heading2"/>
      </w:pPr>
      <w:r>
        <w:t>5.4 Risk controls and performance governance</w:t>
      </w:r>
    </w:p>
    <w:p w14:paraId="07336C8E" w14:textId="347A4A56" w:rsidR="00967D91" w:rsidRDefault="00967D91" w:rsidP="00967D91">
      <w:r>
        <w:t xml:space="preserve">The main commercial risk is this unaffordable landed cost, shown by weak conversion, a </w:t>
      </w:r>
      <w:proofErr w:type="gramStart"/>
      <w:r>
        <w:t>weird price gap vs alternatives</w:t>
      </w:r>
      <w:proofErr w:type="gramEnd"/>
      <w:r>
        <w:t>, or margin that kind of depends on premium items. Controls cover binding tariff classifications, a value engineered assortment, more frequent pricing checks and selective local or EAC value addition. Service failure is also very material: damage, delay, and returns that are difficult to do need tested lanes, packaging trials, service-level agreements and clear, transparent data. Then partner, integrity, privacy and sustainability risks need milestones, audit rights and shared systems, kind of all at once.</w:t>
      </w:r>
    </w:p>
    <w:p w14:paraId="4AED95ED" w14:textId="5282A78C" w:rsidR="00C24ECC" w:rsidRDefault="00967D91" w:rsidP="00967D91">
      <w:r>
        <w:t>A balanced stage gate dashboard should split what is just curiosity from repeat purchase and also watch delivered basket affordability, conversion, tariff adjusted margin, inventory turns, fulfilment cost, on time in full performance, damage levels, return rates, stock availability and compliance incidents. Advancement should be denied where volume growth hides weak margin unreliable service or still unresolved governance failures.</w:t>
      </w:r>
    </w:p>
    <w:p w14:paraId="179D7859" w14:textId="77777777" w:rsidR="00C24ECC" w:rsidRDefault="00000000">
      <w:pPr>
        <w:pStyle w:val="CaptionText"/>
      </w:pPr>
      <w:r>
        <w:t>Table 8. Principal entry risks, early indicators and controls. Source: Author synthesis.</w:t>
      </w:r>
    </w:p>
    <w:tbl>
      <w:tblPr>
        <w:tblStyle w:val="TableGrid"/>
        <w:tblW w:w="0" w:type="auto"/>
        <w:jc w:val="center"/>
        <w:tblLook w:val="04A0" w:firstRow="1" w:lastRow="0" w:firstColumn="1" w:lastColumn="0" w:noHBand="0" w:noVBand="1"/>
      </w:tblPr>
      <w:tblGrid>
        <w:gridCol w:w="2164"/>
        <w:gridCol w:w="3643"/>
        <w:gridCol w:w="3594"/>
      </w:tblGrid>
      <w:tr w:rsidR="00C24ECC" w14:paraId="54B1782A" w14:textId="77777777">
        <w:trPr>
          <w:cantSplit/>
          <w:tblHeader/>
          <w:jc w:val="center"/>
        </w:trPr>
        <w:tc>
          <w:tcPr>
            <w:tcW w:w="2268" w:type="dxa"/>
            <w:shd w:val="clear" w:color="auto" w:fill="0058A3"/>
            <w:tcMar>
              <w:top w:w="80" w:type="dxa"/>
              <w:left w:w="90" w:type="dxa"/>
              <w:bottom w:w="80" w:type="dxa"/>
              <w:right w:w="90" w:type="dxa"/>
            </w:tcMar>
            <w:vAlign w:val="center"/>
          </w:tcPr>
          <w:p w14:paraId="0F1E9A3E" w14:textId="77777777" w:rsidR="00C24ECC" w:rsidRDefault="00000000">
            <w:pPr>
              <w:jc w:val="center"/>
            </w:pPr>
            <w:r>
              <w:rPr>
                <w:b/>
                <w:color w:val="FFFFFF"/>
                <w:sz w:val="16"/>
              </w:rPr>
              <w:t>Risk</w:t>
            </w:r>
          </w:p>
        </w:tc>
        <w:tc>
          <w:tcPr>
            <w:tcW w:w="4025" w:type="dxa"/>
            <w:shd w:val="clear" w:color="auto" w:fill="0058A3"/>
            <w:tcMar>
              <w:top w:w="80" w:type="dxa"/>
              <w:left w:w="90" w:type="dxa"/>
              <w:bottom w:w="80" w:type="dxa"/>
              <w:right w:w="90" w:type="dxa"/>
            </w:tcMar>
            <w:vAlign w:val="center"/>
          </w:tcPr>
          <w:p w14:paraId="241000EF" w14:textId="77777777" w:rsidR="00C24ECC" w:rsidRDefault="00000000">
            <w:pPr>
              <w:jc w:val="center"/>
            </w:pPr>
            <w:r>
              <w:rPr>
                <w:b/>
                <w:color w:val="FFFFFF"/>
                <w:sz w:val="16"/>
              </w:rPr>
              <w:t>Early warning indicator</w:t>
            </w:r>
          </w:p>
        </w:tc>
        <w:tc>
          <w:tcPr>
            <w:tcW w:w="3969" w:type="dxa"/>
            <w:shd w:val="clear" w:color="auto" w:fill="0058A3"/>
            <w:tcMar>
              <w:top w:w="80" w:type="dxa"/>
              <w:left w:w="90" w:type="dxa"/>
              <w:bottom w:w="80" w:type="dxa"/>
              <w:right w:w="90" w:type="dxa"/>
            </w:tcMar>
            <w:vAlign w:val="center"/>
          </w:tcPr>
          <w:p w14:paraId="1500A472" w14:textId="77777777" w:rsidR="00C24ECC" w:rsidRDefault="00000000">
            <w:pPr>
              <w:jc w:val="center"/>
            </w:pPr>
            <w:r>
              <w:rPr>
                <w:b/>
                <w:color w:val="FFFFFF"/>
                <w:sz w:val="16"/>
              </w:rPr>
              <w:t>Primary control</w:t>
            </w:r>
          </w:p>
        </w:tc>
      </w:tr>
      <w:tr w:rsidR="00C24ECC" w14:paraId="7CB31B26" w14:textId="77777777">
        <w:trPr>
          <w:cantSplit/>
          <w:jc w:val="center"/>
        </w:trPr>
        <w:tc>
          <w:tcPr>
            <w:tcW w:w="2268" w:type="dxa"/>
            <w:tcMar>
              <w:top w:w="80" w:type="dxa"/>
              <w:left w:w="90" w:type="dxa"/>
              <w:bottom w:w="80" w:type="dxa"/>
              <w:right w:w="90" w:type="dxa"/>
            </w:tcMar>
          </w:tcPr>
          <w:p w14:paraId="375BB96D" w14:textId="77777777" w:rsidR="00C24ECC" w:rsidRDefault="00000000">
            <w:pPr>
              <w:spacing w:after="0" w:line="252" w:lineRule="auto"/>
              <w:jc w:val="left"/>
            </w:pPr>
            <w:r>
              <w:rPr>
                <w:sz w:val="16"/>
              </w:rPr>
              <w:t>Unaffordable landed cost</w:t>
            </w:r>
          </w:p>
        </w:tc>
        <w:tc>
          <w:tcPr>
            <w:tcW w:w="4025" w:type="dxa"/>
            <w:tcMar>
              <w:top w:w="80" w:type="dxa"/>
              <w:left w:w="90" w:type="dxa"/>
              <w:bottom w:w="80" w:type="dxa"/>
              <w:right w:w="90" w:type="dxa"/>
            </w:tcMar>
          </w:tcPr>
          <w:p w14:paraId="54E56017" w14:textId="77777777" w:rsidR="00C24ECC" w:rsidRDefault="00000000">
            <w:pPr>
              <w:spacing w:after="0" w:line="252" w:lineRule="auto"/>
              <w:jc w:val="left"/>
            </w:pPr>
            <w:r>
              <w:rPr>
                <w:sz w:val="16"/>
              </w:rPr>
              <w:t>Low conversion, weak entry-price sales or margin erosion after currency/duty changes.</w:t>
            </w:r>
          </w:p>
        </w:tc>
        <w:tc>
          <w:tcPr>
            <w:tcW w:w="3969" w:type="dxa"/>
            <w:tcMar>
              <w:top w:w="80" w:type="dxa"/>
              <w:left w:w="90" w:type="dxa"/>
              <w:bottom w:w="80" w:type="dxa"/>
              <w:right w:w="90" w:type="dxa"/>
            </w:tcMar>
          </w:tcPr>
          <w:p w14:paraId="7EA435DB" w14:textId="77777777" w:rsidR="00C24ECC" w:rsidRDefault="00000000">
            <w:pPr>
              <w:spacing w:after="0" w:line="252" w:lineRule="auto"/>
              <w:jc w:val="left"/>
            </w:pPr>
            <w:r>
              <w:rPr>
                <w:sz w:val="16"/>
              </w:rPr>
              <w:t>Binding tariff classification, narrow value-engineered assortment, sensitivity analysis and local/EAC value addition.</w:t>
            </w:r>
          </w:p>
        </w:tc>
      </w:tr>
      <w:tr w:rsidR="00C24ECC" w14:paraId="54E6E830" w14:textId="77777777">
        <w:trPr>
          <w:cantSplit/>
          <w:jc w:val="center"/>
        </w:trPr>
        <w:tc>
          <w:tcPr>
            <w:tcW w:w="2268" w:type="dxa"/>
            <w:shd w:val="clear" w:color="auto" w:fill="F1F5F8"/>
            <w:tcMar>
              <w:top w:w="80" w:type="dxa"/>
              <w:left w:w="90" w:type="dxa"/>
              <w:bottom w:w="80" w:type="dxa"/>
              <w:right w:w="90" w:type="dxa"/>
            </w:tcMar>
          </w:tcPr>
          <w:p w14:paraId="7E258619" w14:textId="77777777" w:rsidR="00C24ECC" w:rsidRDefault="00000000">
            <w:pPr>
              <w:spacing w:after="0" w:line="252" w:lineRule="auto"/>
              <w:jc w:val="left"/>
            </w:pPr>
            <w:r>
              <w:rPr>
                <w:sz w:val="16"/>
              </w:rPr>
              <w:t>Partner underperformance</w:t>
            </w:r>
          </w:p>
        </w:tc>
        <w:tc>
          <w:tcPr>
            <w:tcW w:w="4025" w:type="dxa"/>
            <w:shd w:val="clear" w:color="auto" w:fill="F1F5F8"/>
            <w:tcMar>
              <w:top w:w="80" w:type="dxa"/>
              <w:left w:w="90" w:type="dxa"/>
              <w:bottom w:w="80" w:type="dxa"/>
              <w:right w:w="90" w:type="dxa"/>
            </w:tcMar>
          </w:tcPr>
          <w:p w14:paraId="009672AF" w14:textId="77777777" w:rsidR="00C24ECC" w:rsidRDefault="00000000">
            <w:pPr>
              <w:spacing w:after="0" w:line="252" w:lineRule="auto"/>
              <w:jc w:val="left"/>
            </w:pPr>
            <w:r>
              <w:rPr>
                <w:sz w:val="16"/>
              </w:rPr>
              <w:t>Delayed investment, audit failures, service inconsistency or unauthorised sourcing.</w:t>
            </w:r>
          </w:p>
        </w:tc>
        <w:tc>
          <w:tcPr>
            <w:tcW w:w="3969" w:type="dxa"/>
            <w:shd w:val="clear" w:color="auto" w:fill="F1F5F8"/>
            <w:tcMar>
              <w:top w:w="80" w:type="dxa"/>
              <w:left w:w="90" w:type="dxa"/>
              <w:bottom w:w="80" w:type="dxa"/>
              <w:right w:w="90" w:type="dxa"/>
            </w:tcMar>
          </w:tcPr>
          <w:p w14:paraId="26BA51F5" w14:textId="77777777" w:rsidR="00C24ECC" w:rsidRDefault="00000000">
            <w:pPr>
              <w:spacing w:after="0" w:line="252" w:lineRule="auto"/>
              <w:jc w:val="left"/>
            </w:pPr>
            <w:r>
              <w:rPr>
                <w:sz w:val="16"/>
              </w:rPr>
              <w:t>Milestone-based rights, training, shared data, audit access, cure and termination provisions.</w:t>
            </w:r>
          </w:p>
        </w:tc>
      </w:tr>
      <w:tr w:rsidR="00C24ECC" w14:paraId="3DDD9E79" w14:textId="77777777">
        <w:trPr>
          <w:cantSplit/>
          <w:jc w:val="center"/>
        </w:trPr>
        <w:tc>
          <w:tcPr>
            <w:tcW w:w="2268" w:type="dxa"/>
            <w:tcMar>
              <w:top w:w="80" w:type="dxa"/>
              <w:left w:w="90" w:type="dxa"/>
              <w:bottom w:w="80" w:type="dxa"/>
              <w:right w:w="90" w:type="dxa"/>
            </w:tcMar>
          </w:tcPr>
          <w:p w14:paraId="39666A05" w14:textId="77777777" w:rsidR="00C24ECC" w:rsidRDefault="00000000">
            <w:pPr>
              <w:spacing w:after="0" w:line="252" w:lineRule="auto"/>
              <w:jc w:val="left"/>
            </w:pPr>
            <w:r>
              <w:rPr>
                <w:sz w:val="16"/>
              </w:rPr>
              <w:t>Logistics failure</w:t>
            </w:r>
          </w:p>
        </w:tc>
        <w:tc>
          <w:tcPr>
            <w:tcW w:w="4025" w:type="dxa"/>
            <w:tcMar>
              <w:top w:w="80" w:type="dxa"/>
              <w:left w:w="90" w:type="dxa"/>
              <w:bottom w:w="80" w:type="dxa"/>
              <w:right w:w="90" w:type="dxa"/>
            </w:tcMar>
          </w:tcPr>
          <w:p w14:paraId="28FE0541" w14:textId="77777777" w:rsidR="00C24ECC" w:rsidRDefault="00000000">
            <w:pPr>
              <w:spacing w:after="0" w:line="252" w:lineRule="auto"/>
              <w:jc w:val="left"/>
            </w:pPr>
            <w:r>
              <w:rPr>
                <w:sz w:val="16"/>
              </w:rPr>
              <w:t>Damage, missed delivery windows, high returns or complaints.</w:t>
            </w:r>
          </w:p>
        </w:tc>
        <w:tc>
          <w:tcPr>
            <w:tcW w:w="3969" w:type="dxa"/>
            <w:tcMar>
              <w:top w:w="80" w:type="dxa"/>
              <w:left w:w="90" w:type="dxa"/>
              <w:bottom w:w="80" w:type="dxa"/>
              <w:right w:w="90" w:type="dxa"/>
            </w:tcMar>
          </w:tcPr>
          <w:p w14:paraId="341C545F" w14:textId="77777777" w:rsidR="00C24ECC" w:rsidRDefault="00000000">
            <w:pPr>
              <w:spacing w:after="0" w:line="252" w:lineRule="auto"/>
              <w:jc w:val="left"/>
            </w:pPr>
            <w:r>
              <w:rPr>
                <w:sz w:val="16"/>
              </w:rPr>
              <w:t>Pilot lanes, packaging tests, service-level agreements, collection points and spare-parts capability.</w:t>
            </w:r>
          </w:p>
        </w:tc>
      </w:tr>
      <w:tr w:rsidR="00C24ECC" w14:paraId="2027CD79" w14:textId="77777777">
        <w:trPr>
          <w:cantSplit/>
          <w:jc w:val="center"/>
        </w:trPr>
        <w:tc>
          <w:tcPr>
            <w:tcW w:w="2268" w:type="dxa"/>
            <w:shd w:val="clear" w:color="auto" w:fill="F1F5F8"/>
            <w:tcMar>
              <w:top w:w="80" w:type="dxa"/>
              <w:left w:w="90" w:type="dxa"/>
              <w:bottom w:w="80" w:type="dxa"/>
              <w:right w:w="90" w:type="dxa"/>
            </w:tcMar>
          </w:tcPr>
          <w:p w14:paraId="7A155940" w14:textId="77777777" w:rsidR="00C24ECC" w:rsidRDefault="00000000">
            <w:pPr>
              <w:spacing w:after="0" w:line="252" w:lineRule="auto"/>
              <w:jc w:val="left"/>
            </w:pPr>
            <w:r>
              <w:rPr>
                <w:sz w:val="16"/>
              </w:rPr>
              <w:t>Regulatory or integrity breach</w:t>
            </w:r>
          </w:p>
        </w:tc>
        <w:tc>
          <w:tcPr>
            <w:tcW w:w="4025" w:type="dxa"/>
            <w:shd w:val="clear" w:color="auto" w:fill="F1F5F8"/>
            <w:tcMar>
              <w:top w:w="80" w:type="dxa"/>
              <w:left w:w="90" w:type="dxa"/>
              <w:bottom w:w="80" w:type="dxa"/>
              <w:right w:w="90" w:type="dxa"/>
            </w:tcMar>
          </w:tcPr>
          <w:p w14:paraId="200DEF87" w14:textId="77777777" w:rsidR="00C24ECC" w:rsidRDefault="00000000">
            <w:pPr>
              <w:spacing w:after="0" w:line="252" w:lineRule="auto"/>
              <w:jc w:val="left"/>
            </w:pPr>
            <w:r>
              <w:rPr>
                <w:sz w:val="16"/>
              </w:rPr>
              <w:t>Unusual payments, customs exceptions, privacy complaint or product non-conformity.</w:t>
            </w:r>
          </w:p>
        </w:tc>
        <w:tc>
          <w:tcPr>
            <w:tcW w:w="3969" w:type="dxa"/>
            <w:shd w:val="clear" w:color="auto" w:fill="F1F5F8"/>
            <w:tcMar>
              <w:top w:w="80" w:type="dxa"/>
              <w:left w:w="90" w:type="dxa"/>
              <w:bottom w:w="80" w:type="dxa"/>
              <w:right w:w="90" w:type="dxa"/>
            </w:tcMar>
          </w:tcPr>
          <w:p w14:paraId="51AACA82" w14:textId="77777777" w:rsidR="00C24ECC" w:rsidRDefault="00000000">
            <w:pPr>
              <w:spacing w:after="0" w:line="252" w:lineRule="auto"/>
              <w:jc w:val="left"/>
            </w:pPr>
            <w:r>
              <w:rPr>
                <w:sz w:val="16"/>
              </w:rPr>
              <w:t>Third-party due diligence, segregation of duties, compliance monitoring and incident response.</w:t>
            </w:r>
          </w:p>
        </w:tc>
      </w:tr>
      <w:tr w:rsidR="00C24ECC" w14:paraId="1BE425E9" w14:textId="77777777">
        <w:trPr>
          <w:cantSplit/>
          <w:jc w:val="center"/>
        </w:trPr>
        <w:tc>
          <w:tcPr>
            <w:tcW w:w="2268" w:type="dxa"/>
            <w:tcMar>
              <w:top w:w="80" w:type="dxa"/>
              <w:left w:w="90" w:type="dxa"/>
              <w:bottom w:w="80" w:type="dxa"/>
              <w:right w:w="90" w:type="dxa"/>
            </w:tcMar>
          </w:tcPr>
          <w:p w14:paraId="3202522E" w14:textId="77777777" w:rsidR="00C24ECC" w:rsidRDefault="00000000">
            <w:pPr>
              <w:spacing w:after="0" w:line="252" w:lineRule="auto"/>
              <w:jc w:val="left"/>
            </w:pPr>
            <w:r>
              <w:rPr>
                <w:sz w:val="16"/>
              </w:rPr>
              <w:t>Consumer mismatch</w:t>
            </w:r>
          </w:p>
        </w:tc>
        <w:tc>
          <w:tcPr>
            <w:tcW w:w="4025" w:type="dxa"/>
            <w:tcMar>
              <w:top w:w="80" w:type="dxa"/>
              <w:left w:w="90" w:type="dxa"/>
              <w:bottom w:w="80" w:type="dxa"/>
              <w:right w:w="90" w:type="dxa"/>
            </w:tcMar>
          </w:tcPr>
          <w:p w14:paraId="1E178388" w14:textId="77777777" w:rsidR="00C24ECC" w:rsidRDefault="00000000">
            <w:pPr>
              <w:spacing w:after="0" w:line="252" w:lineRule="auto"/>
              <w:jc w:val="left"/>
            </w:pPr>
            <w:r>
              <w:rPr>
                <w:sz w:val="16"/>
              </w:rPr>
              <w:t>Low basket size, high abandonment or weak repeat purchase.</w:t>
            </w:r>
          </w:p>
        </w:tc>
        <w:tc>
          <w:tcPr>
            <w:tcW w:w="3969" w:type="dxa"/>
            <w:tcMar>
              <w:top w:w="80" w:type="dxa"/>
              <w:left w:w="90" w:type="dxa"/>
              <w:bottom w:w="80" w:type="dxa"/>
              <w:right w:w="90" w:type="dxa"/>
            </w:tcMar>
          </w:tcPr>
          <w:p w14:paraId="071DC390" w14:textId="77777777" w:rsidR="00C24ECC" w:rsidRDefault="00000000">
            <w:pPr>
              <w:spacing w:after="0" w:line="252" w:lineRule="auto"/>
              <w:jc w:val="left"/>
            </w:pPr>
            <w:r>
              <w:rPr>
                <w:sz w:val="16"/>
              </w:rPr>
              <w:t>Home visits, prototype room sets, service adaptation and iterative assortment management.</w:t>
            </w:r>
          </w:p>
        </w:tc>
      </w:tr>
    </w:tbl>
    <w:p w14:paraId="1A8F10C5" w14:textId="77777777" w:rsidR="00C24ECC" w:rsidRDefault="00C24ECC"/>
    <w:p w14:paraId="7D832716" w14:textId="77777777" w:rsidR="00C24ECC" w:rsidRDefault="00000000">
      <w:pPr>
        <w:pStyle w:val="Heading1"/>
      </w:pPr>
      <w:r>
        <w:lastRenderedPageBreak/>
        <w:t>6. Conclusion and Final Recommendation</w:t>
      </w:r>
    </w:p>
    <w:p w14:paraId="2B7F68CF" w14:textId="77777777" w:rsidR="00C24ECC" w:rsidRDefault="00000000">
      <w:r>
        <w:t>IKEA possesses transferable ownership advantages and a global configuration capable of supporting entry, but Kenya is unsuitable for immediate replication of a conventional full-size imported-furniture store. Nairobi’s concentrated demand, economic resilience, mobile commerce and gateway role support a measured opportunity; unequal purchasing power, fiscal uncertainty, tariffs, currency exposure and bulky-goods fulfilment weaken it. The decisive question is whether IKEA can preserve its affordable and reliable proposition under Kenyan delivered-cost conditions.</w:t>
      </w:r>
    </w:p>
    <w:p w14:paraId="51E4A3BE" w14:textId="77777777" w:rsidR="00C24ECC" w:rsidRDefault="00000000">
      <w:r>
        <w:t>A staged exclusive franchise is recommended. Begin with tariff and demand validation, then e-commerce, a plan-and-order studio, collection points and optional assembly. Authorise a medium-format store only when delivered prices, margins, fulfilment and customer metrics meet thresholds. Otherwise, retain project-based International Sales.</w:t>
      </w:r>
    </w:p>
    <w:p w14:paraId="4B6A81FF" w14:textId="77777777" w:rsidR="00C24ECC" w:rsidRDefault="00000000">
      <w:pPr>
        <w:pStyle w:val="Heading1"/>
        <w:pageBreakBefore/>
      </w:pPr>
      <w:r>
        <w:lastRenderedPageBreak/>
        <w:t>Section 2. Reflective Account Using Gibbs’ Reflective Cycle</w:t>
      </w:r>
    </w:p>
    <w:p w14:paraId="264485E0" w14:textId="77777777" w:rsidR="00C24ECC" w:rsidRDefault="00000000">
      <w:pPr>
        <w:pStyle w:val="Heading2"/>
      </w:pPr>
      <w:r>
        <w:t>Description</w:t>
      </w:r>
    </w:p>
    <w:p w14:paraId="31926F2C" w14:textId="1923A9A3" w:rsidR="00967D91" w:rsidRDefault="00967D91" w:rsidP="00967D91">
      <w:r>
        <w:t xml:space="preserve">Using Gibbs’ (1988) reflective cycle </w:t>
      </w:r>
      <w:proofErr w:type="spellStart"/>
      <w:r>
        <w:t>i</w:t>
      </w:r>
      <w:proofErr w:type="spellEnd"/>
      <w:r>
        <w:t xml:space="preserve"> began by </w:t>
      </w:r>
      <w:proofErr w:type="spellStart"/>
      <w:r>
        <w:t>kinda</w:t>
      </w:r>
      <w:proofErr w:type="spellEnd"/>
      <w:r>
        <w:t xml:space="preserve"> reading the assignment as an evidence problem, not like a broad discussion about international expansion. The first hurdle was to pick a multinational corporation and a country where it had no real, meaningful operational presence at the required cutoff. I first thought about IKEA and Kenya, mainly because the firm’s global model is pretty well </w:t>
      </w:r>
      <w:proofErr w:type="gramStart"/>
      <w:r>
        <w:t>documented ,</w:t>
      </w:r>
      <w:proofErr w:type="gramEnd"/>
      <w:r>
        <w:t xml:space="preserve"> and Kenya feels strategically interesting with </w:t>
      </w:r>
      <w:proofErr w:type="gramStart"/>
      <w:r>
        <w:t>growth ,</w:t>
      </w:r>
      <w:proofErr w:type="gramEnd"/>
      <w:r>
        <w:t xml:space="preserve"> urban </w:t>
      </w:r>
      <w:proofErr w:type="gramStart"/>
      <w:r>
        <w:t>concentration ,</w:t>
      </w:r>
      <w:proofErr w:type="gramEnd"/>
      <w:r>
        <w:t xml:space="preserve"> and regional access. Then </w:t>
      </w:r>
      <w:proofErr w:type="spellStart"/>
      <w:r>
        <w:t>i</w:t>
      </w:r>
      <w:proofErr w:type="spellEnd"/>
      <w:r>
        <w:t xml:space="preserve"> tested whether that case actually held up, using official market lists, financial </w:t>
      </w:r>
      <w:proofErr w:type="gramStart"/>
      <w:r>
        <w:t>statements ,</w:t>
      </w:r>
      <w:proofErr w:type="gramEnd"/>
      <w:r>
        <w:t xml:space="preserve"> entry announcements, and also the International Sales pages. By the end of that, it seemed Kenya was not a formal IKEA franchise market, but </w:t>
      </w:r>
      <w:proofErr w:type="spellStart"/>
      <w:r>
        <w:t>i</w:t>
      </w:r>
      <w:proofErr w:type="spellEnd"/>
      <w:r>
        <w:t xml:space="preserve"> could not fully say “no IKEA activity at all” because project based international deliveries exist, so the picture is a bit messy.</w:t>
      </w:r>
    </w:p>
    <w:p w14:paraId="2DAF3BA9" w14:textId="4E763B8E" w:rsidR="00967D91" w:rsidRDefault="00967D91" w:rsidP="00967D91">
      <w:r>
        <w:t xml:space="preserve">After that </w:t>
      </w:r>
      <w:proofErr w:type="spellStart"/>
      <w:r>
        <w:t>i</w:t>
      </w:r>
      <w:proofErr w:type="spellEnd"/>
      <w:r>
        <w:t xml:space="preserve"> put together a source hierarchy, basically ranking company reports first, then legislation, regulators, government </w:t>
      </w:r>
      <w:proofErr w:type="gramStart"/>
      <w:r>
        <w:t>statistics ,</w:t>
      </w:r>
      <w:proofErr w:type="gramEnd"/>
      <w:r>
        <w:t xml:space="preserve"> multilateral </w:t>
      </w:r>
      <w:proofErr w:type="spellStart"/>
      <w:r>
        <w:t>organisations</w:t>
      </w:r>
      <w:proofErr w:type="spellEnd"/>
      <w:r>
        <w:t>, and then academic work. I also organized the evidence using Bartlett and Ghoshal, and then the political economic legal cultural environment. On top of that, I applied Dunning’s OLI paradigm and used entry mode comparisons to connect the argument.</w:t>
      </w:r>
    </w:p>
    <w:p w14:paraId="36909438" w14:textId="77777777" w:rsidR="00967D91" w:rsidRDefault="00967D91" w:rsidP="00967D91">
      <w:pPr>
        <w:pStyle w:val="Heading2"/>
      </w:pPr>
      <w:r>
        <w:t xml:space="preserve">Feelings and Initial Assumptions  </w:t>
      </w:r>
    </w:p>
    <w:p w14:paraId="160D41AF" w14:textId="0862B995" w:rsidR="00967D91" w:rsidRDefault="00967D91" w:rsidP="00967D91">
      <w:r>
        <w:t xml:space="preserve">At the start, I honestly expected the analysis to land on an entry outcome pretty smoothly, since IKEA is globally </w:t>
      </w:r>
      <w:proofErr w:type="spellStart"/>
      <w:r>
        <w:t>recognised</w:t>
      </w:r>
      <w:proofErr w:type="spellEnd"/>
      <w:r>
        <w:t xml:space="preserve">, and Kenya has a large population plus a strong digital reputation. I also figured that e-commerce would reduce the whole need for expensive physical infrastructure, kind of like less friction overall. But as the research went on </w:t>
      </w:r>
      <w:proofErr w:type="spellStart"/>
      <w:r>
        <w:t>i</w:t>
      </w:r>
      <w:proofErr w:type="spellEnd"/>
      <w:r>
        <w:t xml:space="preserve"> became less sure about that. The evidence suggested that population size is a weak stand-in for addressable furniture demand, and that online sales do not magically remove the costs of delivery, returns, and assembly. I was also caught off guard by how much import classification matters. If there is a tariff up to 35 per cent on final </w:t>
      </w:r>
      <w:proofErr w:type="gramStart"/>
      <w:r>
        <w:t>goods ,</w:t>
      </w:r>
      <w:proofErr w:type="gramEnd"/>
      <w:r>
        <w:t xml:space="preserve"> plus VAT and domestic logistics, then IKEA might shift from being an accessible retailer into something closer to a premium import brand. That created a weird tension for me, because the market looked attractive at macro level but the product economics looked uncertain.</w:t>
      </w:r>
    </w:p>
    <w:p w14:paraId="159DA314" w14:textId="77777777" w:rsidR="00967D91" w:rsidRDefault="00967D91" w:rsidP="00967D91">
      <w:pPr>
        <w:pStyle w:val="Heading2"/>
      </w:pPr>
      <w:r>
        <w:lastRenderedPageBreak/>
        <w:t xml:space="preserve">Evaluation  </w:t>
      </w:r>
    </w:p>
    <w:p w14:paraId="744AC29B" w14:textId="3E02B190" w:rsidR="00C24ECC" w:rsidRDefault="00967D91" w:rsidP="00967D91">
      <w:r>
        <w:t xml:space="preserve">The strongest part of the process was using primary sources. Inter IKEA’s FY25 report gave fairly direct evidence on markets, sales, franchise groups, formats, and the supply system. KNBS, the IMF, and the World Bank helped me separate real growth from forecasts, while Kenyan laws and regulator pages clarified tax, data issues, and consumer obligations. The hardest element was trying to prove the absence of significant formal IKEA presence, because general search results also showed third party sellers distributing imported IKEA products. What </w:t>
      </w:r>
      <w:proofErr w:type="spellStart"/>
      <w:r>
        <w:t>i</w:t>
      </w:r>
      <w:proofErr w:type="spellEnd"/>
      <w:r>
        <w:t xml:space="preserve"> learned is that an absence claim can’t just rely on one </w:t>
      </w:r>
      <w:proofErr w:type="gramStart"/>
      <w:r>
        <w:t>source ,</w:t>
      </w:r>
      <w:proofErr w:type="gramEnd"/>
      <w:r>
        <w:t xml:space="preserve"> it needs a precise definition and triangulation across official market lists, corporate </w:t>
      </w:r>
      <w:proofErr w:type="gramStart"/>
      <w:r>
        <w:t>disclosures ,</w:t>
      </w:r>
      <w:proofErr w:type="gramEnd"/>
      <w:r>
        <w:t xml:space="preserve"> and evidence of indirect sales. </w:t>
      </w:r>
      <w:proofErr w:type="gramStart"/>
      <w:r>
        <w:t>Also</w:t>
      </w:r>
      <w:proofErr w:type="gramEnd"/>
      <w:r>
        <w:t xml:space="preserve"> since no reliable public estimate of Kenya’s formal furniture market was available, I treated “demand” as a hypothesis </w:t>
      </w:r>
      <w:proofErr w:type="gramStart"/>
      <w:r>
        <w:t>instead ,</w:t>
      </w:r>
      <w:proofErr w:type="gramEnd"/>
      <w:r>
        <w:t xml:space="preserve"> something that would need basket testing and later primary research.</w:t>
      </w:r>
    </w:p>
    <w:p w14:paraId="7318AFA3" w14:textId="77777777" w:rsidR="00C24ECC" w:rsidRDefault="00000000">
      <w:pPr>
        <w:pStyle w:val="Heading2"/>
      </w:pPr>
      <w:r>
        <w:t>Analysis</w:t>
      </w:r>
    </w:p>
    <w:p w14:paraId="68DB2E99" w14:textId="35DA135D" w:rsidR="00967D91" w:rsidRDefault="00967D91" w:rsidP="00967D91">
      <w:r>
        <w:t xml:space="preserve">The main learning kind of showed up when the theory shifted and suddenly the evidence interpretation was not the same anymore. Like, Bartlett and Ghoshal’s framework stopped me from just saying IKEA is a normal </w:t>
      </w:r>
      <w:proofErr w:type="spellStart"/>
      <w:r>
        <w:t>standardised</w:t>
      </w:r>
      <w:proofErr w:type="spellEnd"/>
      <w:r>
        <w:t xml:space="preserve"> global </w:t>
      </w:r>
      <w:proofErr w:type="gramStart"/>
      <w:r>
        <w:t>company ,</w:t>
      </w:r>
      <w:proofErr w:type="gramEnd"/>
      <w:r>
        <w:t xml:space="preserve"> because the franchise system also drags in local know-how and then adjusts the way channels are run. Then OLI basically stitched the firm, country and governance choices together in one thread. IKEA’s brand, assortment, and supply system created some real ownership leverage, but Kenya’s location benefits felt smaller once tariffs got involved, and affordability constraints showed up as a limit. The </w:t>
      </w:r>
      <w:proofErr w:type="spellStart"/>
      <w:r>
        <w:t>internalisation</w:t>
      </w:r>
      <w:proofErr w:type="spellEnd"/>
      <w:r>
        <w:t xml:space="preserve"> part made it pretty clear that “just licensing” would cost too much </w:t>
      </w:r>
      <w:proofErr w:type="gramStart"/>
      <w:r>
        <w:t>control ,</w:t>
      </w:r>
      <w:proofErr w:type="gramEnd"/>
      <w:r>
        <w:t xml:space="preserve"> while going full owned entry would soak up too much risk before the local knowledge was actually there. </w:t>
      </w:r>
      <w:proofErr w:type="gramStart"/>
      <w:r>
        <w:t>So</w:t>
      </w:r>
      <w:proofErr w:type="gramEnd"/>
      <w:r>
        <w:t xml:space="preserve"> transaction-cost </w:t>
      </w:r>
      <w:proofErr w:type="gramStart"/>
      <w:r>
        <w:t>reasoning ,</w:t>
      </w:r>
      <w:proofErr w:type="gramEnd"/>
      <w:r>
        <w:t xml:space="preserve"> plus real-options logic, pushed me toward a tightly governed franchise and a staged commitment approach, not some instant big leap. I also learned that theory is only useful when it actually changes what you decide, here the frameworks moved my conclusion from a simple yes/no entry to a conditional entry idea, with evidence gates</w:t>
      </w:r>
    </w:p>
    <w:p w14:paraId="3B9794B9" w14:textId="77777777" w:rsidR="00967D91" w:rsidRDefault="00967D91" w:rsidP="00967D91">
      <w:pPr>
        <w:pStyle w:val="Heading2"/>
      </w:pPr>
      <w:r>
        <w:t xml:space="preserve">Conclusion  </w:t>
      </w:r>
    </w:p>
    <w:p w14:paraId="1E7D66AB" w14:textId="6859A9E4" w:rsidR="00967D91" w:rsidRDefault="00967D91" w:rsidP="00967D91">
      <w:r>
        <w:t xml:space="preserve">I concluded that any credible international-business analysis has to separate how attractive a country is from whether an entry model is viable. Kenya can still be </w:t>
      </w:r>
      <w:proofErr w:type="gramStart"/>
      <w:r>
        <w:t>promising ,</w:t>
      </w:r>
      <w:proofErr w:type="gramEnd"/>
      <w:r>
        <w:t xml:space="preserve"> but importing the full-size furniture model in that exact form remains off, at least on the evidence I had. I also learned that conflicting evidence shouldn’t be brushed away or removed just to make things neat. The core tension was between digital opportunity and </w:t>
      </w:r>
      <w:r>
        <w:lastRenderedPageBreak/>
        <w:t xml:space="preserve">the physical fulfilment, or between global scale and tariff exposure, and that shaped the recommendation the most. The final call ended up being conditional rather than absolute: IKEA should enter only when the delivered price setup, partner capability and the service model are proven. That conditional style is more defensible, because international decisions are usually made with incomplete </w:t>
      </w:r>
      <w:proofErr w:type="gramStart"/>
      <w:r>
        <w:t>data ,</w:t>
      </w:r>
      <w:proofErr w:type="gramEnd"/>
      <w:r>
        <w:t xml:space="preserve"> not a perfect dataset</w:t>
      </w:r>
    </w:p>
    <w:p w14:paraId="4BD87DC5" w14:textId="77777777" w:rsidR="00967D91" w:rsidRDefault="00967D91" w:rsidP="00967D91">
      <w:pPr>
        <w:pStyle w:val="Heading2"/>
      </w:pPr>
      <w:r>
        <w:t xml:space="preserve">Action Plan  </w:t>
      </w:r>
    </w:p>
    <w:p w14:paraId="326C484E" w14:textId="4B5DCBA1" w:rsidR="00C24ECC" w:rsidRDefault="00967D91" w:rsidP="00967D91">
      <w:r>
        <w:t xml:space="preserve">Next time, I would build a claim-evidence matrix at the beginning, and log the source, date, reliability, plus the analytical purpose of each important claim. I would also frame the decision questions before searching, so evidence stays selective instead of becoming just descriptive. Quantitative sensitivities, like exchange rates, tariffs, freight, and margin, would be modelled earlier because they basically decide commercial feasibility. I’d keep a research diary during the </w:t>
      </w:r>
      <w:proofErr w:type="gramStart"/>
      <w:r>
        <w:t>work ,</w:t>
      </w:r>
      <w:proofErr w:type="gramEnd"/>
      <w:r>
        <w:t xml:space="preserve"> instead of trying to reconstruct reflection at the end, and where it’s </w:t>
      </w:r>
      <w:proofErr w:type="gramStart"/>
      <w:r>
        <w:t>permitted</w:t>
      </w:r>
      <w:proofErr w:type="gramEnd"/>
      <w:r>
        <w:t xml:space="preserve"> I would gather more primary consumer evidence through interviews, home visits, or a structured survey. All of that should cut down on confirmation bias, and it should also strengthen the final evidence-based judgement.</w:t>
      </w:r>
    </w:p>
    <w:p w14:paraId="7F1EAC2D" w14:textId="77777777" w:rsidR="00C24ECC" w:rsidRDefault="00000000">
      <w:r>
        <w:br w:type="page"/>
      </w:r>
    </w:p>
    <w:p w14:paraId="56C0445D" w14:textId="77777777" w:rsidR="00C24ECC" w:rsidRDefault="00000000">
      <w:pPr>
        <w:pStyle w:val="Heading1"/>
      </w:pPr>
      <w:r>
        <w:lastRenderedPageBreak/>
        <w:t>Reference List</w:t>
      </w:r>
    </w:p>
    <w:p w14:paraId="290B941B" w14:textId="77777777" w:rsidR="00C24ECC" w:rsidRDefault="00000000">
      <w:pPr>
        <w:spacing w:after="100" w:line="276" w:lineRule="auto"/>
        <w:ind w:left="425" w:hanging="425"/>
        <w:jc w:val="left"/>
      </w:pPr>
      <w:r>
        <w:t xml:space="preserve">Anderson, E. and Gatignon, H. (1986) ‘Modes of foreign entry: A transaction cost analysis and propositions’, Journal of International Business Studies, 17(3), pp. 1-26. Available at: </w:t>
      </w:r>
      <w:hyperlink r:id="rId18">
        <w:r w:rsidR="00C24ECC">
          <w:rPr>
            <w:color w:val="0563C1"/>
            <w:u w:val="single"/>
          </w:rPr>
          <w:t>https://doi.org/10.1057/palgrave.jibs.8490432</w:t>
        </w:r>
      </w:hyperlink>
      <w:r>
        <w:t xml:space="preserve"> (Accessed: 4 August 2026).</w:t>
      </w:r>
    </w:p>
    <w:p w14:paraId="3C3D8E00" w14:textId="77777777" w:rsidR="00C24ECC" w:rsidRDefault="00000000">
      <w:pPr>
        <w:spacing w:after="100" w:line="276" w:lineRule="auto"/>
        <w:ind w:left="425" w:hanging="425"/>
        <w:jc w:val="left"/>
      </w:pPr>
      <w:r>
        <w:t xml:space="preserve">Bartlett, C.A. and Ghoshal, S. (1989) Managing Across Borders: The Transnational Solution. Boston, MA: Harvard Business School Press. Available at: </w:t>
      </w:r>
      <w:hyperlink r:id="rId19">
        <w:r w:rsidR="00C24ECC">
          <w:rPr>
            <w:color w:val="0563C1"/>
            <w:u w:val="single"/>
          </w:rPr>
          <w:t>https://books.google.com/books/about/Managing_across_borders.html?id=FSWyG9XL6ckC</w:t>
        </w:r>
      </w:hyperlink>
      <w:r>
        <w:t xml:space="preserve"> (Accessed: 4 August 2026).</w:t>
      </w:r>
    </w:p>
    <w:p w14:paraId="207D66B3" w14:textId="77777777" w:rsidR="00C24ECC" w:rsidRDefault="00000000">
      <w:pPr>
        <w:spacing w:after="100" w:line="276" w:lineRule="auto"/>
        <w:ind w:left="425" w:hanging="425"/>
        <w:jc w:val="left"/>
      </w:pPr>
      <w:r>
        <w:t xml:space="preserve">Brouthers, K.D. (2002) ‘Institutional, cultural and transaction cost influences on entry mode choice and performance’, Journal of International Business Studies, 33(2), pp. 203-221. Available at: </w:t>
      </w:r>
      <w:hyperlink r:id="rId20">
        <w:r w:rsidR="00C24ECC">
          <w:rPr>
            <w:color w:val="0563C1"/>
            <w:u w:val="single"/>
          </w:rPr>
          <w:t>https://doi.org/10.1057/palgrave.jibs.8491013</w:t>
        </w:r>
      </w:hyperlink>
      <w:r>
        <w:t xml:space="preserve"> (Accessed: 4 August 2026).</w:t>
      </w:r>
    </w:p>
    <w:p w14:paraId="05D9AC8F" w14:textId="77777777" w:rsidR="00C24ECC" w:rsidRDefault="00000000">
      <w:pPr>
        <w:spacing w:after="100" w:line="276" w:lineRule="auto"/>
        <w:ind w:left="425" w:hanging="425"/>
        <w:jc w:val="left"/>
      </w:pPr>
      <w:r>
        <w:t xml:space="preserve">Communications Authority of Kenya (2025) ‘Mobile, data, and digital services on the rise, CA report shows’, 30 June. Available at: </w:t>
      </w:r>
      <w:hyperlink r:id="rId21">
        <w:r w:rsidR="00C24ECC">
          <w:rPr>
            <w:color w:val="0563C1"/>
            <w:u w:val="single"/>
          </w:rPr>
          <w:t>https://www.ca.go.ke/index.php/mobile-data-and-digital-services-rise-ca-report-shows</w:t>
        </w:r>
      </w:hyperlink>
      <w:r>
        <w:t xml:space="preserve"> (Accessed: 4 August 2026).</w:t>
      </w:r>
    </w:p>
    <w:p w14:paraId="0ABDA106" w14:textId="77777777" w:rsidR="00C24ECC" w:rsidRDefault="00000000">
      <w:pPr>
        <w:spacing w:after="100" w:line="276" w:lineRule="auto"/>
        <w:ind w:left="425" w:hanging="425"/>
        <w:jc w:val="left"/>
      </w:pPr>
      <w:r>
        <w:t xml:space="preserve">Communications Authority of Kenya (2026) Kenya National Broadband Strategy 2025-2030. Nairobi: Communications Authority of Kenya. Available at: </w:t>
      </w:r>
      <w:hyperlink r:id="rId22">
        <w:r w:rsidR="00C24ECC">
          <w:rPr>
            <w:color w:val="0563C1"/>
            <w:u w:val="single"/>
          </w:rPr>
          <w:t>https://ca.go.ke/sites/default/files/2026-04/Kenya%20national%20Broadband%20Strategy%202025-2030.pdf</w:t>
        </w:r>
      </w:hyperlink>
      <w:r>
        <w:t xml:space="preserve"> (Accessed: 4 August 2026).</w:t>
      </w:r>
    </w:p>
    <w:p w14:paraId="27D72A10" w14:textId="77777777" w:rsidR="00C24ECC" w:rsidRDefault="00000000">
      <w:pPr>
        <w:spacing w:after="100" w:line="276" w:lineRule="auto"/>
        <w:ind w:left="425" w:hanging="425"/>
        <w:jc w:val="left"/>
      </w:pPr>
      <w:r>
        <w:t xml:space="preserve">Dunning, J.H. (1988) ‘The eclectic paradigm of international production: A restatement and some possible extensions’, Journal of International Business Studies, 19(1), pp. 1-31. Available at: </w:t>
      </w:r>
      <w:hyperlink r:id="rId23">
        <w:r w:rsidR="00C24ECC">
          <w:rPr>
            <w:color w:val="0563C1"/>
            <w:u w:val="single"/>
          </w:rPr>
          <w:t>https://doi.org/10.1057/palgrave.jibs.8490372</w:t>
        </w:r>
      </w:hyperlink>
      <w:r>
        <w:t xml:space="preserve"> (Accessed: 4 August 2026).</w:t>
      </w:r>
    </w:p>
    <w:p w14:paraId="04757B36" w14:textId="77777777" w:rsidR="00C24ECC" w:rsidRDefault="00000000">
      <w:pPr>
        <w:spacing w:after="100" w:line="276" w:lineRule="auto"/>
        <w:ind w:left="425" w:hanging="425"/>
        <w:jc w:val="left"/>
      </w:pPr>
      <w:r>
        <w:t xml:space="preserve">Dunning, J.H. (2001) ‘The eclectic (OLI) paradigm of international production: Past, present and future’, International Journal of the Economics of Business, 8(2), pp. 173-190. Available at: </w:t>
      </w:r>
      <w:hyperlink r:id="rId24">
        <w:r w:rsidR="00C24ECC">
          <w:rPr>
            <w:color w:val="0563C1"/>
            <w:u w:val="single"/>
          </w:rPr>
          <w:t>https://doi.org/10.1080/13571510110051441</w:t>
        </w:r>
      </w:hyperlink>
      <w:r>
        <w:t xml:space="preserve"> (Accessed: 4 August 2026).</w:t>
      </w:r>
    </w:p>
    <w:p w14:paraId="2A048077" w14:textId="77777777" w:rsidR="00C24ECC" w:rsidRDefault="00000000">
      <w:pPr>
        <w:spacing w:after="100" w:line="276" w:lineRule="auto"/>
        <w:ind w:left="425" w:hanging="425"/>
        <w:jc w:val="left"/>
      </w:pPr>
      <w:r>
        <w:t xml:space="preserve">East African Community (2022) East African Community Common External Tariff 2022 Version. Arusha: East African Community. Available at: </w:t>
      </w:r>
      <w:hyperlink r:id="rId25">
        <w:r w:rsidR="00C24ECC">
          <w:rPr>
            <w:color w:val="0563C1"/>
            <w:u w:val="single"/>
          </w:rPr>
          <w:t>https://www.eac.int/documents/category/eac-customs-union-common-external-tariff-version-2022</w:t>
        </w:r>
      </w:hyperlink>
      <w:r>
        <w:t xml:space="preserve"> (Accessed: 4 August 2026).</w:t>
      </w:r>
    </w:p>
    <w:p w14:paraId="09C11167" w14:textId="77777777" w:rsidR="00C24ECC" w:rsidRDefault="00000000">
      <w:pPr>
        <w:spacing w:after="100" w:line="276" w:lineRule="auto"/>
        <w:ind w:left="425" w:hanging="425"/>
        <w:jc w:val="left"/>
      </w:pPr>
      <w:r>
        <w:t xml:space="preserve">Gibbs, G. (1988) Learning by Doing: A Guide to Teaching and Learning Methods. Oxford: Further Education Unit, Oxford Polytechnic. Available at: </w:t>
      </w:r>
      <w:hyperlink r:id="rId26">
        <w:r w:rsidR="00C24ECC">
          <w:rPr>
            <w:color w:val="0563C1"/>
            <w:u w:val="single"/>
          </w:rPr>
          <w:t>https://thoughtsmostlyaboutlearning.files.wordpress.com/2015/12/learning-by-doing-graham-gibbs.pdf</w:t>
        </w:r>
      </w:hyperlink>
      <w:r>
        <w:t xml:space="preserve"> (Accessed: 4 August 2026).</w:t>
      </w:r>
    </w:p>
    <w:p w14:paraId="4EC54A6C" w14:textId="77777777" w:rsidR="00C24ECC" w:rsidRDefault="00000000">
      <w:pPr>
        <w:spacing w:after="100" w:line="276" w:lineRule="auto"/>
        <w:ind w:left="425" w:hanging="425"/>
        <w:jc w:val="left"/>
      </w:pPr>
      <w:r>
        <w:t xml:space="preserve">Hall, E.T. (1976) Beyond Culture. New York: Anchor Books. Available at: </w:t>
      </w:r>
      <w:hyperlink r:id="rId27">
        <w:r w:rsidR="00C24ECC">
          <w:rPr>
            <w:color w:val="0563C1"/>
            <w:u w:val="single"/>
          </w:rPr>
          <w:t>https://books.google.com/books/about/Beyond_Culture.html?id=VvQA4hRCv9gC</w:t>
        </w:r>
      </w:hyperlink>
      <w:r>
        <w:t xml:space="preserve"> (Accessed: 4 August 2026).</w:t>
      </w:r>
    </w:p>
    <w:p w14:paraId="01C4FF4F" w14:textId="77777777" w:rsidR="00C24ECC" w:rsidRDefault="00000000">
      <w:pPr>
        <w:spacing w:after="100" w:line="276" w:lineRule="auto"/>
        <w:ind w:left="425" w:hanging="425"/>
        <w:jc w:val="left"/>
      </w:pPr>
      <w:r>
        <w:lastRenderedPageBreak/>
        <w:t xml:space="preserve">Hofstede, G., Hofstede, G.J. and Minkov, M. (2010) Cultures and Organizations: Software of the Mind. 3rd edn. New York: McGraw-Hill. Available at: </w:t>
      </w:r>
      <w:hyperlink r:id="rId28">
        <w:r w:rsidR="00C24ECC">
          <w:rPr>
            <w:color w:val="0563C1"/>
            <w:u w:val="single"/>
          </w:rPr>
          <w:t>https://books.google.com/books/about/Cultures_and_Organizations.html?id=o4OqTgV3V00C</w:t>
        </w:r>
      </w:hyperlink>
      <w:r>
        <w:t xml:space="preserve"> (Accessed: 4 August 2026).</w:t>
      </w:r>
    </w:p>
    <w:p w14:paraId="7D8326A7" w14:textId="77777777" w:rsidR="00C24ECC" w:rsidRDefault="00000000">
      <w:pPr>
        <w:spacing w:after="100" w:line="276" w:lineRule="auto"/>
        <w:ind w:left="425" w:hanging="425"/>
        <w:jc w:val="left"/>
      </w:pPr>
      <w:r>
        <w:t xml:space="preserve">IKEA (2023) ‘The extra mile with International Sales’, 23 May. Available at: </w:t>
      </w:r>
      <w:hyperlink r:id="rId29">
        <w:r w:rsidR="00C24ECC">
          <w:rPr>
            <w:color w:val="0563C1"/>
            <w:u w:val="single"/>
          </w:rPr>
          <w:t>https://www.ikea.com/global/en/stories/ikea-around-the-world/the-extra-mile-with-international-sales-230523/</w:t>
        </w:r>
      </w:hyperlink>
      <w:r>
        <w:t xml:space="preserve"> (Accessed: 4 August 2026).</w:t>
      </w:r>
    </w:p>
    <w:p w14:paraId="2B6ED446" w14:textId="77777777" w:rsidR="00C24ECC" w:rsidRDefault="00000000">
      <w:pPr>
        <w:spacing w:after="100" w:line="276" w:lineRule="auto"/>
        <w:ind w:left="425" w:hanging="425"/>
        <w:jc w:val="left"/>
      </w:pPr>
      <w:r>
        <w:t xml:space="preserve">IKEA (2026a) International Sales. Available at: </w:t>
      </w:r>
      <w:hyperlink r:id="rId30">
        <w:r w:rsidR="00C24ECC">
          <w:rPr>
            <w:color w:val="0563C1"/>
            <w:u w:val="single"/>
          </w:rPr>
          <w:t>https://www.ikea.com/global/en/international-sales/</w:t>
        </w:r>
      </w:hyperlink>
      <w:r>
        <w:t xml:space="preserve"> (Accessed: 4 August 2026).</w:t>
      </w:r>
    </w:p>
    <w:p w14:paraId="55D258B8" w14:textId="77777777" w:rsidR="00C24ECC" w:rsidRDefault="00000000">
      <w:pPr>
        <w:spacing w:after="100" w:line="276" w:lineRule="auto"/>
        <w:ind w:left="425" w:hanging="425"/>
        <w:jc w:val="left"/>
      </w:pPr>
      <w:r>
        <w:t xml:space="preserve">IKEA (2026b) The IKEA franchise system. Available at: </w:t>
      </w:r>
      <w:hyperlink r:id="rId31">
        <w:r w:rsidR="00C24ECC">
          <w:rPr>
            <w:color w:val="0563C1"/>
            <w:u w:val="single"/>
          </w:rPr>
          <w:t>https://www.ikea.com/global/en/our-business/how-we-work/the-ikea-franchise-system/</w:t>
        </w:r>
      </w:hyperlink>
      <w:r>
        <w:t xml:space="preserve"> (Accessed: 4 August 2026).</w:t>
      </w:r>
    </w:p>
    <w:p w14:paraId="01A27C24" w14:textId="77777777" w:rsidR="00C24ECC" w:rsidRDefault="00000000">
      <w:pPr>
        <w:spacing w:after="100" w:line="276" w:lineRule="auto"/>
        <w:ind w:left="425" w:hanging="425"/>
        <w:jc w:val="left"/>
      </w:pPr>
      <w:r>
        <w:t xml:space="preserve">International Monetary Fund (2026) Kenya and the IMF: Country Data. Washington, DC: IMF. Available at: </w:t>
      </w:r>
      <w:hyperlink r:id="rId32">
        <w:r w:rsidR="00C24ECC">
          <w:rPr>
            <w:color w:val="0563C1"/>
            <w:u w:val="single"/>
          </w:rPr>
          <w:t>https://www.imf.org/en/Countries/KEN</w:t>
        </w:r>
      </w:hyperlink>
      <w:r>
        <w:t xml:space="preserve"> (Accessed: 4 August 2026).</w:t>
      </w:r>
    </w:p>
    <w:p w14:paraId="518116C4" w14:textId="77777777" w:rsidR="00C24ECC" w:rsidRDefault="00000000">
      <w:pPr>
        <w:spacing w:after="100" w:line="276" w:lineRule="auto"/>
        <w:ind w:left="425" w:hanging="425"/>
        <w:jc w:val="left"/>
      </w:pPr>
      <w:r>
        <w:t xml:space="preserve">Inter IKEA Group (2025a) Inter IKEA Group Financial Summary FY25. Delft: Inter IKEA Group. Available at: </w:t>
      </w:r>
      <w:hyperlink r:id="rId33">
        <w:r w:rsidR="00C24ECC">
          <w:rPr>
            <w:color w:val="0563C1"/>
            <w:u w:val="single"/>
          </w:rPr>
          <w:t>https://www.inter.ikea.com/-/media/interikea/igi/financial-reports/fy25-financial-reports/inter-ikea-group-financial-summary_fy25_final.pdf</w:t>
        </w:r>
      </w:hyperlink>
      <w:r>
        <w:t xml:space="preserve"> (Accessed: 4 August 2026).</w:t>
      </w:r>
    </w:p>
    <w:p w14:paraId="6053450E" w14:textId="77777777" w:rsidR="00C24ECC" w:rsidRDefault="00000000">
      <w:pPr>
        <w:spacing w:after="100" w:line="276" w:lineRule="auto"/>
        <w:ind w:left="425" w:hanging="425"/>
        <w:jc w:val="left"/>
      </w:pPr>
      <w:r>
        <w:t xml:space="preserve">Kenya Bureau of Standards (2026) Testing Laboratories. Nairobi: KEBS. Available at: </w:t>
      </w:r>
      <w:hyperlink r:id="rId34">
        <w:r w:rsidR="00C24ECC">
          <w:rPr>
            <w:color w:val="0563C1"/>
            <w:u w:val="single"/>
          </w:rPr>
          <w:t>https://www.kebs.org/testing-laboratories/</w:t>
        </w:r>
      </w:hyperlink>
      <w:r>
        <w:t xml:space="preserve"> (Accessed: 4 August 2026).</w:t>
      </w:r>
    </w:p>
    <w:p w14:paraId="758D05F2" w14:textId="77777777" w:rsidR="00C24ECC" w:rsidRDefault="00000000">
      <w:pPr>
        <w:spacing w:after="100" w:line="276" w:lineRule="auto"/>
        <w:ind w:left="425" w:hanging="425"/>
        <w:jc w:val="left"/>
      </w:pPr>
      <w:r>
        <w:t xml:space="preserve">Kenya Law (2010) Competition Act, No. 12 of 2010. Nairobi: National Council for Law Reporting. Available at: </w:t>
      </w:r>
      <w:hyperlink r:id="rId35">
        <w:r w:rsidR="00C24ECC">
          <w:rPr>
            <w:color w:val="0563C1"/>
            <w:u w:val="single"/>
          </w:rPr>
          <w:t>https://kenyalaw.org/akn/ke/act/2010/12</w:t>
        </w:r>
      </w:hyperlink>
      <w:r>
        <w:t xml:space="preserve"> (Accessed: 4 August 2026).</w:t>
      </w:r>
    </w:p>
    <w:p w14:paraId="3E2A0947" w14:textId="77777777" w:rsidR="00C24ECC" w:rsidRDefault="00000000">
      <w:pPr>
        <w:spacing w:after="100" w:line="276" w:lineRule="auto"/>
        <w:ind w:left="425" w:hanging="425"/>
        <w:jc w:val="left"/>
      </w:pPr>
      <w:r>
        <w:t xml:space="preserve">Kenya Law (2012) Consumer Protection Act, No. 46 of 2012. Nairobi: National Council for Law Reporting. Available at: </w:t>
      </w:r>
      <w:hyperlink r:id="rId36">
        <w:r w:rsidR="00C24ECC">
          <w:rPr>
            <w:color w:val="0563C1"/>
            <w:u w:val="single"/>
          </w:rPr>
          <w:t>https://new.kenyalaw.org/akn/ke/act/2012/46/eng@2022-12-31</w:t>
        </w:r>
      </w:hyperlink>
      <w:r>
        <w:t xml:space="preserve"> (Accessed: 4 August 2026).</w:t>
      </w:r>
    </w:p>
    <w:p w14:paraId="6DB2C614" w14:textId="77777777" w:rsidR="00C24ECC" w:rsidRDefault="00000000">
      <w:pPr>
        <w:spacing w:after="100" w:line="276" w:lineRule="auto"/>
        <w:ind w:left="425" w:hanging="425"/>
        <w:jc w:val="left"/>
      </w:pPr>
      <w:r>
        <w:t xml:space="preserve">Kenya Law (2015) Companies Act, No. 17 of 2015. Nairobi: National Council for Law Reporting. Available at: </w:t>
      </w:r>
      <w:hyperlink r:id="rId37">
        <w:r w:rsidR="00C24ECC">
          <w:rPr>
            <w:color w:val="0563C1"/>
            <w:u w:val="single"/>
          </w:rPr>
          <w:t>https://new.kenyalaw.org/akn/ke/act/2015/17/eng@2024-12-27</w:t>
        </w:r>
      </w:hyperlink>
      <w:r>
        <w:t xml:space="preserve"> (Accessed: 4 August 2026).</w:t>
      </w:r>
    </w:p>
    <w:p w14:paraId="7E65CC92" w14:textId="77777777" w:rsidR="00C24ECC" w:rsidRDefault="00000000">
      <w:pPr>
        <w:spacing w:after="100" w:line="276" w:lineRule="auto"/>
        <w:ind w:left="425" w:hanging="425"/>
        <w:jc w:val="left"/>
      </w:pPr>
      <w:r>
        <w:t xml:space="preserve">Kenya Law (2019) Data Protection Act, No. 24 of 2019. Nairobi: National Council for Law Reporting. Available at: </w:t>
      </w:r>
      <w:hyperlink r:id="rId38">
        <w:r w:rsidR="00C24ECC">
          <w:rPr>
            <w:color w:val="0563C1"/>
            <w:u w:val="single"/>
          </w:rPr>
          <w:t>https://new.kenyalaw.org/akn/ke/act/2019/24</w:t>
        </w:r>
      </w:hyperlink>
      <w:r>
        <w:t xml:space="preserve"> (Accessed: 4 August 2026).</w:t>
      </w:r>
    </w:p>
    <w:p w14:paraId="2265FF0B" w14:textId="77777777" w:rsidR="00C24ECC" w:rsidRDefault="00000000">
      <w:pPr>
        <w:spacing w:after="100" w:line="276" w:lineRule="auto"/>
        <w:ind w:left="425" w:hanging="425"/>
        <w:jc w:val="left"/>
      </w:pPr>
      <w:r>
        <w:t xml:space="preserve">Kenya Law (2021a) Data Protection (General) Regulations, 2021. Nairobi: National Council for Law Reporting. Available at: </w:t>
      </w:r>
      <w:hyperlink r:id="rId39">
        <w:r w:rsidR="00C24ECC">
          <w:rPr>
            <w:color w:val="0563C1"/>
            <w:u w:val="single"/>
          </w:rPr>
          <w:t>https://kenyalaw.org/akn/ke/act/ln/2021/263/eng@2022-01-14</w:t>
        </w:r>
      </w:hyperlink>
      <w:r>
        <w:t xml:space="preserve"> (Accessed: 4 August 2026).</w:t>
      </w:r>
    </w:p>
    <w:p w14:paraId="3DF6022B" w14:textId="77777777" w:rsidR="00C24ECC" w:rsidRDefault="00000000">
      <w:pPr>
        <w:spacing w:after="100" w:line="276" w:lineRule="auto"/>
        <w:ind w:left="425" w:hanging="425"/>
        <w:jc w:val="left"/>
      </w:pPr>
      <w:r>
        <w:t xml:space="preserve">Kenya Law (2021b) Data Protection (Registration of Data Controllers and Data Processors) Regulations, 2021. Nairobi: National Council for Law Reporting. Available at: </w:t>
      </w:r>
      <w:hyperlink r:id="rId40">
        <w:r w:rsidR="00C24ECC">
          <w:rPr>
            <w:color w:val="0563C1"/>
            <w:u w:val="single"/>
          </w:rPr>
          <w:t>https://kenyalaw.org/akn/ke/act/ln/2021/265/eng@2022-01-14</w:t>
        </w:r>
      </w:hyperlink>
      <w:r>
        <w:t xml:space="preserve"> (Accessed: 4 August 2026).</w:t>
      </w:r>
    </w:p>
    <w:p w14:paraId="21BDF5CD" w14:textId="77777777" w:rsidR="00C24ECC" w:rsidRDefault="00000000">
      <w:pPr>
        <w:spacing w:after="100" w:line="276" w:lineRule="auto"/>
        <w:ind w:left="425" w:hanging="425"/>
        <w:jc w:val="left"/>
      </w:pPr>
      <w:r>
        <w:lastRenderedPageBreak/>
        <w:t xml:space="preserve">Kenya National Bureau of Statistics (2025) Economic Survey 2025. Nairobi: KNBS. Available at: </w:t>
      </w:r>
      <w:hyperlink r:id="rId41">
        <w:r w:rsidR="00C24ECC">
          <w:rPr>
            <w:color w:val="0563C1"/>
            <w:u w:val="single"/>
          </w:rPr>
          <w:t>https://www.knbs.or.ke/reports/2025-economic-survey/</w:t>
        </w:r>
      </w:hyperlink>
      <w:r>
        <w:t xml:space="preserve"> (Accessed: 4 August 2026).</w:t>
      </w:r>
    </w:p>
    <w:p w14:paraId="0F8B8C92" w14:textId="77777777" w:rsidR="00C24ECC" w:rsidRDefault="00000000">
      <w:pPr>
        <w:spacing w:after="100" w:line="276" w:lineRule="auto"/>
        <w:ind w:left="425" w:hanging="425"/>
        <w:jc w:val="left"/>
      </w:pPr>
      <w:r>
        <w:t xml:space="preserve">Kenya National Bureau of Statistics (2026) Economic Survey 2026. Nairobi: KNBS. Available at: </w:t>
      </w:r>
      <w:hyperlink r:id="rId42">
        <w:r w:rsidR="00C24ECC">
          <w:rPr>
            <w:color w:val="0563C1"/>
            <w:u w:val="single"/>
          </w:rPr>
          <w:t>https://www.knbs.or.ke/reports/2026-economic-survey/</w:t>
        </w:r>
      </w:hyperlink>
      <w:r>
        <w:t xml:space="preserve"> (Accessed: 4 August 2026).</w:t>
      </w:r>
    </w:p>
    <w:p w14:paraId="779C815F" w14:textId="77777777" w:rsidR="00C24ECC" w:rsidRDefault="00000000">
      <w:pPr>
        <w:spacing w:after="100" w:line="276" w:lineRule="auto"/>
        <w:ind w:left="425" w:hanging="425"/>
        <w:jc w:val="left"/>
      </w:pPr>
      <w:r>
        <w:t xml:space="preserve">Kenya Revenue Authority (2026a) Value Added Tax. Nairobi: KRA. Available at: </w:t>
      </w:r>
      <w:hyperlink r:id="rId43">
        <w:r w:rsidR="00C24ECC">
          <w:rPr>
            <w:color w:val="0563C1"/>
            <w:u w:val="single"/>
          </w:rPr>
          <w:t>https://www.kra.go.ke/individual/filing-paying/types-of-taxes/value-added-tax</w:t>
        </w:r>
      </w:hyperlink>
      <w:r>
        <w:t xml:space="preserve"> (Accessed: 4 August 2026).</w:t>
      </w:r>
    </w:p>
    <w:p w14:paraId="4A1C0C87" w14:textId="77777777" w:rsidR="00C24ECC" w:rsidRDefault="00000000">
      <w:pPr>
        <w:spacing w:after="100" w:line="276" w:lineRule="auto"/>
        <w:ind w:left="425" w:hanging="425"/>
        <w:jc w:val="left"/>
      </w:pPr>
      <w:r>
        <w:t xml:space="preserve">Kenya Revenue Authority (2026b) Filing and Paying Taxes: Companies and Partnerships. Nairobi: KRA. Available at: </w:t>
      </w:r>
      <w:hyperlink r:id="rId44">
        <w:r w:rsidR="00C24ECC">
          <w:rPr>
            <w:color w:val="0563C1"/>
            <w:u w:val="single"/>
          </w:rPr>
          <w:t>https://www.kra.go.ke/business/companies-partnerships/companies-partnerships-pin-taxes/companies-partnerships-file-pay</w:t>
        </w:r>
      </w:hyperlink>
      <w:r>
        <w:t xml:space="preserve"> (Accessed: 4 August 2026).</w:t>
      </w:r>
    </w:p>
    <w:p w14:paraId="311969FD" w14:textId="77777777" w:rsidR="00C24ECC" w:rsidRDefault="00000000">
      <w:pPr>
        <w:spacing w:after="100" w:line="276" w:lineRule="auto"/>
        <w:ind w:left="425" w:hanging="425"/>
        <w:jc w:val="left"/>
      </w:pPr>
      <w:r>
        <w:t xml:space="preserve">Transparency International (2026) Corruption Perceptions Index 2025: Kenya. Berlin: Transparency International. Available at: </w:t>
      </w:r>
      <w:hyperlink r:id="rId45">
        <w:r w:rsidR="00C24ECC">
          <w:rPr>
            <w:color w:val="0563C1"/>
            <w:u w:val="single"/>
          </w:rPr>
          <w:t>https://www.transparency.org/en/countries/kenya</w:t>
        </w:r>
      </w:hyperlink>
      <w:r>
        <w:t xml:space="preserve"> (Accessed: 4 August 2026).</w:t>
      </w:r>
    </w:p>
    <w:p w14:paraId="3703EBAC" w14:textId="77777777" w:rsidR="00C24ECC" w:rsidRDefault="00000000">
      <w:pPr>
        <w:spacing w:after="100" w:line="276" w:lineRule="auto"/>
        <w:ind w:left="425" w:hanging="425"/>
        <w:jc w:val="left"/>
      </w:pPr>
      <w:r>
        <w:t xml:space="preserve">World Bank (2025a) ‘Despite improvements, Kenya’s fiscal path is fragile amid high debt vulnerabilities and weak revenue growth’, 27 May. Washington, DC: World Bank. Available at: </w:t>
      </w:r>
      <w:hyperlink r:id="rId46">
        <w:r w:rsidR="00C24ECC">
          <w:rPr>
            <w:color w:val="0563C1"/>
            <w:u w:val="single"/>
          </w:rPr>
          <w:t>https://www.worldbank.org/en/news/press-release/2025/05/27/despite-improvements-afe-kenyas-fiscal-path-is-fragile-amid-high-debt-vulnerabilities-and-weak-revenue-growth</w:t>
        </w:r>
      </w:hyperlink>
      <w:r>
        <w:t xml:space="preserve"> (Accessed: 4 August 2026).</w:t>
      </w:r>
    </w:p>
    <w:p w14:paraId="2C74FA61" w14:textId="77777777" w:rsidR="00C24ECC" w:rsidRDefault="00000000">
      <w:pPr>
        <w:spacing w:after="100" w:line="276" w:lineRule="auto"/>
        <w:ind w:left="425" w:hanging="425"/>
        <w:jc w:val="left"/>
      </w:pPr>
      <w:r>
        <w:t xml:space="preserve">World Bank (2026) Urban population (% of total population) - Kenya. Washington, DC: World Bank. Available at: </w:t>
      </w:r>
      <w:hyperlink r:id="rId47">
        <w:r w:rsidR="00C24ECC">
          <w:rPr>
            <w:color w:val="0563C1"/>
            <w:u w:val="single"/>
          </w:rPr>
          <w:t>https://data.worldbank.org/indicator/SP.URB.TOTL.IN.ZS?locations=KE</w:t>
        </w:r>
      </w:hyperlink>
      <w:r>
        <w:t xml:space="preserve"> (Accessed: 4 August 2026).</w:t>
      </w:r>
    </w:p>
    <w:p w14:paraId="1EB62D5D" w14:textId="77777777" w:rsidR="00C24ECC" w:rsidRDefault="00000000">
      <w:pPr>
        <w:spacing w:after="100" w:line="276" w:lineRule="auto"/>
        <w:ind w:left="425" w:hanging="425"/>
        <w:jc w:val="left"/>
      </w:pPr>
      <w:r>
        <w:t xml:space="preserve">Wikimedia Commons (2008) Nairobi skyline P1000020.jpg. Photograph by Lmwangi. CC BY-SA 3.0. Available at: </w:t>
      </w:r>
      <w:hyperlink r:id="rId48">
        <w:r w:rsidR="00C24ECC">
          <w:rPr>
            <w:color w:val="0563C1"/>
            <w:u w:val="single"/>
          </w:rPr>
          <w:t>https://commons.wikimedia.org/wiki/File:Nairobi_skyline_P1000020.jpg</w:t>
        </w:r>
      </w:hyperlink>
      <w:r>
        <w:t xml:space="preserve"> (Accessed: 4 August 2026).</w:t>
      </w:r>
    </w:p>
    <w:p w14:paraId="4DF6FF42" w14:textId="77777777" w:rsidR="00C24ECC" w:rsidRDefault="00000000">
      <w:pPr>
        <w:spacing w:after="100" w:line="276" w:lineRule="auto"/>
        <w:ind w:left="425" w:hanging="425"/>
        <w:jc w:val="left"/>
      </w:pPr>
      <w:r>
        <w:t xml:space="preserve">Wikimedia Commons (2012) IKEA (8020223012).jpg. Photograph by Montgomery County Planning Commission. CC BY-SA 2.0. Available at: </w:t>
      </w:r>
      <w:hyperlink r:id="rId49">
        <w:r w:rsidR="00C24ECC">
          <w:rPr>
            <w:color w:val="0563C1"/>
            <w:u w:val="single"/>
          </w:rPr>
          <w:t>https://commons.wikimedia.org/wiki/File:IKEA_(8020223012).jpg</w:t>
        </w:r>
      </w:hyperlink>
      <w:r>
        <w:t xml:space="preserve"> (Accessed: 4 August 2026).</w:t>
      </w:r>
    </w:p>
    <w:p w14:paraId="17AB62D7" w14:textId="77777777" w:rsidR="00C24ECC" w:rsidRDefault="00000000">
      <w:pPr>
        <w:pStyle w:val="Heading1"/>
        <w:pageBreakBefore/>
      </w:pPr>
      <w:r>
        <w:lastRenderedPageBreak/>
        <w:t>Appendix A. Quantitative Data Used in Figures</w:t>
      </w:r>
    </w:p>
    <w:p w14:paraId="24FBA01C" w14:textId="77777777" w:rsidR="00C24ECC" w:rsidRDefault="00000000">
      <w:pPr>
        <w:pStyle w:val="CaptionText"/>
      </w:pPr>
      <w:r>
        <w:t>Table A1. Quantitative data used in report figures.</w:t>
      </w:r>
    </w:p>
    <w:tbl>
      <w:tblPr>
        <w:tblStyle w:val="TableGrid"/>
        <w:tblW w:w="0" w:type="auto"/>
        <w:jc w:val="center"/>
        <w:tblLook w:val="04A0" w:firstRow="1" w:lastRow="0" w:firstColumn="1" w:lastColumn="0" w:noHBand="0" w:noVBand="1"/>
      </w:tblPr>
      <w:tblGrid>
        <w:gridCol w:w="1587"/>
        <w:gridCol w:w="3150"/>
        <w:gridCol w:w="1775"/>
        <w:gridCol w:w="2889"/>
      </w:tblGrid>
      <w:tr w:rsidR="00C24ECC" w14:paraId="0DFE90D4" w14:textId="77777777">
        <w:trPr>
          <w:cantSplit/>
          <w:tblHeader/>
          <w:jc w:val="center"/>
        </w:trPr>
        <w:tc>
          <w:tcPr>
            <w:tcW w:w="1701" w:type="dxa"/>
            <w:shd w:val="clear" w:color="auto" w:fill="0058A3"/>
            <w:tcMar>
              <w:top w:w="80" w:type="dxa"/>
              <w:left w:w="90" w:type="dxa"/>
              <w:bottom w:w="80" w:type="dxa"/>
              <w:right w:w="90" w:type="dxa"/>
            </w:tcMar>
            <w:vAlign w:val="center"/>
          </w:tcPr>
          <w:p w14:paraId="643A0904" w14:textId="77777777" w:rsidR="00C24ECC" w:rsidRDefault="00000000">
            <w:pPr>
              <w:jc w:val="center"/>
            </w:pPr>
            <w:r>
              <w:rPr>
                <w:b/>
                <w:color w:val="FFFFFF"/>
                <w:sz w:val="16"/>
              </w:rPr>
              <w:t>Figure</w:t>
            </w:r>
          </w:p>
        </w:tc>
        <w:tc>
          <w:tcPr>
            <w:tcW w:w="3402" w:type="dxa"/>
            <w:shd w:val="clear" w:color="auto" w:fill="0058A3"/>
            <w:tcMar>
              <w:top w:w="80" w:type="dxa"/>
              <w:left w:w="90" w:type="dxa"/>
              <w:bottom w:w="80" w:type="dxa"/>
              <w:right w:w="90" w:type="dxa"/>
            </w:tcMar>
            <w:vAlign w:val="center"/>
          </w:tcPr>
          <w:p w14:paraId="2178DD29" w14:textId="77777777" w:rsidR="00C24ECC" w:rsidRDefault="00000000">
            <w:pPr>
              <w:jc w:val="center"/>
            </w:pPr>
            <w:r>
              <w:rPr>
                <w:b/>
                <w:color w:val="FFFFFF"/>
                <w:sz w:val="16"/>
              </w:rPr>
              <w:t>Variable</w:t>
            </w:r>
          </w:p>
        </w:tc>
        <w:tc>
          <w:tcPr>
            <w:tcW w:w="1871" w:type="dxa"/>
            <w:shd w:val="clear" w:color="auto" w:fill="0058A3"/>
            <w:tcMar>
              <w:top w:w="80" w:type="dxa"/>
              <w:left w:w="90" w:type="dxa"/>
              <w:bottom w:w="80" w:type="dxa"/>
              <w:right w:w="90" w:type="dxa"/>
            </w:tcMar>
            <w:vAlign w:val="center"/>
          </w:tcPr>
          <w:p w14:paraId="34C9274A" w14:textId="77777777" w:rsidR="00C24ECC" w:rsidRDefault="00000000">
            <w:pPr>
              <w:jc w:val="center"/>
            </w:pPr>
            <w:r>
              <w:rPr>
                <w:b/>
                <w:color w:val="FFFFFF"/>
                <w:sz w:val="16"/>
              </w:rPr>
              <w:t>Value</w:t>
            </w:r>
          </w:p>
        </w:tc>
        <w:tc>
          <w:tcPr>
            <w:tcW w:w="3118" w:type="dxa"/>
            <w:shd w:val="clear" w:color="auto" w:fill="0058A3"/>
            <w:tcMar>
              <w:top w:w="80" w:type="dxa"/>
              <w:left w:w="90" w:type="dxa"/>
              <w:bottom w:w="80" w:type="dxa"/>
              <w:right w:w="90" w:type="dxa"/>
            </w:tcMar>
            <w:vAlign w:val="center"/>
          </w:tcPr>
          <w:p w14:paraId="23F520F8" w14:textId="77777777" w:rsidR="00C24ECC" w:rsidRDefault="00000000">
            <w:pPr>
              <w:jc w:val="center"/>
            </w:pPr>
            <w:r>
              <w:rPr>
                <w:b/>
                <w:color w:val="FFFFFF"/>
                <w:sz w:val="16"/>
              </w:rPr>
              <w:t>Source</w:t>
            </w:r>
          </w:p>
        </w:tc>
      </w:tr>
      <w:tr w:rsidR="00C24ECC" w14:paraId="2CA24BC7" w14:textId="77777777">
        <w:trPr>
          <w:cantSplit/>
          <w:jc w:val="center"/>
        </w:trPr>
        <w:tc>
          <w:tcPr>
            <w:tcW w:w="1701" w:type="dxa"/>
            <w:tcMar>
              <w:top w:w="80" w:type="dxa"/>
              <w:left w:w="90" w:type="dxa"/>
              <w:bottom w:w="80" w:type="dxa"/>
              <w:right w:w="90" w:type="dxa"/>
            </w:tcMar>
          </w:tcPr>
          <w:p w14:paraId="7A06DA79" w14:textId="77777777" w:rsidR="00C24ECC" w:rsidRDefault="00000000">
            <w:pPr>
              <w:spacing w:after="0" w:line="252" w:lineRule="auto"/>
              <w:jc w:val="left"/>
            </w:pPr>
            <w:r>
              <w:rPr>
                <w:sz w:val="16"/>
              </w:rPr>
              <w:t>Figure 2</w:t>
            </w:r>
          </w:p>
        </w:tc>
        <w:tc>
          <w:tcPr>
            <w:tcW w:w="3402" w:type="dxa"/>
            <w:tcMar>
              <w:top w:w="80" w:type="dxa"/>
              <w:left w:w="90" w:type="dxa"/>
              <w:bottom w:w="80" w:type="dxa"/>
              <w:right w:w="90" w:type="dxa"/>
            </w:tcMar>
          </w:tcPr>
          <w:p w14:paraId="73F83C67" w14:textId="77777777" w:rsidR="00C24ECC" w:rsidRDefault="00000000">
            <w:pPr>
              <w:spacing w:after="0" w:line="252" w:lineRule="auto"/>
              <w:jc w:val="left"/>
            </w:pPr>
            <w:r>
              <w:rPr>
                <w:sz w:val="16"/>
              </w:rPr>
              <w:t>IKEA retail sales FY23</w:t>
            </w:r>
          </w:p>
        </w:tc>
        <w:tc>
          <w:tcPr>
            <w:tcW w:w="1871" w:type="dxa"/>
            <w:tcMar>
              <w:top w:w="80" w:type="dxa"/>
              <w:left w:w="90" w:type="dxa"/>
              <w:bottom w:w="80" w:type="dxa"/>
              <w:right w:w="90" w:type="dxa"/>
            </w:tcMar>
          </w:tcPr>
          <w:p w14:paraId="153243B7" w14:textId="77777777" w:rsidR="00C24ECC" w:rsidRDefault="00000000">
            <w:pPr>
              <w:spacing w:after="0" w:line="252" w:lineRule="auto"/>
              <w:jc w:val="left"/>
            </w:pPr>
            <w:r>
              <w:rPr>
                <w:sz w:val="16"/>
              </w:rPr>
              <w:t>EUR47.6bn</w:t>
            </w:r>
          </w:p>
        </w:tc>
        <w:tc>
          <w:tcPr>
            <w:tcW w:w="3118" w:type="dxa"/>
            <w:tcMar>
              <w:top w:w="80" w:type="dxa"/>
              <w:left w:w="90" w:type="dxa"/>
              <w:bottom w:w="80" w:type="dxa"/>
              <w:right w:w="90" w:type="dxa"/>
            </w:tcMar>
          </w:tcPr>
          <w:p w14:paraId="445C868B" w14:textId="77777777" w:rsidR="00C24ECC" w:rsidRDefault="00000000">
            <w:pPr>
              <w:spacing w:after="0" w:line="252" w:lineRule="auto"/>
              <w:jc w:val="left"/>
            </w:pPr>
            <w:r>
              <w:rPr>
                <w:sz w:val="16"/>
              </w:rPr>
              <w:t>Inter IKEA Group FY25 comparative data</w:t>
            </w:r>
          </w:p>
        </w:tc>
      </w:tr>
      <w:tr w:rsidR="00C24ECC" w14:paraId="03A6D64D" w14:textId="77777777">
        <w:trPr>
          <w:cantSplit/>
          <w:jc w:val="center"/>
        </w:trPr>
        <w:tc>
          <w:tcPr>
            <w:tcW w:w="1701" w:type="dxa"/>
            <w:shd w:val="clear" w:color="auto" w:fill="F1F5F8"/>
            <w:tcMar>
              <w:top w:w="80" w:type="dxa"/>
              <w:left w:w="90" w:type="dxa"/>
              <w:bottom w:w="80" w:type="dxa"/>
              <w:right w:w="90" w:type="dxa"/>
            </w:tcMar>
          </w:tcPr>
          <w:p w14:paraId="6941DD7E" w14:textId="77777777" w:rsidR="00C24ECC" w:rsidRDefault="00000000">
            <w:pPr>
              <w:spacing w:after="0" w:line="252" w:lineRule="auto"/>
              <w:jc w:val="left"/>
            </w:pPr>
            <w:r>
              <w:rPr>
                <w:sz w:val="16"/>
              </w:rPr>
              <w:t>Figure 2</w:t>
            </w:r>
          </w:p>
        </w:tc>
        <w:tc>
          <w:tcPr>
            <w:tcW w:w="3402" w:type="dxa"/>
            <w:shd w:val="clear" w:color="auto" w:fill="F1F5F8"/>
            <w:tcMar>
              <w:top w:w="80" w:type="dxa"/>
              <w:left w:w="90" w:type="dxa"/>
              <w:bottom w:w="80" w:type="dxa"/>
              <w:right w:w="90" w:type="dxa"/>
            </w:tcMar>
          </w:tcPr>
          <w:p w14:paraId="1EDB2090" w14:textId="77777777" w:rsidR="00C24ECC" w:rsidRDefault="00000000">
            <w:pPr>
              <w:spacing w:after="0" w:line="252" w:lineRule="auto"/>
              <w:jc w:val="left"/>
            </w:pPr>
            <w:r>
              <w:rPr>
                <w:sz w:val="16"/>
              </w:rPr>
              <w:t>IKEA retail sales FY24</w:t>
            </w:r>
          </w:p>
        </w:tc>
        <w:tc>
          <w:tcPr>
            <w:tcW w:w="1871" w:type="dxa"/>
            <w:shd w:val="clear" w:color="auto" w:fill="F1F5F8"/>
            <w:tcMar>
              <w:top w:w="80" w:type="dxa"/>
              <w:left w:w="90" w:type="dxa"/>
              <w:bottom w:w="80" w:type="dxa"/>
              <w:right w:w="90" w:type="dxa"/>
            </w:tcMar>
          </w:tcPr>
          <w:p w14:paraId="577CFC78" w14:textId="77777777" w:rsidR="00C24ECC" w:rsidRDefault="00000000">
            <w:pPr>
              <w:spacing w:after="0" w:line="252" w:lineRule="auto"/>
              <w:jc w:val="left"/>
            </w:pPr>
            <w:r>
              <w:rPr>
                <w:sz w:val="16"/>
              </w:rPr>
              <w:t>EUR45.1bn</w:t>
            </w:r>
          </w:p>
        </w:tc>
        <w:tc>
          <w:tcPr>
            <w:tcW w:w="3118" w:type="dxa"/>
            <w:shd w:val="clear" w:color="auto" w:fill="F1F5F8"/>
            <w:tcMar>
              <w:top w:w="80" w:type="dxa"/>
              <w:left w:w="90" w:type="dxa"/>
              <w:bottom w:w="80" w:type="dxa"/>
              <w:right w:w="90" w:type="dxa"/>
            </w:tcMar>
          </w:tcPr>
          <w:p w14:paraId="70EE5E5C" w14:textId="77777777" w:rsidR="00C24ECC" w:rsidRDefault="00000000">
            <w:pPr>
              <w:spacing w:after="0" w:line="252" w:lineRule="auto"/>
              <w:jc w:val="left"/>
            </w:pPr>
            <w:r>
              <w:rPr>
                <w:sz w:val="16"/>
              </w:rPr>
              <w:t>Inter IKEA Group FY25</w:t>
            </w:r>
          </w:p>
        </w:tc>
      </w:tr>
      <w:tr w:rsidR="00C24ECC" w14:paraId="453DCD1F" w14:textId="77777777">
        <w:trPr>
          <w:cantSplit/>
          <w:jc w:val="center"/>
        </w:trPr>
        <w:tc>
          <w:tcPr>
            <w:tcW w:w="1701" w:type="dxa"/>
            <w:tcMar>
              <w:top w:w="80" w:type="dxa"/>
              <w:left w:w="90" w:type="dxa"/>
              <w:bottom w:w="80" w:type="dxa"/>
              <w:right w:w="90" w:type="dxa"/>
            </w:tcMar>
          </w:tcPr>
          <w:p w14:paraId="32780A96" w14:textId="77777777" w:rsidR="00C24ECC" w:rsidRDefault="00000000">
            <w:pPr>
              <w:spacing w:after="0" w:line="252" w:lineRule="auto"/>
              <w:jc w:val="left"/>
            </w:pPr>
            <w:r>
              <w:rPr>
                <w:sz w:val="16"/>
              </w:rPr>
              <w:t>Figure 2</w:t>
            </w:r>
          </w:p>
        </w:tc>
        <w:tc>
          <w:tcPr>
            <w:tcW w:w="3402" w:type="dxa"/>
            <w:tcMar>
              <w:top w:w="80" w:type="dxa"/>
              <w:left w:w="90" w:type="dxa"/>
              <w:bottom w:w="80" w:type="dxa"/>
              <w:right w:w="90" w:type="dxa"/>
            </w:tcMar>
          </w:tcPr>
          <w:p w14:paraId="423AE253" w14:textId="77777777" w:rsidR="00C24ECC" w:rsidRDefault="00000000">
            <w:pPr>
              <w:spacing w:after="0" w:line="252" w:lineRule="auto"/>
              <w:jc w:val="left"/>
            </w:pPr>
            <w:r>
              <w:rPr>
                <w:sz w:val="16"/>
              </w:rPr>
              <w:t>IKEA retail sales FY25</w:t>
            </w:r>
          </w:p>
        </w:tc>
        <w:tc>
          <w:tcPr>
            <w:tcW w:w="1871" w:type="dxa"/>
            <w:tcMar>
              <w:top w:w="80" w:type="dxa"/>
              <w:left w:w="90" w:type="dxa"/>
              <w:bottom w:w="80" w:type="dxa"/>
              <w:right w:w="90" w:type="dxa"/>
            </w:tcMar>
          </w:tcPr>
          <w:p w14:paraId="68096F14" w14:textId="77777777" w:rsidR="00C24ECC" w:rsidRDefault="00000000">
            <w:pPr>
              <w:spacing w:after="0" w:line="252" w:lineRule="auto"/>
              <w:jc w:val="left"/>
            </w:pPr>
            <w:r>
              <w:rPr>
                <w:sz w:val="16"/>
              </w:rPr>
              <w:t>EUR44.6bn</w:t>
            </w:r>
          </w:p>
        </w:tc>
        <w:tc>
          <w:tcPr>
            <w:tcW w:w="3118" w:type="dxa"/>
            <w:tcMar>
              <w:top w:w="80" w:type="dxa"/>
              <w:left w:w="90" w:type="dxa"/>
              <w:bottom w:w="80" w:type="dxa"/>
              <w:right w:w="90" w:type="dxa"/>
            </w:tcMar>
          </w:tcPr>
          <w:p w14:paraId="4CF745CE" w14:textId="77777777" w:rsidR="00C24ECC" w:rsidRDefault="00000000">
            <w:pPr>
              <w:spacing w:after="0" w:line="252" w:lineRule="auto"/>
              <w:jc w:val="left"/>
            </w:pPr>
            <w:r>
              <w:rPr>
                <w:sz w:val="16"/>
              </w:rPr>
              <w:t>Inter IKEA Group FY25</w:t>
            </w:r>
          </w:p>
        </w:tc>
      </w:tr>
      <w:tr w:rsidR="00C24ECC" w14:paraId="48EA059F" w14:textId="77777777">
        <w:trPr>
          <w:cantSplit/>
          <w:jc w:val="center"/>
        </w:trPr>
        <w:tc>
          <w:tcPr>
            <w:tcW w:w="1701" w:type="dxa"/>
            <w:shd w:val="clear" w:color="auto" w:fill="F1F5F8"/>
            <w:tcMar>
              <w:top w:w="80" w:type="dxa"/>
              <w:left w:w="90" w:type="dxa"/>
              <w:bottom w:w="80" w:type="dxa"/>
              <w:right w:w="90" w:type="dxa"/>
            </w:tcMar>
          </w:tcPr>
          <w:p w14:paraId="6EF2FD91" w14:textId="77777777" w:rsidR="00C24ECC" w:rsidRDefault="00000000">
            <w:pPr>
              <w:spacing w:after="0" w:line="252" w:lineRule="auto"/>
              <w:jc w:val="left"/>
            </w:pPr>
            <w:r>
              <w:rPr>
                <w:sz w:val="16"/>
              </w:rPr>
              <w:t>Figure 3</w:t>
            </w:r>
          </w:p>
        </w:tc>
        <w:tc>
          <w:tcPr>
            <w:tcW w:w="3402" w:type="dxa"/>
            <w:shd w:val="clear" w:color="auto" w:fill="F1F5F8"/>
            <w:tcMar>
              <w:top w:w="80" w:type="dxa"/>
              <w:left w:w="90" w:type="dxa"/>
              <w:bottom w:w="80" w:type="dxa"/>
              <w:right w:w="90" w:type="dxa"/>
            </w:tcMar>
          </w:tcPr>
          <w:p w14:paraId="7AF6A5AC" w14:textId="77777777" w:rsidR="00C24ECC" w:rsidRDefault="00000000">
            <w:pPr>
              <w:spacing w:after="0" w:line="252" w:lineRule="auto"/>
              <w:jc w:val="left"/>
            </w:pPr>
            <w:r>
              <w:rPr>
                <w:sz w:val="16"/>
              </w:rPr>
              <w:t>Kenya GDP growth 2022</w:t>
            </w:r>
          </w:p>
        </w:tc>
        <w:tc>
          <w:tcPr>
            <w:tcW w:w="1871" w:type="dxa"/>
            <w:shd w:val="clear" w:color="auto" w:fill="F1F5F8"/>
            <w:tcMar>
              <w:top w:w="80" w:type="dxa"/>
              <w:left w:w="90" w:type="dxa"/>
              <w:bottom w:w="80" w:type="dxa"/>
              <w:right w:w="90" w:type="dxa"/>
            </w:tcMar>
          </w:tcPr>
          <w:p w14:paraId="633EBD61" w14:textId="77777777" w:rsidR="00C24ECC" w:rsidRDefault="00000000">
            <w:pPr>
              <w:spacing w:after="0" w:line="252" w:lineRule="auto"/>
              <w:jc w:val="left"/>
            </w:pPr>
            <w:r>
              <w:rPr>
                <w:sz w:val="16"/>
              </w:rPr>
              <w:t>4.9%</w:t>
            </w:r>
          </w:p>
        </w:tc>
        <w:tc>
          <w:tcPr>
            <w:tcW w:w="3118" w:type="dxa"/>
            <w:shd w:val="clear" w:color="auto" w:fill="F1F5F8"/>
            <w:tcMar>
              <w:top w:w="80" w:type="dxa"/>
              <w:left w:w="90" w:type="dxa"/>
              <w:bottom w:w="80" w:type="dxa"/>
              <w:right w:w="90" w:type="dxa"/>
            </w:tcMar>
          </w:tcPr>
          <w:p w14:paraId="78F422DA" w14:textId="77777777" w:rsidR="00C24ECC" w:rsidRDefault="00000000">
            <w:pPr>
              <w:spacing w:after="0" w:line="252" w:lineRule="auto"/>
              <w:jc w:val="left"/>
            </w:pPr>
            <w:r>
              <w:rPr>
                <w:sz w:val="16"/>
              </w:rPr>
              <w:t>KNBS historical series</w:t>
            </w:r>
          </w:p>
        </w:tc>
      </w:tr>
      <w:tr w:rsidR="00C24ECC" w14:paraId="31C253E5" w14:textId="77777777">
        <w:trPr>
          <w:cantSplit/>
          <w:jc w:val="center"/>
        </w:trPr>
        <w:tc>
          <w:tcPr>
            <w:tcW w:w="1701" w:type="dxa"/>
            <w:tcMar>
              <w:top w:w="80" w:type="dxa"/>
              <w:left w:w="90" w:type="dxa"/>
              <w:bottom w:w="80" w:type="dxa"/>
              <w:right w:w="90" w:type="dxa"/>
            </w:tcMar>
          </w:tcPr>
          <w:p w14:paraId="54E68B7D" w14:textId="77777777" w:rsidR="00C24ECC" w:rsidRDefault="00000000">
            <w:pPr>
              <w:spacing w:after="0" w:line="252" w:lineRule="auto"/>
              <w:jc w:val="left"/>
            </w:pPr>
            <w:r>
              <w:rPr>
                <w:sz w:val="16"/>
              </w:rPr>
              <w:t>Figure 3</w:t>
            </w:r>
          </w:p>
        </w:tc>
        <w:tc>
          <w:tcPr>
            <w:tcW w:w="3402" w:type="dxa"/>
            <w:tcMar>
              <w:top w:w="80" w:type="dxa"/>
              <w:left w:w="90" w:type="dxa"/>
              <w:bottom w:w="80" w:type="dxa"/>
              <w:right w:w="90" w:type="dxa"/>
            </w:tcMar>
          </w:tcPr>
          <w:p w14:paraId="2B821560" w14:textId="77777777" w:rsidR="00C24ECC" w:rsidRDefault="00000000">
            <w:pPr>
              <w:spacing w:after="0" w:line="252" w:lineRule="auto"/>
              <w:jc w:val="left"/>
            </w:pPr>
            <w:r>
              <w:rPr>
                <w:sz w:val="16"/>
              </w:rPr>
              <w:t>Kenya GDP growth 2023</w:t>
            </w:r>
          </w:p>
        </w:tc>
        <w:tc>
          <w:tcPr>
            <w:tcW w:w="1871" w:type="dxa"/>
            <w:tcMar>
              <w:top w:w="80" w:type="dxa"/>
              <w:left w:w="90" w:type="dxa"/>
              <w:bottom w:w="80" w:type="dxa"/>
              <w:right w:w="90" w:type="dxa"/>
            </w:tcMar>
          </w:tcPr>
          <w:p w14:paraId="387ACAFC" w14:textId="77777777" w:rsidR="00C24ECC" w:rsidRDefault="00000000">
            <w:pPr>
              <w:spacing w:after="0" w:line="252" w:lineRule="auto"/>
              <w:jc w:val="left"/>
            </w:pPr>
            <w:r>
              <w:rPr>
                <w:sz w:val="16"/>
              </w:rPr>
              <w:t>5.7%</w:t>
            </w:r>
          </w:p>
        </w:tc>
        <w:tc>
          <w:tcPr>
            <w:tcW w:w="3118" w:type="dxa"/>
            <w:tcMar>
              <w:top w:w="80" w:type="dxa"/>
              <w:left w:w="90" w:type="dxa"/>
              <w:bottom w:w="80" w:type="dxa"/>
              <w:right w:w="90" w:type="dxa"/>
            </w:tcMar>
          </w:tcPr>
          <w:p w14:paraId="59C9E77C" w14:textId="77777777" w:rsidR="00C24ECC" w:rsidRDefault="00000000">
            <w:pPr>
              <w:spacing w:after="0" w:line="252" w:lineRule="auto"/>
              <w:jc w:val="left"/>
            </w:pPr>
            <w:r>
              <w:rPr>
                <w:sz w:val="16"/>
              </w:rPr>
              <w:t>KNBS revised series</w:t>
            </w:r>
          </w:p>
        </w:tc>
      </w:tr>
      <w:tr w:rsidR="00C24ECC" w14:paraId="43A0F7A4" w14:textId="77777777">
        <w:trPr>
          <w:cantSplit/>
          <w:jc w:val="center"/>
        </w:trPr>
        <w:tc>
          <w:tcPr>
            <w:tcW w:w="1701" w:type="dxa"/>
            <w:shd w:val="clear" w:color="auto" w:fill="F1F5F8"/>
            <w:tcMar>
              <w:top w:w="80" w:type="dxa"/>
              <w:left w:w="90" w:type="dxa"/>
              <w:bottom w:w="80" w:type="dxa"/>
              <w:right w:w="90" w:type="dxa"/>
            </w:tcMar>
          </w:tcPr>
          <w:p w14:paraId="0719357D" w14:textId="77777777" w:rsidR="00C24ECC" w:rsidRDefault="00000000">
            <w:pPr>
              <w:spacing w:after="0" w:line="252" w:lineRule="auto"/>
              <w:jc w:val="left"/>
            </w:pPr>
            <w:r>
              <w:rPr>
                <w:sz w:val="16"/>
              </w:rPr>
              <w:t>Figure 3</w:t>
            </w:r>
          </w:p>
        </w:tc>
        <w:tc>
          <w:tcPr>
            <w:tcW w:w="3402" w:type="dxa"/>
            <w:shd w:val="clear" w:color="auto" w:fill="F1F5F8"/>
            <w:tcMar>
              <w:top w:w="80" w:type="dxa"/>
              <w:left w:w="90" w:type="dxa"/>
              <w:bottom w:w="80" w:type="dxa"/>
              <w:right w:w="90" w:type="dxa"/>
            </w:tcMar>
          </w:tcPr>
          <w:p w14:paraId="6D259FD9" w14:textId="77777777" w:rsidR="00C24ECC" w:rsidRDefault="00000000">
            <w:pPr>
              <w:spacing w:after="0" w:line="252" w:lineRule="auto"/>
              <w:jc w:val="left"/>
            </w:pPr>
            <w:r>
              <w:rPr>
                <w:sz w:val="16"/>
              </w:rPr>
              <w:t>Kenya GDP growth 2024</w:t>
            </w:r>
          </w:p>
        </w:tc>
        <w:tc>
          <w:tcPr>
            <w:tcW w:w="1871" w:type="dxa"/>
            <w:shd w:val="clear" w:color="auto" w:fill="F1F5F8"/>
            <w:tcMar>
              <w:top w:w="80" w:type="dxa"/>
              <w:left w:w="90" w:type="dxa"/>
              <w:bottom w:w="80" w:type="dxa"/>
              <w:right w:w="90" w:type="dxa"/>
            </w:tcMar>
          </w:tcPr>
          <w:p w14:paraId="577244D0" w14:textId="77777777" w:rsidR="00C24ECC" w:rsidRDefault="00000000">
            <w:pPr>
              <w:spacing w:after="0" w:line="252" w:lineRule="auto"/>
              <w:jc w:val="left"/>
            </w:pPr>
            <w:r>
              <w:rPr>
                <w:sz w:val="16"/>
              </w:rPr>
              <w:t>4.7%</w:t>
            </w:r>
          </w:p>
        </w:tc>
        <w:tc>
          <w:tcPr>
            <w:tcW w:w="3118" w:type="dxa"/>
            <w:shd w:val="clear" w:color="auto" w:fill="F1F5F8"/>
            <w:tcMar>
              <w:top w:w="80" w:type="dxa"/>
              <w:left w:w="90" w:type="dxa"/>
              <w:bottom w:w="80" w:type="dxa"/>
              <w:right w:w="90" w:type="dxa"/>
            </w:tcMar>
          </w:tcPr>
          <w:p w14:paraId="55C6B880" w14:textId="77777777" w:rsidR="00C24ECC" w:rsidRDefault="00000000">
            <w:pPr>
              <w:spacing w:after="0" w:line="252" w:lineRule="auto"/>
              <w:jc w:val="left"/>
            </w:pPr>
            <w:r>
              <w:rPr>
                <w:sz w:val="16"/>
              </w:rPr>
              <w:t>KNBS 2026 comparative</w:t>
            </w:r>
          </w:p>
        </w:tc>
      </w:tr>
      <w:tr w:rsidR="00C24ECC" w14:paraId="2468D174" w14:textId="77777777">
        <w:trPr>
          <w:cantSplit/>
          <w:jc w:val="center"/>
        </w:trPr>
        <w:tc>
          <w:tcPr>
            <w:tcW w:w="1701" w:type="dxa"/>
            <w:tcMar>
              <w:top w:w="80" w:type="dxa"/>
              <w:left w:w="90" w:type="dxa"/>
              <w:bottom w:w="80" w:type="dxa"/>
              <w:right w:w="90" w:type="dxa"/>
            </w:tcMar>
          </w:tcPr>
          <w:p w14:paraId="1149330F" w14:textId="77777777" w:rsidR="00C24ECC" w:rsidRDefault="00000000">
            <w:pPr>
              <w:spacing w:after="0" w:line="252" w:lineRule="auto"/>
              <w:jc w:val="left"/>
            </w:pPr>
            <w:r>
              <w:rPr>
                <w:sz w:val="16"/>
              </w:rPr>
              <w:t>Figure 3</w:t>
            </w:r>
          </w:p>
        </w:tc>
        <w:tc>
          <w:tcPr>
            <w:tcW w:w="3402" w:type="dxa"/>
            <w:tcMar>
              <w:top w:w="80" w:type="dxa"/>
              <w:left w:w="90" w:type="dxa"/>
              <w:bottom w:w="80" w:type="dxa"/>
              <w:right w:w="90" w:type="dxa"/>
            </w:tcMar>
          </w:tcPr>
          <w:p w14:paraId="4038902E" w14:textId="77777777" w:rsidR="00C24ECC" w:rsidRDefault="00000000">
            <w:pPr>
              <w:spacing w:after="0" w:line="252" w:lineRule="auto"/>
              <w:jc w:val="left"/>
            </w:pPr>
            <w:r>
              <w:rPr>
                <w:sz w:val="16"/>
              </w:rPr>
              <w:t>Kenya GDP growth 2025</w:t>
            </w:r>
          </w:p>
        </w:tc>
        <w:tc>
          <w:tcPr>
            <w:tcW w:w="1871" w:type="dxa"/>
            <w:tcMar>
              <w:top w:w="80" w:type="dxa"/>
              <w:left w:w="90" w:type="dxa"/>
              <w:bottom w:w="80" w:type="dxa"/>
              <w:right w:w="90" w:type="dxa"/>
            </w:tcMar>
          </w:tcPr>
          <w:p w14:paraId="5500045C" w14:textId="77777777" w:rsidR="00C24ECC" w:rsidRDefault="00000000">
            <w:pPr>
              <w:spacing w:after="0" w:line="252" w:lineRule="auto"/>
              <w:jc w:val="left"/>
            </w:pPr>
            <w:r>
              <w:rPr>
                <w:sz w:val="16"/>
              </w:rPr>
              <w:t>4.6%</w:t>
            </w:r>
          </w:p>
        </w:tc>
        <w:tc>
          <w:tcPr>
            <w:tcW w:w="3118" w:type="dxa"/>
            <w:tcMar>
              <w:top w:w="80" w:type="dxa"/>
              <w:left w:w="90" w:type="dxa"/>
              <w:bottom w:w="80" w:type="dxa"/>
              <w:right w:w="90" w:type="dxa"/>
            </w:tcMar>
          </w:tcPr>
          <w:p w14:paraId="7CB41A7B" w14:textId="77777777" w:rsidR="00C24ECC" w:rsidRDefault="00000000">
            <w:pPr>
              <w:spacing w:after="0" w:line="252" w:lineRule="auto"/>
              <w:jc w:val="left"/>
            </w:pPr>
            <w:r>
              <w:rPr>
                <w:sz w:val="16"/>
              </w:rPr>
              <w:t>KNBS Economic Survey 2026</w:t>
            </w:r>
          </w:p>
        </w:tc>
      </w:tr>
      <w:tr w:rsidR="00C24ECC" w14:paraId="593BDBCC" w14:textId="77777777">
        <w:trPr>
          <w:cantSplit/>
          <w:jc w:val="center"/>
        </w:trPr>
        <w:tc>
          <w:tcPr>
            <w:tcW w:w="1701" w:type="dxa"/>
            <w:shd w:val="clear" w:color="auto" w:fill="F1F5F8"/>
            <w:tcMar>
              <w:top w:w="80" w:type="dxa"/>
              <w:left w:w="90" w:type="dxa"/>
              <w:bottom w:w="80" w:type="dxa"/>
              <w:right w:w="90" w:type="dxa"/>
            </w:tcMar>
          </w:tcPr>
          <w:p w14:paraId="643810DA" w14:textId="77777777" w:rsidR="00C24ECC" w:rsidRDefault="00000000">
            <w:pPr>
              <w:spacing w:after="0" w:line="252" w:lineRule="auto"/>
              <w:jc w:val="left"/>
            </w:pPr>
            <w:r>
              <w:rPr>
                <w:sz w:val="16"/>
              </w:rPr>
              <w:t>Figure 3</w:t>
            </w:r>
          </w:p>
        </w:tc>
        <w:tc>
          <w:tcPr>
            <w:tcW w:w="3402" w:type="dxa"/>
            <w:shd w:val="clear" w:color="auto" w:fill="F1F5F8"/>
            <w:tcMar>
              <w:top w:w="80" w:type="dxa"/>
              <w:left w:w="90" w:type="dxa"/>
              <w:bottom w:w="80" w:type="dxa"/>
              <w:right w:w="90" w:type="dxa"/>
            </w:tcMar>
          </w:tcPr>
          <w:p w14:paraId="55EB607F" w14:textId="77777777" w:rsidR="00C24ECC" w:rsidRDefault="00000000">
            <w:pPr>
              <w:spacing w:after="0" w:line="252" w:lineRule="auto"/>
              <w:jc w:val="left"/>
            </w:pPr>
            <w:r>
              <w:rPr>
                <w:sz w:val="16"/>
              </w:rPr>
              <w:t>Kenya GDP growth 2026</w:t>
            </w:r>
          </w:p>
        </w:tc>
        <w:tc>
          <w:tcPr>
            <w:tcW w:w="1871" w:type="dxa"/>
            <w:shd w:val="clear" w:color="auto" w:fill="F1F5F8"/>
            <w:tcMar>
              <w:top w:w="80" w:type="dxa"/>
              <w:left w:w="90" w:type="dxa"/>
              <w:bottom w:w="80" w:type="dxa"/>
              <w:right w:w="90" w:type="dxa"/>
            </w:tcMar>
          </w:tcPr>
          <w:p w14:paraId="41E1D828" w14:textId="77777777" w:rsidR="00C24ECC" w:rsidRDefault="00000000">
            <w:pPr>
              <w:spacing w:after="0" w:line="252" w:lineRule="auto"/>
              <w:jc w:val="left"/>
            </w:pPr>
            <w:r>
              <w:rPr>
                <w:sz w:val="16"/>
              </w:rPr>
              <w:t>4.5% forecast</w:t>
            </w:r>
          </w:p>
        </w:tc>
        <w:tc>
          <w:tcPr>
            <w:tcW w:w="3118" w:type="dxa"/>
            <w:shd w:val="clear" w:color="auto" w:fill="F1F5F8"/>
            <w:tcMar>
              <w:top w:w="80" w:type="dxa"/>
              <w:left w:w="90" w:type="dxa"/>
              <w:bottom w:w="80" w:type="dxa"/>
              <w:right w:w="90" w:type="dxa"/>
            </w:tcMar>
          </w:tcPr>
          <w:p w14:paraId="102E3F37" w14:textId="77777777" w:rsidR="00C24ECC" w:rsidRDefault="00000000">
            <w:pPr>
              <w:spacing w:after="0" w:line="252" w:lineRule="auto"/>
              <w:jc w:val="left"/>
            </w:pPr>
            <w:r>
              <w:rPr>
                <w:sz w:val="16"/>
              </w:rPr>
              <w:t>IMF Country Data, April 2026 WEO</w:t>
            </w:r>
          </w:p>
        </w:tc>
      </w:tr>
      <w:tr w:rsidR="00C24ECC" w14:paraId="3D712E27" w14:textId="77777777">
        <w:trPr>
          <w:cantSplit/>
          <w:jc w:val="center"/>
        </w:trPr>
        <w:tc>
          <w:tcPr>
            <w:tcW w:w="1701" w:type="dxa"/>
            <w:tcMar>
              <w:top w:w="80" w:type="dxa"/>
              <w:left w:w="90" w:type="dxa"/>
              <w:bottom w:w="80" w:type="dxa"/>
              <w:right w:w="90" w:type="dxa"/>
            </w:tcMar>
          </w:tcPr>
          <w:p w14:paraId="686C1180" w14:textId="77777777" w:rsidR="00C24ECC" w:rsidRDefault="00000000">
            <w:pPr>
              <w:spacing w:after="0" w:line="252" w:lineRule="auto"/>
              <w:jc w:val="left"/>
            </w:pPr>
            <w:r>
              <w:rPr>
                <w:sz w:val="16"/>
              </w:rPr>
              <w:t>Figure 4</w:t>
            </w:r>
          </w:p>
        </w:tc>
        <w:tc>
          <w:tcPr>
            <w:tcW w:w="3402" w:type="dxa"/>
            <w:tcMar>
              <w:top w:w="80" w:type="dxa"/>
              <w:left w:w="90" w:type="dxa"/>
              <w:bottom w:w="80" w:type="dxa"/>
              <w:right w:w="90" w:type="dxa"/>
            </w:tcMar>
          </w:tcPr>
          <w:p w14:paraId="14E84706" w14:textId="77777777" w:rsidR="00C24ECC" w:rsidRDefault="00000000">
            <w:pPr>
              <w:spacing w:after="0" w:line="252" w:lineRule="auto"/>
              <w:jc w:val="left"/>
            </w:pPr>
            <w:r>
              <w:rPr>
                <w:sz w:val="16"/>
              </w:rPr>
              <w:t>Mobile SIM subscriptions</w:t>
            </w:r>
          </w:p>
        </w:tc>
        <w:tc>
          <w:tcPr>
            <w:tcW w:w="1871" w:type="dxa"/>
            <w:tcMar>
              <w:top w:w="80" w:type="dxa"/>
              <w:left w:w="90" w:type="dxa"/>
              <w:bottom w:w="80" w:type="dxa"/>
              <w:right w:w="90" w:type="dxa"/>
            </w:tcMar>
          </w:tcPr>
          <w:p w14:paraId="2DF97DC2" w14:textId="77777777" w:rsidR="00C24ECC" w:rsidRDefault="00000000">
            <w:pPr>
              <w:spacing w:after="0" w:line="252" w:lineRule="auto"/>
              <w:jc w:val="left"/>
            </w:pPr>
            <w:r>
              <w:rPr>
                <w:sz w:val="16"/>
              </w:rPr>
              <w:t>76.16m</w:t>
            </w:r>
          </w:p>
        </w:tc>
        <w:tc>
          <w:tcPr>
            <w:tcW w:w="3118" w:type="dxa"/>
            <w:tcMar>
              <w:top w:w="80" w:type="dxa"/>
              <w:left w:w="90" w:type="dxa"/>
              <w:bottom w:w="80" w:type="dxa"/>
              <w:right w:w="90" w:type="dxa"/>
            </w:tcMar>
          </w:tcPr>
          <w:p w14:paraId="575A4761" w14:textId="77777777" w:rsidR="00C24ECC" w:rsidRDefault="00000000">
            <w:pPr>
              <w:spacing w:after="0" w:line="252" w:lineRule="auto"/>
              <w:jc w:val="left"/>
            </w:pPr>
            <w:r>
              <w:rPr>
                <w:sz w:val="16"/>
              </w:rPr>
              <w:t>CA, Jan-Mar 2025</w:t>
            </w:r>
          </w:p>
        </w:tc>
      </w:tr>
      <w:tr w:rsidR="00C24ECC" w14:paraId="0AF8906E" w14:textId="77777777">
        <w:trPr>
          <w:cantSplit/>
          <w:jc w:val="center"/>
        </w:trPr>
        <w:tc>
          <w:tcPr>
            <w:tcW w:w="1701" w:type="dxa"/>
            <w:shd w:val="clear" w:color="auto" w:fill="F1F5F8"/>
            <w:tcMar>
              <w:top w:w="80" w:type="dxa"/>
              <w:left w:w="90" w:type="dxa"/>
              <w:bottom w:w="80" w:type="dxa"/>
              <w:right w:w="90" w:type="dxa"/>
            </w:tcMar>
          </w:tcPr>
          <w:p w14:paraId="3A0466CF" w14:textId="77777777" w:rsidR="00C24ECC" w:rsidRDefault="00000000">
            <w:pPr>
              <w:spacing w:after="0" w:line="252" w:lineRule="auto"/>
              <w:jc w:val="left"/>
            </w:pPr>
            <w:r>
              <w:rPr>
                <w:sz w:val="16"/>
              </w:rPr>
              <w:t>Figure 4</w:t>
            </w:r>
          </w:p>
        </w:tc>
        <w:tc>
          <w:tcPr>
            <w:tcW w:w="3402" w:type="dxa"/>
            <w:shd w:val="clear" w:color="auto" w:fill="F1F5F8"/>
            <w:tcMar>
              <w:top w:w="80" w:type="dxa"/>
              <w:left w:w="90" w:type="dxa"/>
              <w:bottom w:w="80" w:type="dxa"/>
              <w:right w:w="90" w:type="dxa"/>
            </w:tcMar>
          </w:tcPr>
          <w:p w14:paraId="55E8E877" w14:textId="77777777" w:rsidR="00C24ECC" w:rsidRDefault="00000000">
            <w:pPr>
              <w:spacing w:after="0" w:line="252" w:lineRule="auto"/>
              <w:jc w:val="left"/>
            </w:pPr>
            <w:r>
              <w:rPr>
                <w:sz w:val="16"/>
              </w:rPr>
              <w:t>Mobile data subscriptions</w:t>
            </w:r>
          </w:p>
        </w:tc>
        <w:tc>
          <w:tcPr>
            <w:tcW w:w="1871" w:type="dxa"/>
            <w:shd w:val="clear" w:color="auto" w:fill="F1F5F8"/>
            <w:tcMar>
              <w:top w:w="80" w:type="dxa"/>
              <w:left w:w="90" w:type="dxa"/>
              <w:bottom w:w="80" w:type="dxa"/>
              <w:right w:w="90" w:type="dxa"/>
            </w:tcMar>
          </w:tcPr>
          <w:p w14:paraId="632B1231" w14:textId="77777777" w:rsidR="00C24ECC" w:rsidRDefault="00000000">
            <w:pPr>
              <w:spacing w:after="0" w:line="252" w:lineRule="auto"/>
              <w:jc w:val="left"/>
            </w:pPr>
            <w:r>
              <w:rPr>
                <w:sz w:val="16"/>
              </w:rPr>
              <w:t>57.18m</w:t>
            </w:r>
          </w:p>
        </w:tc>
        <w:tc>
          <w:tcPr>
            <w:tcW w:w="3118" w:type="dxa"/>
            <w:shd w:val="clear" w:color="auto" w:fill="F1F5F8"/>
            <w:tcMar>
              <w:top w:w="80" w:type="dxa"/>
              <w:left w:w="90" w:type="dxa"/>
              <w:bottom w:w="80" w:type="dxa"/>
              <w:right w:w="90" w:type="dxa"/>
            </w:tcMar>
          </w:tcPr>
          <w:p w14:paraId="0665D066" w14:textId="77777777" w:rsidR="00C24ECC" w:rsidRDefault="00000000">
            <w:pPr>
              <w:spacing w:after="0" w:line="252" w:lineRule="auto"/>
              <w:jc w:val="left"/>
            </w:pPr>
            <w:r>
              <w:rPr>
                <w:sz w:val="16"/>
              </w:rPr>
              <w:t>CA, Jan-Mar 2025</w:t>
            </w:r>
          </w:p>
        </w:tc>
      </w:tr>
      <w:tr w:rsidR="00C24ECC" w14:paraId="3C25EFF0" w14:textId="77777777">
        <w:trPr>
          <w:cantSplit/>
          <w:jc w:val="center"/>
        </w:trPr>
        <w:tc>
          <w:tcPr>
            <w:tcW w:w="1701" w:type="dxa"/>
            <w:tcMar>
              <w:top w:w="80" w:type="dxa"/>
              <w:left w:w="90" w:type="dxa"/>
              <w:bottom w:w="80" w:type="dxa"/>
              <w:right w:w="90" w:type="dxa"/>
            </w:tcMar>
          </w:tcPr>
          <w:p w14:paraId="7CC9885A" w14:textId="77777777" w:rsidR="00C24ECC" w:rsidRDefault="00000000">
            <w:pPr>
              <w:spacing w:after="0" w:line="252" w:lineRule="auto"/>
              <w:jc w:val="left"/>
            </w:pPr>
            <w:r>
              <w:rPr>
                <w:sz w:val="16"/>
              </w:rPr>
              <w:t>Figure 4</w:t>
            </w:r>
          </w:p>
        </w:tc>
        <w:tc>
          <w:tcPr>
            <w:tcW w:w="3402" w:type="dxa"/>
            <w:tcMar>
              <w:top w:w="80" w:type="dxa"/>
              <w:left w:w="90" w:type="dxa"/>
              <w:bottom w:w="80" w:type="dxa"/>
              <w:right w:w="90" w:type="dxa"/>
            </w:tcMar>
          </w:tcPr>
          <w:p w14:paraId="5A80CDF8" w14:textId="77777777" w:rsidR="00C24ECC" w:rsidRDefault="00000000">
            <w:pPr>
              <w:spacing w:after="0" w:line="252" w:lineRule="auto"/>
              <w:jc w:val="left"/>
            </w:pPr>
            <w:r>
              <w:rPr>
                <w:sz w:val="16"/>
              </w:rPr>
              <w:t>Mobile-money subscriptions</w:t>
            </w:r>
          </w:p>
        </w:tc>
        <w:tc>
          <w:tcPr>
            <w:tcW w:w="1871" w:type="dxa"/>
            <w:tcMar>
              <w:top w:w="80" w:type="dxa"/>
              <w:left w:w="90" w:type="dxa"/>
              <w:bottom w:w="80" w:type="dxa"/>
              <w:right w:w="90" w:type="dxa"/>
            </w:tcMar>
          </w:tcPr>
          <w:p w14:paraId="1A6A84E1" w14:textId="77777777" w:rsidR="00C24ECC" w:rsidRDefault="00000000">
            <w:pPr>
              <w:spacing w:after="0" w:line="252" w:lineRule="auto"/>
              <w:jc w:val="left"/>
            </w:pPr>
            <w:r>
              <w:rPr>
                <w:sz w:val="16"/>
              </w:rPr>
              <w:t>45.36m</w:t>
            </w:r>
          </w:p>
        </w:tc>
        <w:tc>
          <w:tcPr>
            <w:tcW w:w="3118" w:type="dxa"/>
            <w:tcMar>
              <w:top w:w="80" w:type="dxa"/>
              <w:left w:w="90" w:type="dxa"/>
              <w:bottom w:w="80" w:type="dxa"/>
              <w:right w:w="90" w:type="dxa"/>
            </w:tcMar>
          </w:tcPr>
          <w:p w14:paraId="037860CB" w14:textId="77777777" w:rsidR="00C24ECC" w:rsidRDefault="00000000">
            <w:pPr>
              <w:spacing w:after="0" w:line="252" w:lineRule="auto"/>
              <w:jc w:val="left"/>
            </w:pPr>
            <w:r>
              <w:rPr>
                <w:sz w:val="16"/>
              </w:rPr>
              <w:t>CA, Jan-Mar 2025</w:t>
            </w:r>
          </w:p>
        </w:tc>
      </w:tr>
      <w:tr w:rsidR="00C24ECC" w14:paraId="3437C7DC" w14:textId="77777777">
        <w:trPr>
          <w:cantSplit/>
          <w:jc w:val="center"/>
        </w:trPr>
        <w:tc>
          <w:tcPr>
            <w:tcW w:w="1701" w:type="dxa"/>
            <w:shd w:val="clear" w:color="auto" w:fill="F1F5F8"/>
            <w:tcMar>
              <w:top w:w="80" w:type="dxa"/>
              <w:left w:w="90" w:type="dxa"/>
              <w:bottom w:w="80" w:type="dxa"/>
              <w:right w:w="90" w:type="dxa"/>
            </w:tcMar>
          </w:tcPr>
          <w:p w14:paraId="167299C4" w14:textId="77777777" w:rsidR="00C24ECC" w:rsidRDefault="00000000">
            <w:pPr>
              <w:spacing w:after="0" w:line="252" w:lineRule="auto"/>
              <w:jc w:val="left"/>
            </w:pPr>
            <w:r>
              <w:rPr>
                <w:sz w:val="16"/>
              </w:rPr>
              <w:t>Figure 4</w:t>
            </w:r>
          </w:p>
        </w:tc>
        <w:tc>
          <w:tcPr>
            <w:tcW w:w="3402" w:type="dxa"/>
            <w:shd w:val="clear" w:color="auto" w:fill="F1F5F8"/>
            <w:tcMar>
              <w:top w:w="80" w:type="dxa"/>
              <w:left w:w="90" w:type="dxa"/>
              <w:bottom w:w="80" w:type="dxa"/>
              <w:right w:w="90" w:type="dxa"/>
            </w:tcMar>
          </w:tcPr>
          <w:p w14:paraId="4581A3EF" w14:textId="77777777" w:rsidR="00C24ECC" w:rsidRDefault="00000000">
            <w:pPr>
              <w:spacing w:after="0" w:line="252" w:lineRule="auto"/>
              <w:jc w:val="left"/>
            </w:pPr>
            <w:r>
              <w:rPr>
                <w:sz w:val="16"/>
              </w:rPr>
              <w:t>Smartphones</w:t>
            </w:r>
          </w:p>
        </w:tc>
        <w:tc>
          <w:tcPr>
            <w:tcW w:w="1871" w:type="dxa"/>
            <w:shd w:val="clear" w:color="auto" w:fill="F1F5F8"/>
            <w:tcMar>
              <w:top w:w="80" w:type="dxa"/>
              <w:left w:w="90" w:type="dxa"/>
              <w:bottom w:w="80" w:type="dxa"/>
              <w:right w:w="90" w:type="dxa"/>
            </w:tcMar>
          </w:tcPr>
          <w:p w14:paraId="197AD65A" w14:textId="77777777" w:rsidR="00C24ECC" w:rsidRDefault="00000000">
            <w:pPr>
              <w:spacing w:after="0" w:line="252" w:lineRule="auto"/>
              <w:jc w:val="left"/>
            </w:pPr>
            <w:r>
              <w:rPr>
                <w:sz w:val="16"/>
              </w:rPr>
              <w:t>42.35m</w:t>
            </w:r>
          </w:p>
        </w:tc>
        <w:tc>
          <w:tcPr>
            <w:tcW w:w="3118" w:type="dxa"/>
            <w:shd w:val="clear" w:color="auto" w:fill="F1F5F8"/>
            <w:tcMar>
              <w:top w:w="80" w:type="dxa"/>
              <w:left w:w="90" w:type="dxa"/>
              <w:bottom w:w="80" w:type="dxa"/>
              <w:right w:w="90" w:type="dxa"/>
            </w:tcMar>
          </w:tcPr>
          <w:p w14:paraId="187DFBF6" w14:textId="77777777" w:rsidR="00C24ECC" w:rsidRDefault="00000000">
            <w:pPr>
              <w:spacing w:after="0" w:line="252" w:lineRule="auto"/>
              <w:jc w:val="left"/>
            </w:pPr>
            <w:r>
              <w:rPr>
                <w:sz w:val="16"/>
              </w:rPr>
              <w:t>CA, Jan-Mar 2025</w:t>
            </w:r>
          </w:p>
        </w:tc>
      </w:tr>
    </w:tbl>
    <w:p w14:paraId="5AFB254D" w14:textId="77777777" w:rsidR="00C24ECC" w:rsidRDefault="00C24ECC"/>
    <w:sectPr w:rsidR="00C24ECC" w:rsidSect="00034616">
      <w:headerReference w:type="default" r:id="rId50"/>
      <w:footerReference w:type="default" r:id="rId51"/>
      <w:pgSz w:w="11906" w:h="16838"/>
      <w:pgMar w:top="1020" w:right="1191" w:bottom="1020" w:left="130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807686" w14:textId="77777777" w:rsidR="00EB2AD9" w:rsidRDefault="00EB2AD9">
      <w:pPr>
        <w:spacing w:after="0" w:line="240" w:lineRule="auto"/>
      </w:pPr>
      <w:r>
        <w:separator/>
      </w:r>
    </w:p>
  </w:endnote>
  <w:endnote w:type="continuationSeparator" w:id="0">
    <w:p w14:paraId="383B6BF8" w14:textId="77777777" w:rsidR="00EB2AD9" w:rsidRDefault="00EB2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7291B" w14:textId="77777777" w:rsidR="00C24ECC" w:rsidRDefault="00000000">
    <w:pPr>
      <w:pStyle w:val="Footer"/>
      <w:jc w:val="center"/>
    </w:pPr>
    <w:r>
      <w:rPr>
        <w:color w:val="646464"/>
        <w:sz w:val="16"/>
      </w:rPr>
      <w:t xml:space="preserve">Page </w:t>
    </w:r>
    <w:r>
      <w:fldChar w:fldCharType="begin"/>
    </w:r>
    <w:r>
      <w:instrText>PAGE</w:instrText>
    </w:r>
    <w:r>
      <w:fldChar w:fldCharType="separate"/>
    </w:r>
    <w:r w:rsidR="00C551E0">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82DE3" w14:textId="77777777" w:rsidR="00EB2AD9" w:rsidRDefault="00EB2AD9">
      <w:pPr>
        <w:spacing w:after="0" w:line="240" w:lineRule="auto"/>
      </w:pPr>
      <w:r>
        <w:separator/>
      </w:r>
    </w:p>
  </w:footnote>
  <w:footnote w:type="continuationSeparator" w:id="0">
    <w:p w14:paraId="64831BB2" w14:textId="77777777" w:rsidR="00EB2AD9" w:rsidRDefault="00EB2A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3498" w14:textId="77777777" w:rsidR="00C24ECC" w:rsidRDefault="00000000">
    <w:pPr>
      <w:pStyle w:val="Header"/>
      <w:jc w:val="center"/>
    </w:pPr>
    <w:r>
      <w:rPr>
        <w:b/>
        <w:color w:val="6E6E6E"/>
        <w:sz w:val="16"/>
      </w:rPr>
      <w:t>IKEA ENTRY INTO KENYA | LCMB7034 INTERNATIONAL BUSINESS CONCEPTS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500677">
    <w:abstractNumId w:val="8"/>
  </w:num>
  <w:num w:numId="2" w16cid:durableId="690422543">
    <w:abstractNumId w:val="6"/>
  </w:num>
  <w:num w:numId="3" w16cid:durableId="639112617">
    <w:abstractNumId w:val="5"/>
  </w:num>
  <w:num w:numId="4" w16cid:durableId="86585020">
    <w:abstractNumId w:val="4"/>
  </w:num>
  <w:num w:numId="5" w16cid:durableId="1543517066">
    <w:abstractNumId w:val="7"/>
  </w:num>
  <w:num w:numId="6" w16cid:durableId="376511324">
    <w:abstractNumId w:val="3"/>
  </w:num>
  <w:num w:numId="7" w16cid:durableId="880170651">
    <w:abstractNumId w:val="2"/>
  </w:num>
  <w:num w:numId="8" w16cid:durableId="810173645">
    <w:abstractNumId w:val="1"/>
  </w:num>
  <w:num w:numId="9" w16cid:durableId="2057309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526A4E"/>
    <w:rsid w:val="006E6EC9"/>
    <w:rsid w:val="00967D91"/>
    <w:rsid w:val="00967FFD"/>
    <w:rsid w:val="00AA1D8D"/>
    <w:rsid w:val="00AC1101"/>
    <w:rsid w:val="00B47730"/>
    <w:rsid w:val="00B77F07"/>
    <w:rsid w:val="00C24ECC"/>
    <w:rsid w:val="00C551E0"/>
    <w:rsid w:val="00CB0664"/>
    <w:rsid w:val="00D7543A"/>
    <w:rsid w:val="00EB2AD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E30AF1"/>
  <w14:defaultImageDpi w14:val="300"/>
  <w15:docId w15:val="{D286931F-47FA-426E-A3DD-E79ABFFFC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60" w:lineRule="auto"/>
      <w:jc w:val="both"/>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0058A3"/>
      <w:sz w:val="32"/>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0058A3"/>
      <w:sz w:val="26"/>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263238"/>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00" w:after="100" w:line="240" w:lineRule="auto"/>
      <w:contextualSpacing/>
    </w:pPr>
    <w:rPr>
      <w:rFonts w:asciiTheme="majorHAnsi" w:eastAsiaTheme="majorEastAsia" w:hAnsiTheme="majorHAnsi" w:cstheme="majorBidi"/>
      <w:b/>
      <w:color w:val="0058A3"/>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before="200" w:after="100"/>
    </w:pPr>
    <w:rPr>
      <w:rFonts w:asciiTheme="majorHAnsi" w:eastAsiaTheme="majorEastAsia" w:hAnsiTheme="majorHAnsi" w:cstheme="majorBidi"/>
      <w:b/>
      <w:i/>
      <w:iCs/>
      <w:color w:val="263238"/>
      <w:spacing w:val="15"/>
      <w:sz w:val="28"/>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Text">
    <w:name w:val="CaptionText"/>
    <w:pPr>
      <w:spacing w:after="60"/>
    </w:pPr>
    <w:rPr>
      <w:rFonts w:ascii="Arial" w:eastAsia="Arial" w:hAnsi="Arial"/>
      <w:color w:val="464646"/>
      <w:sz w:val="18"/>
    </w:rPr>
  </w:style>
  <w:style w:type="paragraph" w:customStyle="1" w:styleId="TableText">
    <w:name w:val="TableText"/>
    <w:pPr>
      <w:spacing w:after="60"/>
    </w:pPr>
    <w:rPr>
      <w:rFonts w:ascii="Arial" w:eastAsia="Arial" w:hAnsi="Arial"/>
      <w:color w:val="000000"/>
      <w:sz w:val="18"/>
    </w:rPr>
  </w:style>
  <w:style w:type="paragraph" w:customStyle="1" w:styleId="SourceText">
    <w:name w:val="SourceText"/>
    <w:pPr>
      <w:spacing w:after="60"/>
    </w:pPr>
    <w:rPr>
      <w:rFonts w:ascii="Arial" w:eastAsia="Arial" w:hAnsi="Arial"/>
      <w:color w:val="5A5A5A"/>
      <w:sz w:val="17"/>
    </w:rPr>
  </w:style>
  <w:style w:type="paragraph" w:customStyle="1" w:styleId="WarningText">
    <w:name w:val="WarningText"/>
    <w:pPr>
      <w:spacing w:after="60"/>
    </w:pPr>
    <w:rPr>
      <w:rFonts w:ascii="Arial" w:eastAsia="Arial" w:hAnsi="Arial"/>
      <w:color w:val="9C0006"/>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57/palgrave.jibs.8490432" TargetMode="External"/><Relationship Id="rId26" Type="http://schemas.openxmlformats.org/officeDocument/2006/relationships/hyperlink" Target="https://thoughtsmostlyaboutlearning.files.wordpress.com/2015/12/learning-by-doing-graham-gibbs.pdf" TargetMode="External"/><Relationship Id="rId39" Type="http://schemas.openxmlformats.org/officeDocument/2006/relationships/hyperlink" Target="https://kenyalaw.org/akn/ke/act/ln/2021/263/eng@2022-01-14" TargetMode="External"/><Relationship Id="rId21" Type="http://schemas.openxmlformats.org/officeDocument/2006/relationships/hyperlink" Target="https://www.ca.go.ke/index.php/mobile-data-and-digital-services-rise-ca-report-shows" TargetMode="External"/><Relationship Id="rId34" Type="http://schemas.openxmlformats.org/officeDocument/2006/relationships/hyperlink" Target="https://www.kebs.org/testing-laboratories/" TargetMode="External"/><Relationship Id="rId42" Type="http://schemas.openxmlformats.org/officeDocument/2006/relationships/hyperlink" Target="https://www.knbs.or.ke/reports/2026-economic-survey/" TargetMode="External"/><Relationship Id="rId47" Type="http://schemas.openxmlformats.org/officeDocument/2006/relationships/hyperlink" Target="https://data.worldbank.org/indicator/SP.URB.TOTL.IN.ZS?locations=KE"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ikea.com/global/en/stories/ikea-around-the-world/the-extra-mile-with-international-sales-230523/" TargetMode="External"/><Relationship Id="rId11" Type="http://schemas.openxmlformats.org/officeDocument/2006/relationships/image" Target="media/image4.jpg"/><Relationship Id="rId24" Type="http://schemas.openxmlformats.org/officeDocument/2006/relationships/hyperlink" Target="https://doi.org/10.1080/13571510110051441" TargetMode="External"/><Relationship Id="rId32" Type="http://schemas.openxmlformats.org/officeDocument/2006/relationships/hyperlink" Target="https://www.imf.org/en/Countries/KEN" TargetMode="External"/><Relationship Id="rId37" Type="http://schemas.openxmlformats.org/officeDocument/2006/relationships/hyperlink" Target="https://new.kenyalaw.org/akn/ke/act/2015/17/eng@2024-12-27" TargetMode="External"/><Relationship Id="rId40" Type="http://schemas.openxmlformats.org/officeDocument/2006/relationships/hyperlink" Target="https://kenyalaw.org/akn/ke/act/ln/2021/265/eng@2022-01-14" TargetMode="External"/><Relationship Id="rId45" Type="http://schemas.openxmlformats.org/officeDocument/2006/relationships/hyperlink" Target="https://www.transparency.org/en/countries/kenya"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g"/><Relationship Id="rId19" Type="http://schemas.openxmlformats.org/officeDocument/2006/relationships/hyperlink" Target="https://books.google.com/books/about/Managing_across_borders.html?id=FSWyG9XL6ckC" TargetMode="External"/><Relationship Id="rId31" Type="http://schemas.openxmlformats.org/officeDocument/2006/relationships/hyperlink" Target="https://www.ikea.com/global/en/our-business/how-we-work/the-ikea-franchise-system/" TargetMode="External"/><Relationship Id="rId44" Type="http://schemas.openxmlformats.org/officeDocument/2006/relationships/hyperlink" Target="https://www.kra.go.ke/business/companies-partnerships/companies-partnerships-pin-taxes/companies-partnerships-file-pa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ca.go.ke/sites/default/files/2026-04/Kenya%20national%20Broadband%20Strategy%202025-2030.pdf" TargetMode="External"/><Relationship Id="rId27" Type="http://schemas.openxmlformats.org/officeDocument/2006/relationships/hyperlink" Target="https://books.google.com/books/about/Beyond_Culture.html?id=VvQA4hRCv9gC" TargetMode="External"/><Relationship Id="rId30" Type="http://schemas.openxmlformats.org/officeDocument/2006/relationships/hyperlink" Target="https://www.ikea.com/global/en/international-sales/" TargetMode="External"/><Relationship Id="rId35" Type="http://schemas.openxmlformats.org/officeDocument/2006/relationships/hyperlink" Target="https://kenyalaw.org/akn/ke/act/2010/12" TargetMode="External"/><Relationship Id="rId43" Type="http://schemas.openxmlformats.org/officeDocument/2006/relationships/hyperlink" Target="https://www.kra.go.ke/individual/filing-paying/types-of-taxes/value-added-tax" TargetMode="External"/><Relationship Id="rId48" Type="http://schemas.openxmlformats.org/officeDocument/2006/relationships/hyperlink" Target="https://commons.wikimedia.org/wiki/File:Nairobi_skyline_P1000020.jpg"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ac.int/documents/category/eac-customs-union-common-external-tariff-version-2022" TargetMode="External"/><Relationship Id="rId33" Type="http://schemas.openxmlformats.org/officeDocument/2006/relationships/hyperlink" Target="https://www.inter.ikea.com/-/media/interikea/igi/financial-reports/fy25-financial-reports/inter-ikea-group-financial-summary_fy25_final.pdf" TargetMode="External"/><Relationship Id="rId38" Type="http://schemas.openxmlformats.org/officeDocument/2006/relationships/hyperlink" Target="https://new.kenyalaw.org/akn/ke/act/2019/24" TargetMode="External"/><Relationship Id="rId46" Type="http://schemas.openxmlformats.org/officeDocument/2006/relationships/hyperlink" Target="https://www.worldbank.org/en/news/press-release/2025/05/27/despite-improvements-afe-kenyas-fiscal-path-is-fragile-amid-high-debt-vulnerabilities-and-weak-revenue-growth" TargetMode="External"/><Relationship Id="rId20" Type="http://schemas.openxmlformats.org/officeDocument/2006/relationships/hyperlink" Target="https://doi.org/10.1057/palgrave.jibs.8491013" TargetMode="External"/><Relationship Id="rId41" Type="http://schemas.openxmlformats.org/officeDocument/2006/relationships/hyperlink" Target="https://www.knbs.or.ke/reports/2025-economic-surve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57/palgrave.jibs.8490372" TargetMode="External"/><Relationship Id="rId28" Type="http://schemas.openxmlformats.org/officeDocument/2006/relationships/hyperlink" Target="https://books.google.com/books/about/Cultures_and_Organizations.html?id=o4OqTgV3V00C" TargetMode="External"/><Relationship Id="rId36" Type="http://schemas.openxmlformats.org/officeDocument/2006/relationships/hyperlink" Target="https://new.kenyalaw.org/akn/ke/act/2012/46/eng@2022-12-31" TargetMode="External"/><Relationship Id="rId49" Type="http://schemas.openxmlformats.org/officeDocument/2006/relationships/hyperlink" Target="https://commons.wikimedia.org/wiki/File:IKEA_(8020223012).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27</Pages>
  <Words>8427</Words>
  <Characters>48040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IKEA Proposed Entry into Kenya - Corrected International Market Entry Report</vt:lpstr>
    </vt:vector>
  </TitlesOfParts>
  <Manager/>
  <Company/>
  <LinksUpToDate>false</LinksUpToDate>
  <CharactersWithSpaces>56355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IKEA Proposed Entry into Kenya - Corrected International Market Entry Report</dc:title>
  <dc:subject>LCMB7034 International Business Concepts research draft</dc:subject>
  <dc:creator>user</dc:creator>
  <cp:keywords>IKEA, Kenya, international business, OLI, entry mode, franchise</cp:keywords>
  <dc:description>Indicative total document word count including references and tables: 8256. Main report should be independently rewritten and counted in Word.</dc:description>
  <cp:lastModifiedBy>rohit virani</cp:lastModifiedBy>
  <cp:revision>3</cp:revision>
  <dcterms:created xsi:type="dcterms:W3CDTF">2026-08-12T15:18:00Z</dcterms:created>
  <dcterms:modified xsi:type="dcterms:W3CDTF">2026-08-12T23:06:00Z</dcterms:modified>
  <cp:category/>
</cp:coreProperties>
</file>