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2BF048" w14:textId="1CE6EE68" w:rsidR="00A84AF9" w:rsidRPr="00A84AF9" w:rsidRDefault="00EC709D" w:rsidP="00A84AF9">
      <w:pPr>
        <w:pStyle w:val="TOCHeading"/>
        <w:rPr>
          <w:rFonts w:asciiTheme="minorHAnsi" w:eastAsiaTheme="minorHAnsi" w:hAnsiTheme="minorHAnsi" w:cstheme="minorBidi"/>
          <w:color w:val="auto"/>
          <w:kern w:val="2"/>
          <w:sz w:val="24"/>
          <w:szCs w:val="24"/>
          <w:lang w:eastAsia="en-US"/>
        </w:rPr>
      </w:pPr>
      <w:r>
        <w:rPr>
          <w:rFonts w:asciiTheme="minorHAnsi" w:eastAsiaTheme="minorHAnsi" w:hAnsiTheme="minorHAnsi" w:cstheme="minorBidi"/>
          <w:noProof/>
          <w:color w:val="auto"/>
          <w:kern w:val="2"/>
          <w:sz w:val="24"/>
          <w:szCs w:val="24"/>
          <w:lang w:eastAsia="en-US"/>
        </w:rPr>
        <w:drawing>
          <wp:anchor distT="0" distB="0" distL="114300" distR="114300" simplePos="0" relativeHeight="251678720" behindDoc="0" locked="0" layoutInCell="1" allowOverlap="1" wp14:anchorId="79F8081F" wp14:editId="67908047">
            <wp:simplePos x="0" y="0"/>
            <wp:positionH relativeFrom="column">
              <wp:posOffset>541020</wp:posOffset>
            </wp:positionH>
            <wp:positionV relativeFrom="paragraph">
              <wp:posOffset>8288020</wp:posOffset>
            </wp:positionV>
            <wp:extent cx="881380" cy="1043940"/>
            <wp:effectExtent l="19050" t="0" r="0" b="308610"/>
            <wp:wrapTopAndBottom/>
            <wp:docPr id="204597641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34689" t="17031" r="9374" b="16718"/>
                    <a:stretch/>
                  </pic:blipFill>
                  <pic:spPr bwMode="auto">
                    <a:xfrm>
                      <a:off x="0" y="0"/>
                      <a:ext cx="881380" cy="104394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3435C">
        <w:rPr>
          <w:noProof/>
        </w:rPr>
        <w:pict w14:anchorId="48773BC8">
          <v:shapetype id="_x0000_t202" coordsize="21600,21600" o:spt="202" path="m,l,21600r21600,l21600,xe">
            <v:stroke joinstyle="miter"/>
            <v:path gradientshapeok="t" o:connecttype="rect"/>
          </v:shapetype>
          <v:shape id="_x0000_s1029" type="#_x0000_t202" style="position:absolute;margin-left:34.25pt;margin-top:588.6pt;width:256.45pt;height:44.1pt;z-index:251668992;visibility:visible;mso-wrap-distance-left:9pt;mso-wrap-distance-top:7.2pt;mso-wrap-distance-right:9pt;mso-wrap-distance-bottom:7.2pt;mso-position-horizontal-relative:page;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" filled="f" stroked="f">
            <v:textbox style="mso-next-textbox:#_x0000_s1029">
              <w:txbxContent>
                <w:p w14:paraId="2F843B06" w14:textId="06853358" w:rsidR="00A201B8" w:rsidRPr="003B4948" w:rsidRDefault="00A201B8" w:rsidP="00A201B8">
                  <w:pPr>
                    <w:pBdr>
                      <w:top w:val="single" w:sz="24" w:space="8" w:color="156082" w:themeColor="accent1"/>
                      <w:bottom w:val="single" w:sz="24" w:space="8" w:color="156082" w:themeColor="accent1"/>
                    </w:pBdr>
                    <w:spacing w:after="0"/>
                    <w:rPr>
                      <w:rFonts w:ascii="Times New Roman" w:hAnsi="Times New Roman" w:cs="Times New Roman"/>
                      <w:b/>
                      <w:bCs/>
                      <w:i/>
                      <w:iCs/>
                      <w:color w:val="000000" w:themeColor="text1"/>
                      <w:sz w:val="40"/>
                      <w:szCs w:val="40"/>
                    </w:rPr>
                  </w:pPr>
                  <w:r w:rsidRPr="003B4948">
                    <w:rPr>
                      <w:rFonts w:ascii="Times New Roman" w:hAnsi="Times New Roman" w:cs="Times New Roman"/>
                      <w:b/>
                      <w:bCs/>
                      <w:i/>
                      <w:iCs/>
                      <w:color w:val="000000" w:themeColor="text1"/>
                      <w:sz w:val="40"/>
                      <w:szCs w:val="40"/>
                    </w:rPr>
                    <w:t xml:space="preserve">Lecturer: </w:t>
                  </w:r>
                  <w:r w:rsidRPr="00EC709D">
                    <w:rPr>
                      <w:rFonts w:ascii="Bernard MT Condensed" w:hAnsi="Bernard MT Condensed" w:cs="Times New Roman"/>
                      <w:b/>
                      <w:bCs/>
                      <w:i/>
                      <w:iCs/>
                      <w:color w:val="000000" w:themeColor="text1"/>
                      <w:sz w:val="40"/>
                      <w:szCs w:val="40"/>
                    </w:rPr>
                    <w:t>Dr Kareem Sani</w:t>
                  </w:r>
                </w:p>
                <w:p w14:paraId="204FE1F1" w14:textId="1A0680BB" w:rsidR="00A201B8" w:rsidRDefault="00A201B8">
                  <w:pPr>
                    <w:pBdr>
                      <w:top w:val="single" w:sz="24" w:space="8" w:color="156082" w:themeColor="accent1"/>
                      <w:bottom w:val="single" w:sz="24" w:space="8" w:color="156082" w:themeColor="accent1"/>
                    </w:pBdr>
                    <w:spacing w:after="0"/>
                    <w:rPr>
                      <w:i/>
                      <w:iCs/>
                      <w:color w:val="156082" w:themeColor="accent1"/>
                    </w:rPr>
                  </w:pPr>
                </w:p>
              </w:txbxContent>
            </v:textbox>
            <w10:wrap type="topAndBottom" anchorx="page"/>
          </v:shape>
        </w:pict>
      </w:r>
      <w:r>
        <w:rPr>
          <w:noProof/>
        </w:rPr>
        <w:drawing>
          <wp:anchor distT="0" distB="0" distL="114300" distR="114300" simplePos="0" relativeHeight="251666432" behindDoc="0" locked="0" layoutInCell="1" allowOverlap="1" wp14:anchorId="5FAAFA8D" wp14:editId="6254BAD6">
            <wp:simplePos x="0" y="0"/>
            <wp:positionH relativeFrom="column">
              <wp:posOffset>-304800</wp:posOffset>
            </wp:positionH>
            <wp:positionV relativeFrom="paragraph">
              <wp:posOffset>51435</wp:posOffset>
            </wp:positionV>
            <wp:extent cx="4145280" cy="6217920"/>
            <wp:effectExtent l="533400" t="0" r="407670" b="316230"/>
            <wp:wrapTopAndBottom/>
            <wp:docPr id="1123835326" name="Picture 1" descr="A green cover with a globe and wind turb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835326" name="Picture 1" descr="A green cover with a globe and wind turbines&#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145280" cy="6217920"/>
                    </a:xfrm>
                    <a:prstGeom prst="roundRect">
                      <a:avLst>
                        <a:gd name="adj" fmla="val 16667"/>
                      </a:avLst>
                    </a:prstGeom>
                    <a:ln>
                      <a:noFill/>
                    </a:ln>
                    <a:effectLst>
                      <a:outerShdw blurRad="152400" dist="12000" dir="900000" sy="98000" kx="110000" ky="200000" algn="tl" rotWithShape="0">
                        <a:srgbClr val="000000">
                          <a:alpha val="30000"/>
                        </a:srgbClr>
                      </a:outerShdw>
                    </a:effectLst>
                    <a:scene3d>
                      <a:camera prst="perspectiveRelaxed">
                        <a:rot lat="19800000" lon="1200000" rev="20820000"/>
                      </a:camera>
                      <a:lightRig rig="threePt" dir="t"/>
                    </a:scene3d>
                    <a:sp3d contourW="6350" prstMaterial="matte">
                      <a:bevelT w="101600" h="101600"/>
                      <a:contourClr>
                        <a:srgbClr val="969696"/>
                      </a:contourClr>
                    </a:sp3d>
                  </pic:spPr>
                </pic:pic>
              </a:graphicData>
            </a:graphic>
            <wp14:sizeRelH relativeFrom="margin">
              <wp14:pctWidth>0</wp14:pctWidth>
            </wp14:sizeRelH>
            <wp14:sizeRelV relativeFrom="margin">
              <wp14:pctHeight>0</wp14:pctHeight>
            </wp14:sizeRelV>
          </wp:anchor>
        </w:drawing>
      </w:r>
      <w:r w:rsidR="004907B3">
        <w:rPr>
          <w:rFonts w:asciiTheme="minorHAnsi" w:eastAsiaTheme="minorHAnsi" w:hAnsiTheme="minorHAnsi" w:cstheme="minorBidi"/>
          <w:noProof/>
          <w:color w:val="auto"/>
          <w:kern w:val="2"/>
          <w:sz w:val="24"/>
          <w:szCs w:val="24"/>
          <w:lang w:eastAsia="en-US"/>
        </w:rPr>
        <w:drawing>
          <wp:anchor distT="0" distB="0" distL="114300" distR="114300" simplePos="0" relativeHeight="251671552" behindDoc="0" locked="0" layoutInCell="1" allowOverlap="1" wp14:anchorId="4CECDA43" wp14:editId="25E6C933">
            <wp:simplePos x="0" y="0"/>
            <wp:positionH relativeFrom="column">
              <wp:posOffset>4861560</wp:posOffset>
            </wp:positionH>
            <wp:positionV relativeFrom="paragraph">
              <wp:posOffset>-3810</wp:posOffset>
            </wp:positionV>
            <wp:extent cx="1341120" cy="1341120"/>
            <wp:effectExtent l="0" t="0" r="0" b="0"/>
            <wp:wrapTopAndBottom/>
            <wp:docPr id="781572790" name="Picture 3" descr="A blue background with a black and yellow shield with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572790" name="Picture 3" descr="A blue background with a black and yellow shield with flowers&#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341120" cy="1341120"/>
                    </a:xfrm>
                    <a:prstGeom prst="rect">
                      <a:avLst/>
                    </a:prstGeom>
                    <a:noFill/>
                  </pic:spPr>
                </pic:pic>
              </a:graphicData>
            </a:graphic>
            <wp14:sizeRelH relativeFrom="margin">
              <wp14:pctWidth>0</wp14:pctWidth>
            </wp14:sizeRelH>
            <wp14:sizeRelV relativeFrom="margin">
              <wp14:pctHeight>0</wp14:pctHeight>
            </wp14:sizeRelV>
          </wp:anchor>
        </w:drawing>
      </w:r>
      <w:r w:rsidR="0083435C">
        <w:rPr>
          <w:noProof/>
        </w:rPr>
        <w:pict w14:anchorId="6214A9DF">
          <v:shape id="Text Box 2" o:spid="_x0000_s1027" type="#_x0000_t202" style="position:absolute;margin-left:399pt;margin-top:244.8pt;width:183pt;height:335.25pt;z-index:251666944;visibility:visible;mso-wrap-distance-left:9pt;mso-wrap-distance-top:7.2pt;mso-wrap-distance-right:9pt;mso-wrap-distance-bottom:7.2pt;mso-position-horizontal-relative:page;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" filled="f" stroked="f">
            <v:textbox style="mso-next-textbox:#Text Box 2">
              <w:txbxContent>
                <w:p w14:paraId="137AB813" w14:textId="77777777" w:rsidR="00A201B8" w:rsidRPr="003B4948" w:rsidRDefault="00A201B8" w:rsidP="00A201B8">
                  <w:pPr>
                    <w:pBdr>
                      <w:top w:val="single" w:sz="24" w:space="8" w:color="156082" w:themeColor="accent1"/>
                      <w:bottom w:val="single" w:sz="24" w:space="8" w:color="156082" w:themeColor="accent1"/>
                    </w:pBdr>
                    <w:spacing w:after="0"/>
                    <w:rPr>
                      <w:rFonts w:ascii="Times New Roman" w:hAnsi="Times New Roman" w:cs="Times New Roman"/>
                      <w:i/>
                      <w:iCs/>
                      <w:color w:val="000000" w:themeColor="text1"/>
                      <w:sz w:val="28"/>
                      <w:szCs w:val="28"/>
                    </w:rPr>
                  </w:pPr>
                  <w:r w:rsidRPr="003B4948">
                    <w:rPr>
                      <w:rFonts w:ascii="Times New Roman" w:hAnsi="Times New Roman" w:cs="Times New Roman"/>
                      <w:b/>
                      <w:bCs/>
                      <w:i/>
                      <w:iCs/>
                      <w:color w:val="000000" w:themeColor="text1"/>
                      <w:sz w:val="28"/>
                      <w:szCs w:val="28"/>
                    </w:rPr>
                    <w:t>Module Title</w:t>
                  </w:r>
                  <w:r w:rsidRPr="003B4948">
                    <w:rPr>
                      <w:rFonts w:ascii="Times New Roman" w:hAnsi="Times New Roman" w:cs="Times New Roman"/>
                      <w:i/>
                      <w:iCs/>
                      <w:color w:val="000000" w:themeColor="text1"/>
                      <w:sz w:val="28"/>
                      <w:szCs w:val="28"/>
                    </w:rPr>
                    <w:t>: Global Business Environment</w:t>
                  </w:r>
                </w:p>
                <w:p w14:paraId="6FB820FF" w14:textId="77777777" w:rsidR="00A201B8" w:rsidRPr="003B4948" w:rsidRDefault="00A201B8" w:rsidP="00A201B8">
                  <w:pPr>
                    <w:pBdr>
                      <w:top w:val="single" w:sz="24" w:space="8" w:color="156082" w:themeColor="accent1"/>
                      <w:bottom w:val="single" w:sz="24" w:space="8" w:color="156082" w:themeColor="accent1"/>
                    </w:pBdr>
                    <w:spacing w:after="0"/>
                    <w:rPr>
                      <w:rFonts w:ascii="Times New Roman" w:hAnsi="Times New Roman" w:cs="Times New Roman"/>
                      <w:i/>
                      <w:iCs/>
                      <w:color w:val="000000" w:themeColor="text1"/>
                      <w:sz w:val="28"/>
                      <w:szCs w:val="28"/>
                    </w:rPr>
                  </w:pPr>
                  <w:r w:rsidRPr="003B4948">
                    <w:rPr>
                      <w:rFonts w:ascii="Times New Roman" w:hAnsi="Times New Roman" w:cs="Times New Roman"/>
                      <w:b/>
                      <w:bCs/>
                      <w:i/>
                      <w:iCs/>
                      <w:color w:val="000000" w:themeColor="text1"/>
                      <w:sz w:val="28"/>
                      <w:szCs w:val="28"/>
                    </w:rPr>
                    <w:t>Module Code</w:t>
                  </w:r>
                  <w:r w:rsidRPr="003B4948">
                    <w:rPr>
                      <w:rFonts w:ascii="Times New Roman" w:hAnsi="Times New Roman" w:cs="Times New Roman"/>
                      <w:i/>
                      <w:iCs/>
                      <w:color w:val="000000" w:themeColor="text1"/>
                      <w:sz w:val="28"/>
                      <w:szCs w:val="28"/>
                    </w:rPr>
                    <w:t>: LCBB4016</w:t>
                  </w:r>
                </w:p>
                <w:p w14:paraId="1D25317B" w14:textId="77777777" w:rsidR="00A201B8" w:rsidRPr="003B4948" w:rsidRDefault="00A201B8" w:rsidP="00A201B8">
                  <w:pPr>
                    <w:pBdr>
                      <w:top w:val="single" w:sz="24" w:space="8" w:color="156082" w:themeColor="accent1"/>
                      <w:bottom w:val="single" w:sz="24" w:space="8" w:color="156082" w:themeColor="accent1"/>
                    </w:pBdr>
                    <w:spacing w:after="0"/>
                    <w:rPr>
                      <w:rFonts w:ascii="Times New Roman" w:hAnsi="Times New Roman" w:cs="Times New Roman"/>
                      <w:i/>
                      <w:iCs/>
                      <w:color w:val="000000" w:themeColor="text1"/>
                      <w:sz w:val="28"/>
                      <w:szCs w:val="28"/>
                    </w:rPr>
                  </w:pPr>
                  <w:r w:rsidRPr="003B4948">
                    <w:rPr>
                      <w:rFonts w:ascii="Times New Roman" w:hAnsi="Times New Roman" w:cs="Times New Roman"/>
                      <w:i/>
                      <w:iCs/>
                      <w:color w:val="000000" w:themeColor="text1"/>
                      <w:sz w:val="28"/>
                      <w:szCs w:val="28"/>
                    </w:rPr>
                    <w:t>Component 2 – Individual Essay</w:t>
                  </w:r>
                </w:p>
                <w:p w14:paraId="36E7F0E2" w14:textId="77777777" w:rsidR="00A201B8" w:rsidRPr="003B4948" w:rsidRDefault="00A201B8" w:rsidP="00A201B8">
                  <w:pPr>
                    <w:pBdr>
                      <w:top w:val="single" w:sz="24" w:space="8" w:color="156082" w:themeColor="accent1"/>
                      <w:bottom w:val="single" w:sz="24" w:space="8" w:color="156082" w:themeColor="accent1"/>
                    </w:pBdr>
                    <w:spacing w:after="0"/>
                    <w:rPr>
                      <w:rFonts w:ascii="Times New Roman" w:hAnsi="Times New Roman" w:cs="Times New Roman"/>
                      <w:i/>
                      <w:iCs/>
                      <w:color w:val="000000" w:themeColor="text1"/>
                      <w:sz w:val="28"/>
                      <w:szCs w:val="28"/>
                    </w:rPr>
                  </w:pPr>
                  <w:r w:rsidRPr="003B4948">
                    <w:rPr>
                      <w:rFonts w:ascii="Times New Roman" w:hAnsi="Times New Roman" w:cs="Times New Roman"/>
                      <w:b/>
                      <w:bCs/>
                      <w:i/>
                      <w:iCs/>
                      <w:color w:val="000000" w:themeColor="text1"/>
                      <w:sz w:val="28"/>
                      <w:szCs w:val="28"/>
                    </w:rPr>
                    <w:t>Assignment Title</w:t>
                  </w:r>
                  <w:r w:rsidRPr="003B4948">
                    <w:rPr>
                      <w:rFonts w:ascii="Times New Roman" w:hAnsi="Times New Roman" w:cs="Times New Roman"/>
                      <w:i/>
                      <w:iCs/>
                      <w:color w:val="000000" w:themeColor="text1"/>
                      <w:sz w:val="28"/>
                      <w:szCs w:val="28"/>
                    </w:rPr>
                    <w:t>:</w:t>
                  </w:r>
                </w:p>
                <w:p w14:paraId="7B10E697" w14:textId="77777777" w:rsidR="00A201B8" w:rsidRPr="003B4948" w:rsidRDefault="00A201B8" w:rsidP="00A201B8">
                  <w:pPr>
                    <w:pBdr>
                      <w:top w:val="single" w:sz="24" w:space="8" w:color="156082" w:themeColor="accent1"/>
                      <w:bottom w:val="single" w:sz="24" w:space="8" w:color="156082" w:themeColor="accent1"/>
                    </w:pBdr>
                    <w:spacing w:after="0"/>
                    <w:rPr>
                      <w:rFonts w:ascii="Times New Roman" w:hAnsi="Times New Roman" w:cs="Times New Roman"/>
                      <w:i/>
                      <w:iCs/>
                      <w:color w:val="000000" w:themeColor="text1"/>
                      <w:sz w:val="28"/>
                      <w:szCs w:val="28"/>
                    </w:rPr>
                  </w:pPr>
                  <w:r w:rsidRPr="003B4948">
                    <w:rPr>
                      <w:rFonts w:ascii="Times New Roman" w:hAnsi="Times New Roman" w:cs="Times New Roman"/>
                      <w:i/>
                      <w:iCs/>
                      <w:color w:val="000000" w:themeColor="text1"/>
                      <w:sz w:val="28"/>
                      <w:szCs w:val="28"/>
                    </w:rPr>
                    <w:t>The Influence of Global Forces on BP’s International Strategy</w:t>
                  </w:r>
                </w:p>
                <w:p w14:paraId="04A09ADD" w14:textId="77777777" w:rsidR="003B4948" w:rsidRDefault="00A201B8" w:rsidP="00A201B8">
                  <w:pPr>
                    <w:pBdr>
                      <w:top w:val="single" w:sz="24" w:space="8" w:color="156082" w:themeColor="accent1"/>
                      <w:bottom w:val="single" w:sz="24" w:space="8" w:color="156082" w:themeColor="accent1"/>
                    </w:pBdr>
                    <w:spacing w:after="0"/>
                    <w:rPr>
                      <w:rFonts w:ascii="Times New Roman" w:hAnsi="Times New Roman" w:cs="Times New Roman"/>
                      <w:i/>
                      <w:iCs/>
                      <w:color w:val="000000" w:themeColor="text1"/>
                      <w:sz w:val="28"/>
                      <w:szCs w:val="28"/>
                    </w:rPr>
                  </w:pPr>
                  <w:r w:rsidRPr="003B4948">
                    <w:rPr>
                      <w:rFonts w:ascii="Times New Roman" w:hAnsi="Times New Roman" w:cs="Times New Roman"/>
                      <w:b/>
                      <w:bCs/>
                      <w:i/>
                      <w:iCs/>
                      <w:color w:val="000000" w:themeColor="text1"/>
                      <w:sz w:val="28"/>
                      <w:szCs w:val="28"/>
                    </w:rPr>
                    <w:t>Student Name</w:t>
                  </w:r>
                  <w:r w:rsidRPr="003B4948">
                    <w:rPr>
                      <w:rFonts w:ascii="Times New Roman" w:hAnsi="Times New Roman" w:cs="Times New Roman"/>
                      <w:i/>
                      <w:iCs/>
                      <w:color w:val="000000" w:themeColor="text1"/>
                      <w:sz w:val="28"/>
                      <w:szCs w:val="28"/>
                    </w:rPr>
                    <w:t>:</w:t>
                  </w:r>
                </w:p>
                <w:p w14:paraId="72332410" w14:textId="5109EB9C" w:rsidR="00A201B8" w:rsidRPr="003B4948" w:rsidRDefault="00A201B8" w:rsidP="00A201B8">
                  <w:pPr>
                    <w:pBdr>
                      <w:top w:val="single" w:sz="24" w:space="8" w:color="156082" w:themeColor="accent1"/>
                      <w:bottom w:val="single" w:sz="24" w:space="8" w:color="156082" w:themeColor="accent1"/>
                    </w:pBdr>
                    <w:spacing w:after="0"/>
                    <w:rPr>
                      <w:rFonts w:ascii="Times New Roman" w:hAnsi="Times New Roman" w:cs="Times New Roman"/>
                      <w:i/>
                      <w:iCs/>
                      <w:color w:val="000000" w:themeColor="text1"/>
                      <w:sz w:val="28"/>
                      <w:szCs w:val="28"/>
                    </w:rPr>
                  </w:pPr>
                  <w:r w:rsidRPr="003B4948">
                    <w:rPr>
                      <w:rFonts w:ascii="Times New Roman" w:hAnsi="Times New Roman" w:cs="Times New Roman"/>
                      <w:i/>
                      <w:iCs/>
                      <w:color w:val="000000" w:themeColor="text1"/>
                      <w:sz w:val="28"/>
                      <w:szCs w:val="28"/>
                    </w:rPr>
                    <w:t xml:space="preserve"> Ateeq Ur Rehman</w:t>
                  </w:r>
                </w:p>
                <w:p w14:paraId="2EFB67A9" w14:textId="77777777" w:rsidR="00A201B8" w:rsidRPr="003B4948" w:rsidRDefault="00A201B8" w:rsidP="00A201B8">
                  <w:pPr>
                    <w:pBdr>
                      <w:top w:val="single" w:sz="24" w:space="8" w:color="156082" w:themeColor="accent1"/>
                      <w:bottom w:val="single" w:sz="24" w:space="8" w:color="156082" w:themeColor="accent1"/>
                    </w:pBdr>
                    <w:spacing w:after="0"/>
                    <w:rPr>
                      <w:rFonts w:ascii="Times New Roman" w:hAnsi="Times New Roman" w:cs="Times New Roman"/>
                      <w:i/>
                      <w:iCs/>
                      <w:color w:val="000000" w:themeColor="text1"/>
                      <w:sz w:val="28"/>
                      <w:szCs w:val="28"/>
                    </w:rPr>
                  </w:pPr>
                  <w:r w:rsidRPr="003B4948">
                    <w:rPr>
                      <w:rFonts w:ascii="Times New Roman" w:hAnsi="Times New Roman" w:cs="Times New Roman"/>
                      <w:b/>
                      <w:bCs/>
                      <w:i/>
                      <w:iCs/>
                      <w:color w:val="000000" w:themeColor="text1"/>
                      <w:sz w:val="28"/>
                      <w:szCs w:val="28"/>
                    </w:rPr>
                    <w:t>Student ID Number</w:t>
                  </w:r>
                  <w:r w:rsidRPr="003B4948">
                    <w:rPr>
                      <w:rFonts w:ascii="Times New Roman" w:hAnsi="Times New Roman" w:cs="Times New Roman"/>
                      <w:i/>
                      <w:iCs/>
                      <w:color w:val="000000" w:themeColor="text1"/>
                      <w:sz w:val="28"/>
                      <w:szCs w:val="28"/>
                    </w:rPr>
                    <w:t>: 2322964</w:t>
                  </w:r>
                </w:p>
                <w:p w14:paraId="75FAB68A" w14:textId="77777777" w:rsidR="00A201B8" w:rsidRPr="003B4948" w:rsidRDefault="00A201B8" w:rsidP="00A201B8">
                  <w:pPr>
                    <w:pBdr>
                      <w:top w:val="single" w:sz="24" w:space="8" w:color="156082" w:themeColor="accent1"/>
                      <w:bottom w:val="single" w:sz="24" w:space="8" w:color="156082" w:themeColor="accent1"/>
                    </w:pBdr>
                    <w:spacing w:after="0"/>
                    <w:rPr>
                      <w:rFonts w:ascii="Times New Roman" w:hAnsi="Times New Roman" w:cs="Times New Roman"/>
                      <w:i/>
                      <w:iCs/>
                      <w:color w:val="000000" w:themeColor="text1"/>
                      <w:sz w:val="28"/>
                      <w:szCs w:val="28"/>
                    </w:rPr>
                  </w:pPr>
                  <w:r w:rsidRPr="003B4948">
                    <w:rPr>
                      <w:rFonts w:ascii="Times New Roman" w:hAnsi="Times New Roman" w:cs="Times New Roman"/>
                      <w:b/>
                      <w:bCs/>
                      <w:i/>
                      <w:iCs/>
                      <w:color w:val="000000" w:themeColor="text1"/>
                      <w:sz w:val="28"/>
                      <w:szCs w:val="28"/>
                    </w:rPr>
                    <w:t>Programme</w:t>
                  </w:r>
                  <w:r w:rsidRPr="003B4948">
                    <w:rPr>
                      <w:rFonts w:ascii="Times New Roman" w:hAnsi="Times New Roman" w:cs="Times New Roman"/>
                      <w:i/>
                      <w:iCs/>
                      <w:color w:val="000000" w:themeColor="text1"/>
                      <w:sz w:val="28"/>
                      <w:szCs w:val="28"/>
                    </w:rPr>
                    <w:t>: BA (Hons) Business Management</w:t>
                  </w:r>
                </w:p>
                <w:p w14:paraId="2E39CFEF" w14:textId="77777777" w:rsidR="00A201B8" w:rsidRPr="003B4948" w:rsidRDefault="00A201B8" w:rsidP="00A201B8">
                  <w:pPr>
                    <w:pBdr>
                      <w:top w:val="single" w:sz="24" w:space="8" w:color="156082" w:themeColor="accent1"/>
                      <w:bottom w:val="single" w:sz="24" w:space="8" w:color="156082" w:themeColor="accent1"/>
                    </w:pBdr>
                    <w:spacing w:after="0"/>
                    <w:rPr>
                      <w:rFonts w:ascii="Times New Roman" w:hAnsi="Times New Roman" w:cs="Times New Roman"/>
                      <w:b/>
                      <w:bCs/>
                      <w:i/>
                      <w:iCs/>
                      <w:color w:val="000000" w:themeColor="text1"/>
                      <w:sz w:val="28"/>
                      <w:szCs w:val="28"/>
                    </w:rPr>
                  </w:pPr>
                  <w:r w:rsidRPr="003B4948">
                    <w:rPr>
                      <w:rFonts w:ascii="Times New Roman" w:hAnsi="Times New Roman" w:cs="Times New Roman"/>
                      <w:b/>
                      <w:bCs/>
                      <w:i/>
                      <w:iCs/>
                      <w:color w:val="000000" w:themeColor="text1"/>
                      <w:sz w:val="28"/>
                      <w:szCs w:val="28"/>
                    </w:rPr>
                    <w:t>University: University of Wales Trinity Saint David (UWTSD)</w:t>
                  </w:r>
                </w:p>
                <w:p w14:paraId="583E9413" w14:textId="0798E799" w:rsidR="00A201B8" w:rsidRPr="003B4948" w:rsidRDefault="00A201B8" w:rsidP="00A201B8">
                  <w:pPr>
                    <w:pBdr>
                      <w:top w:val="single" w:sz="24" w:space="8" w:color="156082" w:themeColor="accent1"/>
                      <w:bottom w:val="single" w:sz="24" w:space="8" w:color="156082" w:themeColor="accent1"/>
                    </w:pBdr>
                    <w:spacing w:after="0"/>
                    <w:rPr>
                      <w:rFonts w:ascii="Times New Roman" w:hAnsi="Times New Roman" w:cs="Times New Roman"/>
                      <w:i/>
                      <w:iCs/>
                      <w:color w:val="000000" w:themeColor="text1"/>
                      <w:sz w:val="28"/>
                      <w:szCs w:val="28"/>
                    </w:rPr>
                  </w:pPr>
                  <w:r w:rsidRPr="003B4948">
                    <w:rPr>
                      <w:rFonts w:ascii="Times New Roman" w:hAnsi="Times New Roman" w:cs="Times New Roman"/>
                      <w:b/>
                      <w:bCs/>
                      <w:i/>
                      <w:iCs/>
                      <w:color w:val="000000" w:themeColor="text1"/>
                      <w:sz w:val="28"/>
                      <w:szCs w:val="28"/>
                    </w:rPr>
                    <w:t>Submission Date</w:t>
                  </w:r>
                  <w:r w:rsidRPr="003B4948">
                    <w:rPr>
                      <w:rFonts w:ascii="Times New Roman" w:hAnsi="Times New Roman" w:cs="Times New Roman"/>
                      <w:i/>
                      <w:iCs/>
                      <w:color w:val="000000" w:themeColor="text1"/>
                      <w:sz w:val="28"/>
                      <w:szCs w:val="28"/>
                    </w:rPr>
                    <w:t>: 21st November 2025, 14:00 (2 PM)</w:t>
                  </w:r>
                </w:p>
              </w:txbxContent>
            </v:textbox>
            <w10:wrap type="topAndBottom" anchorx="page"/>
          </v:shape>
        </w:pict>
      </w:r>
      <w:r w:rsidR="00A84AF9">
        <w:rPr>
          <w:rFonts w:asciiTheme="minorHAnsi" w:eastAsiaTheme="minorHAnsi" w:hAnsiTheme="minorHAnsi" w:cstheme="minorBidi"/>
          <w:color w:val="auto"/>
          <w:kern w:val="2"/>
          <w:sz w:val="24"/>
          <w:szCs w:val="24"/>
          <w:lang w:eastAsia="en-US"/>
        </w:rPr>
        <w:br w:type="page"/>
      </w:r>
    </w:p>
    <w:sdt>
      <w:sdtPr>
        <w:rPr>
          <w:rFonts w:ascii="Arial" w:eastAsiaTheme="minorHAnsi" w:hAnsi="Arial" w:cs="Arial"/>
          <w:color w:val="auto"/>
          <w:sz w:val="24"/>
          <w:szCs w:val="24"/>
        </w:rPr>
        <w:id w:val="-177432815"/>
        <w:docPartObj>
          <w:docPartGallery w:val="Table of Contents"/>
          <w:docPartUnique/>
        </w:docPartObj>
      </w:sdtPr>
      <w:sdtEndPr>
        <w:rPr>
          <w:b/>
          <w:bCs/>
        </w:rPr>
      </w:sdtEndPr>
      <w:sdtContent>
        <w:p w14:paraId="09290888" w14:textId="77777777" w:rsidR="00AC3707" w:rsidRPr="00A55134" w:rsidRDefault="001E2B06" w:rsidP="00F8705D">
          <w:pPr>
            <w:pStyle w:val="Heading1"/>
            <w:spacing w:line="360" w:lineRule="auto"/>
            <w:rPr>
              <w:rFonts w:ascii="Arial" w:eastAsia="Times New Roman" w:hAnsi="Arial" w:cs="Arial"/>
              <w:b/>
              <w:bCs/>
              <w:color w:val="auto"/>
              <w:kern w:val="36"/>
              <w:sz w:val="24"/>
              <w:szCs w:val="24"/>
              <w:lang w:eastAsia="en-GB"/>
              <w14:ligatures w14:val="none"/>
            </w:rPr>
          </w:pPr>
          <w:r w:rsidRPr="00A55134">
            <w:rPr>
              <w:rFonts w:ascii="Arial" w:hAnsi="Arial" w:cs="Arial"/>
              <w:sz w:val="24"/>
              <w:szCs w:val="24"/>
            </w:rPr>
            <w:t xml:space="preserve"> </w:t>
          </w:r>
          <w:r w:rsidR="00AC3707" w:rsidRPr="00A55134">
            <w:rPr>
              <w:rFonts w:ascii="Arial" w:eastAsia="Times New Roman" w:hAnsi="Arial" w:cs="Arial"/>
              <w:b/>
              <w:bCs/>
              <w:color w:val="auto"/>
              <w:kern w:val="36"/>
              <w:sz w:val="24"/>
              <w:szCs w:val="24"/>
              <w:lang w:eastAsia="en-GB"/>
              <w14:ligatures w14:val="none"/>
            </w:rPr>
            <w:t>Table of Contents</w:t>
          </w:r>
        </w:p>
        <w:p w14:paraId="0638ECDA" w14:textId="240B1F35" w:rsidR="00AC3707" w:rsidRPr="00AC3707" w:rsidRDefault="00AC3707" w:rsidP="00F8705D">
          <w:pPr>
            <w:spacing w:before="100" w:beforeAutospacing="1" w:after="100" w:afterAutospacing="1" w:line="360" w:lineRule="auto"/>
            <w:rPr>
              <w:rFonts w:ascii="Arial" w:eastAsia="Times New Roman" w:hAnsi="Arial" w:cs="Arial"/>
              <w:kern w:val="0"/>
              <w:lang w:eastAsia="en-GB"/>
              <w14:ligatures w14:val="none"/>
            </w:rPr>
          </w:pPr>
          <w:r w:rsidRPr="00AC3707">
            <w:rPr>
              <w:rFonts w:ascii="Arial" w:eastAsia="Times New Roman" w:hAnsi="Arial" w:cs="Arial"/>
              <w:b/>
              <w:bCs/>
              <w:kern w:val="0"/>
              <w:lang w:eastAsia="en-GB"/>
              <w14:ligatures w14:val="none"/>
            </w:rPr>
            <w:t>1. Introduction</w:t>
          </w:r>
          <w:r w:rsidRPr="00AC3707">
            <w:rPr>
              <w:rFonts w:ascii="Arial" w:eastAsia="Times New Roman" w:hAnsi="Arial" w:cs="Arial"/>
              <w:kern w:val="0"/>
              <w:lang w:eastAsia="en-GB"/>
              <w14:ligatures w14:val="none"/>
            </w:rPr>
            <w:t xml:space="preserve"> ............................................................ </w:t>
          </w:r>
          <w:r w:rsidR="00F8705D">
            <w:rPr>
              <w:rFonts w:ascii="Arial" w:eastAsia="Times New Roman" w:hAnsi="Arial" w:cs="Arial"/>
              <w:kern w:val="0"/>
              <w:lang w:eastAsia="en-GB"/>
              <w14:ligatures w14:val="none"/>
            </w:rPr>
            <w:t>3</w:t>
          </w:r>
        </w:p>
        <w:p w14:paraId="50E31773" w14:textId="39F1C4F6" w:rsidR="00AC3707" w:rsidRPr="00AC3707" w:rsidRDefault="00AC3707" w:rsidP="00F8705D">
          <w:pPr>
            <w:spacing w:before="100" w:beforeAutospacing="1" w:after="100" w:afterAutospacing="1" w:line="360" w:lineRule="auto"/>
            <w:rPr>
              <w:rFonts w:ascii="Arial" w:eastAsia="Times New Roman" w:hAnsi="Arial" w:cs="Arial"/>
              <w:kern w:val="0"/>
              <w:lang w:eastAsia="en-GB"/>
              <w14:ligatures w14:val="none"/>
            </w:rPr>
          </w:pPr>
          <w:r w:rsidRPr="00AC3707">
            <w:rPr>
              <w:rFonts w:ascii="Arial" w:eastAsia="Times New Roman" w:hAnsi="Arial" w:cs="Arial"/>
              <w:b/>
              <w:bCs/>
              <w:kern w:val="0"/>
              <w:lang w:eastAsia="en-GB"/>
              <w14:ligatures w14:val="none"/>
            </w:rPr>
            <w:t>2. Global Forces Affecting BP</w:t>
          </w:r>
          <w:r w:rsidRPr="00AC3707">
            <w:rPr>
              <w:rFonts w:ascii="Arial" w:eastAsia="Times New Roman" w:hAnsi="Arial" w:cs="Arial"/>
              <w:kern w:val="0"/>
              <w:lang w:eastAsia="en-GB"/>
              <w14:ligatures w14:val="none"/>
            </w:rPr>
            <w:t xml:space="preserve"> ....................................... </w:t>
          </w:r>
          <w:r w:rsidR="00B66A69">
            <w:rPr>
              <w:rFonts w:ascii="Arial" w:eastAsia="Times New Roman" w:hAnsi="Arial" w:cs="Arial"/>
              <w:kern w:val="0"/>
              <w:lang w:eastAsia="en-GB"/>
              <w14:ligatures w14:val="none"/>
            </w:rPr>
            <w:t>3</w:t>
          </w:r>
          <w:r w:rsidRPr="00AC3707">
            <w:rPr>
              <w:rFonts w:ascii="Arial" w:eastAsia="Times New Roman" w:hAnsi="Arial" w:cs="Arial"/>
              <w:kern w:val="0"/>
              <w:lang w:eastAsia="en-GB"/>
              <w14:ligatures w14:val="none"/>
            </w:rPr>
            <w:br/>
            <w:t>    2.1 Artificial Intelligence</w:t>
          </w:r>
          <w:r w:rsidRPr="00AC3707">
            <w:rPr>
              <w:rFonts w:ascii="Arial" w:eastAsia="Times New Roman" w:hAnsi="Arial" w:cs="Arial"/>
              <w:kern w:val="0"/>
              <w:lang w:eastAsia="en-GB"/>
              <w14:ligatures w14:val="none"/>
            </w:rPr>
            <w:br/>
            <w:t>    2.2 Geopolitical Disruptions</w:t>
          </w:r>
          <w:r w:rsidRPr="00AC3707">
            <w:rPr>
              <w:rFonts w:ascii="Arial" w:eastAsia="Times New Roman" w:hAnsi="Arial" w:cs="Arial"/>
              <w:kern w:val="0"/>
              <w:lang w:eastAsia="en-GB"/>
              <w14:ligatures w14:val="none"/>
            </w:rPr>
            <w:br/>
            <w:t>    2.3 Sustainability &amp; CSRD</w:t>
          </w:r>
        </w:p>
        <w:p w14:paraId="33076FB8" w14:textId="15DAE1AC" w:rsidR="00AC3707" w:rsidRPr="00AC3707" w:rsidRDefault="00AC3707" w:rsidP="00F8705D">
          <w:pPr>
            <w:spacing w:before="100" w:beforeAutospacing="1" w:after="100" w:afterAutospacing="1" w:line="360" w:lineRule="auto"/>
            <w:rPr>
              <w:rFonts w:ascii="Arial" w:eastAsia="Times New Roman" w:hAnsi="Arial" w:cs="Arial"/>
              <w:kern w:val="0"/>
              <w:lang w:eastAsia="en-GB"/>
              <w14:ligatures w14:val="none"/>
            </w:rPr>
          </w:pPr>
          <w:r w:rsidRPr="00AC3707">
            <w:rPr>
              <w:rFonts w:ascii="Arial" w:eastAsia="Times New Roman" w:hAnsi="Arial" w:cs="Arial"/>
              <w:b/>
              <w:bCs/>
              <w:kern w:val="0"/>
              <w:lang w:eastAsia="en-GB"/>
              <w14:ligatures w14:val="none"/>
            </w:rPr>
            <w:t>3. Business Models &amp; PESTEL Framework</w:t>
          </w:r>
          <w:r w:rsidRPr="00AC3707">
            <w:rPr>
              <w:rFonts w:ascii="Arial" w:eastAsia="Times New Roman" w:hAnsi="Arial" w:cs="Arial"/>
              <w:kern w:val="0"/>
              <w:lang w:eastAsia="en-GB"/>
              <w14:ligatures w14:val="none"/>
            </w:rPr>
            <w:t xml:space="preserve"> .............. </w:t>
          </w:r>
          <w:r w:rsidR="00B66A69">
            <w:rPr>
              <w:rFonts w:ascii="Arial" w:eastAsia="Times New Roman" w:hAnsi="Arial" w:cs="Arial"/>
              <w:kern w:val="0"/>
              <w:lang w:eastAsia="en-GB"/>
              <w14:ligatures w14:val="none"/>
            </w:rPr>
            <w:t>9</w:t>
          </w:r>
          <w:r w:rsidRPr="00AC3707">
            <w:rPr>
              <w:rFonts w:ascii="Arial" w:eastAsia="Times New Roman" w:hAnsi="Arial" w:cs="Arial"/>
              <w:kern w:val="0"/>
              <w:lang w:eastAsia="en-GB"/>
              <w14:ligatures w14:val="none"/>
            </w:rPr>
            <w:br/>
            <w:t>    3.1 PESTEL Analysis</w:t>
          </w:r>
          <w:r w:rsidRPr="00AC3707">
            <w:rPr>
              <w:rFonts w:ascii="Arial" w:eastAsia="Times New Roman" w:hAnsi="Arial" w:cs="Arial"/>
              <w:kern w:val="0"/>
              <w:lang w:eastAsia="en-GB"/>
              <w14:ligatures w14:val="none"/>
            </w:rPr>
            <w:br/>
            <w:t>    3.2 Porter’s Five Forces</w:t>
          </w:r>
          <w:r w:rsidRPr="00AC3707">
            <w:rPr>
              <w:rFonts w:ascii="Arial" w:eastAsia="Times New Roman" w:hAnsi="Arial" w:cs="Arial"/>
              <w:kern w:val="0"/>
              <w:lang w:eastAsia="en-GB"/>
              <w14:ligatures w14:val="none"/>
            </w:rPr>
            <w:br/>
            <w:t>    3.3 Porter’s Diamond</w:t>
          </w:r>
          <w:r w:rsidRPr="00AC3707">
            <w:rPr>
              <w:rFonts w:ascii="Arial" w:eastAsia="Times New Roman" w:hAnsi="Arial" w:cs="Arial"/>
              <w:kern w:val="0"/>
              <w:lang w:eastAsia="en-GB"/>
              <w14:ligatures w14:val="none"/>
            </w:rPr>
            <w:br/>
            <w:t>    3.4 Value Network</w:t>
          </w:r>
        </w:p>
        <w:p w14:paraId="3F55B09F" w14:textId="43C556B5" w:rsidR="00AC3707" w:rsidRPr="00AC3707" w:rsidRDefault="00AC3707" w:rsidP="00F8705D">
          <w:pPr>
            <w:spacing w:before="100" w:beforeAutospacing="1" w:after="100" w:afterAutospacing="1" w:line="360" w:lineRule="auto"/>
            <w:rPr>
              <w:rFonts w:ascii="Arial" w:eastAsia="Times New Roman" w:hAnsi="Arial" w:cs="Arial"/>
              <w:kern w:val="0"/>
              <w:lang w:eastAsia="en-GB"/>
              <w14:ligatures w14:val="none"/>
            </w:rPr>
          </w:pPr>
          <w:r w:rsidRPr="00AC3707">
            <w:rPr>
              <w:rFonts w:ascii="Arial" w:eastAsia="Times New Roman" w:hAnsi="Arial" w:cs="Arial"/>
              <w:b/>
              <w:bCs/>
              <w:kern w:val="0"/>
              <w:lang w:eastAsia="en-GB"/>
              <w14:ligatures w14:val="none"/>
            </w:rPr>
            <w:t>4. Impact on BP</w:t>
          </w:r>
          <w:r w:rsidRPr="00AC3707">
            <w:rPr>
              <w:rFonts w:ascii="Arial" w:eastAsia="Times New Roman" w:hAnsi="Arial" w:cs="Arial"/>
              <w:kern w:val="0"/>
              <w:lang w:eastAsia="en-GB"/>
              <w14:ligatures w14:val="none"/>
            </w:rPr>
            <w:t xml:space="preserve"> ............................................................ </w:t>
          </w:r>
          <w:r w:rsidR="00B66A69">
            <w:rPr>
              <w:rFonts w:ascii="Arial" w:eastAsia="Times New Roman" w:hAnsi="Arial" w:cs="Arial"/>
              <w:kern w:val="0"/>
              <w:lang w:eastAsia="en-GB"/>
              <w14:ligatures w14:val="none"/>
            </w:rPr>
            <w:t>11</w:t>
          </w:r>
        </w:p>
        <w:p w14:paraId="5565A83D" w14:textId="7725FE3E" w:rsidR="00AC3707" w:rsidRPr="00AC3707" w:rsidRDefault="00AC3707" w:rsidP="00F8705D">
          <w:pPr>
            <w:spacing w:before="100" w:beforeAutospacing="1" w:after="100" w:afterAutospacing="1" w:line="360" w:lineRule="auto"/>
            <w:rPr>
              <w:rFonts w:ascii="Arial" w:eastAsia="Times New Roman" w:hAnsi="Arial" w:cs="Arial"/>
              <w:kern w:val="0"/>
              <w:lang w:eastAsia="en-GB"/>
              <w14:ligatures w14:val="none"/>
            </w:rPr>
          </w:pPr>
          <w:r w:rsidRPr="00AC3707">
            <w:rPr>
              <w:rFonts w:ascii="Arial" w:eastAsia="Times New Roman" w:hAnsi="Arial" w:cs="Arial"/>
              <w:b/>
              <w:bCs/>
              <w:kern w:val="0"/>
              <w:lang w:eastAsia="en-GB"/>
              <w14:ligatures w14:val="none"/>
            </w:rPr>
            <w:t>5. Strategic Recommendations</w:t>
          </w:r>
          <w:r w:rsidRPr="00AC3707">
            <w:rPr>
              <w:rFonts w:ascii="Arial" w:eastAsia="Times New Roman" w:hAnsi="Arial" w:cs="Arial"/>
              <w:kern w:val="0"/>
              <w:lang w:eastAsia="en-GB"/>
              <w14:ligatures w14:val="none"/>
            </w:rPr>
            <w:t xml:space="preserve"> ................................. </w:t>
          </w:r>
          <w:r w:rsidR="00B66A69">
            <w:rPr>
              <w:rFonts w:ascii="Arial" w:eastAsia="Times New Roman" w:hAnsi="Arial" w:cs="Arial"/>
              <w:kern w:val="0"/>
              <w:lang w:eastAsia="en-GB"/>
              <w14:ligatures w14:val="none"/>
            </w:rPr>
            <w:t>12</w:t>
          </w:r>
        </w:p>
        <w:p w14:paraId="37F41C41" w14:textId="08F0FCC3" w:rsidR="00AC3707" w:rsidRPr="00AC3707" w:rsidRDefault="00AC3707" w:rsidP="00F8705D">
          <w:pPr>
            <w:spacing w:before="100" w:beforeAutospacing="1" w:after="100" w:afterAutospacing="1" w:line="360" w:lineRule="auto"/>
            <w:rPr>
              <w:rFonts w:ascii="Arial" w:eastAsia="Times New Roman" w:hAnsi="Arial" w:cs="Arial"/>
              <w:kern w:val="0"/>
              <w:lang w:eastAsia="en-GB"/>
              <w14:ligatures w14:val="none"/>
            </w:rPr>
          </w:pPr>
          <w:r w:rsidRPr="00AC3707">
            <w:rPr>
              <w:rFonts w:ascii="Arial" w:eastAsia="Times New Roman" w:hAnsi="Arial" w:cs="Arial"/>
              <w:b/>
              <w:bCs/>
              <w:kern w:val="0"/>
              <w:lang w:eastAsia="en-GB"/>
              <w14:ligatures w14:val="none"/>
            </w:rPr>
            <w:t>6. Conclusion</w:t>
          </w:r>
          <w:r w:rsidRPr="00AC3707">
            <w:rPr>
              <w:rFonts w:ascii="Arial" w:eastAsia="Times New Roman" w:hAnsi="Arial" w:cs="Arial"/>
              <w:kern w:val="0"/>
              <w:lang w:eastAsia="en-GB"/>
              <w14:ligatures w14:val="none"/>
            </w:rPr>
            <w:t xml:space="preserve"> ............................................................... </w:t>
          </w:r>
          <w:r w:rsidR="00F8705D">
            <w:rPr>
              <w:rFonts w:ascii="Arial" w:eastAsia="Times New Roman" w:hAnsi="Arial" w:cs="Arial"/>
              <w:kern w:val="0"/>
              <w:lang w:eastAsia="en-GB"/>
              <w14:ligatures w14:val="none"/>
            </w:rPr>
            <w:t>12</w:t>
          </w:r>
        </w:p>
        <w:p w14:paraId="2AECB943" w14:textId="6EC6345E" w:rsidR="00AC3707" w:rsidRPr="00AC3707" w:rsidRDefault="00AC3707" w:rsidP="00F8705D">
          <w:pPr>
            <w:spacing w:before="100" w:beforeAutospacing="1" w:after="100" w:afterAutospacing="1" w:line="360" w:lineRule="auto"/>
            <w:rPr>
              <w:rFonts w:ascii="Arial" w:eastAsia="Times New Roman" w:hAnsi="Arial" w:cs="Arial"/>
              <w:kern w:val="0"/>
              <w:lang w:eastAsia="en-GB"/>
              <w14:ligatures w14:val="none"/>
            </w:rPr>
          </w:pPr>
          <w:r w:rsidRPr="00AC3707">
            <w:rPr>
              <w:rFonts w:ascii="Arial" w:eastAsia="Times New Roman" w:hAnsi="Arial" w:cs="Arial"/>
              <w:b/>
              <w:bCs/>
              <w:kern w:val="0"/>
              <w:lang w:eastAsia="en-GB"/>
              <w14:ligatures w14:val="none"/>
            </w:rPr>
            <w:t>7. References</w:t>
          </w:r>
          <w:r w:rsidRPr="00AC3707">
            <w:rPr>
              <w:rFonts w:ascii="Arial" w:eastAsia="Times New Roman" w:hAnsi="Arial" w:cs="Arial"/>
              <w:kern w:val="0"/>
              <w:lang w:eastAsia="en-GB"/>
              <w14:ligatures w14:val="none"/>
            </w:rPr>
            <w:t xml:space="preserve"> .............................................................. 1</w:t>
          </w:r>
          <w:r w:rsidR="00F8705D">
            <w:rPr>
              <w:rFonts w:ascii="Arial" w:eastAsia="Times New Roman" w:hAnsi="Arial" w:cs="Arial"/>
              <w:kern w:val="0"/>
              <w:lang w:eastAsia="en-GB"/>
              <w14:ligatures w14:val="none"/>
            </w:rPr>
            <w:t>3</w:t>
          </w:r>
        </w:p>
        <w:p w14:paraId="517EB722" w14:textId="568C1C66" w:rsidR="00AC3707" w:rsidRPr="00A55134" w:rsidRDefault="00AC3707" w:rsidP="00A55134">
          <w:pPr>
            <w:pStyle w:val="TOCHeading"/>
            <w:spacing w:line="360" w:lineRule="auto"/>
            <w:jc w:val="both"/>
            <w:rPr>
              <w:rFonts w:ascii="Arial" w:hAnsi="Arial" w:cs="Arial"/>
              <w:sz w:val="24"/>
              <w:szCs w:val="24"/>
            </w:rPr>
          </w:pPr>
        </w:p>
        <w:p w14:paraId="05447942" w14:textId="7F64085C" w:rsidR="001E2B06" w:rsidRPr="00A55134" w:rsidRDefault="0083435C" w:rsidP="00A55134">
          <w:pPr>
            <w:spacing w:line="360" w:lineRule="auto"/>
            <w:jc w:val="both"/>
            <w:rPr>
              <w:rFonts w:ascii="Arial" w:hAnsi="Arial" w:cs="Arial"/>
            </w:rPr>
          </w:pPr>
        </w:p>
      </w:sdtContent>
    </w:sdt>
    <w:p w14:paraId="15A38AEC" w14:textId="77777777" w:rsidR="001E2B06" w:rsidRPr="00A55134" w:rsidRDefault="001E2B06" w:rsidP="00A55134">
      <w:pPr>
        <w:spacing w:before="100" w:beforeAutospacing="1" w:after="100" w:afterAutospacing="1" w:line="360" w:lineRule="auto"/>
        <w:jc w:val="both"/>
        <w:outlineLvl w:val="0"/>
        <w:rPr>
          <w:rFonts w:ascii="Arial" w:eastAsia="Times New Roman" w:hAnsi="Arial" w:cs="Arial"/>
          <w:b/>
          <w:bCs/>
          <w:kern w:val="36"/>
          <w:lang w:eastAsia="en-GB"/>
          <w14:ligatures w14:val="none"/>
        </w:rPr>
      </w:pPr>
      <w:bookmarkStart w:id="0" w:name="_Toc214569916"/>
    </w:p>
    <w:p w14:paraId="50431A4E" w14:textId="77777777" w:rsidR="001E2B06" w:rsidRPr="00A55134" w:rsidRDefault="001E2B06" w:rsidP="00A55134">
      <w:pPr>
        <w:spacing w:before="100" w:beforeAutospacing="1" w:after="100" w:afterAutospacing="1" w:line="360" w:lineRule="auto"/>
        <w:jc w:val="both"/>
        <w:outlineLvl w:val="0"/>
        <w:rPr>
          <w:rFonts w:ascii="Arial" w:eastAsia="Times New Roman" w:hAnsi="Arial" w:cs="Arial"/>
          <w:b/>
          <w:bCs/>
          <w:kern w:val="36"/>
          <w:lang w:eastAsia="en-GB"/>
          <w14:ligatures w14:val="none"/>
        </w:rPr>
      </w:pPr>
    </w:p>
    <w:p w14:paraId="0AC8AE21" w14:textId="77777777" w:rsidR="001E2B06" w:rsidRPr="00A55134" w:rsidRDefault="001E2B06" w:rsidP="00A55134">
      <w:pPr>
        <w:spacing w:before="100" w:beforeAutospacing="1" w:after="100" w:afterAutospacing="1" w:line="360" w:lineRule="auto"/>
        <w:jc w:val="both"/>
        <w:outlineLvl w:val="0"/>
        <w:rPr>
          <w:rFonts w:ascii="Arial" w:eastAsia="Times New Roman" w:hAnsi="Arial" w:cs="Arial"/>
          <w:b/>
          <w:bCs/>
          <w:kern w:val="36"/>
          <w:lang w:eastAsia="en-GB"/>
          <w14:ligatures w14:val="none"/>
        </w:rPr>
      </w:pPr>
    </w:p>
    <w:p w14:paraId="01347419" w14:textId="77777777" w:rsidR="001E2B06" w:rsidRPr="00A55134" w:rsidRDefault="001E2B06" w:rsidP="00A55134">
      <w:pPr>
        <w:spacing w:before="100" w:beforeAutospacing="1" w:after="100" w:afterAutospacing="1" w:line="360" w:lineRule="auto"/>
        <w:jc w:val="both"/>
        <w:outlineLvl w:val="0"/>
        <w:rPr>
          <w:rFonts w:ascii="Arial" w:eastAsia="Times New Roman" w:hAnsi="Arial" w:cs="Arial"/>
          <w:b/>
          <w:bCs/>
          <w:kern w:val="36"/>
          <w:lang w:eastAsia="en-GB"/>
          <w14:ligatures w14:val="none"/>
        </w:rPr>
      </w:pPr>
    </w:p>
    <w:p w14:paraId="15E3DFC4" w14:textId="77777777" w:rsidR="001E2B06" w:rsidRPr="00A55134" w:rsidRDefault="001E2B06" w:rsidP="00A55134">
      <w:pPr>
        <w:spacing w:before="100" w:beforeAutospacing="1" w:after="100" w:afterAutospacing="1" w:line="360" w:lineRule="auto"/>
        <w:jc w:val="both"/>
        <w:outlineLvl w:val="0"/>
        <w:rPr>
          <w:rFonts w:ascii="Arial" w:eastAsia="Times New Roman" w:hAnsi="Arial" w:cs="Arial"/>
          <w:b/>
          <w:bCs/>
          <w:kern w:val="36"/>
          <w:lang w:eastAsia="en-GB"/>
          <w14:ligatures w14:val="none"/>
        </w:rPr>
      </w:pPr>
    </w:p>
    <w:p w14:paraId="085FFB14" w14:textId="77777777" w:rsidR="001E2B06" w:rsidRPr="00A55134" w:rsidRDefault="001E2B06" w:rsidP="00A55134">
      <w:pPr>
        <w:spacing w:before="100" w:beforeAutospacing="1" w:after="100" w:afterAutospacing="1" w:line="360" w:lineRule="auto"/>
        <w:jc w:val="both"/>
        <w:outlineLvl w:val="0"/>
        <w:rPr>
          <w:rFonts w:ascii="Arial" w:eastAsia="Times New Roman" w:hAnsi="Arial" w:cs="Arial"/>
          <w:b/>
          <w:bCs/>
          <w:kern w:val="36"/>
          <w:lang w:eastAsia="en-GB"/>
          <w14:ligatures w14:val="none"/>
        </w:rPr>
      </w:pPr>
    </w:p>
    <w:p w14:paraId="7B6F4B1C" w14:textId="77777777" w:rsidR="001E2B06" w:rsidRPr="00A55134" w:rsidRDefault="001E2B06" w:rsidP="00A55134">
      <w:pPr>
        <w:spacing w:before="100" w:beforeAutospacing="1" w:after="100" w:afterAutospacing="1" w:line="360" w:lineRule="auto"/>
        <w:jc w:val="both"/>
        <w:outlineLvl w:val="0"/>
        <w:rPr>
          <w:rFonts w:ascii="Arial" w:eastAsia="Times New Roman" w:hAnsi="Arial" w:cs="Arial"/>
          <w:b/>
          <w:bCs/>
          <w:kern w:val="36"/>
          <w:lang w:eastAsia="en-GB"/>
          <w14:ligatures w14:val="none"/>
        </w:rPr>
      </w:pPr>
    </w:p>
    <w:p w14:paraId="08F45147" w14:textId="77777777" w:rsidR="001E2B06" w:rsidRPr="00A55134" w:rsidRDefault="001E2B06" w:rsidP="00A55134">
      <w:pPr>
        <w:spacing w:before="100" w:beforeAutospacing="1" w:after="100" w:afterAutospacing="1" w:line="360" w:lineRule="auto"/>
        <w:jc w:val="both"/>
        <w:outlineLvl w:val="0"/>
        <w:rPr>
          <w:rFonts w:ascii="Arial" w:eastAsia="Times New Roman" w:hAnsi="Arial" w:cs="Arial"/>
          <w:b/>
          <w:bCs/>
          <w:kern w:val="36"/>
          <w:lang w:eastAsia="en-GB"/>
          <w14:ligatures w14:val="none"/>
        </w:rPr>
      </w:pPr>
    </w:p>
    <w:p w14:paraId="49E8436F" w14:textId="77777777" w:rsidR="00AC3707" w:rsidRPr="00A55134" w:rsidRDefault="00AC3707" w:rsidP="00A55134">
      <w:pPr>
        <w:spacing w:before="100" w:beforeAutospacing="1" w:after="100" w:afterAutospacing="1" w:line="360" w:lineRule="auto"/>
        <w:jc w:val="both"/>
        <w:outlineLvl w:val="0"/>
        <w:rPr>
          <w:rFonts w:ascii="Arial" w:eastAsia="Times New Roman" w:hAnsi="Arial" w:cs="Arial"/>
          <w:b/>
          <w:bCs/>
          <w:kern w:val="36"/>
          <w:lang w:eastAsia="en-GB"/>
          <w14:ligatures w14:val="none"/>
        </w:rPr>
      </w:pPr>
    </w:p>
    <w:p w14:paraId="3849D5B8" w14:textId="77A17AE3" w:rsidR="00A17AAA" w:rsidRPr="00A55134" w:rsidRDefault="00A17AAA" w:rsidP="00A55134">
      <w:pPr>
        <w:spacing w:before="100" w:beforeAutospacing="1" w:after="100" w:afterAutospacing="1" w:line="360" w:lineRule="auto"/>
        <w:jc w:val="both"/>
        <w:outlineLvl w:val="0"/>
        <w:rPr>
          <w:rFonts w:ascii="Arial" w:eastAsia="Times New Roman" w:hAnsi="Arial" w:cs="Arial"/>
          <w:b/>
          <w:bCs/>
          <w:kern w:val="36"/>
          <w:lang w:eastAsia="en-GB"/>
          <w14:ligatures w14:val="none"/>
        </w:rPr>
      </w:pPr>
      <w:r w:rsidRPr="00A55134">
        <w:rPr>
          <w:rFonts w:ascii="Arial" w:eastAsia="Times New Roman" w:hAnsi="Arial" w:cs="Arial"/>
          <w:b/>
          <w:bCs/>
          <w:kern w:val="36"/>
          <w:lang w:eastAsia="en-GB"/>
          <w14:ligatures w14:val="none"/>
        </w:rPr>
        <w:t>The Influence of Global Forces on BP’s International Strategy</w:t>
      </w:r>
      <w:bookmarkEnd w:id="0"/>
    </w:p>
    <w:p w14:paraId="0398CE5C" w14:textId="77777777" w:rsidR="00A17AAA" w:rsidRPr="00A55134" w:rsidRDefault="00A17AAA" w:rsidP="00A55134">
      <w:pPr>
        <w:spacing w:before="100" w:beforeAutospacing="1" w:after="100" w:afterAutospacing="1" w:line="360" w:lineRule="auto"/>
        <w:jc w:val="both"/>
        <w:outlineLvl w:val="1"/>
        <w:rPr>
          <w:rFonts w:ascii="Arial" w:eastAsia="Times New Roman" w:hAnsi="Arial" w:cs="Arial"/>
          <w:b/>
          <w:bCs/>
          <w:kern w:val="0"/>
          <w:lang w:eastAsia="en-GB"/>
          <w14:ligatures w14:val="none"/>
        </w:rPr>
      </w:pPr>
      <w:bookmarkStart w:id="1" w:name="_Toc214569917"/>
      <w:r w:rsidRPr="00A55134">
        <w:rPr>
          <w:rFonts w:ascii="Arial" w:eastAsia="Times New Roman" w:hAnsi="Arial" w:cs="Arial"/>
          <w:b/>
          <w:bCs/>
          <w:kern w:val="0"/>
          <w:lang w:eastAsia="en-GB"/>
          <w14:ligatures w14:val="none"/>
        </w:rPr>
        <w:t>Introduction</w:t>
      </w:r>
      <w:bookmarkEnd w:id="1"/>
    </w:p>
    <w:p w14:paraId="18316316" w14:textId="77777777" w:rsidR="00A17AAA" w:rsidRPr="00A55134" w:rsidRDefault="00A17AAA" w:rsidP="00A55134">
      <w:p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kern w:val="0"/>
          <w:lang w:eastAsia="en-GB"/>
          <w14:ligatures w14:val="none"/>
        </w:rPr>
        <w:t>Globalisation has fundamentally transformed the international business landscape by integrating national economies through trade, investment, technology, and labour mobility. While globalisation opens new market opportunities and promotes operational efficiencies, it also exposes organisations to increasingly complex and volatile macroeconomic and geopolitical environments. In the post-2024 context, three major global forces are significantly influencing multinational strategies: the rapid adoption of artificial intelligence (AI), global supply chain vulnerabilities exacerbated by geopolitical tensions, and rising environmental and social regulatory pressures, particularly those imposed by the European Union’s Corporate Sustainability Reporting Directive (CSRD).</w:t>
      </w:r>
    </w:p>
    <w:p w14:paraId="21C5C9D8" w14:textId="3546C54C" w:rsidR="00A17AAA" w:rsidRPr="00A55134" w:rsidRDefault="00A17AAA" w:rsidP="00A55134">
      <w:p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kern w:val="0"/>
          <w:lang w:eastAsia="en-GB"/>
          <w14:ligatures w14:val="none"/>
        </w:rPr>
        <w:t>This essay critically examines how these forces impact BP, a UK-based multinational energy company with operations in over 60 countries. As a global leader in oil, gas, and emerging low-carbon solutions, BP must continually adapt to shifting technological, political, and regulatory dynamics. The essay analyses the opportunities and challenges these forces present for BP’s international strategy, explores their influence on BP’s market positioning, innovation, talent management, and competitiveness, and applies relevant business frameworks—including PESTEL, Porter’s Five Forces, Porter’s Diamond, and the Value Network. Strategic recommendations are provided to support BP’s long-term success in an evolving global energy environment.</w:t>
      </w:r>
    </w:p>
    <w:p w14:paraId="261EF946" w14:textId="77777777" w:rsidR="001E2B06" w:rsidRPr="00A55134" w:rsidRDefault="00A17AAA" w:rsidP="00A55134">
      <w:pPr>
        <w:spacing w:before="100" w:beforeAutospacing="1" w:after="100" w:afterAutospacing="1" w:line="360" w:lineRule="auto"/>
        <w:jc w:val="both"/>
        <w:outlineLvl w:val="1"/>
        <w:rPr>
          <w:rFonts w:ascii="Arial" w:eastAsia="Times New Roman" w:hAnsi="Arial" w:cs="Arial"/>
          <w:b/>
          <w:bCs/>
          <w:kern w:val="0"/>
          <w:lang w:eastAsia="en-GB"/>
          <w14:ligatures w14:val="none"/>
        </w:rPr>
      </w:pPr>
      <w:bookmarkStart w:id="2" w:name="_Toc214569918"/>
      <w:r w:rsidRPr="00A55134">
        <w:rPr>
          <w:rFonts w:ascii="Arial" w:eastAsia="Times New Roman" w:hAnsi="Arial" w:cs="Arial"/>
          <w:b/>
          <w:bCs/>
          <w:kern w:val="0"/>
          <w:lang w:eastAsia="en-GB"/>
          <w14:ligatures w14:val="none"/>
        </w:rPr>
        <w:t>Opportunities and Challenges Created by Global Forces</w:t>
      </w:r>
      <w:bookmarkEnd w:id="2"/>
    </w:p>
    <w:p w14:paraId="30693E2D" w14:textId="1E7914C8" w:rsidR="00A17AAA" w:rsidRPr="00A55134" w:rsidRDefault="00A17AAA" w:rsidP="00A55134">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A55134">
        <w:rPr>
          <w:rFonts w:ascii="Arial" w:eastAsia="Times New Roman" w:hAnsi="Arial" w:cs="Arial"/>
          <w:b/>
          <w:bCs/>
          <w:kern w:val="0"/>
          <w:lang w:eastAsia="en-GB"/>
          <w14:ligatures w14:val="none"/>
        </w:rPr>
        <w:t xml:space="preserve"> </w:t>
      </w:r>
      <w:bookmarkStart w:id="3" w:name="_Toc214569919"/>
      <w:r w:rsidRPr="00A55134">
        <w:rPr>
          <w:rFonts w:ascii="Arial" w:eastAsia="Times New Roman" w:hAnsi="Arial" w:cs="Arial"/>
          <w:b/>
          <w:bCs/>
          <w:kern w:val="0"/>
          <w:lang w:eastAsia="en-GB"/>
          <w14:ligatures w14:val="none"/>
        </w:rPr>
        <w:t>Artificial Intelligence Adoption</w:t>
      </w:r>
      <w:bookmarkEnd w:id="3"/>
    </w:p>
    <w:p w14:paraId="50830FBA" w14:textId="77777777" w:rsidR="00A17AAA" w:rsidRPr="00A55134" w:rsidRDefault="00A17AAA" w:rsidP="00A55134">
      <w:p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kern w:val="0"/>
          <w:lang w:eastAsia="en-GB"/>
          <w14:ligatures w14:val="none"/>
        </w:rPr>
        <w:lastRenderedPageBreak/>
        <w:t>Artificial Intelligence (AI) is transforming the global energy sector, enabling predictive analytics, automation, and real-time operational optimisation. For BP, AI integration has introduced major opportunities to improve efficiency, reduce downtime, and support strategic decision-making. Predictive maintenance technologies use AI to anticipate equipment failures, while digital twins—virtual models of physical assets—enable the simulation of operational scenarios to enhance safety and performance. These technologies are deployed on platforms such as the Argos facility in the Gulf of Mexico.</w:t>
      </w:r>
    </w:p>
    <w:p w14:paraId="571AE0EF" w14:textId="4A9CB77F" w:rsidR="00885B76" w:rsidRPr="00A55134" w:rsidRDefault="00AC3707" w:rsidP="00A55134">
      <w:pPr>
        <w:spacing w:beforeAutospacing="1" w:after="100" w:afterAutospacing="1" w:line="360" w:lineRule="auto"/>
        <w:jc w:val="both"/>
        <w:rPr>
          <w:rFonts w:ascii="Arial" w:eastAsia="Times New Roman" w:hAnsi="Arial" w:cs="Arial"/>
          <w:b/>
          <w:bCs/>
          <w:kern w:val="0"/>
          <w:lang w:eastAsia="en-GB"/>
          <w14:ligatures w14:val="none"/>
        </w:rPr>
      </w:pPr>
      <w:r w:rsidRPr="00A55134">
        <w:rPr>
          <w:rFonts w:ascii="Arial" w:eastAsia="Times New Roman" w:hAnsi="Arial" w:cs="Arial"/>
          <w:b/>
          <w:bCs/>
          <w:noProof/>
          <w:kern w:val="0"/>
          <w:lang w:eastAsia="en-GB"/>
          <w14:ligatures w14:val="none"/>
        </w:rPr>
        <w:drawing>
          <wp:anchor distT="0" distB="0" distL="114300" distR="114300" simplePos="0" relativeHeight="251626496" behindDoc="0" locked="0" layoutInCell="1" allowOverlap="1" wp14:anchorId="01CF15BE" wp14:editId="6A7AD92F">
            <wp:simplePos x="0" y="0"/>
            <wp:positionH relativeFrom="column">
              <wp:posOffset>1112520</wp:posOffset>
            </wp:positionH>
            <wp:positionV relativeFrom="paragraph">
              <wp:posOffset>443230</wp:posOffset>
            </wp:positionV>
            <wp:extent cx="2613660" cy="2613660"/>
            <wp:effectExtent l="0" t="0" r="0" b="0"/>
            <wp:wrapTopAndBottom/>
            <wp:docPr id="812175498" name="Picture 1" descr="A diagram of a head with icon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175498" name="Picture 1" descr="A diagram of a head with icons and symbols&#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13660" cy="2613660"/>
                    </a:xfrm>
                    <a:prstGeom prst="rect">
                      <a:avLst/>
                    </a:prstGeom>
                    <a:noFill/>
                  </pic:spPr>
                </pic:pic>
              </a:graphicData>
            </a:graphic>
            <wp14:sizeRelH relativeFrom="margin">
              <wp14:pctWidth>0</wp14:pctWidth>
            </wp14:sizeRelH>
            <wp14:sizeRelV relativeFrom="margin">
              <wp14:pctHeight>0</wp14:pctHeight>
            </wp14:sizeRelV>
          </wp:anchor>
        </w:drawing>
      </w:r>
      <w:r w:rsidR="00A17AAA" w:rsidRPr="00A55134">
        <w:rPr>
          <w:rFonts w:ascii="Arial" w:eastAsia="Times New Roman" w:hAnsi="Arial" w:cs="Arial"/>
          <w:b/>
          <w:bCs/>
          <w:kern w:val="0"/>
          <w:lang w:eastAsia="en-GB"/>
          <w14:ligatures w14:val="none"/>
        </w:rPr>
        <w:t xml:space="preserve"> Figure 1: AI Integration Across BP’s Global Operations</w:t>
      </w:r>
    </w:p>
    <w:p w14:paraId="6C43B61C" w14:textId="406A571D" w:rsidR="00AC3707" w:rsidRPr="00A55134" w:rsidRDefault="00885B76" w:rsidP="00A55134">
      <w:pPr>
        <w:spacing w:beforeAutospacing="1" w:after="100" w:afterAutospacing="1" w:line="360" w:lineRule="auto"/>
        <w:jc w:val="both"/>
        <w:rPr>
          <w:rFonts w:ascii="Arial" w:hAnsi="Arial" w:cs="Arial"/>
        </w:rPr>
      </w:pPr>
      <w:r w:rsidRPr="00A55134">
        <w:rPr>
          <w:rFonts w:ascii="Arial" w:hAnsi="Arial" w:cs="Arial"/>
        </w:rPr>
        <w:t xml:space="preserve"> </w:t>
      </w:r>
    </w:p>
    <w:p w14:paraId="4EFF2212" w14:textId="07553E4D" w:rsidR="00A17AAA" w:rsidRPr="00A55134" w:rsidRDefault="00885B76" w:rsidP="00A55134">
      <w:pPr>
        <w:spacing w:beforeAutospacing="1" w:after="100" w:afterAutospacing="1" w:line="360" w:lineRule="auto"/>
        <w:jc w:val="both"/>
        <w:rPr>
          <w:rFonts w:ascii="Arial" w:hAnsi="Arial" w:cs="Arial"/>
        </w:rPr>
      </w:pPr>
      <w:r w:rsidRPr="00A55134">
        <w:rPr>
          <w:rFonts w:ascii="Arial" w:hAnsi="Arial" w:cs="Arial"/>
        </w:rPr>
        <w:t>Source of information: BP (2023). Figure created by the author.</w:t>
      </w:r>
    </w:p>
    <w:p w14:paraId="2CCADBAA" w14:textId="6326335D" w:rsidR="00A17AAA" w:rsidRPr="00A55134" w:rsidRDefault="00A17AAA" w:rsidP="00A55134">
      <w:p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kern w:val="0"/>
          <w:lang w:eastAsia="en-GB"/>
          <w14:ligatures w14:val="none"/>
        </w:rPr>
        <w:t>Additionally, AI-powered forecasting tools help BP respond more effectively to oil price fluctuations and manage global energy demand and trading strategies. According to McKinsey &amp; Company (2024), AI integration can improve energy production efficiency by up to 20%.</w:t>
      </w:r>
    </w:p>
    <w:p w14:paraId="7B42E5AA" w14:textId="201AABA0" w:rsidR="00A17AAA" w:rsidRPr="00A55134" w:rsidRDefault="00A17AAA" w:rsidP="00A55134">
      <w:p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kern w:val="0"/>
          <w:lang w:eastAsia="en-GB"/>
          <w14:ligatures w14:val="none"/>
        </w:rPr>
        <w:t>However, AI implementation introduces significant challenges. Cybersecurity risks are heightened due to the increased digitisation of operations (OECD, 2023), and the shift toward digital technologies has created a global shortage of AI and data science talent (PwC, 2024). This technological transition requires extensive internal reskilling, as traditional roles become obsolete.</w:t>
      </w:r>
    </w:p>
    <w:p w14:paraId="5071B6A6" w14:textId="55A56738" w:rsidR="00A17AAA" w:rsidRPr="00A55134" w:rsidRDefault="00A17AAA" w:rsidP="00A55134">
      <w:pPr>
        <w:spacing w:before="100" w:beforeAutospacing="1" w:after="100" w:afterAutospacing="1" w:line="360" w:lineRule="auto"/>
        <w:jc w:val="both"/>
        <w:outlineLvl w:val="2"/>
        <w:rPr>
          <w:rFonts w:ascii="Arial" w:eastAsia="Times New Roman" w:hAnsi="Arial" w:cs="Arial"/>
          <w:b/>
          <w:bCs/>
          <w:kern w:val="0"/>
          <w:lang w:eastAsia="en-GB"/>
          <w14:ligatures w14:val="none"/>
        </w:rPr>
      </w:pPr>
      <w:bookmarkStart w:id="4" w:name="_Toc214569920"/>
      <w:r w:rsidRPr="00A55134">
        <w:rPr>
          <w:rFonts w:ascii="Arial" w:eastAsia="Times New Roman" w:hAnsi="Arial" w:cs="Arial"/>
          <w:b/>
          <w:bCs/>
          <w:kern w:val="0"/>
          <w:lang w:eastAsia="en-GB"/>
          <w14:ligatures w14:val="none"/>
        </w:rPr>
        <w:lastRenderedPageBreak/>
        <w:t>Geopolitical Disruptions and Global Supply Chain Risk</w:t>
      </w:r>
      <w:bookmarkEnd w:id="4"/>
    </w:p>
    <w:p w14:paraId="7854D141" w14:textId="727B5FC8" w:rsidR="004E1234" w:rsidRPr="00A55134" w:rsidRDefault="0083435C" w:rsidP="00A55134">
      <w:p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b/>
          <w:bCs/>
          <w:noProof/>
          <w:kern w:val="0"/>
          <w:lang w:eastAsia="en-GB"/>
          <w14:ligatures w14:val="none"/>
        </w:rPr>
        <w:drawing>
          <wp:anchor distT="0" distB="0" distL="114300" distR="114300" simplePos="0" relativeHeight="251638784" behindDoc="0" locked="0" layoutInCell="1" allowOverlap="1" wp14:anchorId="42AE0BD1" wp14:editId="6127457A">
            <wp:simplePos x="0" y="0"/>
            <wp:positionH relativeFrom="column">
              <wp:posOffset>1402080</wp:posOffset>
            </wp:positionH>
            <wp:positionV relativeFrom="paragraph">
              <wp:posOffset>1939290</wp:posOffset>
            </wp:positionV>
            <wp:extent cx="2971800" cy="2397760"/>
            <wp:effectExtent l="0" t="0" r="0" b="0"/>
            <wp:wrapTopAndBottom/>
            <wp:docPr id="1142595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71800" cy="2397760"/>
                    </a:xfrm>
                    <a:prstGeom prst="rect">
                      <a:avLst/>
                    </a:prstGeom>
                    <a:noFill/>
                  </pic:spPr>
                </pic:pic>
              </a:graphicData>
            </a:graphic>
            <wp14:sizeRelH relativeFrom="margin">
              <wp14:pctWidth>0</wp14:pctWidth>
            </wp14:sizeRelH>
            <wp14:sizeRelV relativeFrom="margin">
              <wp14:pctHeight>0</wp14:pctHeight>
            </wp14:sizeRelV>
          </wp:anchor>
        </w:drawing>
      </w:r>
      <w:r>
        <w:rPr>
          <w:rFonts w:ascii="Arial" w:eastAsia="Times New Roman" w:hAnsi="Arial" w:cs="Arial"/>
          <w:kern w:val="0"/>
          <w:lang w:eastAsia="en-GB"/>
          <w14:ligatures w14:val="none"/>
        </w:rPr>
        <w:t>G</w:t>
      </w:r>
      <w:r w:rsidR="004E1234" w:rsidRPr="00A55134">
        <w:rPr>
          <w:rFonts w:ascii="Arial" w:eastAsia="Times New Roman" w:hAnsi="Arial" w:cs="Arial"/>
          <w:kern w:val="0"/>
          <w:lang w:eastAsia="en-GB"/>
          <w14:ligatures w14:val="none"/>
        </w:rPr>
        <w:t>eopolitical instability is one of the most disruptive global forces affecting BP’s international operations. Events such as the Russia–Ukraine conflict, Red Sea shipping disruptions, sanctions, and tensions in the South China Sea have significantly impacted global supply chains. For instance, during the 2024–2025 Red Sea crisis, BP rerouted shipments around the Cape of Good Hope, increasing transit time, fuel consumption, and insurance costs (Lloyd’s List, 2024).</w:t>
      </w:r>
    </w:p>
    <w:p w14:paraId="26251BCF" w14:textId="77777777" w:rsidR="0083435C" w:rsidRDefault="0083435C" w:rsidP="00A55134">
      <w:pPr>
        <w:spacing w:beforeAutospacing="1" w:after="100" w:afterAutospacing="1" w:line="360" w:lineRule="auto"/>
        <w:jc w:val="both"/>
        <w:rPr>
          <w:rFonts w:ascii="Arial" w:eastAsia="Times New Roman" w:hAnsi="Arial" w:cs="Arial"/>
          <w:b/>
          <w:bCs/>
          <w:kern w:val="0"/>
          <w:lang w:eastAsia="en-GB"/>
          <w14:ligatures w14:val="none"/>
        </w:rPr>
      </w:pPr>
    </w:p>
    <w:p w14:paraId="1B202E79" w14:textId="77777777" w:rsidR="0083435C" w:rsidRDefault="004E1234" w:rsidP="00A55134">
      <w:pPr>
        <w:spacing w:beforeAutospacing="1" w:after="100" w:afterAutospacing="1" w:line="360" w:lineRule="auto"/>
        <w:jc w:val="both"/>
        <w:rPr>
          <w:rFonts w:ascii="Arial" w:eastAsia="Times New Roman" w:hAnsi="Arial" w:cs="Arial"/>
          <w:i/>
          <w:iCs/>
          <w:kern w:val="0"/>
          <w:lang w:eastAsia="en-GB"/>
          <w14:ligatures w14:val="none"/>
        </w:rPr>
      </w:pPr>
      <w:r w:rsidRPr="00A55134">
        <w:rPr>
          <w:rFonts w:ascii="Arial" w:eastAsia="Times New Roman" w:hAnsi="Arial" w:cs="Arial"/>
          <w:b/>
          <w:bCs/>
          <w:kern w:val="0"/>
          <w:lang w:eastAsia="en-GB"/>
          <w14:ligatures w14:val="none"/>
        </w:rPr>
        <w:t>Figure 2: Shipping Route Disruptions During the 2024–25 Red Sea Crisis</w:t>
      </w:r>
      <w:r w:rsidRPr="00A55134">
        <w:rPr>
          <w:rFonts w:ascii="Arial" w:eastAsia="Times New Roman" w:hAnsi="Arial" w:cs="Arial"/>
          <w:kern w:val="0"/>
          <w:lang w:eastAsia="en-GB"/>
          <w14:ligatures w14:val="none"/>
        </w:rPr>
        <w:br/>
      </w:r>
    </w:p>
    <w:p w14:paraId="68EC94DC" w14:textId="690C6233" w:rsidR="004E1234" w:rsidRPr="0083435C" w:rsidRDefault="004E1234" w:rsidP="00A55134">
      <w:pPr>
        <w:spacing w:beforeAutospacing="1" w:after="100" w:afterAutospacing="1" w:line="360" w:lineRule="auto"/>
        <w:jc w:val="both"/>
        <w:rPr>
          <w:rFonts w:ascii="Arial" w:eastAsia="Times New Roman" w:hAnsi="Arial" w:cs="Arial"/>
          <w:i/>
          <w:iCs/>
          <w:kern w:val="0"/>
          <w:lang w:eastAsia="en-GB"/>
          <w14:ligatures w14:val="none"/>
        </w:rPr>
      </w:pPr>
      <w:r w:rsidRPr="00A55134">
        <w:rPr>
          <w:rFonts w:ascii="Arial" w:eastAsia="Times New Roman" w:hAnsi="Arial" w:cs="Arial"/>
          <w:i/>
          <w:iCs/>
          <w:kern w:val="0"/>
          <w:lang w:eastAsia="en-GB"/>
          <w14:ligatures w14:val="none"/>
        </w:rPr>
        <w:t>Source: December 2023 BP shipping updates. Figure created by the author.</w:t>
      </w:r>
    </w:p>
    <w:p w14:paraId="5717ABA4" w14:textId="77777777" w:rsidR="004E1234" w:rsidRPr="00A55134" w:rsidRDefault="004E1234" w:rsidP="00A55134">
      <w:p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kern w:val="0"/>
          <w:lang w:eastAsia="en-GB"/>
          <w14:ligatures w14:val="none"/>
        </w:rPr>
        <w:t>These disruptions highlight BP’s vulnerability to political tensions in key global shipping corridors.</w:t>
      </w:r>
    </w:p>
    <w:p w14:paraId="422085C0" w14:textId="77777777" w:rsidR="004E1234" w:rsidRPr="00A55134" w:rsidRDefault="004E1234" w:rsidP="00A55134">
      <w:p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kern w:val="0"/>
          <w:lang w:eastAsia="en-GB"/>
          <w14:ligatures w14:val="none"/>
        </w:rPr>
        <w:t>BP’s 2022 withdrawal from its 19.75% ownership stake in Rosneft following international sanctions resulted in a financial loss exceeding USD 24 billion (BP, 2022). This demonstrates how geopolitical risk can directly affect asset values, profitability, and long-term investment planning.</w:t>
      </w:r>
    </w:p>
    <w:p w14:paraId="74B7E20D" w14:textId="4ECDB13A" w:rsidR="004E1234" w:rsidRPr="00A55134" w:rsidRDefault="004E1234" w:rsidP="00A55134">
      <w:p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kern w:val="0"/>
          <w:lang w:eastAsia="en-GB"/>
          <w14:ligatures w14:val="none"/>
        </w:rPr>
        <w:t xml:space="preserve">Furthermore, BP relies on global supply chains for critical components such as advanced sensors, semiconductors, and specialised machinery used in renewable </w:t>
      </w:r>
      <w:r w:rsidRPr="00A55134">
        <w:rPr>
          <w:rFonts w:ascii="Arial" w:eastAsia="Times New Roman" w:hAnsi="Arial" w:cs="Arial"/>
          <w:kern w:val="0"/>
          <w:lang w:eastAsia="en-GB"/>
          <w14:ligatures w14:val="none"/>
        </w:rPr>
        <w:lastRenderedPageBreak/>
        <w:t xml:space="preserve">energy projects. Many of these components are concentrated in East Asia, making BP vulnerable to export restrictions and geopolitical tensions (IEA, 2024), as </w:t>
      </w:r>
      <w:r w:rsidR="0083435C" w:rsidRPr="00A55134">
        <w:rPr>
          <w:rFonts w:ascii="Arial" w:eastAsia="Times New Roman" w:hAnsi="Arial" w:cs="Arial"/>
          <w:b/>
          <w:bCs/>
          <w:noProof/>
          <w:kern w:val="0"/>
          <w:lang w:eastAsia="en-GB"/>
          <w14:ligatures w14:val="none"/>
        </w:rPr>
        <w:drawing>
          <wp:anchor distT="0" distB="0" distL="114300" distR="114300" simplePos="0" relativeHeight="251640832" behindDoc="0" locked="0" layoutInCell="1" allowOverlap="1" wp14:anchorId="42F0AE97" wp14:editId="5326DBD5">
            <wp:simplePos x="0" y="0"/>
            <wp:positionH relativeFrom="column">
              <wp:posOffset>1333500</wp:posOffset>
            </wp:positionH>
            <wp:positionV relativeFrom="paragraph">
              <wp:posOffset>977900</wp:posOffset>
            </wp:positionV>
            <wp:extent cx="3100070" cy="3100070"/>
            <wp:effectExtent l="0" t="0" r="0" b="0"/>
            <wp:wrapTopAndBottom/>
            <wp:docPr id="17330341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00070" cy="3100070"/>
                    </a:xfrm>
                    <a:prstGeom prst="rect">
                      <a:avLst/>
                    </a:prstGeom>
                    <a:noFill/>
                  </pic:spPr>
                </pic:pic>
              </a:graphicData>
            </a:graphic>
            <wp14:sizeRelH relativeFrom="margin">
              <wp14:pctWidth>0</wp14:pctWidth>
            </wp14:sizeRelH>
            <wp14:sizeRelV relativeFrom="margin">
              <wp14:pctHeight>0</wp14:pctHeight>
            </wp14:sizeRelV>
          </wp:anchor>
        </w:drawing>
      </w:r>
      <w:r w:rsidRPr="00A55134">
        <w:rPr>
          <w:rFonts w:ascii="Arial" w:eastAsia="Times New Roman" w:hAnsi="Arial" w:cs="Arial"/>
          <w:kern w:val="0"/>
          <w:lang w:eastAsia="en-GB"/>
          <w14:ligatures w14:val="none"/>
        </w:rPr>
        <w:t>illustrated in Figure 3.</w:t>
      </w:r>
    </w:p>
    <w:p w14:paraId="3FF71CDB" w14:textId="77777777" w:rsidR="0083435C" w:rsidRDefault="0083435C" w:rsidP="00A55134">
      <w:pPr>
        <w:spacing w:beforeAutospacing="1" w:after="100" w:afterAutospacing="1" w:line="360" w:lineRule="auto"/>
        <w:jc w:val="both"/>
        <w:rPr>
          <w:rFonts w:ascii="Arial" w:eastAsia="Times New Roman" w:hAnsi="Arial" w:cs="Arial"/>
          <w:b/>
          <w:bCs/>
          <w:kern w:val="0"/>
          <w:lang w:eastAsia="en-GB"/>
          <w14:ligatures w14:val="none"/>
        </w:rPr>
      </w:pPr>
    </w:p>
    <w:p w14:paraId="2945AD9B" w14:textId="22A5613C" w:rsidR="003F3C0E" w:rsidRPr="00A55134" w:rsidRDefault="004E1234" w:rsidP="00A55134">
      <w:pPr>
        <w:spacing w:beforeAutospacing="1" w:after="100" w:afterAutospacing="1" w:line="360" w:lineRule="auto"/>
        <w:jc w:val="both"/>
        <w:rPr>
          <w:rFonts w:ascii="Arial" w:eastAsia="Times New Roman" w:hAnsi="Arial" w:cs="Arial"/>
          <w:b/>
          <w:bCs/>
          <w:kern w:val="0"/>
          <w:lang w:eastAsia="en-GB"/>
          <w14:ligatures w14:val="none"/>
        </w:rPr>
      </w:pPr>
      <w:r w:rsidRPr="00A55134">
        <w:rPr>
          <w:rFonts w:ascii="Arial" w:eastAsia="Times New Roman" w:hAnsi="Arial" w:cs="Arial"/>
          <w:b/>
          <w:bCs/>
          <w:kern w:val="0"/>
          <w:lang w:eastAsia="en-GB"/>
          <w14:ligatures w14:val="none"/>
        </w:rPr>
        <w:t>Figure 3: Global Distribution of BP</w:t>
      </w:r>
    </w:p>
    <w:p w14:paraId="1E054786" w14:textId="45D96A37" w:rsidR="001E2B06" w:rsidRPr="00A55134" w:rsidRDefault="001E2B06" w:rsidP="00A55134">
      <w:pPr>
        <w:spacing w:beforeAutospacing="1" w:after="100" w:afterAutospacing="1" w:line="360" w:lineRule="auto"/>
        <w:jc w:val="both"/>
        <w:rPr>
          <w:rFonts w:ascii="Arial" w:eastAsia="Times New Roman" w:hAnsi="Arial" w:cs="Arial"/>
          <w:b/>
          <w:bCs/>
          <w:kern w:val="0"/>
          <w:lang w:eastAsia="en-GB"/>
          <w14:ligatures w14:val="none"/>
        </w:rPr>
      </w:pPr>
      <w:r w:rsidRPr="00A55134">
        <w:rPr>
          <w:rFonts w:ascii="Arial" w:eastAsia="Times New Roman" w:hAnsi="Arial" w:cs="Arial"/>
          <w:kern w:val="0"/>
          <w:lang w:eastAsia="en-GB"/>
          <w14:ligatures w14:val="none"/>
        </w:rPr>
        <w:t>Source of information: BP Annual Report and Form 20-F 2023. Figure created by the author.</w:t>
      </w:r>
    </w:p>
    <w:p w14:paraId="4D67FB9E" w14:textId="4B95AD88" w:rsidR="004E1234" w:rsidRPr="00A55134" w:rsidRDefault="004E1234" w:rsidP="00A55134">
      <w:pPr>
        <w:spacing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b/>
          <w:bCs/>
          <w:kern w:val="0"/>
          <w:lang w:eastAsia="en-GB"/>
          <w14:ligatures w14:val="none"/>
        </w:rPr>
        <w:t>Supply Chain</w:t>
      </w:r>
      <w:r w:rsidRPr="00A55134">
        <w:rPr>
          <w:rFonts w:ascii="Arial" w:eastAsia="Times New Roman" w:hAnsi="Arial" w:cs="Arial"/>
          <w:kern w:val="0"/>
          <w:lang w:eastAsia="en-GB"/>
          <w14:ligatures w14:val="none"/>
        </w:rPr>
        <w:br/>
        <w:t>This map illustrates BP’s international operations across upstream (exploration), midstream (transport and trading), and downstream (distribution) activities. It visually demonstrates BP’s exposure to geopolitical risks due to the company’s dependency on facilities and supply corridors in unstable regions such as the Middle East, Sub-Saharan Africa, and East Asia.</w:t>
      </w:r>
    </w:p>
    <w:p w14:paraId="292CAFA5" w14:textId="77777777" w:rsidR="004E1234" w:rsidRPr="00A55134" w:rsidRDefault="004E1234" w:rsidP="00A55134">
      <w:p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kern w:val="0"/>
          <w:lang w:eastAsia="en-GB"/>
          <w14:ligatures w14:val="none"/>
        </w:rPr>
        <w:t>BP’s global supply chain spans multiple regions, making its operations dependent on international suppliers, equipment manufacturers, and energy markets.</w:t>
      </w:r>
    </w:p>
    <w:p w14:paraId="6CC94563" w14:textId="77777777" w:rsidR="004E1234" w:rsidRPr="00A55134" w:rsidRDefault="004E1234" w:rsidP="00A55134">
      <w:p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kern w:val="0"/>
          <w:lang w:eastAsia="en-GB"/>
          <w14:ligatures w14:val="none"/>
        </w:rPr>
        <w:t>Despite the risks, BP continues to operate internationally due to strong economic reasons that explain why multinational firms engage in global trade:</w:t>
      </w:r>
    </w:p>
    <w:p w14:paraId="0077E0F4" w14:textId="77777777" w:rsidR="004E1234" w:rsidRPr="00A55134" w:rsidRDefault="004E1234" w:rsidP="00A55134">
      <w:pPr>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b/>
          <w:bCs/>
          <w:kern w:val="0"/>
          <w:lang w:eastAsia="en-GB"/>
          <w14:ligatures w14:val="none"/>
        </w:rPr>
        <w:lastRenderedPageBreak/>
        <w:t>Comparative advantage</w:t>
      </w:r>
      <w:r w:rsidRPr="00A55134">
        <w:rPr>
          <w:rFonts w:ascii="Arial" w:eastAsia="Times New Roman" w:hAnsi="Arial" w:cs="Arial"/>
          <w:kern w:val="0"/>
          <w:lang w:eastAsia="en-GB"/>
          <w14:ligatures w14:val="none"/>
        </w:rPr>
        <w:t>: No single country possesses all the energy resources BP needs; international operations allow access to oil, gas, wind, and solar sites in diverse regions.</w:t>
      </w:r>
    </w:p>
    <w:p w14:paraId="11FD9908" w14:textId="77777777" w:rsidR="004E1234" w:rsidRPr="00A55134" w:rsidRDefault="004E1234" w:rsidP="00A55134">
      <w:pPr>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b/>
          <w:bCs/>
          <w:kern w:val="0"/>
          <w:lang w:eastAsia="en-GB"/>
          <w14:ligatures w14:val="none"/>
        </w:rPr>
        <w:t>Economies of scale</w:t>
      </w:r>
      <w:r w:rsidRPr="00A55134">
        <w:rPr>
          <w:rFonts w:ascii="Arial" w:eastAsia="Times New Roman" w:hAnsi="Arial" w:cs="Arial"/>
          <w:kern w:val="0"/>
          <w:lang w:eastAsia="en-GB"/>
          <w14:ligatures w14:val="none"/>
        </w:rPr>
        <w:t>: Refining, shipping, and distribution are cheaper at global scale.</w:t>
      </w:r>
    </w:p>
    <w:p w14:paraId="48E477B6" w14:textId="77777777" w:rsidR="004E1234" w:rsidRPr="00A55134" w:rsidRDefault="004E1234" w:rsidP="00A55134">
      <w:pPr>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b/>
          <w:bCs/>
          <w:kern w:val="0"/>
          <w:lang w:eastAsia="en-GB"/>
          <w14:ligatures w14:val="none"/>
        </w:rPr>
        <w:t>Risk diversification</w:t>
      </w:r>
      <w:r w:rsidRPr="00A55134">
        <w:rPr>
          <w:rFonts w:ascii="Arial" w:eastAsia="Times New Roman" w:hAnsi="Arial" w:cs="Arial"/>
          <w:kern w:val="0"/>
          <w:lang w:eastAsia="en-GB"/>
          <w14:ligatures w14:val="none"/>
        </w:rPr>
        <w:t>: Operating in numerous markets reduces dependence on volatile domestic markets.</w:t>
      </w:r>
    </w:p>
    <w:p w14:paraId="7FD1621C" w14:textId="77777777" w:rsidR="004E1234" w:rsidRPr="00A55134" w:rsidRDefault="004E1234" w:rsidP="00A55134">
      <w:pPr>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b/>
          <w:bCs/>
          <w:kern w:val="0"/>
          <w:lang w:eastAsia="en-GB"/>
          <w14:ligatures w14:val="none"/>
        </w:rPr>
        <w:t>Access to demand</w:t>
      </w:r>
      <w:r w:rsidRPr="00A55134">
        <w:rPr>
          <w:rFonts w:ascii="Arial" w:eastAsia="Times New Roman" w:hAnsi="Arial" w:cs="Arial"/>
          <w:kern w:val="0"/>
          <w:lang w:eastAsia="en-GB"/>
          <w14:ligatures w14:val="none"/>
        </w:rPr>
        <w:t>: Energy consumption varies across regions; BP must operate internationally to match global supply with demand.</w:t>
      </w:r>
    </w:p>
    <w:p w14:paraId="1EADBE5D" w14:textId="77777777" w:rsidR="004E1234" w:rsidRPr="00A55134" w:rsidRDefault="004E1234" w:rsidP="00A55134">
      <w:pPr>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b/>
          <w:bCs/>
          <w:kern w:val="0"/>
          <w:lang w:eastAsia="en-GB"/>
          <w14:ligatures w14:val="none"/>
        </w:rPr>
        <w:t>Revenue diversification</w:t>
      </w:r>
      <w:r w:rsidRPr="00A55134">
        <w:rPr>
          <w:rFonts w:ascii="Arial" w:eastAsia="Times New Roman" w:hAnsi="Arial" w:cs="Arial"/>
          <w:kern w:val="0"/>
          <w:lang w:eastAsia="en-GB"/>
          <w14:ligatures w14:val="none"/>
        </w:rPr>
        <w:t>: International markets offer new revenue streams and allow BP to hedge against currency and price volatility.</w:t>
      </w:r>
    </w:p>
    <w:p w14:paraId="1E4C5F65" w14:textId="0880E07F" w:rsidR="00A17AAA" w:rsidRPr="00A55134" w:rsidRDefault="004E1234" w:rsidP="00A55134">
      <w:p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kern w:val="0"/>
          <w:lang w:eastAsia="en-GB"/>
          <w14:ligatures w14:val="none"/>
        </w:rPr>
        <w:t>These reasons illustrate why international trade remains essential to BP’s strategy even as geopolitical risks intensify.</w:t>
      </w:r>
    </w:p>
    <w:p w14:paraId="72F45F29" w14:textId="199DD056" w:rsidR="00A17AAA" w:rsidRPr="00A55134" w:rsidRDefault="00A17AAA" w:rsidP="00A55134">
      <w:pPr>
        <w:spacing w:before="100" w:beforeAutospacing="1" w:after="100" w:afterAutospacing="1" w:line="360" w:lineRule="auto"/>
        <w:jc w:val="both"/>
        <w:outlineLvl w:val="2"/>
        <w:rPr>
          <w:rFonts w:ascii="Arial" w:eastAsia="Times New Roman" w:hAnsi="Arial" w:cs="Arial"/>
          <w:b/>
          <w:bCs/>
          <w:kern w:val="0"/>
          <w:lang w:eastAsia="en-GB"/>
          <w14:ligatures w14:val="none"/>
        </w:rPr>
      </w:pPr>
      <w:bookmarkStart w:id="5" w:name="_Toc214569921"/>
      <w:r w:rsidRPr="00A55134">
        <w:rPr>
          <w:rFonts w:ascii="Arial" w:eastAsia="Times New Roman" w:hAnsi="Arial" w:cs="Arial"/>
          <w:b/>
          <w:bCs/>
          <w:kern w:val="0"/>
          <w:lang w:eastAsia="en-GB"/>
          <w14:ligatures w14:val="none"/>
        </w:rPr>
        <w:t>Sustainability Pressures and the CSRD</w:t>
      </w:r>
      <w:bookmarkEnd w:id="5"/>
    </w:p>
    <w:p w14:paraId="23F38DF3" w14:textId="77777777" w:rsidR="00A17AAA" w:rsidRPr="00A55134" w:rsidRDefault="00A17AAA" w:rsidP="00A55134">
      <w:p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kern w:val="0"/>
          <w:lang w:eastAsia="en-GB"/>
          <w14:ligatures w14:val="none"/>
        </w:rPr>
        <w:t>Environmental and social regulations—particularly the EU’s CSRD—are transforming how multinational firms disclose their sustainability performance. The CSRD requires companies to report on environmental, social, and governance (ESG) impacts across their full value chains, including Scope 3 emissions generated by end-users (IPCC, 2023).</w:t>
      </w:r>
    </w:p>
    <w:p w14:paraId="5199660A" w14:textId="7EFB55D5" w:rsidR="00A17AAA" w:rsidRPr="00A55134" w:rsidRDefault="00A17AAA" w:rsidP="00A55134">
      <w:p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kern w:val="0"/>
          <w:lang w:eastAsia="en-GB"/>
          <w14:ligatures w14:val="none"/>
        </w:rPr>
        <w:t>In response, BP has expanded its investment in renewable energy sources such as hydrogen, offshore wind, electric vehicle charging infrastructure, and carbon capture technologies. These efforts align with long-term net-zero targets and improve BP’s sustainability credentials.</w:t>
      </w:r>
    </w:p>
    <w:p w14:paraId="05F7BF5E" w14:textId="77777777" w:rsidR="0083435C" w:rsidRDefault="0083435C" w:rsidP="00A55134">
      <w:pPr>
        <w:spacing w:beforeAutospacing="1" w:after="100" w:afterAutospacing="1" w:line="360" w:lineRule="auto"/>
        <w:jc w:val="both"/>
        <w:rPr>
          <w:rFonts w:ascii="Arial" w:eastAsia="Times New Roman" w:hAnsi="Arial" w:cs="Arial"/>
          <w:b/>
          <w:bCs/>
          <w:kern w:val="0"/>
          <w:lang w:eastAsia="en-GB"/>
          <w14:ligatures w14:val="none"/>
        </w:rPr>
      </w:pPr>
    </w:p>
    <w:p w14:paraId="304C422E" w14:textId="77777777" w:rsidR="0083435C" w:rsidRDefault="0083435C" w:rsidP="00A55134">
      <w:pPr>
        <w:spacing w:beforeAutospacing="1" w:after="100" w:afterAutospacing="1" w:line="360" w:lineRule="auto"/>
        <w:jc w:val="both"/>
        <w:rPr>
          <w:rFonts w:ascii="Arial" w:eastAsia="Times New Roman" w:hAnsi="Arial" w:cs="Arial"/>
          <w:b/>
          <w:bCs/>
          <w:kern w:val="0"/>
          <w:lang w:eastAsia="en-GB"/>
          <w14:ligatures w14:val="none"/>
        </w:rPr>
      </w:pPr>
    </w:p>
    <w:p w14:paraId="5227F86B" w14:textId="77777777" w:rsidR="0083435C" w:rsidRDefault="0083435C" w:rsidP="00A55134">
      <w:pPr>
        <w:spacing w:beforeAutospacing="1" w:after="100" w:afterAutospacing="1" w:line="360" w:lineRule="auto"/>
        <w:jc w:val="both"/>
        <w:rPr>
          <w:rFonts w:ascii="Arial" w:eastAsia="Times New Roman" w:hAnsi="Arial" w:cs="Arial"/>
          <w:b/>
          <w:bCs/>
          <w:kern w:val="0"/>
          <w:lang w:eastAsia="en-GB"/>
          <w14:ligatures w14:val="none"/>
        </w:rPr>
      </w:pPr>
    </w:p>
    <w:p w14:paraId="488C76B9" w14:textId="77777777" w:rsidR="0083435C" w:rsidRDefault="0083435C" w:rsidP="00A55134">
      <w:pPr>
        <w:spacing w:beforeAutospacing="1" w:after="100" w:afterAutospacing="1" w:line="360" w:lineRule="auto"/>
        <w:jc w:val="both"/>
        <w:rPr>
          <w:rFonts w:ascii="Arial" w:eastAsia="Times New Roman" w:hAnsi="Arial" w:cs="Arial"/>
          <w:b/>
          <w:bCs/>
          <w:kern w:val="0"/>
          <w:lang w:eastAsia="en-GB"/>
          <w14:ligatures w14:val="none"/>
        </w:rPr>
      </w:pPr>
    </w:p>
    <w:p w14:paraId="323F3D1B" w14:textId="3F4A168E" w:rsidR="0083435C" w:rsidRDefault="0083435C" w:rsidP="00A55134">
      <w:pPr>
        <w:spacing w:beforeAutospacing="1" w:after="100" w:afterAutospacing="1" w:line="360" w:lineRule="auto"/>
        <w:jc w:val="both"/>
        <w:rPr>
          <w:rFonts w:ascii="Arial" w:eastAsia="Times New Roman" w:hAnsi="Arial" w:cs="Arial"/>
          <w:b/>
          <w:bCs/>
          <w:kern w:val="0"/>
          <w:lang w:eastAsia="en-GB"/>
          <w14:ligatures w14:val="none"/>
        </w:rPr>
      </w:pPr>
      <w:r w:rsidRPr="00A55134">
        <w:rPr>
          <w:rFonts w:ascii="Arial" w:eastAsia="Times New Roman" w:hAnsi="Arial" w:cs="Arial"/>
          <w:b/>
          <w:bCs/>
          <w:noProof/>
          <w:kern w:val="0"/>
          <w:lang w:eastAsia="en-GB"/>
          <w14:ligatures w14:val="none"/>
        </w:rPr>
        <w:lastRenderedPageBreak/>
        <w:drawing>
          <wp:anchor distT="0" distB="0" distL="114300" distR="114300" simplePos="0" relativeHeight="251643904" behindDoc="0" locked="0" layoutInCell="1" allowOverlap="1" wp14:anchorId="23A478B7" wp14:editId="2A4A7E58">
            <wp:simplePos x="0" y="0"/>
            <wp:positionH relativeFrom="column">
              <wp:posOffset>1303020</wp:posOffset>
            </wp:positionH>
            <wp:positionV relativeFrom="paragraph">
              <wp:posOffset>260985</wp:posOffset>
            </wp:positionV>
            <wp:extent cx="2788920" cy="2475230"/>
            <wp:effectExtent l="0" t="0" r="0" b="0"/>
            <wp:wrapTopAndBottom/>
            <wp:docPr id="19715633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2886" t="13790"/>
                    <a:stretch/>
                  </pic:blipFill>
                  <pic:spPr bwMode="auto">
                    <a:xfrm>
                      <a:off x="0" y="0"/>
                      <a:ext cx="2788920" cy="24752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077FCE1" w14:textId="0447530F" w:rsidR="0083435C" w:rsidRPr="00A55134" w:rsidRDefault="00A17AAA" w:rsidP="00A55134">
      <w:pPr>
        <w:spacing w:beforeAutospacing="1" w:after="100" w:afterAutospacing="1" w:line="360" w:lineRule="auto"/>
        <w:jc w:val="both"/>
        <w:rPr>
          <w:rFonts w:ascii="Arial" w:eastAsia="Times New Roman" w:hAnsi="Arial" w:cs="Arial"/>
          <w:b/>
          <w:bCs/>
          <w:kern w:val="0"/>
          <w:lang w:eastAsia="en-GB"/>
          <w14:ligatures w14:val="none"/>
        </w:rPr>
      </w:pPr>
      <w:r w:rsidRPr="00A55134">
        <w:rPr>
          <w:rFonts w:ascii="Arial" w:eastAsia="Times New Roman" w:hAnsi="Arial" w:cs="Arial"/>
          <w:b/>
          <w:bCs/>
          <w:kern w:val="0"/>
          <w:lang w:eastAsia="en-GB"/>
          <w14:ligatures w14:val="none"/>
        </w:rPr>
        <w:t>Figure 4: Overview of CSRD Reporting Requirements</w:t>
      </w:r>
    </w:p>
    <w:p w14:paraId="3395200F" w14:textId="2B756135" w:rsidR="00A605E6" w:rsidRPr="00A55134" w:rsidRDefault="006D6725" w:rsidP="00A55134">
      <w:p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hAnsi="Arial" w:cs="Arial"/>
        </w:rPr>
        <w:t>Source of information: European Commission CSRD guidance. Figure created by the author.</w:t>
      </w:r>
    </w:p>
    <w:p w14:paraId="7B61891A" w14:textId="7F47EF5D" w:rsidR="00A17AAA" w:rsidRPr="00A55134" w:rsidRDefault="0083435C" w:rsidP="00A55134">
      <w:p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noProof/>
          <w:kern w:val="0"/>
          <w:lang w:eastAsia="en-GB"/>
          <w14:ligatures w14:val="none"/>
        </w:rPr>
        <w:drawing>
          <wp:anchor distT="0" distB="0" distL="114300" distR="114300" simplePos="0" relativeHeight="251641856" behindDoc="0" locked="0" layoutInCell="1" allowOverlap="1" wp14:anchorId="6E636683" wp14:editId="1C8165FE">
            <wp:simplePos x="0" y="0"/>
            <wp:positionH relativeFrom="column">
              <wp:posOffset>1440180</wp:posOffset>
            </wp:positionH>
            <wp:positionV relativeFrom="paragraph">
              <wp:posOffset>1786890</wp:posOffset>
            </wp:positionV>
            <wp:extent cx="2840990" cy="2840990"/>
            <wp:effectExtent l="0" t="0" r="0" b="0"/>
            <wp:wrapTopAndBottom/>
            <wp:docPr id="101053389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40990" cy="2840990"/>
                    </a:xfrm>
                    <a:prstGeom prst="rect">
                      <a:avLst/>
                    </a:prstGeom>
                    <a:noFill/>
                  </pic:spPr>
                </pic:pic>
              </a:graphicData>
            </a:graphic>
          </wp:anchor>
        </w:drawing>
      </w:r>
      <w:r w:rsidR="00A17AAA" w:rsidRPr="00A55134">
        <w:rPr>
          <w:rFonts w:ascii="Arial" w:eastAsia="Times New Roman" w:hAnsi="Arial" w:cs="Arial"/>
          <w:kern w:val="0"/>
          <w:lang w:eastAsia="en-GB"/>
          <w14:ligatures w14:val="none"/>
        </w:rPr>
        <w:t xml:space="preserve">Nonetheless, meeting CSRD requirements is operationally demanding. It requires cross-border data collection and supplier </w:t>
      </w:r>
      <w:r w:rsidRPr="00A55134">
        <w:rPr>
          <w:rFonts w:ascii="Arial" w:eastAsia="Times New Roman" w:hAnsi="Arial" w:cs="Arial"/>
          <w:kern w:val="0"/>
          <w:lang w:eastAsia="en-GB"/>
          <w14:ligatures w14:val="none"/>
        </w:rPr>
        <w:t>coordination and</w:t>
      </w:r>
      <w:r w:rsidR="00A17AAA" w:rsidRPr="00A55134">
        <w:rPr>
          <w:rFonts w:ascii="Arial" w:eastAsia="Times New Roman" w:hAnsi="Arial" w:cs="Arial"/>
          <w:kern w:val="0"/>
          <w:lang w:eastAsia="en-GB"/>
          <w14:ligatures w14:val="none"/>
        </w:rPr>
        <w:t xml:space="preserve"> implementing the directive’s “double materiality” principle adds complexity to BP’s ESG reporting (KPMG, 2024). Furthermore, as of 2023, only 29% of BP’s capital expenditure is allocated to low-carbon energy, with the remaining 71% still directed toward gas, indicating a slow transition.</w:t>
      </w:r>
    </w:p>
    <w:p w14:paraId="6846A2DF" w14:textId="01A45162" w:rsidR="0083435C" w:rsidRDefault="0083435C" w:rsidP="00A55134">
      <w:pPr>
        <w:spacing w:beforeAutospacing="1" w:after="100" w:afterAutospacing="1" w:line="360" w:lineRule="auto"/>
        <w:jc w:val="both"/>
        <w:rPr>
          <w:rFonts w:ascii="Arial" w:eastAsia="Times New Roman" w:hAnsi="Arial" w:cs="Arial"/>
          <w:b/>
          <w:bCs/>
          <w:kern w:val="0"/>
          <w:lang w:eastAsia="en-GB"/>
          <w14:ligatures w14:val="none"/>
        </w:rPr>
      </w:pPr>
    </w:p>
    <w:p w14:paraId="5B8361E9" w14:textId="77777777" w:rsidR="0083435C" w:rsidRDefault="00A17AAA" w:rsidP="0083435C">
      <w:pPr>
        <w:spacing w:beforeAutospacing="1" w:after="100" w:afterAutospacing="1" w:line="360" w:lineRule="auto"/>
        <w:jc w:val="both"/>
        <w:rPr>
          <w:rFonts w:ascii="Arial" w:eastAsia="Times New Roman" w:hAnsi="Arial" w:cs="Arial"/>
          <w:b/>
          <w:bCs/>
          <w:kern w:val="0"/>
          <w:lang w:eastAsia="en-GB"/>
          <w14:ligatures w14:val="none"/>
        </w:rPr>
      </w:pPr>
      <w:r w:rsidRPr="00A55134">
        <w:rPr>
          <w:rFonts w:ascii="Arial" w:eastAsia="Times New Roman" w:hAnsi="Arial" w:cs="Arial"/>
          <w:b/>
          <w:bCs/>
          <w:kern w:val="0"/>
          <w:lang w:eastAsia="en-GB"/>
          <w14:ligatures w14:val="none"/>
        </w:rPr>
        <w:t>Figure 5: BP’s Capital Expenditure Split</w:t>
      </w:r>
    </w:p>
    <w:p w14:paraId="0937688B" w14:textId="756FC271" w:rsidR="00A17AAA" w:rsidRPr="0083435C" w:rsidRDefault="005D5B2A" w:rsidP="0083435C">
      <w:pPr>
        <w:spacing w:beforeAutospacing="1" w:after="100" w:afterAutospacing="1" w:line="360" w:lineRule="auto"/>
        <w:jc w:val="both"/>
        <w:rPr>
          <w:rFonts w:ascii="Arial" w:eastAsia="Times New Roman" w:hAnsi="Arial" w:cs="Arial"/>
          <w:b/>
          <w:bCs/>
          <w:kern w:val="0"/>
          <w:lang w:eastAsia="en-GB"/>
          <w14:ligatures w14:val="none"/>
        </w:rPr>
      </w:pPr>
      <w:r w:rsidRPr="00A55134">
        <w:rPr>
          <w:rFonts w:ascii="Arial" w:hAnsi="Arial" w:cs="Arial"/>
        </w:rPr>
        <w:t>Source: BP Annual Report and Form 20-F 2023, pp. 39–42. Figure created by the author.</w:t>
      </w:r>
    </w:p>
    <w:p w14:paraId="2DB25299" w14:textId="77777777" w:rsidR="00A17AAA" w:rsidRPr="00A55134" w:rsidRDefault="00A17AAA" w:rsidP="00A55134">
      <w:pPr>
        <w:spacing w:before="100" w:beforeAutospacing="1" w:after="100" w:afterAutospacing="1" w:line="360" w:lineRule="auto"/>
        <w:jc w:val="both"/>
        <w:outlineLvl w:val="1"/>
        <w:rPr>
          <w:rFonts w:ascii="Arial" w:eastAsia="Times New Roman" w:hAnsi="Arial" w:cs="Arial"/>
          <w:b/>
          <w:bCs/>
          <w:kern w:val="0"/>
          <w:lang w:eastAsia="en-GB"/>
          <w14:ligatures w14:val="none"/>
        </w:rPr>
      </w:pPr>
      <w:bookmarkStart w:id="6" w:name="_Toc214569922"/>
      <w:r w:rsidRPr="00A55134">
        <w:rPr>
          <w:rFonts w:ascii="Arial" w:eastAsia="Times New Roman" w:hAnsi="Arial" w:cs="Arial"/>
          <w:b/>
          <w:bCs/>
          <w:kern w:val="0"/>
          <w:lang w:eastAsia="en-GB"/>
          <w14:ligatures w14:val="none"/>
        </w:rPr>
        <w:t>Application of Business Models within the PESTEL Framework</w:t>
      </w:r>
      <w:bookmarkEnd w:id="6"/>
    </w:p>
    <w:p w14:paraId="7747A68C" w14:textId="054A044F" w:rsidR="00A17AAA" w:rsidRPr="00C3461B" w:rsidRDefault="007440A0" w:rsidP="00C3461B">
      <w:pPr>
        <w:spacing w:before="100" w:beforeAutospacing="1" w:after="100" w:afterAutospacing="1" w:line="360" w:lineRule="auto"/>
        <w:jc w:val="both"/>
        <w:rPr>
          <w:rFonts w:ascii="Arial" w:eastAsia="Times New Roman" w:hAnsi="Arial" w:cs="Arial"/>
          <w:kern w:val="0"/>
          <w:lang w:eastAsia="en-GB"/>
          <w14:ligatures w14:val="none"/>
        </w:rPr>
      </w:pPr>
      <w:bookmarkStart w:id="7" w:name="_Toc214569923"/>
      <w:r w:rsidRPr="00A55134">
        <w:rPr>
          <w:rFonts w:ascii="Arial" w:eastAsia="Times New Roman" w:hAnsi="Arial" w:cs="Arial"/>
          <w:b/>
          <w:bCs/>
          <w:noProof/>
          <w:kern w:val="0"/>
          <w:lang w:eastAsia="en-GB"/>
          <w14:ligatures w14:val="none"/>
        </w:rPr>
        <w:drawing>
          <wp:anchor distT="0" distB="0" distL="114300" distR="114300" simplePos="0" relativeHeight="251666432" behindDoc="0" locked="0" layoutInCell="1" allowOverlap="1" wp14:anchorId="026A98E8" wp14:editId="6CFCFA38">
            <wp:simplePos x="0" y="0"/>
            <wp:positionH relativeFrom="column">
              <wp:posOffset>1112520</wp:posOffset>
            </wp:positionH>
            <wp:positionV relativeFrom="paragraph">
              <wp:posOffset>966470</wp:posOffset>
            </wp:positionV>
            <wp:extent cx="3238500" cy="2697480"/>
            <wp:effectExtent l="0" t="0" r="0" b="0"/>
            <wp:wrapTopAndBottom/>
            <wp:docPr id="35421716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1" t="8900" r="468" b="8197"/>
                    <a:stretch/>
                  </pic:blipFill>
                  <pic:spPr bwMode="auto">
                    <a:xfrm>
                      <a:off x="0" y="0"/>
                      <a:ext cx="3238500" cy="26974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End w:id="7"/>
      <w:r w:rsidR="00A17AAA" w:rsidRPr="00A55134">
        <w:rPr>
          <w:rFonts w:ascii="Arial" w:eastAsia="Times New Roman" w:hAnsi="Arial" w:cs="Arial"/>
          <w:kern w:val="0"/>
          <w:lang w:eastAsia="en-GB"/>
          <w14:ligatures w14:val="none"/>
        </w:rPr>
        <w:t>To evaluate BP’s global strategy more deeply, the PESTEL framework is applied alongside key business models: Porter’s Five Forces, Porter’s Diamond, and the Value Network.</w:t>
      </w:r>
    </w:p>
    <w:p w14:paraId="5E5FE378" w14:textId="77777777" w:rsidR="007440A0" w:rsidRDefault="007440A0" w:rsidP="00C3461B">
      <w:pPr>
        <w:spacing w:before="100" w:beforeAutospacing="1" w:after="100" w:afterAutospacing="1" w:line="360" w:lineRule="auto"/>
        <w:jc w:val="both"/>
        <w:rPr>
          <w:rFonts w:ascii="Arial" w:eastAsia="Times New Roman" w:hAnsi="Arial" w:cs="Arial"/>
          <w:b/>
          <w:bCs/>
          <w:kern w:val="0"/>
          <w:lang w:eastAsia="en-GB"/>
          <w14:ligatures w14:val="none"/>
        </w:rPr>
      </w:pPr>
    </w:p>
    <w:p w14:paraId="565062D0" w14:textId="0393F663" w:rsidR="00C3461B" w:rsidRPr="00C3461B" w:rsidRDefault="00C3461B" w:rsidP="00C3461B">
      <w:pPr>
        <w:spacing w:before="100" w:beforeAutospacing="1" w:after="100" w:afterAutospacing="1" w:line="360" w:lineRule="auto"/>
        <w:jc w:val="both"/>
        <w:rPr>
          <w:rFonts w:ascii="Arial" w:eastAsia="Times New Roman" w:hAnsi="Arial" w:cs="Arial"/>
          <w:kern w:val="0"/>
          <w:lang w:eastAsia="en-GB"/>
          <w14:ligatures w14:val="none"/>
        </w:rPr>
      </w:pPr>
      <w:r w:rsidRPr="00C3461B">
        <w:rPr>
          <w:rFonts w:ascii="Arial" w:eastAsia="Times New Roman" w:hAnsi="Arial" w:cs="Arial"/>
          <w:b/>
          <w:bCs/>
          <w:kern w:val="0"/>
          <w:lang w:eastAsia="en-GB"/>
          <w14:ligatures w14:val="none"/>
        </w:rPr>
        <w:t>Figure</w:t>
      </w:r>
      <w:r w:rsidRPr="00C3461B">
        <w:rPr>
          <w:rFonts w:ascii="Arial" w:eastAsia="Times New Roman" w:hAnsi="Arial" w:cs="Arial"/>
          <w:b/>
          <w:bCs/>
          <w:kern w:val="0"/>
          <w:lang w:eastAsia="en-GB"/>
          <w14:ligatures w14:val="none"/>
        </w:rPr>
        <w:t>6</w:t>
      </w:r>
      <w:r w:rsidRPr="00C3461B">
        <w:rPr>
          <w:rFonts w:ascii="Arial" w:eastAsia="Times New Roman" w:hAnsi="Arial" w:cs="Arial"/>
          <w:b/>
          <w:bCs/>
          <w:kern w:val="0"/>
          <w:lang w:eastAsia="en-GB"/>
          <w14:ligatures w14:val="none"/>
        </w:rPr>
        <w:t>: PESTEL analysis of BP’s external environment.</w:t>
      </w:r>
      <w:r w:rsidRPr="00C3461B">
        <w:rPr>
          <w:rFonts w:ascii="Arial" w:eastAsia="Times New Roman" w:hAnsi="Arial" w:cs="Arial"/>
          <w:kern w:val="0"/>
          <w:lang w:eastAsia="en-GB"/>
          <w14:ligatures w14:val="none"/>
        </w:rPr>
        <w:br/>
        <w:t>This figure summarises the key Political, Economic, Social, Technological, Environmental, and Legal factors influencing BP’s international strategy.</w:t>
      </w:r>
    </w:p>
    <w:p w14:paraId="12CD4A90" w14:textId="260E796A" w:rsidR="00A17AAA" w:rsidRPr="00A55134" w:rsidRDefault="00A17AAA" w:rsidP="00A55134">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b/>
          <w:bCs/>
          <w:kern w:val="0"/>
          <w:lang w:eastAsia="en-GB"/>
          <w14:ligatures w14:val="none"/>
        </w:rPr>
        <w:t>Political</w:t>
      </w:r>
      <w:r w:rsidRPr="00A55134">
        <w:rPr>
          <w:rFonts w:ascii="Arial" w:eastAsia="Times New Roman" w:hAnsi="Arial" w:cs="Arial"/>
          <w:kern w:val="0"/>
          <w:lang w:eastAsia="en-GB"/>
          <w14:ligatures w14:val="none"/>
        </w:rPr>
        <w:t>: Geopolitical crises (Red Sea, Ukraine, Taiwan) impact BP’s operations and logistics.</w:t>
      </w:r>
    </w:p>
    <w:p w14:paraId="68B239F8" w14:textId="1063D3F7" w:rsidR="00A17AAA" w:rsidRPr="00A55134" w:rsidRDefault="00A17AAA" w:rsidP="00A55134">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b/>
          <w:bCs/>
          <w:kern w:val="0"/>
          <w:lang w:eastAsia="en-GB"/>
          <w14:ligatures w14:val="none"/>
        </w:rPr>
        <w:t>Economic</w:t>
      </w:r>
      <w:r w:rsidRPr="00A55134">
        <w:rPr>
          <w:rFonts w:ascii="Arial" w:eastAsia="Times New Roman" w:hAnsi="Arial" w:cs="Arial"/>
          <w:kern w:val="0"/>
          <w:lang w:eastAsia="en-GB"/>
          <w14:ligatures w14:val="none"/>
        </w:rPr>
        <w:t>: Oil price volatility, inflation, and capital constraints affect investment decisions.</w:t>
      </w:r>
    </w:p>
    <w:p w14:paraId="1866E01F" w14:textId="77777777" w:rsidR="00A17AAA" w:rsidRPr="00A55134" w:rsidRDefault="00A17AAA" w:rsidP="00A55134">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b/>
          <w:bCs/>
          <w:kern w:val="0"/>
          <w:lang w:eastAsia="en-GB"/>
          <w14:ligatures w14:val="none"/>
        </w:rPr>
        <w:t>Social</w:t>
      </w:r>
      <w:r w:rsidRPr="00A55134">
        <w:rPr>
          <w:rFonts w:ascii="Arial" w:eastAsia="Times New Roman" w:hAnsi="Arial" w:cs="Arial"/>
          <w:kern w:val="0"/>
          <w:lang w:eastAsia="en-GB"/>
          <w14:ligatures w14:val="none"/>
        </w:rPr>
        <w:t>: Public and investor demands for ethical, sustainable energy are rising.</w:t>
      </w:r>
    </w:p>
    <w:p w14:paraId="3DB0D6DC" w14:textId="77777777" w:rsidR="00A17AAA" w:rsidRPr="00A55134" w:rsidRDefault="00A17AAA" w:rsidP="00A55134">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b/>
          <w:bCs/>
          <w:kern w:val="0"/>
          <w:lang w:eastAsia="en-GB"/>
          <w14:ligatures w14:val="none"/>
        </w:rPr>
        <w:t>Technological</w:t>
      </w:r>
      <w:r w:rsidRPr="00A55134">
        <w:rPr>
          <w:rFonts w:ascii="Arial" w:eastAsia="Times New Roman" w:hAnsi="Arial" w:cs="Arial"/>
          <w:kern w:val="0"/>
          <w:lang w:eastAsia="en-GB"/>
          <w14:ligatures w14:val="none"/>
        </w:rPr>
        <w:t>: AI improves performance but requires cybersecurity and specialist skills.</w:t>
      </w:r>
    </w:p>
    <w:p w14:paraId="442F8858" w14:textId="77777777" w:rsidR="00A17AAA" w:rsidRPr="00A55134" w:rsidRDefault="00A17AAA" w:rsidP="00A55134">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b/>
          <w:bCs/>
          <w:kern w:val="0"/>
          <w:lang w:eastAsia="en-GB"/>
          <w14:ligatures w14:val="none"/>
        </w:rPr>
        <w:lastRenderedPageBreak/>
        <w:t>Environmental</w:t>
      </w:r>
      <w:r w:rsidRPr="00A55134">
        <w:rPr>
          <w:rFonts w:ascii="Arial" w:eastAsia="Times New Roman" w:hAnsi="Arial" w:cs="Arial"/>
          <w:kern w:val="0"/>
          <w:lang w:eastAsia="en-GB"/>
          <w14:ligatures w14:val="none"/>
        </w:rPr>
        <w:t>: Regulations such as CSRD pressure BP to reduce emissions and invest in clean energy.</w:t>
      </w:r>
    </w:p>
    <w:p w14:paraId="61ACF73B" w14:textId="77777777" w:rsidR="001E2B06" w:rsidRPr="00A55134" w:rsidRDefault="00A17AAA" w:rsidP="00A55134">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b/>
          <w:bCs/>
          <w:kern w:val="0"/>
          <w:lang w:eastAsia="en-GB"/>
          <w14:ligatures w14:val="none"/>
        </w:rPr>
        <w:t>Legal</w:t>
      </w:r>
      <w:r w:rsidRPr="00A55134">
        <w:rPr>
          <w:rFonts w:ascii="Arial" w:eastAsia="Times New Roman" w:hAnsi="Arial" w:cs="Arial"/>
          <w:kern w:val="0"/>
          <w:lang w:eastAsia="en-GB"/>
          <w14:ligatures w14:val="none"/>
        </w:rPr>
        <w:t>: Global compliance regimes influence supply chains and market strategies.</w:t>
      </w:r>
    </w:p>
    <w:p w14:paraId="689170CD" w14:textId="556853F8" w:rsidR="00A17AAA" w:rsidRPr="00A55134" w:rsidRDefault="0083435C" w:rsidP="00A55134">
      <w:pPr>
        <w:spacing w:before="100" w:beforeAutospacing="1" w:after="100" w:afterAutospacing="1" w:line="360" w:lineRule="auto"/>
        <w:ind w:left="360"/>
        <w:jc w:val="both"/>
        <w:rPr>
          <w:rFonts w:ascii="Arial" w:eastAsia="Times New Roman" w:hAnsi="Arial" w:cs="Arial"/>
          <w:kern w:val="0"/>
          <w:lang w:eastAsia="en-GB"/>
          <w14:ligatures w14:val="none"/>
        </w:rPr>
      </w:pPr>
      <w:r w:rsidRPr="00A55134">
        <w:rPr>
          <w:rFonts w:ascii="Arial" w:eastAsia="Times New Roman" w:hAnsi="Arial" w:cs="Arial"/>
          <w:b/>
          <w:bCs/>
          <w:noProof/>
          <w:kern w:val="0"/>
          <w:lang w:eastAsia="en-GB"/>
          <w14:ligatures w14:val="none"/>
        </w:rPr>
        <w:drawing>
          <wp:anchor distT="0" distB="0" distL="114300" distR="114300" simplePos="0" relativeHeight="251644928" behindDoc="0" locked="0" layoutInCell="1" allowOverlap="1" wp14:anchorId="7C9B07F6" wp14:editId="7483E8A4">
            <wp:simplePos x="0" y="0"/>
            <wp:positionH relativeFrom="column">
              <wp:posOffset>1670685</wp:posOffset>
            </wp:positionH>
            <wp:positionV relativeFrom="paragraph">
              <wp:posOffset>537845</wp:posOffset>
            </wp:positionV>
            <wp:extent cx="2807970" cy="2295525"/>
            <wp:effectExtent l="0" t="0" r="0" b="0"/>
            <wp:wrapTopAndBottom/>
            <wp:docPr id="143915400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07970" cy="2295525"/>
                    </a:xfrm>
                    <a:prstGeom prst="rect">
                      <a:avLst/>
                    </a:prstGeom>
                    <a:noFill/>
                  </pic:spPr>
                </pic:pic>
              </a:graphicData>
            </a:graphic>
            <wp14:sizeRelH relativeFrom="margin">
              <wp14:pctWidth>0</wp14:pctWidth>
            </wp14:sizeRelH>
            <wp14:sizeRelV relativeFrom="margin">
              <wp14:pctHeight>0</wp14:pctHeight>
            </wp14:sizeRelV>
          </wp:anchor>
        </w:drawing>
      </w:r>
      <w:r w:rsidR="00A17AAA" w:rsidRPr="00A55134">
        <w:rPr>
          <w:rFonts w:ascii="Arial" w:eastAsia="Times New Roman" w:hAnsi="Arial" w:cs="Arial"/>
          <w:b/>
          <w:bCs/>
          <w:kern w:val="0"/>
          <w:lang w:eastAsia="en-GB"/>
          <w14:ligatures w14:val="none"/>
        </w:rPr>
        <w:t>Porter’s Five Forces</w:t>
      </w:r>
    </w:p>
    <w:p w14:paraId="6CC104AE" w14:textId="77777777" w:rsidR="0083435C" w:rsidRDefault="0083435C" w:rsidP="00A55134">
      <w:pPr>
        <w:spacing w:beforeAutospacing="1" w:after="100" w:afterAutospacing="1" w:line="360" w:lineRule="auto"/>
        <w:jc w:val="both"/>
        <w:rPr>
          <w:rFonts w:ascii="Arial" w:eastAsia="Times New Roman" w:hAnsi="Arial" w:cs="Arial"/>
          <w:b/>
          <w:bCs/>
          <w:kern w:val="0"/>
          <w:lang w:eastAsia="en-GB"/>
          <w14:ligatures w14:val="none"/>
        </w:rPr>
      </w:pPr>
    </w:p>
    <w:p w14:paraId="45D28600" w14:textId="48395976" w:rsidR="003F3C0E" w:rsidRPr="0083435C" w:rsidRDefault="00A17AAA" w:rsidP="0083435C">
      <w:pPr>
        <w:spacing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b/>
          <w:bCs/>
          <w:kern w:val="0"/>
          <w:lang w:eastAsia="en-GB"/>
          <w14:ligatures w14:val="none"/>
        </w:rPr>
        <w:t>Figure 6: Competitive Pressures Affecting BP</w:t>
      </w:r>
    </w:p>
    <w:p w14:paraId="5CF5375E" w14:textId="702A6D50" w:rsidR="006849F9" w:rsidRPr="00A55134" w:rsidRDefault="00C7162D" w:rsidP="00A55134">
      <w:p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hAnsi="Arial" w:cs="Arial"/>
        </w:rPr>
        <w:t>Source of information: BP Annual Report and Form 20-F 2023 and industry analysis. Figure created by the author.</w:t>
      </w:r>
    </w:p>
    <w:p w14:paraId="7FB2981B" w14:textId="0DE673CD" w:rsidR="00A17AAA" w:rsidRPr="00A55134" w:rsidRDefault="00A17AAA" w:rsidP="00A55134">
      <w:pPr>
        <w:numPr>
          <w:ilvl w:val="0"/>
          <w:numId w:val="2"/>
        </w:num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b/>
          <w:bCs/>
          <w:kern w:val="0"/>
          <w:lang w:eastAsia="en-GB"/>
          <w14:ligatures w14:val="none"/>
        </w:rPr>
        <w:t>Supplier Power</w:t>
      </w:r>
      <w:r w:rsidRPr="00A55134">
        <w:rPr>
          <w:rFonts w:ascii="Arial" w:eastAsia="Times New Roman" w:hAnsi="Arial" w:cs="Arial"/>
          <w:kern w:val="0"/>
          <w:lang w:eastAsia="en-GB"/>
          <w14:ligatures w14:val="none"/>
        </w:rPr>
        <w:t xml:space="preserve"> – High (especially in renewable components)</w:t>
      </w:r>
    </w:p>
    <w:p w14:paraId="01823494" w14:textId="77777777" w:rsidR="00A17AAA" w:rsidRPr="00A55134" w:rsidRDefault="00A17AAA" w:rsidP="00A55134">
      <w:pPr>
        <w:numPr>
          <w:ilvl w:val="0"/>
          <w:numId w:val="2"/>
        </w:num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b/>
          <w:bCs/>
          <w:kern w:val="0"/>
          <w:lang w:eastAsia="en-GB"/>
          <w14:ligatures w14:val="none"/>
        </w:rPr>
        <w:t>Buyer Power</w:t>
      </w:r>
      <w:r w:rsidRPr="00A55134">
        <w:rPr>
          <w:rFonts w:ascii="Arial" w:eastAsia="Times New Roman" w:hAnsi="Arial" w:cs="Arial"/>
          <w:kern w:val="0"/>
          <w:lang w:eastAsia="en-GB"/>
          <w14:ligatures w14:val="none"/>
        </w:rPr>
        <w:t xml:space="preserve"> – Increasing (sustainability demands)</w:t>
      </w:r>
    </w:p>
    <w:p w14:paraId="7B27D379" w14:textId="15CCE384" w:rsidR="00A17AAA" w:rsidRPr="00A55134" w:rsidRDefault="00A17AAA" w:rsidP="00A55134">
      <w:pPr>
        <w:numPr>
          <w:ilvl w:val="0"/>
          <w:numId w:val="2"/>
        </w:num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b/>
          <w:bCs/>
          <w:kern w:val="0"/>
          <w:lang w:eastAsia="en-GB"/>
          <w14:ligatures w14:val="none"/>
        </w:rPr>
        <w:t>Threat of Substitutes</w:t>
      </w:r>
      <w:r w:rsidRPr="00A55134">
        <w:rPr>
          <w:rFonts w:ascii="Arial" w:eastAsia="Times New Roman" w:hAnsi="Arial" w:cs="Arial"/>
          <w:kern w:val="0"/>
          <w:lang w:eastAsia="en-GB"/>
          <w14:ligatures w14:val="none"/>
        </w:rPr>
        <w:t xml:space="preserve"> – Rising (solar, wind, EVs)</w:t>
      </w:r>
    </w:p>
    <w:p w14:paraId="41E8D4A0" w14:textId="4446505B" w:rsidR="00A17AAA" w:rsidRPr="00A55134" w:rsidRDefault="00A17AAA" w:rsidP="00A55134">
      <w:pPr>
        <w:numPr>
          <w:ilvl w:val="0"/>
          <w:numId w:val="2"/>
        </w:num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b/>
          <w:bCs/>
          <w:kern w:val="0"/>
          <w:lang w:eastAsia="en-GB"/>
          <w14:ligatures w14:val="none"/>
        </w:rPr>
        <w:t>Industry Rivalry</w:t>
      </w:r>
      <w:r w:rsidRPr="00A55134">
        <w:rPr>
          <w:rFonts w:ascii="Arial" w:eastAsia="Times New Roman" w:hAnsi="Arial" w:cs="Arial"/>
          <w:kern w:val="0"/>
          <w:lang w:eastAsia="en-GB"/>
          <w14:ligatures w14:val="none"/>
        </w:rPr>
        <w:t xml:space="preserve"> – Strong (e.g. Shell, </w:t>
      </w:r>
      <w:r w:rsidR="0083435C" w:rsidRPr="00A55134">
        <w:rPr>
          <w:rFonts w:ascii="Arial" w:eastAsia="Times New Roman" w:hAnsi="Arial" w:cs="Arial"/>
          <w:kern w:val="0"/>
          <w:lang w:eastAsia="en-GB"/>
          <w14:ligatures w14:val="none"/>
        </w:rPr>
        <w:t>Total Energies</w:t>
      </w:r>
      <w:r w:rsidRPr="00A55134">
        <w:rPr>
          <w:rFonts w:ascii="Arial" w:eastAsia="Times New Roman" w:hAnsi="Arial" w:cs="Arial"/>
          <w:kern w:val="0"/>
          <w:lang w:eastAsia="en-GB"/>
          <w14:ligatures w14:val="none"/>
        </w:rPr>
        <w:t>)</w:t>
      </w:r>
    </w:p>
    <w:p w14:paraId="1C31D352" w14:textId="498B6331" w:rsidR="00A17AAA" w:rsidRPr="00A55134" w:rsidRDefault="00A17AAA" w:rsidP="00A55134">
      <w:pPr>
        <w:numPr>
          <w:ilvl w:val="0"/>
          <w:numId w:val="2"/>
        </w:num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b/>
          <w:bCs/>
          <w:kern w:val="0"/>
          <w:lang w:eastAsia="en-GB"/>
          <w14:ligatures w14:val="none"/>
        </w:rPr>
        <w:t>Threat of New Entrants</w:t>
      </w:r>
      <w:r w:rsidRPr="00A55134">
        <w:rPr>
          <w:rFonts w:ascii="Arial" w:eastAsia="Times New Roman" w:hAnsi="Arial" w:cs="Arial"/>
          <w:kern w:val="0"/>
          <w:lang w:eastAsia="en-GB"/>
          <w14:ligatures w14:val="none"/>
        </w:rPr>
        <w:t xml:space="preserve"> – Moderate to High (lower barriers in renewables)</w:t>
      </w:r>
    </w:p>
    <w:p w14:paraId="310416BF" w14:textId="634C9DB7" w:rsidR="0083435C" w:rsidRDefault="0083435C" w:rsidP="00A55134">
      <w:pPr>
        <w:spacing w:before="100" w:beforeAutospacing="1" w:after="100" w:afterAutospacing="1" w:line="360" w:lineRule="auto"/>
        <w:jc w:val="both"/>
        <w:outlineLvl w:val="2"/>
        <w:rPr>
          <w:rFonts w:ascii="Arial" w:eastAsia="Times New Roman" w:hAnsi="Arial" w:cs="Arial"/>
          <w:b/>
          <w:bCs/>
          <w:kern w:val="0"/>
          <w:lang w:eastAsia="en-GB"/>
          <w14:ligatures w14:val="none"/>
        </w:rPr>
      </w:pPr>
      <w:bookmarkStart w:id="8" w:name="_Toc214569924"/>
      <w:r w:rsidRPr="00A55134">
        <w:rPr>
          <w:rFonts w:ascii="Arial" w:hAnsi="Arial" w:cs="Arial"/>
          <w:b/>
          <w:bCs/>
          <w:noProof/>
        </w:rPr>
        <w:drawing>
          <wp:anchor distT="0" distB="0" distL="114300" distR="114300" simplePos="0" relativeHeight="251676672" behindDoc="0" locked="0" layoutInCell="1" allowOverlap="1" wp14:anchorId="3F08C383" wp14:editId="466744F3">
            <wp:simplePos x="0" y="0"/>
            <wp:positionH relativeFrom="column">
              <wp:posOffset>1760220</wp:posOffset>
            </wp:positionH>
            <wp:positionV relativeFrom="paragraph">
              <wp:posOffset>516890</wp:posOffset>
            </wp:positionV>
            <wp:extent cx="2346960" cy="1722755"/>
            <wp:effectExtent l="0" t="0" r="0" b="0"/>
            <wp:wrapTopAndBottom/>
            <wp:docPr id="142151594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2710" t="23795"/>
                    <a:stretch/>
                  </pic:blipFill>
                  <pic:spPr bwMode="auto">
                    <a:xfrm>
                      <a:off x="0" y="0"/>
                      <a:ext cx="2346960" cy="17227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17AAA" w:rsidRPr="00A55134">
        <w:rPr>
          <w:rFonts w:ascii="Arial" w:eastAsia="Times New Roman" w:hAnsi="Arial" w:cs="Arial"/>
          <w:b/>
          <w:bCs/>
          <w:kern w:val="0"/>
          <w:lang w:eastAsia="en-GB"/>
          <w14:ligatures w14:val="none"/>
        </w:rPr>
        <w:t>Porter’s Diamond (UK Context)</w:t>
      </w:r>
      <w:bookmarkEnd w:id="8"/>
    </w:p>
    <w:p w14:paraId="3B09C10F" w14:textId="6D3D49FF" w:rsidR="0083435C" w:rsidRPr="0083435C" w:rsidRDefault="0083435C" w:rsidP="00A55134">
      <w:pPr>
        <w:spacing w:before="100" w:beforeAutospacing="1" w:after="100" w:afterAutospacing="1" w:line="360" w:lineRule="auto"/>
        <w:jc w:val="both"/>
        <w:outlineLvl w:val="2"/>
        <w:rPr>
          <w:rFonts w:ascii="Arial" w:eastAsia="Times New Roman" w:hAnsi="Arial" w:cs="Arial"/>
          <w:b/>
          <w:bCs/>
          <w:kern w:val="0"/>
          <w:lang w:eastAsia="en-GB"/>
          <w14:ligatures w14:val="none"/>
        </w:rPr>
      </w:pPr>
    </w:p>
    <w:p w14:paraId="20D82A63" w14:textId="48C36925" w:rsidR="00594026" w:rsidRPr="0083435C" w:rsidRDefault="0083435C" w:rsidP="0083435C">
      <w:pPr>
        <w:spacing w:before="100" w:beforeAutospacing="1" w:after="100" w:afterAutospacing="1" w:line="360" w:lineRule="auto"/>
        <w:jc w:val="both"/>
        <w:rPr>
          <w:rFonts w:ascii="Arial" w:eastAsia="Times New Roman" w:hAnsi="Arial" w:cs="Arial"/>
          <w:kern w:val="0"/>
          <w:lang w:eastAsia="en-GB"/>
          <w14:ligatures w14:val="none"/>
        </w:rPr>
      </w:pPr>
      <w:r w:rsidRPr="0083435C">
        <w:rPr>
          <w:rFonts w:ascii="Arial" w:eastAsia="Times New Roman" w:hAnsi="Arial" w:cs="Arial"/>
          <w:b/>
          <w:bCs/>
          <w:kern w:val="0"/>
          <w:lang w:eastAsia="en-GB"/>
          <w14:ligatures w14:val="none"/>
        </w:rPr>
        <w:t xml:space="preserve">Figure </w:t>
      </w:r>
      <w:r w:rsidRPr="0083435C">
        <w:rPr>
          <w:rFonts w:ascii="Arial" w:eastAsia="Times New Roman" w:hAnsi="Arial" w:cs="Arial"/>
          <w:b/>
          <w:bCs/>
          <w:kern w:val="0"/>
          <w:lang w:eastAsia="en-GB"/>
          <w14:ligatures w14:val="none"/>
        </w:rPr>
        <w:t>8</w:t>
      </w:r>
      <w:r w:rsidRPr="0083435C">
        <w:rPr>
          <w:rFonts w:ascii="Arial" w:eastAsia="Times New Roman" w:hAnsi="Arial" w:cs="Arial"/>
          <w:b/>
          <w:bCs/>
          <w:kern w:val="0"/>
          <w:lang w:eastAsia="en-GB"/>
          <w14:ligatures w14:val="none"/>
        </w:rPr>
        <w:t>: Porter’s Diamond model applied to the UK energy sector.</w:t>
      </w:r>
      <w:r w:rsidRPr="0083435C">
        <w:rPr>
          <w:rFonts w:ascii="Arial" w:eastAsia="Times New Roman" w:hAnsi="Arial" w:cs="Arial"/>
          <w:kern w:val="0"/>
          <w:lang w:eastAsia="en-GB"/>
          <w14:ligatures w14:val="none"/>
        </w:rPr>
        <w:br/>
        <w:t>This figure highlights how factor conditions, demand conditions, related and supporting industries, and firm strategy/competition shape BP’s competitive advantage in the UK.</w:t>
      </w:r>
    </w:p>
    <w:p w14:paraId="04A3D397" w14:textId="22D10AA5" w:rsidR="00A17AAA" w:rsidRPr="00A55134" w:rsidRDefault="00A17AAA" w:rsidP="00A55134">
      <w:pPr>
        <w:numPr>
          <w:ilvl w:val="0"/>
          <w:numId w:val="3"/>
        </w:num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b/>
          <w:bCs/>
          <w:kern w:val="0"/>
          <w:lang w:eastAsia="en-GB"/>
          <w14:ligatures w14:val="none"/>
        </w:rPr>
        <w:t>Factor Conditions</w:t>
      </w:r>
      <w:r w:rsidRPr="00A55134">
        <w:rPr>
          <w:rFonts w:ascii="Arial" w:eastAsia="Times New Roman" w:hAnsi="Arial" w:cs="Arial"/>
          <w:kern w:val="0"/>
          <w:lang w:eastAsia="en-GB"/>
          <w14:ligatures w14:val="none"/>
        </w:rPr>
        <w:t>: Advanced R&amp;D and financial infrastructure, but digital skill shortages.</w:t>
      </w:r>
    </w:p>
    <w:p w14:paraId="1BF8FEDB" w14:textId="77777777" w:rsidR="00A17AAA" w:rsidRPr="00A55134" w:rsidRDefault="00A17AAA" w:rsidP="00A55134">
      <w:pPr>
        <w:numPr>
          <w:ilvl w:val="0"/>
          <w:numId w:val="3"/>
        </w:num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b/>
          <w:bCs/>
          <w:kern w:val="0"/>
          <w:lang w:eastAsia="en-GB"/>
          <w14:ligatures w14:val="none"/>
        </w:rPr>
        <w:t>Demand Conditions</w:t>
      </w:r>
      <w:r w:rsidRPr="00A55134">
        <w:rPr>
          <w:rFonts w:ascii="Arial" w:eastAsia="Times New Roman" w:hAnsi="Arial" w:cs="Arial"/>
          <w:kern w:val="0"/>
          <w:lang w:eastAsia="en-GB"/>
          <w14:ligatures w14:val="none"/>
        </w:rPr>
        <w:t>: UK investors and consumers promote clean energy innovation.</w:t>
      </w:r>
    </w:p>
    <w:p w14:paraId="3A55D779" w14:textId="77777777" w:rsidR="00A17AAA" w:rsidRPr="00A55134" w:rsidRDefault="00A17AAA" w:rsidP="00A55134">
      <w:pPr>
        <w:numPr>
          <w:ilvl w:val="0"/>
          <w:numId w:val="3"/>
        </w:num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b/>
          <w:bCs/>
          <w:kern w:val="0"/>
          <w:lang w:eastAsia="en-GB"/>
          <w14:ligatures w14:val="none"/>
        </w:rPr>
        <w:t>Related Industries</w:t>
      </w:r>
      <w:r w:rsidRPr="00A55134">
        <w:rPr>
          <w:rFonts w:ascii="Arial" w:eastAsia="Times New Roman" w:hAnsi="Arial" w:cs="Arial"/>
          <w:kern w:val="0"/>
          <w:lang w:eastAsia="en-GB"/>
          <w14:ligatures w14:val="none"/>
        </w:rPr>
        <w:t>: Academic, tech, and regulatory institutions support ESG advancement.</w:t>
      </w:r>
    </w:p>
    <w:p w14:paraId="0A38147A" w14:textId="77777777" w:rsidR="00A17AAA" w:rsidRPr="00A55134" w:rsidRDefault="00A17AAA" w:rsidP="00A55134">
      <w:pPr>
        <w:numPr>
          <w:ilvl w:val="0"/>
          <w:numId w:val="3"/>
        </w:num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b/>
          <w:bCs/>
          <w:kern w:val="0"/>
          <w:lang w:eastAsia="en-GB"/>
          <w14:ligatures w14:val="none"/>
        </w:rPr>
        <w:t>Firm Strategy and Rivalry</w:t>
      </w:r>
      <w:r w:rsidRPr="00A55134">
        <w:rPr>
          <w:rFonts w:ascii="Arial" w:eastAsia="Times New Roman" w:hAnsi="Arial" w:cs="Arial"/>
          <w:kern w:val="0"/>
          <w:lang w:eastAsia="en-GB"/>
          <w14:ligatures w14:val="none"/>
        </w:rPr>
        <w:t>: UK market competition drives innovation and international expansion.</w:t>
      </w:r>
    </w:p>
    <w:p w14:paraId="247645CB" w14:textId="4B1B5600" w:rsidR="00A17AAA" w:rsidRPr="00A55134" w:rsidRDefault="00A17AAA" w:rsidP="00A55134">
      <w:pPr>
        <w:spacing w:before="100" w:beforeAutospacing="1" w:after="100" w:afterAutospacing="1" w:line="360" w:lineRule="auto"/>
        <w:jc w:val="both"/>
        <w:outlineLvl w:val="2"/>
        <w:rPr>
          <w:rFonts w:ascii="Arial" w:eastAsia="Times New Roman" w:hAnsi="Arial" w:cs="Arial"/>
          <w:b/>
          <w:bCs/>
          <w:kern w:val="0"/>
          <w:lang w:eastAsia="en-GB"/>
          <w14:ligatures w14:val="none"/>
        </w:rPr>
      </w:pPr>
      <w:bookmarkStart w:id="9" w:name="_Toc214569925"/>
      <w:r w:rsidRPr="00A55134">
        <w:rPr>
          <w:rFonts w:ascii="Arial" w:eastAsia="Times New Roman" w:hAnsi="Arial" w:cs="Arial"/>
          <w:b/>
          <w:bCs/>
          <w:kern w:val="0"/>
          <w:lang w:eastAsia="en-GB"/>
          <w14:ligatures w14:val="none"/>
        </w:rPr>
        <w:t>Value Network</w:t>
      </w:r>
      <w:bookmarkEnd w:id="9"/>
    </w:p>
    <w:p w14:paraId="4EFB574C" w14:textId="1C0CDAE0" w:rsidR="00A17AAA" w:rsidRPr="00A55134" w:rsidRDefault="00A17AAA" w:rsidP="00A55134">
      <w:p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kern w:val="0"/>
          <w:lang w:eastAsia="en-GB"/>
          <w14:ligatures w14:val="none"/>
        </w:rPr>
        <w:t>BP operates within a global energy value network connecting upstream (exploration), midstream (trading, shipping), and downstream (distribution) players. It also interacts with regulators, financial markets, and NGOs. To stay competitive, BP must maintain ESG credibility and supply chain transparency throughout this network.</w:t>
      </w:r>
    </w:p>
    <w:p w14:paraId="1B50EACF" w14:textId="77777777" w:rsidR="00A17AAA" w:rsidRPr="00A55134" w:rsidRDefault="00A17AAA" w:rsidP="00A55134">
      <w:pPr>
        <w:spacing w:before="100" w:beforeAutospacing="1" w:after="100" w:afterAutospacing="1" w:line="360" w:lineRule="auto"/>
        <w:jc w:val="both"/>
        <w:outlineLvl w:val="1"/>
        <w:rPr>
          <w:rFonts w:ascii="Arial" w:eastAsia="Times New Roman" w:hAnsi="Arial" w:cs="Arial"/>
          <w:b/>
          <w:bCs/>
          <w:kern w:val="0"/>
          <w:lang w:eastAsia="en-GB"/>
          <w14:ligatures w14:val="none"/>
        </w:rPr>
      </w:pPr>
      <w:bookmarkStart w:id="10" w:name="_Toc214569926"/>
      <w:r w:rsidRPr="00A55134">
        <w:rPr>
          <w:rFonts w:ascii="Arial" w:eastAsia="Times New Roman" w:hAnsi="Arial" w:cs="Arial"/>
          <w:b/>
          <w:bCs/>
          <w:kern w:val="0"/>
          <w:lang w:eastAsia="en-GB"/>
          <w14:ligatures w14:val="none"/>
        </w:rPr>
        <w:t>Impact of Global Forces on BP</w:t>
      </w:r>
      <w:bookmarkEnd w:id="10"/>
    </w:p>
    <w:p w14:paraId="0A4CC5C5" w14:textId="77777777" w:rsidR="00A17AAA" w:rsidRPr="00A55134" w:rsidRDefault="00A17AAA" w:rsidP="00A55134">
      <w:pPr>
        <w:spacing w:before="100" w:beforeAutospacing="1" w:after="100" w:afterAutospacing="1" w:line="360" w:lineRule="auto"/>
        <w:jc w:val="both"/>
        <w:outlineLvl w:val="2"/>
        <w:rPr>
          <w:rFonts w:ascii="Arial" w:eastAsia="Times New Roman" w:hAnsi="Arial" w:cs="Arial"/>
          <w:b/>
          <w:bCs/>
          <w:kern w:val="0"/>
          <w:lang w:eastAsia="en-GB"/>
          <w14:ligatures w14:val="none"/>
        </w:rPr>
      </w:pPr>
      <w:bookmarkStart w:id="11" w:name="_Toc214569927"/>
      <w:r w:rsidRPr="00A55134">
        <w:rPr>
          <w:rFonts w:ascii="Arial" w:eastAsia="Times New Roman" w:hAnsi="Arial" w:cs="Arial"/>
          <w:b/>
          <w:bCs/>
          <w:kern w:val="0"/>
          <w:lang w:eastAsia="en-GB"/>
          <w14:ligatures w14:val="none"/>
        </w:rPr>
        <w:t>Market Positioning</w:t>
      </w:r>
      <w:bookmarkEnd w:id="11"/>
    </w:p>
    <w:p w14:paraId="3E4BBD61" w14:textId="42F93237" w:rsidR="00A17AAA" w:rsidRPr="00A55134" w:rsidRDefault="00A17AAA" w:rsidP="00A55134">
      <w:p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kern w:val="0"/>
          <w:lang w:eastAsia="en-GB"/>
          <w14:ligatures w14:val="none"/>
        </w:rPr>
        <w:t>BP’s brand is evolving from a fossil fuel company to a diversified energy provider. AI enhances performance in traditional operations, while sustainability pressures shape long-term market positioning. However, BP’s continued reliance on gas limits its ability to compete with fully renewable-focused firms (</w:t>
      </w:r>
      <w:r w:rsidR="0083435C" w:rsidRPr="00A55134">
        <w:rPr>
          <w:rFonts w:ascii="Arial" w:eastAsia="Times New Roman" w:hAnsi="Arial" w:cs="Arial"/>
          <w:kern w:val="0"/>
          <w:lang w:eastAsia="en-GB"/>
          <w14:ligatures w14:val="none"/>
        </w:rPr>
        <w:t>Bloomberg NEF</w:t>
      </w:r>
      <w:r w:rsidRPr="00A55134">
        <w:rPr>
          <w:rFonts w:ascii="Arial" w:eastAsia="Times New Roman" w:hAnsi="Arial" w:cs="Arial"/>
          <w:kern w:val="0"/>
          <w:lang w:eastAsia="en-GB"/>
          <w14:ligatures w14:val="none"/>
        </w:rPr>
        <w:t>, 2024).</w:t>
      </w:r>
    </w:p>
    <w:p w14:paraId="7AAD0F85" w14:textId="77777777" w:rsidR="00A17AAA" w:rsidRPr="00A55134" w:rsidRDefault="00A17AAA" w:rsidP="00A55134">
      <w:pPr>
        <w:spacing w:before="100" w:beforeAutospacing="1" w:after="100" w:afterAutospacing="1" w:line="360" w:lineRule="auto"/>
        <w:jc w:val="both"/>
        <w:outlineLvl w:val="2"/>
        <w:rPr>
          <w:rFonts w:ascii="Arial" w:eastAsia="Times New Roman" w:hAnsi="Arial" w:cs="Arial"/>
          <w:b/>
          <w:bCs/>
          <w:kern w:val="0"/>
          <w:lang w:eastAsia="en-GB"/>
          <w14:ligatures w14:val="none"/>
        </w:rPr>
      </w:pPr>
      <w:bookmarkStart w:id="12" w:name="_Toc214569928"/>
      <w:r w:rsidRPr="00A55134">
        <w:rPr>
          <w:rFonts w:ascii="Arial" w:eastAsia="Times New Roman" w:hAnsi="Arial" w:cs="Arial"/>
          <w:b/>
          <w:bCs/>
          <w:kern w:val="0"/>
          <w:lang w:eastAsia="en-GB"/>
          <w14:ligatures w14:val="none"/>
        </w:rPr>
        <w:t>Innovation Capability</w:t>
      </w:r>
      <w:bookmarkEnd w:id="12"/>
    </w:p>
    <w:p w14:paraId="5C3966FD" w14:textId="77777777" w:rsidR="00A17AAA" w:rsidRPr="00A55134" w:rsidRDefault="00A17AAA" w:rsidP="00A55134">
      <w:p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kern w:val="0"/>
          <w:lang w:eastAsia="en-GB"/>
          <w14:ligatures w14:val="none"/>
        </w:rPr>
        <w:lastRenderedPageBreak/>
        <w:t>AI, ESG demands, and supply-chain challenges are pushing BP to innovate across operational and environmental domains. However, funding constraints, supply bottlenecks, and legacy infrastructure hinder full-scale deployment (IEA, 2024).</w:t>
      </w:r>
    </w:p>
    <w:p w14:paraId="2130D38D" w14:textId="77777777" w:rsidR="00A17AAA" w:rsidRPr="00A55134" w:rsidRDefault="00A17AAA" w:rsidP="00A55134">
      <w:pPr>
        <w:spacing w:before="100" w:beforeAutospacing="1" w:after="100" w:afterAutospacing="1" w:line="360" w:lineRule="auto"/>
        <w:jc w:val="both"/>
        <w:outlineLvl w:val="2"/>
        <w:rPr>
          <w:rFonts w:ascii="Arial" w:eastAsia="Times New Roman" w:hAnsi="Arial" w:cs="Arial"/>
          <w:b/>
          <w:bCs/>
          <w:kern w:val="0"/>
          <w:lang w:eastAsia="en-GB"/>
          <w14:ligatures w14:val="none"/>
        </w:rPr>
      </w:pPr>
      <w:bookmarkStart w:id="13" w:name="_Toc214569929"/>
      <w:r w:rsidRPr="00A55134">
        <w:rPr>
          <w:rFonts w:ascii="Arial" w:eastAsia="Times New Roman" w:hAnsi="Arial" w:cs="Arial"/>
          <w:b/>
          <w:bCs/>
          <w:kern w:val="0"/>
          <w:lang w:eastAsia="en-GB"/>
          <w14:ligatures w14:val="none"/>
        </w:rPr>
        <w:t>Talent Management</w:t>
      </w:r>
      <w:bookmarkEnd w:id="13"/>
    </w:p>
    <w:p w14:paraId="69308151" w14:textId="77777777" w:rsidR="00A17AAA" w:rsidRPr="00A55134" w:rsidRDefault="00A17AAA" w:rsidP="00A55134">
      <w:p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kern w:val="0"/>
          <w:lang w:eastAsia="en-GB"/>
          <w14:ligatures w14:val="none"/>
        </w:rPr>
        <w:t>BP faces labour shortages in AI, ESG, and clean energy sectors. Workforce transformation is necessary to meet future demands. Global competition for digital talent is intense, and geopolitical instability further complicates expatriate workforce mobility (PwC, 2024).</w:t>
      </w:r>
    </w:p>
    <w:p w14:paraId="04DDEA01" w14:textId="77777777" w:rsidR="00A17AAA" w:rsidRPr="00A55134" w:rsidRDefault="00A17AAA" w:rsidP="00A55134">
      <w:pPr>
        <w:spacing w:before="100" w:beforeAutospacing="1" w:after="100" w:afterAutospacing="1" w:line="360" w:lineRule="auto"/>
        <w:jc w:val="both"/>
        <w:outlineLvl w:val="2"/>
        <w:rPr>
          <w:rFonts w:ascii="Arial" w:eastAsia="Times New Roman" w:hAnsi="Arial" w:cs="Arial"/>
          <w:b/>
          <w:bCs/>
          <w:kern w:val="0"/>
          <w:lang w:eastAsia="en-GB"/>
          <w14:ligatures w14:val="none"/>
        </w:rPr>
      </w:pPr>
      <w:bookmarkStart w:id="14" w:name="_Toc214569930"/>
      <w:r w:rsidRPr="00A55134">
        <w:rPr>
          <w:rFonts w:ascii="Arial" w:eastAsia="Times New Roman" w:hAnsi="Arial" w:cs="Arial"/>
          <w:b/>
          <w:bCs/>
          <w:kern w:val="0"/>
          <w:lang w:eastAsia="en-GB"/>
          <w14:ligatures w14:val="none"/>
        </w:rPr>
        <w:t>Competitiveness</w:t>
      </w:r>
      <w:bookmarkEnd w:id="14"/>
    </w:p>
    <w:p w14:paraId="14A7FD4F" w14:textId="439BADCC" w:rsidR="00A17AAA" w:rsidRPr="00A55134" w:rsidRDefault="00A17AAA" w:rsidP="00A55134">
      <w:p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kern w:val="0"/>
          <w:lang w:eastAsia="en-GB"/>
          <w14:ligatures w14:val="none"/>
        </w:rPr>
        <w:t xml:space="preserve">Rising buyer and supplier power, new renewable entrants, and intensified rivalry create a challenging competitive landscape. BP must adapt </w:t>
      </w:r>
      <w:r w:rsidR="0083435C" w:rsidRPr="00A55134">
        <w:rPr>
          <w:rFonts w:ascii="Arial" w:eastAsia="Times New Roman" w:hAnsi="Arial" w:cs="Arial"/>
          <w:kern w:val="0"/>
          <w:lang w:eastAsia="en-GB"/>
          <w14:ligatures w14:val="none"/>
        </w:rPr>
        <w:t>rapidly,</w:t>
      </w:r>
      <w:r w:rsidRPr="00A55134">
        <w:rPr>
          <w:rFonts w:ascii="Arial" w:eastAsia="Times New Roman" w:hAnsi="Arial" w:cs="Arial"/>
          <w:kern w:val="0"/>
          <w:lang w:eastAsia="en-GB"/>
          <w14:ligatures w14:val="none"/>
        </w:rPr>
        <w:t xml:space="preserve"> or risk being outpaced by more agile, sustainability-driven firms.</w:t>
      </w:r>
    </w:p>
    <w:p w14:paraId="0BAD6983" w14:textId="77777777" w:rsidR="00A17AAA" w:rsidRPr="00A55134" w:rsidRDefault="00A17AAA" w:rsidP="00A55134">
      <w:pPr>
        <w:spacing w:before="100" w:beforeAutospacing="1" w:after="100" w:afterAutospacing="1" w:line="360" w:lineRule="auto"/>
        <w:jc w:val="both"/>
        <w:outlineLvl w:val="1"/>
        <w:rPr>
          <w:rFonts w:ascii="Arial" w:eastAsia="Times New Roman" w:hAnsi="Arial" w:cs="Arial"/>
          <w:b/>
          <w:bCs/>
          <w:kern w:val="0"/>
          <w:lang w:eastAsia="en-GB"/>
          <w14:ligatures w14:val="none"/>
        </w:rPr>
      </w:pPr>
      <w:bookmarkStart w:id="15" w:name="_Toc214569931"/>
      <w:r w:rsidRPr="00A55134">
        <w:rPr>
          <w:rFonts w:ascii="Arial" w:eastAsia="Times New Roman" w:hAnsi="Arial" w:cs="Arial"/>
          <w:b/>
          <w:bCs/>
          <w:kern w:val="0"/>
          <w:lang w:eastAsia="en-GB"/>
          <w14:ligatures w14:val="none"/>
        </w:rPr>
        <w:t>Strategic Recommendations</w:t>
      </w:r>
      <w:bookmarkEnd w:id="15"/>
    </w:p>
    <w:p w14:paraId="16B587B5" w14:textId="77777777" w:rsidR="00A17AAA" w:rsidRPr="00A55134" w:rsidRDefault="00A17AAA" w:rsidP="00A55134">
      <w:pPr>
        <w:numPr>
          <w:ilvl w:val="0"/>
          <w:numId w:val="4"/>
        </w:num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b/>
          <w:bCs/>
          <w:kern w:val="0"/>
          <w:lang w:eastAsia="en-GB"/>
          <w14:ligatures w14:val="none"/>
        </w:rPr>
        <w:t>Accelerate AI Deployment</w:t>
      </w:r>
      <w:r w:rsidRPr="00A55134">
        <w:rPr>
          <w:rFonts w:ascii="Arial" w:eastAsia="Times New Roman" w:hAnsi="Arial" w:cs="Arial"/>
          <w:kern w:val="0"/>
          <w:lang w:eastAsia="en-GB"/>
          <w14:ligatures w14:val="none"/>
        </w:rPr>
        <w:br/>
        <w:t>Expand AI use in emissions tracking, predictive maintenance, and global logistics. Prioritise cybersecurity infrastructure.</w:t>
      </w:r>
    </w:p>
    <w:p w14:paraId="4D23D84F" w14:textId="77777777" w:rsidR="00A17AAA" w:rsidRPr="00A55134" w:rsidRDefault="00A17AAA" w:rsidP="00A55134">
      <w:pPr>
        <w:numPr>
          <w:ilvl w:val="0"/>
          <w:numId w:val="4"/>
        </w:num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b/>
          <w:bCs/>
          <w:kern w:val="0"/>
          <w:lang w:eastAsia="en-GB"/>
          <w14:ligatures w14:val="none"/>
        </w:rPr>
        <w:t>Diversify Supply Chains</w:t>
      </w:r>
      <w:r w:rsidRPr="00A55134">
        <w:rPr>
          <w:rFonts w:ascii="Arial" w:eastAsia="Times New Roman" w:hAnsi="Arial" w:cs="Arial"/>
          <w:kern w:val="0"/>
          <w:lang w:eastAsia="en-GB"/>
          <w14:ligatures w14:val="none"/>
        </w:rPr>
        <w:br/>
        <w:t>Invest in friend-shoring and digital supply chain platforms. Reduce dependence on high-risk regions.</w:t>
      </w:r>
    </w:p>
    <w:p w14:paraId="732E3952" w14:textId="77777777" w:rsidR="00A17AAA" w:rsidRPr="00A55134" w:rsidRDefault="00A17AAA" w:rsidP="00A55134">
      <w:pPr>
        <w:numPr>
          <w:ilvl w:val="0"/>
          <w:numId w:val="4"/>
        </w:num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b/>
          <w:bCs/>
          <w:kern w:val="0"/>
          <w:lang w:eastAsia="en-GB"/>
          <w14:ligatures w14:val="none"/>
        </w:rPr>
        <w:t>Increase Low-Carbon Investment</w:t>
      </w:r>
      <w:r w:rsidRPr="00A55134">
        <w:rPr>
          <w:rFonts w:ascii="Arial" w:eastAsia="Times New Roman" w:hAnsi="Arial" w:cs="Arial"/>
          <w:kern w:val="0"/>
          <w:lang w:eastAsia="en-GB"/>
          <w14:ligatures w14:val="none"/>
        </w:rPr>
        <w:br/>
        <w:t>Shift more capital toward renewable projects such as wind, hydrogen, and EV infrastructure to support energy transition goals.</w:t>
      </w:r>
    </w:p>
    <w:p w14:paraId="4F59EAD6" w14:textId="77777777" w:rsidR="00A17AAA" w:rsidRPr="00A55134" w:rsidRDefault="00A17AAA" w:rsidP="00A55134">
      <w:pPr>
        <w:numPr>
          <w:ilvl w:val="0"/>
          <w:numId w:val="4"/>
        </w:num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b/>
          <w:bCs/>
          <w:kern w:val="0"/>
          <w:lang w:eastAsia="en-GB"/>
          <w14:ligatures w14:val="none"/>
        </w:rPr>
        <w:t>Develop Talent and Reskilling Strategy</w:t>
      </w:r>
      <w:r w:rsidRPr="00A55134">
        <w:rPr>
          <w:rFonts w:ascii="Arial" w:eastAsia="Times New Roman" w:hAnsi="Arial" w:cs="Arial"/>
          <w:kern w:val="0"/>
          <w:lang w:eastAsia="en-GB"/>
          <w14:ligatures w14:val="none"/>
        </w:rPr>
        <w:br/>
        <w:t>Establish internal training academies focused on digital, green, and ESG skills. Improve international talent mobility frameworks.</w:t>
      </w:r>
    </w:p>
    <w:p w14:paraId="4792EAE2" w14:textId="77777777" w:rsidR="00A17AAA" w:rsidRPr="00A55134" w:rsidRDefault="00A17AAA" w:rsidP="00A55134">
      <w:pPr>
        <w:numPr>
          <w:ilvl w:val="0"/>
          <w:numId w:val="4"/>
        </w:num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b/>
          <w:bCs/>
          <w:kern w:val="0"/>
          <w:lang w:eastAsia="en-GB"/>
          <w14:ligatures w14:val="none"/>
        </w:rPr>
        <w:t>Enhance CSRD Compliance</w:t>
      </w:r>
      <w:r w:rsidRPr="00A55134">
        <w:rPr>
          <w:rFonts w:ascii="Arial" w:eastAsia="Times New Roman" w:hAnsi="Arial" w:cs="Arial"/>
          <w:kern w:val="0"/>
          <w:lang w:eastAsia="en-GB"/>
          <w14:ligatures w14:val="none"/>
        </w:rPr>
        <w:br/>
        <w:t>Implement ESG data platforms and supplier tracking tools. Leverage automation for real-time sustainability reporting.</w:t>
      </w:r>
    </w:p>
    <w:p w14:paraId="2ADC33CD" w14:textId="77777777" w:rsidR="00A17AAA" w:rsidRPr="00A55134" w:rsidRDefault="00A17AAA" w:rsidP="00A55134">
      <w:pPr>
        <w:spacing w:before="100" w:beforeAutospacing="1" w:after="100" w:afterAutospacing="1" w:line="360" w:lineRule="auto"/>
        <w:jc w:val="both"/>
        <w:outlineLvl w:val="1"/>
        <w:rPr>
          <w:rFonts w:ascii="Arial" w:eastAsia="Times New Roman" w:hAnsi="Arial" w:cs="Arial"/>
          <w:b/>
          <w:bCs/>
          <w:kern w:val="0"/>
          <w:lang w:eastAsia="en-GB"/>
          <w14:ligatures w14:val="none"/>
        </w:rPr>
      </w:pPr>
      <w:bookmarkStart w:id="16" w:name="_Toc214569932"/>
      <w:r w:rsidRPr="00A55134">
        <w:rPr>
          <w:rFonts w:ascii="Arial" w:eastAsia="Times New Roman" w:hAnsi="Arial" w:cs="Arial"/>
          <w:b/>
          <w:bCs/>
          <w:kern w:val="0"/>
          <w:lang w:eastAsia="en-GB"/>
          <w14:ligatures w14:val="none"/>
        </w:rPr>
        <w:t>Conclusion</w:t>
      </w:r>
      <w:bookmarkEnd w:id="16"/>
    </w:p>
    <w:p w14:paraId="280F3908" w14:textId="4783EADA" w:rsidR="00A17AAA" w:rsidRPr="00A55134" w:rsidRDefault="00A17AAA" w:rsidP="00A55134">
      <w:p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kern w:val="0"/>
          <w:lang w:eastAsia="en-GB"/>
          <w14:ligatures w14:val="none"/>
        </w:rPr>
        <w:lastRenderedPageBreak/>
        <w:t>BP operates within a highly complex global environment shaped by technology, political instability, and rising environmental expectations. AI adoption presents efficiency gains but requires new competencies. Geopolitical risks highlight the fragility of BP’s international operations, while sustainability regulations like the CSRD drive capital reallocation and operational transformation. By embracing innovation, diversifying supply chains, and aligning its strategy with global trends, BP can secure long-term resilience and competitive advantage in the evolving international energy landscape.</w:t>
      </w:r>
    </w:p>
    <w:p w14:paraId="38C79F97" w14:textId="2A8D9C7E" w:rsidR="00A17AAA" w:rsidRPr="00A55134" w:rsidRDefault="00A17AAA" w:rsidP="00A55134">
      <w:pPr>
        <w:spacing w:before="100" w:beforeAutospacing="1" w:after="100" w:afterAutospacing="1" w:line="360" w:lineRule="auto"/>
        <w:jc w:val="both"/>
        <w:rPr>
          <w:rFonts w:ascii="Arial" w:eastAsia="Times New Roman" w:hAnsi="Arial" w:cs="Arial"/>
          <w:b/>
          <w:bCs/>
          <w:kern w:val="0"/>
          <w:lang w:eastAsia="en-GB"/>
          <w14:ligatures w14:val="none"/>
        </w:rPr>
      </w:pPr>
      <w:r w:rsidRPr="00A55134">
        <w:rPr>
          <w:rFonts w:ascii="Arial" w:eastAsia="Times New Roman" w:hAnsi="Arial" w:cs="Arial"/>
          <w:b/>
          <w:bCs/>
          <w:kern w:val="0"/>
          <w:lang w:eastAsia="en-GB"/>
          <w14:ligatures w14:val="none"/>
        </w:rPr>
        <w:t>References</w:t>
      </w:r>
    </w:p>
    <w:p w14:paraId="3811CDC0" w14:textId="27F83278" w:rsidR="006A799F" w:rsidRPr="00A55134" w:rsidRDefault="006A799F" w:rsidP="00A55134">
      <w:pPr>
        <w:pStyle w:val="ListParagraph"/>
        <w:numPr>
          <w:ilvl w:val="0"/>
          <w:numId w:val="7"/>
        </w:num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kern w:val="0"/>
          <w:lang w:eastAsia="en-GB"/>
          <w14:ligatures w14:val="none"/>
        </w:rPr>
        <w:t xml:space="preserve">BP (2022) </w:t>
      </w:r>
      <w:r w:rsidRPr="00A55134">
        <w:rPr>
          <w:rFonts w:ascii="Arial" w:eastAsia="Times New Roman" w:hAnsi="Arial" w:cs="Arial"/>
          <w:i/>
          <w:iCs/>
          <w:kern w:val="0"/>
          <w:lang w:eastAsia="en-GB"/>
          <w14:ligatures w14:val="none"/>
        </w:rPr>
        <w:t>Annual Report and Form 20-F 2022</w:t>
      </w:r>
      <w:r w:rsidRPr="00A55134">
        <w:rPr>
          <w:rFonts w:ascii="Arial" w:eastAsia="Times New Roman" w:hAnsi="Arial" w:cs="Arial"/>
          <w:kern w:val="0"/>
          <w:lang w:eastAsia="en-GB"/>
          <w14:ligatures w14:val="none"/>
        </w:rPr>
        <w:t xml:space="preserve">. London: BP plc. Available at: </w:t>
      </w:r>
      <w:hyperlink r:id="rId19" w:tgtFrame="_new" w:history="1">
        <w:r w:rsidRPr="00A55134">
          <w:rPr>
            <w:rFonts w:ascii="Arial" w:eastAsia="Times New Roman" w:hAnsi="Arial" w:cs="Arial"/>
            <w:color w:val="0000FF"/>
            <w:kern w:val="0"/>
            <w:u w:val="single"/>
            <w:lang w:eastAsia="en-GB"/>
            <w14:ligatures w14:val="none"/>
          </w:rPr>
          <w:t>https://www.bp.com</w:t>
        </w:r>
      </w:hyperlink>
      <w:r w:rsidRPr="00A55134">
        <w:rPr>
          <w:rFonts w:ascii="Arial" w:eastAsia="Times New Roman" w:hAnsi="Arial" w:cs="Arial"/>
          <w:kern w:val="0"/>
          <w:lang w:eastAsia="en-GB"/>
          <w14:ligatures w14:val="none"/>
        </w:rPr>
        <w:t xml:space="preserve"> (Accessed: 10 November 2025).</w:t>
      </w:r>
    </w:p>
    <w:p w14:paraId="1E0F1226" w14:textId="1014F16D" w:rsidR="006A799F" w:rsidRPr="00A55134" w:rsidRDefault="006A799F" w:rsidP="00A55134">
      <w:pPr>
        <w:pStyle w:val="ListParagraph"/>
        <w:numPr>
          <w:ilvl w:val="0"/>
          <w:numId w:val="7"/>
        </w:num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kern w:val="0"/>
          <w:lang w:eastAsia="en-GB"/>
          <w14:ligatures w14:val="none"/>
        </w:rPr>
        <w:t xml:space="preserve">BP (2023) </w:t>
      </w:r>
      <w:r w:rsidRPr="00A55134">
        <w:rPr>
          <w:rFonts w:ascii="Arial" w:eastAsia="Times New Roman" w:hAnsi="Arial" w:cs="Arial"/>
          <w:i/>
          <w:iCs/>
          <w:kern w:val="0"/>
          <w:lang w:eastAsia="en-GB"/>
          <w14:ligatures w14:val="none"/>
        </w:rPr>
        <w:t>Sustainability Report 2023</w:t>
      </w:r>
      <w:r w:rsidRPr="00A55134">
        <w:rPr>
          <w:rFonts w:ascii="Arial" w:eastAsia="Times New Roman" w:hAnsi="Arial" w:cs="Arial"/>
          <w:kern w:val="0"/>
          <w:lang w:eastAsia="en-GB"/>
          <w14:ligatures w14:val="none"/>
        </w:rPr>
        <w:t xml:space="preserve">. London: BP plc. Available at: </w:t>
      </w:r>
      <w:hyperlink r:id="rId20" w:tgtFrame="_new" w:history="1">
        <w:r w:rsidRPr="00A55134">
          <w:rPr>
            <w:rFonts w:ascii="Arial" w:eastAsia="Times New Roman" w:hAnsi="Arial" w:cs="Arial"/>
            <w:color w:val="0000FF"/>
            <w:kern w:val="0"/>
            <w:u w:val="single"/>
            <w:lang w:eastAsia="en-GB"/>
            <w14:ligatures w14:val="none"/>
          </w:rPr>
          <w:t>https://www.bp.com/en/global/corporate/sustainability.html</w:t>
        </w:r>
      </w:hyperlink>
      <w:r w:rsidRPr="00A55134">
        <w:rPr>
          <w:rFonts w:ascii="Arial" w:eastAsia="Times New Roman" w:hAnsi="Arial" w:cs="Arial"/>
          <w:kern w:val="0"/>
          <w:lang w:eastAsia="en-GB"/>
          <w14:ligatures w14:val="none"/>
        </w:rPr>
        <w:t xml:space="preserve"> (Accessed: 10 November 2025).</w:t>
      </w:r>
    </w:p>
    <w:p w14:paraId="4337F5A6" w14:textId="2DBD918B" w:rsidR="006A799F" w:rsidRPr="00A55134" w:rsidRDefault="0083435C" w:rsidP="00A55134">
      <w:pPr>
        <w:pStyle w:val="ListParagraph"/>
        <w:numPr>
          <w:ilvl w:val="0"/>
          <w:numId w:val="7"/>
        </w:num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kern w:val="0"/>
          <w:lang w:eastAsia="en-GB"/>
          <w14:ligatures w14:val="none"/>
        </w:rPr>
        <w:t>Bloomberg NEF</w:t>
      </w:r>
      <w:r w:rsidR="006A799F" w:rsidRPr="00A55134">
        <w:rPr>
          <w:rFonts w:ascii="Arial" w:eastAsia="Times New Roman" w:hAnsi="Arial" w:cs="Arial"/>
          <w:kern w:val="0"/>
          <w:lang w:eastAsia="en-GB"/>
          <w14:ligatures w14:val="none"/>
        </w:rPr>
        <w:t xml:space="preserve"> (2024) </w:t>
      </w:r>
      <w:r w:rsidR="006A799F" w:rsidRPr="00A55134">
        <w:rPr>
          <w:rFonts w:ascii="Arial" w:eastAsia="Times New Roman" w:hAnsi="Arial" w:cs="Arial"/>
          <w:i/>
          <w:iCs/>
          <w:kern w:val="0"/>
          <w:lang w:eastAsia="en-GB"/>
          <w14:ligatures w14:val="none"/>
        </w:rPr>
        <w:t>Energy Transition Investment Trends 2024</w:t>
      </w:r>
      <w:r w:rsidR="006A799F" w:rsidRPr="00A55134">
        <w:rPr>
          <w:rFonts w:ascii="Arial" w:eastAsia="Times New Roman" w:hAnsi="Arial" w:cs="Arial"/>
          <w:kern w:val="0"/>
          <w:lang w:eastAsia="en-GB"/>
          <w14:ligatures w14:val="none"/>
        </w:rPr>
        <w:t xml:space="preserve">. Available at: </w:t>
      </w:r>
      <w:hyperlink r:id="rId21" w:tgtFrame="_new" w:history="1">
        <w:r w:rsidR="006A799F" w:rsidRPr="00A55134">
          <w:rPr>
            <w:rFonts w:ascii="Arial" w:eastAsia="Times New Roman" w:hAnsi="Arial" w:cs="Arial"/>
            <w:color w:val="0000FF"/>
            <w:kern w:val="0"/>
            <w:u w:val="single"/>
            <w:lang w:eastAsia="en-GB"/>
            <w14:ligatures w14:val="none"/>
          </w:rPr>
          <w:t>https://about.bnef.com</w:t>
        </w:r>
      </w:hyperlink>
      <w:r w:rsidR="006A799F" w:rsidRPr="00A55134">
        <w:rPr>
          <w:rFonts w:ascii="Arial" w:eastAsia="Times New Roman" w:hAnsi="Arial" w:cs="Arial"/>
          <w:kern w:val="0"/>
          <w:lang w:eastAsia="en-GB"/>
          <w14:ligatures w14:val="none"/>
        </w:rPr>
        <w:t xml:space="preserve"> (Accessed: 10 November 2025).</w:t>
      </w:r>
    </w:p>
    <w:p w14:paraId="54D7C3D6" w14:textId="18BDCA09" w:rsidR="006A799F" w:rsidRPr="00A55134" w:rsidRDefault="006A799F" w:rsidP="00A55134">
      <w:pPr>
        <w:pStyle w:val="ListParagraph"/>
        <w:numPr>
          <w:ilvl w:val="0"/>
          <w:numId w:val="7"/>
        </w:num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kern w:val="0"/>
          <w:lang w:eastAsia="en-GB"/>
          <w14:ligatures w14:val="none"/>
        </w:rPr>
        <w:t xml:space="preserve">Deloitte (2023) </w:t>
      </w:r>
      <w:r w:rsidRPr="00A55134">
        <w:rPr>
          <w:rFonts w:ascii="Arial" w:eastAsia="Times New Roman" w:hAnsi="Arial" w:cs="Arial"/>
          <w:i/>
          <w:iCs/>
          <w:kern w:val="0"/>
          <w:lang w:eastAsia="en-GB"/>
          <w14:ligatures w14:val="none"/>
        </w:rPr>
        <w:t>Energy, Resources &amp; Industrials Industry Outlook 2024</w:t>
      </w:r>
      <w:r w:rsidRPr="00A55134">
        <w:rPr>
          <w:rFonts w:ascii="Arial" w:eastAsia="Times New Roman" w:hAnsi="Arial" w:cs="Arial"/>
          <w:kern w:val="0"/>
          <w:lang w:eastAsia="en-GB"/>
          <w14:ligatures w14:val="none"/>
        </w:rPr>
        <w:t xml:space="preserve">. Available at: </w:t>
      </w:r>
      <w:hyperlink r:id="rId22" w:tgtFrame="_new" w:history="1">
        <w:r w:rsidRPr="00A55134">
          <w:rPr>
            <w:rFonts w:ascii="Arial" w:eastAsia="Times New Roman" w:hAnsi="Arial" w:cs="Arial"/>
            <w:color w:val="0000FF"/>
            <w:kern w:val="0"/>
            <w:u w:val="single"/>
            <w:lang w:eastAsia="en-GB"/>
            <w14:ligatures w14:val="none"/>
          </w:rPr>
          <w:t>https://www2.deloitte.com</w:t>
        </w:r>
      </w:hyperlink>
      <w:r w:rsidRPr="00A55134">
        <w:rPr>
          <w:rFonts w:ascii="Arial" w:eastAsia="Times New Roman" w:hAnsi="Arial" w:cs="Arial"/>
          <w:kern w:val="0"/>
          <w:lang w:eastAsia="en-GB"/>
          <w14:ligatures w14:val="none"/>
        </w:rPr>
        <w:t xml:space="preserve"> (Accessed: 12 November 2025).</w:t>
      </w:r>
    </w:p>
    <w:p w14:paraId="7480BD1C" w14:textId="63383F6A" w:rsidR="006A799F" w:rsidRPr="00A55134" w:rsidRDefault="006A799F" w:rsidP="00A55134">
      <w:pPr>
        <w:pStyle w:val="ListParagraph"/>
        <w:numPr>
          <w:ilvl w:val="0"/>
          <w:numId w:val="7"/>
        </w:num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kern w:val="0"/>
          <w:lang w:eastAsia="en-GB"/>
          <w14:ligatures w14:val="none"/>
        </w:rPr>
        <w:t xml:space="preserve">European Commission (2023) </w:t>
      </w:r>
      <w:r w:rsidRPr="00A55134">
        <w:rPr>
          <w:rFonts w:ascii="Arial" w:eastAsia="Times New Roman" w:hAnsi="Arial" w:cs="Arial"/>
          <w:i/>
          <w:iCs/>
          <w:kern w:val="0"/>
          <w:lang w:eastAsia="en-GB"/>
          <w14:ligatures w14:val="none"/>
        </w:rPr>
        <w:t>Corporate Sustainability Reporting Directive (CSRD)</w:t>
      </w:r>
      <w:r w:rsidRPr="00A55134">
        <w:rPr>
          <w:rFonts w:ascii="Arial" w:eastAsia="Times New Roman" w:hAnsi="Arial" w:cs="Arial"/>
          <w:kern w:val="0"/>
          <w:lang w:eastAsia="en-GB"/>
          <w14:ligatures w14:val="none"/>
        </w:rPr>
        <w:t>. Available at: https://ec.europa.eu/info/publications/csrd-overview_en (Accessed: 14 November 2025).</w:t>
      </w:r>
    </w:p>
    <w:p w14:paraId="09E3C93F" w14:textId="1B5BF295" w:rsidR="006A799F" w:rsidRPr="00A55134" w:rsidRDefault="006A799F" w:rsidP="00A55134">
      <w:pPr>
        <w:pStyle w:val="ListParagraph"/>
        <w:numPr>
          <w:ilvl w:val="0"/>
          <w:numId w:val="7"/>
        </w:num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kern w:val="0"/>
          <w:lang w:eastAsia="en-GB"/>
          <w14:ligatures w14:val="none"/>
        </w:rPr>
        <w:t xml:space="preserve">IEA (2024) </w:t>
      </w:r>
      <w:r w:rsidRPr="00A55134">
        <w:rPr>
          <w:rFonts w:ascii="Arial" w:eastAsia="Times New Roman" w:hAnsi="Arial" w:cs="Arial"/>
          <w:i/>
          <w:iCs/>
          <w:kern w:val="0"/>
          <w:lang w:eastAsia="en-GB"/>
          <w14:ligatures w14:val="none"/>
        </w:rPr>
        <w:t>World Energy Outlook 2024</w:t>
      </w:r>
      <w:r w:rsidRPr="00A55134">
        <w:rPr>
          <w:rFonts w:ascii="Arial" w:eastAsia="Times New Roman" w:hAnsi="Arial" w:cs="Arial"/>
          <w:kern w:val="0"/>
          <w:lang w:eastAsia="en-GB"/>
          <w14:ligatures w14:val="none"/>
        </w:rPr>
        <w:t xml:space="preserve">. Paris: International Energy Agency. Available at: </w:t>
      </w:r>
      <w:hyperlink r:id="rId23" w:tgtFrame="_new" w:history="1">
        <w:r w:rsidRPr="00A55134">
          <w:rPr>
            <w:rFonts w:ascii="Arial" w:eastAsia="Times New Roman" w:hAnsi="Arial" w:cs="Arial"/>
            <w:color w:val="0000FF"/>
            <w:kern w:val="0"/>
            <w:u w:val="single"/>
            <w:lang w:eastAsia="en-GB"/>
            <w14:ligatures w14:val="none"/>
          </w:rPr>
          <w:t>https://www.iea.org/reports/world-energy-outlook-2024</w:t>
        </w:r>
      </w:hyperlink>
      <w:r w:rsidRPr="00A55134">
        <w:rPr>
          <w:rFonts w:ascii="Arial" w:eastAsia="Times New Roman" w:hAnsi="Arial" w:cs="Arial"/>
          <w:kern w:val="0"/>
          <w:lang w:eastAsia="en-GB"/>
          <w14:ligatures w14:val="none"/>
        </w:rPr>
        <w:t xml:space="preserve"> (Accessed: 13 November 2025).</w:t>
      </w:r>
    </w:p>
    <w:p w14:paraId="02AC22EC" w14:textId="333181F7" w:rsidR="006A799F" w:rsidRPr="00A55134" w:rsidRDefault="006A799F" w:rsidP="00A55134">
      <w:pPr>
        <w:pStyle w:val="ListParagraph"/>
        <w:numPr>
          <w:ilvl w:val="0"/>
          <w:numId w:val="7"/>
        </w:num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kern w:val="0"/>
          <w:lang w:eastAsia="en-GB"/>
          <w14:ligatures w14:val="none"/>
        </w:rPr>
        <w:t xml:space="preserve">IPCC (2023) </w:t>
      </w:r>
      <w:r w:rsidRPr="00A55134">
        <w:rPr>
          <w:rFonts w:ascii="Arial" w:eastAsia="Times New Roman" w:hAnsi="Arial" w:cs="Arial"/>
          <w:i/>
          <w:iCs/>
          <w:kern w:val="0"/>
          <w:lang w:eastAsia="en-GB"/>
          <w14:ligatures w14:val="none"/>
        </w:rPr>
        <w:t>Sixth Assessment Report</w:t>
      </w:r>
      <w:r w:rsidRPr="00A55134">
        <w:rPr>
          <w:rFonts w:ascii="Arial" w:eastAsia="Times New Roman" w:hAnsi="Arial" w:cs="Arial"/>
          <w:kern w:val="0"/>
          <w:lang w:eastAsia="en-GB"/>
          <w14:ligatures w14:val="none"/>
        </w:rPr>
        <w:t xml:space="preserve">. Geneva: Intergovernmental Panel on Climate Change. Available at: </w:t>
      </w:r>
      <w:hyperlink r:id="rId24" w:tgtFrame="_new" w:history="1">
        <w:r w:rsidRPr="00A55134">
          <w:rPr>
            <w:rFonts w:ascii="Arial" w:eastAsia="Times New Roman" w:hAnsi="Arial" w:cs="Arial"/>
            <w:color w:val="0000FF"/>
            <w:kern w:val="0"/>
            <w:u w:val="single"/>
            <w:lang w:eastAsia="en-GB"/>
            <w14:ligatures w14:val="none"/>
          </w:rPr>
          <w:t>https://www.ipcc.ch/report/ar6/syr</w:t>
        </w:r>
      </w:hyperlink>
      <w:r w:rsidRPr="00A55134">
        <w:rPr>
          <w:rFonts w:ascii="Arial" w:eastAsia="Times New Roman" w:hAnsi="Arial" w:cs="Arial"/>
          <w:kern w:val="0"/>
          <w:lang w:eastAsia="en-GB"/>
          <w14:ligatures w14:val="none"/>
        </w:rPr>
        <w:t xml:space="preserve"> (Accessed: 10 November 2025).</w:t>
      </w:r>
    </w:p>
    <w:p w14:paraId="20C47195" w14:textId="496025E9" w:rsidR="006A799F" w:rsidRPr="00A55134" w:rsidRDefault="006A799F" w:rsidP="00A55134">
      <w:pPr>
        <w:pStyle w:val="ListParagraph"/>
        <w:numPr>
          <w:ilvl w:val="0"/>
          <w:numId w:val="7"/>
        </w:num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kern w:val="0"/>
          <w:lang w:eastAsia="en-GB"/>
          <w14:ligatures w14:val="none"/>
        </w:rPr>
        <w:t xml:space="preserve">KPMG (2024) </w:t>
      </w:r>
      <w:r w:rsidRPr="00A55134">
        <w:rPr>
          <w:rFonts w:ascii="Arial" w:eastAsia="Times New Roman" w:hAnsi="Arial" w:cs="Arial"/>
          <w:i/>
          <w:iCs/>
          <w:kern w:val="0"/>
          <w:lang w:eastAsia="en-GB"/>
          <w14:ligatures w14:val="none"/>
        </w:rPr>
        <w:t>ESG Reporting in Practice: CSRD Implementation</w:t>
      </w:r>
      <w:r w:rsidRPr="00A55134">
        <w:rPr>
          <w:rFonts w:ascii="Arial" w:eastAsia="Times New Roman" w:hAnsi="Arial" w:cs="Arial"/>
          <w:kern w:val="0"/>
          <w:lang w:eastAsia="en-GB"/>
          <w14:ligatures w14:val="none"/>
        </w:rPr>
        <w:t xml:space="preserve">. Available at: </w:t>
      </w:r>
      <w:hyperlink r:id="rId25" w:tgtFrame="_new" w:history="1">
        <w:r w:rsidRPr="00A55134">
          <w:rPr>
            <w:rFonts w:ascii="Arial" w:eastAsia="Times New Roman" w:hAnsi="Arial" w:cs="Arial"/>
            <w:color w:val="0000FF"/>
            <w:kern w:val="0"/>
            <w:u w:val="single"/>
            <w:lang w:eastAsia="en-GB"/>
            <w14:ligatures w14:val="none"/>
          </w:rPr>
          <w:t>https://home.kpmg/xx/en/home/insights.html</w:t>
        </w:r>
      </w:hyperlink>
      <w:r w:rsidRPr="00A55134">
        <w:rPr>
          <w:rFonts w:ascii="Arial" w:eastAsia="Times New Roman" w:hAnsi="Arial" w:cs="Arial"/>
          <w:kern w:val="0"/>
          <w:lang w:eastAsia="en-GB"/>
          <w14:ligatures w14:val="none"/>
        </w:rPr>
        <w:t xml:space="preserve"> (Accessed: 15 November 2025).</w:t>
      </w:r>
    </w:p>
    <w:p w14:paraId="2B461D4D" w14:textId="7C2FEB42" w:rsidR="006A799F" w:rsidRPr="00A55134" w:rsidRDefault="006A799F" w:rsidP="00A55134">
      <w:pPr>
        <w:pStyle w:val="ListParagraph"/>
        <w:numPr>
          <w:ilvl w:val="0"/>
          <w:numId w:val="7"/>
        </w:num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kern w:val="0"/>
          <w:lang w:eastAsia="en-GB"/>
          <w14:ligatures w14:val="none"/>
        </w:rPr>
        <w:t xml:space="preserve">Lloyd’s List (2024) </w:t>
      </w:r>
      <w:r w:rsidRPr="00A55134">
        <w:rPr>
          <w:rFonts w:ascii="Arial" w:eastAsia="Times New Roman" w:hAnsi="Arial" w:cs="Arial"/>
          <w:i/>
          <w:iCs/>
          <w:kern w:val="0"/>
          <w:lang w:eastAsia="en-GB"/>
          <w14:ligatures w14:val="none"/>
        </w:rPr>
        <w:t>Red Sea Crisis: Shipping Re-Routed</w:t>
      </w:r>
      <w:r w:rsidRPr="00A55134">
        <w:rPr>
          <w:rFonts w:ascii="Arial" w:eastAsia="Times New Roman" w:hAnsi="Arial" w:cs="Arial"/>
          <w:kern w:val="0"/>
          <w:lang w:eastAsia="en-GB"/>
          <w14:ligatures w14:val="none"/>
        </w:rPr>
        <w:t>. Available at: https://lloydslist.maritimeintelligence.informa.com (Accessed: 13 November 2025).</w:t>
      </w:r>
    </w:p>
    <w:p w14:paraId="3BDED7FB" w14:textId="397F53FA" w:rsidR="006A799F" w:rsidRPr="00A55134" w:rsidRDefault="006A799F" w:rsidP="00A55134">
      <w:pPr>
        <w:pStyle w:val="ListParagraph"/>
        <w:numPr>
          <w:ilvl w:val="0"/>
          <w:numId w:val="7"/>
        </w:num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kern w:val="0"/>
          <w:lang w:eastAsia="en-GB"/>
          <w14:ligatures w14:val="none"/>
        </w:rPr>
        <w:lastRenderedPageBreak/>
        <w:t xml:space="preserve">McKinsey &amp; Company (2024) </w:t>
      </w:r>
      <w:r w:rsidRPr="00A55134">
        <w:rPr>
          <w:rFonts w:ascii="Arial" w:eastAsia="Times New Roman" w:hAnsi="Arial" w:cs="Arial"/>
          <w:i/>
          <w:iCs/>
          <w:kern w:val="0"/>
          <w:lang w:eastAsia="en-GB"/>
          <w14:ligatures w14:val="none"/>
        </w:rPr>
        <w:t>The Energy Transition: Global Outlook 2024</w:t>
      </w:r>
      <w:r w:rsidRPr="00A55134">
        <w:rPr>
          <w:rFonts w:ascii="Arial" w:eastAsia="Times New Roman" w:hAnsi="Arial" w:cs="Arial"/>
          <w:kern w:val="0"/>
          <w:lang w:eastAsia="en-GB"/>
          <w14:ligatures w14:val="none"/>
        </w:rPr>
        <w:t xml:space="preserve">. Available at: </w:t>
      </w:r>
      <w:hyperlink r:id="rId26" w:tgtFrame="_new" w:history="1">
        <w:r w:rsidRPr="00A55134">
          <w:rPr>
            <w:rFonts w:ascii="Arial" w:eastAsia="Times New Roman" w:hAnsi="Arial" w:cs="Arial"/>
            <w:color w:val="0000FF"/>
            <w:kern w:val="0"/>
            <w:u w:val="single"/>
            <w:lang w:eastAsia="en-GB"/>
            <w14:ligatures w14:val="none"/>
          </w:rPr>
          <w:t>https://www.mckinsey.com</w:t>
        </w:r>
      </w:hyperlink>
      <w:r w:rsidRPr="00A55134">
        <w:rPr>
          <w:rFonts w:ascii="Arial" w:eastAsia="Times New Roman" w:hAnsi="Arial" w:cs="Arial"/>
          <w:kern w:val="0"/>
          <w:lang w:eastAsia="en-GB"/>
          <w14:ligatures w14:val="none"/>
        </w:rPr>
        <w:t xml:space="preserve"> (Accessed: 11 November 2025).</w:t>
      </w:r>
    </w:p>
    <w:p w14:paraId="6F109D2F" w14:textId="5E0E6B05" w:rsidR="006A799F" w:rsidRPr="00A55134" w:rsidRDefault="006A799F" w:rsidP="00A55134">
      <w:pPr>
        <w:pStyle w:val="ListParagraph"/>
        <w:numPr>
          <w:ilvl w:val="0"/>
          <w:numId w:val="7"/>
        </w:num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kern w:val="0"/>
          <w:lang w:eastAsia="en-GB"/>
          <w14:ligatures w14:val="none"/>
        </w:rPr>
        <w:t xml:space="preserve">OECD (2023) </w:t>
      </w:r>
      <w:r w:rsidRPr="00A55134">
        <w:rPr>
          <w:rFonts w:ascii="Arial" w:eastAsia="Times New Roman" w:hAnsi="Arial" w:cs="Arial"/>
          <w:i/>
          <w:iCs/>
          <w:kern w:val="0"/>
          <w:lang w:eastAsia="en-GB"/>
          <w14:ligatures w14:val="none"/>
        </w:rPr>
        <w:t>Cybersecurity in the Energy Sector</w:t>
      </w:r>
      <w:r w:rsidRPr="00A55134">
        <w:rPr>
          <w:rFonts w:ascii="Arial" w:eastAsia="Times New Roman" w:hAnsi="Arial" w:cs="Arial"/>
          <w:kern w:val="0"/>
          <w:lang w:eastAsia="en-GB"/>
          <w14:ligatures w14:val="none"/>
        </w:rPr>
        <w:t xml:space="preserve">. Paris: Organisation for Economic Co-operation and Development. Available at: </w:t>
      </w:r>
      <w:hyperlink r:id="rId27" w:tgtFrame="_new" w:history="1">
        <w:r w:rsidRPr="00A55134">
          <w:rPr>
            <w:rFonts w:ascii="Arial" w:eastAsia="Times New Roman" w:hAnsi="Arial" w:cs="Arial"/>
            <w:color w:val="0000FF"/>
            <w:kern w:val="0"/>
            <w:u w:val="single"/>
            <w:lang w:eastAsia="en-GB"/>
            <w14:ligatures w14:val="none"/>
          </w:rPr>
          <w:t>https://www.oecd.org</w:t>
        </w:r>
      </w:hyperlink>
      <w:r w:rsidRPr="00A55134">
        <w:rPr>
          <w:rFonts w:ascii="Arial" w:eastAsia="Times New Roman" w:hAnsi="Arial" w:cs="Arial"/>
          <w:kern w:val="0"/>
          <w:lang w:eastAsia="en-GB"/>
          <w14:ligatures w14:val="none"/>
        </w:rPr>
        <w:t xml:space="preserve"> (Accessed: 10 November 2025).</w:t>
      </w:r>
    </w:p>
    <w:p w14:paraId="6B6B0E94" w14:textId="7220BA08" w:rsidR="006A799F" w:rsidRPr="00A55134" w:rsidRDefault="006A799F" w:rsidP="00A55134">
      <w:pPr>
        <w:pStyle w:val="ListParagraph"/>
        <w:numPr>
          <w:ilvl w:val="0"/>
          <w:numId w:val="7"/>
        </w:num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kern w:val="0"/>
          <w:lang w:eastAsia="en-GB"/>
          <w14:ligatures w14:val="none"/>
        </w:rPr>
        <w:t xml:space="preserve">Porter, M.E. (2008) </w:t>
      </w:r>
      <w:r w:rsidRPr="00A55134">
        <w:rPr>
          <w:rFonts w:ascii="Arial" w:eastAsia="Times New Roman" w:hAnsi="Arial" w:cs="Arial"/>
          <w:i/>
          <w:iCs/>
          <w:kern w:val="0"/>
          <w:lang w:eastAsia="en-GB"/>
          <w14:ligatures w14:val="none"/>
        </w:rPr>
        <w:t>The Five Competitive Forces That Shape Strategy</w:t>
      </w:r>
      <w:r w:rsidRPr="00A55134">
        <w:rPr>
          <w:rFonts w:ascii="Arial" w:eastAsia="Times New Roman" w:hAnsi="Arial" w:cs="Arial"/>
          <w:kern w:val="0"/>
          <w:lang w:eastAsia="en-GB"/>
          <w14:ligatures w14:val="none"/>
        </w:rPr>
        <w:t xml:space="preserve">, </w:t>
      </w:r>
      <w:r w:rsidRPr="00A55134">
        <w:rPr>
          <w:rFonts w:ascii="Arial" w:eastAsia="Times New Roman" w:hAnsi="Arial" w:cs="Arial"/>
          <w:i/>
          <w:iCs/>
          <w:kern w:val="0"/>
          <w:lang w:eastAsia="en-GB"/>
          <w14:ligatures w14:val="none"/>
        </w:rPr>
        <w:t>Harvard Business Review</w:t>
      </w:r>
      <w:r w:rsidRPr="00A55134">
        <w:rPr>
          <w:rFonts w:ascii="Arial" w:eastAsia="Times New Roman" w:hAnsi="Arial" w:cs="Arial"/>
          <w:kern w:val="0"/>
          <w:lang w:eastAsia="en-GB"/>
          <w14:ligatures w14:val="none"/>
        </w:rPr>
        <w:t>, 86(1), pp. 78–93.</w:t>
      </w:r>
    </w:p>
    <w:p w14:paraId="051B435F" w14:textId="3609A5A0" w:rsidR="006A799F" w:rsidRPr="00A55134" w:rsidRDefault="006A799F" w:rsidP="00A55134">
      <w:pPr>
        <w:pStyle w:val="ListParagraph"/>
        <w:numPr>
          <w:ilvl w:val="0"/>
          <w:numId w:val="7"/>
        </w:num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kern w:val="0"/>
          <w:lang w:eastAsia="en-GB"/>
          <w14:ligatures w14:val="none"/>
        </w:rPr>
        <w:t xml:space="preserve">Porter, M.E. (1990) </w:t>
      </w:r>
      <w:r w:rsidRPr="00A55134">
        <w:rPr>
          <w:rFonts w:ascii="Arial" w:eastAsia="Times New Roman" w:hAnsi="Arial" w:cs="Arial"/>
          <w:i/>
          <w:iCs/>
          <w:kern w:val="0"/>
          <w:lang w:eastAsia="en-GB"/>
          <w14:ligatures w14:val="none"/>
        </w:rPr>
        <w:t>The Competitive Advantage of Nations</w:t>
      </w:r>
      <w:r w:rsidRPr="00A55134">
        <w:rPr>
          <w:rFonts w:ascii="Arial" w:eastAsia="Times New Roman" w:hAnsi="Arial" w:cs="Arial"/>
          <w:kern w:val="0"/>
          <w:lang w:eastAsia="en-GB"/>
          <w14:ligatures w14:val="none"/>
        </w:rPr>
        <w:t>. New York: Free Press.</w:t>
      </w:r>
    </w:p>
    <w:p w14:paraId="01F453E1" w14:textId="249EF813" w:rsidR="006A799F" w:rsidRPr="00A55134" w:rsidRDefault="006A799F" w:rsidP="00A55134">
      <w:pPr>
        <w:pStyle w:val="ListParagraph"/>
        <w:numPr>
          <w:ilvl w:val="0"/>
          <w:numId w:val="7"/>
        </w:num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kern w:val="0"/>
          <w:lang w:eastAsia="en-GB"/>
          <w14:ligatures w14:val="none"/>
        </w:rPr>
        <w:t xml:space="preserve">PwC (2024) </w:t>
      </w:r>
      <w:r w:rsidRPr="00A55134">
        <w:rPr>
          <w:rFonts w:ascii="Arial" w:eastAsia="Times New Roman" w:hAnsi="Arial" w:cs="Arial"/>
          <w:i/>
          <w:iCs/>
          <w:kern w:val="0"/>
          <w:lang w:eastAsia="en-GB"/>
          <w14:ligatures w14:val="none"/>
        </w:rPr>
        <w:t>The Future of Energy Talent: Adapting for AI and Sustainability</w:t>
      </w:r>
      <w:r w:rsidRPr="00A55134">
        <w:rPr>
          <w:rFonts w:ascii="Arial" w:eastAsia="Times New Roman" w:hAnsi="Arial" w:cs="Arial"/>
          <w:kern w:val="0"/>
          <w:lang w:eastAsia="en-GB"/>
          <w14:ligatures w14:val="none"/>
        </w:rPr>
        <w:t xml:space="preserve">. Available at: </w:t>
      </w:r>
      <w:hyperlink r:id="rId28" w:tgtFrame="_new" w:history="1">
        <w:r w:rsidRPr="00A55134">
          <w:rPr>
            <w:rFonts w:ascii="Arial" w:eastAsia="Times New Roman" w:hAnsi="Arial" w:cs="Arial"/>
            <w:color w:val="0000FF"/>
            <w:kern w:val="0"/>
            <w:u w:val="single"/>
            <w:lang w:eastAsia="en-GB"/>
            <w14:ligatures w14:val="none"/>
          </w:rPr>
          <w:t>https://www.pwc.com</w:t>
        </w:r>
      </w:hyperlink>
      <w:r w:rsidRPr="00A55134">
        <w:rPr>
          <w:rFonts w:ascii="Arial" w:eastAsia="Times New Roman" w:hAnsi="Arial" w:cs="Arial"/>
          <w:kern w:val="0"/>
          <w:lang w:eastAsia="en-GB"/>
          <w14:ligatures w14:val="none"/>
        </w:rPr>
        <w:t xml:space="preserve"> (Accessed: 11 November 2025).</w:t>
      </w:r>
    </w:p>
    <w:p w14:paraId="15429357" w14:textId="1B47EE77" w:rsidR="006A799F" w:rsidRPr="00A55134" w:rsidRDefault="006A799F" w:rsidP="00A55134">
      <w:pPr>
        <w:pStyle w:val="ListParagraph"/>
        <w:numPr>
          <w:ilvl w:val="0"/>
          <w:numId w:val="7"/>
        </w:num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kern w:val="0"/>
          <w:lang w:eastAsia="en-GB"/>
          <w14:ligatures w14:val="none"/>
        </w:rPr>
        <w:t>Shell</w:t>
      </w:r>
      <w:r w:rsidR="002C2F26">
        <w:rPr>
          <w:rFonts w:ascii="Arial" w:eastAsia="Times New Roman" w:hAnsi="Arial" w:cs="Arial"/>
          <w:kern w:val="0"/>
          <w:lang w:eastAsia="en-GB"/>
          <w14:ligatures w14:val="none"/>
        </w:rPr>
        <w:t xml:space="preserve"> </w:t>
      </w:r>
      <w:r w:rsidRPr="00A55134">
        <w:rPr>
          <w:rFonts w:ascii="Arial" w:eastAsia="Times New Roman" w:hAnsi="Arial" w:cs="Arial"/>
          <w:kern w:val="0"/>
          <w:lang w:eastAsia="en-GB"/>
          <w14:ligatures w14:val="none"/>
        </w:rPr>
        <w:t xml:space="preserve">(2024) </w:t>
      </w:r>
      <w:r w:rsidRPr="00A55134">
        <w:rPr>
          <w:rFonts w:ascii="Arial" w:eastAsia="Times New Roman" w:hAnsi="Arial" w:cs="Arial"/>
          <w:i/>
          <w:iCs/>
          <w:kern w:val="0"/>
          <w:lang w:eastAsia="en-GB"/>
          <w14:ligatures w14:val="none"/>
        </w:rPr>
        <w:t>Energy Transition Strategy Report</w:t>
      </w:r>
      <w:r w:rsidRPr="00A55134">
        <w:rPr>
          <w:rFonts w:ascii="Arial" w:eastAsia="Times New Roman" w:hAnsi="Arial" w:cs="Arial"/>
          <w:kern w:val="0"/>
          <w:lang w:eastAsia="en-GB"/>
          <w14:ligatures w14:val="none"/>
        </w:rPr>
        <w:t>. Available at: https://www.shell.com/sustainability (Accessed: 12 November 2025).</w:t>
      </w:r>
    </w:p>
    <w:p w14:paraId="361B37B7" w14:textId="5D5488C4" w:rsidR="006A799F" w:rsidRPr="00A55134" w:rsidRDefault="006A799F" w:rsidP="00A55134">
      <w:pPr>
        <w:pStyle w:val="ListParagraph"/>
        <w:numPr>
          <w:ilvl w:val="0"/>
          <w:numId w:val="7"/>
        </w:num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kern w:val="0"/>
          <w:lang w:eastAsia="en-GB"/>
          <w14:ligatures w14:val="none"/>
        </w:rPr>
        <w:t xml:space="preserve">Statista (2024) </w:t>
      </w:r>
      <w:r w:rsidRPr="00A55134">
        <w:rPr>
          <w:rFonts w:ascii="Arial" w:eastAsia="Times New Roman" w:hAnsi="Arial" w:cs="Arial"/>
          <w:i/>
          <w:iCs/>
          <w:kern w:val="0"/>
          <w:lang w:eastAsia="en-GB"/>
          <w14:ligatures w14:val="none"/>
        </w:rPr>
        <w:t>BP's Low Carbon Investment Share Worldwide 2023</w:t>
      </w:r>
      <w:r w:rsidRPr="00A55134">
        <w:rPr>
          <w:rFonts w:ascii="Arial" w:eastAsia="Times New Roman" w:hAnsi="Arial" w:cs="Arial"/>
          <w:kern w:val="0"/>
          <w:lang w:eastAsia="en-GB"/>
          <w14:ligatures w14:val="none"/>
        </w:rPr>
        <w:t xml:space="preserve">. Available at: </w:t>
      </w:r>
      <w:hyperlink r:id="rId29" w:tgtFrame="_new" w:history="1">
        <w:r w:rsidRPr="00A55134">
          <w:rPr>
            <w:rFonts w:ascii="Arial" w:eastAsia="Times New Roman" w:hAnsi="Arial" w:cs="Arial"/>
            <w:color w:val="0000FF"/>
            <w:kern w:val="0"/>
            <w:u w:val="single"/>
            <w:lang w:eastAsia="en-GB"/>
            <w14:ligatures w14:val="none"/>
          </w:rPr>
          <w:t>https://www.statista.com</w:t>
        </w:r>
      </w:hyperlink>
      <w:r w:rsidRPr="00A55134">
        <w:rPr>
          <w:rFonts w:ascii="Arial" w:eastAsia="Times New Roman" w:hAnsi="Arial" w:cs="Arial"/>
          <w:kern w:val="0"/>
          <w:lang w:eastAsia="en-GB"/>
          <w14:ligatures w14:val="none"/>
        </w:rPr>
        <w:t xml:space="preserve"> (Accessed: 12 November 2025).</w:t>
      </w:r>
    </w:p>
    <w:p w14:paraId="4D35406B" w14:textId="0BF5DC7C" w:rsidR="006A799F" w:rsidRPr="00A55134" w:rsidRDefault="006A799F" w:rsidP="00A55134">
      <w:pPr>
        <w:pStyle w:val="ListParagraph"/>
        <w:numPr>
          <w:ilvl w:val="0"/>
          <w:numId w:val="7"/>
        </w:num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kern w:val="0"/>
          <w:lang w:eastAsia="en-GB"/>
          <w14:ligatures w14:val="none"/>
        </w:rPr>
        <w:t xml:space="preserve">The Economist (2024) ‘Green regulation: A new industrial policy’, </w:t>
      </w:r>
      <w:r w:rsidRPr="00A55134">
        <w:rPr>
          <w:rFonts w:ascii="Arial" w:eastAsia="Times New Roman" w:hAnsi="Arial" w:cs="Arial"/>
          <w:i/>
          <w:iCs/>
          <w:kern w:val="0"/>
          <w:lang w:eastAsia="en-GB"/>
          <w14:ligatures w14:val="none"/>
        </w:rPr>
        <w:t>The Economist</w:t>
      </w:r>
      <w:r w:rsidRPr="00A55134">
        <w:rPr>
          <w:rFonts w:ascii="Arial" w:eastAsia="Times New Roman" w:hAnsi="Arial" w:cs="Arial"/>
          <w:kern w:val="0"/>
          <w:lang w:eastAsia="en-GB"/>
          <w14:ligatures w14:val="none"/>
        </w:rPr>
        <w:t>, 20 April.</w:t>
      </w:r>
    </w:p>
    <w:p w14:paraId="0EF53A04" w14:textId="559FD658" w:rsidR="006A799F" w:rsidRPr="00A55134" w:rsidRDefault="006A799F" w:rsidP="00A55134">
      <w:pPr>
        <w:pStyle w:val="ListParagraph"/>
        <w:numPr>
          <w:ilvl w:val="0"/>
          <w:numId w:val="7"/>
        </w:num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kern w:val="0"/>
          <w:lang w:eastAsia="en-GB"/>
          <w14:ligatures w14:val="none"/>
        </w:rPr>
        <w:t xml:space="preserve">UNCTAD (2023) </w:t>
      </w:r>
      <w:r w:rsidRPr="00A55134">
        <w:rPr>
          <w:rFonts w:ascii="Arial" w:eastAsia="Times New Roman" w:hAnsi="Arial" w:cs="Arial"/>
          <w:i/>
          <w:iCs/>
          <w:kern w:val="0"/>
          <w:lang w:eastAsia="en-GB"/>
          <w14:ligatures w14:val="none"/>
        </w:rPr>
        <w:t>World Investment Report 2023: Investing in Sustainable Energy</w:t>
      </w:r>
      <w:r w:rsidRPr="00A55134">
        <w:rPr>
          <w:rFonts w:ascii="Arial" w:eastAsia="Times New Roman" w:hAnsi="Arial" w:cs="Arial"/>
          <w:kern w:val="0"/>
          <w:lang w:eastAsia="en-GB"/>
          <w14:ligatures w14:val="none"/>
        </w:rPr>
        <w:t>. Geneva: United Nations.</w:t>
      </w:r>
    </w:p>
    <w:p w14:paraId="70BF6991" w14:textId="1D275C9C" w:rsidR="006A799F" w:rsidRPr="00A55134" w:rsidRDefault="006A799F" w:rsidP="00A55134">
      <w:pPr>
        <w:pStyle w:val="ListParagraph"/>
        <w:numPr>
          <w:ilvl w:val="0"/>
          <w:numId w:val="7"/>
        </w:num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kern w:val="0"/>
          <w:lang w:eastAsia="en-GB"/>
          <w14:ligatures w14:val="none"/>
        </w:rPr>
        <w:t xml:space="preserve">World Economic Forum (2024) </w:t>
      </w:r>
      <w:r w:rsidRPr="00A55134">
        <w:rPr>
          <w:rFonts w:ascii="Arial" w:eastAsia="Times New Roman" w:hAnsi="Arial" w:cs="Arial"/>
          <w:i/>
          <w:iCs/>
          <w:kern w:val="0"/>
          <w:lang w:eastAsia="en-GB"/>
          <w14:ligatures w14:val="none"/>
        </w:rPr>
        <w:t>Global Energy Transition Index 2024</w:t>
      </w:r>
      <w:r w:rsidRPr="00A55134">
        <w:rPr>
          <w:rFonts w:ascii="Arial" w:eastAsia="Times New Roman" w:hAnsi="Arial" w:cs="Arial"/>
          <w:kern w:val="0"/>
          <w:lang w:eastAsia="en-GB"/>
          <w14:ligatures w14:val="none"/>
        </w:rPr>
        <w:t xml:space="preserve">. Available at: </w:t>
      </w:r>
      <w:hyperlink r:id="rId30" w:tgtFrame="_new" w:history="1">
        <w:r w:rsidRPr="00A55134">
          <w:rPr>
            <w:rFonts w:ascii="Arial" w:eastAsia="Times New Roman" w:hAnsi="Arial" w:cs="Arial"/>
            <w:color w:val="0000FF"/>
            <w:kern w:val="0"/>
            <w:u w:val="single"/>
            <w:lang w:eastAsia="en-GB"/>
            <w14:ligatures w14:val="none"/>
          </w:rPr>
          <w:t>https://www.weforum.org/reports</w:t>
        </w:r>
      </w:hyperlink>
      <w:r w:rsidRPr="00A55134">
        <w:rPr>
          <w:rFonts w:ascii="Arial" w:eastAsia="Times New Roman" w:hAnsi="Arial" w:cs="Arial"/>
          <w:kern w:val="0"/>
          <w:lang w:eastAsia="en-GB"/>
          <w14:ligatures w14:val="none"/>
        </w:rPr>
        <w:t xml:space="preserve"> (Accessed: 13 November 2025).</w:t>
      </w:r>
    </w:p>
    <w:p w14:paraId="7A41CFC4" w14:textId="2C74BA03" w:rsidR="006A799F" w:rsidRPr="00A55134" w:rsidRDefault="006A799F" w:rsidP="00A55134">
      <w:pPr>
        <w:pStyle w:val="ListParagraph"/>
        <w:numPr>
          <w:ilvl w:val="0"/>
          <w:numId w:val="7"/>
        </w:numPr>
        <w:spacing w:before="100" w:beforeAutospacing="1" w:after="100" w:afterAutospacing="1" w:line="360" w:lineRule="auto"/>
        <w:jc w:val="both"/>
        <w:rPr>
          <w:rFonts w:ascii="Arial" w:eastAsia="Times New Roman" w:hAnsi="Arial" w:cs="Arial"/>
          <w:kern w:val="0"/>
          <w:lang w:eastAsia="en-GB"/>
          <w14:ligatures w14:val="none"/>
        </w:rPr>
      </w:pPr>
      <w:r w:rsidRPr="00A55134">
        <w:rPr>
          <w:rFonts w:ascii="Arial" w:eastAsia="Times New Roman" w:hAnsi="Arial" w:cs="Arial"/>
          <w:kern w:val="0"/>
          <w:lang w:eastAsia="en-GB"/>
          <w14:ligatures w14:val="none"/>
        </w:rPr>
        <w:t xml:space="preserve">World Bank (2024) </w:t>
      </w:r>
      <w:r w:rsidRPr="00A55134">
        <w:rPr>
          <w:rFonts w:ascii="Arial" w:eastAsia="Times New Roman" w:hAnsi="Arial" w:cs="Arial"/>
          <w:i/>
          <w:iCs/>
          <w:kern w:val="0"/>
          <w:lang w:eastAsia="en-GB"/>
          <w14:ligatures w14:val="none"/>
        </w:rPr>
        <w:t>Global Economic Prospects, January 2024</w:t>
      </w:r>
      <w:r w:rsidRPr="00A55134">
        <w:rPr>
          <w:rFonts w:ascii="Arial" w:eastAsia="Times New Roman" w:hAnsi="Arial" w:cs="Arial"/>
          <w:kern w:val="0"/>
          <w:lang w:eastAsia="en-GB"/>
          <w14:ligatures w14:val="none"/>
        </w:rPr>
        <w:t xml:space="preserve">. Washington, DC: The World Bank. Available at: </w:t>
      </w:r>
      <w:hyperlink r:id="rId31" w:tgtFrame="_new" w:history="1">
        <w:r w:rsidRPr="00A55134">
          <w:rPr>
            <w:rFonts w:ascii="Arial" w:eastAsia="Times New Roman" w:hAnsi="Arial" w:cs="Arial"/>
            <w:color w:val="0000FF"/>
            <w:kern w:val="0"/>
            <w:u w:val="single"/>
            <w:lang w:eastAsia="en-GB"/>
            <w14:ligatures w14:val="none"/>
          </w:rPr>
          <w:t>https://www.worldbank.org</w:t>
        </w:r>
      </w:hyperlink>
      <w:r w:rsidRPr="00A55134">
        <w:rPr>
          <w:rFonts w:ascii="Arial" w:eastAsia="Times New Roman" w:hAnsi="Arial" w:cs="Arial"/>
          <w:kern w:val="0"/>
          <w:lang w:eastAsia="en-GB"/>
          <w14:ligatures w14:val="none"/>
        </w:rPr>
        <w:t xml:space="preserve"> (Accessed: 14 November 2025).</w:t>
      </w:r>
    </w:p>
    <w:p w14:paraId="71E88C0E" w14:textId="77777777" w:rsidR="00E423D9" w:rsidRPr="00A55134" w:rsidRDefault="00E423D9" w:rsidP="00A55134">
      <w:pPr>
        <w:spacing w:line="360" w:lineRule="auto"/>
        <w:jc w:val="both"/>
        <w:rPr>
          <w:rFonts w:ascii="Arial" w:hAnsi="Arial" w:cs="Arial"/>
        </w:rPr>
      </w:pPr>
    </w:p>
    <w:sectPr w:rsidR="00E423D9" w:rsidRPr="00A55134">
      <w:head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3C55FC" w14:textId="77777777" w:rsidR="00383933" w:rsidRDefault="00383933" w:rsidP="001E2B06">
      <w:pPr>
        <w:spacing w:after="0" w:line="240" w:lineRule="auto"/>
      </w:pPr>
      <w:r>
        <w:separator/>
      </w:r>
    </w:p>
  </w:endnote>
  <w:endnote w:type="continuationSeparator" w:id="0">
    <w:p w14:paraId="04B5220F" w14:textId="77777777" w:rsidR="00383933" w:rsidRDefault="00383933" w:rsidP="001E2B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Franklin Gothic Medium">
    <w:panose1 w:val="020B0603020102020204"/>
    <w:charset w:val="00"/>
    <w:family w:val="swiss"/>
    <w:pitch w:val="variable"/>
    <w:sig w:usb0="00000287" w:usb1="00000000" w:usb2="00000000" w:usb3="00000000" w:csb0="0000009F" w:csb1="00000000"/>
  </w:font>
  <w:font w:name="Bernard MT Condensed">
    <w:panose1 w:val="020508060609050204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9ADFC0" w14:textId="77777777" w:rsidR="00383933" w:rsidRDefault="00383933" w:rsidP="001E2B06">
      <w:pPr>
        <w:spacing w:after="0" w:line="240" w:lineRule="auto"/>
      </w:pPr>
      <w:r>
        <w:separator/>
      </w:r>
    </w:p>
  </w:footnote>
  <w:footnote w:type="continuationSeparator" w:id="0">
    <w:p w14:paraId="649FBD78" w14:textId="77777777" w:rsidR="00383933" w:rsidRDefault="00383933" w:rsidP="001E2B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9561442"/>
      <w:docPartObj>
        <w:docPartGallery w:val="Page Numbers (Top of Page)"/>
        <w:docPartUnique/>
      </w:docPartObj>
    </w:sdtPr>
    <w:sdtEndPr>
      <w:rPr>
        <w:color w:val="7F7F7F" w:themeColor="background1" w:themeShade="7F"/>
        <w:spacing w:val="60"/>
      </w:rPr>
    </w:sdtEndPr>
    <w:sdtContent>
      <w:p w14:paraId="4DE77FF2" w14:textId="65AECEA2" w:rsidR="001E2B06" w:rsidRDefault="001E2B06">
        <w:pPr>
          <w:pStyle w:val="Header"/>
          <w:pBdr>
            <w:bottom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2785485E" w14:textId="77777777" w:rsidR="001E2B06" w:rsidRDefault="001E2B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EF0DC9"/>
    <w:multiLevelType w:val="multilevel"/>
    <w:tmpl w:val="EF2AA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B66D3D"/>
    <w:multiLevelType w:val="hybridMultilevel"/>
    <w:tmpl w:val="2BCC7D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8E0986"/>
    <w:multiLevelType w:val="multilevel"/>
    <w:tmpl w:val="29F27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5F931EE"/>
    <w:multiLevelType w:val="multilevel"/>
    <w:tmpl w:val="741262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B09682C"/>
    <w:multiLevelType w:val="multilevel"/>
    <w:tmpl w:val="6DF00F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92F2B0A"/>
    <w:multiLevelType w:val="hybridMultilevel"/>
    <w:tmpl w:val="B5B6B5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7CB1B3C"/>
    <w:multiLevelType w:val="multilevel"/>
    <w:tmpl w:val="07A24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0610487">
    <w:abstractNumId w:val="2"/>
  </w:num>
  <w:num w:numId="2" w16cid:durableId="834299640">
    <w:abstractNumId w:val="3"/>
  </w:num>
  <w:num w:numId="3" w16cid:durableId="717584547">
    <w:abstractNumId w:val="0"/>
  </w:num>
  <w:num w:numId="4" w16cid:durableId="1021738172">
    <w:abstractNumId w:val="4"/>
  </w:num>
  <w:num w:numId="5" w16cid:durableId="630593295">
    <w:abstractNumId w:val="5"/>
  </w:num>
  <w:num w:numId="6" w16cid:durableId="773204869">
    <w:abstractNumId w:val="6"/>
  </w:num>
  <w:num w:numId="7" w16cid:durableId="12849206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17AAA"/>
    <w:rsid w:val="0000092F"/>
    <w:rsid w:val="000D10BF"/>
    <w:rsid w:val="001B5CF0"/>
    <w:rsid w:val="001E2B06"/>
    <w:rsid w:val="001F2F3B"/>
    <w:rsid w:val="0020549D"/>
    <w:rsid w:val="00245543"/>
    <w:rsid w:val="002508A5"/>
    <w:rsid w:val="002C2F26"/>
    <w:rsid w:val="00367712"/>
    <w:rsid w:val="00383933"/>
    <w:rsid w:val="003B4948"/>
    <w:rsid w:val="003F3C0E"/>
    <w:rsid w:val="004152F2"/>
    <w:rsid w:val="0043448F"/>
    <w:rsid w:val="004907B3"/>
    <w:rsid w:val="004A0002"/>
    <w:rsid w:val="004A2534"/>
    <w:rsid w:val="004E1234"/>
    <w:rsid w:val="004E644E"/>
    <w:rsid w:val="00525478"/>
    <w:rsid w:val="00594026"/>
    <w:rsid w:val="005C2B9F"/>
    <w:rsid w:val="005D5B2A"/>
    <w:rsid w:val="006849F9"/>
    <w:rsid w:val="006A799F"/>
    <w:rsid w:val="006D070D"/>
    <w:rsid w:val="006D6725"/>
    <w:rsid w:val="00717796"/>
    <w:rsid w:val="00735711"/>
    <w:rsid w:val="007440A0"/>
    <w:rsid w:val="007F3027"/>
    <w:rsid w:val="00825673"/>
    <w:rsid w:val="0083435C"/>
    <w:rsid w:val="00885B76"/>
    <w:rsid w:val="008C617E"/>
    <w:rsid w:val="00904AEF"/>
    <w:rsid w:val="009629C9"/>
    <w:rsid w:val="0097736D"/>
    <w:rsid w:val="00984204"/>
    <w:rsid w:val="009C0356"/>
    <w:rsid w:val="00A03F75"/>
    <w:rsid w:val="00A17AAA"/>
    <w:rsid w:val="00A201B8"/>
    <w:rsid w:val="00A55134"/>
    <w:rsid w:val="00A605E6"/>
    <w:rsid w:val="00A84AF9"/>
    <w:rsid w:val="00AC3707"/>
    <w:rsid w:val="00AD434B"/>
    <w:rsid w:val="00B56DAD"/>
    <w:rsid w:val="00B66A69"/>
    <w:rsid w:val="00BA4844"/>
    <w:rsid w:val="00C3461B"/>
    <w:rsid w:val="00C53132"/>
    <w:rsid w:val="00C7162D"/>
    <w:rsid w:val="00CC77D8"/>
    <w:rsid w:val="00CD5F31"/>
    <w:rsid w:val="00D70CD9"/>
    <w:rsid w:val="00DD12F2"/>
    <w:rsid w:val="00E423D9"/>
    <w:rsid w:val="00EC709D"/>
    <w:rsid w:val="00F522E8"/>
    <w:rsid w:val="00F608BB"/>
    <w:rsid w:val="00F870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4BBDF750"/>
  <w15:chartTrackingRefBased/>
  <w15:docId w15:val="{CED51E43-54A6-4E95-9937-DD6ECD7F9C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7A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17A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7A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7A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7A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7A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7A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7A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7A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7A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7A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7A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7A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7A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7A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7A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7A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7AAA"/>
    <w:rPr>
      <w:rFonts w:eastAsiaTheme="majorEastAsia" w:cstheme="majorBidi"/>
      <w:color w:val="272727" w:themeColor="text1" w:themeTint="D8"/>
    </w:rPr>
  </w:style>
  <w:style w:type="paragraph" w:styleId="Title">
    <w:name w:val="Title"/>
    <w:basedOn w:val="Normal"/>
    <w:next w:val="Normal"/>
    <w:link w:val="TitleChar"/>
    <w:uiPriority w:val="10"/>
    <w:qFormat/>
    <w:rsid w:val="00A17A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7A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7A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7A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7AAA"/>
    <w:pPr>
      <w:spacing w:before="160"/>
      <w:jc w:val="center"/>
    </w:pPr>
    <w:rPr>
      <w:i/>
      <w:iCs/>
      <w:color w:val="404040" w:themeColor="text1" w:themeTint="BF"/>
    </w:rPr>
  </w:style>
  <w:style w:type="character" w:customStyle="1" w:styleId="QuoteChar">
    <w:name w:val="Quote Char"/>
    <w:basedOn w:val="DefaultParagraphFont"/>
    <w:link w:val="Quote"/>
    <w:uiPriority w:val="29"/>
    <w:rsid w:val="00A17AAA"/>
    <w:rPr>
      <w:i/>
      <w:iCs/>
      <w:color w:val="404040" w:themeColor="text1" w:themeTint="BF"/>
    </w:rPr>
  </w:style>
  <w:style w:type="paragraph" w:styleId="ListParagraph">
    <w:name w:val="List Paragraph"/>
    <w:basedOn w:val="Normal"/>
    <w:uiPriority w:val="34"/>
    <w:qFormat/>
    <w:rsid w:val="00A17AAA"/>
    <w:pPr>
      <w:ind w:left="720"/>
      <w:contextualSpacing/>
    </w:pPr>
  </w:style>
  <w:style w:type="character" w:styleId="IntenseEmphasis">
    <w:name w:val="Intense Emphasis"/>
    <w:basedOn w:val="DefaultParagraphFont"/>
    <w:uiPriority w:val="21"/>
    <w:qFormat/>
    <w:rsid w:val="00A17AAA"/>
    <w:rPr>
      <w:i/>
      <w:iCs/>
      <w:color w:val="0F4761" w:themeColor="accent1" w:themeShade="BF"/>
    </w:rPr>
  </w:style>
  <w:style w:type="paragraph" w:styleId="IntenseQuote">
    <w:name w:val="Intense Quote"/>
    <w:basedOn w:val="Normal"/>
    <w:next w:val="Normal"/>
    <w:link w:val="IntenseQuoteChar"/>
    <w:uiPriority w:val="30"/>
    <w:qFormat/>
    <w:rsid w:val="00A17A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7AAA"/>
    <w:rPr>
      <w:i/>
      <w:iCs/>
      <w:color w:val="0F4761" w:themeColor="accent1" w:themeShade="BF"/>
    </w:rPr>
  </w:style>
  <w:style w:type="character" w:styleId="IntenseReference">
    <w:name w:val="Intense Reference"/>
    <w:basedOn w:val="DefaultParagraphFont"/>
    <w:uiPriority w:val="32"/>
    <w:qFormat/>
    <w:rsid w:val="00A17AAA"/>
    <w:rPr>
      <w:b/>
      <w:bCs/>
      <w:smallCaps/>
      <w:color w:val="0F4761" w:themeColor="accent1" w:themeShade="BF"/>
      <w:spacing w:val="5"/>
    </w:rPr>
  </w:style>
  <w:style w:type="paragraph" w:styleId="NormalWeb">
    <w:name w:val="Normal (Web)"/>
    <w:basedOn w:val="Normal"/>
    <w:uiPriority w:val="99"/>
    <w:semiHidden/>
    <w:unhideWhenUsed/>
    <w:rsid w:val="00A17AAA"/>
    <w:pPr>
      <w:spacing w:before="100" w:beforeAutospacing="1" w:after="100" w:afterAutospacing="1" w:line="240" w:lineRule="auto"/>
    </w:pPr>
    <w:rPr>
      <w:rFonts w:ascii="Times New Roman" w:eastAsia="Times New Roman" w:hAnsi="Times New Roman" w:cs="Times New Roman"/>
      <w:kern w:val="0"/>
      <w:lang w:eastAsia="en-GB"/>
    </w:rPr>
  </w:style>
  <w:style w:type="character" w:styleId="Strong">
    <w:name w:val="Strong"/>
    <w:basedOn w:val="DefaultParagraphFont"/>
    <w:uiPriority w:val="22"/>
    <w:qFormat/>
    <w:rsid w:val="00A17AAA"/>
    <w:rPr>
      <w:b/>
      <w:bCs/>
    </w:rPr>
  </w:style>
  <w:style w:type="character" w:styleId="Emphasis">
    <w:name w:val="Emphasis"/>
    <w:basedOn w:val="DefaultParagraphFont"/>
    <w:uiPriority w:val="20"/>
    <w:qFormat/>
    <w:rsid w:val="00A17AAA"/>
    <w:rPr>
      <w:i/>
      <w:iCs/>
    </w:rPr>
  </w:style>
  <w:style w:type="character" w:styleId="Hyperlink">
    <w:name w:val="Hyperlink"/>
    <w:basedOn w:val="DefaultParagraphFont"/>
    <w:uiPriority w:val="99"/>
    <w:unhideWhenUsed/>
    <w:rsid w:val="00A17AAA"/>
    <w:rPr>
      <w:color w:val="0000FF"/>
      <w:u w:val="single"/>
    </w:rPr>
  </w:style>
  <w:style w:type="paragraph" w:styleId="Header">
    <w:name w:val="header"/>
    <w:basedOn w:val="Normal"/>
    <w:link w:val="HeaderChar"/>
    <w:uiPriority w:val="99"/>
    <w:unhideWhenUsed/>
    <w:rsid w:val="001E2B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2B06"/>
  </w:style>
  <w:style w:type="paragraph" w:styleId="Footer">
    <w:name w:val="footer"/>
    <w:basedOn w:val="Normal"/>
    <w:link w:val="FooterChar"/>
    <w:uiPriority w:val="99"/>
    <w:unhideWhenUsed/>
    <w:rsid w:val="001E2B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2B06"/>
  </w:style>
  <w:style w:type="paragraph" w:styleId="TOCHeading">
    <w:name w:val="TOC Heading"/>
    <w:basedOn w:val="Heading1"/>
    <w:next w:val="Normal"/>
    <w:uiPriority w:val="39"/>
    <w:unhideWhenUsed/>
    <w:qFormat/>
    <w:rsid w:val="001E2B06"/>
    <w:pPr>
      <w:spacing w:before="240" w:after="0" w:line="259" w:lineRule="auto"/>
      <w:outlineLvl w:val="9"/>
    </w:pPr>
    <w:rPr>
      <w:kern w:val="0"/>
      <w:sz w:val="32"/>
      <w:szCs w:val="32"/>
      <w:lang w:eastAsia="en-GB"/>
    </w:rPr>
  </w:style>
  <w:style w:type="paragraph" w:styleId="TOC1">
    <w:name w:val="toc 1"/>
    <w:basedOn w:val="Normal"/>
    <w:next w:val="Normal"/>
    <w:autoRedefine/>
    <w:uiPriority w:val="39"/>
    <w:unhideWhenUsed/>
    <w:rsid w:val="001E2B06"/>
    <w:pPr>
      <w:spacing w:after="100"/>
    </w:pPr>
  </w:style>
  <w:style w:type="paragraph" w:styleId="TOC2">
    <w:name w:val="toc 2"/>
    <w:basedOn w:val="Normal"/>
    <w:next w:val="Normal"/>
    <w:autoRedefine/>
    <w:uiPriority w:val="39"/>
    <w:unhideWhenUsed/>
    <w:rsid w:val="001E2B06"/>
    <w:pPr>
      <w:spacing w:after="100"/>
      <w:ind w:left="240"/>
    </w:pPr>
  </w:style>
  <w:style w:type="paragraph" w:styleId="TOC3">
    <w:name w:val="toc 3"/>
    <w:basedOn w:val="Normal"/>
    <w:next w:val="Normal"/>
    <w:autoRedefine/>
    <w:uiPriority w:val="39"/>
    <w:unhideWhenUsed/>
    <w:rsid w:val="001E2B0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7121987">
      <w:bodyDiv w:val="1"/>
      <w:marLeft w:val="0"/>
      <w:marRight w:val="0"/>
      <w:marTop w:val="0"/>
      <w:marBottom w:val="0"/>
      <w:divBdr>
        <w:top w:val="none" w:sz="0" w:space="0" w:color="auto"/>
        <w:left w:val="none" w:sz="0" w:space="0" w:color="auto"/>
        <w:bottom w:val="none" w:sz="0" w:space="0" w:color="auto"/>
        <w:right w:val="none" w:sz="0" w:space="0" w:color="auto"/>
      </w:divBdr>
      <w:divsChild>
        <w:div w:id="325517959">
          <w:blockQuote w:val="1"/>
          <w:marLeft w:val="720"/>
          <w:marRight w:val="720"/>
          <w:marTop w:val="100"/>
          <w:marBottom w:val="100"/>
          <w:divBdr>
            <w:top w:val="none" w:sz="0" w:space="0" w:color="auto"/>
            <w:left w:val="none" w:sz="0" w:space="0" w:color="auto"/>
            <w:bottom w:val="none" w:sz="0" w:space="0" w:color="auto"/>
            <w:right w:val="none" w:sz="0" w:space="0" w:color="auto"/>
          </w:divBdr>
        </w:div>
        <w:div w:id="125858895">
          <w:blockQuote w:val="1"/>
          <w:marLeft w:val="720"/>
          <w:marRight w:val="720"/>
          <w:marTop w:val="100"/>
          <w:marBottom w:val="100"/>
          <w:divBdr>
            <w:top w:val="none" w:sz="0" w:space="0" w:color="auto"/>
            <w:left w:val="none" w:sz="0" w:space="0" w:color="auto"/>
            <w:bottom w:val="none" w:sz="0" w:space="0" w:color="auto"/>
            <w:right w:val="none" w:sz="0" w:space="0" w:color="auto"/>
          </w:divBdr>
        </w:div>
        <w:div w:id="524949675">
          <w:blockQuote w:val="1"/>
          <w:marLeft w:val="720"/>
          <w:marRight w:val="720"/>
          <w:marTop w:val="100"/>
          <w:marBottom w:val="100"/>
          <w:divBdr>
            <w:top w:val="none" w:sz="0" w:space="0" w:color="auto"/>
            <w:left w:val="none" w:sz="0" w:space="0" w:color="auto"/>
            <w:bottom w:val="none" w:sz="0" w:space="0" w:color="auto"/>
            <w:right w:val="none" w:sz="0" w:space="0" w:color="auto"/>
          </w:divBdr>
        </w:div>
        <w:div w:id="1942104942">
          <w:blockQuote w:val="1"/>
          <w:marLeft w:val="720"/>
          <w:marRight w:val="720"/>
          <w:marTop w:val="100"/>
          <w:marBottom w:val="100"/>
          <w:divBdr>
            <w:top w:val="none" w:sz="0" w:space="0" w:color="auto"/>
            <w:left w:val="none" w:sz="0" w:space="0" w:color="auto"/>
            <w:bottom w:val="none" w:sz="0" w:space="0" w:color="auto"/>
            <w:right w:val="none" w:sz="0" w:space="0" w:color="auto"/>
          </w:divBdr>
        </w:div>
        <w:div w:id="135144553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11707669">
      <w:bodyDiv w:val="1"/>
      <w:marLeft w:val="0"/>
      <w:marRight w:val="0"/>
      <w:marTop w:val="0"/>
      <w:marBottom w:val="0"/>
      <w:divBdr>
        <w:top w:val="none" w:sz="0" w:space="0" w:color="auto"/>
        <w:left w:val="none" w:sz="0" w:space="0" w:color="auto"/>
        <w:bottom w:val="none" w:sz="0" w:space="0" w:color="auto"/>
        <w:right w:val="none" w:sz="0" w:space="0" w:color="auto"/>
      </w:divBdr>
    </w:div>
    <w:div w:id="707141683">
      <w:bodyDiv w:val="1"/>
      <w:marLeft w:val="0"/>
      <w:marRight w:val="0"/>
      <w:marTop w:val="0"/>
      <w:marBottom w:val="0"/>
      <w:divBdr>
        <w:top w:val="none" w:sz="0" w:space="0" w:color="auto"/>
        <w:left w:val="none" w:sz="0" w:space="0" w:color="auto"/>
        <w:bottom w:val="none" w:sz="0" w:space="0" w:color="auto"/>
        <w:right w:val="none" w:sz="0" w:space="0" w:color="auto"/>
      </w:divBdr>
    </w:div>
    <w:div w:id="1113984801">
      <w:bodyDiv w:val="1"/>
      <w:marLeft w:val="0"/>
      <w:marRight w:val="0"/>
      <w:marTop w:val="0"/>
      <w:marBottom w:val="0"/>
      <w:divBdr>
        <w:top w:val="none" w:sz="0" w:space="0" w:color="auto"/>
        <w:left w:val="none" w:sz="0" w:space="0" w:color="auto"/>
        <w:bottom w:val="none" w:sz="0" w:space="0" w:color="auto"/>
        <w:right w:val="none" w:sz="0" w:space="0" w:color="auto"/>
      </w:divBdr>
      <w:divsChild>
        <w:div w:id="2011638426">
          <w:blockQuote w:val="1"/>
          <w:marLeft w:val="720"/>
          <w:marRight w:val="720"/>
          <w:marTop w:val="100"/>
          <w:marBottom w:val="100"/>
          <w:divBdr>
            <w:top w:val="none" w:sz="0" w:space="0" w:color="auto"/>
            <w:left w:val="none" w:sz="0" w:space="0" w:color="auto"/>
            <w:bottom w:val="none" w:sz="0" w:space="0" w:color="auto"/>
            <w:right w:val="none" w:sz="0" w:space="0" w:color="auto"/>
          </w:divBdr>
        </w:div>
        <w:div w:id="1990092860">
          <w:blockQuote w:val="1"/>
          <w:marLeft w:val="720"/>
          <w:marRight w:val="720"/>
          <w:marTop w:val="100"/>
          <w:marBottom w:val="100"/>
          <w:divBdr>
            <w:top w:val="none" w:sz="0" w:space="0" w:color="auto"/>
            <w:left w:val="none" w:sz="0" w:space="0" w:color="auto"/>
            <w:bottom w:val="none" w:sz="0" w:space="0" w:color="auto"/>
            <w:right w:val="none" w:sz="0" w:space="0" w:color="auto"/>
          </w:divBdr>
        </w:div>
        <w:div w:id="158999527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39617304">
      <w:bodyDiv w:val="1"/>
      <w:marLeft w:val="0"/>
      <w:marRight w:val="0"/>
      <w:marTop w:val="0"/>
      <w:marBottom w:val="0"/>
      <w:divBdr>
        <w:top w:val="none" w:sz="0" w:space="0" w:color="auto"/>
        <w:left w:val="none" w:sz="0" w:space="0" w:color="auto"/>
        <w:bottom w:val="none" w:sz="0" w:space="0" w:color="auto"/>
        <w:right w:val="none" w:sz="0" w:space="0" w:color="auto"/>
      </w:divBdr>
    </w:div>
    <w:div w:id="1230921482">
      <w:bodyDiv w:val="1"/>
      <w:marLeft w:val="0"/>
      <w:marRight w:val="0"/>
      <w:marTop w:val="0"/>
      <w:marBottom w:val="0"/>
      <w:divBdr>
        <w:top w:val="none" w:sz="0" w:space="0" w:color="auto"/>
        <w:left w:val="none" w:sz="0" w:space="0" w:color="auto"/>
        <w:bottom w:val="none" w:sz="0" w:space="0" w:color="auto"/>
        <w:right w:val="none" w:sz="0" w:space="0" w:color="auto"/>
      </w:divBdr>
    </w:div>
    <w:div w:id="1312061101">
      <w:bodyDiv w:val="1"/>
      <w:marLeft w:val="0"/>
      <w:marRight w:val="0"/>
      <w:marTop w:val="0"/>
      <w:marBottom w:val="0"/>
      <w:divBdr>
        <w:top w:val="none" w:sz="0" w:space="0" w:color="auto"/>
        <w:left w:val="none" w:sz="0" w:space="0" w:color="auto"/>
        <w:bottom w:val="none" w:sz="0" w:space="0" w:color="auto"/>
        <w:right w:val="none" w:sz="0" w:space="0" w:color="auto"/>
      </w:divBdr>
    </w:div>
    <w:div w:id="1611741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mckinsey.com" TargetMode="External"/><Relationship Id="rId3" Type="http://schemas.openxmlformats.org/officeDocument/2006/relationships/styles" Target="styles.xml"/><Relationship Id="rId21" Type="http://schemas.openxmlformats.org/officeDocument/2006/relationships/hyperlink" Target="https://about.bnef.com"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home.kpmg/xx/en/home/insights.html"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bp.com/en/global/corporate/sustainability.html" TargetMode="External"/><Relationship Id="rId29" Type="http://schemas.openxmlformats.org/officeDocument/2006/relationships/hyperlink" Target="https://www.statista.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ipcc.ch/report/ar6/syr"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iea.org/reports/world-energy-outlook-2024" TargetMode="External"/><Relationship Id="rId28" Type="http://schemas.openxmlformats.org/officeDocument/2006/relationships/hyperlink" Target="https://www.pwc.com" TargetMode="External"/><Relationship Id="rId10" Type="http://schemas.openxmlformats.org/officeDocument/2006/relationships/image" Target="media/image3.png"/><Relationship Id="rId19" Type="http://schemas.openxmlformats.org/officeDocument/2006/relationships/hyperlink" Target="https://www.bp.com" TargetMode="External"/><Relationship Id="rId31" Type="http://schemas.openxmlformats.org/officeDocument/2006/relationships/hyperlink" Target="https://www.worldbank.org"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www2.deloitte.com" TargetMode="External"/><Relationship Id="rId27" Type="http://schemas.openxmlformats.org/officeDocument/2006/relationships/hyperlink" Target="https://www.oecd.org" TargetMode="External"/><Relationship Id="rId30" Type="http://schemas.openxmlformats.org/officeDocument/2006/relationships/hyperlink" Target="https://www.weforum.org/reports" TargetMode="Externa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Franklin Gothic">
      <a:majorFont>
        <a:latin typeface="Franklin Gothic Medium" panose="020B0603020102020204"/>
        <a:ea typeface=""/>
        <a:cs typeface=""/>
        <a:font script="Jpan" typeface="HG創英角ｺﾞｼｯｸUB"/>
        <a:font script="Hang" typeface="돋움"/>
        <a:font script="Hans" typeface="隶书"/>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Franklin Gothic Book" panose="020B0503020102020204"/>
        <a:ea typeface=""/>
        <a:cs typeface=""/>
        <a:font script="Jpan" typeface="HGｺﾞｼｯｸE"/>
        <a:font script="Hang" typeface="돋움"/>
        <a:font script="Hans" typeface="华文楷体"/>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6FD42D-89EF-4FF6-B428-07629D0614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2474</Words>
  <Characters>14105</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Ateeq Rehman</dc:creator>
  <cp:keywords/>
  <dc:description/>
  <cp:lastModifiedBy>Ateeq Rehman</cp:lastModifiedBy>
  <cp:revision>46</cp:revision>
  <dcterms:created xsi:type="dcterms:W3CDTF">2025-11-20T21:48:00Z</dcterms:created>
  <dcterms:modified xsi:type="dcterms:W3CDTF">2025-11-20T23:57:00Z</dcterms:modified>
</cp:coreProperties>
</file>