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42E8B" w14:textId="77777777" w:rsidR="00C27381" w:rsidRDefault="00C27381"/>
    <w:p w14:paraId="2DC458AD" w14:textId="77777777" w:rsidR="00BF308F" w:rsidRDefault="00BF308F"/>
    <w:p w14:paraId="44F340EC" w14:textId="77777777" w:rsidR="00BF308F" w:rsidRDefault="00BF308F"/>
    <w:p w14:paraId="1B75E671" w14:textId="77777777" w:rsidR="00BF308F" w:rsidRDefault="00BF308F"/>
    <w:p w14:paraId="10B4ECAE" w14:textId="47E69D0C" w:rsidR="00BF308F" w:rsidRPr="003C5EF9" w:rsidRDefault="00BF308F" w:rsidP="003C5EF9">
      <w:pPr>
        <w:jc w:val="center"/>
        <w:rPr>
          <w:b/>
          <w:bCs/>
          <w:sz w:val="32"/>
          <w:szCs w:val="32"/>
        </w:rPr>
      </w:pPr>
      <w:r w:rsidRPr="003C5EF9">
        <w:rPr>
          <w:b/>
          <w:bCs/>
          <w:sz w:val="32"/>
          <w:szCs w:val="32"/>
        </w:rPr>
        <w:t>Module title: Management &amp; Organisational Behaviour</w:t>
      </w:r>
    </w:p>
    <w:p w14:paraId="7221E7D5" w14:textId="51C25978" w:rsidR="00BF308F" w:rsidRPr="003C5EF9" w:rsidRDefault="00BF308F" w:rsidP="003C5EF9">
      <w:pPr>
        <w:jc w:val="center"/>
        <w:rPr>
          <w:b/>
          <w:bCs/>
          <w:sz w:val="32"/>
          <w:szCs w:val="32"/>
        </w:rPr>
      </w:pPr>
      <w:r w:rsidRPr="003C5EF9">
        <w:rPr>
          <w:b/>
          <w:bCs/>
          <w:sz w:val="32"/>
          <w:szCs w:val="32"/>
        </w:rPr>
        <w:t>Module code: BMIH5004</w:t>
      </w:r>
    </w:p>
    <w:p w14:paraId="747DEF46" w14:textId="77777777" w:rsidR="00BF308F" w:rsidRDefault="00BF308F"/>
    <w:p w14:paraId="30C8A603" w14:textId="77777777" w:rsidR="00BF308F" w:rsidRDefault="00BF308F"/>
    <w:p w14:paraId="32850CB6" w14:textId="77777777" w:rsidR="00BF308F" w:rsidRDefault="00BF308F"/>
    <w:p w14:paraId="4494A47B" w14:textId="77777777" w:rsidR="00BF308F" w:rsidRDefault="00BF308F"/>
    <w:p w14:paraId="09CC0B51" w14:textId="77777777" w:rsidR="00BF308F" w:rsidRDefault="00BF308F"/>
    <w:p w14:paraId="2BB1C316" w14:textId="77777777" w:rsidR="00BF308F" w:rsidRDefault="00BF308F"/>
    <w:p w14:paraId="5A56F3FC" w14:textId="497FFBE3" w:rsidR="00BF308F" w:rsidRPr="003C5EF9" w:rsidRDefault="00BF308F">
      <w:pPr>
        <w:rPr>
          <w:b/>
          <w:bCs/>
          <w:sz w:val="28"/>
          <w:szCs w:val="28"/>
        </w:rPr>
      </w:pPr>
      <w:r w:rsidRPr="003C5EF9">
        <w:rPr>
          <w:b/>
          <w:bCs/>
          <w:sz w:val="28"/>
          <w:szCs w:val="28"/>
        </w:rPr>
        <w:t>Student Name:</w:t>
      </w:r>
    </w:p>
    <w:p w14:paraId="65574C98" w14:textId="64C8299A" w:rsidR="00BF308F" w:rsidRPr="003C5EF9" w:rsidRDefault="00BF308F">
      <w:pPr>
        <w:rPr>
          <w:b/>
          <w:bCs/>
          <w:sz w:val="28"/>
          <w:szCs w:val="28"/>
        </w:rPr>
      </w:pPr>
      <w:r w:rsidRPr="003C5EF9">
        <w:rPr>
          <w:b/>
          <w:bCs/>
          <w:sz w:val="28"/>
          <w:szCs w:val="28"/>
        </w:rPr>
        <w:t>Student ID:</w:t>
      </w:r>
    </w:p>
    <w:p w14:paraId="4EB5CDF2" w14:textId="131DA476" w:rsidR="00E73182" w:rsidRDefault="00E73182">
      <w:pPr>
        <w:spacing w:line="259" w:lineRule="auto"/>
        <w:jc w:val="left"/>
      </w:pPr>
      <w:r>
        <w:br w:type="page"/>
      </w:r>
    </w:p>
    <w:sdt>
      <w:sdtPr>
        <w:rPr>
          <w:rFonts w:ascii="Times New Roman" w:eastAsiaTheme="minorHAnsi" w:hAnsi="Times New Roman" w:cstheme="minorBidi"/>
          <w:color w:val="auto"/>
          <w:sz w:val="24"/>
          <w:szCs w:val="22"/>
          <w:lang w:val="en-GB"/>
          <w14:ligatures w14:val="standardContextual"/>
        </w:rPr>
        <w:id w:val="528146006"/>
        <w:docPartObj>
          <w:docPartGallery w:val="Table of Contents"/>
          <w:docPartUnique/>
        </w:docPartObj>
      </w:sdtPr>
      <w:sdtEndPr>
        <w:rPr>
          <w:b/>
          <w:bCs/>
          <w:noProof/>
        </w:rPr>
      </w:sdtEndPr>
      <w:sdtContent>
        <w:p w14:paraId="15323BAF" w14:textId="4D27ED09" w:rsidR="00AF0475" w:rsidRDefault="00AF0475">
          <w:pPr>
            <w:pStyle w:val="TOCHeading"/>
          </w:pPr>
          <w:r>
            <w:t>Table of Contents</w:t>
          </w:r>
        </w:p>
        <w:p w14:paraId="65BB3F91" w14:textId="1568F63C" w:rsidR="00AF0475" w:rsidRDefault="00AF0475">
          <w:pPr>
            <w:pStyle w:val="TOC1"/>
            <w:tabs>
              <w:tab w:val="right" w:leader="dot" w:pos="9350"/>
            </w:tabs>
            <w:rPr>
              <w:noProof/>
            </w:rPr>
          </w:pPr>
          <w:r>
            <w:fldChar w:fldCharType="begin"/>
          </w:r>
          <w:r>
            <w:instrText xml:space="preserve"> TOC \o "1-3" \h \z \u </w:instrText>
          </w:r>
          <w:r>
            <w:fldChar w:fldCharType="separate"/>
          </w:r>
          <w:hyperlink w:anchor="_Toc159630462" w:history="1">
            <w:r w:rsidRPr="00B61963">
              <w:rPr>
                <w:rStyle w:val="Hyperlink"/>
                <w:noProof/>
              </w:rPr>
              <w:t>Introduction</w:t>
            </w:r>
            <w:r>
              <w:rPr>
                <w:noProof/>
                <w:webHidden/>
              </w:rPr>
              <w:tab/>
            </w:r>
            <w:r>
              <w:rPr>
                <w:noProof/>
                <w:webHidden/>
              </w:rPr>
              <w:fldChar w:fldCharType="begin"/>
            </w:r>
            <w:r>
              <w:rPr>
                <w:noProof/>
                <w:webHidden/>
              </w:rPr>
              <w:instrText xml:space="preserve"> PAGEREF _Toc159630462 \h </w:instrText>
            </w:r>
            <w:r>
              <w:rPr>
                <w:noProof/>
                <w:webHidden/>
              </w:rPr>
            </w:r>
            <w:r>
              <w:rPr>
                <w:noProof/>
                <w:webHidden/>
              </w:rPr>
              <w:fldChar w:fldCharType="separate"/>
            </w:r>
            <w:r>
              <w:rPr>
                <w:noProof/>
                <w:webHidden/>
              </w:rPr>
              <w:t>3</w:t>
            </w:r>
            <w:r>
              <w:rPr>
                <w:noProof/>
                <w:webHidden/>
              </w:rPr>
              <w:fldChar w:fldCharType="end"/>
            </w:r>
          </w:hyperlink>
        </w:p>
        <w:p w14:paraId="5B8285AD" w14:textId="0218EE8C" w:rsidR="00AF0475" w:rsidRDefault="00000000">
          <w:pPr>
            <w:pStyle w:val="TOC1"/>
            <w:tabs>
              <w:tab w:val="right" w:leader="dot" w:pos="9350"/>
            </w:tabs>
            <w:rPr>
              <w:noProof/>
            </w:rPr>
          </w:pPr>
          <w:hyperlink w:anchor="_Toc159630463" w:history="1">
            <w:r w:rsidR="00AF0475" w:rsidRPr="00B61963">
              <w:rPr>
                <w:rStyle w:val="Hyperlink"/>
                <w:noProof/>
              </w:rPr>
              <w:t>Organization Structure, Culture and Goals</w:t>
            </w:r>
            <w:r w:rsidR="00AF0475">
              <w:rPr>
                <w:noProof/>
                <w:webHidden/>
              </w:rPr>
              <w:tab/>
            </w:r>
            <w:r w:rsidR="00AF0475">
              <w:rPr>
                <w:noProof/>
                <w:webHidden/>
              </w:rPr>
              <w:fldChar w:fldCharType="begin"/>
            </w:r>
            <w:r w:rsidR="00AF0475">
              <w:rPr>
                <w:noProof/>
                <w:webHidden/>
              </w:rPr>
              <w:instrText xml:space="preserve"> PAGEREF _Toc159630463 \h </w:instrText>
            </w:r>
            <w:r w:rsidR="00AF0475">
              <w:rPr>
                <w:noProof/>
                <w:webHidden/>
              </w:rPr>
            </w:r>
            <w:r w:rsidR="00AF0475">
              <w:rPr>
                <w:noProof/>
                <w:webHidden/>
              </w:rPr>
              <w:fldChar w:fldCharType="separate"/>
            </w:r>
            <w:r w:rsidR="00AF0475">
              <w:rPr>
                <w:noProof/>
                <w:webHidden/>
              </w:rPr>
              <w:t>4</w:t>
            </w:r>
            <w:r w:rsidR="00AF0475">
              <w:rPr>
                <w:noProof/>
                <w:webHidden/>
              </w:rPr>
              <w:fldChar w:fldCharType="end"/>
            </w:r>
          </w:hyperlink>
        </w:p>
        <w:p w14:paraId="394F1C2F" w14:textId="32AB39B6" w:rsidR="00AF0475" w:rsidRDefault="00000000">
          <w:pPr>
            <w:pStyle w:val="TOC1"/>
            <w:tabs>
              <w:tab w:val="right" w:leader="dot" w:pos="9350"/>
            </w:tabs>
            <w:rPr>
              <w:noProof/>
            </w:rPr>
          </w:pPr>
          <w:hyperlink w:anchor="_Toc159630464" w:history="1">
            <w:r w:rsidR="00AF0475" w:rsidRPr="00B61963">
              <w:rPr>
                <w:rStyle w:val="Hyperlink"/>
                <w:noProof/>
              </w:rPr>
              <w:t>Recent change initiatives, their impact and how well these were managed</w:t>
            </w:r>
            <w:r w:rsidR="00AF0475">
              <w:rPr>
                <w:noProof/>
                <w:webHidden/>
              </w:rPr>
              <w:tab/>
            </w:r>
            <w:r w:rsidR="00AF0475">
              <w:rPr>
                <w:noProof/>
                <w:webHidden/>
              </w:rPr>
              <w:fldChar w:fldCharType="begin"/>
            </w:r>
            <w:r w:rsidR="00AF0475">
              <w:rPr>
                <w:noProof/>
                <w:webHidden/>
              </w:rPr>
              <w:instrText xml:space="preserve"> PAGEREF _Toc159630464 \h </w:instrText>
            </w:r>
            <w:r w:rsidR="00AF0475">
              <w:rPr>
                <w:noProof/>
                <w:webHidden/>
              </w:rPr>
            </w:r>
            <w:r w:rsidR="00AF0475">
              <w:rPr>
                <w:noProof/>
                <w:webHidden/>
              </w:rPr>
              <w:fldChar w:fldCharType="separate"/>
            </w:r>
            <w:r w:rsidR="00AF0475">
              <w:rPr>
                <w:noProof/>
                <w:webHidden/>
              </w:rPr>
              <w:t>6</w:t>
            </w:r>
            <w:r w:rsidR="00AF0475">
              <w:rPr>
                <w:noProof/>
                <w:webHidden/>
              </w:rPr>
              <w:fldChar w:fldCharType="end"/>
            </w:r>
          </w:hyperlink>
        </w:p>
        <w:p w14:paraId="2AF904DA" w14:textId="1DFD1222" w:rsidR="00AF0475" w:rsidRDefault="00000000">
          <w:pPr>
            <w:pStyle w:val="TOC1"/>
            <w:tabs>
              <w:tab w:val="right" w:leader="dot" w:pos="9350"/>
            </w:tabs>
            <w:rPr>
              <w:noProof/>
            </w:rPr>
          </w:pPr>
          <w:hyperlink w:anchor="_Toc159630465" w:history="1">
            <w:r w:rsidR="00AF0475" w:rsidRPr="00B61963">
              <w:rPr>
                <w:rStyle w:val="Hyperlink"/>
                <w:noProof/>
              </w:rPr>
              <w:t>The organisation’s strategic direction and current business performance</w:t>
            </w:r>
            <w:r w:rsidR="00AF0475">
              <w:rPr>
                <w:noProof/>
                <w:webHidden/>
              </w:rPr>
              <w:tab/>
            </w:r>
            <w:r w:rsidR="00AF0475">
              <w:rPr>
                <w:noProof/>
                <w:webHidden/>
              </w:rPr>
              <w:fldChar w:fldCharType="begin"/>
            </w:r>
            <w:r w:rsidR="00AF0475">
              <w:rPr>
                <w:noProof/>
                <w:webHidden/>
              </w:rPr>
              <w:instrText xml:space="preserve"> PAGEREF _Toc159630465 \h </w:instrText>
            </w:r>
            <w:r w:rsidR="00AF0475">
              <w:rPr>
                <w:noProof/>
                <w:webHidden/>
              </w:rPr>
            </w:r>
            <w:r w:rsidR="00AF0475">
              <w:rPr>
                <w:noProof/>
                <w:webHidden/>
              </w:rPr>
              <w:fldChar w:fldCharType="separate"/>
            </w:r>
            <w:r w:rsidR="00AF0475">
              <w:rPr>
                <w:noProof/>
                <w:webHidden/>
              </w:rPr>
              <w:t>8</w:t>
            </w:r>
            <w:r w:rsidR="00AF0475">
              <w:rPr>
                <w:noProof/>
                <w:webHidden/>
              </w:rPr>
              <w:fldChar w:fldCharType="end"/>
            </w:r>
          </w:hyperlink>
        </w:p>
        <w:p w14:paraId="2E3BE781" w14:textId="619B05B3" w:rsidR="00AF0475" w:rsidRDefault="00000000">
          <w:pPr>
            <w:pStyle w:val="TOC1"/>
            <w:tabs>
              <w:tab w:val="right" w:leader="dot" w:pos="9350"/>
            </w:tabs>
            <w:rPr>
              <w:noProof/>
            </w:rPr>
          </w:pPr>
          <w:hyperlink w:anchor="_Toc159630466" w:history="1">
            <w:r w:rsidR="00AF0475" w:rsidRPr="00B61963">
              <w:rPr>
                <w:rStyle w:val="Hyperlink"/>
                <w:noProof/>
              </w:rPr>
              <w:t>Conclusion</w:t>
            </w:r>
            <w:r w:rsidR="00AF0475">
              <w:rPr>
                <w:noProof/>
                <w:webHidden/>
              </w:rPr>
              <w:tab/>
            </w:r>
            <w:r w:rsidR="00AF0475">
              <w:rPr>
                <w:noProof/>
                <w:webHidden/>
              </w:rPr>
              <w:fldChar w:fldCharType="begin"/>
            </w:r>
            <w:r w:rsidR="00AF0475">
              <w:rPr>
                <w:noProof/>
                <w:webHidden/>
              </w:rPr>
              <w:instrText xml:space="preserve"> PAGEREF _Toc159630466 \h </w:instrText>
            </w:r>
            <w:r w:rsidR="00AF0475">
              <w:rPr>
                <w:noProof/>
                <w:webHidden/>
              </w:rPr>
            </w:r>
            <w:r w:rsidR="00AF0475">
              <w:rPr>
                <w:noProof/>
                <w:webHidden/>
              </w:rPr>
              <w:fldChar w:fldCharType="separate"/>
            </w:r>
            <w:r w:rsidR="00AF0475">
              <w:rPr>
                <w:noProof/>
                <w:webHidden/>
              </w:rPr>
              <w:t>10</w:t>
            </w:r>
            <w:r w:rsidR="00AF0475">
              <w:rPr>
                <w:noProof/>
                <w:webHidden/>
              </w:rPr>
              <w:fldChar w:fldCharType="end"/>
            </w:r>
          </w:hyperlink>
        </w:p>
        <w:p w14:paraId="4B2CFE34" w14:textId="00C5A7EF" w:rsidR="00AF0475" w:rsidRDefault="00000000">
          <w:pPr>
            <w:pStyle w:val="TOC1"/>
            <w:tabs>
              <w:tab w:val="right" w:leader="dot" w:pos="9350"/>
            </w:tabs>
            <w:rPr>
              <w:noProof/>
            </w:rPr>
          </w:pPr>
          <w:hyperlink w:anchor="_Toc159630467" w:history="1">
            <w:r w:rsidR="00AF0475" w:rsidRPr="00B61963">
              <w:rPr>
                <w:rStyle w:val="Hyperlink"/>
                <w:noProof/>
              </w:rPr>
              <w:t>References</w:t>
            </w:r>
            <w:r w:rsidR="00AF0475">
              <w:rPr>
                <w:noProof/>
                <w:webHidden/>
              </w:rPr>
              <w:tab/>
            </w:r>
            <w:r w:rsidR="00AF0475">
              <w:rPr>
                <w:noProof/>
                <w:webHidden/>
              </w:rPr>
              <w:fldChar w:fldCharType="begin"/>
            </w:r>
            <w:r w:rsidR="00AF0475">
              <w:rPr>
                <w:noProof/>
                <w:webHidden/>
              </w:rPr>
              <w:instrText xml:space="preserve"> PAGEREF _Toc159630467 \h </w:instrText>
            </w:r>
            <w:r w:rsidR="00AF0475">
              <w:rPr>
                <w:noProof/>
                <w:webHidden/>
              </w:rPr>
            </w:r>
            <w:r w:rsidR="00AF0475">
              <w:rPr>
                <w:noProof/>
                <w:webHidden/>
              </w:rPr>
              <w:fldChar w:fldCharType="separate"/>
            </w:r>
            <w:r w:rsidR="00AF0475">
              <w:rPr>
                <w:noProof/>
                <w:webHidden/>
              </w:rPr>
              <w:t>11</w:t>
            </w:r>
            <w:r w:rsidR="00AF0475">
              <w:rPr>
                <w:noProof/>
                <w:webHidden/>
              </w:rPr>
              <w:fldChar w:fldCharType="end"/>
            </w:r>
          </w:hyperlink>
        </w:p>
        <w:p w14:paraId="4328620B" w14:textId="39C81DB1" w:rsidR="00AF0475" w:rsidRDefault="00AF0475">
          <w:r>
            <w:rPr>
              <w:b/>
              <w:bCs/>
              <w:noProof/>
            </w:rPr>
            <w:fldChar w:fldCharType="end"/>
          </w:r>
        </w:p>
      </w:sdtContent>
    </w:sdt>
    <w:p w14:paraId="6C7D990C" w14:textId="77777777" w:rsidR="00111EDE" w:rsidRDefault="00111EDE" w:rsidP="00AF0475">
      <w:pPr>
        <w:rPr>
          <w:rFonts w:eastAsiaTheme="majorEastAsia" w:cstheme="majorBidi"/>
          <w:color w:val="002060"/>
          <w:sz w:val="32"/>
          <w:szCs w:val="40"/>
        </w:rPr>
      </w:pPr>
      <w:r>
        <w:br w:type="page"/>
      </w:r>
    </w:p>
    <w:p w14:paraId="733AF72A" w14:textId="2C7DADB4" w:rsidR="00BF308F" w:rsidRDefault="00E73182" w:rsidP="00E73182">
      <w:pPr>
        <w:pStyle w:val="Heading1"/>
      </w:pPr>
      <w:bookmarkStart w:id="0" w:name="_Toc159630462"/>
      <w:r>
        <w:lastRenderedPageBreak/>
        <w:t>Introduction</w:t>
      </w:r>
      <w:bookmarkEnd w:id="0"/>
    </w:p>
    <w:p w14:paraId="2EF1A7F4" w14:textId="736E42B7" w:rsidR="00E73182" w:rsidRDefault="00E73182" w:rsidP="00E73182">
      <w:r w:rsidRPr="00E73182">
        <w:t xml:space="preserve">In this report, the </w:t>
      </w:r>
      <w:r>
        <w:t>chosen</w:t>
      </w:r>
      <w:r w:rsidRPr="00E73182">
        <w:t xml:space="preserve"> organization </w:t>
      </w:r>
      <w:r>
        <w:t>is</w:t>
      </w:r>
      <w:r w:rsidRPr="00E73182">
        <w:t xml:space="preserve"> the IHG (InterContinental Hotels Group) Hotel Group, a leading global player in the field of hospitality, that has a wide range of brands. The report's goal is to examine, review and critique IHG on both a company and unit level giving a thorough analysis of its operations. The assessment will be focused on three main areas that include the structure of the company the culture, goals, and structure as they form the fundamentals of its worldwide success. Recent initiatives to change that have had an impact, as well as the efficiency of their leadership; and the direction that IHG has taken for its strategic plan IHG as well as the current performance of its business. Through analysing these elements this report aims to provide a deeper understanding of the IHG's strategies and operational efficiencies. It will also highlight the areas that are strong and areas to improve in the framework of the expanding hospitality industry.</w:t>
      </w:r>
    </w:p>
    <w:p w14:paraId="7953C7D1" w14:textId="079F6E7C" w:rsidR="00111EDE" w:rsidRDefault="00111EDE" w:rsidP="00111EDE">
      <w:pPr>
        <w:jc w:val="center"/>
      </w:pPr>
      <w:r>
        <w:rPr>
          <w:noProof/>
        </w:rPr>
        <w:drawing>
          <wp:inline distT="0" distB="0" distL="0" distR="0" wp14:anchorId="6A62D016" wp14:editId="304CA695">
            <wp:extent cx="3192780" cy="1432560"/>
            <wp:effectExtent l="0" t="0" r="7620" b="0"/>
            <wp:docPr id="1115837629" name="Picture 1" descr="Intercontinental Hotel Group: Making Sleep Sustainable - Technology and  Operations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continental Hotel Group: Making Sleep Sustainable - Technology and  Operations Manageme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92780" cy="1432560"/>
                    </a:xfrm>
                    <a:prstGeom prst="rect">
                      <a:avLst/>
                    </a:prstGeom>
                    <a:noFill/>
                    <a:ln>
                      <a:noFill/>
                    </a:ln>
                  </pic:spPr>
                </pic:pic>
              </a:graphicData>
            </a:graphic>
          </wp:inline>
        </w:drawing>
      </w:r>
    </w:p>
    <w:p w14:paraId="216EEABE" w14:textId="46017F6D" w:rsidR="00111EDE" w:rsidRDefault="00111EDE" w:rsidP="00111EDE">
      <w:pPr>
        <w:jc w:val="center"/>
      </w:pPr>
      <w:r w:rsidRPr="00111EDE">
        <w:rPr>
          <w:b/>
          <w:bCs/>
        </w:rPr>
        <w:t>Figure</w:t>
      </w:r>
      <w:r>
        <w:t xml:space="preserve">: IHG Hotel Group, </w:t>
      </w:r>
      <w:r w:rsidRPr="00111EDE">
        <w:rPr>
          <w:b/>
          <w:bCs/>
        </w:rPr>
        <w:t>Source</w:t>
      </w:r>
      <w:r>
        <w:t>:</w:t>
      </w:r>
      <w:r w:rsidR="008C3C4C">
        <w:t xml:space="preserve"> (</w:t>
      </w:r>
      <w:r w:rsidR="00A7032C">
        <w:t>IHG,</w:t>
      </w:r>
      <w:r w:rsidR="008C3C4C">
        <w:t xml:space="preserve"> 20</w:t>
      </w:r>
      <w:r w:rsidR="00A7032C">
        <w:t>24</w:t>
      </w:r>
      <w:r w:rsidR="008C3C4C">
        <w:t>)</w:t>
      </w:r>
    </w:p>
    <w:p w14:paraId="3D35EFD3" w14:textId="593E462C" w:rsidR="00E73182" w:rsidRDefault="00E73182">
      <w:pPr>
        <w:spacing w:line="259" w:lineRule="auto"/>
        <w:jc w:val="left"/>
      </w:pPr>
      <w:r>
        <w:br w:type="page"/>
      </w:r>
    </w:p>
    <w:p w14:paraId="4516DBA1" w14:textId="061B097F" w:rsidR="00E73182" w:rsidRDefault="00E73182" w:rsidP="00E73182">
      <w:pPr>
        <w:pStyle w:val="Heading1"/>
      </w:pPr>
      <w:bookmarkStart w:id="1" w:name="_Toc159630463"/>
      <w:r>
        <w:lastRenderedPageBreak/>
        <w:t>Organization Structure, Culture and Goals</w:t>
      </w:r>
      <w:bookmarkEnd w:id="1"/>
    </w:p>
    <w:p w14:paraId="18E9C86A" w14:textId="77777777" w:rsidR="00E73182" w:rsidRPr="00111EDE" w:rsidRDefault="00E73182" w:rsidP="00111EDE">
      <w:pPr>
        <w:rPr>
          <w:b/>
          <w:bCs/>
          <w:u w:val="single"/>
        </w:rPr>
      </w:pPr>
      <w:r w:rsidRPr="00111EDE">
        <w:rPr>
          <w:b/>
          <w:bCs/>
          <w:u w:val="single"/>
        </w:rPr>
        <w:t>Organization Structure</w:t>
      </w:r>
    </w:p>
    <w:p w14:paraId="1C722D78" w14:textId="103DA7C1" w:rsidR="00E73182" w:rsidRPr="00E73182" w:rsidRDefault="00E73182" w:rsidP="00E73182">
      <w:r w:rsidRPr="00E73182">
        <w:t>IHG has a matrix-based organizational structure that is designed to improve global integration and allow for responsiveness at the local level. IHG can efficiently manage its large portfolio of hotels with this structure, which combines functional expertise and geographical or brand-specific concerns. The corporate leadership is divided into global functions like finance, marketing and operations</w:t>
      </w:r>
      <w:r w:rsidR="00A7032C">
        <w:t xml:space="preserve"> (Griffin, Phillips and Gully, 2020)</w:t>
      </w:r>
      <w:r w:rsidRPr="00E73182">
        <w:t>. Regional divisions oversee strategic implementation in certain markets. The dual-axis strategy allows for the exchange of best practices between regions, brands and markets while also tailoring local strategies</w:t>
      </w:r>
      <w:r w:rsidR="00A7032C">
        <w:t xml:space="preserve"> (Financial Times, 2024)</w:t>
      </w:r>
      <w:r w:rsidRPr="00E73182">
        <w:t>.</w:t>
      </w:r>
    </w:p>
    <w:p w14:paraId="63470479" w14:textId="6A9FB8F0" w:rsidR="00E73182" w:rsidRDefault="00E73182" w:rsidP="00E73182">
      <w:r w:rsidRPr="00E73182">
        <w:t>The structure changes at the hotel unit level to a traditional hierarchical system, where a general manager oversees various departments, such as Front Office and Housekeeping. The manager of each department is responsible for ensuring the efficiency and compliance with corporate standards as well as local regulations</w:t>
      </w:r>
      <w:r w:rsidR="00AF0475">
        <w:t xml:space="preserve"> (Thanh, 2019)</w:t>
      </w:r>
      <w:r w:rsidRPr="00E73182">
        <w:t>. The emphasis placed on operational excellence and guest satisfaction is consistent across all levels, regardless of structural differences. The corporate provides resources and strategic oversight, while the individual units customize these directives in order to provide personalized experiences for guests, demonstrating IHG’s commitment to combine global reach with a local touch</w:t>
      </w:r>
      <w:r w:rsidR="004059F3">
        <w:t xml:space="preserve"> (Cavanaugh, 2020)</w:t>
      </w:r>
      <w:r w:rsidRPr="00E73182">
        <w:t>.</w:t>
      </w:r>
    </w:p>
    <w:p w14:paraId="375FD152" w14:textId="3D07C1A6" w:rsidR="00E73182" w:rsidRPr="00111EDE" w:rsidRDefault="00E73182" w:rsidP="00111EDE">
      <w:pPr>
        <w:rPr>
          <w:b/>
          <w:bCs/>
          <w:u w:val="single"/>
        </w:rPr>
      </w:pPr>
      <w:r w:rsidRPr="00111EDE">
        <w:rPr>
          <w:b/>
          <w:bCs/>
          <w:u w:val="single"/>
        </w:rPr>
        <w:t>Organization Culture</w:t>
      </w:r>
    </w:p>
    <w:p w14:paraId="363869A1" w14:textId="73B6DFAC" w:rsidR="00E73182" w:rsidRPr="008E0B32" w:rsidRDefault="008E0B32" w:rsidP="008E0B32">
      <w:r w:rsidRPr="008E0B32">
        <w:t>The culture of an organization is a reflection of the common convictions, values as well as practices that determine the actions of people within an organization</w:t>
      </w:r>
      <w:r w:rsidR="00A7032C">
        <w:t xml:space="preserve"> (</w:t>
      </w:r>
      <w:proofErr w:type="spellStart"/>
      <w:r w:rsidR="00A7032C">
        <w:t>Büschgens</w:t>
      </w:r>
      <w:proofErr w:type="spellEnd"/>
      <w:r w:rsidR="00A7032C">
        <w:t>, Bausch and Balkin, 2013)</w:t>
      </w:r>
      <w:r w:rsidRPr="008E0B32">
        <w:t>. IHG is no exception. IHG The firm's culture is firmly rooted in the commitment to providing True Hospitality for everyone. The ethos of IHG is more than an edict, but rather a fundamental concept that guides all aspects of the business including strategic decisions at the corporate level, to guests' interactions within each hotel unit. IHG promotes a culture that is one that is one of respect, care, and acceptance, striving to let guests feel welcome as well as valued and appreciated. The culture can be seen through initiatives such as IHG Green Engage, an initiative that promotes respect and care for guests</w:t>
      </w:r>
      <w:r w:rsidR="00AF0475">
        <w:t xml:space="preserve"> (Hill, Schilling and Jones, 2017)</w:t>
      </w:r>
      <w:r w:rsidRPr="008E0B32">
        <w:t xml:space="preserve">. IHG Green Engage program which is an innovative sustainability program that encourages hotels to use environmentally friendly strategies. On the level of </w:t>
      </w:r>
      <w:r w:rsidR="00007DBD" w:rsidRPr="008E0B32">
        <w:t>hotels,</w:t>
      </w:r>
      <w:r w:rsidRPr="008E0B32">
        <w:t xml:space="preserve"> it manifests itself in the form of </w:t>
      </w:r>
      <w:r w:rsidRPr="008E0B32">
        <w:lastRenderedPageBreak/>
        <w:t xml:space="preserve">personalized customer experiences for example, recognizing repeat guests with their name, or recollecting their preferences. It also empowers employees to take actions to improve the satisfaction of guests. This </w:t>
      </w:r>
      <w:proofErr w:type="gramStart"/>
      <w:r w:rsidRPr="008E0B32">
        <w:t>is a reflection of</w:t>
      </w:r>
      <w:proofErr w:type="gramEnd"/>
      <w:r w:rsidRPr="008E0B32">
        <w:t xml:space="preserve"> IHG's overall brand culture and demonstrate how its corporate values are integrated into daily actions across the entire portfolio of its hotels</w:t>
      </w:r>
      <w:r w:rsidR="00C812E7">
        <w:t xml:space="preserve"> (Sirianni et al., 2013)</w:t>
      </w:r>
      <w:r w:rsidRPr="008E0B32">
        <w:t>.</w:t>
      </w:r>
    </w:p>
    <w:p w14:paraId="5A1B6684" w14:textId="77777777" w:rsidR="008E0B32" w:rsidRPr="00111EDE" w:rsidRDefault="008E0B32" w:rsidP="00111EDE">
      <w:pPr>
        <w:rPr>
          <w:b/>
          <w:bCs/>
          <w:u w:val="single"/>
        </w:rPr>
      </w:pPr>
      <w:r w:rsidRPr="00111EDE">
        <w:rPr>
          <w:b/>
          <w:bCs/>
          <w:u w:val="single"/>
        </w:rPr>
        <w:t>Organization Goals</w:t>
      </w:r>
    </w:p>
    <w:p w14:paraId="20D6D508" w14:textId="3CBB0F99" w:rsidR="00E73182" w:rsidRPr="008E0B32" w:rsidRDefault="00E8287F" w:rsidP="008E0B32">
      <w:r>
        <w:t>The</w:t>
      </w:r>
      <w:r w:rsidR="008E0B32" w:rsidRPr="008E0B32">
        <w:t xml:space="preserve"> corporate goals</w:t>
      </w:r>
      <w:r>
        <w:t xml:space="preserve"> of IHG</w:t>
      </w:r>
      <w:r w:rsidR="008E0B32" w:rsidRPr="008E0B32">
        <w:t xml:space="preserve"> are cantered on sustainable growth, efficiency and excellence in operations, as well as improving guests' experience by implementing technology innovation and customized services</w:t>
      </w:r>
      <w:r w:rsidR="00AF0475">
        <w:t xml:space="preserve"> (Thanh, 2019)</w:t>
      </w:r>
      <w:r w:rsidR="008E0B32" w:rsidRPr="008E0B32">
        <w:t>. These goals are passed down to the individual hotel units leading to operational objectives like improving satisfaction ratings, increasing the revenues per room (RevPAR) as well as adopting green practices. Although the overall goals are uniform across all organizations, but the methods used to accomplish their goals at the hotel level could differ depending on the necessity to be able to adjust to local trends and the preferences of guests</w:t>
      </w:r>
      <w:r w:rsidR="004059F3">
        <w:t xml:space="preserve"> (Jones, 2013)</w:t>
      </w:r>
      <w:r w:rsidR="008E0B32" w:rsidRPr="008E0B32">
        <w:t>. In the case of a hotel, for instance, one located in the city's centre may focus on improving the services for business travellers, whereas hotels in resorts may prioritize relaxation amenities and sustainability efforts</w:t>
      </w:r>
      <w:r w:rsidR="00A7032C">
        <w:t xml:space="preserve"> (Economist Intelligence Unit, 2022)</w:t>
      </w:r>
      <w:r w:rsidR="008E0B32" w:rsidRPr="008E0B32">
        <w:t>. The alignment of the hotel and corporate goals and the ability to change strategies, means that IHG is able to meet its goals and be able to respond effectively to changing needs of the market.</w:t>
      </w:r>
      <w:r w:rsidR="00E73182" w:rsidRPr="008E0B32">
        <w:br w:type="page"/>
      </w:r>
    </w:p>
    <w:p w14:paraId="76B575B6" w14:textId="5A97C0AD" w:rsidR="00E73182" w:rsidRDefault="00E73182" w:rsidP="00E73182">
      <w:pPr>
        <w:pStyle w:val="Heading1"/>
      </w:pPr>
      <w:bookmarkStart w:id="2" w:name="_Toc159630464"/>
      <w:r w:rsidRPr="00E73182">
        <w:lastRenderedPageBreak/>
        <w:t>Recent change initiatives, their impact and how well these were managed</w:t>
      </w:r>
      <w:bookmarkEnd w:id="2"/>
    </w:p>
    <w:p w14:paraId="78A1F209" w14:textId="30160608" w:rsidR="00E8287F" w:rsidRPr="00111EDE" w:rsidRDefault="00E8287F" w:rsidP="00E8287F">
      <w:pPr>
        <w:rPr>
          <w:b/>
          <w:bCs/>
          <w:u w:val="single"/>
        </w:rPr>
      </w:pPr>
      <w:r w:rsidRPr="00111EDE">
        <w:rPr>
          <w:b/>
          <w:bCs/>
          <w:u w:val="single"/>
        </w:rPr>
        <w:t>Overview of Recent Changes:</w:t>
      </w:r>
    </w:p>
    <w:p w14:paraId="77CF3921" w14:textId="1B65D7DE" w:rsidR="00E8287F" w:rsidRPr="00E8287F" w:rsidRDefault="00E8287F" w:rsidP="00E8287F">
      <w:r w:rsidRPr="00E8287F">
        <w:t>To adapt to the changing industry of hospitality, IHG has initiated several strategies to strengthen its position in the market and improving the guest experience. </w:t>
      </w:r>
      <w:r w:rsidR="00806F94">
        <w:t xml:space="preserve">According to the Economist Intelligence Unit (2022), One of the major initiatives is the integration of technology that is digital to increase effectiveness and customer involvement. This rollout features an application for mobile devices that allows check-in and out by using contactless technology. It also includes rooms that are specifically designed to meet the growing demands for efficiency through electronic technology. Additionally, IHG has expanded its loyalty program to offer higher-end rewards that are personalised and designed to increase the retention rate of guests (Ferrie 2023). An additional significant development is the increasing focus on sustainability, with the launch of IHG Green Engage. </w:t>
      </w:r>
      <w:r w:rsidRPr="00E8287F">
        <w:t>IHG Green Engage system, which encourages hotels to implement eco-friendly methods. These initiatives, which aim to improve operational efficiency and ensuring that they meet consumer demands in terms of sustainability and involvement, aim to benefit all levels of the company, from its company strategy through to the individual units' operations</w:t>
      </w:r>
      <w:r w:rsidR="00A7032C">
        <w:t xml:space="preserve"> (Ferrie, 2023)</w:t>
      </w:r>
      <w:r w:rsidRPr="00E8287F">
        <w:t>.</w:t>
      </w:r>
    </w:p>
    <w:p w14:paraId="2EB5A6EA" w14:textId="45D24E63" w:rsidR="00E8287F" w:rsidRPr="00111EDE" w:rsidRDefault="00E8287F" w:rsidP="00E8287F">
      <w:pPr>
        <w:rPr>
          <w:b/>
          <w:bCs/>
          <w:u w:val="single"/>
        </w:rPr>
      </w:pPr>
      <w:r w:rsidRPr="00111EDE">
        <w:rPr>
          <w:b/>
          <w:bCs/>
          <w:u w:val="single"/>
        </w:rPr>
        <w:t>Impact of the Changes:</w:t>
      </w:r>
    </w:p>
    <w:p w14:paraId="09D122BF" w14:textId="481F50CC" w:rsidR="00E8287F" w:rsidRPr="00E8287F" w:rsidRDefault="00E8287F" w:rsidP="00E8287F">
      <w:r w:rsidRPr="00E8287F">
        <w:t xml:space="preserve">The strategies implemented by IHG have made a visible influence on corporate performance and guest experiences within the individual areas. The efforts to digitize, especially the mobile application </w:t>
      </w:r>
      <w:proofErr w:type="gramStart"/>
      <w:r w:rsidRPr="00E8287F">
        <w:t>are</w:t>
      </w:r>
      <w:proofErr w:type="gramEnd"/>
      <w:r w:rsidRPr="00E8287F">
        <w:t xml:space="preserve"> significantly improving the guest experience through greater ease of use and a more personal experience, which has led to higher loyalty program membership and a higher rate of retention for guests</w:t>
      </w:r>
      <w:r w:rsidR="00A7032C">
        <w:t xml:space="preserve"> (Ferrie, 2023)</w:t>
      </w:r>
      <w:r w:rsidRPr="00E8287F">
        <w:t>. Guest feedback have been extremely positive, noting the user-friendliness and effectiveness of digital offerings</w:t>
      </w:r>
      <w:r w:rsidR="004059F3">
        <w:t xml:space="preserve"> (Elliott, 2021)</w:t>
      </w:r>
      <w:r w:rsidRPr="00E8287F">
        <w:t>. In terms of sustainability IHG Green Engage has proven to be a success. IHG Green Engage system has not just reduced operating costs by reducing energy consumption, but it has it has also helped IHG establish its brand image in the eyes of environmentally conscious customers</w:t>
      </w:r>
      <w:r w:rsidR="00A7032C">
        <w:t xml:space="preserve"> (Financial Times, 2024)</w:t>
      </w:r>
      <w:r w:rsidRPr="00E8287F">
        <w:t xml:space="preserve">. The feedback from employees has confirmed the positive feedback, with employees taking pride in the company's commitment to sustainability and appreciating their support for innovative the delivery of services. But, transitioning towards digital-based operations came with its own difficulties, such </w:t>
      </w:r>
      <w:r w:rsidRPr="00E8287F">
        <w:lastRenderedPageBreak/>
        <w:t>as the requirement for training of staff members and the need to adapt to the new procedures</w:t>
      </w:r>
      <w:r w:rsidR="00AF0475">
        <w:t xml:space="preserve"> (Tolbert and Hall, 2015)</w:t>
      </w:r>
      <w:r w:rsidRPr="00E8287F">
        <w:t>. However, despite these challenges, the final result of these efforts is positive, which demonstrates IHG's capacity to change to changing market conditions while retaining excellent standards for customer service and efficiency.</w:t>
      </w:r>
    </w:p>
    <w:p w14:paraId="350C3F32" w14:textId="72F68757" w:rsidR="00D16EF7" w:rsidRPr="00111EDE" w:rsidRDefault="00D16EF7" w:rsidP="00E8287F">
      <w:pPr>
        <w:rPr>
          <w:b/>
          <w:bCs/>
          <w:u w:val="single"/>
        </w:rPr>
      </w:pPr>
      <w:r w:rsidRPr="00111EDE">
        <w:rPr>
          <w:b/>
          <w:bCs/>
          <w:u w:val="single"/>
        </w:rPr>
        <w:t xml:space="preserve">Management of Changes: </w:t>
      </w:r>
    </w:p>
    <w:p w14:paraId="661D6C2D" w14:textId="1965069D" w:rsidR="00D16EF7" w:rsidRPr="00D16EF7" w:rsidRDefault="00D16EF7" w:rsidP="00D16EF7">
      <w:r>
        <w:t xml:space="preserve">Within the context of </w:t>
      </w:r>
      <w:r w:rsidRPr="00D16EF7">
        <w:t>IHG</w:t>
      </w:r>
      <w:r>
        <w:t xml:space="preserve">, it </w:t>
      </w:r>
      <w:r w:rsidRPr="00D16EF7">
        <w:t>has successfully managed its recent change, demonstrating a strategic implementation of Kotter’s 8-Step Model of Change Management</w:t>
      </w:r>
      <w:r w:rsidR="00AF0475">
        <w:t xml:space="preserve"> (Kirkpatrick, 2009)</w:t>
      </w:r>
      <w:r w:rsidRPr="00D16EF7">
        <w:t>. IHG initially created a sense urgency in regard to digital transformation and sustainable initiatives, communicating clearly the necessity for these initiatives in order to remain competitive and meet changing customer expectations. Formation of steering coalitions such as digital innovation teams, sustainability committees and corporate-level units helped to develop and implement new strategies</w:t>
      </w:r>
      <w:r w:rsidR="00AF0475">
        <w:t xml:space="preserve"> (Hill, Schilling and Jones, 2017)</w:t>
      </w:r>
      <w:r w:rsidRPr="00D16EF7">
        <w:t>. The teams were instrumental in enlisting employee support through training and engagement programs, and in imagining and envisioning change.</w:t>
      </w:r>
    </w:p>
    <w:p w14:paraId="11CBF41C" w14:textId="0AC2A4AA" w:rsidR="00D16EF7" w:rsidRPr="00D16EF7" w:rsidRDefault="00D16EF7" w:rsidP="00D16EF7">
      <w:r w:rsidRPr="00D16EF7">
        <w:t>The transition was not without its challenges. These included varying levels of employee acceptance and the logistical difficulties in integrating new digital technologies with current operations</w:t>
      </w:r>
      <w:r w:rsidR="00A7032C">
        <w:t xml:space="preserve"> (Griffin, Phillips and Gully, 2020)</w:t>
      </w:r>
      <w:r w:rsidRPr="00D16EF7">
        <w:t>. IHG, however, focused on demonstrating improvements in operational efficiency and guest satisfaction, which helped build momentum. While this approach was effective at achieving general objectives, it also highlighted the importance of ongoing support and adaption on the unit-level, to ensure that the changes are not only implemented, but sustained and fine-tuned over time</w:t>
      </w:r>
      <w:r w:rsidR="004059F3">
        <w:t xml:space="preserve"> (Kaushal and Srivastava, 2020)</w:t>
      </w:r>
      <w:r w:rsidRPr="00D16EF7">
        <w:t>. This differentiation between the corporate strategy and the unit level application highlights the need for tailored resources and support to ensure the success of long-term change initiatives.</w:t>
      </w:r>
    </w:p>
    <w:p w14:paraId="266C7E3F" w14:textId="639DBA98" w:rsidR="00E73182" w:rsidRDefault="00E73182" w:rsidP="00E8287F">
      <w:r>
        <w:br w:type="page"/>
      </w:r>
    </w:p>
    <w:p w14:paraId="30DB96A6" w14:textId="77777777" w:rsidR="00762509" w:rsidRDefault="00762509" w:rsidP="00762509">
      <w:pPr>
        <w:pStyle w:val="Heading1"/>
      </w:pPr>
      <w:bookmarkStart w:id="3" w:name="_Toc159630465"/>
      <w:r w:rsidRPr="00762509">
        <w:lastRenderedPageBreak/>
        <w:t>The organisation’s strategic direction and current business performance</w:t>
      </w:r>
      <w:bookmarkEnd w:id="3"/>
    </w:p>
    <w:p w14:paraId="2B44D9C6" w14:textId="77777777" w:rsidR="00762509" w:rsidRPr="00111EDE" w:rsidRDefault="00762509" w:rsidP="00762509">
      <w:pPr>
        <w:rPr>
          <w:b/>
          <w:bCs/>
          <w:u w:val="single"/>
        </w:rPr>
      </w:pPr>
      <w:r w:rsidRPr="00111EDE">
        <w:rPr>
          <w:b/>
          <w:bCs/>
          <w:u w:val="single"/>
        </w:rPr>
        <w:t>Strategic Direction</w:t>
      </w:r>
    </w:p>
    <w:p w14:paraId="73EC6504" w14:textId="49236C64" w:rsidR="00762509" w:rsidRDefault="00762509" w:rsidP="00762509">
      <w:r w:rsidRPr="00762509">
        <w:t>The strategic plan of IHG is grounded to expanding its international footprint as well as improving the quality of guests' experience by embracing innovation and sustainable. One of the main goals is development of its Boutique and luxury hotel categories and the rising customer demand for personalised and exclusive lodging</w:t>
      </w:r>
      <w:r w:rsidR="004059F3">
        <w:t xml:space="preserve"> (ihgplc.com, 2022)</w:t>
      </w:r>
      <w:r w:rsidRPr="00762509">
        <w:t xml:space="preserve">. This is based on the acquisition of high-end brands as well as the creation of brand-new hotels in emerging markets. </w:t>
      </w:r>
    </w:p>
    <w:p w14:paraId="6E4EA5CC" w14:textId="2DDFF4A1" w:rsidR="00007DBD" w:rsidRDefault="00007DBD" w:rsidP="00762509">
      <w:r w:rsidRPr="00007DBD">
        <w:t>At a global level, IHG has devoted good sized sums to digital advancements that encompass investments to improve performance and purchaser satisfaction by means of making use generation improvements. It additionally includes the improvement of a reliable booking system, and the mixing of synthetic intelligence to personalize patron stories (</w:t>
      </w:r>
      <w:proofErr w:type="spellStart"/>
      <w:r w:rsidRPr="00007DBD">
        <w:t>Buschgens</w:t>
      </w:r>
      <w:proofErr w:type="spellEnd"/>
      <w:r w:rsidRPr="00007DBD">
        <w:t xml:space="preserve">, Bausch and Balkin 2013). Implementing these principles at a unit-by means of-unit foundation requires adapting to nearby markets and making sure that IHG's great requirements remain constant across the globe (Griffin, Phillips and Gully 2020). In addition, to broadening the class of luxurious IHG has been specializing in growing an enjoy that displays the cultural context of its environment and presents visitors with </w:t>
      </w:r>
      <w:proofErr w:type="gramStart"/>
      <w:r w:rsidRPr="00007DBD">
        <w:t>an</w:t>
      </w:r>
      <w:proofErr w:type="gramEnd"/>
      <w:r w:rsidRPr="00007DBD">
        <w:t xml:space="preserve"> revel in as whole as is feasible. The concept of localization may be visible at inns like The InterContinental Venice with its Venetian layout and offers a number of the maximum unforgettable moments within the location (Rees as well as Mullins 2022). Additionally, IHG's emphasis on sustainability is obvious at the inn stage through its IHG Green Engage System that permits every unit to adopt particular actions that impact the environment of the vicinity of operation that guide the sustainability dreams of IHG (Thanh 2019). It presents a system that allows accommodations to limit their impact at the environment by means of utilising extra power while maintaining their usage of water, in addition to different resources. These projects are linked to worldwide sustainability dreams of IHG.</w:t>
      </w:r>
    </w:p>
    <w:p w14:paraId="4E2A5030" w14:textId="18076231" w:rsidR="00762509" w:rsidRPr="00111EDE" w:rsidRDefault="0009505E" w:rsidP="00762509">
      <w:pPr>
        <w:rPr>
          <w:b/>
          <w:bCs/>
          <w:u w:val="single"/>
        </w:rPr>
      </w:pPr>
      <w:r w:rsidRPr="00111EDE">
        <w:rPr>
          <w:b/>
          <w:bCs/>
          <w:u w:val="single"/>
        </w:rPr>
        <w:t>Current business performance</w:t>
      </w:r>
    </w:p>
    <w:p w14:paraId="1E41EE94" w14:textId="32D2EAB2" w:rsidR="004B67CE" w:rsidRPr="004B67CE" w:rsidRDefault="00F64A1B" w:rsidP="00F64A1B">
      <w:r>
        <w:t xml:space="preserve">In the context of IHG Hotel Group, the </w:t>
      </w:r>
      <w:proofErr w:type="gramStart"/>
      <w:r>
        <w:t>results</w:t>
      </w:r>
      <w:proofErr w:type="gramEnd"/>
      <w:r>
        <w:t xml:space="preserve"> of the current hotel is a clear reflection between the direction of strategic planning and the outcomes of operation. </w:t>
      </w:r>
      <w:r w:rsidR="00442E80">
        <w:t xml:space="preserve">It provides a clear and insightful perspective of progress in the facing of the difficulties. </w:t>
      </w:r>
      <w:r w:rsidR="004B67CE" w:rsidRPr="004B67CE">
        <w:t xml:space="preserve">The year that ended in 2024, IHG's revenue </w:t>
      </w:r>
      <w:r w:rsidR="004B67CE" w:rsidRPr="004B67CE">
        <w:lastRenderedPageBreak/>
        <w:t>increase was impressive, registering at 42.5 percent year-over-year and beating the US hotel industry's typical of 40.13 percent</w:t>
      </w:r>
      <w:r w:rsidR="004059F3">
        <w:t xml:space="preserve"> (Euromonitor International, 2024)</w:t>
      </w:r>
      <w:r w:rsidR="004B67CE" w:rsidRPr="004B67CE">
        <w:t>. The growth is a strong improvement and is especially remarkable when compared to the previous years' difficulties. Despite an uncertain three- and five-year period that saw earnings fluctuate and an apparent dip in growth The company has been able to adapt well and has proven this by the recent successes.</w:t>
      </w:r>
      <w:r w:rsidR="004B67CE">
        <w:t xml:space="preserve"> </w:t>
      </w:r>
      <w:r w:rsidR="004B67CE" w:rsidRPr="004B67CE">
        <w:t>The revenue growth in the past year was 33.88 percent</w:t>
      </w:r>
      <w:r w:rsidR="00A7032C">
        <w:t xml:space="preserve"> (Statista, 2024)</w:t>
      </w:r>
      <w:r w:rsidR="004B67CE" w:rsidRPr="004B67CE">
        <w:t>. This is significantly more than industry average of 19.77 percent, which is a sign of the effectiveness of IHG's strategy in taking market share while also enhancing revenues. The increase is testament of IHG's strategy to concentration on markets with high value and segments, while leveraging its international brand and its customer trust.</w:t>
      </w:r>
      <w:r w:rsidR="004B67CE">
        <w:t xml:space="preserve"> </w:t>
      </w:r>
      <w:r w:rsidR="004B67CE" w:rsidRPr="004B67CE">
        <w:t>The group's rate of performance on its return-on-equity (ROE) gives an even more complicated picture being -24.2 percent, which indicates difficulties in creating shareholder value in relation to the equity</w:t>
      </w:r>
      <w:r w:rsidR="00A7032C">
        <w:t xml:space="preserve"> (Financial Times, 2024)</w:t>
      </w:r>
      <w:r w:rsidR="004B67CE" w:rsidRPr="004B67CE">
        <w:t>. On the other hand, the return to assets (ROA) and the return to capital utilized (ROCE) reveal a tale of operational efficiencies and the efficient usage of resources, with ROA of 8.4 percentage and ROCE with 24.59 percentage, showing the ability of IHG to earn returns from its investment</w:t>
      </w:r>
      <w:r w:rsidR="00A7032C">
        <w:t xml:space="preserve"> (Statista, 2024)</w:t>
      </w:r>
      <w:r w:rsidR="004B67CE" w:rsidRPr="004B67CE">
        <w:t>. This, in conjunction with the aggressive revenue management of IHG and standardization of its brand is playing a significant part in boosting revenue and rates, while making new standards of successful operations in the industry of hospitality.</w:t>
      </w:r>
      <w:r w:rsidR="004B67CE">
        <w:t xml:space="preserve"> </w:t>
      </w:r>
      <w:r w:rsidR="004B67CE" w:rsidRPr="004B67CE">
        <w:t>Feedback from customers remains crucial to the success of IHG, with IHG continually adapting to evolving consumer needs and taking advantage of technologies to improve service offerings. </w:t>
      </w:r>
    </w:p>
    <w:p w14:paraId="39CD2539" w14:textId="77777777" w:rsidR="0009505E" w:rsidRPr="00762509" w:rsidRDefault="0009505E" w:rsidP="00762509"/>
    <w:p w14:paraId="3E9D5C72" w14:textId="5F7BCBC3" w:rsidR="00D16EF7" w:rsidRDefault="00D16EF7" w:rsidP="00762509">
      <w:pPr>
        <w:rPr>
          <w:rFonts w:eastAsiaTheme="majorEastAsia" w:cstheme="majorBidi"/>
          <w:color w:val="002060"/>
          <w:sz w:val="32"/>
          <w:szCs w:val="40"/>
        </w:rPr>
      </w:pPr>
      <w:r>
        <w:br w:type="page"/>
      </w:r>
    </w:p>
    <w:p w14:paraId="11AC53CF" w14:textId="4CB1086F" w:rsidR="00E73182" w:rsidRDefault="00E73182" w:rsidP="00E73182">
      <w:pPr>
        <w:pStyle w:val="Heading1"/>
      </w:pPr>
      <w:bookmarkStart w:id="4" w:name="_Toc159630466"/>
      <w:r>
        <w:lastRenderedPageBreak/>
        <w:t>Conclusion</w:t>
      </w:r>
      <w:bookmarkEnd w:id="4"/>
    </w:p>
    <w:p w14:paraId="5D8871A0" w14:textId="3456F550" w:rsidR="00E73182" w:rsidRPr="00442E80" w:rsidRDefault="00442E80" w:rsidP="00442E80">
      <w:r>
        <w:t>The</w:t>
      </w:r>
      <w:r w:rsidRPr="00442E80">
        <w:t xml:space="preserve"> strategic initiatives</w:t>
      </w:r>
      <w:r>
        <w:t xml:space="preserve"> of IHG Hotel Group</w:t>
      </w:r>
      <w:r w:rsidRPr="00442E80">
        <w:t xml:space="preserve"> have been successful in aligning the corporate vision with unit-level operations. However, gaps in the adoption of digital transformation and sustainability at unit level are areas that need improvement. IHG needs to focus more on tailored technology training and support sustainability initiatives in all of its units. This will improve coherence, operational efficiency and overall effectiveness. These aspects are essential to ensuring that IHG corporate strategies can be effectively implemented at the unit-level, resulting in improved guest satisfaction and performance.</w:t>
      </w:r>
      <w:r w:rsidR="00E73182" w:rsidRPr="00442E80">
        <w:br w:type="page"/>
      </w:r>
    </w:p>
    <w:p w14:paraId="377AE975" w14:textId="1398A2DE" w:rsidR="00802E7E" w:rsidRDefault="00E73182" w:rsidP="004059F3">
      <w:pPr>
        <w:pStyle w:val="Heading1"/>
      </w:pPr>
      <w:bookmarkStart w:id="5" w:name="_Toc159630467"/>
      <w:r>
        <w:lastRenderedPageBreak/>
        <w:t>References</w:t>
      </w:r>
      <w:bookmarkEnd w:id="5"/>
    </w:p>
    <w:p w14:paraId="74509FC9" w14:textId="77777777" w:rsidR="00C812E7" w:rsidRDefault="00C812E7" w:rsidP="004059F3">
      <w:proofErr w:type="spellStart"/>
      <w:r>
        <w:t>Büschgens</w:t>
      </w:r>
      <w:proofErr w:type="spellEnd"/>
      <w:r>
        <w:t xml:space="preserve">, T., Bausch, A. and Balkin, D.B. (2013). Organizational Culture and Innovation: A Meta-Analytic Review. </w:t>
      </w:r>
      <w:r>
        <w:rPr>
          <w:i/>
          <w:iCs/>
        </w:rPr>
        <w:t>Journal of Product Innovation Management</w:t>
      </w:r>
      <w:r>
        <w:t xml:space="preserve">, 30(4), pp.763–781. </w:t>
      </w:r>
      <w:proofErr w:type="spellStart"/>
      <w:proofErr w:type="gramStart"/>
      <w:r>
        <w:t>doi:https</w:t>
      </w:r>
      <w:proofErr w:type="spellEnd"/>
      <w:r>
        <w:t>://doi.org/10.1111/jpim.12021</w:t>
      </w:r>
      <w:proofErr w:type="gramEnd"/>
      <w:r>
        <w:t>.</w:t>
      </w:r>
    </w:p>
    <w:p w14:paraId="540ED5EF" w14:textId="77777777" w:rsidR="00C812E7" w:rsidRPr="00A7032C" w:rsidRDefault="00C812E7" w:rsidP="004059F3">
      <w:r>
        <w:t xml:space="preserve">Cavanaugh, J. (2020). </w:t>
      </w:r>
      <w:r>
        <w:rPr>
          <w:i/>
          <w:iCs/>
        </w:rPr>
        <w:t>Organizational structure</w:t>
      </w:r>
      <w:r>
        <w:t>. University Park, Pa.: Pennsylvania State University.</w:t>
      </w:r>
    </w:p>
    <w:p w14:paraId="58320BA9" w14:textId="77777777" w:rsidR="00C812E7" w:rsidRDefault="00C812E7" w:rsidP="004059F3">
      <w:r>
        <w:t xml:space="preserve">Economist Intelligence Unit (2022). </w:t>
      </w:r>
      <w:r>
        <w:rPr>
          <w:i/>
          <w:iCs/>
        </w:rPr>
        <w:t>Tourism outlook 2023</w:t>
      </w:r>
      <w:r>
        <w:t>. [online] Economist Intelligence Unit. Available at: https://www.eiu.com/n/campaigns/tourism-in-2023/ [Accessed 22 Feb. 2024].</w:t>
      </w:r>
    </w:p>
    <w:p w14:paraId="12F64A6F" w14:textId="77777777" w:rsidR="00C812E7" w:rsidRDefault="00C812E7" w:rsidP="004059F3">
      <w:r>
        <w:t xml:space="preserve">Elliott, C. (2021). </w:t>
      </w:r>
      <w:r>
        <w:rPr>
          <w:i/>
          <w:iCs/>
        </w:rPr>
        <w:t xml:space="preserve">How IHG Hotels &amp; Resorts Reinvented Itself During </w:t>
      </w:r>
      <w:proofErr w:type="gramStart"/>
      <w:r>
        <w:rPr>
          <w:i/>
          <w:iCs/>
        </w:rPr>
        <w:t>The</w:t>
      </w:r>
      <w:proofErr w:type="gramEnd"/>
      <w:r>
        <w:rPr>
          <w:i/>
          <w:iCs/>
        </w:rPr>
        <w:t xml:space="preserve"> Pandemic</w:t>
      </w:r>
      <w:r>
        <w:t>. [online] Forbes. Available at: https://www.forbes.com/sites/christopherelliott/2021/02/19/how-ihg-hotels--resorts-reinvented-itself-during-the-pandemic/.</w:t>
      </w:r>
    </w:p>
    <w:p w14:paraId="0D92375B" w14:textId="77777777" w:rsidR="00C812E7" w:rsidRDefault="00C812E7" w:rsidP="004059F3">
      <w:r>
        <w:t xml:space="preserve">Euromonitor International (2024). </w:t>
      </w:r>
      <w:r>
        <w:rPr>
          <w:i/>
          <w:iCs/>
        </w:rPr>
        <w:t>Euromonitor International | Strategic Market Research, Data &amp; Analysis</w:t>
      </w:r>
      <w:r>
        <w:t>. [online] Euromonitor.com. Available at: https://www.euromonitor.com/ [Accessed 19 Feb. 2024].</w:t>
      </w:r>
    </w:p>
    <w:p w14:paraId="3D6245EC" w14:textId="77777777" w:rsidR="00C812E7" w:rsidRDefault="00C812E7" w:rsidP="004059F3">
      <w:r>
        <w:t xml:space="preserve">Ferrie, A. (2023). </w:t>
      </w:r>
      <w:r>
        <w:rPr>
          <w:i/>
          <w:iCs/>
        </w:rPr>
        <w:t>UK hospitality industry faces mounting challenges</w:t>
      </w:r>
      <w:r>
        <w:t xml:space="preserve">. [online] Pinsent Masons. Available at: </w:t>
      </w:r>
      <w:hyperlink r:id="rId8" w:history="1">
        <w:r w:rsidRPr="00D555C1">
          <w:rPr>
            <w:rStyle w:val="Hyperlink"/>
          </w:rPr>
          <w:t>https://www.pinsentmasons.com/out-law/analysis/uk-hospitality-industry-faces-mounting-challenges</w:t>
        </w:r>
      </w:hyperlink>
      <w:r>
        <w:t>.</w:t>
      </w:r>
    </w:p>
    <w:p w14:paraId="7E213A7C" w14:textId="77777777" w:rsidR="00C812E7" w:rsidRDefault="00C812E7" w:rsidP="004059F3">
      <w:r>
        <w:t xml:space="preserve">Financial Times (2024). </w:t>
      </w:r>
      <w:r>
        <w:rPr>
          <w:i/>
          <w:iCs/>
        </w:rPr>
        <w:t xml:space="preserve">InterContinental Hotels Group PLC, </w:t>
      </w:r>
      <w:proofErr w:type="gramStart"/>
      <w:r>
        <w:rPr>
          <w:i/>
          <w:iCs/>
        </w:rPr>
        <w:t>IHG:LSE</w:t>
      </w:r>
      <w:proofErr w:type="gramEnd"/>
      <w:r>
        <w:rPr>
          <w:i/>
          <w:iCs/>
        </w:rPr>
        <w:t xml:space="preserve"> summary - FT.com</w:t>
      </w:r>
      <w:r>
        <w:t xml:space="preserve">. [online] markets.ft.com. Available at: </w:t>
      </w:r>
      <w:hyperlink r:id="rId9" w:history="1">
        <w:r w:rsidRPr="00D555C1">
          <w:rPr>
            <w:rStyle w:val="Hyperlink"/>
          </w:rPr>
          <w:t>https://markets.ft.com/data/equities/tearsheet/summary?s=IHG:LSE</w:t>
        </w:r>
      </w:hyperlink>
      <w:r>
        <w:t>.</w:t>
      </w:r>
    </w:p>
    <w:p w14:paraId="5BCD9963" w14:textId="77777777" w:rsidR="00C812E7" w:rsidRDefault="00C812E7" w:rsidP="004059F3">
      <w:r>
        <w:t xml:space="preserve">Griffin, R.W., Phillips, J.M. and Gully, S.M. (2020). </w:t>
      </w:r>
      <w:r>
        <w:rPr>
          <w:i/>
          <w:iCs/>
        </w:rPr>
        <w:t xml:space="preserve">Organizational </w:t>
      </w:r>
      <w:proofErr w:type="spellStart"/>
      <w:proofErr w:type="gramStart"/>
      <w:r>
        <w:rPr>
          <w:i/>
          <w:iCs/>
        </w:rPr>
        <w:t>behavior</w:t>
      </w:r>
      <w:proofErr w:type="spellEnd"/>
      <w:r>
        <w:rPr>
          <w:i/>
          <w:iCs/>
        </w:rPr>
        <w:t xml:space="preserve"> :</w:t>
      </w:r>
      <w:proofErr w:type="gramEnd"/>
      <w:r>
        <w:rPr>
          <w:i/>
          <w:iCs/>
        </w:rPr>
        <w:t xml:space="preserve"> managing people and organizations</w:t>
      </w:r>
      <w:r>
        <w:t xml:space="preserve">. [online] </w:t>
      </w:r>
      <w:r>
        <w:rPr>
          <w:i/>
          <w:iCs/>
        </w:rPr>
        <w:t>thuvienso.hoasen.edu.vn</w:t>
      </w:r>
      <w:r>
        <w:t xml:space="preserve">. Cengage Learning. Available at: </w:t>
      </w:r>
      <w:hyperlink r:id="rId10" w:history="1">
        <w:r w:rsidRPr="00D555C1">
          <w:rPr>
            <w:rStyle w:val="Hyperlink"/>
          </w:rPr>
          <w:t>https://thuvienso.hoasen.edu.vn/handle/123456789/11937</w:t>
        </w:r>
      </w:hyperlink>
      <w:r>
        <w:t>.</w:t>
      </w:r>
    </w:p>
    <w:p w14:paraId="79824BFE" w14:textId="77777777" w:rsidR="00C812E7" w:rsidRDefault="00C812E7" w:rsidP="004059F3">
      <w:r>
        <w:t xml:space="preserve">Hill, C.W.L., Schilling, </w:t>
      </w:r>
      <w:proofErr w:type="gramStart"/>
      <w:r>
        <w:t>M.A.</w:t>
      </w:r>
      <w:proofErr w:type="gramEnd"/>
      <w:r>
        <w:t xml:space="preserve"> and Jones, G.R. (2017). </w:t>
      </w:r>
      <w:r>
        <w:rPr>
          <w:i/>
          <w:iCs/>
        </w:rPr>
        <w:t xml:space="preserve">Strategic </w:t>
      </w:r>
      <w:proofErr w:type="gramStart"/>
      <w:r>
        <w:rPr>
          <w:i/>
          <w:iCs/>
        </w:rPr>
        <w:t>management :</w:t>
      </w:r>
      <w:proofErr w:type="gramEnd"/>
      <w:r>
        <w:rPr>
          <w:i/>
          <w:iCs/>
        </w:rPr>
        <w:t xml:space="preserve"> an integrated approach : theory &amp; cases</w:t>
      </w:r>
      <w:r>
        <w:t xml:space="preserve">. [online] </w:t>
      </w:r>
      <w:r>
        <w:rPr>
          <w:i/>
          <w:iCs/>
        </w:rPr>
        <w:t>thuvienso.hoasen.edu.vn</w:t>
      </w:r>
      <w:r>
        <w:t xml:space="preserve">. Cengage Learning. Available at: </w:t>
      </w:r>
      <w:hyperlink r:id="rId11" w:history="1">
        <w:r w:rsidRPr="00D555C1">
          <w:rPr>
            <w:rStyle w:val="Hyperlink"/>
          </w:rPr>
          <w:t>https://thuvienso.hoasen.edu.vn/handle/123456789/9376</w:t>
        </w:r>
      </w:hyperlink>
      <w:r>
        <w:t>.</w:t>
      </w:r>
    </w:p>
    <w:p w14:paraId="16AA5818" w14:textId="77777777" w:rsidR="00C812E7" w:rsidRDefault="00C812E7" w:rsidP="004059F3">
      <w:r>
        <w:lastRenderedPageBreak/>
        <w:t>IHG (2019). [online] InterContinental Hotels Group PLC. Available at: https://www.ihgplc.com/ [Accessed 21 Feb. 2024].</w:t>
      </w:r>
    </w:p>
    <w:p w14:paraId="20025E46" w14:textId="77777777" w:rsidR="00C812E7" w:rsidRDefault="00C812E7" w:rsidP="004059F3">
      <w:r>
        <w:t xml:space="preserve">ihgplc.com (2022). </w:t>
      </w:r>
      <w:r>
        <w:rPr>
          <w:i/>
          <w:iCs/>
        </w:rPr>
        <w:t xml:space="preserve">IHG Hotels &amp; Resorts debuts trailblazing new global campaign, Guest How You Guest, inviting all </w:t>
      </w:r>
      <w:proofErr w:type="spellStart"/>
      <w:r>
        <w:rPr>
          <w:i/>
          <w:iCs/>
        </w:rPr>
        <w:t>travelers</w:t>
      </w:r>
      <w:proofErr w:type="spellEnd"/>
      <w:r>
        <w:rPr>
          <w:i/>
          <w:iCs/>
        </w:rPr>
        <w:t xml:space="preserve"> to be their authentic selves</w:t>
      </w:r>
      <w:r>
        <w:t>. [online] InterContinental Hotels Group PLC. Available at: https://www.ihgplc.com/en/news-and-media/news-releases/2022/ihg-hotels-and-resorts-debuts-trailblazing-new-global-campaign-guest.</w:t>
      </w:r>
    </w:p>
    <w:p w14:paraId="15E756D5" w14:textId="77777777" w:rsidR="00C812E7" w:rsidRDefault="00C812E7" w:rsidP="004059F3">
      <w:r>
        <w:t xml:space="preserve">Jones, G.R. (2013). </w:t>
      </w:r>
      <w:r>
        <w:rPr>
          <w:i/>
          <w:iCs/>
        </w:rPr>
        <w:t>Organizational theory, design, and change</w:t>
      </w:r>
      <w:r>
        <w:t xml:space="preserve">. [online] </w:t>
      </w:r>
      <w:r>
        <w:rPr>
          <w:i/>
          <w:iCs/>
        </w:rPr>
        <w:t>thuvienso.hoasen.edu.vn</w:t>
      </w:r>
      <w:r>
        <w:t>. Pearson. Available at: https://thuvienso.hoasen.edu.vn/handle/123456789/10600.</w:t>
      </w:r>
    </w:p>
    <w:p w14:paraId="66FAF415" w14:textId="77777777" w:rsidR="00C812E7" w:rsidRDefault="00C812E7" w:rsidP="004059F3">
      <w:r w:rsidRPr="00802E7E">
        <w:rPr>
          <w:lang w:val="fi-FI"/>
        </w:rPr>
        <w:t xml:space="preserve">Kaushal, V. and Srivastava, S. (2020). </w:t>
      </w:r>
      <w:r>
        <w:t xml:space="preserve">Hospitality and Tourism Industry amid COVID-19 Pandemic: Perspectives on Challenges and Learnings from India. </w:t>
      </w:r>
      <w:r>
        <w:rPr>
          <w:i/>
          <w:iCs/>
        </w:rPr>
        <w:t>International Journal of Hospitality Management</w:t>
      </w:r>
      <w:r>
        <w:t>, 92(1), p.102707.</w:t>
      </w:r>
    </w:p>
    <w:p w14:paraId="4472A724" w14:textId="77777777" w:rsidR="00C812E7" w:rsidRDefault="00C812E7" w:rsidP="004059F3">
      <w:r>
        <w:t xml:space="preserve">Kirkpatrick, D.L. (2009). </w:t>
      </w:r>
      <w:r>
        <w:rPr>
          <w:i/>
          <w:iCs/>
        </w:rPr>
        <w:t>Managing Change Effectively</w:t>
      </w:r>
      <w:r>
        <w:t xml:space="preserve">. [online] </w:t>
      </w:r>
      <w:r>
        <w:rPr>
          <w:i/>
          <w:iCs/>
        </w:rPr>
        <w:t>Google Books</w:t>
      </w:r>
      <w:r>
        <w:t>. Routledge. Available at: https://books.google.com/books [Accessed 19 Apr. 2023].</w:t>
      </w:r>
    </w:p>
    <w:p w14:paraId="7D82DDED" w14:textId="77777777" w:rsidR="00C812E7" w:rsidRDefault="00C812E7" w:rsidP="004059F3">
      <w:r>
        <w:t xml:space="preserve">Naranjo-Valencia, J.C., Jiménez-Jiménez, D. and Sanz-Valle, R. (2016). Studying the links between organizational culture, innovation, and performance in Spanish companies. </w:t>
      </w:r>
      <w:proofErr w:type="spellStart"/>
      <w:r>
        <w:rPr>
          <w:i/>
          <w:iCs/>
        </w:rPr>
        <w:t>Revista</w:t>
      </w:r>
      <w:proofErr w:type="spellEnd"/>
      <w:r>
        <w:rPr>
          <w:i/>
          <w:iCs/>
        </w:rPr>
        <w:t xml:space="preserve"> </w:t>
      </w:r>
      <w:proofErr w:type="spellStart"/>
      <w:r>
        <w:rPr>
          <w:i/>
          <w:iCs/>
        </w:rPr>
        <w:t>Latinoamericana</w:t>
      </w:r>
      <w:proofErr w:type="spellEnd"/>
      <w:r>
        <w:rPr>
          <w:i/>
          <w:iCs/>
        </w:rPr>
        <w:t xml:space="preserve"> de </w:t>
      </w:r>
      <w:proofErr w:type="spellStart"/>
      <w:r>
        <w:rPr>
          <w:i/>
          <w:iCs/>
        </w:rPr>
        <w:t>Psicología</w:t>
      </w:r>
      <w:proofErr w:type="spellEnd"/>
      <w:r>
        <w:t xml:space="preserve">, [online] 48(1), pp.30–41. </w:t>
      </w:r>
      <w:proofErr w:type="spellStart"/>
      <w:proofErr w:type="gramStart"/>
      <w:r>
        <w:t>doi:https</w:t>
      </w:r>
      <w:proofErr w:type="spellEnd"/>
      <w:r>
        <w:t>://doi.org/10.1016/j.rlp.2015.09.009</w:t>
      </w:r>
      <w:proofErr w:type="gramEnd"/>
      <w:r>
        <w:t>.</w:t>
      </w:r>
    </w:p>
    <w:p w14:paraId="2088C2BD" w14:textId="77777777" w:rsidR="00C812E7" w:rsidRDefault="00C812E7" w:rsidP="004059F3">
      <w:r>
        <w:t xml:space="preserve">Rees, G. and Mullins, L. (2022). </w:t>
      </w:r>
      <w:r>
        <w:rPr>
          <w:i/>
          <w:iCs/>
        </w:rPr>
        <w:t>Management and Organisational Behaviour</w:t>
      </w:r>
      <w:r>
        <w:t xml:space="preserve">. [online] </w:t>
      </w:r>
      <w:r>
        <w:rPr>
          <w:i/>
          <w:iCs/>
        </w:rPr>
        <w:t>University of Portsmouth</w:t>
      </w:r>
      <w:r>
        <w:t xml:space="preserve">. London: Pearson. Available at: </w:t>
      </w:r>
      <w:hyperlink r:id="rId12" w:history="1">
        <w:r w:rsidRPr="00D555C1">
          <w:rPr>
            <w:rStyle w:val="Hyperlink"/>
          </w:rPr>
          <w:t>https://researchportal.port.ac.uk/en/publications/management-and-organisational-behaviour-2</w:t>
        </w:r>
      </w:hyperlink>
      <w:r>
        <w:t>.</w:t>
      </w:r>
    </w:p>
    <w:p w14:paraId="39A38708" w14:textId="77777777" w:rsidR="00C812E7" w:rsidRDefault="00C812E7" w:rsidP="004059F3">
      <w:r>
        <w:t xml:space="preserve">Sirianni, N.J., Bitner, M.J., Brown, S.W. and Mandel, N. (2013). Branded Service Encounters: Strategically Aligning Employee </w:t>
      </w:r>
      <w:proofErr w:type="spellStart"/>
      <w:r>
        <w:t>Behavior</w:t>
      </w:r>
      <w:proofErr w:type="spellEnd"/>
      <w:r>
        <w:t xml:space="preserve"> with the Brand Positioning. </w:t>
      </w:r>
      <w:r>
        <w:rPr>
          <w:i/>
          <w:iCs/>
        </w:rPr>
        <w:t>Journal of Marketing</w:t>
      </w:r>
      <w:r>
        <w:t xml:space="preserve">, 77(6), pp.108–123. </w:t>
      </w:r>
      <w:proofErr w:type="spellStart"/>
      <w:proofErr w:type="gramStart"/>
      <w:r>
        <w:t>doi:https</w:t>
      </w:r>
      <w:proofErr w:type="spellEnd"/>
      <w:r>
        <w:t>://doi.org/10.1509/jm.11.0485</w:t>
      </w:r>
      <w:proofErr w:type="gramEnd"/>
      <w:r>
        <w:t>.</w:t>
      </w:r>
    </w:p>
    <w:p w14:paraId="5180047D" w14:textId="77777777" w:rsidR="00C812E7" w:rsidRDefault="00C812E7" w:rsidP="004059F3">
      <w:r>
        <w:t xml:space="preserve">Statista (2024). </w:t>
      </w:r>
      <w:r>
        <w:rPr>
          <w:i/>
          <w:iCs/>
        </w:rPr>
        <w:t>The statistics portal for market data, market research and market studies</w:t>
      </w:r>
      <w:r>
        <w:t>. [online] Statista.com. Available at: https://www.statista.com/ [Accessed 25 Jan. 2024].</w:t>
      </w:r>
    </w:p>
    <w:p w14:paraId="37390D4C" w14:textId="77777777" w:rsidR="00C812E7" w:rsidRDefault="00C812E7" w:rsidP="004059F3">
      <w:r>
        <w:t xml:space="preserve">Thanh, L.M. (2019). </w:t>
      </w:r>
      <w:r>
        <w:rPr>
          <w:i/>
          <w:iCs/>
        </w:rPr>
        <w:t>Organizational Structure at the Contemporary Interface</w:t>
      </w:r>
      <w:r>
        <w:t>. [online] www.igi-global.com. Available at: https://www.igi-global.com/chapter/organizational-structure-at-the-contemporary-interface/210376 [Accessed 23 Feb. 2024].</w:t>
      </w:r>
    </w:p>
    <w:p w14:paraId="22BFE6F1" w14:textId="77777777" w:rsidR="00C812E7" w:rsidRDefault="00C812E7" w:rsidP="004059F3">
      <w:r>
        <w:lastRenderedPageBreak/>
        <w:t xml:space="preserve">Tolbert, </w:t>
      </w:r>
      <w:proofErr w:type="gramStart"/>
      <w:r>
        <w:t>P.S.</w:t>
      </w:r>
      <w:proofErr w:type="gramEnd"/>
      <w:r>
        <w:t xml:space="preserve"> and Hall, R.H. (2015). </w:t>
      </w:r>
      <w:r>
        <w:rPr>
          <w:i/>
          <w:iCs/>
        </w:rPr>
        <w:t>Organizations: Structures, Processes and Outcomes</w:t>
      </w:r>
      <w:r>
        <w:t xml:space="preserve">. [online] </w:t>
      </w:r>
      <w:r>
        <w:rPr>
          <w:i/>
          <w:iCs/>
        </w:rPr>
        <w:t>Google Books</w:t>
      </w:r>
      <w:r>
        <w:t>. Routledge. Available at: https://books.google.com/books?hl=en&amp;lr=&amp;id=IsVcCgAAQBAJ&amp;oi=fnd&amp;pg=PP1&amp;dq=Organization+Structure [Accessed 23 Feb. 2024].</w:t>
      </w:r>
    </w:p>
    <w:p w14:paraId="715167CF" w14:textId="7A34BB9B" w:rsidR="00E73182" w:rsidRPr="00E73182" w:rsidRDefault="00E73182" w:rsidP="008C3C4C"/>
    <w:sectPr w:rsidR="00E73182" w:rsidRPr="00E73182" w:rsidSect="002D704E">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ED46E" w14:textId="77777777" w:rsidR="002D704E" w:rsidRDefault="002D704E" w:rsidP="00111EDE">
      <w:pPr>
        <w:spacing w:after="0" w:line="240" w:lineRule="auto"/>
      </w:pPr>
      <w:r>
        <w:separator/>
      </w:r>
    </w:p>
  </w:endnote>
  <w:endnote w:type="continuationSeparator" w:id="0">
    <w:p w14:paraId="574ABCF2" w14:textId="77777777" w:rsidR="002D704E" w:rsidRDefault="002D704E" w:rsidP="00111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1989082"/>
      <w:docPartObj>
        <w:docPartGallery w:val="Page Numbers (Bottom of Page)"/>
        <w:docPartUnique/>
      </w:docPartObj>
    </w:sdtPr>
    <w:sdtEndPr>
      <w:rPr>
        <w:noProof/>
      </w:rPr>
    </w:sdtEndPr>
    <w:sdtContent>
      <w:p w14:paraId="5B696E12" w14:textId="6D610B14" w:rsidR="00111EDE" w:rsidRDefault="00111ED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D15E3D" w14:textId="77777777" w:rsidR="00111EDE" w:rsidRDefault="00111E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CF1F1" w14:textId="77777777" w:rsidR="002D704E" w:rsidRDefault="002D704E" w:rsidP="00111EDE">
      <w:pPr>
        <w:spacing w:after="0" w:line="240" w:lineRule="auto"/>
      </w:pPr>
      <w:r>
        <w:separator/>
      </w:r>
    </w:p>
  </w:footnote>
  <w:footnote w:type="continuationSeparator" w:id="0">
    <w:p w14:paraId="7B27D49F" w14:textId="77777777" w:rsidR="002D704E" w:rsidRDefault="002D704E" w:rsidP="00111E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Y0MTE2BxIWpuaGhko6SsGpxcWZ+XkgBUa1AOsukaksAAAA"/>
  </w:docVars>
  <w:rsids>
    <w:rsidRoot w:val="00BF308F"/>
    <w:rsid w:val="00007DBD"/>
    <w:rsid w:val="0009505E"/>
    <w:rsid w:val="00111EDE"/>
    <w:rsid w:val="00166C95"/>
    <w:rsid w:val="002B3223"/>
    <w:rsid w:val="002D704E"/>
    <w:rsid w:val="002E41CD"/>
    <w:rsid w:val="003C5EF9"/>
    <w:rsid w:val="004059F3"/>
    <w:rsid w:val="00442E80"/>
    <w:rsid w:val="004560E2"/>
    <w:rsid w:val="004B67CE"/>
    <w:rsid w:val="006D7DA0"/>
    <w:rsid w:val="00762509"/>
    <w:rsid w:val="007D1B94"/>
    <w:rsid w:val="00802E7E"/>
    <w:rsid w:val="00806F94"/>
    <w:rsid w:val="0086273E"/>
    <w:rsid w:val="008930C6"/>
    <w:rsid w:val="008C3C4C"/>
    <w:rsid w:val="008E0B32"/>
    <w:rsid w:val="0092588F"/>
    <w:rsid w:val="009B21BA"/>
    <w:rsid w:val="00A237F4"/>
    <w:rsid w:val="00A7032C"/>
    <w:rsid w:val="00AF0475"/>
    <w:rsid w:val="00BD2C52"/>
    <w:rsid w:val="00BF308F"/>
    <w:rsid w:val="00C27381"/>
    <w:rsid w:val="00C635F4"/>
    <w:rsid w:val="00C812E7"/>
    <w:rsid w:val="00D16EF7"/>
    <w:rsid w:val="00E73182"/>
    <w:rsid w:val="00E8287F"/>
    <w:rsid w:val="00ED20D8"/>
    <w:rsid w:val="00F306AD"/>
    <w:rsid w:val="00F64A1B"/>
    <w:rsid w:val="00F7647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5FE51"/>
  <w15:chartTrackingRefBased/>
  <w15:docId w15:val="{0E73FF86-B313-415B-BD4E-0761CF727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308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F308F"/>
    <w:pPr>
      <w:keepNext/>
      <w:keepLines/>
      <w:spacing w:before="360" w:after="80"/>
      <w:outlineLvl w:val="0"/>
    </w:pPr>
    <w:rPr>
      <w:rFonts w:eastAsiaTheme="majorEastAsia" w:cstheme="majorBidi"/>
      <w:b/>
      <w:color w:val="002060"/>
      <w:sz w:val="32"/>
      <w:szCs w:val="40"/>
    </w:rPr>
  </w:style>
  <w:style w:type="paragraph" w:styleId="Heading2">
    <w:name w:val="heading 2"/>
    <w:basedOn w:val="Normal"/>
    <w:next w:val="Normal"/>
    <w:link w:val="Heading2Char"/>
    <w:uiPriority w:val="9"/>
    <w:unhideWhenUsed/>
    <w:qFormat/>
    <w:rsid w:val="00BF308F"/>
    <w:pPr>
      <w:keepNext/>
      <w:keepLines/>
      <w:spacing w:before="160" w:after="80"/>
      <w:outlineLvl w:val="1"/>
    </w:pPr>
    <w:rPr>
      <w:rFonts w:eastAsiaTheme="majorEastAsia" w:cstheme="majorBidi"/>
      <w:b/>
      <w:color w:val="0070C0"/>
      <w:sz w:val="28"/>
      <w:szCs w:val="32"/>
    </w:rPr>
  </w:style>
  <w:style w:type="paragraph" w:styleId="Heading3">
    <w:name w:val="heading 3"/>
    <w:basedOn w:val="Normal"/>
    <w:next w:val="Normal"/>
    <w:link w:val="Heading3Char"/>
    <w:uiPriority w:val="9"/>
    <w:semiHidden/>
    <w:unhideWhenUsed/>
    <w:qFormat/>
    <w:rsid w:val="00BF30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30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30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30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30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30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30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308F"/>
    <w:rPr>
      <w:rFonts w:ascii="Times New Roman" w:eastAsiaTheme="majorEastAsia" w:hAnsi="Times New Roman" w:cstheme="majorBidi"/>
      <w:b/>
      <w:color w:val="002060"/>
      <w:sz w:val="32"/>
      <w:szCs w:val="40"/>
    </w:rPr>
  </w:style>
  <w:style w:type="character" w:customStyle="1" w:styleId="Heading2Char">
    <w:name w:val="Heading 2 Char"/>
    <w:basedOn w:val="DefaultParagraphFont"/>
    <w:link w:val="Heading2"/>
    <w:uiPriority w:val="9"/>
    <w:rsid w:val="00BF308F"/>
    <w:rPr>
      <w:rFonts w:ascii="Times New Roman" w:eastAsiaTheme="majorEastAsia" w:hAnsi="Times New Roman" w:cstheme="majorBidi"/>
      <w:b/>
      <w:color w:val="0070C0"/>
      <w:sz w:val="28"/>
      <w:szCs w:val="32"/>
    </w:rPr>
  </w:style>
  <w:style w:type="character" w:customStyle="1" w:styleId="Heading3Char">
    <w:name w:val="Heading 3 Char"/>
    <w:basedOn w:val="DefaultParagraphFont"/>
    <w:link w:val="Heading3"/>
    <w:uiPriority w:val="9"/>
    <w:semiHidden/>
    <w:rsid w:val="00BF30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30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30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30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30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30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308F"/>
    <w:rPr>
      <w:rFonts w:eastAsiaTheme="majorEastAsia" w:cstheme="majorBidi"/>
      <w:color w:val="272727" w:themeColor="text1" w:themeTint="D8"/>
    </w:rPr>
  </w:style>
  <w:style w:type="paragraph" w:styleId="Title">
    <w:name w:val="Title"/>
    <w:basedOn w:val="Normal"/>
    <w:next w:val="Normal"/>
    <w:link w:val="TitleChar"/>
    <w:uiPriority w:val="10"/>
    <w:qFormat/>
    <w:rsid w:val="00BF30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30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30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30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308F"/>
    <w:pPr>
      <w:spacing w:before="160"/>
      <w:jc w:val="center"/>
    </w:pPr>
    <w:rPr>
      <w:i/>
      <w:iCs/>
      <w:color w:val="404040" w:themeColor="text1" w:themeTint="BF"/>
    </w:rPr>
  </w:style>
  <w:style w:type="character" w:customStyle="1" w:styleId="QuoteChar">
    <w:name w:val="Quote Char"/>
    <w:basedOn w:val="DefaultParagraphFont"/>
    <w:link w:val="Quote"/>
    <w:uiPriority w:val="29"/>
    <w:rsid w:val="00BF308F"/>
    <w:rPr>
      <w:i/>
      <w:iCs/>
      <w:color w:val="404040" w:themeColor="text1" w:themeTint="BF"/>
    </w:rPr>
  </w:style>
  <w:style w:type="paragraph" w:styleId="ListParagraph">
    <w:name w:val="List Paragraph"/>
    <w:basedOn w:val="Normal"/>
    <w:uiPriority w:val="34"/>
    <w:qFormat/>
    <w:rsid w:val="00BF308F"/>
    <w:pPr>
      <w:ind w:left="720"/>
      <w:contextualSpacing/>
    </w:pPr>
  </w:style>
  <w:style w:type="character" w:styleId="IntenseEmphasis">
    <w:name w:val="Intense Emphasis"/>
    <w:basedOn w:val="DefaultParagraphFont"/>
    <w:uiPriority w:val="21"/>
    <w:qFormat/>
    <w:rsid w:val="00BF308F"/>
    <w:rPr>
      <w:i/>
      <w:iCs/>
      <w:color w:val="0F4761" w:themeColor="accent1" w:themeShade="BF"/>
    </w:rPr>
  </w:style>
  <w:style w:type="paragraph" w:styleId="IntenseQuote">
    <w:name w:val="Intense Quote"/>
    <w:basedOn w:val="Normal"/>
    <w:next w:val="Normal"/>
    <w:link w:val="IntenseQuoteChar"/>
    <w:uiPriority w:val="30"/>
    <w:qFormat/>
    <w:rsid w:val="00BF30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308F"/>
    <w:rPr>
      <w:i/>
      <w:iCs/>
      <w:color w:val="0F4761" w:themeColor="accent1" w:themeShade="BF"/>
    </w:rPr>
  </w:style>
  <w:style w:type="character" w:styleId="IntenseReference">
    <w:name w:val="Intense Reference"/>
    <w:basedOn w:val="DefaultParagraphFont"/>
    <w:uiPriority w:val="32"/>
    <w:qFormat/>
    <w:rsid w:val="00BF308F"/>
    <w:rPr>
      <w:b/>
      <w:bCs/>
      <w:smallCaps/>
      <w:color w:val="0F4761" w:themeColor="accent1" w:themeShade="BF"/>
      <w:spacing w:val="5"/>
    </w:rPr>
  </w:style>
  <w:style w:type="character" w:customStyle="1" w:styleId="wordai-block">
    <w:name w:val="wordai-block"/>
    <w:basedOn w:val="DefaultParagraphFont"/>
    <w:rsid w:val="00E73182"/>
  </w:style>
  <w:style w:type="paragraph" w:styleId="NormalWeb">
    <w:name w:val="Normal (Web)"/>
    <w:basedOn w:val="Normal"/>
    <w:uiPriority w:val="99"/>
    <w:semiHidden/>
    <w:unhideWhenUsed/>
    <w:rsid w:val="00E73182"/>
    <w:pPr>
      <w:spacing w:before="100" w:beforeAutospacing="1" w:after="100" w:afterAutospacing="1" w:line="240" w:lineRule="auto"/>
      <w:jc w:val="left"/>
    </w:pPr>
    <w:rPr>
      <w:rFonts w:eastAsia="Times New Roman" w:cs="Times New Roman"/>
      <w:szCs w:val="24"/>
      <w:lang w:eastAsia="en-GB"/>
      <w14:ligatures w14:val="none"/>
    </w:rPr>
  </w:style>
  <w:style w:type="paragraph" w:styleId="Header">
    <w:name w:val="header"/>
    <w:basedOn w:val="Normal"/>
    <w:link w:val="HeaderChar"/>
    <w:uiPriority w:val="99"/>
    <w:unhideWhenUsed/>
    <w:rsid w:val="00111E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1EDE"/>
    <w:rPr>
      <w:rFonts w:ascii="Times New Roman" w:hAnsi="Times New Roman"/>
      <w:sz w:val="24"/>
    </w:rPr>
  </w:style>
  <w:style w:type="paragraph" w:styleId="Footer">
    <w:name w:val="footer"/>
    <w:basedOn w:val="Normal"/>
    <w:link w:val="FooterChar"/>
    <w:uiPriority w:val="99"/>
    <w:unhideWhenUsed/>
    <w:rsid w:val="00111E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1EDE"/>
    <w:rPr>
      <w:rFonts w:ascii="Times New Roman" w:hAnsi="Times New Roman"/>
      <w:sz w:val="24"/>
    </w:rPr>
  </w:style>
  <w:style w:type="character" w:styleId="Hyperlink">
    <w:name w:val="Hyperlink"/>
    <w:basedOn w:val="DefaultParagraphFont"/>
    <w:uiPriority w:val="99"/>
    <w:unhideWhenUsed/>
    <w:rsid w:val="008C3C4C"/>
    <w:rPr>
      <w:color w:val="467886" w:themeColor="hyperlink"/>
      <w:u w:val="single"/>
    </w:rPr>
  </w:style>
  <w:style w:type="character" w:styleId="UnresolvedMention">
    <w:name w:val="Unresolved Mention"/>
    <w:basedOn w:val="DefaultParagraphFont"/>
    <w:uiPriority w:val="99"/>
    <w:semiHidden/>
    <w:unhideWhenUsed/>
    <w:rsid w:val="008C3C4C"/>
    <w:rPr>
      <w:color w:val="605E5C"/>
      <w:shd w:val="clear" w:color="auto" w:fill="E1DFDD"/>
    </w:rPr>
  </w:style>
  <w:style w:type="paragraph" w:styleId="TOCHeading">
    <w:name w:val="TOC Heading"/>
    <w:basedOn w:val="Heading1"/>
    <w:next w:val="Normal"/>
    <w:uiPriority w:val="39"/>
    <w:unhideWhenUsed/>
    <w:qFormat/>
    <w:rsid w:val="00AF0475"/>
    <w:pPr>
      <w:spacing w:before="240" w:after="0" w:line="259" w:lineRule="auto"/>
      <w:jc w:val="left"/>
      <w:outlineLvl w:val="9"/>
    </w:pPr>
    <w:rPr>
      <w:rFonts w:asciiTheme="majorHAnsi" w:hAnsiTheme="majorHAnsi"/>
      <w:b w:val="0"/>
      <w:color w:val="0F4761" w:themeColor="accent1" w:themeShade="BF"/>
      <w:szCs w:val="32"/>
      <w:lang w:val="en-US"/>
      <w14:ligatures w14:val="none"/>
    </w:rPr>
  </w:style>
  <w:style w:type="paragraph" w:styleId="TOC1">
    <w:name w:val="toc 1"/>
    <w:basedOn w:val="Normal"/>
    <w:next w:val="Normal"/>
    <w:autoRedefine/>
    <w:uiPriority w:val="39"/>
    <w:unhideWhenUsed/>
    <w:rsid w:val="00AF047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89187">
      <w:bodyDiv w:val="1"/>
      <w:marLeft w:val="0"/>
      <w:marRight w:val="0"/>
      <w:marTop w:val="0"/>
      <w:marBottom w:val="0"/>
      <w:divBdr>
        <w:top w:val="none" w:sz="0" w:space="0" w:color="auto"/>
        <w:left w:val="none" w:sz="0" w:space="0" w:color="auto"/>
        <w:bottom w:val="none" w:sz="0" w:space="0" w:color="auto"/>
        <w:right w:val="none" w:sz="0" w:space="0" w:color="auto"/>
      </w:divBdr>
    </w:div>
    <w:div w:id="256642887">
      <w:bodyDiv w:val="1"/>
      <w:marLeft w:val="0"/>
      <w:marRight w:val="0"/>
      <w:marTop w:val="0"/>
      <w:marBottom w:val="0"/>
      <w:divBdr>
        <w:top w:val="none" w:sz="0" w:space="0" w:color="auto"/>
        <w:left w:val="none" w:sz="0" w:space="0" w:color="auto"/>
        <w:bottom w:val="none" w:sz="0" w:space="0" w:color="auto"/>
        <w:right w:val="none" w:sz="0" w:space="0" w:color="auto"/>
      </w:divBdr>
      <w:divsChild>
        <w:div w:id="304356604">
          <w:marLeft w:val="0"/>
          <w:marRight w:val="0"/>
          <w:marTop w:val="0"/>
          <w:marBottom w:val="0"/>
          <w:divBdr>
            <w:top w:val="none" w:sz="0" w:space="0" w:color="auto"/>
            <w:left w:val="none" w:sz="0" w:space="0" w:color="auto"/>
            <w:bottom w:val="none" w:sz="0" w:space="0" w:color="auto"/>
            <w:right w:val="none" w:sz="0" w:space="0" w:color="auto"/>
          </w:divBdr>
        </w:div>
      </w:divsChild>
    </w:div>
    <w:div w:id="361521218">
      <w:bodyDiv w:val="1"/>
      <w:marLeft w:val="0"/>
      <w:marRight w:val="0"/>
      <w:marTop w:val="0"/>
      <w:marBottom w:val="0"/>
      <w:divBdr>
        <w:top w:val="none" w:sz="0" w:space="0" w:color="auto"/>
        <w:left w:val="none" w:sz="0" w:space="0" w:color="auto"/>
        <w:bottom w:val="none" w:sz="0" w:space="0" w:color="auto"/>
        <w:right w:val="none" w:sz="0" w:space="0" w:color="auto"/>
      </w:divBdr>
    </w:div>
    <w:div w:id="406267960">
      <w:bodyDiv w:val="1"/>
      <w:marLeft w:val="0"/>
      <w:marRight w:val="0"/>
      <w:marTop w:val="0"/>
      <w:marBottom w:val="0"/>
      <w:divBdr>
        <w:top w:val="none" w:sz="0" w:space="0" w:color="auto"/>
        <w:left w:val="none" w:sz="0" w:space="0" w:color="auto"/>
        <w:bottom w:val="none" w:sz="0" w:space="0" w:color="auto"/>
        <w:right w:val="none" w:sz="0" w:space="0" w:color="auto"/>
      </w:divBdr>
      <w:divsChild>
        <w:div w:id="1012411065">
          <w:marLeft w:val="0"/>
          <w:marRight w:val="0"/>
          <w:marTop w:val="0"/>
          <w:marBottom w:val="0"/>
          <w:divBdr>
            <w:top w:val="none" w:sz="0" w:space="0" w:color="auto"/>
            <w:left w:val="none" w:sz="0" w:space="0" w:color="auto"/>
            <w:bottom w:val="none" w:sz="0" w:space="0" w:color="auto"/>
            <w:right w:val="none" w:sz="0" w:space="0" w:color="auto"/>
          </w:divBdr>
        </w:div>
      </w:divsChild>
    </w:div>
    <w:div w:id="426854364">
      <w:bodyDiv w:val="1"/>
      <w:marLeft w:val="0"/>
      <w:marRight w:val="0"/>
      <w:marTop w:val="0"/>
      <w:marBottom w:val="0"/>
      <w:divBdr>
        <w:top w:val="none" w:sz="0" w:space="0" w:color="auto"/>
        <w:left w:val="none" w:sz="0" w:space="0" w:color="auto"/>
        <w:bottom w:val="none" w:sz="0" w:space="0" w:color="auto"/>
        <w:right w:val="none" w:sz="0" w:space="0" w:color="auto"/>
      </w:divBdr>
      <w:divsChild>
        <w:div w:id="1417435520">
          <w:marLeft w:val="0"/>
          <w:marRight w:val="0"/>
          <w:marTop w:val="0"/>
          <w:marBottom w:val="0"/>
          <w:divBdr>
            <w:top w:val="none" w:sz="0" w:space="0" w:color="auto"/>
            <w:left w:val="none" w:sz="0" w:space="0" w:color="auto"/>
            <w:bottom w:val="none" w:sz="0" w:space="0" w:color="auto"/>
            <w:right w:val="none" w:sz="0" w:space="0" w:color="auto"/>
          </w:divBdr>
        </w:div>
      </w:divsChild>
    </w:div>
    <w:div w:id="536501985">
      <w:bodyDiv w:val="1"/>
      <w:marLeft w:val="0"/>
      <w:marRight w:val="0"/>
      <w:marTop w:val="0"/>
      <w:marBottom w:val="0"/>
      <w:divBdr>
        <w:top w:val="none" w:sz="0" w:space="0" w:color="auto"/>
        <w:left w:val="none" w:sz="0" w:space="0" w:color="auto"/>
        <w:bottom w:val="none" w:sz="0" w:space="0" w:color="auto"/>
        <w:right w:val="none" w:sz="0" w:space="0" w:color="auto"/>
      </w:divBdr>
      <w:divsChild>
        <w:div w:id="1999185820">
          <w:marLeft w:val="0"/>
          <w:marRight w:val="0"/>
          <w:marTop w:val="0"/>
          <w:marBottom w:val="0"/>
          <w:divBdr>
            <w:top w:val="none" w:sz="0" w:space="0" w:color="auto"/>
            <w:left w:val="none" w:sz="0" w:space="0" w:color="auto"/>
            <w:bottom w:val="none" w:sz="0" w:space="0" w:color="auto"/>
            <w:right w:val="none" w:sz="0" w:space="0" w:color="auto"/>
          </w:divBdr>
        </w:div>
      </w:divsChild>
    </w:div>
    <w:div w:id="544098246">
      <w:bodyDiv w:val="1"/>
      <w:marLeft w:val="0"/>
      <w:marRight w:val="0"/>
      <w:marTop w:val="0"/>
      <w:marBottom w:val="0"/>
      <w:divBdr>
        <w:top w:val="none" w:sz="0" w:space="0" w:color="auto"/>
        <w:left w:val="none" w:sz="0" w:space="0" w:color="auto"/>
        <w:bottom w:val="none" w:sz="0" w:space="0" w:color="auto"/>
        <w:right w:val="none" w:sz="0" w:space="0" w:color="auto"/>
      </w:divBdr>
      <w:divsChild>
        <w:div w:id="1669752269">
          <w:marLeft w:val="0"/>
          <w:marRight w:val="0"/>
          <w:marTop w:val="0"/>
          <w:marBottom w:val="0"/>
          <w:divBdr>
            <w:top w:val="none" w:sz="0" w:space="0" w:color="auto"/>
            <w:left w:val="none" w:sz="0" w:space="0" w:color="auto"/>
            <w:bottom w:val="none" w:sz="0" w:space="0" w:color="auto"/>
            <w:right w:val="none" w:sz="0" w:space="0" w:color="auto"/>
          </w:divBdr>
        </w:div>
      </w:divsChild>
    </w:div>
    <w:div w:id="643507876">
      <w:bodyDiv w:val="1"/>
      <w:marLeft w:val="0"/>
      <w:marRight w:val="0"/>
      <w:marTop w:val="0"/>
      <w:marBottom w:val="0"/>
      <w:divBdr>
        <w:top w:val="none" w:sz="0" w:space="0" w:color="auto"/>
        <w:left w:val="none" w:sz="0" w:space="0" w:color="auto"/>
        <w:bottom w:val="none" w:sz="0" w:space="0" w:color="auto"/>
        <w:right w:val="none" w:sz="0" w:space="0" w:color="auto"/>
      </w:divBdr>
      <w:divsChild>
        <w:div w:id="838420920">
          <w:marLeft w:val="0"/>
          <w:marRight w:val="0"/>
          <w:marTop w:val="0"/>
          <w:marBottom w:val="0"/>
          <w:divBdr>
            <w:top w:val="none" w:sz="0" w:space="0" w:color="auto"/>
            <w:left w:val="none" w:sz="0" w:space="0" w:color="auto"/>
            <w:bottom w:val="none" w:sz="0" w:space="0" w:color="auto"/>
            <w:right w:val="none" w:sz="0" w:space="0" w:color="auto"/>
          </w:divBdr>
        </w:div>
      </w:divsChild>
    </w:div>
    <w:div w:id="726606260">
      <w:bodyDiv w:val="1"/>
      <w:marLeft w:val="0"/>
      <w:marRight w:val="0"/>
      <w:marTop w:val="0"/>
      <w:marBottom w:val="0"/>
      <w:divBdr>
        <w:top w:val="none" w:sz="0" w:space="0" w:color="auto"/>
        <w:left w:val="none" w:sz="0" w:space="0" w:color="auto"/>
        <w:bottom w:val="none" w:sz="0" w:space="0" w:color="auto"/>
        <w:right w:val="none" w:sz="0" w:space="0" w:color="auto"/>
      </w:divBdr>
    </w:div>
    <w:div w:id="931350617">
      <w:bodyDiv w:val="1"/>
      <w:marLeft w:val="0"/>
      <w:marRight w:val="0"/>
      <w:marTop w:val="0"/>
      <w:marBottom w:val="0"/>
      <w:divBdr>
        <w:top w:val="none" w:sz="0" w:space="0" w:color="auto"/>
        <w:left w:val="none" w:sz="0" w:space="0" w:color="auto"/>
        <w:bottom w:val="none" w:sz="0" w:space="0" w:color="auto"/>
        <w:right w:val="none" w:sz="0" w:space="0" w:color="auto"/>
      </w:divBdr>
    </w:div>
    <w:div w:id="1100100234">
      <w:bodyDiv w:val="1"/>
      <w:marLeft w:val="0"/>
      <w:marRight w:val="0"/>
      <w:marTop w:val="0"/>
      <w:marBottom w:val="0"/>
      <w:divBdr>
        <w:top w:val="none" w:sz="0" w:space="0" w:color="auto"/>
        <w:left w:val="none" w:sz="0" w:space="0" w:color="auto"/>
        <w:bottom w:val="none" w:sz="0" w:space="0" w:color="auto"/>
        <w:right w:val="none" w:sz="0" w:space="0" w:color="auto"/>
      </w:divBdr>
      <w:divsChild>
        <w:div w:id="2143031559">
          <w:marLeft w:val="0"/>
          <w:marRight w:val="0"/>
          <w:marTop w:val="0"/>
          <w:marBottom w:val="0"/>
          <w:divBdr>
            <w:top w:val="none" w:sz="0" w:space="0" w:color="auto"/>
            <w:left w:val="none" w:sz="0" w:space="0" w:color="auto"/>
            <w:bottom w:val="none" w:sz="0" w:space="0" w:color="auto"/>
            <w:right w:val="none" w:sz="0" w:space="0" w:color="auto"/>
          </w:divBdr>
        </w:div>
      </w:divsChild>
    </w:div>
    <w:div w:id="1190484733">
      <w:bodyDiv w:val="1"/>
      <w:marLeft w:val="0"/>
      <w:marRight w:val="0"/>
      <w:marTop w:val="0"/>
      <w:marBottom w:val="0"/>
      <w:divBdr>
        <w:top w:val="none" w:sz="0" w:space="0" w:color="auto"/>
        <w:left w:val="none" w:sz="0" w:space="0" w:color="auto"/>
        <w:bottom w:val="none" w:sz="0" w:space="0" w:color="auto"/>
        <w:right w:val="none" w:sz="0" w:space="0" w:color="auto"/>
      </w:divBdr>
    </w:div>
    <w:div w:id="1298533312">
      <w:bodyDiv w:val="1"/>
      <w:marLeft w:val="0"/>
      <w:marRight w:val="0"/>
      <w:marTop w:val="0"/>
      <w:marBottom w:val="0"/>
      <w:divBdr>
        <w:top w:val="none" w:sz="0" w:space="0" w:color="auto"/>
        <w:left w:val="none" w:sz="0" w:space="0" w:color="auto"/>
        <w:bottom w:val="none" w:sz="0" w:space="0" w:color="auto"/>
        <w:right w:val="none" w:sz="0" w:space="0" w:color="auto"/>
      </w:divBdr>
      <w:divsChild>
        <w:div w:id="639381683">
          <w:marLeft w:val="0"/>
          <w:marRight w:val="0"/>
          <w:marTop w:val="0"/>
          <w:marBottom w:val="0"/>
          <w:divBdr>
            <w:top w:val="none" w:sz="0" w:space="0" w:color="auto"/>
            <w:left w:val="none" w:sz="0" w:space="0" w:color="auto"/>
            <w:bottom w:val="none" w:sz="0" w:space="0" w:color="auto"/>
            <w:right w:val="none" w:sz="0" w:space="0" w:color="auto"/>
          </w:divBdr>
        </w:div>
      </w:divsChild>
    </w:div>
    <w:div w:id="1357925499">
      <w:bodyDiv w:val="1"/>
      <w:marLeft w:val="0"/>
      <w:marRight w:val="0"/>
      <w:marTop w:val="0"/>
      <w:marBottom w:val="0"/>
      <w:divBdr>
        <w:top w:val="none" w:sz="0" w:space="0" w:color="auto"/>
        <w:left w:val="none" w:sz="0" w:space="0" w:color="auto"/>
        <w:bottom w:val="none" w:sz="0" w:space="0" w:color="auto"/>
        <w:right w:val="none" w:sz="0" w:space="0" w:color="auto"/>
      </w:divBdr>
    </w:div>
    <w:div w:id="1420908626">
      <w:bodyDiv w:val="1"/>
      <w:marLeft w:val="0"/>
      <w:marRight w:val="0"/>
      <w:marTop w:val="0"/>
      <w:marBottom w:val="0"/>
      <w:divBdr>
        <w:top w:val="none" w:sz="0" w:space="0" w:color="auto"/>
        <w:left w:val="none" w:sz="0" w:space="0" w:color="auto"/>
        <w:bottom w:val="none" w:sz="0" w:space="0" w:color="auto"/>
        <w:right w:val="none" w:sz="0" w:space="0" w:color="auto"/>
      </w:divBdr>
      <w:divsChild>
        <w:div w:id="1141538250">
          <w:marLeft w:val="0"/>
          <w:marRight w:val="0"/>
          <w:marTop w:val="0"/>
          <w:marBottom w:val="0"/>
          <w:divBdr>
            <w:top w:val="none" w:sz="0" w:space="0" w:color="auto"/>
            <w:left w:val="none" w:sz="0" w:space="0" w:color="auto"/>
            <w:bottom w:val="none" w:sz="0" w:space="0" w:color="auto"/>
            <w:right w:val="none" w:sz="0" w:space="0" w:color="auto"/>
          </w:divBdr>
        </w:div>
      </w:divsChild>
    </w:div>
    <w:div w:id="1760297342">
      <w:bodyDiv w:val="1"/>
      <w:marLeft w:val="0"/>
      <w:marRight w:val="0"/>
      <w:marTop w:val="0"/>
      <w:marBottom w:val="0"/>
      <w:divBdr>
        <w:top w:val="none" w:sz="0" w:space="0" w:color="auto"/>
        <w:left w:val="none" w:sz="0" w:space="0" w:color="auto"/>
        <w:bottom w:val="none" w:sz="0" w:space="0" w:color="auto"/>
        <w:right w:val="none" w:sz="0" w:space="0" w:color="auto"/>
      </w:divBdr>
      <w:divsChild>
        <w:div w:id="12212831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insentmasons.com/out-law/analysis/uk-hospitality-industry-faces-mounting-challenge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researchportal.port.ac.uk/en/publications/management-and-organisational-behaviour-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thuvienso.hoasen.edu.vn/handle/123456789/9376"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thuvienso.hoasen.edu.vn/handle/123456789/11937" TargetMode="External"/><Relationship Id="rId4" Type="http://schemas.openxmlformats.org/officeDocument/2006/relationships/webSettings" Target="webSettings.xml"/><Relationship Id="rId9" Type="http://schemas.openxmlformats.org/officeDocument/2006/relationships/hyperlink" Target="https://markets.ft.com/data/equities/tearsheet/summary?s=IHG:LS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2EB37-3248-4303-9F08-285D333AA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13</Pages>
  <Words>2994</Words>
  <Characters>17069</Characters>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2024-02-24T09:44:00Z</dcterms:created>
  <dcterms:modified xsi:type="dcterms:W3CDTF">2024-02-24T17:33:00Z</dcterms:modified>
</cp:coreProperties>
</file>