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Ex1.xml" ContentType="application/vnd.ms-office.chartex+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B5C5E" w14:textId="77777777" w:rsidR="00CE69C2" w:rsidRDefault="00CE69C2" w:rsidP="00475695">
      <w:pPr>
        <w:jc w:val="both"/>
      </w:pPr>
    </w:p>
    <w:p w14:paraId="35737996" w14:textId="77777777" w:rsidR="00CE69C2" w:rsidRPr="00B641F6" w:rsidRDefault="00CE69C2" w:rsidP="00475695">
      <w:pPr>
        <w:pStyle w:val="Header"/>
        <w:jc w:val="both"/>
        <w:rPr>
          <w:rFonts w:ascii="Arial" w:hAnsi="Arial" w:cs="Arial"/>
          <w:b/>
          <w:color w:val="auto"/>
          <w:sz w:val="28"/>
          <w:szCs w:val="28"/>
        </w:rPr>
      </w:pPr>
      <w:r w:rsidRPr="00A406E5">
        <w:rPr>
          <w:rFonts w:ascii="Arial" w:hAnsi="Arial" w:cs="Arial"/>
          <w:noProof/>
        </w:rPr>
        <w:drawing>
          <wp:anchor distT="0" distB="0" distL="114300" distR="114300" simplePos="0" relativeHeight="251659264" behindDoc="0" locked="0" layoutInCell="1" allowOverlap="1" wp14:anchorId="557618FC" wp14:editId="2EA96AAB">
            <wp:simplePos x="457200" y="457200"/>
            <wp:positionH relativeFrom="column">
              <wp:align>left</wp:align>
            </wp:positionH>
            <wp:positionV relativeFrom="paragraph">
              <wp:align>top</wp:align>
            </wp:positionV>
            <wp:extent cx="1809750" cy="723900"/>
            <wp:effectExtent l="0" t="0" r="0" b="0"/>
            <wp:wrapSquare wrapText="bothSides"/>
            <wp:docPr id="1187352224" name="Picture 11873522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B641F6">
        <w:rPr>
          <w:rFonts w:ascii="Arial" w:hAnsi="Arial" w:cs="Arial"/>
          <w:b/>
          <w:color w:val="auto"/>
          <w:sz w:val="28"/>
          <w:szCs w:val="28"/>
        </w:rPr>
        <w:t>APPENDIX GA36a</w:t>
      </w:r>
    </w:p>
    <w:p w14:paraId="2A0C37A6" w14:textId="77777777" w:rsidR="00CE69C2" w:rsidRPr="00B641F6" w:rsidRDefault="00CE69C2" w:rsidP="00475695">
      <w:pPr>
        <w:jc w:val="both"/>
        <w:rPr>
          <w:rFonts w:ascii="Arial" w:hAnsi="Arial" w:cs="Arial"/>
          <w:color w:val="auto"/>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2"/>
      </w:tblGrid>
      <w:tr w:rsidR="00B641F6" w:rsidRPr="00B641F6" w14:paraId="221F436B" w14:textId="77777777" w:rsidTr="00E9232D">
        <w:tc>
          <w:tcPr>
            <w:tcW w:w="9922" w:type="dxa"/>
            <w:shd w:val="clear" w:color="auto" w:fill="C0C0C0"/>
          </w:tcPr>
          <w:p w14:paraId="31BFB213" w14:textId="77777777" w:rsidR="00CE69C2" w:rsidRPr="00B641F6" w:rsidRDefault="00CE69C2" w:rsidP="00475695">
            <w:pPr>
              <w:pStyle w:val="Heading4"/>
              <w:jc w:val="both"/>
              <w:rPr>
                <w:rFonts w:ascii="Arial" w:hAnsi="Arial"/>
                <w:b/>
                <w:color w:val="auto"/>
              </w:rPr>
            </w:pPr>
            <w:r w:rsidRPr="00B641F6">
              <w:rPr>
                <w:rFonts w:ascii="Arial" w:hAnsi="Arial"/>
                <w:b/>
                <w:color w:val="auto"/>
              </w:rPr>
              <w:t xml:space="preserve">LEVEL 4 ASSESSMENT SPECIFICATION </w:t>
            </w:r>
          </w:p>
        </w:tc>
      </w:tr>
    </w:tbl>
    <w:p w14:paraId="246A2269" w14:textId="77777777" w:rsidR="00CE69C2" w:rsidRPr="00B641F6" w:rsidRDefault="00CE69C2" w:rsidP="00475695">
      <w:pPr>
        <w:jc w:val="both"/>
        <w:rPr>
          <w:rFonts w:ascii="Arial" w:hAnsi="Arial" w:cs="Arial"/>
          <w:b/>
          <w:i/>
          <w:color w:val="auto"/>
          <w:sz w:val="32"/>
        </w:rPr>
      </w:pPr>
    </w:p>
    <w:tbl>
      <w:tblPr>
        <w:tblW w:w="1001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1"/>
        <w:gridCol w:w="3322"/>
        <w:gridCol w:w="2288"/>
        <w:gridCol w:w="2289"/>
      </w:tblGrid>
      <w:tr w:rsidR="00B641F6" w:rsidRPr="00B641F6" w14:paraId="1190A278" w14:textId="77777777" w:rsidTr="009E6150">
        <w:trPr>
          <w:trHeight w:val="843"/>
        </w:trPr>
        <w:tc>
          <w:tcPr>
            <w:tcW w:w="2111" w:type="dxa"/>
            <w:shd w:val="pct15" w:color="auto" w:fill="auto"/>
          </w:tcPr>
          <w:p w14:paraId="16B6D503"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Student name:</w:t>
            </w:r>
          </w:p>
        </w:tc>
        <w:tc>
          <w:tcPr>
            <w:tcW w:w="3322" w:type="dxa"/>
          </w:tcPr>
          <w:p w14:paraId="7F1696C6" w14:textId="497C3E50" w:rsidR="00CE69C2" w:rsidRPr="00B641F6" w:rsidRDefault="00946B49"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Donata Nagliute</w:t>
            </w:r>
          </w:p>
        </w:tc>
        <w:tc>
          <w:tcPr>
            <w:tcW w:w="2288" w:type="dxa"/>
            <w:shd w:val="clear" w:color="auto" w:fill="D9D9D9"/>
          </w:tcPr>
          <w:p w14:paraId="20A31D19"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Student ID number:</w:t>
            </w:r>
          </w:p>
        </w:tc>
        <w:tc>
          <w:tcPr>
            <w:tcW w:w="2288" w:type="dxa"/>
          </w:tcPr>
          <w:p w14:paraId="2CA0029A" w14:textId="4061EA9C" w:rsidR="00CE69C2" w:rsidRPr="00B641F6" w:rsidRDefault="00B641F6" w:rsidP="00475695">
            <w:pPr>
              <w:spacing w:before="120" w:after="120"/>
              <w:jc w:val="both"/>
              <w:rPr>
                <w:rFonts w:ascii="Arial" w:hAnsi="Arial" w:cs="Arial"/>
                <w:b/>
                <w:color w:val="auto"/>
                <w:sz w:val="22"/>
                <w:szCs w:val="22"/>
              </w:rPr>
            </w:pPr>
            <w:r w:rsidRPr="00B641F6">
              <w:rPr>
                <w:rFonts w:ascii="Arial" w:hAnsi="Arial" w:cs="Arial"/>
                <w:b/>
                <w:color w:val="auto"/>
                <w:sz w:val="24"/>
                <w:szCs w:val="24"/>
              </w:rPr>
              <w:t>2512677</w:t>
            </w:r>
          </w:p>
        </w:tc>
      </w:tr>
      <w:tr w:rsidR="00B641F6" w:rsidRPr="00B641F6" w14:paraId="7D964C47" w14:textId="77777777" w:rsidTr="009E6150">
        <w:trPr>
          <w:trHeight w:val="843"/>
        </w:trPr>
        <w:tc>
          <w:tcPr>
            <w:tcW w:w="2111" w:type="dxa"/>
            <w:shd w:val="pct15" w:color="auto" w:fill="auto"/>
          </w:tcPr>
          <w:p w14:paraId="74B584DF"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Programme:</w:t>
            </w:r>
          </w:p>
        </w:tc>
        <w:tc>
          <w:tcPr>
            <w:tcW w:w="7899" w:type="dxa"/>
            <w:gridSpan w:val="3"/>
          </w:tcPr>
          <w:p w14:paraId="72B75073"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 xml:space="preserve">DA Program - BSC in Supply Chain and Logistics </w:t>
            </w:r>
          </w:p>
        </w:tc>
      </w:tr>
      <w:tr w:rsidR="00B641F6" w:rsidRPr="00B641F6" w14:paraId="14D45A14" w14:textId="77777777" w:rsidTr="009E6150">
        <w:trPr>
          <w:trHeight w:val="843"/>
        </w:trPr>
        <w:tc>
          <w:tcPr>
            <w:tcW w:w="2111" w:type="dxa"/>
            <w:shd w:val="pct15" w:color="auto" w:fill="auto"/>
          </w:tcPr>
          <w:p w14:paraId="09F92D6B"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Module:</w:t>
            </w:r>
          </w:p>
        </w:tc>
        <w:tc>
          <w:tcPr>
            <w:tcW w:w="7899" w:type="dxa"/>
            <w:gridSpan w:val="3"/>
          </w:tcPr>
          <w:p w14:paraId="37500B7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Data Analytics Principles</w:t>
            </w:r>
          </w:p>
        </w:tc>
      </w:tr>
      <w:tr w:rsidR="00B641F6" w:rsidRPr="00B641F6" w14:paraId="3087598D" w14:textId="77777777" w:rsidTr="009E6150">
        <w:trPr>
          <w:trHeight w:val="2044"/>
        </w:trPr>
        <w:tc>
          <w:tcPr>
            <w:tcW w:w="2111" w:type="dxa"/>
            <w:shd w:val="pct15" w:color="auto" w:fill="auto"/>
          </w:tcPr>
          <w:p w14:paraId="31906B3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Module code:</w:t>
            </w:r>
          </w:p>
        </w:tc>
        <w:tc>
          <w:tcPr>
            <w:tcW w:w="3322" w:type="dxa"/>
          </w:tcPr>
          <w:p w14:paraId="0C6CD394"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ACMA 4016</w:t>
            </w:r>
          </w:p>
        </w:tc>
        <w:tc>
          <w:tcPr>
            <w:tcW w:w="2288" w:type="dxa"/>
            <w:shd w:val="clear" w:color="auto" w:fill="D9D9D9"/>
          </w:tcPr>
          <w:p w14:paraId="45FD7EA7" w14:textId="77777777" w:rsidR="00CE69C2" w:rsidRPr="00B641F6" w:rsidRDefault="00CE69C2" w:rsidP="00475695">
            <w:pPr>
              <w:pStyle w:val="Heading2"/>
              <w:jc w:val="both"/>
              <w:rPr>
                <w:rFonts w:ascii="Arial" w:hAnsi="Arial"/>
                <w:color w:val="auto"/>
                <w:sz w:val="22"/>
                <w:szCs w:val="22"/>
              </w:rPr>
            </w:pPr>
            <w:bookmarkStart w:id="0" w:name="_Toc222737837"/>
            <w:bookmarkStart w:id="1" w:name="_Toc223467504"/>
            <w:r w:rsidRPr="00B641F6">
              <w:rPr>
                <w:rFonts w:ascii="Arial" w:hAnsi="Arial"/>
                <w:color w:val="auto"/>
                <w:sz w:val="22"/>
                <w:szCs w:val="22"/>
              </w:rPr>
              <w:t>Contribution to Overall Module Assessment (%):</w:t>
            </w:r>
            <w:bookmarkEnd w:id="0"/>
            <w:bookmarkEnd w:id="1"/>
          </w:p>
        </w:tc>
        <w:tc>
          <w:tcPr>
            <w:tcW w:w="2288" w:type="dxa"/>
          </w:tcPr>
          <w:p w14:paraId="28F094C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100%</w:t>
            </w:r>
          </w:p>
        </w:tc>
      </w:tr>
      <w:tr w:rsidR="00B641F6" w:rsidRPr="00B641F6" w14:paraId="59F6C626" w14:textId="77777777" w:rsidTr="009E6150">
        <w:trPr>
          <w:trHeight w:val="843"/>
        </w:trPr>
        <w:tc>
          <w:tcPr>
            <w:tcW w:w="2111" w:type="dxa"/>
            <w:shd w:val="pct15" w:color="auto" w:fill="auto"/>
          </w:tcPr>
          <w:p w14:paraId="53833ADB"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Lecturer:</w:t>
            </w:r>
          </w:p>
        </w:tc>
        <w:tc>
          <w:tcPr>
            <w:tcW w:w="3322" w:type="dxa"/>
          </w:tcPr>
          <w:p w14:paraId="6C75CC1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Dr Moutushi Tanha</w:t>
            </w:r>
          </w:p>
        </w:tc>
        <w:tc>
          <w:tcPr>
            <w:tcW w:w="2288" w:type="dxa"/>
            <w:shd w:val="clear" w:color="auto" w:fill="D9D9D9"/>
          </w:tcPr>
          <w:p w14:paraId="7E232A6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Internal Verifier:</w:t>
            </w:r>
          </w:p>
        </w:tc>
        <w:tc>
          <w:tcPr>
            <w:tcW w:w="2288" w:type="dxa"/>
          </w:tcPr>
          <w:p w14:paraId="261DA2AE"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Dr Irina Neaga</w:t>
            </w:r>
          </w:p>
        </w:tc>
      </w:tr>
      <w:tr w:rsidR="00B641F6" w:rsidRPr="00B641F6" w14:paraId="02510F0F" w14:textId="77777777" w:rsidTr="009E6150">
        <w:trPr>
          <w:trHeight w:val="1329"/>
        </w:trPr>
        <w:tc>
          <w:tcPr>
            <w:tcW w:w="2111" w:type="dxa"/>
            <w:shd w:val="pct15" w:color="auto" w:fill="auto"/>
          </w:tcPr>
          <w:p w14:paraId="6B1C90F2"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Assignment Title:</w:t>
            </w:r>
          </w:p>
        </w:tc>
        <w:tc>
          <w:tcPr>
            <w:tcW w:w="3322" w:type="dxa"/>
          </w:tcPr>
          <w:p w14:paraId="41F1786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bCs/>
                <w:color w:val="auto"/>
                <w:sz w:val="24"/>
                <w:szCs w:val="24"/>
              </w:rPr>
              <w:t>Developing a Data-Based Report</w:t>
            </w:r>
          </w:p>
        </w:tc>
        <w:tc>
          <w:tcPr>
            <w:tcW w:w="2288" w:type="dxa"/>
            <w:shd w:val="pct15" w:color="auto" w:fill="auto"/>
          </w:tcPr>
          <w:p w14:paraId="67A4847E"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Word count (or equivalent):</w:t>
            </w:r>
          </w:p>
        </w:tc>
        <w:tc>
          <w:tcPr>
            <w:tcW w:w="2288" w:type="dxa"/>
          </w:tcPr>
          <w:p w14:paraId="2D7BD2C1" w14:textId="2FEFF2FC" w:rsidR="00CE69C2" w:rsidRPr="00B641F6" w:rsidRDefault="005F564F" w:rsidP="00475695">
            <w:pPr>
              <w:spacing w:before="120" w:after="120"/>
              <w:jc w:val="both"/>
              <w:rPr>
                <w:rFonts w:ascii="Arial" w:hAnsi="Arial" w:cs="Arial"/>
                <w:b/>
                <w:color w:val="auto"/>
                <w:sz w:val="22"/>
                <w:szCs w:val="22"/>
              </w:rPr>
            </w:pPr>
            <w:r>
              <w:rPr>
                <w:rFonts w:ascii="Arial" w:hAnsi="Arial" w:cs="Arial"/>
                <w:b/>
                <w:color w:val="auto"/>
                <w:sz w:val="22"/>
                <w:szCs w:val="22"/>
              </w:rPr>
              <w:t xml:space="preserve">1588 </w:t>
            </w:r>
            <w:r w:rsidR="00CE69C2" w:rsidRPr="00B641F6">
              <w:rPr>
                <w:rFonts w:ascii="Arial" w:hAnsi="Arial" w:cs="Arial"/>
                <w:b/>
                <w:color w:val="auto"/>
                <w:sz w:val="22"/>
                <w:szCs w:val="22"/>
              </w:rPr>
              <w:t>words</w:t>
            </w:r>
          </w:p>
        </w:tc>
      </w:tr>
      <w:tr w:rsidR="00B641F6" w:rsidRPr="00B641F6" w14:paraId="2F9CD13D" w14:textId="77777777" w:rsidTr="009E6150">
        <w:trPr>
          <w:trHeight w:val="1712"/>
        </w:trPr>
        <w:tc>
          <w:tcPr>
            <w:tcW w:w="2111" w:type="dxa"/>
            <w:shd w:val="pct15" w:color="auto" w:fill="auto"/>
          </w:tcPr>
          <w:p w14:paraId="7ABB56DC"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Submission deadline:</w:t>
            </w:r>
          </w:p>
        </w:tc>
        <w:tc>
          <w:tcPr>
            <w:tcW w:w="3322" w:type="dxa"/>
          </w:tcPr>
          <w:p w14:paraId="000040C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01/03/2026</w:t>
            </w:r>
          </w:p>
        </w:tc>
        <w:tc>
          <w:tcPr>
            <w:tcW w:w="2288" w:type="dxa"/>
            <w:shd w:val="pct15" w:color="auto" w:fill="auto"/>
          </w:tcPr>
          <w:p w14:paraId="24C17FF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Return date of provisional marks &amp; written feedback:</w:t>
            </w:r>
          </w:p>
        </w:tc>
        <w:tc>
          <w:tcPr>
            <w:tcW w:w="2288" w:type="dxa"/>
          </w:tcPr>
          <w:p w14:paraId="2E55E0C6"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20 working days after submission</w:t>
            </w:r>
          </w:p>
        </w:tc>
      </w:tr>
    </w:tbl>
    <w:p w14:paraId="12149EFE" w14:textId="77777777" w:rsidR="00CE69C2" w:rsidRPr="00B641F6" w:rsidRDefault="00CE69C2" w:rsidP="00475695">
      <w:pPr>
        <w:jc w:val="both"/>
        <w:rPr>
          <w:rFonts w:ascii="Arial" w:hAnsi="Arial" w:cs="Arial"/>
          <w:color w:val="auto"/>
          <w:sz w:val="32"/>
        </w:rPr>
      </w:pPr>
    </w:p>
    <w:p w14:paraId="3C243E48" w14:textId="77B028AC" w:rsidR="00034F59" w:rsidRDefault="00034F59" w:rsidP="00475695">
      <w:pPr>
        <w:jc w:val="both"/>
        <w:rPr>
          <w:rFonts w:ascii="Arial" w:hAnsi="Arial" w:cs="Arial"/>
          <w:color w:val="auto"/>
          <w:sz w:val="32"/>
        </w:rPr>
      </w:pPr>
      <w:r>
        <w:rPr>
          <w:rFonts w:ascii="Arial" w:hAnsi="Arial" w:cs="Arial"/>
          <w:color w:val="auto"/>
          <w:sz w:val="32"/>
        </w:rPr>
        <w:br w:type="page"/>
      </w:r>
    </w:p>
    <w:p w14:paraId="18F8A95F" w14:textId="77777777" w:rsidR="00E46ABB" w:rsidRPr="00F63A3A" w:rsidRDefault="00E46ABB" w:rsidP="00475695">
      <w:pPr>
        <w:pStyle w:val="Heading2"/>
        <w:spacing w:line="360" w:lineRule="auto"/>
        <w:ind w:left="567" w:firstLine="142"/>
        <w:jc w:val="both"/>
        <w:rPr>
          <w:rFonts w:ascii="Arial" w:hAnsi="Arial"/>
          <w:color w:val="auto"/>
          <w:sz w:val="22"/>
          <w:szCs w:val="22"/>
        </w:rPr>
      </w:pPr>
      <w:bookmarkStart w:id="2" w:name="_Toc222737838"/>
      <w:bookmarkStart w:id="3" w:name="_Toc223467505"/>
      <w:r w:rsidRPr="00F63A3A">
        <w:rPr>
          <w:rFonts w:ascii="Arial" w:hAnsi="Arial"/>
          <w:color w:val="auto"/>
          <w:sz w:val="22"/>
          <w:szCs w:val="22"/>
        </w:rPr>
        <w:lastRenderedPageBreak/>
        <w:t>Use of Generative AI in Assessment</w:t>
      </w:r>
      <w:bookmarkEnd w:id="2"/>
      <w:bookmarkEnd w:id="3"/>
    </w:p>
    <w:p w14:paraId="168662C7" w14:textId="77777777" w:rsidR="00E46ABB" w:rsidRPr="00F63A3A" w:rsidRDefault="00E46ABB" w:rsidP="00475695">
      <w:pPr>
        <w:spacing w:line="360" w:lineRule="auto"/>
        <w:jc w:val="both"/>
        <w:rPr>
          <w:rFonts w:ascii="Arial" w:hAnsi="Arial" w:cs="Arial"/>
          <w:color w:val="auto"/>
          <w:sz w:val="22"/>
          <w:szCs w:val="22"/>
        </w:rPr>
      </w:pPr>
      <w:r w:rsidRPr="00F63A3A">
        <w:rPr>
          <w:color w:val="auto"/>
        </w:rPr>
        <w:tab/>
      </w:r>
      <w:r w:rsidRPr="00F63A3A">
        <w:rPr>
          <w:rFonts w:ascii="Arial" w:hAnsi="Arial" w:cs="Arial"/>
          <w:color w:val="auto"/>
          <w:sz w:val="22"/>
          <w:szCs w:val="22"/>
        </w:rPr>
        <w:t>(Lecturer to indicate Yes or Not against each element)</w:t>
      </w:r>
    </w:p>
    <w:p w14:paraId="3C8827C9" w14:textId="4925382A" w:rsidR="00E46ABB" w:rsidRPr="00F63A3A" w:rsidRDefault="00E46ABB" w:rsidP="00475695">
      <w:pPr>
        <w:jc w:val="both"/>
        <w:rPr>
          <w:rFonts w:eastAsia="Calibri"/>
          <w:color w:val="auto"/>
        </w:rPr>
      </w:pP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p>
    <w:p w14:paraId="4E6B2C66" w14:textId="77777777" w:rsidR="00E46ABB" w:rsidRPr="00F63A3A" w:rsidRDefault="00E46ABB" w:rsidP="00475695">
      <w:pPr>
        <w:ind w:firstLine="8640"/>
        <w:jc w:val="both"/>
        <w:rPr>
          <w:color w:val="auto"/>
        </w:rPr>
      </w:pPr>
      <w:r w:rsidRPr="00F63A3A">
        <w:rPr>
          <w:color w:val="auto"/>
        </w:rPr>
        <w:t> </w:t>
      </w:r>
    </w:p>
    <w:p w14:paraId="009331DB" w14:textId="77777777" w:rsidR="00E46ABB" w:rsidRPr="00F63A3A" w:rsidRDefault="00E46ABB" w:rsidP="00475695">
      <w:pPr>
        <w:jc w:val="both"/>
        <w:rPr>
          <w:color w:val="auto"/>
        </w:rPr>
      </w:pPr>
      <w:r w:rsidRPr="00F63A3A">
        <w:rPr>
          <w:color w:val="auto"/>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F63A3A" w:rsidRPr="00F63A3A" w14:paraId="612B4FC1" w14:textId="77777777" w:rsidTr="00E9232D">
        <w:trPr>
          <w:trHeight w:val="300"/>
        </w:trPr>
        <w:tc>
          <w:tcPr>
            <w:tcW w:w="2550" w:type="dxa"/>
            <w:tcBorders>
              <w:top w:val="single" w:sz="6" w:space="0" w:color="auto"/>
              <w:left w:val="single" w:sz="6" w:space="0" w:color="auto"/>
              <w:bottom w:val="single" w:sz="6" w:space="0" w:color="213D46" w:themeColor="text1"/>
              <w:right w:val="single" w:sz="6" w:space="0" w:color="213D46" w:themeColor="text1"/>
            </w:tcBorders>
          </w:tcPr>
          <w:p w14:paraId="29EC4825"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RESEARCH </w:t>
            </w:r>
          </w:p>
        </w:tc>
        <w:tc>
          <w:tcPr>
            <w:tcW w:w="5685" w:type="dxa"/>
            <w:tcBorders>
              <w:top w:val="single" w:sz="6" w:space="0" w:color="auto"/>
              <w:left w:val="single" w:sz="6" w:space="0" w:color="213D46" w:themeColor="text1"/>
              <w:bottom w:val="single" w:sz="6" w:space="0" w:color="213D46" w:themeColor="text1"/>
              <w:right w:val="single" w:sz="6" w:space="0" w:color="213D46" w:themeColor="text1"/>
            </w:tcBorders>
          </w:tcPr>
          <w:p w14:paraId="6898860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213D46" w:themeColor="text1"/>
              <w:bottom w:val="single" w:sz="6" w:space="0" w:color="213D46" w:themeColor="text1"/>
              <w:right w:val="single" w:sz="6" w:space="0" w:color="auto"/>
            </w:tcBorders>
          </w:tcPr>
          <w:p w14:paraId="3E5A0CE0"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1FACBF3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412FC87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5E1569A5"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559F91F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STRUCTURE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65B00F1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E40CFEF"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0775DC1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4F893725"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3F4662FD"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7682CBA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PROOFREADING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12CC01B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376B868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3313CA5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194676C0"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056C852A"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0A50697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WRITING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49E9CC3F"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text for submission.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94D6F92"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1ABDEFF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03AC5604"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34B62D98"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2F3D481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CREATIVE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5D037E2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creative materials, such as images.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6A0BC2A2"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6036B597"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2DE13B8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63B6A73C"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4C0001D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PROGRAMMING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3753D5A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and check code.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638FA4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72E66AF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0CA2FC5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7A80A7C2" w14:textId="77777777" w:rsidTr="00F63A3A">
        <w:trPr>
          <w:trHeight w:val="1514"/>
        </w:trPr>
        <w:tc>
          <w:tcPr>
            <w:tcW w:w="2550" w:type="dxa"/>
            <w:tcBorders>
              <w:top w:val="single" w:sz="6" w:space="0" w:color="213D46" w:themeColor="text1"/>
              <w:left w:val="single" w:sz="6" w:space="0" w:color="auto"/>
              <w:bottom w:val="single" w:sz="6" w:space="0" w:color="auto"/>
              <w:right w:val="single" w:sz="6" w:space="0" w:color="213D46" w:themeColor="text1"/>
            </w:tcBorders>
          </w:tcPr>
          <w:p w14:paraId="713A93A4"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NONE </w:t>
            </w:r>
          </w:p>
        </w:tc>
        <w:tc>
          <w:tcPr>
            <w:tcW w:w="5685" w:type="dxa"/>
            <w:tcBorders>
              <w:top w:val="single" w:sz="6" w:space="0" w:color="213D46" w:themeColor="text1"/>
              <w:left w:val="single" w:sz="6" w:space="0" w:color="213D46" w:themeColor="text1"/>
              <w:bottom w:val="single" w:sz="6" w:space="0" w:color="auto"/>
              <w:right w:val="single" w:sz="6" w:space="0" w:color="213D46" w:themeColor="text1"/>
            </w:tcBorders>
          </w:tcPr>
          <w:p w14:paraId="6F3EFB87"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For this assessment, you are not allowed to use </w:t>
            </w:r>
            <w:r w:rsidRPr="00F63A3A">
              <w:rPr>
                <w:rFonts w:ascii="Arial" w:eastAsia="Arial" w:hAnsi="Arial" w:cs="Arial"/>
                <w:b/>
                <w:bCs/>
                <w:color w:val="auto"/>
                <w:sz w:val="22"/>
                <w:szCs w:val="22"/>
              </w:rPr>
              <w:t>any</w:t>
            </w:r>
            <w:r w:rsidRPr="00F63A3A">
              <w:rPr>
                <w:rFonts w:ascii="Arial" w:eastAsia="Arial" w:hAnsi="Arial" w:cs="Arial"/>
                <w:color w:val="auto"/>
                <w:sz w:val="22"/>
                <w:szCs w:val="22"/>
              </w:rPr>
              <w:t xml:space="preserve"> type of Generative AI support. This includes research support, structure support, writing/proofreading support and creative support. </w:t>
            </w:r>
          </w:p>
        </w:tc>
        <w:tc>
          <w:tcPr>
            <w:tcW w:w="1695" w:type="dxa"/>
            <w:tcBorders>
              <w:top w:val="single" w:sz="6" w:space="0" w:color="213D46" w:themeColor="text1"/>
              <w:left w:val="single" w:sz="6" w:space="0" w:color="213D46" w:themeColor="text1"/>
              <w:bottom w:val="single" w:sz="6" w:space="0" w:color="auto"/>
              <w:right w:val="single" w:sz="6" w:space="0" w:color="auto"/>
            </w:tcBorders>
          </w:tcPr>
          <w:p w14:paraId="5E445B1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7F681EC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5870CD4B"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bl>
    <w:p w14:paraId="34B0C4CC" w14:textId="77777777" w:rsidR="00E46ABB" w:rsidRPr="00F63A3A" w:rsidRDefault="00E46ABB" w:rsidP="00475695">
      <w:pPr>
        <w:ind w:left="720"/>
        <w:jc w:val="both"/>
        <w:rPr>
          <w:rFonts w:ascii="Arial" w:eastAsia="Arial" w:hAnsi="Arial" w:cs="Arial"/>
          <w:color w:val="auto"/>
          <w:sz w:val="24"/>
          <w:szCs w:val="24"/>
        </w:rPr>
      </w:pPr>
      <w:r w:rsidRPr="00F63A3A">
        <w:rPr>
          <w:rFonts w:ascii="Arial" w:eastAsia="Arial" w:hAnsi="Arial" w:cs="Arial"/>
          <w:color w:val="auto"/>
          <w:sz w:val="24"/>
          <w:szCs w:val="24"/>
        </w:rPr>
        <w:t> </w:t>
      </w:r>
    </w:p>
    <w:p w14:paraId="7C7AA1BE" w14:textId="77777777" w:rsidR="00E46ABB" w:rsidRPr="00F63A3A" w:rsidRDefault="00E46ABB" w:rsidP="00475695">
      <w:pPr>
        <w:spacing w:line="360" w:lineRule="auto"/>
        <w:jc w:val="both"/>
        <w:rPr>
          <w:rFonts w:eastAsia="Calibri"/>
          <w:color w:val="auto"/>
        </w:rPr>
      </w:pPr>
    </w:p>
    <w:p w14:paraId="079BFBD9" w14:textId="77777777"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normaltextrun"/>
          <w:rFonts w:ascii="Arial" w:hAnsi="Arial" w:cs="Arial"/>
        </w:rPr>
        <w:t>AI Acknowledgement</w:t>
      </w:r>
      <w:r w:rsidRPr="00F63A3A">
        <w:rPr>
          <w:rStyle w:val="eop"/>
          <w:rFonts w:ascii="Arial" w:hAnsi="Arial" w:cs="Arial"/>
        </w:rPr>
        <w:t> </w:t>
      </w:r>
    </w:p>
    <w:p w14:paraId="06197732" w14:textId="21A7E1F4"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normaltextrun"/>
          <w:rFonts w:ascii="Arial" w:hAnsi="Arial" w:cs="Arial"/>
        </w:rPr>
        <w:t xml:space="preserve">I confirm that I have not </w:t>
      </w:r>
      <w:r w:rsidR="00F63A3A">
        <w:rPr>
          <w:rStyle w:val="normaltextrun"/>
          <w:rFonts w:ascii="Arial" w:hAnsi="Arial" w:cs="Arial"/>
        </w:rPr>
        <w:t>presented</w:t>
      </w:r>
      <w:r w:rsidRPr="00F63A3A">
        <w:rPr>
          <w:rStyle w:val="normaltextrun"/>
          <w:rFonts w:ascii="Arial" w:hAnsi="Arial" w:cs="Arial"/>
        </w:rPr>
        <w:t xml:space="preserve"> any AI-generated materials as my own work in this portfolio.</w:t>
      </w:r>
      <w:r w:rsidRPr="00F63A3A">
        <w:rPr>
          <w:rStyle w:val="eop"/>
          <w:rFonts w:ascii="Arial" w:hAnsi="Arial" w:cs="Arial"/>
        </w:rPr>
        <w:t> </w:t>
      </w:r>
    </w:p>
    <w:p w14:paraId="19FE77F5" w14:textId="77777777" w:rsidR="00E46ABB" w:rsidRPr="00F63A3A" w:rsidRDefault="00E46ABB" w:rsidP="00475695">
      <w:pPr>
        <w:pStyle w:val="paragraph"/>
        <w:spacing w:before="0" w:beforeAutospacing="0" w:after="0" w:afterAutospacing="0" w:line="360" w:lineRule="auto"/>
        <w:jc w:val="both"/>
        <w:textAlignment w:val="baseline"/>
        <w:rPr>
          <w:rStyle w:val="normaltextrun"/>
          <w:rFonts w:ascii="Arial" w:hAnsi="Arial" w:cs="Arial"/>
        </w:rPr>
      </w:pPr>
      <w:r w:rsidRPr="00F63A3A">
        <w:rPr>
          <w:rStyle w:val="normaltextrun"/>
          <w:rFonts w:ascii="Arial" w:hAnsi="Arial" w:cs="Arial"/>
        </w:rPr>
        <w:t>However, I acknowledge that I have used or may have used the AI in the research and proofreading of my portfolio.</w:t>
      </w:r>
    </w:p>
    <w:p w14:paraId="524CADB9" w14:textId="77777777"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eop"/>
          <w:rFonts w:ascii="Arial" w:hAnsi="Arial" w:cs="Arial"/>
        </w:rPr>
        <w:t> </w:t>
      </w:r>
    </w:p>
    <w:p w14:paraId="62B16321" w14:textId="68F2BC85" w:rsidR="00E46ABB" w:rsidRPr="00F63A3A" w:rsidRDefault="00E46ABB" w:rsidP="00475695">
      <w:pPr>
        <w:pStyle w:val="paragraph"/>
        <w:spacing w:before="0" w:beforeAutospacing="0" w:after="0" w:afterAutospacing="0" w:line="360" w:lineRule="auto"/>
        <w:ind w:left="720"/>
        <w:jc w:val="both"/>
        <w:textAlignment w:val="baseline"/>
        <w:rPr>
          <w:rFonts w:ascii="Segoe UI" w:hAnsi="Segoe UI" w:cs="Segoe UI"/>
          <w:sz w:val="18"/>
          <w:szCs w:val="18"/>
        </w:rPr>
      </w:pPr>
      <w:r w:rsidRPr="00F63A3A">
        <w:rPr>
          <w:rStyle w:val="normaltextrun"/>
          <w:rFonts w:ascii="Arial" w:hAnsi="Arial" w:cs="Arial"/>
        </w:rPr>
        <w:t>Name:</w:t>
      </w:r>
      <w:r w:rsidR="002E254B" w:rsidRPr="00F63A3A">
        <w:rPr>
          <w:rStyle w:val="normaltextrun"/>
          <w:rFonts w:ascii="Arial" w:hAnsi="Arial" w:cs="Arial"/>
        </w:rPr>
        <w:t xml:space="preserve"> </w:t>
      </w:r>
      <w:r w:rsidR="002E254B" w:rsidRPr="00F63A3A">
        <w:rPr>
          <w:rFonts w:ascii="Arial" w:hAnsi="Arial" w:cs="Arial"/>
        </w:rPr>
        <w:t>Donata Nagliute</w:t>
      </w:r>
    </w:p>
    <w:p w14:paraId="4A34C96C" w14:textId="4DD8807D" w:rsidR="00E46ABB" w:rsidRPr="00F63A3A" w:rsidRDefault="00E46ABB" w:rsidP="00475695">
      <w:pPr>
        <w:pStyle w:val="paragraph"/>
        <w:spacing w:before="0" w:beforeAutospacing="0" w:after="0" w:afterAutospacing="0" w:line="360" w:lineRule="auto"/>
        <w:ind w:left="720"/>
        <w:jc w:val="both"/>
        <w:textAlignment w:val="baseline"/>
        <w:rPr>
          <w:rFonts w:ascii="Segoe UI" w:hAnsi="Segoe UI" w:cs="Segoe UI"/>
          <w:sz w:val="18"/>
          <w:szCs w:val="18"/>
        </w:rPr>
      </w:pPr>
      <w:r w:rsidRPr="00F63A3A">
        <w:rPr>
          <w:rStyle w:val="normaltextrun"/>
          <w:rFonts w:ascii="Arial" w:hAnsi="Arial" w:cs="Arial"/>
        </w:rPr>
        <w:t>Student ID</w:t>
      </w:r>
      <w:r w:rsidR="00F63A3A" w:rsidRPr="00F63A3A">
        <w:rPr>
          <w:rStyle w:val="normaltextrun"/>
          <w:rFonts w:ascii="Arial" w:hAnsi="Arial" w:cs="Arial"/>
        </w:rPr>
        <w:t xml:space="preserve"> </w:t>
      </w:r>
      <w:r w:rsidR="00F63A3A" w:rsidRPr="00F63A3A">
        <w:rPr>
          <w:rFonts w:ascii="Arial" w:hAnsi="Arial" w:cs="Arial"/>
        </w:rPr>
        <w:t>2512677</w:t>
      </w:r>
    </w:p>
    <w:p w14:paraId="6620054E" w14:textId="77777777" w:rsidR="00E46ABB" w:rsidRPr="00F63A3A" w:rsidRDefault="00E46ABB" w:rsidP="00475695">
      <w:pPr>
        <w:spacing w:line="360" w:lineRule="auto"/>
        <w:ind w:left="720"/>
        <w:jc w:val="both"/>
        <w:rPr>
          <w:rFonts w:ascii="Arial" w:hAnsi="Arial" w:cs="Arial"/>
          <w:color w:val="auto"/>
          <w:sz w:val="24"/>
          <w:szCs w:val="24"/>
        </w:rPr>
      </w:pPr>
    </w:p>
    <w:p w14:paraId="75786FB4" w14:textId="77777777" w:rsidR="00E46ABB" w:rsidRPr="00F63A3A" w:rsidRDefault="00E46ABB" w:rsidP="00475695">
      <w:pPr>
        <w:ind w:left="720"/>
        <w:jc w:val="both"/>
        <w:rPr>
          <w:rFonts w:ascii="Arial" w:hAnsi="Arial" w:cs="Arial"/>
          <w:color w:val="auto"/>
          <w:sz w:val="24"/>
          <w:szCs w:val="24"/>
        </w:rPr>
      </w:pPr>
    </w:p>
    <w:p w14:paraId="4A76676A" w14:textId="77777777" w:rsidR="005B44A0" w:rsidRDefault="00F46800" w:rsidP="002842C1">
      <w:pPr>
        <w:rPr>
          <w:rFonts w:ascii="Arial" w:hAnsi="Arial"/>
          <w:b/>
          <w:bCs/>
          <w:color w:val="auto"/>
          <w:sz w:val="24"/>
          <w:szCs w:val="24"/>
        </w:rPr>
      </w:pPr>
      <w:r>
        <w:rPr>
          <w:rFonts w:ascii="Arial" w:hAnsi="Arial"/>
          <w:b/>
          <w:bCs/>
          <w:color w:val="auto"/>
          <w:sz w:val="24"/>
          <w:szCs w:val="24"/>
        </w:rPr>
        <w:br w:type="page"/>
      </w:r>
    </w:p>
    <w:sdt>
      <w:sdtPr>
        <w:rPr>
          <w:rFonts w:asciiTheme="minorHAnsi" w:eastAsiaTheme="minorHAnsi" w:hAnsiTheme="minorHAnsi" w:cstheme="minorBidi"/>
          <w:sz w:val="20"/>
          <w:szCs w:val="20"/>
        </w:rPr>
        <w:id w:val="367417438"/>
        <w:docPartObj>
          <w:docPartGallery w:val="Table of Contents"/>
          <w:docPartUnique/>
        </w:docPartObj>
      </w:sdtPr>
      <w:sdtEndPr>
        <w:rPr>
          <w:b/>
          <w:bCs/>
          <w:noProof/>
          <w:color w:val="auto"/>
        </w:rPr>
      </w:sdtEndPr>
      <w:sdtContent>
        <w:p w14:paraId="3CA18E5E" w14:textId="77777777" w:rsidR="009D7598" w:rsidRPr="009D7598" w:rsidRDefault="00E8379D" w:rsidP="00656624">
          <w:pPr>
            <w:pStyle w:val="TOCHeading"/>
            <w:spacing w:line="360" w:lineRule="auto"/>
            <w:rPr>
              <w:noProof/>
              <w:color w:val="auto"/>
            </w:rPr>
          </w:pPr>
          <w:r w:rsidRPr="003D3BBE">
            <w:rPr>
              <w:rFonts w:ascii="Arial" w:hAnsi="Arial"/>
              <w:b/>
              <w:bCs/>
              <w:color w:val="auto"/>
              <w:sz w:val="28"/>
              <w:szCs w:val="28"/>
            </w:rPr>
            <w:t xml:space="preserve">Table of </w:t>
          </w:r>
          <w:r w:rsidR="005161E4" w:rsidRPr="003D3BBE">
            <w:rPr>
              <w:rFonts w:ascii="Arial" w:hAnsi="Arial"/>
              <w:b/>
              <w:bCs/>
              <w:color w:val="auto"/>
              <w:sz w:val="28"/>
              <w:szCs w:val="28"/>
            </w:rPr>
            <w:t>Contents</w:t>
          </w:r>
          <w:r w:rsidR="005161E4" w:rsidRPr="009D7598">
            <w:rPr>
              <w:rFonts w:ascii="Arial" w:hAnsi="Arial"/>
              <w:color w:val="auto"/>
              <w:sz w:val="24"/>
              <w:szCs w:val="24"/>
            </w:rPr>
            <w:fldChar w:fldCharType="begin"/>
          </w:r>
          <w:r w:rsidR="005161E4" w:rsidRPr="009D7598">
            <w:rPr>
              <w:rFonts w:ascii="Arial" w:hAnsi="Arial"/>
              <w:color w:val="auto"/>
              <w:sz w:val="24"/>
              <w:szCs w:val="24"/>
            </w:rPr>
            <w:instrText xml:space="preserve"> TOC \o "1-3" \h \z \u </w:instrText>
          </w:r>
          <w:r w:rsidR="005161E4" w:rsidRPr="009D7598">
            <w:rPr>
              <w:rFonts w:ascii="Arial" w:hAnsi="Arial"/>
              <w:color w:val="auto"/>
              <w:sz w:val="24"/>
              <w:szCs w:val="24"/>
            </w:rPr>
            <w:fldChar w:fldCharType="separate"/>
          </w:r>
        </w:p>
        <w:p w14:paraId="7285FF1D" w14:textId="38321896"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6" w:history="1">
            <w:r w:rsidRPr="005A28EB">
              <w:rPr>
                <w:rStyle w:val="Hyperlink"/>
                <w:rFonts w:ascii="Arial" w:hAnsi="Arial" w:cs="Arial"/>
                <w:noProof/>
                <w:color w:val="auto"/>
                <w:sz w:val="24"/>
                <w:szCs w:val="24"/>
              </w:rPr>
              <w:t>Executive Summary</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_Toc223467506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w:t>
            </w:r>
            <w:r w:rsidRPr="005A28EB">
              <w:rPr>
                <w:rFonts w:ascii="Arial" w:hAnsi="Arial" w:cs="Arial"/>
                <w:noProof/>
                <w:webHidden/>
                <w:color w:val="auto"/>
                <w:sz w:val="24"/>
                <w:szCs w:val="24"/>
              </w:rPr>
              <w:fldChar w:fldCharType="end"/>
            </w:r>
          </w:hyperlink>
        </w:p>
        <w:p w14:paraId="1998F6F2" w14:textId="4F932662"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7" w:history="1">
            <w:r w:rsidRPr="005A28EB">
              <w:rPr>
                <w:rStyle w:val="Hyperlink"/>
                <w:rFonts w:ascii="Arial" w:hAnsi="Arial" w:cs="Arial"/>
                <w:noProof/>
                <w:color w:val="auto"/>
                <w:sz w:val="24"/>
                <w:szCs w:val="24"/>
              </w:rPr>
              <w:t>Part 1</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_Toc223467507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2</w:t>
            </w:r>
            <w:r w:rsidRPr="005A28EB">
              <w:rPr>
                <w:rFonts w:ascii="Arial" w:hAnsi="Arial" w:cs="Arial"/>
                <w:noProof/>
                <w:webHidden/>
                <w:color w:val="auto"/>
                <w:sz w:val="24"/>
                <w:szCs w:val="24"/>
              </w:rPr>
              <w:fldChar w:fldCharType="end"/>
            </w:r>
          </w:hyperlink>
        </w:p>
        <w:p w14:paraId="1C465BB0" w14:textId="7444E15C"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8" w:history="1">
            <w:r w:rsidRPr="005A28EB">
              <w:rPr>
                <w:rStyle w:val="Hyperlink"/>
                <w:rFonts w:ascii="Arial" w:hAnsi="Arial" w:cs="Arial"/>
                <w:noProof/>
                <w:color w:val="auto"/>
                <w:sz w:val="24"/>
                <w:szCs w:val="24"/>
              </w:rPr>
              <w:t>Introduction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_Toc223467508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2</w:t>
            </w:r>
            <w:r w:rsidRPr="005A28EB">
              <w:rPr>
                <w:rFonts w:ascii="Arial" w:hAnsi="Arial" w:cs="Arial"/>
                <w:noProof/>
                <w:webHidden/>
                <w:color w:val="auto"/>
                <w:sz w:val="24"/>
                <w:szCs w:val="24"/>
              </w:rPr>
              <w:fldChar w:fldCharType="end"/>
            </w:r>
          </w:hyperlink>
        </w:p>
        <w:p w14:paraId="52382423" w14:textId="603CBB56"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9" w:history="1">
            <w:r w:rsidRPr="005A28EB">
              <w:rPr>
                <w:rStyle w:val="Hyperlink"/>
                <w:rFonts w:ascii="Arial" w:hAnsi="Arial" w:cs="Arial"/>
                <w:noProof/>
                <w:color w:val="auto"/>
                <w:sz w:val="24"/>
                <w:szCs w:val="24"/>
              </w:rPr>
              <w:t>Literature Review</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_Toc223467509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3</w:t>
            </w:r>
            <w:r w:rsidRPr="005A28EB">
              <w:rPr>
                <w:rFonts w:ascii="Arial" w:hAnsi="Arial" w:cs="Arial"/>
                <w:noProof/>
                <w:webHidden/>
                <w:color w:val="auto"/>
                <w:sz w:val="24"/>
                <w:szCs w:val="24"/>
              </w:rPr>
              <w:fldChar w:fldCharType="end"/>
            </w:r>
          </w:hyperlink>
        </w:p>
        <w:p w14:paraId="4ECF2B34" w14:textId="3313C008"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0" w:history="1">
            <w:r w:rsidRPr="005A28EB">
              <w:rPr>
                <w:rStyle w:val="Hyperlink"/>
                <w:rFonts w:ascii="Arial" w:hAnsi="Arial" w:cs="Arial"/>
                <w:noProof/>
                <w:color w:val="auto"/>
                <w:sz w:val="24"/>
                <w:szCs w:val="24"/>
              </w:rPr>
              <w:t>Problem definition and variable identification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_Toc223467510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4</w:t>
            </w:r>
            <w:r w:rsidRPr="005A28EB">
              <w:rPr>
                <w:rFonts w:ascii="Arial" w:hAnsi="Arial" w:cs="Arial"/>
                <w:noProof/>
                <w:webHidden/>
                <w:color w:val="auto"/>
                <w:sz w:val="24"/>
                <w:szCs w:val="24"/>
              </w:rPr>
              <w:fldChar w:fldCharType="end"/>
            </w:r>
          </w:hyperlink>
        </w:p>
        <w:p w14:paraId="7CB95795" w14:textId="5CB6230D"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1" w:history="1">
            <w:r w:rsidRPr="005A28EB">
              <w:rPr>
                <w:rStyle w:val="Hyperlink"/>
                <w:rFonts w:ascii="Arial" w:hAnsi="Arial" w:cs="Arial"/>
                <w:noProof/>
                <w:color w:val="auto"/>
                <w:sz w:val="24"/>
                <w:szCs w:val="24"/>
              </w:rPr>
              <w:t>Data Collection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_Toc223467511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5</w:t>
            </w:r>
            <w:r w:rsidRPr="005A28EB">
              <w:rPr>
                <w:rFonts w:ascii="Arial" w:hAnsi="Arial" w:cs="Arial"/>
                <w:noProof/>
                <w:webHidden/>
                <w:color w:val="auto"/>
                <w:sz w:val="24"/>
                <w:szCs w:val="24"/>
              </w:rPr>
              <w:fldChar w:fldCharType="end"/>
            </w:r>
          </w:hyperlink>
        </w:p>
        <w:p w14:paraId="6D61EC55" w14:textId="7588C972"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2" w:history="1">
            <w:r w:rsidRPr="005A28EB">
              <w:rPr>
                <w:rStyle w:val="Hyperlink"/>
                <w:rFonts w:ascii="Arial" w:hAnsi="Arial" w:cs="Arial"/>
                <w:noProof/>
                <w:color w:val="auto"/>
                <w:sz w:val="24"/>
                <w:szCs w:val="24"/>
              </w:rPr>
              <w:t>Data Preparation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_Toc223467512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6</w:t>
            </w:r>
            <w:r w:rsidRPr="005A28EB">
              <w:rPr>
                <w:rFonts w:ascii="Arial" w:hAnsi="Arial" w:cs="Arial"/>
                <w:noProof/>
                <w:webHidden/>
                <w:color w:val="auto"/>
                <w:sz w:val="24"/>
                <w:szCs w:val="24"/>
              </w:rPr>
              <w:fldChar w:fldCharType="end"/>
            </w:r>
          </w:hyperlink>
        </w:p>
        <w:p w14:paraId="60B466CC" w14:textId="07E4707B"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3" w:history="1">
            <w:r w:rsidRPr="005A28EB">
              <w:rPr>
                <w:rStyle w:val="Hyperlink"/>
                <w:rFonts w:ascii="Arial" w:hAnsi="Arial" w:cs="Arial"/>
                <w:noProof/>
                <w:color w:val="auto"/>
                <w:sz w:val="24"/>
                <w:szCs w:val="24"/>
              </w:rPr>
              <w:t>Data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_Toc223467513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7</w:t>
            </w:r>
            <w:r w:rsidRPr="005A28EB">
              <w:rPr>
                <w:rFonts w:ascii="Arial" w:hAnsi="Arial" w:cs="Arial"/>
                <w:noProof/>
                <w:webHidden/>
                <w:color w:val="auto"/>
                <w:sz w:val="24"/>
                <w:szCs w:val="24"/>
              </w:rPr>
              <w:fldChar w:fldCharType="end"/>
            </w:r>
          </w:hyperlink>
        </w:p>
        <w:p w14:paraId="03D88BEF" w14:textId="5463D25E" w:rsidR="009D7598" w:rsidRPr="005A28EB" w:rsidRDefault="009D7598">
          <w:pPr>
            <w:pStyle w:val="TOC3"/>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4" w:history="1">
            <w:r w:rsidRPr="005A28EB">
              <w:rPr>
                <w:rStyle w:val="Hyperlink"/>
                <w:rFonts w:ascii="Arial" w:hAnsi="Arial" w:cs="Arial"/>
                <w:noProof/>
                <w:color w:val="auto"/>
                <w:sz w:val="24"/>
                <w:szCs w:val="24"/>
              </w:rPr>
              <w:t>Descriptive statistical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_Toc223467514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7</w:t>
            </w:r>
            <w:r w:rsidRPr="005A28EB">
              <w:rPr>
                <w:rFonts w:ascii="Arial" w:hAnsi="Arial" w:cs="Arial"/>
                <w:noProof/>
                <w:webHidden/>
                <w:color w:val="auto"/>
                <w:sz w:val="24"/>
                <w:szCs w:val="24"/>
              </w:rPr>
              <w:fldChar w:fldCharType="end"/>
            </w:r>
          </w:hyperlink>
        </w:p>
        <w:p w14:paraId="257D11EA" w14:textId="48BE2C66" w:rsidR="009D7598" w:rsidRPr="005A28EB" w:rsidRDefault="009D7598">
          <w:pPr>
            <w:pStyle w:val="TOC3"/>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5" w:history="1">
            <w:r w:rsidRPr="005A28EB">
              <w:rPr>
                <w:rStyle w:val="Hyperlink"/>
                <w:rFonts w:ascii="Arial" w:hAnsi="Arial" w:cs="Arial"/>
                <w:noProof/>
                <w:color w:val="auto"/>
                <w:sz w:val="24"/>
                <w:szCs w:val="24"/>
              </w:rPr>
              <w:t>Correlation and regression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_Toc223467515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8</w:t>
            </w:r>
            <w:r w:rsidRPr="005A28EB">
              <w:rPr>
                <w:rFonts w:ascii="Arial" w:hAnsi="Arial" w:cs="Arial"/>
                <w:noProof/>
                <w:webHidden/>
                <w:color w:val="auto"/>
                <w:sz w:val="24"/>
                <w:szCs w:val="24"/>
              </w:rPr>
              <w:fldChar w:fldCharType="end"/>
            </w:r>
          </w:hyperlink>
        </w:p>
        <w:p w14:paraId="4A24F96D" w14:textId="59143FC5"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6" w:history="1">
            <w:r w:rsidRPr="005A28EB">
              <w:rPr>
                <w:rStyle w:val="Hyperlink"/>
                <w:rFonts w:ascii="Arial" w:hAnsi="Arial" w:cs="Arial"/>
                <w:noProof/>
                <w:color w:val="auto"/>
                <w:sz w:val="24"/>
                <w:szCs w:val="24"/>
              </w:rPr>
              <w:t>Discussion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_Toc223467516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9</w:t>
            </w:r>
            <w:r w:rsidRPr="005A28EB">
              <w:rPr>
                <w:rFonts w:ascii="Arial" w:hAnsi="Arial" w:cs="Arial"/>
                <w:noProof/>
                <w:webHidden/>
                <w:color w:val="auto"/>
                <w:sz w:val="24"/>
                <w:szCs w:val="24"/>
              </w:rPr>
              <w:fldChar w:fldCharType="end"/>
            </w:r>
          </w:hyperlink>
        </w:p>
        <w:p w14:paraId="0781A604" w14:textId="415E7FD1"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7" w:history="1">
            <w:r w:rsidRPr="005A28EB">
              <w:rPr>
                <w:rStyle w:val="Hyperlink"/>
                <w:rFonts w:ascii="Arial" w:hAnsi="Arial" w:cs="Arial"/>
                <w:noProof/>
                <w:color w:val="auto"/>
                <w:sz w:val="24"/>
                <w:szCs w:val="24"/>
              </w:rPr>
              <w:t>Conclusion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_Toc223467517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12</w:t>
            </w:r>
            <w:r w:rsidRPr="005A28EB">
              <w:rPr>
                <w:rFonts w:ascii="Arial" w:hAnsi="Arial" w:cs="Arial"/>
                <w:noProof/>
                <w:webHidden/>
                <w:color w:val="auto"/>
                <w:sz w:val="24"/>
                <w:szCs w:val="24"/>
              </w:rPr>
              <w:fldChar w:fldCharType="end"/>
            </w:r>
          </w:hyperlink>
        </w:p>
        <w:p w14:paraId="13CA8BA6" w14:textId="53A7ACB1"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8" w:history="1">
            <w:r w:rsidRPr="005A28EB">
              <w:rPr>
                <w:rStyle w:val="Hyperlink"/>
                <w:rFonts w:ascii="Arial" w:hAnsi="Arial" w:cs="Arial"/>
                <w:noProof/>
                <w:color w:val="auto"/>
                <w:sz w:val="24"/>
                <w:szCs w:val="24"/>
              </w:rPr>
              <w:t>Part 2</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_Toc223467518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13</w:t>
            </w:r>
            <w:r w:rsidRPr="005A28EB">
              <w:rPr>
                <w:rFonts w:ascii="Arial" w:hAnsi="Arial" w:cs="Arial"/>
                <w:noProof/>
                <w:webHidden/>
                <w:color w:val="auto"/>
                <w:sz w:val="24"/>
                <w:szCs w:val="24"/>
              </w:rPr>
              <w:fldChar w:fldCharType="end"/>
            </w:r>
          </w:hyperlink>
        </w:p>
        <w:p w14:paraId="5C5C0884" w14:textId="3BC75745"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9" w:history="1">
            <w:r w:rsidRPr="005A28EB">
              <w:rPr>
                <w:rStyle w:val="Hyperlink"/>
                <w:rFonts w:ascii="Arial" w:hAnsi="Arial" w:cs="Arial"/>
                <w:noProof/>
                <w:color w:val="auto"/>
                <w:sz w:val="24"/>
                <w:szCs w:val="24"/>
              </w:rPr>
              <w:t>Coloplast’s Five-Year Financial Data Analysis (Coloplast, 2025b)</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_Toc223467519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13</w:t>
            </w:r>
            <w:r w:rsidRPr="005A28EB">
              <w:rPr>
                <w:rFonts w:ascii="Arial" w:hAnsi="Arial" w:cs="Arial"/>
                <w:noProof/>
                <w:webHidden/>
                <w:color w:val="auto"/>
                <w:sz w:val="24"/>
                <w:szCs w:val="24"/>
              </w:rPr>
              <w:fldChar w:fldCharType="end"/>
            </w:r>
          </w:hyperlink>
        </w:p>
        <w:p w14:paraId="51BF860C" w14:textId="51449AD1" w:rsidR="009D7598" w:rsidRPr="009D7598" w:rsidRDefault="009D7598">
          <w:pPr>
            <w:pStyle w:val="TOC1"/>
            <w:tabs>
              <w:tab w:val="right" w:leader="dot" w:pos="9854"/>
            </w:tabs>
            <w:rPr>
              <w:rFonts w:asciiTheme="minorHAnsi" w:eastAsiaTheme="minorEastAsia" w:hAnsiTheme="minorHAnsi"/>
              <w:noProof/>
              <w:color w:val="auto"/>
              <w:kern w:val="2"/>
              <w:sz w:val="24"/>
              <w:szCs w:val="24"/>
              <w:lang w:eastAsia="en-GB"/>
              <w14:ligatures w14:val="standardContextual"/>
            </w:rPr>
          </w:pPr>
          <w:hyperlink w:anchor="_Toc223467520" w:history="1">
            <w:r w:rsidRPr="005A28EB">
              <w:rPr>
                <w:rStyle w:val="Hyperlink"/>
                <w:rFonts w:ascii="Arial" w:hAnsi="Arial" w:cs="Arial"/>
                <w:noProof/>
                <w:color w:val="auto"/>
                <w:sz w:val="24"/>
                <w:szCs w:val="24"/>
              </w:rPr>
              <w:t>Appendix</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_Toc223467520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5A28EB">
              <w:rPr>
                <w:rFonts w:ascii="Arial" w:hAnsi="Arial" w:cs="Arial"/>
                <w:noProof/>
                <w:webHidden/>
                <w:color w:val="auto"/>
                <w:sz w:val="24"/>
                <w:szCs w:val="24"/>
              </w:rPr>
              <w:fldChar w:fldCharType="end"/>
            </w:r>
          </w:hyperlink>
        </w:p>
        <w:p w14:paraId="3B8648E3" w14:textId="7A7B61E6" w:rsidR="009D7598" w:rsidRPr="003D3BBE"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21" w:history="1">
            <w:r w:rsidRPr="003D3BBE">
              <w:rPr>
                <w:rStyle w:val="Hyperlink"/>
                <w:rFonts w:ascii="Arial" w:hAnsi="Arial" w:cs="Arial"/>
                <w:noProof/>
                <w:color w:val="auto"/>
                <w:sz w:val="24"/>
                <w:szCs w:val="24"/>
              </w:rPr>
              <w:t>References</w:t>
            </w:r>
            <w:r w:rsidRPr="003D3BBE">
              <w:rPr>
                <w:rFonts w:ascii="Arial" w:hAnsi="Arial" w:cs="Arial"/>
                <w:noProof/>
                <w:webHidden/>
                <w:color w:val="auto"/>
                <w:sz w:val="24"/>
                <w:szCs w:val="24"/>
              </w:rPr>
              <w:tab/>
            </w:r>
            <w:r w:rsidRPr="003D3BBE">
              <w:rPr>
                <w:rFonts w:ascii="Arial" w:hAnsi="Arial" w:cs="Arial"/>
                <w:noProof/>
                <w:webHidden/>
                <w:color w:val="auto"/>
                <w:sz w:val="24"/>
                <w:szCs w:val="24"/>
              </w:rPr>
              <w:fldChar w:fldCharType="begin"/>
            </w:r>
            <w:r w:rsidRPr="003D3BBE">
              <w:rPr>
                <w:rFonts w:ascii="Arial" w:hAnsi="Arial" w:cs="Arial"/>
                <w:noProof/>
                <w:webHidden/>
                <w:color w:val="auto"/>
                <w:sz w:val="24"/>
                <w:szCs w:val="24"/>
              </w:rPr>
              <w:instrText xml:space="preserve"> PAGEREF _Toc223467521 \h </w:instrText>
            </w:r>
            <w:r w:rsidRPr="003D3BBE">
              <w:rPr>
                <w:rFonts w:ascii="Arial" w:hAnsi="Arial" w:cs="Arial"/>
                <w:noProof/>
                <w:webHidden/>
                <w:color w:val="auto"/>
                <w:sz w:val="24"/>
                <w:szCs w:val="24"/>
              </w:rPr>
            </w:r>
            <w:r w:rsidRPr="003D3BBE">
              <w:rPr>
                <w:rFonts w:ascii="Arial" w:hAnsi="Arial" w:cs="Arial"/>
                <w:noProof/>
                <w:webHidden/>
                <w:color w:val="auto"/>
                <w:sz w:val="24"/>
                <w:szCs w:val="24"/>
              </w:rPr>
              <w:fldChar w:fldCharType="separate"/>
            </w:r>
            <w:r w:rsidR="004A697B">
              <w:rPr>
                <w:rFonts w:ascii="Arial" w:hAnsi="Arial" w:cs="Arial"/>
                <w:noProof/>
                <w:webHidden/>
                <w:color w:val="auto"/>
                <w:sz w:val="24"/>
                <w:szCs w:val="24"/>
              </w:rPr>
              <w:t>22</w:t>
            </w:r>
            <w:r w:rsidRPr="003D3BBE">
              <w:rPr>
                <w:rFonts w:ascii="Arial" w:hAnsi="Arial" w:cs="Arial"/>
                <w:noProof/>
                <w:webHidden/>
                <w:color w:val="auto"/>
                <w:sz w:val="24"/>
                <w:szCs w:val="24"/>
              </w:rPr>
              <w:fldChar w:fldCharType="end"/>
            </w:r>
          </w:hyperlink>
        </w:p>
        <w:p w14:paraId="43DF9C87" w14:textId="3993DC04" w:rsidR="005161E4" w:rsidRPr="009D7598" w:rsidRDefault="005161E4">
          <w:pPr>
            <w:rPr>
              <w:color w:val="auto"/>
            </w:rPr>
          </w:pPr>
          <w:r w:rsidRPr="009D7598">
            <w:rPr>
              <w:rFonts w:ascii="Arial" w:hAnsi="Arial" w:cs="Arial"/>
              <w:b/>
              <w:bCs/>
              <w:noProof/>
              <w:color w:val="auto"/>
              <w:sz w:val="24"/>
              <w:szCs w:val="24"/>
            </w:rPr>
            <w:fldChar w:fldCharType="end"/>
          </w:r>
        </w:p>
      </w:sdtContent>
    </w:sdt>
    <w:p w14:paraId="6C8164F9" w14:textId="3BAA687D" w:rsidR="007143A9" w:rsidRDefault="007143A9" w:rsidP="002842C1">
      <w:pPr>
        <w:rPr>
          <w:rFonts w:ascii="Arial" w:hAnsi="Arial"/>
          <w:b/>
          <w:bCs/>
          <w:color w:val="auto"/>
          <w:sz w:val="24"/>
          <w:szCs w:val="24"/>
        </w:rPr>
      </w:pPr>
      <w:r>
        <w:rPr>
          <w:rFonts w:ascii="Arial" w:hAnsi="Arial"/>
          <w:b/>
          <w:bCs/>
          <w:color w:val="auto"/>
          <w:sz w:val="24"/>
          <w:szCs w:val="24"/>
        </w:rPr>
        <w:br w:type="page"/>
      </w:r>
    </w:p>
    <w:p w14:paraId="6EAED1CC" w14:textId="73EA853F" w:rsidR="00D46D58" w:rsidRPr="00E253AD" w:rsidRDefault="00EF2EA1" w:rsidP="00E253AD">
      <w:pPr>
        <w:pStyle w:val="paragraph"/>
        <w:spacing w:before="0" w:beforeAutospacing="0" w:after="0" w:afterAutospacing="0" w:line="360" w:lineRule="auto"/>
        <w:textAlignment w:val="baseline"/>
        <w:rPr>
          <w:rFonts w:ascii="Arial" w:hAnsi="Arial" w:cs="Arial"/>
          <w:noProof/>
          <w:sz w:val="28"/>
          <w:szCs w:val="28"/>
        </w:rPr>
      </w:pPr>
      <w:r w:rsidRPr="00E253AD">
        <w:rPr>
          <w:rFonts w:ascii="Arial" w:hAnsi="Arial" w:cs="Arial"/>
          <w:b/>
          <w:bCs/>
          <w:sz w:val="28"/>
          <w:szCs w:val="28"/>
        </w:rPr>
        <w:lastRenderedPageBreak/>
        <w:t>L</w:t>
      </w:r>
      <w:r w:rsidR="00AE264A" w:rsidRPr="00E253AD">
        <w:rPr>
          <w:rFonts w:ascii="Arial" w:hAnsi="Arial" w:cs="Arial"/>
          <w:b/>
          <w:bCs/>
          <w:sz w:val="28"/>
          <w:szCs w:val="28"/>
        </w:rPr>
        <w:t>ist of Tables</w:t>
      </w:r>
      <w:r w:rsidR="00D46D58" w:rsidRPr="00E253AD">
        <w:rPr>
          <w:rFonts w:ascii="Arial" w:hAnsi="Arial" w:cs="Arial"/>
          <w:b/>
          <w:bCs/>
          <w:sz w:val="28"/>
          <w:szCs w:val="28"/>
        </w:rPr>
        <w:fldChar w:fldCharType="begin"/>
      </w:r>
      <w:r w:rsidR="00D46D58" w:rsidRPr="00E253AD">
        <w:rPr>
          <w:rFonts w:ascii="Arial" w:hAnsi="Arial" w:cs="Arial"/>
          <w:b/>
          <w:bCs/>
          <w:sz w:val="28"/>
          <w:szCs w:val="28"/>
        </w:rPr>
        <w:instrText xml:space="preserve"> TOC \h \z \c "Table" </w:instrText>
      </w:r>
      <w:r w:rsidR="00D46D58" w:rsidRPr="00E253AD">
        <w:rPr>
          <w:rFonts w:ascii="Arial" w:hAnsi="Arial" w:cs="Arial"/>
          <w:b/>
          <w:bCs/>
          <w:sz w:val="28"/>
          <w:szCs w:val="28"/>
        </w:rPr>
        <w:fldChar w:fldCharType="separate"/>
      </w:r>
    </w:p>
    <w:p w14:paraId="5813D2A3" w14:textId="286CF452"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6" w:history="1">
        <w:r w:rsidRPr="00E253AD">
          <w:rPr>
            <w:rStyle w:val="Hyperlink"/>
            <w:rFonts w:ascii="Arial" w:hAnsi="Arial" w:cs="Arial"/>
            <w:noProof/>
            <w:color w:val="auto"/>
            <w:sz w:val="24"/>
            <w:szCs w:val="24"/>
          </w:rPr>
          <w:t>Table 1. Summary of data sources and collection methods</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_Toc222739266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E253AD">
          <w:rPr>
            <w:rFonts w:ascii="Arial" w:hAnsi="Arial" w:cs="Arial"/>
            <w:noProof/>
            <w:webHidden/>
            <w:color w:val="auto"/>
            <w:sz w:val="24"/>
            <w:szCs w:val="24"/>
          </w:rPr>
          <w:fldChar w:fldCharType="end"/>
        </w:r>
      </w:hyperlink>
    </w:p>
    <w:p w14:paraId="0B84AD75" w14:textId="375BA1DB"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7" w:history="1">
        <w:r w:rsidRPr="00E253AD">
          <w:rPr>
            <w:rStyle w:val="Hyperlink"/>
            <w:rFonts w:ascii="Arial" w:hAnsi="Arial" w:cs="Arial"/>
            <w:noProof/>
            <w:color w:val="auto"/>
            <w:sz w:val="24"/>
            <w:szCs w:val="24"/>
          </w:rPr>
          <w:t>Table 2. Sample pack cost breakdown</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_Toc222739267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E253AD">
          <w:rPr>
            <w:rFonts w:ascii="Arial" w:hAnsi="Arial" w:cs="Arial"/>
            <w:noProof/>
            <w:webHidden/>
            <w:color w:val="auto"/>
            <w:sz w:val="24"/>
            <w:szCs w:val="24"/>
          </w:rPr>
          <w:fldChar w:fldCharType="end"/>
        </w:r>
      </w:hyperlink>
    </w:p>
    <w:p w14:paraId="7BFF06BD" w14:textId="4A0C5E25"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8" w:history="1">
        <w:r w:rsidRPr="00E253AD">
          <w:rPr>
            <w:rStyle w:val="Hyperlink"/>
            <w:rFonts w:ascii="Arial" w:hAnsi="Arial" w:cs="Arial"/>
            <w:noProof/>
            <w:color w:val="auto"/>
            <w:sz w:val="24"/>
            <w:szCs w:val="24"/>
          </w:rPr>
          <w:t>Table 3. Cost range for sending a sample pack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_Toc222739268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18</w:t>
        </w:r>
        <w:r w:rsidRPr="00E253AD">
          <w:rPr>
            <w:rFonts w:ascii="Arial" w:hAnsi="Arial" w:cs="Arial"/>
            <w:noProof/>
            <w:webHidden/>
            <w:color w:val="auto"/>
            <w:sz w:val="24"/>
            <w:szCs w:val="24"/>
          </w:rPr>
          <w:fldChar w:fldCharType="end"/>
        </w:r>
      </w:hyperlink>
    </w:p>
    <w:p w14:paraId="01B28B6E" w14:textId="52927410"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9" w:history="1">
        <w:r w:rsidRPr="00E253AD">
          <w:rPr>
            <w:rStyle w:val="Hyperlink"/>
            <w:rFonts w:ascii="Arial" w:hAnsi="Arial" w:cs="Arial"/>
            <w:noProof/>
            <w:color w:val="auto"/>
            <w:sz w:val="24"/>
            <w:szCs w:val="24"/>
          </w:rPr>
          <w:t>Table 4. The sample pack and sample pouch - Total cost</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_Toc222739269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18</w:t>
        </w:r>
        <w:r w:rsidRPr="00E253AD">
          <w:rPr>
            <w:rFonts w:ascii="Arial" w:hAnsi="Arial" w:cs="Arial"/>
            <w:noProof/>
            <w:webHidden/>
            <w:color w:val="auto"/>
            <w:sz w:val="24"/>
            <w:szCs w:val="24"/>
          </w:rPr>
          <w:fldChar w:fldCharType="end"/>
        </w:r>
      </w:hyperlink>
    </w:p>
    <w:p w14:paraId="399BBDB9" w14:textId="184DE917"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0" w:history="1">
        <w:r w:rsidRPr="00E253AD">
          <w:rPr>
            <w:rStyle w:val="Hyperlink"/>
            <w:rFonts w:ascii="Arial" w:hAnsi="Arial" w:cs="Arial"/>
            <w:noProof/>
            <w:color w:val="auto"/>
            <w:sz w:val="24"/>
            <w:szCs w:val="24"/>
          </w:rPr>
          <w:t>Table 5. Linear regression model</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_Toc222739270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19</w:t>
        </w:r>
        <w:r w:rsidRPr="00E253AD">
          <w:rPr>
            <w:rFonts w:ascii="Arial" w:hAnsi="Arial" w:cs="Arial"/>
            <w:noProof/>
            <w:webHidden/>
            <w:color w:val="auto"/>
            <w:sz w:val="24"/>
            <w:szCs w:val="24"/>
          </w:rPr>
          <w:fldChar w:fldCharType="end"/>
        </w:r>
      </w:hyperlink>
    </w:p>
    <w:p w14:paraId="26CA35FB" w14:textId="347734D2"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1" w:history="1">
        <w:r w:rsidRPr="00E253AD">
          <w:rPr>
            <w:rStyle w:val="Hyperlink"/>
            <w:rFonts w:ascii="Arial" w:hAnsi="Arial" w:cs="Arial"/>
            <w:noProof/>
            <w:color w:val="auto"/>
            <w:sz w:val="24"/>
            <w:szCs w:val="24"/>
          </w:rPr>
          <w:t>Table 6. Current postage prices for Royal Mail.</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_Toc222739271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19</w:t>
        </w:r>
        <w:r w:rsidRPr="00E253AD">
          <w:rPr>
            <w:rFonts w:ascii="Arial" w:hAnsi="Arial" w:cs="Arial"/>
            <w:noProof/>
            <w:webHidden/>
            <w:color w:val="auto"/>
            <w:sz w:val="24"/>
            <w:szCs w:val="24"/>
          </w:rPr>
          <w:fldChar w:fldCharType="end"/>
        </w:r>
      </w:hyperlink>
    </w:p>
    <w:p w14:paraId="3685AB83" w14:textId="5878AF68"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2" w:history="1">
        <w:r w:rsidRPr="00E253AD">
          <w:rPr>
            <w:rStyle w:val="Hyperlink"/>
            <w:rFonts w:ascii="Arial" w:hAnsi="Arial" w:cs="Arial"/>
            <w:noProof/>
            <w:color w:val="auto"/>
            <w:sz w:val="24"/>
            <w:szCs w:val="24"/>
          </w:rPr>
          <w:t>Table 7. Cutting room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_Toc222739272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20</w:t>
        </w:r>
        <w:r w:rsidRPr="00E253AD">
          <w:rPr>
            <w:rFonts w:ascii="Arial" w:hAnsi="Arial" w:cs="Arial"/>
            <w:noProof/>
            <w:webHidden/>
            <w:color w:val="auto"/>
            <w:sz w:val="24"/>
            <w:szCs w:val="24"/>
          </w:rPr>
          <w:fldChar w:fldCharType="end"/>
        </w:r>
      </w:hyperlink>
    </w:p>
    <w:p w14:paraId="41118573" w14:textId="27675831"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3" w:history="1">
        <w:r w:rsidRPr="00E253AD">
          <w:rPr>
            <w:rStyle w:val="Hyperlink"/>
            <w:rFonts w:ascii="Arial" w:hAnsi="Arial" w:cs="Arial"/>
            <w:noProof/>
            <w:color w:val="auto"/>
            <w:sz w:val="24"/>
            <w:szCs w:val="24"/>
          </w:rPr>
          <w:t>Table 8. Homepacks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_Toc222739273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20</w:t>
        </w:r>
        <w:r w:rsidRPr="00E253AD">
          <w:rPr>
            <w:rFonts w:ascii="Arial" w:hAnsi="Arial" w:cs="Arial"/>
            <w:noProof/>
            <w:webHidden/>
            <w:color w:val="auto"/>
            <w:sz w:val="24"/>
            <w:szCs w:val="24"/>
          </w:rPr>
          <w:fldChar w:fldCharType="end"/>
        </w:r>
      </w:hyperlink>
    </w:p>
    <w:p w14:paraId="583963D8" w14:textId="1E3316AE"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4" w:history="1">
        <w:r w:rsidRPr="00E253AD">
          <w:rPr>
            <w:rStyle w:val="Hyperlink"/>
            <w:rFonts w:ascii="Arial" w:hAnsi="Arial" w:cs="Arial"/>
            <w:noProof/>
            <w:color w:val="auto"/>
            <w:sz w:val="24"/>
            <w:szCs w:val="24"/>
          </w:rPr>
          <w:t>Table 9. Charter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_Toc222739274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21</w:t>
        </w:r>
        <w:r w:rsidRPr="00E253AD">
          <w:rPr>
            <w:rFonts w:ascii="Arial" w:hAnsi="Arial" w:cs="Arial"/>
            <w:noProof/>
            <w:webHidden/>
            <w:color w:val="auto"/>
            <w:sz w:val="24"/>
            <w:szCs w:val="24"/>
          </w:rPr>
          <w:fldChar w:fldCharType="end"/>
        </w:r>
      </w:hyperlink>
    </w:p>
    <w:p w14:paraId="5CE33F6D" w14:textId="10FDABA7" w:rsidR="00B40ED1" w:rsidRPr="00656624" w:rsidRDefault="00D46D58" w:rsidP="00E253AD">
      <w:pPr>
        <w:pStyle w:val="paragraph"/>
        <w:spacing w:before="0" w:beforeAutospacing="0" w:after="0" w:afterAutospacing="0" w:line="360" w:lineRule="auto"/>
        <w:textAlignment w:val="baseline"/>
        <w:rPr>
          <w:rFonts w:ascii="Arial" w:hAnsi="Arial" w:cs="Arial"/>
          <w:b/>
          <w:bCs/>
        </w:rPr>
        <w:sectPr w:rsidR="00B40ED1" w:rsidRPr="00656624" w:rsidSect="00405C6F">
          <w:headerReference w:type="even" r:id="rId13"/>
          <w:headerReference w:type="default" r:id="rId14"/>
          <w:footerReference w:type="even" r:id="rId15"/>
          <w:footerReference w:type="default" r:id="rId16"/>
          <w:headerReference w:type="first" r:id="rId17"/>
          <w:footerReference w:type="first" r:id="rId18"/>
          <w:pgSz w:w="11906" w:h="16838" w:code="9"/>
          <w:pgMar w:top="1644" w:right="1021" w:bottom="1644" w:left="1021" w:header="590" w:footer="533" w:gutter="0"/>
          <w:cols w:space="708"/>
          <w:docGrid w:linePitch="360"/>
        </w:sectPr>
      </w:pPr>
      <w:r w:rsidRPr="00E253AD">
        <w:rPr>
          <w:rFonts w:ascii="Arial" w:hAnsi="Arial" w:cs="Arial"/>
          <w:b/>
          <w:bCs/>
        </w:rPr>
        <w:fldChar w:fldCharType="end"/>
      </w:r>
    </w:p>
    <w:p w14:paraId="2B86C66D" w14:textId="4F330D87" w:rsidR="00593121" w:rsidRPr="00AE264A" w:rsidRDefault="00126467" w:rsidP="00AE264A">
      <w:pPr>
        <w:pStyle w:val="Heading1"/>
        <w:rPr>
          <w:rFonts w:ascii="Arial" w:hAnsi="Arial"/>
          <w:sz w:val="28"/>
          <w:szCs w:val="28"/>
        </w:rPr>
      </w:pPr>
      <w:bookmarkStart w:id="4" w:name="_Toc223467506"/>
      <w:r w:rsidRPr="00AE264A">
        <w:rPr>
          <w:rFonts w:ascii="Arial" w:hAnsi="Arial"/>
          <w:sz w:val="28"/>
          <w:szCs w:val="28"/>
        </w:rPr>
        <w:lastRenderedPageBreak/>
        <w:t>Executive Summary</w:t>
      </w:r>
      <w:bookmarkEnd w:id="4"/>
    </w:p>
    <w:p w14:paraId="2D4284D6" w14:textId="0F07DF02" w:rsidR="00593121" w:rsidRPr="00593121" w:rsidRDefault="00593121" w:rsidP="00593121">
      <w:pPr>
        <w:spacing w:line="360" w:lineRule="auto"/>
        <w:jc w:val="both"/>
        <w:rPr>
          <w:rFonts w:ascii="Arial" w:hAnsi="Arial" w:cs="Arial"/>
          <w:color w:val="auto"/>
          <w:sz w:val="24"/>
          <w:szCs w:val="24"/>
        </w:rPr>
      </w:pPr>
      <w:r w:rsidRPr="00593121">
        <w:rPr>
          <w:rFonts w:ascii="Arial" w:hAnsi="Arial" w:cs="Arial"/>
          <w:color w:val="auto"/>
          <w:sz w:val="24"/>
          <w:szCs w:val="24"/>
        </w:rPr>
        <w:t xml:space="preserve">This </w:t>
      </w:r>
      <w:r w:rsidR="00842B22">
        <w:rPr>
          <w:rFonts w:ascii="Arial" w:hAnsi="Arial" w:cs="Arial"/>
          <w:color w:val="auto"/>
          <w:sz w:val="24"/>
          <w:szCs w:val="24"/>
        </w:rPr>
        <w:t>study investi</w:t>
      </w:r>
      <w:r w:rsidR="00CC1EB1">
        <w:rPr>
          <w:rFonts w:ascii="Arial" w:hAnsi="Arial" w:cs="Arial"/>
          <w:color w:val="auto"/>
          <w:sz w:val="24"/>
          <w:szCs w:val="24"/>
        </w:rPr>
        <w:t>gates</w:t>
      </w:r>
      <w:r w:rsidRPr="00593121">
        <w:rPr>
          <w:rFonts w:ascii="Arial" w:hAnsi="Arial" w:cs="Arial"/>
          <w:color w:val="auto"/>
          <w:sz w:val="24"/>
          <w:szCs w:val="24"/>
        </w:rPr>
        <w:t xml:space="preserve"> the </w:t>
      </w:r>
      <w:r w:rsidR="00EB2DD5" w:rsidRPr="00593121">
        <w:rPr>
          <w:rFonts w:ascii="Arial" w:hAnsi="Arial" w:cs="Arial"/>
          <w:color w:val="auto"/>
          <w:sz w:val="24"/>
          <w:szCs w:val="24"/>
        </w:rPr>
        <w:t>possibility</w:t>
      </w:r>
      <w:r w:rsidRPr="00593121">
        <w:rPr>
          <w:rFonts w:ascii="Arial" w:hAnsi="Arial" w:cs="Arial"/>
          <w:color w:val="auto"/>
          <w:sz w:val="24"/>
          <w:szCs w:val="24"/>
        </w:rPr>
        <w:t xml:space="preserve"> of replacing plastic pouches with paper-based envelopes in Coloplast’s consumer sample</w:t>
      </w:r>
      <w:r w:rsidR="00DA0B34">
        <w:rPr>
          <w:rFonts w:ascii="Arial" w:hAnsi="Arial" w:cs="Arial"/>
          <w:color w:val="auto"/>
          <w:sz w:val="24"/>
          <w:szCs w:val="24"/>
        </w:rPr>
        <w:t xml:space="preserve"> </w:t>
      </w:r>
      <w:r w:rsidRPr="00593121">
        <w:rPr>
          <w:rFonts w:ascii="Arial" w:hAnsi="Arial" w:cs="Arial"/>
          <w:color w:val="auto"/>
          <w:sz w:val="24"/>
          <w:szCs w:val="24"/>
        </w:rPr>
        <w:t>process.</w:t>
      </w:r>
      <w:r w:rsidR="00CE19E4">
        <w:rPr>
          <w:rFonts w:ascii="Arial" w:hAnsi="Arial" w:cs="Arial"/>
          <w:color w:val="auto"/>
          <w:sz w:val="24"/>
          <w:szCs w:val="24"/>
        </w:rPr>
        <w:t xml:space="preserve"> </w:t>
      </w:r>
      <w:r w:rsidRPr="00593121">
        <w:rPr>
          <w:rFonts w:ascii="Arial" w:hAnsi="Arial" w:cs="Arial"/>
          <w:color w:val="auto"/>
          <w:sz w:val="24"/>
          <w:szCs w:val="24"/>
        </w:rPr>
        <w:t xml:space="preserve">Descriptive findings </w:t>
      </w:r>
      <w:r w:rsidR="00CD6173">
        <w:rPr>
          <w:rFonts w:ascii="Arial" w:hAnsi="Arial" w:cs="Arial"/>
          <w:color w:val="auto"/>
          <w:sz w:val="24"/>
          <w:szCs w:val="24"/>
        </w:rPr>
        <w:t>suggest</w:t>
      </w:r>
      <w:r w:rsidRPr="00593121">
        <w:rPr>
          <w:rFonts w:ascii="Arial" w:hAnsi="Arial" w:cs="Arial"/>
          <w:color w:val="auto"/>
          <w:sz w:val="24"/>
          <w:szCs w:val="24"/>
        </w:rPr>
        <w:t xml:space="preserve"> that packaging represents </w:t>
      </w:r>
      <w:r w:rsidR="00F054B5">
        <w:rPr>
          <w:rFonts w:ascii="Arial" w:hAnsi="Arial" w:cs="Arial"/>
          <w:color w:val="auto"/>
          <w:sz w:val="24"/>
          <w:szCs w:val="24"/>
        </w:rPr>
        <w:t>about</w:t>
      </w:r>
      <w:r w:rsidRPr="00593121">
        <w:rPr>
          <w:rFonts w:ascii="Arial" w:hAnsi="Arial" w:cs="Arial"/>
          <w:color w:val="auto"/>
          <w:sz w:val="24"/>
          <w:szCs w:val="24"/>
        </w:rPr>
        <w:t xml:space="preserve"> one-third of </w:t>
      </w:r>
      <w:r w:rsidR="00F054B5">
        <w:rPr>
          <w:rFonts w:ascii="Arial" w:hAnsi="Arial" w:cs="Arial"/>
          <w:color w:val="auto"/>
          <w:sz w:val="24"/>
          <w:szCs w:val="24"/>
        </w:rPr>
        <w:t xml:space="preserve">the </w:t>
      </w:r>
      <w:r w:rsidRPr="00593121">
        <w:rPr>
          <w:rFonts w:ascii="Arial" w:hAnsi="Arial" w:cs="Arial"/>
          <w:color w:val="auto"/>
          <w:sz w:val="24"/>
          <w:szCs w:val="24"/>
        </w:rPr>
        <w:t xml:space="preserve">pack cost. </w:t>
      </w:r>
      <w:r w:rsidR="00822E2D">
        <w:rPr>
          <w:rFonts w:ascii="Arial" w:hAnsi="Arial" w:cs="Arial"/>
          <w:color w:val="auto"/>
          <w:sz w:val="24"/>
          <w:szCs w:val="24"/>
        </w:rPr>
        <w:t xml:space="preserve">The </w:t>
      </w:r>
      <w:r w:rsidRPr="00593121">
        <w:rPr>
          <w:rFonts w:ascii="Arial" w:hAnsi="Arial" w:cs="Arial"/>
          <w:color w:val="auto"/>
          <w:sz w:val="24"/>
          <w:szCs w:val="24"/>
        </w:rPr>
        <w:t>regression results (</w:t>
      </w:r>
      <w:r w:rsidR="00822E2D">
        <w:rPr>
          <w:rFonts w:ascii="Arial" w:hAnsi="Arial" w:cs="Arial"/>
          <w:color w:val="auto"/>
          <w:sz w:val="24"/>
          <w:szCs w:val="24"/>
        </w:rPr>
        <w:t>R2</w:t>
      </w:r>
      <w:r w:rsidR="002211A0">
        <w:rPr>
          <w:rFonts w:ascii="Arial" w:hAnsi="Arial" w:cs="Arial"/>
          <w:color w:val="auto"/>
          <w:sz w:val="24"/>
          <w:szCs w:val="24"/>
        </w:rPr>
        <w:t xml:space="preserve"> </w:t>
      </w:r>
      <w:r w:rsidR="002211A0">
        <w:rPr>
          <w:rFonts w:ascii="Arial" w:hAnsi="Arial" w:cs="Arial"/>
          <w:color w:val="auto"/>
          <w:sz w:val="24"/>
          <w:szCs w:val="24"/>
          <w:vertAlign w:val="superscript"/>
        </w:rPr>
        <w:t xml:space="preserve">= </w:t>
      </w:r>
      <w:r w:rsidRPr="00593121">
        <w:rPr>
          <w:rFonts w:ascii="Arial" w:hAnsi="Arial" w:cs="Arial"/>
          <w:color w:val="auto"/>
          <w:sz w:val="24"/>
          <w:szCs w:val="24"/>
        </w:rPr>
        <w:t xml:space="preserve">0.061) </w:t>
      </w:r>
      <w:r w:rsidR="000C6072">
        <w:rPr>
          <w:rFonts w:ascii="Arial" w:hAnsi="Arial" w:cs="Arial"/>
          <w:color w:val="auto"/>
          <w:sz w:val="24"/>
          <w:szCs w:val="24"/>
        </w:rPr>
        <w:t>show</w:t>
      </w:r>
      <w:r w:rsidRPr="00593121">
        <w:rPr>
          <w:rFonts w:ascii="Arial" w:hAnsi="Arial" w:cs="Arial"/>
          <w:color w:val="auto"/>
          <w:sz w:val="24"/>
          <w:szCs w:val="24"/>
        </w:rPr>
        <w:t xml:space="preserve"> that pouch unit </w:t>
      </w:r>
      <w:r w:rsidR="000C6072">
        <w:rPr>
          <w:rFonts w:ascii="Arial" w:hAnsi="Arial" w:cs="Arial"/>
          <w:color w:val="auto"/>
          <w:sz w:val="24"/>
          <w:szCs w:val="24"/>
        </w:rPr>
        <w:t>prices</w:t>
      </w:r>
      <w:r w:rsidRPr="00593121">
        <w:rPr>
          <w:rFonts w:ascii="Arial" w:hAnsi="Arial" w:cs="Arial"/>
          <w:color w:val="auto"/>
          <w:sz w:val="24"/>
          <w:szCs w:val="24"/>
        </w:rPr>
        <w:t xml:space="preserve"> explain </w:t>
      </w:r>
      <w:r w:rsidR="008D1F6C">
        <w:rPr>
          <w:rFonts w:ascii="Arial" w:hAnsi="Arial" w:cs="Arial"/>
          <w:color w:val="auto"/>
          <w:sz w:val="24"/>
          <w:szCs w:val="24"/>
        </w:rPr>
        <w:t>a low</w:t>
      </w:r>
      <w:r w:rsidRPr="00593121">
        <w:rPr>
          <w:rFonts w:ascii="Arial" w:hAnsi="Arial" w:cs="Arial"/>
          <w:color w:val="auto"/>
          <w:sz w:val="24"/>
          <w:szCs w:val="24"/>
        </w:rPr>
        <w:t xml:space="preserve"> proportion of overall cost</w:t>
      </w:r>
      <w:r w:rsidR="00167AF2">
        <w:rPr>
          <w:rFonts w:ascii="Arial" w:hAnsi="Arial" w:cs="Arial"/>
          <w:color w:val="auto"/>
          <w:sz w:val="24"/>
          <w:szCs w:val="24"/>
        </w:rPr>
        <w:t>.</w:t>
      </w:r>
      <w:r w:rsidRPr="00593121">
        <w:rPr>
          <w:rFonts w:ascii="Arial" w:hAnsi="Arial" w:cs="Arial"/>
          <w:color w:val="auto"/>
          <w:sz w:val="24"/>
          <w:szCs w:val="24"/>
        </w:rPr>
        <w:t xml:space="preserve"> </w:t>
      </w:r>
      <w:r w:rsidR="00C54383">
        <w:rPr>
          <w:rFonts w:ascii="Arial" w:hAnsi="Arial" w:cs="Arial"/>
          <w:color w:val="auto"/>
          <w:sz w:val="24"/>
          <w:szCs w:val="24"/>
        </w:rPr>
        <w:t>P</w:t>
      </w:r>
      <w:r w:rsidR="00167AF2">
        <w:rPr>
          <w:rFonts w:ascii="Arial" w:hAnsi="Arial" w:cs="Arial"/>
          <w:color w:val="auto"/>
          <w:sz w:val="24"/>
          <w:szCs w:val="24"/>
        </w:rPr>
        <w:t>roduct</w:t>
      </w:r>
      <w:r w:rsidRPr="00593121">
        <w:rPr>
          <w:rFonts w:ascii="Arial" w:hAnsi="Arial" w:cs="Arial"/>
          <w:color w:val="auto"/>
          <w:sz w:val="24"/>
          <w:szCs w:val="24"/>
        </w:rPr>
        <w:t xml:space="preserve"> composition appears to be the </w:t>
      </w:r>
      <w:r w:rsidR="00F36C3D">
        <w:rPr>
          <w:rFonts w:ascii="Arial" w:hAnsi="Arial" w:cs="Arial"/>
          <w:color w:val="auto"/>
          <w:sz w:val="24"/>
          <w:szCs w:val="24"/>
        </w:rPr>
        <w:t>main cost</w:t>
      </w:r>
      <w:r w:rsidRPr="00593121">
        <w:rPr>
          <w:rFonts w:ascii="Arial" w:hAnsi="Arial" w:cs="Arial"/>
          <w:color w:val="auto"/>
          <w:sz w:val="24"/>
          <w:szCs w:val="24"/>
        </w:rPr>
        <w:t xml:space="preserve"> driver. </w:t>
      </w:r>
      <w:r w:rsidR="001F4294" w:rsidRPr="001F4294">
        <w:rPr>
          <w:rFonts w:ascii="Arial" w:hAnsi="Arial" w:cs="Arial"/>
          <w:color w:val="auto"/>
          <w:sz w:val="24"/>
          <w:szCs w:val="24"/>
        </w:rPr>
        <w:t>However, unit cost comparisons show potential packaging savings of 60–77%</w:t>
      </w:r>
      <w:r w:rsidRPr="00593121">
        <w:rPr>
          <w:rFonts w:ascii="Arial" w:hAnsi="Arial" w:cs="Arial"/>
          <w:color w:val="auto"/>
          <w:sz w:val="24"/>
          <w:szCs w:val="24"/>
        </w:rPr>
        <w:t xml:space="preserve">. </w:t>
      </w:r>
      <w:r w:rsidR="0032128E">
        <w:rPr>
          <w:rFonts w:ascii="Arial" w:hAnsi="Arial" w:cs="Arial"/>
          <w:color w:val="auto"/>
          <w:sz w:val="24"/>
          <w:szCs w:val="24"/>
        </w:rPr>
        <w:t>Additionally, the R</w:t>
      </w:r>
      <w:r w:rsidRPr="00593121">
        <w:rPr>
          <w:rFonts w:ascii="Arial" w:hAnsi="Arial" w:cs="Arial"/>
          <w:color w:val="auto"/>
          <w:sz w:val="24"/>
          <w:szCs w:val="24"/>
        </w:rPr>
        <w:t xml:space="preserve">oyal Mail classification analysis </w:t>
      </w:r>
      <w:r w:rsidR="002430D4">
        <w:rPr>
          <w:rFonts w:ascii="Arial" w:hAnsi="Arial" w:cs="Arial"/>
          <w:color w:val="auto"/>
          <w:sz w:val="24"/>
          <w:szCs w:val="24"/>
        </w:rPr>
        <w:t xml:space="preserve">indicated </w:t>
      </w:r>
      <w:r w:rsidR="00E05532">
        <w:rPr>
          <w:rFonts w:ascii="Arial" w:hAnsi="Arial" w:cs="Arial"/>
          <w:color w:val="auto"/>
          <w:sz w:val="24"/>
          <w:szCs w:val="24"/>
        </w:rPr>
        <w:t>a possible saving</w:t>
      </w:r>
      <w:r w:rsidRPr="00593121">
        <w:rPr>
          <w:rFonts w:ascii="Arial" w:hAnsi="Arial" w:cs="Arial"/>
          <w:color w:val="auto"/>
          <w:sz w:val="24"/>
          <w:szCs w:val="24"/>
        </w:rPr>
        <w:t xml:space="preserve"> </w:t>
      </w:r>
      <w:r w:rsidR="001E3880">
        <w:rPr>
          <w:rFonts w:ascii="Arial" w:hAnsi="Arial" w:cs="Arial"/>
          <w:color w:val="auto"/>
          <w:sz w:val="24"/>
          <w:szCs w:val="24"/>
        </w:rPr>
        <w:t>of £ 0.11</w:t>
      </w:r>
      <w:r w:rsidR="00E05532">
        <w:rPr>
          <w:rFonts w:ascii="Arial" w:hAnsi="Arial" w:cs="Arial"/>
          <w:color w:val="auto"/>
          <w:sz w:val="24"/>
          <w:szCs w:val="24"/>
        </w:rPr>
        <w:t xml:space="preserve"> per order</w:t>
      </w:r>
      <w:r w:rsidRPr="00593121">
        <w:rPr>
          <w:rFonts w:ascii="Arial" w:hAnsi="Arial" w:cs="Arial"/>
          <w:color w:val="auto"/>
          <w:sz w:val="24"/>
          <w:szCs w:val="24"/>
        </w:rPr>
        <w:t xml:space="preserve"> </w:t>
      </w:r>
      <w:r w:rsidR="001E3880">
        <w:rPr>
          <w:rFonts w:ascii="Arial" w:hAnsi="Arial" w:cs="Arial"/>
          <w:color w:val="auto"/>
          <w:sz w:val="24"/>
          <w:szCs w:val="24"/>
        </w:rPr>
        <w:t xml:space="preserve">or </w:t>
      </w:r>
      <w:r w:rsidRPr="00593121">
        <w:rPr>
          <w:rFonts w:ascii="Arial" w:hAnsi="Arial" w:cs="Arial"/>
          <w:color w:val="auto"/>
          <w:sz w:val="24"/>
          <w:szCs w:val="24"/>
        </w:rPr>
        <w:t>£6,325 annually.</w:t>
      </w:r>
    </w:p>
    <w:p w14:paraId="38F3C530" w14:textId="77777777" w:rsidR="002C415D" w:rsidRDefault="00593121" w:rsidP="00593121">
      <w:pPr>
        <w:spacing w:line="360" w:lineRule="auto"/>
        <w:jc w:val="both"/>
        <w:rPr>
          <w:rFonts w:ascii="Arial" w:hAnsi="Arial" w:cs="Arial"/>
          <w:color w:val="auto"/>
          <w:sz w:val="24"/>
          <w:szCs w:val="24"/>
        </w:rPr>
      </w:pPr>
      <w:r w:rsidRPr="00593121">
        <w:rPr>
          <w:rFonts w:ascii="Arial" w:hAnsi="Arial" w:cs="Arial"/>
          <w:color w:val="auto"/>
          <w:sz w:val="24"/>
          <w:szCs w:val="24"/>
        </w:rPr>
        <w:t xml:space="preserve">Pilot feedback </w:t>
      </w:r>
      <w:r w:rsidR="00E3234B">
        <w:rPr>
          <w:rFonts w:ascii="Arial" w:hAnsi="Arial" w:cs="Arial"/>
          <w:color w:val="auto"/>
          <w:sz w:val="24"/>
          <w:szCs w:val="24"/>
        </w:rPr>
        <w:t>supports</w:t>
      </w:r>
      <w:r w:rsidRPr="00593121">
        <w:rPr>
          <w:rFonts w:ascii="Arial" w:hAnsi="Arial" w:cs="Arial"/>
          <w:color w:val="auto"/>
          <w:sz w:val="24"/>
          <w:szCs w:val="24"/>
        </w:rPr>
        <w:t xml:space="preserve"> operational </w:t>
      </w:r>
      <w:r w:rsidR="00D82C00" w:rsidRPr="00593121">
        <w:rPr>
          <w:rFonts w:ascii="Arial" w:hAnsi="Arial" w:cs="Arial"/>
          <w:color w:val="auto"/>
          <w:sz w:val="24"/>
          <w:szCs w:val="24"/>
        </w:rPr>
        <w:t>practicality</w:t>
      </w:r>
      <w:r w:rsidRPr="00593121">
        <w:rPr>
          <w:rFonts w:ascii="Arial" w:hAnsi="Arial" w:cs="Arial"/>
          <w:color w:val="auto"/>
          <w:sz w:val="24"/>
          <w:szCs w:val="24"/>
        </w:rPr>
        <w:t xml:space="preserve">, </w:t>
      </w:r>
      <w:r w:rsidR="00A41CA1">
        <w:rPr>
          <w:rFonts w:ascii="Arial" w:hAnsi="Arial" w:cs="Arial"/>
          <w:color w:val="auto"/>
          <w:sz w:val="24"/>
          <w:szCs w:val="24"/>
        </w:rPr>
        <w:t>with some</w:t>
      </w:r>
      <w:r w:rsidRPr="00593121">
        <w:rPr>
          <w:rFonts w:ascii="Arial" w:hAnsi="Arial" w:cs="Arial"/>
          <w:color w:val="auto"/>
          <w:sz w:val="24"/>
          <w:szCs w:val="24"/>
        </w:rPr>
        <w:t xml:space="preserve"> implementation adjustments. Overall, </w:t>
      </w:r>
      <w:r w:rsidR="00E2601D">
        <w:rPr>
          <w:rFonts w:ascii="Arial" w:hAnsi="Arial" w:cs="Arial"/>
          <w:color w:val="auto"/>
          <w:sz w:val="24"/>
          <w:szCs w:val="24"/>
        </w:rPr>
        <w:t>the</w:t>
      </w:r>
      <w:r w:rsidR="00B43C79">
        <w:rPr>
          <w:rFonts w:ascii="Arial" w:hAnsi="Arial" w:cs="Arial"/>
          <w:color w:val="auto"/>
          <w:sz w:val="24"/>
          <w:szCs w:val="24"/>
        </w:rPr>
        <w:t xml:space="preserve"> </w:t>
      </w:r>
      <w:r w:rsidRPr="00593121">
        <w:rPr>
          <w:rFonts w:ascii="Arial" w:hAnsi="Arial" w:cs="Arial"/>
          <w:color w:val="auto"/>
          <w:sz w:val="24"/>
          <w:szCs w:val="24"/>
        </w:rPr>
        <w:t>transition</w:t>
      </w:r>
      <w:r w:rsidR="007D05C7">
        <w:rPr>
          <w:rFonts w:ascii="Arial" w:hAnsi="Arial" w:cs="Arial"/>
          <w:color w:val="auto"/>
          <w:sz w:val="24"/>
          <w:szCs w:val="24"/>
        </w:rPr>
        <w:t xml:space="preserve"> goal</w:t>
      </w:r>
      <w:r w:rsidRPr="00593121">
        <w:rPr>
          <w:rFonts w:ascii="Arial" w:hAnsi="Arial" w:cs="Arial"/>
          <w:color w:val="auto"/>
          <w:sz w:val="24"/>
          <w:szCs w:val="24"/>
        </w:rPr>
        <w:t xml:space="preserve"> is to support cost efficiency and sustainability objectives.</w:t>
      </w:r>
    </w:p>
    <w:p w14:paraId="546062BB" w14:textId="77777777" w:rsidR="002C415D" w:rsidRDefault="002C415D" w:rsidP="00593121">
      <w:pPr>
        <w:spacing w:line="360" w:lineRule="auto"/>
        <w:jc w:val="both"/>
        <w:rPr>
          <w:rFonts w:ascii="Arial" w:hAnsi="Arial" w:cs="Arial"/>
          <w:color w:val="auto"/>
          <w:sz w:val="24"/>
          <w:szCs w:val="24"/>
        </w:rPr>
      </w:pPr>
    </w:p>
    <w:p w14:paraId="18D35FB0" w14:textId="7AE09827" w:rsidR="00D97BF8" w:rsidRPr="00F63A3A" w:rsidRDefault="002C415D" w:rsidP="00593121">
      <w:pPr>
        <w:spacing w:line="360" w:lineRule="auto"/>
        <w:jc w:val="both"/>
        <w:rPr>
          <w:rFonts w:ascii="Arial" w:hAnsi="Arial" w:cs="Arial"/>
          <w:color w:val="auto"/>
          <w:sz w:val="24"/>
          <w:szCs w:val="24"/>
        </w:rPr>
      </w:pPr>
      <w:r w:rsidRPr="00A65E0B">
        <w:rPr>
          <w:rFonts w:ascii="Arial" w:hAnsi="Arial" w:cs="Arial"/>
          <w:noProof/>
          <w:color w:val="auto"/>
          <w:sz w:val="24"/>
          <w:szCs w:val="24"/>
        </w:rPr>
        <w:drawing>
          <wp:inline distT="0" distB="0" distL="0" distR="0" wp14:anchorId="153A0895" wp14:editId="673796D5">
            <wp:extent cx="6262370" cy="3935002"/>
            <wp:effectExtent l="0" t="0" r="5080" b="8890"/>
            <wp:docPr id="1410801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82634" cy="3947735"/>
                    </a:xfrm>
                    <a:prstGeom prst="rect">
                      <a:avLst/>
                    </a:prstGeom>
                    <a:noFill/>
                    <a:ln>
                      <a:noFill/>
                    </a:ln>
                  </pic:spPr>
                </pic:pic>
              </a:graphicData>
            </a:graphic>
          </wp:inline>
        </w:drawing>
      </w:r>
      <w:r w:rsidR="00D97BF8" w:rsidRPr="00F63A3A">
        <w:rPr>
          <w:rFonts w:ascii="Arial" w:hAnsi="Arial" w:cs="Arial"/>
          <w:color w:val="auto"/>
          <w:sz w:val="24"/>
          <w:szCs w:val="24"/>
        </w:rPr>
        <w:br w:type="page"/>
      </w:r>
    </w:p>
    <w:p w14:paraId="154C8FC9" w14:textId="17D326A3" w:rsidR="00A4699A" w:rsidRPr="00AE264A" w:rsidRDefault="00A4699A" w:rsidP="00AE264A">
      <w:pPr>
        <w:pStyle w:val="Heading1"/>
        <w:rPr>
          <w:rFonts w:ascii="Arial" w:hAnsi="Arial"/>
          <w:sz w:val="28"/>
          <w:szCs w:val="28"/>
        </w:rPr>
      </w:pPr>
      <w:bookmarkStart w:id="5" w:name="_Toc223467507"/>
      <w:r w:rsidRPr="00AE264A">
        <w:rPr>
          <w:rFonts w:ascii="Arial" w:hAnsi="Arial"/>
          <w:sz w:val="28"/>
          <w:szCs w:val="28"/>
        </w:rPr>
        <w:lastRenderedPageBreak/>
        <w:t>Part 1</w:t>
      </w:r>
      <w:bookmarkEnd w:id="5"/>
    </w:p>
    <w:p w14:paraId="38D85658" w14:textId="71AB8906" w:rsidR="001A5EEB" w:rsidRPr="00AE264A" w:rsidRDefault="001A5EEB" w:rsidP="001107DF">
      <w:pPr>
        <w:pStyle w:val="Heading2"/>
        <w:rPr>
          <w:rFonts w:ascii="Arial" w:hAnsi="Arial"/>
          <w:sz w:val="28"/>
          <w:szCs w:val="28"/>
        </w:rPr>
      </w:pPr>
      <w:bookmarkStart w:id="6" w:name="_Toc223467508"/>
      <w:r w:rsidRPr="00AE264A">
        <w:rPr>
          <w:rFonts w:ascii="Arial" w:hAnsi="Arial"/>
          <w:sz w:val="28"/>
          <w:szCs w:val="28"/>
        </w:rPr>
        <w:t>Introduction</w:t>
      </w:r>
      <w:bookmarkEnd w:id="6"/>
    </w:p>
    <w:p w14:paraId="3011DD22" w14:textId="77777777" w:rsidR="007308C8" w:rsidRPr="00537C74" w:rsidRDefault="007308C8" w:rsidP="00475695">
      <w:pPr>
        <w:spacing w:line="360" w:lineRule="auto"/>
        <w:jc w:val="both"/>
        <w:rPr>
          <w:rFonts w:ascii="Arial" w:hAnsi="Arial" w:cs="Arial"/>
          <w:color w:val="auto"/>
          <w:sz w:val="24"/>
          <w:szCs w:val="24"/>
        </w:rPr>
      </w:pPr>
    </w:p>
    <w:p w14:paraId="47E1C317" w14:textId="50474D58" w:rsidR="005364E6" w:rsidRPr="00537C74" w:rsidRDefault="00132BC2" w:rsidP="00475695">
      <w:pPr>
        <w:spacing w:line="360" w:lineRule="auto"/>
        <w:jc w:val="both"/>
        <w:rPr>
          <w:rFonts w:ascii="Arial" w:hAnsi="Arial" w:cs="Arial"/>
          <w:color w:val="auto"/>
          <w:sz w:val="24"/>
          <w:szCs w:val="24"/>
        </w:rPr>
      </w:pPr>
      <w:r w:rsidRPr="00537C74">
        <w:rPr>
          <w:rFonts w:ascii="Arial" w:hAnsi="Arial" w:cs="Arial"/>
          <w:color w:val="auto"/>
          <w:sz w:val="24"/>
          <w:szCs w:val="24"/>
        </w:rPr>
        <w:t xml:space="preserve">In modern </w:t>
      </w:r>
      <w:r w:rsidR="00296095" w:rsidRPr="00537C74">
        <w:rPr>
          <w:rFonts w:ascii="Arial" w:hAnsi="Arial" w:cs="Arial"/>
          <w:color w:val="auto"/>
          <w:sz w:val="24"/>
          <w:szCs w:val="24"/>
        </w:rPr>
        <w:t>logistics</w:t>
      </w:r>
      <w:r w:rsidRPr="00537C74">
        <w:rPr>
          <w:rFonts w:ascii="Arial" w:hAnsi="Arial" w:cs="Arial"/>
          <w:color w:val="auto"/>
          <w:sz w:val="24"/>
          <w:szCs w:val="24"/>
        </w:rPr>
        <w:t xml:space="preserve"> and suppl</w:t>
      </w:r>
      <w:r w:rsidR="00296095" w:rsidRPr="00537C74">
        <w:rPr>
          <w:rFonts w:ascii="Arial" w:hAnsi="Arial" w:cs="Arial"/>
          <w:color w:val="auto"/>
          <w:sz w:val="24"/>
          <w:szCs w:val="24"/>
        </w:rPr>
        <w:t xml:space="preserve">y chain management, </w:t>
      </w:r>
      <w:r w:rsidR="00F26EF1" w:rsidRPr="00537C74">
        <w:rPr>
          <w:rFonts w:ascii="Arial" w:hAnsi="Arial" w:cs="Arial"/>
          <w:color w:val="auto"/>
          <w:sz w:val="24"/>
          <w:szCs w:val="24"/>
        </w:rPr>
        <w:t>pack</w:t>
      </w:r>
      <w:r w:rsidR="00E17957">
        <w:rPr>
          <w:rFonts w:ascii="Arial" w:hAnsi="Arial" w:cs="Arial"/>
          <w:color w:val="auto"/>
          <w:sz w:val="24"/>
          <w:szCs w:val="24"/>
        </w:rPr>
        <w:t>aging</w:t>
      </w:r>
      <w:r w:rsidR="00F26EF1" w:rsidRPr="00537C74">
        <w:rPr>
          <w:rFonts w:ascii="Arial" w:hAnsi="Arial" w:cs="Arial"/>
          <w:color w:val="auto"/>
          <w:sz w:val="24"/>
          <w:szCs w:val="24"/>
        </w:rPr>
        <w:t xml:space="preserve"> </w:t>
      </w:r>
      <w:r w:rsidR="004331E1" w:rsidRPr="00537C74">
        <w:rPr>
          <w:rFonts w:ascii="Arial" w:hAnsi="Arial" w:cs="Arial"/>
          <w:color w:val="auto"/>
          <w:sz w:val="24"/>
          <w:szCs w:val="24"/>
        </w:rPr>
        <w:t>is</w:t>
      </w:r>
      <w:r w:rsidR="00F26EF1" w:rsidRPr="00537C74">
        <w:rPr>
          <w:rFonts w:ascii="Arial" w:hAnsi="Arial" w:cs="Arial"/>
          <w:color w:val="auto"/>
          <w:sz w:val="24"/>
          <w:szCs w:val="24"/>
        </w:rPr>
        <w:t xml:space="preserve"> very </w:t>
      </w:r>
      <w:r w:rsidR="00C86D7B" w:rsidRPr="00537C74">
        <w:rPr>
          <w:rFonts w:ascii="Arial" w:hAnsi="Arial" w:cs="Arial"/>
          <w:color w:val="auto"/>
          <w:sz w:val="24"/>
          <w:szCs w:val="24"/>
        </w:rPr>
        <w:t xml:space="preserve">important </w:t>
      </w:r>
      <w:r w:rsidR="00BF4C3B">
        <w:rPr>
          <w:rFonts w:ascii="Arial" w:hAnsi="Arial" w:cs="Arial"/>
          <w:color w:val="auto"/>
          <w:sz w:val="24"/>
          <w:szCs w:val="24"/>
        </w:rPr>
        <w:t>role</w:t>
      </w:r>
      <w:r w:rsidR="00C86D7B" w:rsidRPr="00537C74">
        <w:rPr>
          <w:rFonts w:ascii="Arial" w:hAnsi="Arial" w:cs="Arial"/>
          <w:color w:val="auto"/>
          <w:sz w:val="24"/>
          <w:szCs w:val="24"/>
        </w:rPr>
        <w:t xml:space="preserve"> in controlling cost </w:t>
      </w:r>
      <w:r w:rsidR="00F735B3" w:rsidRPr="00537C74">
        <w:rPr>
          <w:rFonts w:ascii="Arial" w:hAnsi="Arial" w:cs="Arial"/>
          <w:color w:val="auto"/>
          <w:sz w:val="24"/>
          <w:szCs w:val="24"/>
        </w:rPr>
        <w:t xml:space="preserve">or </w:t>
      </w:r>
      <w:r w:rsidR="007A0978">
        <w:rPr>
          <w:rFonts w:ascii="Arial" w:hAnsi="Arial" w:cs="Arial"/>
          <w:color w:val="auto"/>
          <w:sz w:val="24"/>
          <w:szCs w:val="24"/>
        </w:rPr>
        <w:t>efficiency in operations</w:t>
      </w:r>
      <w:r w:rsidR="00CB092B">
        <w:rPr>
          <w:rFonts w:ascii="Arial" w:hAnsi="Arial" w:cs="Arial"/>
          <w:color w:val="auto"/>
          <w:sz w:val="24"/>
          <w:szCs w:val="24"/>
        </w:rPr>
        <w:t xml:space="preserve">, </w:t>
      </w:r>
      <w:r w:rsidR="00D56124" w:rsidRPr="00537C74">
        <w:rPr>
          <w:rFonts w:ascii="Arial" w:hAnsi="Arial" w:cs="Arial"/>
          <w:color w:val="auto"/>
          <w:sz w:val="24"/>
          <w:szCs w:val="24"/>
        </w:rPr>
        <w:t xml:space="preserve">but also </w:t>
      </w:r>
      <w:r w:rsidR="004331E1" w:rsidRPr="00537C74">
        <w:rPr>
          <w:rFonts w:ascii="Arial" w:hAnsi="Arial" w:cs="Arial"/>
          <w:color w:val="auto"/>
          <w:sz w:val="24"/>
          <w:szCs w:val="24"/>
        </w:rPr>
        <w:t>in sustainability performance</w:t>
      </w:r>
      <w:r w:rsidR="0049130D">
        <w:rPr>
          <w:rFonts w:ascii="Arial" w:hAnsi="Arial" w:cs="Arial"/>
          <w:color w:val="auto"/>
          <w:sz w:val="24"/>
          <w:szCs w:val="24"/>
        </w:rPr>
        <w:t xml:space="preserve">. </w:t>
      </w:r>
      <w:r w:rsidR="00674D68">
        <w:rPr>
          <w:rFonts w:ascii="Arial" w:hAnsi="Arial" w:cs="Arial"/>
          <w:color w:val="auto"/>
          <w:sz w:val="24"/>
          <w:szCs w:val="24"/>
        </w:rPr>
        <w:t>In this context,</w:t>
      </w:r>
      <w:r w:rsidR="0099590F" w:rsidRPr="00537C74">
        <w:rPr>
          <w:rFonts w:ascii="Arial" w:hAnsi="Arial" w:cs="Arial"/>
          <w:color w:val="auto"/>
          <w:sz w:val="24"/>
          <w:szCs w:val="24"/>
        </w:rPr>
        <w:t xml:space="preserve"> </w:t>
      </w:r>
      <w:r w:rsidR="004C5C8B">
        <w:rPr>
          <w:rFonts w:ascii="Arial" w:hAnsi="Arial" w:cs="Arial"/>
          <w:color w:val="auto"/>
          <w:sz w:val="24"/>
          <w:szCs w:val="24"/>
        </w:rPr>
        <w:t>packing</w:t>
      </w:r>
      <w:r w:rsidR="0099590F" w:rsidRPr="00537C74">
        <w:rPr>
          <w:rFonts w:ascii="Arial" w:hAnsi="Arial" w:cs="Arial"/>
          <w:color w:val="auto"/>
          <w:sz w:val="24"/>
          <w:szCs w:val="24"/>
        </w:rPr>
        <w:t xml:space="preserve"> </w:t>
      </w:r>
      <w:r w:rsidR="00916241" w:rsidRPr="00537C74">
        <w:rPr>
          <w:rFonts w:ascii="Arial" w:hAnsi="Arial" w:cs="Arial"/>
          <w:color w:val="auto"/>
          <w:sz w:val="24"/>
          <w:szCs w:val="24"/>
        </w:rPr>
        <w:t xml:space="preserve">optimisation has </w:t>
      </w:r>
      <w:r w:rsidR="004E6C3D">
        <w:rPr>
          <w:rFonts w:ascii="Arial" w:hAnsi="Arial" w:cs="Arial"/>
          <w:color w:val="auto"/>
          <w:sz w:val="24"/>
          <w:szCs w:val="24"/>
        </w:rPr>
        <w:t>begun</w:t>
      </w:r>
      <w:r w:rsidR="00916241" w:rsidRPr="00537C74">
        <w:rPr>
          <w:rFonts w:ascii="Arial" w:hAnsi="Arial" w:cs="Arial"/>
          <w:color w:val="auto"/>
          <w:sz w:val="24"/>
          <w:szCs w:val="24"/>
        </w:rPr>
        <w:t xml:space="preserve"> as a </w:t>
      </w:r>
      <w:r w:rsidR="00B5413C" w:rsidRPr="00537C74">
        <w:rPr>
          <w:rFonts w:ascii="Arial" w:hAnsi="Arial" w:cs="Arial"/>
          <w:color w:val="auto"/>
          <w:sz w:val="24"/>
          <w:szCs w:val="24"/>
        </w:rPr>
        <w:t>strategic</w:t>
      </w:r>
      <w:r w:rsidR="00916241" w:rsidRPr="00537C74">
        <w:rPr>
          <w:rFonts w:ascii="Arial" w:hAnsi="Arial" w:cs="Arial"/>
          <w:color w:val="auto"/>
          <w:sz w:val="24"/>
          <w:szCs w:val="24"/>
        </w:rPr>
        <w:t xml:space="preserve"> </w:t>
      </w:r>
      <w:r w:rsidR="00912E72" w:rsidRPr="00537C74">
        <w:rPr>
          <w:rFonts w:ascii="Arial" w:hAnsi="Arial" w:cs="Arial"/>
          <w:color w:val="auto"/>
          <w:sz w:val="24"/>
          <w:szCs w:val="24"/>
        </w:rPr>
        <w:t>consideration</w:t>
      </w:r>
      <w:r w:rsidR="00B5413C" w:rsidRPr="00537C74">
        <w:rPr>
          <w:rFonts w:ascii="Arial" w:hAnsi="Arial" w:cs="Arial"/>
          <w:color w:val="auto"/>
          <w:sz w:val="24"/>
          <w:szCs w:val="24"/>
        </w:rPr>
        <w:t>,</w:t>
      </w:r>
      <w:r w:rsidR="00CB477A">
        <w:rPr>
          <w:rFonts w:ascii="Arial" w:hAnsi="Arial" w:cs="Arial"/>
          <w:color w:val="auto"/>
          <w:sz w:val="24"/>
          <w:szCs w:val="24"/>
        </w:rPr>
        <w:t xml:space="preserve"> </w:t>
      </w:r>
      <w:r w:rsidR="00CB477A" w:rsidRPr="00CB477A">
        <w:rPr>
          <w:rFonts w:ascii="Arial" w:hAnsi="Arial" w:cs="Arial"/>
          <w:color w:val="auto"/>
          <w:sz w:val="24"/>
          <w:szCs w:val="24"/>
        </w:rPr>
        <w:t>connecting daily</w:t>
      </w:r>
      <w:r w:rsidR="00CB477A">
        <w:rPr>
          <w:rFonts w:ascii="Arial" w:hAnsi="Arial" w:cs="Arial"/>
          <w:color w:val="auto"/>
          <w:sz w:val="24"/>
          <w:szCs w:val="24"/>
        </w:rPr>
        <w:t xml:space="preserve"> </w:t>
      </w:r>
      <w:r w:rsidR="00CB477A" w:rsidRPr="00CB477A">
        <w:rPr>
          <w:rFonts w:ascii="Arial" w:hAnsi="Arial" w:cs="Arial"/>
          <w:color w:val="auto"/>
          <w:sz w:val="24"/>
          <w:szCs w:val="24"/>
        </w:rPr>
        <w:t xml:space="preserve">operational decisions </w:t>
      </w:r>
      <w:r w:rsidR="00B5413C" w:rsidRPr="00537C74">
        <w:rPr>
          <w:rFonts w:ascii="Arial" w:hAnsi="Arial" w:cs="Arial"/>
          <w:color w:val="auto"/>
          <w:sz w:val="24"/>
          <w:szCs w:val="24"/>
        </w:rPr>
        <w:t>with environmental responsibility</w:t>
      </w:r>
      <w:r w:rsidR="003E4464" w:rsidRPr="00537C74">
        <w:rPr>
          <w:rFonts w:ascii="Arial" w:hAnsi="Arial" w:cs="Arial"/>
          <w:color w:val="auto"/>
          <w:sz w:val="24"/>
          <w:szCs w:val="24"/>
        </w:rPr>
        <w:t xml:space="preserve"> (Meyers</w:t>
      </w:r>
      <w:r w:rsidR="00E67636" w:rsidRPr="00537C74">
        <w:rPr>
          <w:rFonts w:ascii="Arial" w:hAnsi="Arial" w:cs="Arial"/>
          <w:color w:val="auto"/>
          <w:sz w:val="24"/>
          <w:szCs w:val="24"/>
        </w:rPr>
        <w:t>, 2025).</w:t>
      </w:r>
    </w:p>
    <w:p w14:paraId="1F874A28" w14:textId="163A4B8E" w:rsidR="00992078" w:rsidRDefault="00992078" w:rsidP="00475695">
      <w:pPr>
        <w:spacing w:line="360" w:lineRule="auto"/>
        <w:jc w:val="both"/>
        <w:rPr>
          <w:rFonts w:ascii="Arial" w:hAnsi="Arial"/>
          <w:color w:val="auto"/>
          <w:sz w:val="24"/>
          <w:szCs w:val="24"/>
        </w:rPr>
      </w:pPr>
      <w:r w:rsidRPr="00537C74">
        <w:rPr>
          <w:rFonts w:ascii="Arial" w:hAnsi="Arial" w:cs="Arial"/>
          <w:color w:val="auto"/>
          <w:sz w:val="24"/>
          <w:szCs w:val="24"/>
        </w:rPr>
        <w:t>Coloplast, a global medical device manufacturer, dispatches thousands of consumer sample packs every year to support product marketing and patient engagement</w:t>
      </w:r>
      <w:r w:rsidR="00B411DE" w:rsidRPr="00537C74">
        <w:rPr>
          <w:rFonts w:ascii="Arial" w:hAnsi="Arial" w:cs="Arial"/>
          <w:color w:val="auto"/>
          <w:sz w:val="24"/>
          <w:szCs w:val="24"/>
        </w:rPr>
        <w:t xml:space="preserve"> (Coloplast, no dat</w:t>
      </w:r>
      <w:r w:rsidR="00421666" w:rsidRPr="00537C74">
        <w:rPr>
          <w:rFonts w:ascii="Arial" w:hAnsi="Arial" w:cs="Arial"/>
          <w:color w:val="auto"/>
          <w:sz w:val="24"/>
          <w:szCs w:val="24"/>
        </w:rPr>
        <w:t>e)</w:t>
      </w:r>
      <w:r w:rsidRPr="00537C74">
        <w:rPr>
          <w:rFonts w:ascii="Arial" w:hAnsi="Arial" w:cs="Arial"/>
          <w:color w:val="auto"/>
          <w:sz w:val="24"/>
          <w:szCs w:val="24"/>
        </w:rPr>
        <w:t>.</w:t>
      </w:r>
      <w:r w:rsidR="000976F9" w:rsidRPr="00537C74">
        <w:rPr>
          <w:rFonts w:ascii="Arial" w:hAnsi="Arial" w:cs="Arial"/>
          <w:color w:val="auto"/>
          <w:sz w:val="24"/>
          <w:szCs w:val="24"/>
        </w:rPr>
        <w:t xml:space="preserve"> </w:t>
      </w:r>
      <w:r w:rsidR="00A265C6" w:rsidRPr="00A265C6">
        <w:rPr>
          <w:rFonts w:ascii="Arial" w:hAnsi="Arial" w:cs="Arial"/>
          <w:color w:val="auto"/>
          <w:sz w:val="24"/>
          <w:szCs w:val="24"/>
        </w:rPr>
        <w:t xml:space="preserve">Figure 1 shows that Customer Care Samples account for the largest share of distributions (11,593 units), </w:t>
      </w:r>
      <w:r w:rsidR="00D11C7D" w:rsidRPr="00A265C6">
        <w:rPr>
          <w:rFonts w:ascii="Arial" w:hAnsi="Arial" w:cs="Arial"/>
          <w:color w:val="auto"/>
          <w:sz w:val="24"/>
          <w:szCs w:val="24"/>
        </w:rPr>
        <w:t>showing</w:t>
      </w:r>
      <w:r w:rsidR="00A265C6" w:rsidRPr="00A265C6">
        <w:rPr>
          <w:rFonts w:ascii="Arial" w:hAnsi="Arial" w:cs="Arial"/>
          <w:color w:val="auto"/>
          <w:sz w:val="24"/>
          <w:szCs w:val="24"/>
        </w:rPr>
        <w:t xml:space="preserve"> the operational importance of the consumer sample programme</w:t>
      </w:r>
      <w:r w:rsidR="00A265C6">
        <w:rPr>
          <w:rFonts w:ascii="Arial" w:hAnsi="Arial" w:cs="Arial"/>
          <w:color w:val="auto"/>
          <w:sz w:val="24"/>
          <w:szCs w:val="24"/>
        </w:rPr>
        <w:t xml:space="preserve">. </w:t>
      </w:r>
    </w:p>
    <w:p w14:paraId="25B41AFC" w14:textId="77777777" w:rsidR="00A265C6" w:rsidRPr="00A265C6" w:rsidRDefault="00A265C6" w:rsidP="00475695">
      <w:pPr>
        <w:spacing w:line="360" w:lineRule="auto"/>
        <w:jc w:val="both"/>
        <w:rPr>
          <w:rFonts w:ascii="Arial" w:hAnsi="Arial"/>
          <w:color w:val="auto"/>
          <w:sz w:val="24"/>
          <w:szCs w:val="24"/>
        </w:rPr>
      </w:pPr>
    </w:p>
    <w:p w14:paraId="5EA7F1E3" w14:textId="77777777" w:rsidR="00836DBD" w:rsidRDefault="00836DBD" w:rsidP="00836DBD">
      <w:pPr>
        <w:spacing w:line="360" w:lineRule="auto"/>
        <w:jc w:val="both"/>
        <w:rPr>
          <w:rFonts w:ascii="Arial" w:hAnsi="Arial" w:cs="Arial"/>
          <w:color w:val="auto"/>
          <w:sz w:val="24"/>
          <w:szCs w:val="24"/>
        </w:rPr>
      </w:pPr>
      <w:r>
        <w:rPr>
          <w:rFonts w:ascii="Arial" w:hAnsi="Arial" w:cs="Arial"/>
          <w:color w:val="auto"/>
          <w:sz w:val="24"/>
          <w:szCs w:val="24"/>
        </w:rPr>
        <w:t>Figure 1. C</w:t>
      </w:r>
      <w:r w:rsidRPr="00122831">
        <w:rPr>
          <w:rFonts w:ascii="Arial" w:hAnsi="Arial" w:cs="Arial"/>
          <w:color w:val="auto"/>
          <w:sz w:val="24"/>
          <w:szCs w:val="24"/>
        </w:rPr>
        <w:t>onsumer sample packs</w:t>
      </w:r>
    </w:p>
    <w:p w14:paraId="6BF773EB" w14:textId="77777777" w:rsidR="00836DBD" w:rsidRDefault="00836DBD" w:rsidP="00836DBD">
      <w:pPr>
        <w:spacing w:line="360" w:lineRule="auto"/>
        <w:jc w:val="both"/>
        <w:rPr>
          <w:rFonts w:ascii="Arial" w:hAnsi="Arial" w:cs="Arial"/>
          <w:color w:val="auto"/>
          <w:sz w:val="24"/>
          <w:szCs w:val="24"/>
        </w:rPr>
      </w:pPr>
      <w:r w:rsidRPr="00622B66">
        <w:rPr>
          <w:rFonts w:ascii="Arial" w:hAnsi="Arial" w:cs="Arial"/>
          <w:noProof/>
          <w:color w:val="auto"/>
          <w:sz w:val="24"/>
          <w:szCs w:val="24"/>
        </w:rPr>
        <w:drawing>
          <wp:inline distT="0" distB="0" distL="0" distR="0" wp14:anchorId="0F26F223" wp14:editId="6423F49E">
            <wp:extent cx="4248150" cy="3039762"/>
            <wp:effectExtent l="0" t="0" r="0" b="8255"/>
            <wp:docPr id="1803240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40196" name=""/>
                    <pic:cNvPicPr/>
                  </pic:nvPicPr>
                  <pic:blipFill>
                    <a:blip r:embed="rId20"/>
                    <a:stretch>
                      <a:fillRect/>
                    </a:stretch>
                  </pic:blipFill>
                  <pic:spPr>
                    <a:xfrm>
                      <a:off x="0" y="0"/>
                      <a:ext cx="4250948" cy="3041764"/>
                    </a:xfrm>
                    <a:prstGeom prst="rect">
                      <a:avLst/>
                    </a:prstGeom>
                  </pic:spPr>
                </pic:pic>
              </a:graphicData>
            </a:graphic>
          </wp:inline>
        </w:drawing>
      </w:r>
    </w:p>
    <w:p w14:paraId="1208C6E3" w14:textId="77777777" w:rsidR="00836DBD" w:rsidRDefault="00836DBD" w:rsidP="00475695">
      <w:pPr>
        <w:spacing w:line="360" w:lineRule="auto"/>
        <w:jc w:val="both"/>
        <w:rPr>
          <w:rFonts w:ascii="Arial" w:hAnsi="Arial" w:cs="Arial"/>
          <w:color w:val="auto"/>
          <w:sz w:val="24"/>
          <w:szCs w:val="24"/>
        </w:rPr>
      </w:pPr>
    </w:p>
    <w:p w14:paraId="27E70CD1" w14:textId="2DC30032" w:rsidR="00B66454" w:rsidRPr="00AE4A07" w:rsidRDefault="00A265C6" w:rsidP="00AE4A07">
      <w:pPr>
        <w:spacing w:line="360" w:lineRule="auto"/>
        <w:jc w:val="both"/>
        <w:rPr>
          <w:rStyle w:val="normaltextrun"/>
          <w:rFonts w:ascii="Arial" w:hAnsi="Arial" w:cs="Arial"/>
          <w:color w:val="auto"/>
          <w:sz w:val="24"/>
          <w:szCs w:val="24"/>
        </w:rPr>
      </w:pPr>
      <w:r w:rsidRPr="00A265C6">
        <w:rPr>
          <w:rFonts w:ascii="Arial" w:hAnsi="Arial" w:cs="Arial"/>
          <w:color w:val="auto"/>
          <w:sz w:val="24"/>
          <w:szCs w:val="24"/>
        </w:rPr>
        <w:t>Samples are currently packed in plastic pouches and Coloplast is looking to switch from plastic pouches to paper-based envelopes. As part of its sustainability commitment (Coloplast, 2025a). This report applies data analytics to look not only at potential cost effects but also at environmental impacts. The aim is to estimate whether replacing plastic pouches with paper-based envelopes is a practical and supports both efficiency and sustainability.</w:t>
      </w:r>
    </w:p>
    <w:p w14:paraId="1B4F3B46" w14:textId="41C46F1A" w:rsidR="00033F81" w:rsidRPr="00AE264A" w:rsidRDefault="00B40F05" w:rsidP="00994E70">
      <w:pPr>
        <w:pStyle w:val="Heading2"/>
        <w:rPr>
          <w:rStyle w:val="normaltextrun"/>
          <w:rFonts w:ascii="Arial" w:hAnsi="Arial"/>
          <w:sz w:val="28"/>
          <w:szCs w:val="28"/>
        </w:rPr>
      </w:pPr>
      <w:bookmarkStart w:id="7" w:name="_Toc223467509"/>
      <w:r w:rsidRPr="00AE264A">
        <w:rPr>
          <w:rStyle w:val="normaltextrun"/>
          <w:rFonts w:ascii="Arial" w:hAnsi="Arial"/>
          <w:sz w:val="28"/>
          <w:szCs w:val="28"/>
        </w:rPr>
        <w:lastRenderedPageBreak/>
        <w:t>Literature Review</w:t>
      </w:r>
      <w:bookmarkEnd w:id="7"/>
    </w:p>
    <w:p w14:paraId="13A82EB9" w14:textId="77777777" w:rsidR="00C4181E" w:rsidRDefault="00C4181E" w:rsidP="00475695">
      <w:pPr>
        <w:pStyle w:val="paragraph"/>
        <w:spacing w:before="0" w:beforeAutospacing="0" w:after="0" w:afterAutospacing="0" w:line="360" w:lineRule="auto"/>
        <w:jc w:val="both"/>
        <w:textAlignment w:val="baseline"/>
        <w:rPr>
          <w:rFonts w:ascii="Arial" w:hAnsi="Arial" w:cs="Arial"/>
        </w:rPr>
      </w:pPr>
    </w:p>
    <w:p w14:paraId="16212665" w14:textId="19EC550F" w:rsidR="001A6778" w:rsidRDefault="00911ED8" w:rsidP="00475695">
      <w:pPr>
        <w:pStyle w:val="paragraph"/>
        <w:spacing w:before="0" w:beforeAutospacing="0" w:after="0" w:afterAutospacing="0" w:line="360" w:lineRule="auto"/>
        <w:jc w:val="both"/>
        <w:textAlignment w:val="baseline"/>
        <w:rPr>
          <w:rFonts w:ascii="Arial" w:hAnsi="Arial" w:cs="Arial"/>
        </w:rPr>
      </w:pPr>
      <w:r w:rsidRPr="00911ED8">
        <w:rPr>
          <w:rFonts w:ascii="Arial" w:hAnsi="Arial" w:cs="Arial"/>
        </w:rPr>
        <w:t xml:space="preserve">Packaging optimisation is </w:t>
      </w:r>
      <w:r w:rsidR="00407819" w:rsidRPr="00911ED8">
        <w:rPr>
          <w:rFonts w:ascii="Arial" w:hAnsi="Arial" w:cs="Arial"/>
        </w:rPr>
        <w:t>acknowledged</w:t>
      </w:r>
      <w:r w:rsidRPr="00911ED8">
        <w:rPr>
          <w:rFonts w:ascii="Arial" w:hAnsi="Arial" w:cs="Arial"/>
        </w:rPr>
        <w:t xml:space="preserve"> in </w:t>
      </w:r>
      <w:r w:rsidR="00AE22E3">
        <w:rPr>
          <w:rFonts w:ascii="Arial" w:hAnsi="Arial" w:cs="Arial"/>
        </w:rPr>
        <w:t xml:space="preserve">the </w:t>
      </w:r>
      <w:r w:rsidRPr="00911ED8">
        <w:rPr>
          <w:rFonts w:ascii="Arial" w:hAnsi="Arial" w:cs="Arial"/>
        </w:rPr>
        <w:t>supply</w:t>
      </w:r>
      <w:r w:rsidR="0089400B">
        <w:rPr>
          <w:rFonts w:ascii="Arial" w:hAnsi="Arial" w:cs="Arial"/>
        </w:rPr>
        <w:t xml:space="preserve"> </w:t>
      </w:r>
      <w:r w:rsidRPr="00911ED8">
        <w:rPr>
          <w:rFonts w:ascii="Arial" w:hAnsi="Arial" w:cs="Arial"/>
        </w:rPr>
        <w:t>chain</w:t>
      </w:r>
      <w:r w:rsidR="0089400B">
        <w:rPr>
          <w:rFonts w:ascii="Arial" w:hAnsi="Arial" w:cs="Arial"/>
        </w:rPr>
        <w:t xml:space="preserve"> </w:t>
      </w:r>
      <w:r w:rsidR="0089400B" w:rsidRPr="0089400B">
        <w:rPr>
          <w:rFonts w:ascii="Arial" w:hAnsi="Arial" w:cs="Arial"/>
        </w:rPr>
        <w:t xml:space="preserve">research as </w:t>
      </w:r>
      <w:r w:rsidR="00C95B18">
        <w:rPr>
          <w:rFonts w:ascii="Arial" w:hAnsi="Arial" w:cs="Arial"/>
        </w:rPr>
        <w:t>an</w:t>
      </w:r>
      <w:r w:rsidR="0089400B" w:rsidRPr="0089400B">
        <w:rPr>
          <w:rFonts w:ascii="Arial" w:hAnsi="Arial" w:cs="Arial"/>
        </w:rPr>
        <w:t xml:space="preserve"> </w:t>
      </w:r>
      <w:r w:rsidR="00840F0C">
        <w:rPr>
          <w:rFonts w:ascii="Arial" w:hAnsi="Arial" w:cs="Arial"/>
        </w:rPr>
        <w:t>important consideration</w:t>
      </w:r>
      <w:r w:rsidR="0089400B" w:rsidRPr="0089400B">
        <w:rPr>
          <w:rFonts w:ascii="Arial" w:hAnsi="Arial" w:cs="Arial"/>
        </w:rPr>
        <w:t xml:space="preserve"> for controlling costs and reducing environmental impact</w:t>
      </w:r>
      <w:r w:rsidR="0089400B">
        <w:rPr>
          <w:rFonts w:ascii="Arial" w:hAnsi="Arial" w:cs="Arial"/>
        </w:rPr>
        <w:t xml:space="preserve">. </w:t>
      </w:r>
      <w:r w:rsidR="00025BA6">
        <w:rPr>
          <w:rFonts w:ascii="Arial" w:hAnsi="Arial" w:cs="Arial"/>
        </w:rPr>
        <w:t>More</w:t>
      </w:r>
      <w:r w:rsidR="0054127D" w:rsidRPr="0054127D">
        <w:rPr>
          <w:rFonts w:ascii="Arial" w:hAnsi="Arial" w:cs="Arial"/>
        </w:rPr>
        <w:t xml:space="preserve"> companies </w:t>
      </w:r>
      <w:r w:rsidR="00025BA6">
        <w:rPr>
          <w:rFonts w:ascii="Arial" w:hAnsi="Arial" w:cs="Arial"/>
        </w:rPr>
        <w:t xml:space="preserve">are </w:t>
      </w:r>
      <w:r w:rsidR="0054127D" w:rsidRPr="0054127D">
        <w:rPr>
          <w:rFonts w:ascii="Arial" w:hAnsi="Arial" w:cs="Arial"/>
        </w:rPr>
        <w:t>moving toward circular economy practices</w:t>
      </w:r>
      <w:r w:rsidR="00025BA6">
        <w:rPr>
          <w:rFonts w:ascii="Arial" w:hAnsi="Arial" w:cs="Arial"/>
        </w:rPr>
        <w:t xml:space="preserve"> to </w:t>
      </w:r>
      <w:r w:rsidR="0054127D" w:rsidRPr="0054127D">
        <w:rPr>
          <w:rFonts w:ascii="Arial" w:hAnsi="Arial" w:cs="Arial"/>
        </w:rPr>
        <w:t>make materials more</w:t>
      </w:r>
      <w:r w:rsidR="00D3647D">
        <w:rPr>
          <w:rFonts w:ascii="Arial" w:hAnsi="Arial" w:cs="Arial"/>
        </w:rPr>
        <w:t xml:space="preserve"> eco-friendly</w:t>
      </w:r>
      <w:r w:rsidR="0054127D" w:rsidRPr="0054127D">
        <w:rPr>
          <w:rFonts w:ascii="Arial" w:hAnsi="Arial" w:cs="Arial"/>
        </w:rPr>
        <w:t>.</w:t>
      </w:r>
      <w:r w:rsidR="00C931AA">
        <w:rPr>
          <w:rFonts w:ascii="Arial" w:hAnsi="Arial" w:cs="Arial"/>
        </w:rPr>
        <w:t xml:space="preserve"> </w:t>
      </w:r>
      <w:r w:rsidR="00C931AA" w:rsidRPr="00C931AA">
        <w:rPr>
          <w:rFonts w:ascii="Arial" w:hAnsi="Arial" w:cs="Arial"/>
        </w:rPr>
        <w:t xml:space="preserve">Switching to </w:t>
      </w:r>
      <w:r w:rsidR="00177E5F">
        <w:rPr>
          <w:rFonts w:ascii="Arial" w:hAnsi="Arial" w:cs="Arial"/>
        </w:rPr>
        <w:t>recyclable</w:t>
      </w:r>
      <w:r w:rsidR="00C931AA" w:rsidRPr="00C931AA">
        <w:rPr>
          <w:rFonts w:ascii="Arial" w:hAnsi="Arial" w:cs="Arial"/>
        </w:rPr>
        <w:t xml:space="preserve"> packaging can cut environmental </w:t>
      </w:r>
      <w:r w:rsidR="000147A8" w:rsidRPr="00C931AA">
        <w:rPr>
          <w:rFonts w:ascii="Arial" w:hAnsi="Arial" w:cs="Arial"/>
        </w:rPr>
        <w:t>harm</w:t>
      </w:r>
      <w:r w:rsidR="000147A8">
        <w:rPr>
          <w:rFonts w:ascii="Arial" w:hAnsi="Arial" w:cs="Arial"/>
        </w:rPr>
        <w:t xml:space="preserve"> but</w:t>
      </w:r>
      <w:r w:rsidR="00C931AA" w:rsidRPr="00C931AA">
        <w:rPr>
          <w:rFonts w:ascii="Arial" w:hAnsi="Arial" w:cs="Arial"/>
        </w:rPr>
        <w:t xml:space="preserve"> often brings </w:t>
      </w:r>
      <w:r w:rsidR="00EE02F7">
        <w:rPr>
          <w:rFonts w:ascii="Arial" w:hAnsi="Arial" w:cs="Arial"/>
        </w:rPr>
        <w:t>trade-offs</w:t>
      </w:r>
      <w:r w:rsidR="00C931AA" w:rsidRPr="00C931AA">
        <w:rPr>
          <w:rFonts w:ascii="Arial" w:hAnsi="Arial" w:cs="Arial"/>
        </w:rPr>
        <w:t xml:space="preserve"> </w:t>
      </w:r>
      <w:r w:rsidR="00EE02F7">
        <w:rPr>
          <w:rFonts w:ascii="Arial" w:hAnsi="Arial" w:cs="Arial"/>
        </w:rPr>
        <w:t xml:space="preserve">like </w:t>
      </w:r>
      <w:r w:rsidR="00C931AA" w:rsidRPr="00C931AA">
        <w:rPr>
          <w:rFonts w:ascii="Arial" w:hAnsi="Arial" w:cs="Arial"/>
        </w:rPr>
        <w:t>flexibility and packing efficiency</w:t>
      </w:r>
      <w:r w:rsidR="00F000DE">
        <w:rPr>
          <w:rFonts w:ascii="Arial" w:hAnsi="Arial" w:cs="Arial"/>
        </w:rPr>
        <w:t xml:space="preserve"> (</w:t>
      </w:r>
      <w:r w:rsidR="00537C3E">
        <w:rPr>
          <w:rFonts w:ascii="Arial" w:hAnsi="Arial" w:cs="Arial"/>
        </w:rPr>
        <w:t>Silva</w:t>
      </w:r>
      <w:r w:rsidR="004C689C">
        <w:rPr>
          <w:rFonts w:ascii="Arial" w:hAnsi="Arial" w:cs="Arial"/>
        </w:rPr>
        <w:t xml:space="preserve"> and Palsson, 2022, p.10</w:t>
      </w:r>
      <w:r w:rsidR="00476BA3">
        <w:rPr>
          <w:rFonts w:ascii="Arial" w:hAnsi="Arial" w:cs="Arial"/>
        </w:rPr>
        <w:t>).</w:t>
      </w:r>
      <w:r w:rsidR="00542BC1">
        <w:rPr>
          <w:rFonts w:ascii="Arial" w:hAnsi="Arial" w:cs="Arial"/>
        </w:rPr>
        <w:t xml:space="preserve"> </w:t>
      </w:r>
      <w:r w:rsidR="00133AF0">
        <w:rPr>
          <w:rFonts w:ascii="Arial" w:hAnsi="Arial" w:cs="Arial"/>
        </w:rPr>
        <w:t>S</w:t>
      </w:r>
      <w:r w:rsidR="00133AF0" w:rsidRPr="00133AF0">
        <w:rPr>
          <w:rFonts w:ascii="Arial" w:hAnsi="Arial" w:cs="Arial"/>
        </w:rPr>
        <w:t xml:space="preserve">ustainable packaging ideas impact distribution networks not only on the environment, but also on operational and financial </w:t>
      </w:r>
      <w:r w:rsidR="00CB41A6">
        <w:rPr>
          <w:rFonts w:ascii="Arial" w:hAnsi="Arial" w:cs="Arial"/>
        </w:rPr>
        <w:t>performance</w:t>
      </w:r>
      <w:r w:rsidR="001A6778">
        <w:rPr>
          <w:rFonts w:ascii="Arial" w:hAnsi="Arial" w:cs="Arial"/>
        </w:rPr>
        <w:t>.</w:t>
      </w:r>
    </w:p>
    <w:p w14:paraId="2FA88E00" w14:textId="51ED9A1B" w:rsidR="00DD6A07" w:rsidRDefault="001C7ADE" w:rsidP="00343048">
      <w:pPr>
        <w:pStyle w:val="paragraph"/>
        <w:spacing w:before="0" w:beforeAutospacing="0" w:after="0" w:afterAutospacing="0" w:line="360" w:lineRule="auto"/>
        <w:jc w:val="both"/>
        <w:textAlignment w:val="baseline"/>
        <w:rPr>
          <w:rFonts w:ascii="Arial" w:hAnsi="Arial" w:cs="Arial"/>
        </w:rPr>
      </w:pPr>
      <w:r w:rsidRPr="001C7ADE">
        <w:rPr>
          <w:rFonts w:ascii="Arial" w:hAnsi="Arial" w:cs="Arial"/>
        </w:rPr>
        <w:t>With the growing emphasis on circular economy principles, packaging systems must be evaluated from an economic and environmental perspective.</w:t>
      </w:r>
      <w:r>
        <w:rPr>
          <w:rFonts w:ascii="Arial" w:hAnsi="Arial" w:cs="Arial"/>
        </w:rPr>
        <w:t xml:space="preserve"> </w:t>
      </w:r>
      <w:r w:rsidR="00C20EDC">
        <w:rPr>
          <w:rFonts w:ascii="Arial" w:hAnsi="Arial" w:cs="Arial"/>
        </w:rPr>
        <w:t xml:space="preserve">In terms of </w:t>
      </w:r>
      <w:r w:rsidR="00EE52B8" w:rsidRPr="00EE52B8">
        <w:rPr>
          <w:rFonts w:ascii="Arial" w:hAnsi="Arial" w:cs="Arial"/>
        </w:rPr>
        <w:t xml:space="preserve">sustainability, the </w:t>
      </w:r>
      <w:r w:rsidR="009C30EA" w:rsidRPr="009C30EA">
        <w:rPr>
          <w:rFonts w:ascii="Arial" w:hAnsi="Arial" w:cs="Arial"/>
        </w:rPr>
        <w:t>recyclable and renewable materials can reduce environmental impact</w:t>
      </w:r>
      <w:r w:rsidR="00EE52B8" w:rsidRPr="00EE52B8">
        <w:rPr>
          <w:rFonts w:ascii="Arial" w:hAnsi="Arial" w:cs="Arial"/>
        </w:rPr>
        <w:t xml:space="preserve">. </w:t>
      </w:r>
      <w:r w:rsidR="008E10E9">
        <w:rPr>
          <w:rFonts w:ascii="Arial" w:hAnsi="Arial" w:cs="Arial"/>
        </w:rPr>
        <w:t>W</w:t>
      </w:r>
      <w:r w:rsidR="008E10E9" w:rsidRPr="008E10E9">
        <w:rPr>
          <w:rFonts w:ascii="Arial" w:hAnsi="Arial" w:cs="Arial"/>
        </w:rPr>
        <w:t>ithin logistics operations</w:t>
      </w:r>
      <w:r w:rsidR="008E10E9">
        <w:rPr>
          <w:rFonts w:ascii="Arial" w:hAnsi="Arial" w:cs="Arial"/>
        </w:rPr>
        <w:t>,</w:t>
      </w:r>
      <w:r w:rsidR="008E10E9" w:rsidRPr="008E10E9">
        <w:rPr>
          <w:rFonts w:ascii="Arial" w:hAnsi="Arial" w:cs="Arial"/>
        </w:rPr>
        <w:t xml:space="preserve"> </w:t>
      </w:r>
      <w:r w:rsidR="00135E9B" w:rsidRPr="00135E9B">
        <w:rPr>
          <w:rFonts w:ascii="Arial" w:hAnsi="Arial" w:cs="Arial"/>
        </w:rPr>
        <w:t xml:space="preserve">such changes may introduce trade-offs to durability, flexibility and operational efficiency </w:t>
      </w:r>
      <w:r w:rsidR="00EE52B8" w:rsidRPr="00EE52B8">
        <w:rPr>
          <w:rFonts w:ascii="Arial" w:hAnsi="Arial" w:cs="Arial"/>
        </w:rPr>
        <w:t>(</w:t>
      </w:r>
      <w:proofErr w:type="spellStart"/>
      <w:r w:rsidR="00EE52B8" w:rsidRPr="00EE52B8">
        <w:rPr>
          <w:rFonts w:ascii="Arial" w:hAnsi="Arial" w:cs="Arial"/>
        </w:rPr>
        <w:t>Morashti</w:t>
      </w:r>
      <w:proofErr w:type="spellEnd"/>
      <w:r w:rsidR="00EE52B8" w:rsidRPr="00EE52B8">
        <w:rPr>
          <w:rFonts w:ascii="Arial" w:hAnsi="Arial" w:cs="Arial"/>
        </w:rPr>
        <w:t>, An and Jang, 2022, p. 4).</w:t>
      </w:r>
    </w:p>
    <w:p w14:paraId="5C6DC9E5" w14:textId="77777777" w:rsidR="00091E7F" w:rsidRDefault="00A732BE" w:rsidP="00091E7F">
      <w:pPr>
        <w:spacing w:line="360" w:lineRule="auto"/>
        <w:jc w:val="both"/>
        <w:rPr>
          <w:rFonts w:ascii="Arial" w:hAnsi="Arial" w:cs="Arial"/>
          <w:color w:val="auto"/>
          <w:sz w:val="24"/>
          <w:szCs w:val="24"/>
        </w:rPr>
      </w:pPr>
      <w:r w:rsidRPr="00A732BE">
        <w:rPr>
          <w:rFonts w:ascii="Arial" w:hAnsi="Arial" w:cs="Arial"/>
          <w:color w:val="auto"/>
          <w:sz w:val="24"/>
          <w:szCs w:val="24"/>
        </w:rPr>
        <w:t xml:space="preserve">Operational performance </w:t>
      </w:r>
      <w:r w:rsidR="00507E50">
        <w:rPr>
          <w:rFonts w:ascii="Arial" w:hAnsi="Arial" w:cs="Arial"/>
          <w:color w:val="auto"/>
          <w:sz w:val="24"/>
          <w:szCs w:val="24"/>
        </w:rPr>
        <w:t>is</w:t>
      </w:r>
      <w:r w:rsidR="00615A59">
        <w:rPr>
          <w:rFonts w:ascii="Arial" w:hAnsi="Arial" w:cs="Arial"/>
          <w:color w:val="auto"/>
          <w:sz w:val="24"/>
          <w:szCs w:val="24"/>
        </w:rPr>
        <w:t>sues are</w:t>
      </w:r>
      <w:r w:rsidRPr="00A732BE">
        <w:rPr>
          <w:rFonts w:ascii="Arial" w:hAnsi="Arial" w:cs="Arial"/>
          <w:color w:val="auto"/>
          <w:sz w:val="24"/>
          <w:szCs w:val="24"/>
        </w:rPr>
        <w:t xml:space="preserve"> </w:t>
      </w:r>
      <w:r w:rsidR="005A2F0A">
        <w:rPr>
          <w:rFonts w:ascii="Arial" w:hAnsi="Arial" w:cs="Arial"/>
          <w:color w:val="auto"/>
          <w:sz w:val="24"/>
          <w:szCs w:val="24"/>
        </w:rPr>
        <w:t>underlying</w:t>
      </w:r>
      <w:r w:rsidRPr="00A732BE">
        <w:rPr>
          <w:rFonts w:ascii="Arial" w:hAnsi="Arial" w:cs="Arial"/>
          <w:color w:val="auto"/>
          <w:sz w:val="24"/>
          <w:szCs w:val="24"/>
        </w:rPr>
        <w:t xml:space="preserve"> identified supply chain </w:t>
      </w:r>
      <w:r w:rsidR="005A2F0A">
        <w:rPr>
          <w:rFonts w:ascii="Arial" w:hAnsi="Arial" w:cs="Arial"/>
          <w:color w:val="auto"/>
          <w:sz w:val="24"/>
          <w:szCs w:val="24"/>
        </w:rPr>
        <w:t>problems</w:t>
      </w:r>
      <w:r w:rsidR="00D31C31">
        <w:rPr>
          <w:rFonts w:ascii="Arial" w:hAnsi="Arial" w:cs="Arial"/>
          <w:color w:val="auto"/>
          <w:sz w:val="24"/>
          <w:szCs w:val="24"/>
        </w:rPr>
        <w:t xml:space="preserve"> and are </w:t>
      </w:r>
      <w:r w:rsidR="0019326A" w:rsidRPr="0019326A">
        <w:rPr>
          <w:rFonts w:ascii="Arial" w:hAnsi="Arial" w:cs="Arial"/>
          <w:color w:val="auto"/>
          <w:sz w:val="24"/>
          <w:szCs w:val="24"/>
        </w:rPr>
        <w:t>increasingly shaped by digital transformation driven by data.</w:t>
      </w:r>
      <w:r w:rsidR="005A2F0A">
        <w:rPr>
          <w:rFonts w:ascii="Arial" w:hAnsi="Arial" w:cs="Arial"/>
          <w:color w:val="auto"/>
          <w:sz w:val="24"/>
          <w:szCs w:val="24"/>
        </w:rPr>
        <w:t xml:space="preserve"> </w:t>
      </w:r>
      <w:r w:rsidR="00EC2668" w:rsidRPr="00EC2668">
        <w:rPr>
          <w:rFonts w:ascii="Arial" w:hAnsi="Arial" w:cs="Arial"/>
          <w:color w:val="auto"/>
          <w:sz w:val="24"/>
          <w:szCs w:val="24"/>
        </w:rPr>
        <w:t>Organisations can respond more quickly and make more informed decisions with operational data integrated into structured analytical systems</w:t>
      </w:r>
      <w:r w:rsidR="00E62DDA">
        <w:rPr>
          <w:rFonts w:ascii="Arial" w:hAnsi="Arial" w:cs="Arial"/>
          <w:color w:val="auto"/>
          <w:sz w:val="24"/>
          <w:szCs w:val="24"/>
        </w:rPr>
        <w:t xml:space="preserve"> </w:t>
      </w:r>
      <w:r w:rsidR="00F32A72">
        <w:rPr>
          <w:rFonts w:ascii="Arial" w:hAnsi="Arial" w:cs="Arial"/>
          <w:color w:val="auto"/>
          <w:sz w:val="24"/>
          <w:szCs w:val="24"/>
        </w:rPr>
        <w:t>(</w:t>
      </w:r>
      <w:proofErr w:type="spellStart"/>
      <w:r w:rsidR="00F32A72" w:rsidRPr="00F32A72">
        <w:rPr>
          <w:rFonts w:ascii="Arial" w:hAnsi="Arial" w:cs="Arial"/>
          <w:color w:val="auto"/>
          <w:sz w:val="24"/>
          <w:szCs w:val="24"/>
        </w:rPr>
        <w:t>Spanaki</w:t>
      </w:r>
      <w:proofErr w:type="spellEnd"/>
      <w:r w:rsidR="00F32A72">
        <w:rPr>
          <w:rFonts w:ascii="Arial" w:hAnsi="Arial" w:cs="Arial"/>
          <w:color w:val="auto"/>
          <w:sz w:val="24"/>
          <w:szCs w:val="24"/>
        </w:rPr>
        <w:t xml:space="preserve">, </w:t>
      </w:r>
      <w:r w:rsidR="003E1A02" w:rsidRPr="003E1A02">
        <w:rPr>
          <w:rFonts w:ascii="Arial" w:hAnsi="Arial" w:cs="Arial"/>
          <w:color w:val="auto"/>
          <w:sz w:val="24"/>
          <w:szCs w:val="24"/>
        </w:rPr>
        <w:t>Dennehy</w:t>
      </w:r>
      <w:r w:rsidR="003E1A02">
        <w:rPr>
          <w:rFonts w:ascii="Arial" w:hAnsi="Arial" w:cs="Arial"/>
          <w:color w:val="auto"/>
          <w:sz w:val="24"/>
          <w:szCs w:val="24"/>
        </w:rPr>
        <w:t xml:space="preserve">, </w:t>
      </w:r>
      <w:r w:rsidR="003E1A02" w:rsidRPr="003E1A02">
        <w:rPr>
          <w:rFonts w:ascii="Arial" w:hAnsi="Arial" w:cs="Arial"/>
          <w:color w:val="auto"/>
          <w:sz w:val="24"/>
          <w:szCs w:val="24"/>
        </w:rPr>
        <w:t>Papadopoulos</w:t>
      </w:r>
      <w:r w:rsidR="003E1A02">
        <w:rPr>
          <w:rFonts w:ascii="Arial" w:hAnsi="Arial" w:cs="Arial"/>
          <w:color w:val="auto"/>
          <w:sz w:val="24"/>
          <w:szCs w:val="24"/>
        </w:rPr>
        <w:t xml:space="preserve"> and </w:t>
      </w:r>
      <w:r w:rsidR="003E1A02" w:rsidRPr="003E1A02">
        <w:rPr>
          <w:rFonts w:ascii="Arial" w:hAnsi="Arial" w:cs="Arial"/>
          <w:color w:val="auto"/>
          <w:sz w:val="24"/>
          <w:szCs w:val="24"/>
        </w:rPr>
        <w:t>Dubey</w:t>
      </w:r>
      <w:r w:rsidR="003E1A02">
        <w:rPr>
          <w:rFonts w:ascii="Arial" w:hAnsi="Arial" w:cs="Arial"/>
          <w:color w:val="auto"/>
          <w:sz w:val="24"/>
          <w:szCs w:val="24"/>
        </w:rPr>
        <w:t xml:space="preserve">, </w:t>
      </w:r>
      <w:r w:rsidR="006C1776">
        <w:rPr>
          <w:rFonts w:ascii="Arial" w:hAnsi="Arial" w:cs="Arial"/>
          <w:color w:val="auto"/>
          <w:sz w:val="24"/>
          <w:szCs w:val="24"/>
        </w:rPr>
        <w:t>2025</w:t>
      </w:r>
      <w:r w:rsidR="007C5EBF">
        <w:rPr>
          <w:rFonts w:ascii="Arial" w:hAnsi="Arial" w:cs="Arial"/>
          <w:color w:val="auto"/>
          <w:sz w:val="24"/>
          <w:szCs w:val="24"/>
        </w:rPr>
        <w:t>, pp. 3 – 4</w:t>
      </w:r>
      <w:r w:rsidR="006C1776">
        <w:rPr>
          <w:rFonts w:ascii="Arial" w:hAnsi="Arial" w:cs="Arial"/>
          <w:color w:val="auto"/>
          <w:sz w:val="24"/>
          <w:szCs w:val="24"/>
        </w:rPr>
        <w:t>)</w:t>
      </w:r>
      <w:r w:rsidR="007C5EBF">
        <w:rPr>
          <w:rFonts w:ascii="Arial" w:hAnsi="Arial" w:cs="Arial"/>
          <w:color w:val="auto"/>
          <w:sz w:val="24"/>
          <w:szCs w:val="24"/>
        </w:rPr>
        <w:t>.</w:t>
      </w:r>
      <w:r w:rsidR="009A1FC6">
        <w:rPr>
          <w:rFonts w:ascii="Arial" w:hAnsi="Arial" w:cs="Arial"/>
          <w:color w:val="auto"/>
          <w:sz w:val="24"/>
          <w:szCs w:val="24"/>
        </w:rPr>
        <w:t xml:space="preserve"> </w:t>
      </w:r>
      <w:r w:rsidR="00636C39">
        <w:rPr>
          <w:rFonts w:ascii="Arial" w:hAnsi="Arial" w:cs="Arial"/>
          <w:color w:val="auto"/>
          <w:sz w:val="24"/>
          <w:szCs w:val="24"/>
        </w:rPr>
        <w:t>Big</w:t>
      </w:r>
      <w:r w:rsidR="009A1FC6" w:rsidRPr="009A1FC6">
        <w:rPr>
          <w:rFonts w:ascii="Arial" w:hAnsi="Arial" w:cs="Arial"/>
          <w:color w:val="auto"/>
          <w:sz w:val="24"/>
          <w:szCs w:val="24"/>
        </w:rPr>
        <w:t xml:space="preserve"> data analytics and artificial intelligence can strengthen supply chain risk management and cost visibility</w:t>
      </w:r>
      <w:r w:rsidR="00C86C72">
        <w:rPr>
          <w:rFonts w:ascii="Arial" w:hAnsi="Arial" w:cs="Arial"/>
          <w:color w:val="auto"/>
          <w:sz w:val="24"/>
          <w:szCs w:val="24"/>
        </w:rPr>
        <w:t xml:space="preserve">, </w:t>
      </w:r>
      <w:r w:rsidR="00133287">
        <w:rPr>
          <w:rFonts w:ascii="Arial" w:hAnsi="Arial" w:cs="Arial"/>
          <w:color w:val="auto"/>
          <w:sz w:val="24"/>
          <w:szCs w:val="24"/>
        </w:rPr>
        <w:t>allowing</w:t>
      </w:r>
      <w:r w:rsidR="00C86C72">
        <w:rPr>
          <w:rFonts w:ascii="Arial" w:hAnsi="Arial" w:cs="Arial"/>
          <w:color w:val="auto"/>
          <w:sz w:val="24"/>
          <w:szCs w:val="24"/>
        </w:rPr>
        <w:t xml:space="preserve"> </w:t>
      </w:r>
      <w:r w:rsidR="00133287">
        <w:rPr>
          <w:rFonts w:ascii="Arial" w:hAnsi="Arial" w:cs="Arial"/>
          <w:color w:val="auto"/>
          <w:sz w:val="24"/>
          <w:szCs w:val="24"/>
        </w:rPr>
        <w:t xml:space="preserve">managers to make more informed decisions </w:t>
      </w:r>
      <w:r w:rsidR="000F2B07">
        <w:rPr>
          <w:rFonts w:ascii="Arial" w:hAnsi="Arial" w:cs="Arial"/>
          <w:color w:val="auto"/>
          <w:sz w:val="24"/>
          <w:szCs w:val="24"/>
        </w:rPr>
        <w:t>(</w:t>
      </w:r>
      <w:r w:rsidR="000F2B07" w:rsidRPr="000F2B07">
        <w:rPr>
          <w:rFonts w:ascii="Arial" w:hAnsi="Arial" w:cs="Arial"/>
          <w:color w:val="auto"/>
          <w:sz w:val="24"/>
          <w:szCs w:val="24"/>
        </w:rPr>
        <w:t>Shah</w:t>
      </w:r>
      <w:r w:rsidR="000F2B07">
        <w:rPr>
          <w:rFonts w:ascii="Arial" w:hAnsi="Arial" w:cs="Arial"/>
          <w:color w:val="auto"/>
          <w:sz w:val="24"/>
          <w:szCs w:val="24"/>
        </w:rPr>
        <w:t xml:space="preserve">, </w:t>
      </w:r>
      <w:r w:rsidR="000F2B07" w:rsidRPr="000F2B07">
        <w:rPr>
          <w:rFonts w:ascii="Arial" w:hAnsi="Arial" w:cs="Arial"/>
          <w:color w:val="auto"/>
          <w:sz w:val="24"/>
          <w:szCs w:val="24"/>
        </w:rPr>
        <w:t>Gardas</w:t>
      </w:r>
      <w:r w:rsidR="000F2B07">
        <w:rPr>
          <w:rFonts w:ascii="Arial" w:hAnsi="Arial" w:cs="Arial"/>
          <w:color w:val="auto"/>
          <w:sz w:val="24"/>
          <w:szCs w:val="24"/>
        </w:rPr>
        <w:t xml:space="preserve">, </w:t>
      </w:r>
      <w:proofErr w:type="spellStart"/>
      <w:r w:rsidR="000F2B07" w:rsidRPr="000F2B07">
        <w:rPr>
          <w:rFonts w:ascii="Arial" w:hAnsi="Arial" w:cs="Arial"/>
          <w:color w:val="auto"/>
          <w:sz w:val="24"/>
          <w:szCs w:val="24"/>
        </w:rPr>
        <w:t>Narwane</w:t>
      </w:r>
      <w:proofErr w:type="spellEnd"/>
      <w:r w:rsidR="000F2B07">
        <w:rPr>
          <w:rFonts w:ascii="Arial" w:hAnsi="Arial" w:cs="Arial"/>
          <w:color w:val="auto"/>
          <w:sz w:val="24"/>
          <w:szCs w:val="24"/>
        </w:rPr>
        <w:t xml:space="preserve"> and </w:t>
      </w:r>
      <w:r w:rsidR="000F2B07" w:rsidRPr="000F2B07">
        <w:rPr>
          <w:rFonts w:ascii="Arial" w:hAnsi="Arial" w:cs="Arial"/>
          <w:color w:val="auto"/>
          <w:sz w:val="24"/>
          <w:szCs w:val="24"/>
        </w:rPr>
        <w:t>Mehta</w:t>
      </w:r>
      <w:r w:rsidR="000F2B07">
        <w:rPr>
          <w:rFonts w:ascii="Arial" w:hAnsi="Arial" w:cs="Arial"/>
          <w:color w:val="auto"/>
          <w:sz w:val="24"/>
          <w:szCs w:val="24"/>
        </w:rPr>
        <w:t>, 2023, p</w:t>
      </w:r>
      <w:r w:rsidR="00D22747">
        <w:rPr>
          <w:rFonts w:ascii="Arial" w:hAnsi="Arial" w:cs="Arial"/>
          <w:color w:val="auto"/>
          <w:sz w:val="24"/>
          <w:szCs w:val="24"/>
        </w:rPr>
        <w:t>p</w:t>
      </w:r>
      <w:r w:rsidR="00E2164F">
        <w:rPr>
          <w:rFonts w:ascii="Arial" w:hAnsi="Arial" w:cs="Arial"/>
          <w:color w:val="auto"/>
          <w:sz w:val="24"/>
          <w:szCs w:val="24"/>
        </w:rPr>
        <w:t xml:space="preserve">. 1644 – 1646). </w:t>
      </w:r>
      <w:r w:rsidR="005D17EE" w:rsidRPr="005D17EE">
        <w:rPr>
          <w:rFonts w:ascii="Arial" w:hAnsi="Arial" w:cs="Arial"/>
          <w:color w:val="auto"/>
          <w:sz w:val="24"/>
          <w:szCs w:val="24"/>
        </w:rPr>
        <w:t xml:space="preserve">Even in contexts where advanced analytics are </w:t>
      </w:r>
      <w:r w:rsidR="00664B97">
        <w:rPr>
          <w:rFonts w:ascii="Arial" w:hAnsi="Arial" w:cs="Arial"/>
          <w:color w:val="auto"/>
          <w:sz w:val="24"/>
          <w:szCs w:val="24"/>
        </w:rPr>
        <w:t>less</w:t>
      </w:r>
      <w:r w:rsidR="005D17EE" w:rsidRPr="005D17EE">
        <w:rPr>
          <w:rFonts w:ascii="Arial" w:hAnsi="Arial" w:cs="Arial"/>
          <w:color w:val="auto"/>
          <w:sz w:val="24"/>
          <w:szCs w:val="24"/>
        </w:rPr>
        <w:t xml:space="preserve"> applied, quantitative methods such as correlation and regression analysis </w:t>
      </w:r>
      <w:r w:rsidR="00664B97">
        <w:rPr>
          <w:rFonts w:ascii="Arial" w:hAnsi="Arial" w:cs="Arial"/>
          <w:color w:val="auto"/>
          <w:sz w:val="24"/>
          <w:szCs w:val="24"/>
        </w:rPr>
        <w:t>are</w:t>
      </w:r>
      <w:r w:rsidR="005D17EE" w:rsidRPr="005D17EE">
        <w:rPr>
          <w:rFonts w:ascii="Arial" w:hAnsi="Arial" w:cs="Arial"/>
          <w:color w:val="auto"/>
          <w:sz w:val="24"/>
          <w:szCs w:val="24"/>
        </w:rPr>
        <w:t xml:space="preserve"> important. They help identify key cost drivers and clarify relationships between operational variables</w:t>
      </w:r>
      <w:r w:rsidR="00633A46">
        <w:rPr>
          <w:rFonts w:ascii="Arial" w:hAnsi="Arial" w:cs="Arial"/>
          <w:color w:val="auto"/>
          <w:sz w:val="24"/>
          <w:szCs w:val="24"/>
        </w:rPr>
        <w:t xml:space="preserve"> by</w:t>
      </w:r>
      <w:r w:rsidR="005D17EE" w:rsidRPr="005D17EE">
        <w:rPr>
          <w:rFonts w:ascii="Arial" w:hAnsi="Arial" w:cs="Arial"/>
          <w:color w:val="auto"/>
          <w:sz w:val="24"/>
          <w:szCs w:val="24"/>
        </w:rPr>
        <w:t xml:space="preserve"> providing </w:t>
      </w:r>
      <w:r w:rsidR="00633A46">
        <w:rPr>
          <w:rFonts w:ascii="Arial" w:hAnsi="Arial" w:cs="Arial"/>
          <w:color w:val="auto"/>
          <w:sz w:val="24"/>
          <w:szCs w:val="24"/>
        </w:rPr>
        <w:t>statistics</w:t>
      </w:r>
      <w:r w:rsidR="005D17EE" w:rsidRPr="005D17EE">
        <w:rPr>
          <w:rFonts w:ascii="Arial" w:hAnsi="Arial" w:cs="Arial"/>
          <w:color w:val="auto"/>
          <w:sz w:val="24"/>
          <w:szCs w:val="24"/>
        </w:rPr>
        <w:t xml:space="preserve"> for decision</w:t>
      </w:r>
      <w:r w:rsidR="005E6053">
        <w:rPr>
          <w:rFonts w:ascii="Arial" w:hAnsi="Arial" w:cs="Arial"/>
          <w:color w:val="auto"/>
          <w:sz w:val="24"/>
          <w:szCs w:val="24"/>
        </w:rPr>
        <w:t xml:space="preserve"> </w:t>
      </w:r>
      <w:r w:rsidR="005D17EE" w:rsidRPr="005D17EE">
        <w:rPr>
          <w:rFonts w:ascii="Arial" w:hAnsi="Arial" w:cs="Arial"/>
          <w:color w:val="auto"/>
          <w:sz w:val="24"/>
          <w:szCs w:val="24"/>
        </w:rPr>
        <w:t>making</w:t>
      </w:r>
      <w:r w:rsidR="00210FDB">
        <w:rPr>
          <w:rFonts w:ascii="Arial" w:hAnsi="Arial" w:cs="Arial"/>
          <w:color w:val="auto"/>
          <w:sz w:val="24"/>
          <w:szCs w:val="24"/>
        </w:rPr>
        <w:t xml:space="preserve"> (</w:t>
      </w:r>
      <w:proofErr w:type="spellStart"/>
      <w:r w:rsidR="00210FDB">
        <w:rPr>
          <w:rFonts w:ascii="Arial" w:hAnsi="Arial" w:cs="Arial"/>
          <w:color w:val="auto"/>
          <w:sz w:val="24"/>
          <w:szCs w:val="24"/>
        </w:rPr>
        <w:t>Seoni</w:t>
      </w:r>
      <w:proofErr w:type="spellEnd"/>
      <w:r w:rsidR="00210FDB" w:rsidRPr="00710A14">
        <w:rPr>
          <w:rFonts w:ascii="Arial" w:hAnsi="Arial" w:cs="Arial"/>
          <w:color w:val="auto"/>
          <w:sz w:val="24"/>
          <w:szCs w:val="24"/>
        </w:rPr>
        <w:t xml:space="preserve">, Shahini, </w:t>
      </w:r>
      <w:proofErr w:type="spellStart"/>
      <w:r w:rsidR="00210FDB" w:rsidRPr="00710A14">
        <w:rPr>
          <w:rFonts w:ascii="Arial" w:hAnsi="Arial" w:cs="Arial"/>
          <w:color w:val="auto"/>
          <w:sz w:val="24"/>
          <w:szCs w:val="24"/>
        </w:rPr>
        <w:t>Meiburger</w:t>
      </w:r>
      <w:proofErr w:type="spellEnd"/>
      <w:r w:rsidR="00210FDB" w:rsidRPr="00710A14">
        <w:rPr>
          <w:rFonts w:ascii="Arial" w:hAnsi="Arial" w:cs="Arial"/>
          <w:color w:val="auto"/>
          <w:sz w:val="24"/>
          <w:szCs w:val="24"/>
        </w:rPr>
        <w:t>, Marzola, Rotunno, Acharya, Molinari</w:t>
      </w:r>
      <w:r w:rsidR="00210FDB">
        <w:rPr>
          <w:rFonts w:ascii="Arial" w:hAnsi="Arial" w:cs="Arial"/>
          <w:color w:val="auto"/>
          <w:sz w:val="24"/>
          <w:szCs w:val="24"/>
        </w:rPr>
        <w:t xml:space="preserve"> and</w:t>
      </w:r>
      <w:r w:rsidR="00210FDB" w:rsidRPr="00710A14">
        <w:rPr>
          <w:rFonts w:ascii="Arial" w:hAnsi="Arial" w:cs="Arial"/>
          <w:color w:val="auto"/>
          <w:sz w:val="24"/>
          <w:szCs w:val="24"/>
        </w:rPr>
        <w:t xml:space="preserve"> Salvi</w:t>
      </w:r>
      <w:r w:rsidR="00210FDB">
        <w:rPr>
          <w:rFonts w:ascii="Arial" w:hAnsi="Arial" w:cs="Arial"/>
          <w:color w:val="auto"/>
          <w:sz w:val="24"/>
          <w:szCs w:val="24"/>
        </w:rPr>
        <w:t>, 2024, p.</w:t>
      </w:r>
      <w:r w:rsidR="00FD2FCF">
        <w:rPr>
          <w:rFonts w:ascii="Arial" w:hAnsi="Arial" w:cs="Arial"/>
          <w:color w:val="auto"/>
          <w:sz w:val="24"/>
          <w:szCs w:val="24"/>
        </w:rPr>
        <w:t>10</w:t>
      </w:r>
      <w:r w:rsidR="00210FDB">
        <w:rPr>
          <w:rFonts w:ascii="Arial" w:hAnsi="Arial" w:cs="Arial"/>
          <w:color w:val="auto"/>
          <w:sz w:val="24"/>
          <w:szCs w:val="24"/>
        </w:rPr>
        <w:t>).</w:t>
      </w:r>
    </w:p>
    <w:p w14:paraId="513639A7" w14:textId="74D2E74C" w:rsidR="00C07FBC" w:rsidRDefault="00AE44E2" w:rsidP="00C26B00">
      <w:pPr>
        <w:spacing w:line="360" w:lineRule="auto"/>
        <w:jc w:val="both"/>
        <w:rPr>
          <w:rFonts w:ascii="Arial" w:hAnsi="Arial" w:cs="Arial"/>
          <w:color w:val="auto"/>
          <w:sz w:val="24"/>
          <w:szCs w:val="24"/>
        </w:rPr>
      </w:pPr>
      <w:r>
        <w:rPr>
          <w:rFonts w:ascii="Arial" w:hAnsi="Arial" w:cs="Arial"/>
          <w:color w:val="auto"/>
          <w:sz w:val="24"/>
          <w:szCs w:val="24"/>
        </w:rPr>
        <w:t>E</w:t>
      </w:r>
      <w:r w:rsidR="00091E7F" w:rsidRPr="00091E7F">
        <w:rPr>
          <w:rFonts w:ascii="Arial" w:hAnsi="Arial" w:cs="Arial"/>
          <w:color w:val="auto"/>
          <w:sz w:val="24"/>
          <w:szCs w:val="24"/>
        </w:rPr>
        <w:t>xisting literature supports packaging optimisation and digital analytics as strategic operational improvement</w:t>
      </w:r>
      <w:r w:rsidR="00407BF0">
        <w:rPr>
          <w:rFonts w:ascii="Arial" w:hAnsi="Arial" w:cs="Arial"/>
          <w:color w:val="auto"/>
          <w:sz w:val="24"/>
          <w:szCs w:val="24"/>
        </w:rPr>
        <w:t>.</w:t>
      </w:r>
      <w:r w:rsidR="0023797E">
        <w:rPr>
          <w:rFonts w:ascii="Arial" w:hAnsi="Arial" w:cs="Arial"/>
          <w:color w:val="auto"/>
          <w:sz w:val="24"/>
          <w:szCs w:val="24"/>
        </w:rPr>
        <w:t xml:space="preserve"> However, realistic</w:t>
      </w:r>
      <w:r w:rsidR="00091E7F" w:rsidRPr="00091E7F">
        <w:rPr>
          <w:rFonts w:ascii="Arial" w:hAnsi="Arial" w:cs="Arial"/>
          <w:color w:val="auto"/>
          <w:sz w:val="24"/>
          <w:szCs w:val="24"/>
        </w:rPr>
        <w:t xml:space="preserve"> evidence at the organisational level remains necessary to evaluate the financial and operational </w:t>
      </w:r>
      <w:r w:rsidR="00E45F8E" w:rsidRPr="00091E7F">
        <w:rPr>
          <w:rFonts w:ascii="Arial" w:hAnsi="Arial" w:cs="Arial"/>
          <w:color w:val="auto"/>
          <w:sz w:val="24"/>
          <w:szCs w:val="24"/>
        </w:rPr>
        <w:t>possibility</w:t>
      </w:r>
      <w:r w:rsidR="00091E7F" w:rsidRPr="00091E7F">
        <w:rPr>
          <w:rFonts w:ascii="Arial" w:hAnsi="Arial" w:cs="Arial"/>
          <w:color w:val="auto"/>
          <w:sz w:val="24"/>
          <w:szCs w:val="24"/>
        </w:rPr>
        <w:t xml:space="preserve"> of specific material transitions.</w:t>
      </w:r>
      <w:r w:rsidR="00C07FBC">
        <w:rPr>
          <w:rFonts w:ascii="Arial" w:hAnsi="Arial" w:cs="Arial"/>
          <w:color w:val="auto"/>
          <w:sz w:val="24"/>
          <w:szCs w:val="24"/>
        </w:rPr>
        <w:br w:type="page"/>
      </w:r>
    </w:p>
    <w:p w14:paraId="570B8276" w14:textId="174C99FB" w:rsidR="00173A92" w:rsidRPr="00AE264A" w:rsidRDefault="00C07FBC" w:rsidP="00994E70">
      <w:pPr>
        <w:pStyle w:val="Heading2"/>
        <w:rPr>
          <w:rFonts w:ascii="Arial" w:hAnsi="Arial"/>
          <w:sz w:val="28"/>
          <w:szCs w:val="28"/>
        </w:rPr>
      </w:pPr>
      <w:bookmarkStart w:id="8" w:name="_Toc223467510"/>
      <w:r w:rsidRPr="00AE264A">
        <w:rPr>
          <w:rFonts w:ascii="Arial" w:hAnsi="Arial"/>
          <w:sz w:val="28"/>
          <w:szCs w:val="28"/>
        </w:rPr>
        <w:lastRenderedPageBreak/>
        <w:t xml:space="preserve">Problem </w:t>
      </w:r>
      <w:r w:rsidR="00D17E66" w:rsidRPr="00AE264A">
        <w:rPr>
          <w:rFonts w:ascii="Arial" w:hAnsi="Arial"/>
          <w:sz w:val="28"/>
          <w:szCs w:val="28"/>
        </w:rPr>
        <w:t xml:space="preserve">definition </w:t>
      </w:r>
      <w:r w:rsidR="00A26B21" w:rsidRPr="00AE264A">
        <w:rPr>
          <w:rFonts w:ascii="Arial" w:hAnsi="Arial"/>
          <w:sz w:val="28"/>
          <w:szCs w:val="28"/>
        </w:rPr>
        <w:t xml:space="preserve">and </w:t>
      </w:r>
      <w:r w:rsidR="004775C4" w:rsidRPr="00AE264A">
        <w:rPr>
          <w:rFonts w:ascii="Arial" w:hAnsi="Arial"/>
          <w:sz w:val="28"/>
          <w:szCs w:val="28"/>
        </w:rPr>
        <w:t>variable identification</w:t>
      </w:r>
      <w:bookmarkEnd w:id="8"/>
    </w:p>
    <w:p w14:paraId="5A1F35BB" w14:textId="77777777" w:rsidR="00A26B21" w:rsidRPr="00173A92" w:rsidRDefault="00A26B21" w:rsidP="00A26B21">
      <w:pPr>
        <w:spacing w:line="360" w:lineRule="auto"/>
        <w:jc w:val="both"/>
        <w:rPr>
          <w:rFonts w:ascii="Arial" w:hAnsi="Arial" w:cs="Arial"/>
          <w:color w:val="auto"/>
          <w:sz w:val="24"/>
          <w:szCs w:val="24"/>
        </w:rPr>
      </w:pPr>
    </w:p>
    <w:p w14:paraId="1741AA99" w14:textId="058CC970" w:rsidR="00A26B21" w:rsidRDefault="00A26B21" w:rsidP="00E05FDA">
      <w:pPr>
        <w:spacing w:line="360" w:lineRule="auto"/>
        <w:jc w:val="both"/>
        <w:rPr>
          <w:rFonts w:ascii="Arial" w:hAnsi="Arial" w:cs="Arial"/>
          <w:color w:val="auto"/>
          <w:sz w:val="24"/>
          <w:szCs w:val="24"/>
        </w:rPr>
      </w:pPr>
      <w:r w:rsidRPr="00A26B21">
        <w:rPr>
          <w:rFonts w:ascii="Arial" w:hAnsi="Arial" w:cs="Arial"/>
          <w:color w:val="auto"/>
          <w:sz w:val="24"/>
          <w:szCs w:val="24"/>
        </w:rPr>
        <w:t>This report investigates whether replacing plastic sample pouches with paper envelopes in Coloplast’s consumer sample distribution process would reduce total distribution costs</w:t>
      </w:r>
      <w:r w:rsidR="0049561F">
        <w:rPr>
          <w:rFonts w:ascii="Arial" w:hAnsi="Arial" w:cs="Arial"/>
          <w:color w:val="auto"/>
          <w:sz w:val="24"/>
          <w:szCs w:val="24"/>
        </w:rPr>
        <w:t>.</w:t>
      </w:r>
      <w:r w:rsidRPr="00A26B21">
        <w:rPr>
          <w:rFonts w:ascii="Arial" w:hAnsi="Arial" w:cs="Arial"/>
          <w:color w:val="auto"/>
          <w:sz w:val="24"/>
          <w:szCs w:val="24"/>
        </w:rPr>
        <w:t xml:space="preserve"> </w:t>
      </w:r>
      <w:r w:rsidR="00ED5684">
        <w:rPr>
          <w:rFonts w:ascii="Arial" w:hAnsi="Arial" w:cs="Arial"/>
          <w:color w:val="auto"/>
          <w:sz w:val="24"/>
          <w:szCs w:val="24"/>
        </w:rPr>
        <w:t xml:space="preserve">Keeping </w:t>
      </w:r>
      <w:r w:rsidRPr="00A26B21">
        <w:rPr>
          <w:rFonts w:ascii="Arial" w:hAnsi="Arial" w:cs="Arial"/>
          <w:color w:val="auto"/>
          <w:sz w:val="24"/>
          <w:szCs w:val="24"/>
        </w:rPr>
        <w:t xml:space="preserve">operational efficiency </w:t>
      </w:r>
      <w:r w:rsidR="00ED5684">
        <w:rPr>
          <w:rFonts w:ascii="Arial" w:hAnsi="Arial" w:cs="Arial"/>
          <w:color w:val="auto"/>
          <w:sz w:val="24"/>
          <w:szCs w:val="24"/>
        </w:rPr>
        <w:t xml:space="preserve">and </w:t>
      </w:r>
      <w:r w:rsidRPr="00A26B21">
        <w:rPr>
          <w:rFonts w:ascii="Arial" w:hAnsi="Arial" w:cs="Arial"/>
          <w:color w:val="auto"/>
          <w:sz w:val="24"/>
          <w:szCs w:val="24"/>
        </w:rPr>
        <w:t xml:space="preserve">sustainability goals. </w:t>
      </w:r>
      <w:r w:rsidR="00D032EE" w:rsidRPr="00D032EE">
        <w:rPr>
          <w:rFonts w:ascii="Arial" w:hAnsi="Arial" w:cs="Arial"/>
          <w:color w:val="auto"/>
          <w:sz w:val="24"/>
          <w:szCs w:val="24"/>
        </w:rPr>
        <w:t>Packaging</w:t>
      </w:r>
      <w:r w:rsidR="00CF6A3A">
        <w:rPr>
          <w:rFonts w:ascii="Arial" w:hAnsi="Arial" w:cs="Arial"/>
          <w:color w:val="auto"/>
          <w:sz w:val="24"/>
          <w:szCs w:val="24"/>
        </w:rPr>
        <w:t xml:space="preserve"> is a major proportion</w:t>
      </w:r>
      <w:r w:rsidR="00D032EE" w:rsidRPr="00D032EE">
        <w:rPr>
          <w:rFonts w:ascii="Arial" w:hAnsi="Arial" w:cs="Arial"/>
          <w:color w:val="auto"/>
          <w:sz w:val="24"/>
          <w:szCs w:val="24"/>
        </w:rPr>
        <w:t xml:space="preserve"> of total pack cost, </w:t>
      </w:r>
      <w:r w:rsidR="00F158C8">
        <w:rPr>
          <w:rFonts w:ascii="Arial" w:hAnsi="Arial" w:cs="Arial"/>
          <w:color w:val="auto"/>
          <w:sz w:val="24"/>
          <w:szCs w:val="24"/>
        </w:rPr>
        <w:t>indicating</w:t>
      </w:r>
      <w:r w:rsidR="00D032EE" w:rsidRPr="00D032EE">
        <w:rPr>
          <w:rFonts w:ascii="Arial" w:hAnsi="Arial" w:cs="Arial"/>
          <w:color w:val="auto"/>
          <w:sz w:val="24"/>
          <w:szCs w:val="24"/>
        </w:rPr>
        <w:t xml:space="preserve"> potential for optimisation</w:t>
      </w:r>
      <w:r w:rsidRPr="00A26B21">
        <w:rPr>
          <w:rFonts w:ascii="Arial" w:hAnsi="Arial" w:cs="Arial"/>
          <w:color w:val="auto"/>
          <w:sz w:val="24"/>
          <w:szCs w:val="24"/>
        </w:rPr>
        <w:t xml:space="preserve">. </w:t>
      </w:r>
      <w:r w:rsidR="006737CF" w:rsidRPr="006737CF">
        <w:rPr>
          <w:rFonts w:ascii="Arial" w:hAnsi="Arial" w:cs="Arial"/>
          <w:color w:val="auto"/>
          <w:sz w:val="24"/>
          <w:szCs w:val="24"/>
        </w:rPr>
        <w:t>It remains unclear whether pouch cost significantly influences overall cost variation</w:t>
      </w:r>
      <w:r w:rsidRPr="00A26B21">
        <w:rPr>
          <w:rFonts w:ascii="Arial" w:hAnsi="Arial" w:cs="Arial"/>
          <w:color w:val="auto"/>
          <w:sz w:val="24"/>
          <w:szCs w:val="24"/>
        </w:rPr>
        <w:t xml:space="preserve">. </w:t>
      </w:r>
      <w:r w:rsidR="00E05FDA" w:rsidRPr="00E05FDA">
        <w:rPr>
          <w:rFonts w:ascii="Arial" w:hAnsi="Arial" w:cs="Arial"/>
          <w:color w:val="000000"/>
          <w:sz w:val="24"/>
        </w:rPr>
        <w:t>Before considering material prices, decisions should also factor in postage classification</w:t>
      </w:r>
      <w:r w:rsidR="009505D3">
        <w:rPr>
          <w:rFonts w:ascii="Arial" w:hAnsi="Arial" w:cs="Arial"/>
          <w:color w:val="000000"/>
          <w:sz w:val="24"/>
        </w:rPr>
        <w:t xml:space="preserve"> </w:t>
      </w:r>
      <w:r w:rsidR="00E05FDA" w:rsidRPr="00E05FDA">
        <w:rPr>
          <w:rFonts w:ascii="Arial" w:hAnsi="Arial" w:cs="Arial"/>
          <w:color w:val="000000"/>
          <w:sz w:val="24"/>
        </w:rPr>
        <w:t>and implementation risk.</w:t>
      </w:r>
      <w:r w:rsidR="00E05FDA">
        <w:rPr>
          <w:rFonts w:ascii="Arial" w:hAnsi="Arial" w:cs="Arial"/>
          <w:color w:val="000000"/>
          <w:sz w:val="24"/>
        </w:rPr>
        <w:t xml:space="preserve"> </w:t>
      </w:r>
      <w:r w:rsidRPr="00A26B21">
        <w:rPr>
          <w:rFonts w:ascii="Arial" w:hAnsi="Arial" w:cs="Arial"/>
          <w:color w:val="auto"/>
          <w:sz w:val="24"/>
          <w:szCs w:val="24"/>
        </w:rPr>
        <w:t xml:space="preserve"> For that reason, a data </w:t>
      </w:r>
      <w:r w:rsidR="00906EA1">
        <w:rPr>
          <w:rFonts w:ascii="Arial" w:hAnsi="Arial" w:cs="Arial"/>
          <w:color w:val="auto"/>
          <w:sz w:val="24"/>
          <w:szCs w:val="24"/>
        </w:rPr>
        <w:t>review</w:t>
      </w:r>
      <w:r w:rsidRPr="00A26B21">
        <w:rPr>
          <w:rFonts w:ascii="Arial" w:hAnsi="Arial" w:cs="Arial"/>
          <w:color w:val="auto"/>
          <w:sz w:val="24"/>
          <w:szCs w:val="24"/>
        </w:rPr>
        <w:t xml:space="preserve"> was </w:t>
      </w:r>
      <w:r w:rsidR="00906EA1">
        <w:rPr>
          <w:rFonts w:ascii="Arial" w:hAnsi="Arial" w:cs="Arial"/>
          <w:color w:val="auto"/>
          <w:sz w:val="24"/>
          <w:szCs w:val="24"/>
        </w:rPr>
        <w:t xml:space="preserve">conducted </w:t>
      </w:r>
      <w:r w:rsidRPr="00A26B21">
        <w:rPr>
          <w:rFonts w:ascii="Arial" w:hAnsi="Arial" w:cs="Arial"/>
          <w:color w:val="auto"/>
          <w:sz w:val="24"/>
          <w:szCs w:val="24"/>
        </w:rPr>
        <w:t>to examine both financial impact and operational viability.</w:t>
      </w:r>
    </w:p>
    <w:p w14:paraId="450AD9CA" w14:textId="77777777" w:rsidR="0000240E" w:rsidRPr="0000240E" w:rsidRDefault="0000240E" w:rsidP="00E05FDA">
      <w:pPr>
        <w:spacing w:line="360" w:lineRule="auto"/>
        <w:jc w:val="both"/>
        <w:rPr>
          <w:rFonts w:ascii="Arial" w:hAnsi="Arial" w:cs="Arial"/>
          <w:b/>
          <w:bCs/>
          <w:color w:val="auto"/>
          <w:sz w:val="24"/>
          <w:szCs w:val="24"/>
        </w:rPr>
      </w:pPr>
    </w:p>
    <w:p w14:paraId="16144D51" w14:textId="1BDDA63F" w:rsidR="002F1107" w:rsidRPr="0000240E" w:rsidRDefault="00501F74" w:rsidP="00E05FDA">
      <w:pPr>
        <w:spacing w:line="360" w:lineRule="auto"/>
        <w:jc w:val="both"/>
        <w:rPr>
          <w:rFonts w:ascii="Arial" w:hAnsi="Arial" w:cs="Arial"/>
          <w:b/>
          <w:bCs/>
          <w:color w:val="auto"/>
          <w:sz w:val="24"/>
          <w:szCs w:val="24"/>
        </w:rPr>
      </w:pPr>
      <w:r w:rsidRPr="0000240E">
        <w:rPr>
          <w:rFonts w:ascii="Arial" w:hAnsi="Arial" w:cs="Arial"/>
          <w:b/>
          <w:bCs/>
          <w:color w:val="auto"/>
          <w:sz w:val="24"/>
          <w:szCs w:val="24"/>
        </w:rPr>
        <w:t>Identif</w:t>
      </w:r>
      <w:r w:rsidR="0077735A" w:rsidRPr="0000240E">
        <w:rPr>
          <w:rFonts w:ascii="Arial" w:hAnsi="Arial" w:cs="Arial"/>
          <w:b/>
          <w:bCs/>
          <w:color w:val="auto"/>
          <w:sz w:val="24"/>
          <w:szCs w:val="24"/>
        </w:rPr>
        <w:t>ied Variable</w:t>
      </w:r>
      <w:r w:rsidR="009C7CB3">
        <w:rPr>
          <w:rFonts w:ascii="Arial" w:hAnsi="Arial" w:cs="Arial"/>
          <w:b/>
          <w:bCs/>
          <w:color w:val="auto"/>
          <w:sz w:val="24"/>
          <w:szCs w:val="24"/>
        </w:rPr>
        <w:t>s</w:t>
      </w:r>
    </w:p>
    <w:p w14:paraId="4D51275B" w14:textId="50449F43" w:rsidR="0077735A" w:rsidRDefault="0000240E" w:rsidP="00E05FDA">
      <w:pPr>
        <w:spacing w:line="360" w:lineRule="auto"/>
        <w:jc w:val="both"/>
        <w:rPr>
          <w:rFonts w:ascii="Arial" w:hAnsi="Arial" w:cs="Arial"/>
          <w:color w:val="auto"/>
          <w:sz w:val="24"/>
          <w:szCs w:val="24"/>
        </w:rPr>
      </w:pPr>
      <w:r w:rsidRPr="0000240E">
        <w:rPr>
          <w:rFonts w:ascii="Arial" w:hAnsi="Arial" w:cs="Arial"/>
          <w:color w:val="auto"/>
          <w:sz w:val="24"/>
          <w:szCs w:val="24"/>
        </w:rPr>
        <w:t>Dependent variable</w:t>
      </w:r>
      <w:r>
        <w:rPr>
          <w:rFonts w:ascii="Arial" w:hAnsi="Arial" w:cs="Arial"/>
          <w:color w:val="auto"/>
          <w:sz w:val="24"/>
          <w:szCs w:val="24"/>
        </w:rPr>
        <w:t>:</w:t>
      </w:r>
    </w:p>
    <w:p w14:paraId="2A800A5D" w14:textId="24899944" w:rsidR="0000240E" w:rsidRDefault="005336F3" w:rsidP="0000240E">
      <w:pPr>
        <w:pStyle w:val="ListParagraph"/>
        <w:numPr>
          <w:ilvl w:val="0"/>
          <w:numId w:val="36"/>
        </w:numPr>
        <w:spacing w:line="360" w:lineRule="auto"/>
        <w:jc w:val="both"/>
        <w:rPr>
          <w:rFonts w:ascii="Arial" w:hAnsi="Arial" w:cs="Arial"/>
          <w:color w:val="auto"/>
          <w:sz w:val="24"/>
          <w:szCs w:val="24"/>
        </w:rPr>
      </w:pPr>
      <w:r>
        <w:rPr>
          <w:rFonts w:ascii="Arial" w:hAnsi="Arial" w:cs="Arial"/>
          <w:color w:val="auto"/>
          <w:sz w:val="24"/>
          <w:szCs w:val="24"/>
        </w:rPr>
        <w:t>Total</w:t>
      </w:r>
      <w:r w:rsidRPr="005336F3">
        <w:rPr>
          <w:rFonts w:ascii="Arial" w:hAnsi="Arial" w:cs="Arial"/>
          <w:color w:val="auto"/>
          <w:sz w:val="24"/>
          <w:szCs w:val="24"/>
        </w:rPr>
        <w:t xml:space="preserve"> sample pack cost</w:t>
      </w:r>
      <w:r>
        <w:rPr>
          <w:rFonts w:ascii="Arial" w:hAnsi="Arial" w:cs="Arial"/>
          <w:color w:val="auto"/>
          <w:sz w:val="24"/>
          <w:szCs w:val="24"/>
        </w:rPr>
        <w:t xml:space="preserve"> (£)</w:t>
      </w:r>
    </w:p>
    <w:p w14:paraId="467F7CC5" w14:textId="6FAE5828" w:rsidR="005336F3" w:rsidRDefault="005336F3" w:rsidP="005336F3">
      <w:pPr>
        <w:spacing w:line="360" w:lineRule="auto"/>
        <w:jc w:val="both"/>
        <w:rPr>
          <w:rFonts w:ascii="Arial" w:hAnsi="Arial" w:cs="Arial"/>
          <w:color w:val="auto"/>
          <w:sz w:val="24"/>
          <w:szCs w:val="24"/>
        </w:rPr>
      </w:pPr>
      <w:r w:rsidRPr="005336F3">
        <w:rPr>
          <w:rFonts w:ascii="Arial" w:hAnsi="Arial" w:cs="Arial"/>
          <w:color w:val="auto"/>
          <w:sz w:val="24"/>
          <w:szCs w:val="24"/>
        </w:rPr>
        <w:t>Independent quantitative variables:</w:t>
      </w:r>
    </w:p>
    <w:p w14:paraId="51CF3A45" w14:textId="1A82C92C" w:rsidR="005336F3" w:rsidRDefault="005336F3" w:rsidP="005336F3">
      <w:pPr>
        <w:pStyle w:val="ListParagraph"/>
        <w:numPr>
          <w:ilvl w:val="0"/>
          <w:numId w:val="36"/>
        </w:numPr>
        <w:spacing w:line="360" w:lineRule="auto"/>
        <w:jc w:val="both"/>
        <w:rPr>
          <w:rFonts w:ascii="Arial" w:hAnsi="Arial" w:cs="Arial"/>
          <w:color w:val="auto"/>
          <w:sz w:val="24"/>
          <w:szCs w:val="24"/>
        </w:rPr>
      </w:pPr>
      <w:r w:rsidRPr="005336F3">
        <w:rPr>
          <w:rFonts w:ascii="Arial" w:hAnsi="Arial" w:cs="Arial"/>
          <w:color w:val="auto"/>
          <w:sz w:val="24"/>
          <w:szCs w:val="24"/>
        </w:rPr>
        <w:t>Product cost (£)</w:t>
      </w:r>
    </w:p>
    <w:p w14:paraId="5216AE67" w14:textId="057B1111" w:rsidR="005336F3"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Pouch cost (£)</w:t>
      </w:r>
    </w:p>
    <w:p w14:paraId="077B6E85" w14:textId="259D30B7"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Printing cost (£)</w:t>
      </w:r>
    </w:p>
    <w:p w14:paraId="70635846" w14:textId="778F668E"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SKU volume</w:t>
      </w:r>
    </w:p>
    <w:p w14:paraId="03FFBD15" w14:textId="730C696C"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Postage cost (£)</w:t>
      </w:r>
    </w:p>
    <w:p w14:paraId="70194108" w14:textId="6E234C72"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Royal Mail classification (Letter</w:t>
      </w:r>
      <w:r>
        <w:rPr>
          <w:rFonts w:ascii="Arial" w:hAnsi="Arial" w:cs="Arial"/>
          <w:color w:val="auto"/>
          <w:sz w:val="24"/>
          <w:szCs w:val="24"/>
        </w:rPr>
        <w:t>,</w:t>
      </w:r>
      <w:r w:rsidRPr="009167B0">
        <w:rPr>
          <w:rFonts w:ascii="Arial" w:hAnsi="Arial" w:cs="Arial"/>
          <w:color w:val="auto"/>
          <w:sz w:val="24"/>
          <w:szCs w:val="24"/>
        </w:rPr>
        <w:t xml:space="preserve"> Large Letter</w:t>
      </w:r>
      <w:r>
        <w:rPr>
          <w:rFonts w:ascii="Arial" w:hAnsi="Arial" w:cs="Arial"/>
          <w:color w:val="auto"/>
          <w:sz w:val="24"/>
          <w:szCs w:val="24"/>
        </w:rPr>
        <w:t>,</w:t>
      </w:r>
      <w:r w:rsidRPr="009167B0">
        <w:rPr>
          <w:rFonts w:ascii="Arial" w:hAnsi="Arial" w:cs="Arial"/>
          <w:color w:val="auto"/>
          <w:sz w:val="24"/>
          <w:szCs w:val="24"/>
        </w:rPr>
        <w:t xml:space="preserve"> Parcel)</w:t>
      </w:r>
    </w:p>
    <w:p w14:paraId="24F7FAB4" w14:textId="6DC22C82" w:rsidR="009167B0" w:rsidRDefault="0041673B" w:rsidP="009167B0">
      <w:pPr>
        <w:spacing w:line="360" w:lineRule="auto"/>
        <w:jc w:val="both"/>
        <w:rPr>
          <w:rFonts w:ascii="Arial" w:hAnsi="Arial" w:cs="Arial"/>
          <w:color w:val="auto"/>
          <w:sz w:val="24"/>
          <w:szCs w:val="24"/>
        </w:rPr>
      </w:pPr>
      <w:r w:rsidRPr="0041673B">
        <w:rPr>
          <w:rFonts w:ascii="Arial" w:hAnsi="Arial" w:cs="Arial"/>
          <w:color w:val="auto"/>
          <w:sz w:val="24"/>
          <w:szCs w:val="24"/>
        </w:rPr>
        <w:t>Qualitative variables (pilot feedback):</w:t>
      </w:r>
    </w:p>
    <w:p w14:paraId="06D3F85D" w14:textId="59601804"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Ease of use</w:t>
      </w:r>
    </w:p>
    <w:p w14:paraId="491076AC" w14:textId="72487725"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Perceived durability</w:t>
      </w:r>
    </w:p>
    <w:p w14:paraId="6D61A611" w14:textId="26E7D595"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Packing efficiency</w:t>
      </w:r>
    </w:p>
    <w:p w14:paraId="051A5155" w14:textId="3433AF72"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Sustainability perception</w:t>
      </w:r>
    </w:p>
    <w:p w14:paraId="338AE52D" w14:textId="01F3F9BD" w:rsidR="0041673B" w:rsidRPr="0041673B" w:rsidRDefault="004B06A1" w:rsidP="0041673B">
      <w:pPr>
        <w:pStyle w:val="ListParagraph"/>
        <w:numPr>
          <w:ilvl w:val="0"/>
          <w:numId w:val="37"/>
        </w:numPr>
        <w:spacing w:line="360" w:lineRule="auto"/>
        <w:jc w:val="both"/>
        <w:rPr>
          <w:rFonts w:ascii="Arial" w:hAnsi="Arial" w:cs="Arial"/>
          <w:color w:val="auto"/>
          <w:sz w:val="24"/>
          <w:szCs w:val="24"/>
        </w:rPr>
      </w:pPr>
      <w:r w:rsidRPr="004B06A1">
        <w:rPr>
          <w:rFonts w:ascii="Arial" w:hAnsi="Arial" w:cs="Arial"/>
          <w:color w:val="auto"/>
          <w:sz w:val="24"/>
          <w:szCs w:val="24"/>
        </w:rPr>
        <w:t>Operational risk</w:t>
      </w:r>
    </w:p>
    <w:p w14:paraId="785568C0" w14:textId="03578D98" w:rsidR="0033563E" w:rsidRDefault="0033563E" w:rsidP="00A26B21">
      <w:pPr>
        <w:spacing w:line="360" w:lineRule="auto"/>
        <w:jc w:val="both"/>
        <w:rPr>
          <w:rFonts w:ascii="Arial" w:hAnsi="Arial" w:cs="Arial"/>
          <w:color w:val="auto"/>
          <w:sz w:val="24"/>
          <w:szCs w:val="24"/>
        </w:rPr>
      </w:pPr>
      <w:r>
        <w:rPr>
          <w:rFonts w:ascii="Arial" w:hAnsi="Arial" w:cs="Arial"/>
          <w:color w:val="auto"/>
          <w:sz w:val="24"/>
          <w:szCs w:val="24"/>
        </w:rPr>
        <w:br/>
      </w:r>
    </w:p>
    <w:p w14:paraId="040CCBA1" w14:textId="77777777" w:rsidR="0033563E" w:rsidRDefault="0033563E">
      <w:pPr>
        <w:rPr>
          <w:rFonts w:ascii="Arial" w:hAnsi="Arial" w:cs="Arial"/>
          <w:color w:val="auto"/>
          <w:sz w:val="24"/>
          <w:szCs w:val="24"/>
        </w:rPr>
      </w:pPr>
      <w:r>
        <w:rPr>
          <w:rFonts w:ascii="Arial" w:hAnsi="Arial" w:cs="Arial"/>
          <w:color w:val="auto"/>
          <w:sz w:val="24"/>
          <w:szCs w:val="24"/>
        </w:rPr>
        <w:br w:type="page"/>
      </w:r>
    </w:p>
    <w:p w14:paraId="235D21DA" w14:textId="282D990E" w:rsidR="009A4CF9" w:rsidRPr="00AE264A" w:rsidRDefault="009A4CF9" w:rsidP="00994E70">
      <w:pPr>
        <w:pStyle w:val="Heading2"/>
        <w:rPr>
          <w:rFonts w:ascii="Arial" w:hAnsi="Arial"/>
          <w:sz w:val="28"/>
          <w:szCs w:val="28"/>
        </w:rPr>
      </w:pPr>
      <w:bookmarkStart w:id="9" w:name="_Toc223467511"/>
      <w:r w:rsidRPr="00AE264A">
        <w:rPr>
          <w:rFonts w:ascii="Arial" w:hAnsi="Arial"/>
          <w:sz w:val="28"/>
          <w:szCs w:val="28"/>
        </w:rPr>
        <w:lastRenderedPageBreak/>
        <w:t>Data Collection</w:t>
      </w:r>
      <w:bookmarkEnd w:id="9"/>
    </w:p>
    <w:p w14:paraId="124A1AE5" w14:textId="77777777" w:rsidR="007308C8" w:rsidRDefault="007308C8" w:rsidP="00475695">
      <w:pPr>
        <w:spacing w:line="360" w:lineRule="auto"/>
        <w:jc w:val="both"/>
        <w:rPr>
          <w:rFonts w:ascii="Arial" w:hAnsi="Arial" w:cs="Arial"/>
          <w:color w:val="auto"/>
          <w:sz w:val="24"/>
          <w:szCs w:val="24"/>
        </w:rPr>
      </w:pPr>
    </w:p>
    <w:p w14:paraId="7D9C125F" w14:textId="1E7CDBDE" w:rsidR="009A4CF9" w:rsidRDefault="005A7D73" w:rsidP="00475695">
      <w:pPr>
        <w:spacing w:line="360" w:lineRule="auto"/>
        <w:jc w:val="both"/>
        <w:rPr>
          <w:rFonts w:ascii="Arial" w:hAnsi="Arial" w:cs="Arial"/>
          <w:color w:val="auto"/>
          <w:sz w:val="24"/>
          <w:szCs w:val="24"/>
        </w:rPr>
      </w:pPr>
      <w:r w:rsidRPr="005A7D73">
        <w:rPr>
          <w:rFonts w:ascii="Arial" w:hAnsi="Arial" w:cs="Arial"/>
          <w:color w:val="auto"/>
          <w:sz w:val="24"/>
          <w:szCs w:val="24"/>
        </w:rPr>
        <w:t xml:space="preserve">To </w:t>
      </w:r>
      <w:r w:rsidR="00FD40FA">
        <w:rPr>
          <w:rFonts w:ascii="Arial" w:hAnsi="Arial" w:cs="Arial"/>
          <w:color w:val="auto"/>
          <w:sz w:val="24"/>
          <w:szCs w:val="24"/>
        </w:rPr>
        <w:t>weigh</w:t>
      </w:r>
      <w:r w:rsidRPr="005A7D73">
        <w:rPr>
          <w:rFonts w:ascii="Arial" w:hAnsi="Arial" w:cs="Arial"/>
          <w:color w:val="auto"/>
          <w:sz w:val="24"/>
          <w:szCs w:val="24"/>
        </w:rPr>
        <w:t xml:space="preserve"> the transition from plastic pouches to </w:t>
      </w:r>
      <w:r w:rsidR="00264447">
        <w:rPr>
          <w:rFonts w:ascii="Arial" w:hAnsi="Arial" w:cs="Arial"/>
          <w:color w:val="auto"/>
          <w:sz w:val="24"/>
          <w:szCs w:val="24"/>
        </w:rPr>
        <w:t>paper</w:t>
      </w:r>
      <w:r w:rsidRPr="005A7D73">
        <w:rPr>
          <w:rFonts w:ascii="Arial" w:hAnsi="Arial" w:cs="Arial"/>
          <w:color w:val="auto"/>
          <w:sz w:val="24"/>
          <w:szCs w:val="24"/>
        </w:rPr>
        <w:t xml:space="preserve"> envelopes</w:t>
      </w:r>
      <w:r w:rsidR="00D03C7A">
        <w:rPr>
          <w:rFonts w:ascii="Arial" w:hAnsi="Arial" w:cs="Arial"/>
          <w:color w:val="auto"/>
          <w:sz w:val="24"/>
          <w:szCs w:val="24"/>
        </w:rPr>
        <w:t>.</w:t>
      </w:r>
      <w:r w:rsidRPr="005A7D73">
        <w:rPr>
          <w:rFonts w:ascii="Arial" w:hAnsi="Arial" w:cs="Arial"/>
          <w:color w:val="auto"/>
          <w:sz w:val="24"/>
          <w:szCs w:val="24"/>
        </w:rPr>
        <w:t xml:space="preserve"> </w:t>
      </w:r>
      <w:r w:rsidR="00D03C7A">
        <w:rPr>
          <w:rFonts w:ascii="Arial" w:hAnsi="Arial" w:cs="Arial"/>
          <w:color w:val="auto"/>
          <w:sz w:val="24"/>
          <w:szCs w:val="24"/>
        </w:rPr>
        <w:t>Both</w:t>
      </w:r>
      <w:r w:rsidRPr="005A7D73">
        <w:rPr>
          <w:rFonts w:ascii="Arial" w:hAnsi="Arial" w:cs="Arial"/>
          <w:color w:val="auto"/>
          <w:sz w:val="24"/>
          <w:szCs w:val="24"/>
        </w:rPr>
        <w:t xml:space="preserve"> quantitative and qualitative data were collected</w:t>
      </w:r>
      <w:r w:rsidR="00801198">
        <w:rPr>
          <w:rFonts w:ascii="Arial" w:hAnsi="Arial" w:cs="Arial"/>
          <w:color w:val="auto"/>
          <w:sz w:val="24"/>
          <w:szCs w:val="24"/>
        </w:rPr>
        <w:t>.</w:t>
      </w:r>
    </w:p>
    <w:p w14:paraId="60670BA6" w14:textId="7581ECC9" w:rsidR="0078767C" w:rsidRDefault="00B677C3" w:rsidP="00475695">
      <w:pPr>
        <w:spacing w:line="360" w:lineRule="auto"/>
        <w:jc w:val="both"/>
        <w:rPr>
          <w:rFonts w:ascii="Arial" w:hAnsi="Arial" w:cs="Arial"/>
          <w:color w:val="auto"/>
          <w:sz w:val="24"/>
          <w:szCs w:val="24"/>
        </w:rPr>
      </w:pPr>
      <w:r w:rsidRPr="00FE27C8">
        <w:rPr>
          <w:rFonts w:ascii="Arial" w:hAnsi="Arial" w:cs="Arial"/>
          <w:b/>
          <w:bCs/>
          <w:i/>
          <w:iCs/>
          <w:color w:val="auto"/>
          <w:sz w:val="24"/>
          <w:szCs w:val="24"/>
        </w:rPr>
        <w:t>Quantitative</w:t>
      </w:r>
      <w:r w:rsidRPr="00B677C3">
        <w:rPr>
          <w:rFonts w:ascii="Arial" w:hAnsi="Arial" w:cs="Arial"/>
          <w:color w:val="auto"/>
          <w:sz w:val="24"/>
          <w:szCs w:val="24"/>
        </w:rPr>
        <w:t xml:space="preserve"> data were </w:t>
      </w:r>
      <w:r w:rsidR="002E36E7">
        <w:rPr>
          <w:rFonts w:ascii="Arial" w:hAnsi="Arial" w:cs="Arial"/>
          <w:color w:val="auto"/>
          <w:sz w:val="24"/>
          <w:szCs w:val="24"/>
        </w:rPr>
        <w:t>obtained</w:t>
      </w:r>
      <w:r w:rsidRPr="00B677C3">
        <w:rPr>
          <w:rFonts w:ascii="Arial" w:hAnsi="Arial" w:cs="Arial"/>
          <w:color w:val="auto"/>
          <w:sz w:val="24"/>
          <w:szCs w:val="24"/>
        </w:rPr>
        <w:t xml:space="preserve"> from internal IC/OC consumption reports and distribution records.</w:t>
      </w:r>
      <w:r w:rsidR="00AB4813">
        <w:rPr>
          <w:rFonts w:ascii="Arial" w:hAnsi="Arial" w:cs="Arial"/>
          <w:color w:val="auto"/>
          <w:sz w:val="24"/>
          <w:szCs w:val="24"/>
        </w:rPr>
        <w:t xml:space="preserve"> </w:t>
      </w:r>
      <w:r w:rsidR="00F9689B">
        <w:rPr>
          <w:rFonts w:ascii="Arial" w:hAnsi="Arial" w:cs="Arial"/>
          <w:color w:val="auto"/>
          <w:sz w:val="24"/>
          <w:szCs w:val="24"/>
        </w:rPr>
        <w:t xml:space="preserve">That </w:t>
      </w:r>
      <w:r w:rsidR="00792ACB">
        <w:rPr>
          <w:rFonts w:ascii="Arial" w:hAnsi="Arial" w:cs="Arial"/>
          <w:color w:val="auto"/>
          <w:sz w:val="24"/>
          <w:szCs w:val="24"/>
        </w:rPr>
        <w:t>included</w:t>
      </w:r>
      <w:r w:rsidR="00AB4813" w:rsidRPr="00AB4813">
        <w:rPr>
          <w:rFonts w:ascii="Arial" w:hAnsi="Arial" w:cs="Arial"/>
          <w:color w:val="auto"/>
          <w:sz w:val="24"/>
          <w:szCs w:val="24"/>
        </w:rPr>
        <w:t xml:space="preserve"> product cost, pouch cost, printed</w:t>
      </w:r>
      <w:r w:rsidR="001068AE">
        <w:rPr>
          <w:rFonts w:ascii="Arial" w:hAnsi="Arial" w:cs="Arial"/>
          <w:color w:val="auto"/>
          <w:sz w:val="24"/>
          <w:szCs w:val="24"/>
        </w:rPr>
        <w:t xml:space="preserve"> </w:t>
      </w:r>
      <w:r w:rsidR="00AB4813" w:rsidRPr="00AB4813">
        <w:rPr>
          <w:rFonts w:ascii="Arial" w:hAnsi="Arial" w:cs="Arial"/>
          <w:color w:val="auto"/>
          <w:sz w:val="24"/>
          <w:szCs w:val="24"/>
        </w:rPr>
        <w:t>material cost, total sample</w:t>
      </w:r>
      <w:r w:rsidR="00792ACB">
        <w:rPr>
          <w:rFonts w:ascii="Arial" w:hAnsi="Arial" w:cs="Arial"/>
          <w:color w:val="auto"/>
          <w:sz w:val="24"/>
          <w:szCs w:val="24"/>
        </w:rPr>
        <w:t xml:space="preserve"> </w:t>
      </w:r>
      <w:r w:rsidR="00AB4813" w:rsidRPr="00AB4813">
        <w:rPr>
          <w:rFonts w:ascii="Arial" w:hAnsi="Arial" w:cs="Arial"/>
          <w:color w:val="auto"/>
          <w:sz w:val="24"/>
          <w:szCs w:val="24"/>
        </w:rPr>
        <w:t xml:space="preserve">pack cost, SKU volumes and </w:t>
      </w:r>
      <w:r w:rsidR="00BD2FF0" w:rsidRPr="00BD2FF0">
        <w:rPr>
          <w:rFonts w:ascii="Arial" w:hAnsi="Arial" w:cs="Arial"/>
          <w:color w:val="auto"/>
          <w:sz w:val="24"/>
          <w:szCs w:val="24"/>
        </w:rPr>
        <w:t xml:space="preserve">Royal Mail </w:t>
      </w:r>
      <w:r w:rsidR="00AB4813" w:rsidRPr="00AB4813">
        <w:rPr>
          <w:rFonts w:ascii="Arial" w:hAnsi="Arial" w:cs="Arial"/>
          <w:color w:val="auto"/>
          <w:sz w:val="24"/>
          <w:szCs w:val="24"/>
        </w:rPr>
        <w:t>postage charges</w:t>
      </w:r>
      <w:r w:rsidR="0016279D">
        <w:rPr>
          <w:rFonts w:ascii="Arial" w:hAnsi="Arial" w:cs="Arial"/>
          <w:color w:val="auto"/>
          <w:sz w:val="24"/>
          <w:szCs w:val="24"/>
        </w:rPr>
        <w:t>.</w:t>
      </w:r>
      <w:r w:rsidR="008F2CD6" w:rsidRPr="008F2CD6">
        <w:t xml:space="preserve"> </w:t>
      </w:r>
    </w:p>
    <w:p w14:paraId="3254626D" w14:textId="60E02635" w:rsidR="00051228" w:rsidRDefault="00051228" w:rsidP="00475695">
      <w:pPr>
        <w:spacing w:line="360" w:lineRule="auto"/>
        <w:jc w:val="both"/>
        <w:rPr>
          <w:rFonts w:ascii="Arial" w:hAnsi="Arial" w:cs="Arial"/>
          <w:color w:val="auto"/>
          <w:sz w:val="24"/>
          <w:szCs w:val="24"/>
        </w:rPr>
      </w:pPr>
      <w:r w:rsidRPr="00FE27C8">
        <w:rPr>
          <w:rFonts w:ascii="Arial" w:hAnsi="Arial" w:cs="Arial"/>
          <w:b/>
          <w:bCs/>
          <w:i/>
          <w:iCs/>
          <w:color w:val="auto"/>
          <w:sz w:val="24"/>
          <w:szCs w:val="24"/>
        </w:rPr>
        <w:t>Qualitative</w:t>
      </w:r>
      <w:r w:rsidRPr="00051228">
        <w:rPr>
          <w:rFonts w:ascii="Arial" w:hAnsi="Arial" w:cs="Arial"/>
          <w:color w:val="auto"/>
          <w:sz w:val="24"/>
          <w:szCs w:val="24"/>
        </w:rPr>
        <w:t xml:space="preserve"> data were collected during the pilot </w:t>
      </w:r>
      <w:r w:rsidR="00A43101">
        <w:rPr>
          <w:rFonts w:ascii="Arial" w:hAnsi="Arial" w:cs="Arial"/>
          <w:color w:val="auto"/>
          <w:sz w:val="24"/>
          <w:szCs w:val="24"/>
        </w:rPr>
        <w:t>trial</w:t>
      </w:r>
      <w:r w:rsidRPr="00051228">
        <w:rPr>
          <w:rFonts w:ascii="Arial" w:hAnsi="Arial" w:cs="Arial"/>
          <w:color w:val="auto"/>
          <w:sz w:val="24"/>
          <w:szCs w:val="24"/>
        </w:rPr>
        <w:t xml:space="preserve"> of the </w:t>
      </w:r>
      <w:r w:rsidR="00AF5A37">
        <w:rPr>
          <w:rFonts w:ascii="Arial" w:hAnsi="Arial" w:cs="Arial"/>
          <w:color w:val="auto"/>
          <w:sz w:val="24"/>
          <w:szCs w:val="24"/>
        </w:rPr>
        <w:t>paper</w:t>
      </w:r>
      <w:r w:rsidRPr="00051228">
        <w:rPr>
          <w:rFonts w:ascii="Arial" w:hAnsi="Arial" w:cs="Arial"/>
          <w:color w:val="auto"/>
          <w:sz w:val="24"/>
          <w:szCs w:val="24"/>
        </w:rPr>
        <w:t xml:space="preserve"> envelopes</w:t>
      </w:r>
      <w:r w:rsidR="00A314CB">
        <w:rPr>
          <w:rFonts w:ascii="Arial" w:hAnsi="Arial" w:cs="Arial"/>
          <w:color w:val="auto"/>
          <w:sz w:val="24"/>
          <w:szCs w:val="24"/>
        </w:rPr>
        <w:t xml:space="preserve">, including </w:t>
      </w:r>
      <w:r w:rsidR="00DA237F">
        <w:rPr>
          <w:rFonts w:ascii="Arial" w:hAnsi="Arial" w:cs="Arial"/>
          <w:color w:val="auto"/>
          <w:sz w:val="24"/>
          <w:szCs w:val="24"/>
        </w:rPr>
        <w:t xml:space="preserve">operational feedback from </w:t>
      </w:r>
      <w:r w:rsidR="00FA5B6C">
        <w:rPr>
          <w:rFonts w:ascii="Arial" w:hAnsi="Arial" w:cs="Arial"/>
          <w:color w:val="auto"/>
          <w:sz w:val="24"/>
          <w:szCs w:val="24"/>
        </w:rPr>
        <w:t xml:space="preserve">the </w:t>
      </w:r>
      <w:r w:rsidR="00DA237F">
        <w:rPr>
          <w:rFonts w:ascii="Arial" w:hAnsi="Arial" w:cs="Arial"/>
          <w:color w:val="auto"/>
          <w:sz w:val="24"/>
          <w:szCs w:val="24"/>
        </w:rPr>
        <w:t>w</w:t>
      </w:r>
      <w:r w:rsidRPr="00051228">
        <w:rPr>
          <w:rFonts w:ascii="Arial" w:hAnsi="Arial" w:cs="Arial"/>
          <w:color w:val="auto"/>
          <w:sz w:val="24"/>
          <w:szCs w:val="24"/>
        </w:rPr>
        <w:t>arehouse</w:t>
      </w:r>
      <w:r w:rsidR="00DA237F">
        <w:rPr>
          <w:rFonts w:ascii="Arial" w:hAnsi="Arial" w:cs="Arial"/>
          <w:color w:val="auto"/>
          <w:sz w:val="24"/>
          <w:szCs w:val="24"/>
        </w:rPr>
        <w:t xml:space="preserve"> tea</w:t>
      </w:r>
      <w:r w:rsidR="00FA5B6C">
        <w:rPr>
          <w:rFonts w:ascii="Arial" w:hAnsi="Arial" w:cs="Arial"/>
          <w:color w:val="auto"/>
          <w:sz w:val="24"/>
          <w:szCs w:val="24"/>
        </w:rPr>
        <w:t>m</w:t>
      </w:r>
      <w:r w:rsidR="003A1E01">
        <w:rPr>
          <w:rFonts w:ascii="Arial" w:hAnsi="Arial" w:cs="Arial"/>
          <w:color w:val="auto"/>
          <w:sz w:val="24"/>
          <w:szCs w:val="24"/>
        </w:rPr>
        <w:t xml:space="preserve"> regarding</w:t>
      </w:r>
      <w:r w:rsidR="00CF527F">
        <w:rPr>
          <w:rFonts w:ascii="Arial" w:hAnsi="Arial" w:cs="Arial"/>
          <w:color w:val="auto"/>
          <w:sz w:val="24"/>
          <w:szCs w:val="24"/>
        </w:rPr>
        <w:t xml:space="preserve"> </w:t>
      </w:r>
      <w:r w:rsidR="00DC0139">
        <w:rPr>
          <w:rFonts w:ascii="Arial" w:hAnsi="Arial" w:cs="Arial"/>
          <w:color w:val="auto"/>
          <w:sz w:val="24"/>
          <w:szCs w:val="24"/>
        </w:rPr>
        <w:t>timing</w:t>
      </w:r>
      <w:r w:rsidR="00847F18">
        <w:rPr>
          <w:rFonts w:ascii="Arial" w:hAnsi="Arial" w:cs="Arial"/>
          <w:color w:val="auto"/>
          <w:sz w:val="24"/>
          <w:szCs w:val="24"/>
        </w:rPr>
        <w:t xml:space="preserve">, </w:t>
      </w:r>
      <w:r w:rsidR="00847F18" w:rsidRPr="00847F18">
        <w:rPr>
          <w:rFonts w:ascii="Arial" w:hAnsi="Arial" w:cs="Arial"/>
          <w:color w:val="auto"/>
          <w:sz w:val="24"/>
          <w:szCs w:val="24"/>
        </w:rPr>
        <w:t>durability</w:t>
      </w:r>
      <w:r w:rsidR="00A471C7">
        <w:rPr>
          <w:rFonts w:ascii="Arial" w:hAnsi="Arial" w:cs="Arial"/>
          <w:color w:val="auto"/>
          <w:sz w:val="24"/>
          <w:szCs w:val="24"/>
        </w:rPr>
        <w:t xml:space="preserve"> and </w:t>
      </w:r>
      <w:r w:rsidR="00F77532">
        <w:rPr>
          <w:rFonts w:ascii="Arial" w:hAnsi="Arial" w:cs="Arial"/>
          <w:color w:val="auto"/>
          <w:sz w:val="24"/>
          <w:szCs w:val="24"/>
        </w:rPr>
        <w:t>efficiency</w:t>
      </w:r>
      <w:r w:rsidR="00847F18">
        <w:rPr>
          <w:rFonts w:ascii="Arial" w:hAnsi="Arial" w:cs="Arial"/>
          <w:color w:val="auto"/>
          <w:sz w:val="24"/>
          <w:szCs w:val="24"/>
        </w:rPr>
        <w:t>.</w:t>
      </w:r>
    </w:p>
    <w:p w14:paraId="72E34D0C" w14:textId="42EC796A" w:rsidR="003D1FB9" w:rsidRDefault="002D0171" w:rsidP="00475695">
      <w:pPr>
        <w:spacing w:line="360" w:lineRule="auto"/>
        <w:jc w:val="both"/>
        <w:rPr>
          <w:rFonts w:ascii="Arial" w:hAnsi="Arial" w:cs="Arial"/>
          <w:color w:val="auto"/>
          <w:sz w:val="24"/>
          <w:szCs w:val="24"/>
        </w:rPr>
      </w:pPr>
      <w:r w:rsidRPr="002D0171">
        <w:rPr>
          <w:rFonts w:ascii="Arial" w:hAnsi="Arial" w:cs="Arial"/>
          <w:color w:val="auto"/>
          <w:sz w:val="24"/>
          <w:szCs w:val="24"/>
        </w:rPr>
        <w:t>The dataset combined numeric and categorical variables from system reports and pilot feedback</w:t>
      </w:r>
      <w:r>
        <w:rPr>
          <w:rFonts w:ascii="Arial" w:hAnsi="Arial" w:cs="Arial"/>
          <w:color w:val="auto"/>
          <w:sz w:val="24"/>
          <w:szCs w:val="24"/>
        </w:rPr>
        <w:t xml:space="preserve">. </w:t>
      </w:r>
      <w:r w:rsidR="00B71F5B">
        <w:rPr>
          <w:rFonts w:ascii="Arial" w:hAnsi="Arial" w:cs="Arial"/>
          <w:color w:val="auto"/>
          <w:sz w:val="24"/>
          <w:szCs w:val="24"/>
        </w:rPr>
        <w:t>Table 1 provides a</w:t>
      </w:r>
      <w:r w:rsidR="008324F1">
        <w:rPr>
          <w:rFonts w:ascii="Arial" w:hAnsi="Arial" w:cs="Arial"/>
          <w:color w:val="auto"/>
          <w:sz w:val="24"/>
          <w:szCs w:val="24"/>
        </w:rPr>
        <w:t>n</w:t>
      </w:r>
      <w:r w:rsidR="0098540A" w:rsidRPr="0098540A">
        <w:rPr>
          <w:rFonts w:ascii="Arial" w:hAnsi="Arial" w:cs="Arial"/>
          <w:color w:val="auto"/>
          <w:sz w:val="24"/>
          <w:szCs w:val="24"/>
        </w:rPr>
        <w:t xml:space="preserve"> </w:t>
      </w:r>
      <w:r w:rsidR="00586E6F">
        <w:rPr>
          <w:rFonts w:ascii="Arial" w:hAnsi="Arial" w:cs="Arial"/>
          <w:color w:val="auto"/>
          <w:sz w:val="24"/>
          <w:szCs w:val="24"/>
        </w:rPr>
        <w:t>over</w:t>
      </w:r>
      <w:r w:rsidR="008324F1">
        <w:rPr>
          <w:rFonts w:ascii="Arial" w:hAnsi="Arial" w:cs="Arial"/>
          <w:color w:val="auto"/>
          <w:sz w:val="24"/>
          <w:szCs w:val="24"/>
        </w:rPr>
        <w:t>view</w:t>
      </w:r>
      <w:r w:rsidR="0098540A" w:rsidRPr="0098540A">
        <w:rPr>
          <w:rFonts w:ascii="Arial" w:hAnsi="Arial" w:cs="Arial"/>
          <w:color w:val="auto"/>
          <w:sz w:val="24"/>
          <w:szCs w:val="24"/>
        </w:rPr>
        <w:t xml:space="preserve"> of the data types, sources and methods </w:t>
      </w:r>
      <w:r w:rsidR="00375A7D">
        <w:rPr>
          <w:rFonts w:ascii="Arial" w:hAnsi="Arial" w:cs="Arial"/>
          <w:color w:val="auto"/>
          <w:sz w:val="24"/>
          <w:szCs w:val="24"/>
        </w:rPr>
        <w:t>of collection.</w:t>
      </w:r>
    </w:p>
    <w:p w14:paraId="633A3D7F" w14:textId="7C1BB7AB" w:rsidR="003D1FB9" w:rsidRDefault="003D1FB9" w:rsidP="00475695">
      <w:pPr>
        <w:jc w:val="both"/>
        <w:rPr>
          <w:rFonts w:ascii="Arial" w:hAnsi="Arial" w:cs="Arial"/>
          <w:color w:val="auto"/>
          <w:sz w:val="24"/>
          <w:szCs w:val="24"/>
        </w:rPr>
      </w:pPr>
      <w:r>
        <w:rPr>
          <w:rFonts w:ascii="Arial" w:hAnsi="Arial" w:cs="Arial"/>
          <w:color w:val="auto"/>
          <w:sz w:val="24"/>
          <w:szCs w:val="24"/>
        </w:rPr>
        <w:br w:type="page"/>
      </w:r>
    </w:p>
    <w:p w14:paraId="77A4C79A" w14:textId="0DE7C36F" w:rsidR="0043751C" w:rsidRPr="00AE264A" w:rsidRDefault="00785594" w:rsidP="00994E70">
      <w:pPr>
        <w:pStyle w:val="Heading2"/>
        <w:rPr>
          <w:rFonts w:ascii="Arial" w:hAnsi="Arial"/>
          <w:sz w:val="28"/>
          <w:szCs w:val="28"/>
        </w:rPr>
      </w:pPr>
      <w:bookmarkStart w:id="10" w:name="_Toc223467512"/>
      <w:r w:rsidRPr="00AE264A">
        <w:rPr>
          <w:rFonts w:ascii="Arial" w:hAnsi="Arial"/>
          <w:sz w:val="28"/>
          <w:szCs w:val="28"/>
        </w:rPr>
        <w:lastRenderedPageBreak/>
        <w:t>Data Preparation</w:t>
      </w:r>
      <w:bookmarkEnd w:id="10"/>
    </w:p>
    <w:p w14:paraId="7585EFE6" w14:textId="77777777" w:rsidR="00766B10" w:rsidRDefault="00766B10" w:rsidP="00475695">
      <w:pPr>
        <w:spacing w:line="360" w:lineRule="auto"/>
        <w:jc w:val="both"/>
        <w:rPr>
          <w:rFonts w:ascii="Arial" w:hAnsi="Arial" w:cs="Arial"/>
          <w:color w:val="auto"/>
          <w:sz w:val="24"/>
          <w:szCs w:val="24"/>
        </w:rPr>
      </w:pPr>
    </w:p>
    <w:p w14:paraId="3C961F27" w14:textId="2876145A" w:rsidR="00776728" w:rsidRDefault="003F2487" w:rsidP="00475695">
      <w:pPr>
        <w:spacing w:line="360" w:lineRule="auto"/>
        <w:jc w:val="both"/>
        <w:rPr>
          <w:rFonts w:ascii="Arial" w:hAnsi="Arial" w:cs="Arial"/>
          <w:color w:val="auto"/>
          <w:sz w:val="24"/>
          <w:szCs w:val="24"/>
        </w:rPr>
      </w:pPr>
      <w:r w:rsidRPr="003F2487">
        <w:rPr>
          <w:rFonts w:ascii="Arial" w:hAnsi="Arial" w:cs="Arial"/>
          <w:color w:val="auto"/>
          <w:sz w:val="24"/>
          <w:szCs w:val="24"/>
        </w:rPr>
        <w:t>Data preparation is generally understood as the process of cleaning, transforming and integrating raw data to ensure they can be used for analysis and modelling</w:t>
      </w:r>
      <w:r w:rsidR="00501927">
        <w:rPr>
          <w:rFonts w:ascii="Arial" w:hAnsi="Arial" w:cs="Arial"/>
          <w:color w:val="auto"/>
          <w:sz w:val="24"/>
          <w:szCs w:val="24"/>
        </w:rPr>
        <w:t xml:space="preserve"> </w:t>
      </w:r>
      <w:r w:rsidR="000F0B79">
        <w:rPr>
          <w:rFonts w:ascii="Arial" w:hAnsi="Arial" w:cs="Arial"/>
          <w:color w:val="auto"/>
          <w:sz w:val="24"/>
          <w:szCs w:val="24"/>
        </w:rPr>
        <w:t>(</w:t>
      </w:r>
      <w:proofErr w:type="spellStart"/>
      <w:r w:rsidR="00D73308">
        <w:rPr>
          <w:rFonts w:ascii="Arial" w:hAnsi="Arial" w:cs="Arial"/>
          <w:color w:val="auto"/>
          <w:sz w:val="24"/>
          <w:szCs w:val="24"/>
        </w:rPr>
        <w:t>Se</w:t>
      </w:r>
      <w:r w:rsidR="00FE133A">
        <w:rPr>
          <w:rFonts w:ascii="Arial" w:hAnsi="Arial" w:cs="Arial"/>
          <w:color w:val="auto"/>
          <w:sz w:val="24"/>
          <w:szCs w:val="24"/>
        </w:rPr>
        <w:t>oni</w:t>
      </w:r>
      <w:proofErr w:type="spellEnd"/>
      <w:r w:rsidR="00710A14" w:rsidRPr="00710A14">
        <w:rPr>
          <w:rFonts w:ascii="Arial" w:hAnsi="Arial" w:cs="Arial"/>
          <w:color w:val="auto"/>
          <w:sz w:val="24"/>
          <w:szCs w:val="24"/>
        </w:rPr>
        <w:t xml:space="preserve">, Shahini, </w:t>
      </w:r>
      <w:proofErr w:type="spellStart"/>
      <w:r w:rsidR="00710A14" w:rsidRPr="00710A14">
        <w:rPr>
          <w:rFonts w:ascii="Arial" w:hAnsi="Arial" w:cs="Arial"/>
          <w:color w:val="auto"/>
          <w:sz w:val="24"/>
          <w:szCs w:val="24"/>
        </w:rPr>
        <w:t>Meiburger</w:t>
      </w:r>
      <w:proofErr w:type="spellEnd"/>
      <w:r w:rsidR="00710A14" w:rsidRPr="00710A14">
        <w:rPr>
          <w:rFonts w:ascii="Arial" w:hAnsi="Arial" w:cs="Arial"/>
          <w:color w:val="auto"/>
          <w:sz w:val="24"/>
          <w:szCs w:val="24"/>
        </w:rPr>
        <w:t>, Marzola, Rotunno, Acharya, Molinari</w:t>
      </w:r>
      <w:r w:rsidR="00710A14">
        <w:rPr>
          <w:rFonts w:ascii="Arial" w:hAnsi="Arial" w:cs="Arial"/>
          <w:color w:val="auto"/>
          <w:sz w:val="24"/>
          <w:szCs w:val="24"/>
        </w:rPr>
        <w:t xml:space="preserve"> and</w:t>
      </w:r>
      <w:r w:rsidR="00710A14" w:rsidRPr="00710A14">
        <w:rPr>
          <w:rFonts w:ascii="Arial" w:hAnsi="Arial" w:cs="Arial"/>
          <w:color w:val="auto"/>
          <w:sz w:val="24"/>
          <w:szCs w:val="24"/>
        </w:rPr>
        <w:t xml:space="preserve"> Salvi</w:t>
      </w:r>
      <w:r w:rsidR="00710A14">
        <w:rPr>
          <w:rFonts w:ascii="Arial" w:hAnsi="Arial" w:cs="Arial"/>
          <w:color w:val="auto"/>
          <w:sz w:val="24"/>
          <w:szCs w:val="24"/>
        </w:rPr>
        <w:t>, 2024</w:t>
      </w:r>
      <w:r w:rsidR="00C358B3">
        <w:rPr>
          <w:rFonts w:ascii="Arial" w:hAnsi="Arial" w:cs="Arial"/>
          <w:color w:val="auto"/>
          <w:sz w:val="24"/>
          <w:szCs w:val="24"/>
        </w:rPr>
        <w:t>, p.2</w:t>
      </w:r>
      <w:r w:rsidR="00710A14">
        <w:rPr>
          <w:rFonts w:ascii="Arial" w:hAnsi="Arial" w:cs="Arial"/>
          <w:color w:val="auto"/>
          <w:sz w:val="24"/>
          <w:szCs w:val="24"/>
        </w:rPr>
        <w:t xml:space="preserve">). </w:t>
      </w:r>
    </w:p>
    <w:p w14:paraId="77A33CE5" w14:textId="2EA33026" w:rsidR="00AB674D" w:rsidRDefault="00D91B49" w:rsidP="00BB760A">
      <w:pPr>
        <w:spacing w:line="360" w:lineRule="auto"/>
        <w:jc w:val="both"/>
        <w:rPr>
          <w:rFonts w:ascii="Arial" w:hAnsi="Arial" w:cs="Arial"/>
          <w:color w:val="auto"/>
          <w:sz w:val="24"/>
          <w:szCs w:val="24"/>
        </w:rPr>
      </w:pPr>
      <w:r>
        <w:rPr>
          <w:rFonts w:ascii="Arial" w:hAnsi="Arial" w:cs="Arial"/>
          <w:color w:val="auto"/>
          <w:sz w:val="24"/>
          <w:szCs w:val="24"/>
        </w:rPr>
        <w:t>The</w:t>
      </w:r>
      <w:r w:rsidR="00F62FFB" w:rsidRPr="00F62FFB">
        <w:rPr>
          <w:rFonts w:ascii="Arial" w:hAnsi="Arial" w:cs="Arial"/>
          <w:color w:val="auto"/>
          <w:sz w:val="24"/>
          <w:szCs w:val="24"/>
        </w:rPr>
        <w:t xml:space="preserve"> cost and distribution</w:t>
      </w:r>
      <w:r>
        <w:rPr>
          <w:rFonts w:ascii="Arial" w:hAnsi="Arial" w:cs="Arial"/>
          <w:color w:val="auto"/>
          <w:sz w:val="24"/>
          <w:szCs w:val="24"/>
        </w:rPr>
        <w:t xml:space="preserve"> data</w:t>
      </w:r>
      <w:r w:rsidR="00F62FFB" w:rsidRPr="00F62FFB">
        <w:rPr>
          <w:rFonts w:ascii="Arial" w:hAnsi="Arial" w:cs="Arial"/>
          <w:color w:val="auto"/>
          <w:sz w:val="24"/>
          <w:szCs w:val="24"/>
        </w:rPr>
        <w:t xml:space="preserve"> were obtained from Coloplast's </w:t>
      </w:r>
      <w:r w:rsidR="00F62FFB" w:rsidRPr="00085CD5">
        <w:rPr>
          <w:rFonts w:ascii="Arial" w:hAnsi="Arial" w:cs="Arial"/>
          <w:color w:val="auto"/>
          <w:sz w:val="24"/>
          <w:szCs w:val="24"/>
        </w:rPr>
        <w:t xml:space="preserve">internal ERP systems </w:t>
      </w:r>
      <w:r w:rsidR="005B7A86">
        <w:rPr>
          <w:rFonts w:ascii="Arial" w:hAnsi="Arial" w:cs="Arial"/>
          <w:color w:val="auto"/>
          <w:sz w:val="24"/>
          <w:szCs w:val="24"/>
        </w:rPr>
        <w:t xml:space="preserve">to ensure a systematic </w:t>
      </w:r>
      <w:r w:rsidR="00F62FFB" w:rsidRPr="00085CD5">
        <w:rPr>
          <w:rFonts w:ascii="Arial" w:hAnsi="Arial" w:cs="Arial"/>
          <w:color w:val="auto"/>
          <w:sz w:val="24"/>
          <w:szCs w:val="24"/>
        </w:rPr>
        <w:t>analysis.</w:t>
      </w:r>
      <w:r w:rsidR="005D1847" w:rsidRPr="00085CD5">
        <w:rPr>
          <w:rFonts w:ascii="Arial" w:hAnsi="Arial" w:cs="Arial"/>
          <w:color w:val="auto"/>
          <w:sz w:val="24"/>
          <w:szCs w:val="24"/>
        </w:rPr>
        <w:t xml:space="preserve"> </w:t>
      </w:r>
      <w:r w:rsidR="00881B37" w:rsidRPr="00085CD5">
        <w:rPr>
          <w:rFonts w:ascii="Arial" w:hAnsi="Arial" w:cs="Arial"/>
          <w:color w:val="auto"/>
          <w:sz w:val="24"/>
          <w:szCs w:val="24"/>
        </w:rPr>
        <w:t>Analysing</w:t>
      </w:r>
      <w:r w:rsidR="00881B37" w:rsidRPr="00881B37">
        <w:rPr>
          <w:rFonts w:ascii="Arial" w:hAnsi="Arial" w:cs="Arial"/>
          <w:color w:val="auto"/>
          <w:sz w:val="24"/>
          <w:szCs w:val="24"/>
        </w:rPr>
        <w:t xml:space="preserve"> the dataset </w:t>
      </w:r>
      <w:r w:rsidR="008671D0">
        <w:rPr>
          <w:rFonts w:ascii="Arial" w:hAnsi="Arial" w:cs="Arial"/>
          <w:color w:val="auto"/>
          <w:sz w:val="24"/>
          <w:szCs w:val="24"/>
        </w:rPr>
        <w:t>using</w:t>
      </w:r>
      <w:r w:rsidR="00881B37" w:rsidRPr="00881B37">
        <w:rPr>
          <w:rFonts w:ascii="Arial" w:hAnsi="Arial" w:cs="Arial"/>
          <w:color w:val="auto"/>
          <w:sz w:val="24"/>
          <w:szCs w:val="24"/>
        </w:rPr>
        <w:t xml:space="preserve"> statistical software included descriptive statistics, correlation</w:t>
      </w:r>
      <w:r w:rsidR="00535EF0">
        <w:rPr>
          <w:rFonts w:ascii="Arial" w:hAnsi="Arial" w:cs="Arial"/>
          <w:color w:val="auto"/>
          <w:sz w:val="24"/>
          <w:szCs w:val="24"/>
        </w:rPr>
        <w:t xml:space="preserve"> </w:t>
      </w:r>
      <w:r w:rsidR="00881B37" w:rsidRPr="00881B37">
        <w:rPr>
          <w:rFonts w:ascii="Arial" w:hAnsi="Arial" w:cs="Arial"/>
          <w:color w:val="auto"/>
          <w:sz w:val="24"/>
          <w:szCs w:val="24"/>
        </w:rPr>
        <w:t xml:space="preserve">and regression </w:t>
      </w:r>
      <w:r w:rsidR="00881B37">
        <w:rPr>
          <w:rFonts w:ascii="Arial" w:hAnsi="Arial" w:cs="Arial"/>
          <w:color w:val="auto"/>
          <w:sz w:val="24"/>
          <w:szCs w:val="24"/>
        </w:rPr>
        <w:t>modelling</w:t>
      </w:r>
      <w:r w:rsidR="00FA16F3">
        <w:rPr>
          <w:rFonts w:ascii="Arial" w:hAnsi="Arial" w:cs="Arial"/>
          <w:color w:val="auto"/>
          <w:sz w:val="24"/>
          <w:szCs w:val="24"/>
        </w:rPr>
        <w:t>.</w:t>
      </w:r>
      <w:r w:rsidR="00AB674D" w:rsidRPr="00AB674D">
        <w:t xml:space="preserve"> </w:t>
      </w:r>
      <w:r w:rsidR="00AB674D" w:rsidRPr="00AB674D">
        <w:rPr>
          <w:rFonts w:ascii="Arial" w:hAnsi="Arial" w:cs="Arial"/>
          <w:color w:val="auto"/>
          <w:sz w:val="24"/>
          <w:szCs w:val="24"/>
        </w:rPr>
        <w:t>Data warehouse architectures support operational decision</w:t>
      </w:r>
      <w:r w:rsidR="00FA16F3">
        <w:rPr>
          <w:rFonts w:ascii="Arial" w:hAnsi="Arial" w:cs="Arial"/>
          <w:color w:val="auto"/>
          <w:sz w:val="24"/>
          <w:szCs w:val="24"/>
        </w:rPr>
        <w:t xml:space="preserve"> </w:t>
      </w:r>
      <w:r w:rsidR="00AB674D" w:rsidRPr="00AB674D">
        <w:rPr>
          <w:rFonts w:ascii="Arial" w:hAnsi="Arial" w:cs="Arial"/>
          <w:color w:val="auto"/>
          <w:sz w:val="24"/>
          <w:szCs w:val="24"/>
        </w:rPr>
        <w:t xml:space="preserve">making in supply </w:t>
      </w:r>
      <w:r w:rsidR="00FA16F3" w:rsidRPr="00AB674D">
        <w:rPr>
          <w:rFonts w:ascii="Arial" w:hAnsi="Arial" w:cs="Arial"/>
          <w:color w:val="auto"/>
          <w:sz w:val="24"/>
          <w:szCs w:val="24"/>
        </w:rPr>
        <w:t>chains and</w:t>
      </w:r>
      <w:r w:rsidR="00AB674D" w:rsidRPr="00AB674D">
        <w:rPr>
          <w:rFonts w:ascii="Arial" w:hAnsi="Arial" w:cs="Arial"/>
          <w:color w:val="auto"/>
          <w:sz w:val="24"/>
          <w:szCs w:val="24"/>
        </w:rPr>
        <w:t xml:space="preserve"> enable future data mining applications to identify cost patterns across SKUs and distribution categories.</w:t>
      </w:r>
    </w:p>
    <w:p w14:paraId="5F77E2CB" w14:textId="3EF928E9" w:rsidR="001C21AD" w:rsidRDefault="003965AA" w:rsidP="00BB760A">
      <w:pPr>
        <w:spacing w:line="360" w:lineRule="auto"/>
        <w:jc w:val="both"/>
        <w:rPr>
          <w:rFonts w:ascii="Arial" w:hAnsi="Arial" w:cs="Arial"/>
          <w:color w:val="auto"/>
          <w:sz w:val="24"/>
          <w:szCs w:val="24"/>
        </w:rPr>
      </w:pPr>
      <w:r w:rsidRPr="003965AA">
        <w:rPr>
          <w:rFonts w:ascii="Arial" w:hAnsi="Arial" w:cs="Arial"/>
          <w:color w:val="auto"/>
          <w:sz w:val="24"/>
          <w:szCs w:val="24"/>
        </w:rPr>
        <w:t xml:space="preserve">The IC/OC </w:t>
      </w:r>
      <w:r w:rsidR="00BB760A" w:rsidRPr="00BB760A">
        <w:rPr>
          <w:rFonts w:ascii="Arial" w:hAnsi="Arial" w:cs="Arial"/>
          <w:color w:val="auto"/>
          <w:sz w:val="24"/>
          <w:szCs w:val="24"/>
        </w:rPr>
        <w:t xml:space="preserve">dataset was filtered to </w:t>
      </w:r>
      <w:r w:rsidR="00497FC9" w:rsidRPr="00BB760A">
        <w:rPr>
          <w:rFonts w:ascii="Arial" w:hAnsi="Arial" w:cs="Arial"/>
          <w:color w:val="auto"/>
          <w:sz w:val="24"/>
          <w:szCs w:val="24"/>
        </w:rPr>
        <w:t>keep</w:t>
      </w:r>
      <w:r w:rsidR="00BB760A">
        <w:rPr>
          <w:rFonts w:ascii="Arial" w:hAnsi="Arial" w:cs="Arial"/>
          <w:color w:val="auto"/>
          <w:sz w:val="24"/>
          <w:szCs w:val="24"/>
        </w:rPr>
        <w:t xml:space="preserve"> </w:t>
      </w:r>
      <w:r w:rsidRPr="003965AA">
        <w:rPr>
          <w:rFonts w:ascii="Arial" w:hAnsi="Arial" w:cs="Arial"/>
          <w:color w:val="auto"/>
          <w:sz w:val="24"/>
          <w:szCs w:val="24"/>
        </w:rPr>
        <w:t xml:space="preserve">10,367 </w:t>
      </w:r>
      <w:r w:rsidR="00BB760A">
        <w:rPr>
          <w:rFonts w:ascii="Arial" w:hAnsi="Arial" w:cs="Arial"/>
          <w:color w:val="auto"/>
          <w:sz w:val="24"/>
          <w:szCs w:val="24"/>
        </w:rPr>
        <w:t>s</w:t>
      </w:r>
      <w:r w:rsidR="00BB760A" w:rsidRPr="00BB760A">
        <w:rPr>
          <w:rFonts w:ascii="Arial" w:hAnsi="Arial" w:cs="Arial"/>
          <w:color w:val="auto"/>
          <w:sz w:val="24"/>
          <w:szCs w:val="24"/>
        </w:rPr>
        <w:t>ample packs with complete cost information, excluding records with missing</w:t>
      </w:r>
      <w:r w:rsidR="006D79C9">
        <w:rPr>
          <w:rFonts w:ascii="Arial" w:hAnsi="Arial" w:cs="Arial"/>
          <w:color w:val="auto"/>
          <w:sz w:val="24"/>
          <w:szCs w:val="24"/>
        </w:rPr>
        <w:t xml:space="preserve"> data for</w:t>
      </w:r>
      <w:r w:rsidR="00BB760A" w:rsidRPr="00BB760A">
        <w:rPr>
          <w:rFonts w:ascii="Arial" w:hAnsi="Arial" w:cs="Arial"/>
          <w:color w:val="auto"/>
          <w:sz w:val="24"/>
          <w:szCs w:val="24"/>
        </w:rPr>
        <w:t xml:space="preserve"> product, pouch </w:t>
      </w:r>
      <w:r w:rsidR="00FD0D1E">
        <w:rPr>
          <w:rFonts w:ascii="Arial" w:hAnsi="Arial" w:cs="Arial"/>
          <w:color w:val="auto"/>
          <w:sz w:val="24"/>
          <w:szCs w:val="24"/>
        </w:rPr>
        <w:t>and</w:t>
      </w:r>
      <w:r w:rsidR="00BB760A" w:rsidRPr="00BB760A">
        <w:rPr>
          <w:rFonts w:ascii="Arial" w:hAnsi="Arial" w:cs="Arial"/>
          <w:color w:val="auto"/>
          <w:sz w:val="24"/>
          <w:szCs w:val="24"/>
        </w:rPr>
        <w:t xml:space="preserve"> printing. While this may slightly reduce the dataset, it likely improves reliability. Product, pouc</w:t>
      </w:r>
      <w:r w:rsidR="00F66608">
        <w:rPr>
          <w:rFonts w:ascii="Arial" w:hAnsi="Arial" w:cs="Arial"/>
          <w:color w:val="auto"/>
          <w:sz w:val="24"/>
          <w:szCs w:val="24"/>
        </w:rPr>
        <w:t>h</w:t>
      </w:r>
      <w:r w:rsidR="00BB760A" w:rsidRPr="00BB760A">
        <w:rPr>
          <w:rFonts w:ascii="Arial" w:hAnsi="Arial" w:cs="Arial"/>
          <w:color w:val="auto"/>
          <w:sz w:val="24"/>
          <w:szCs w:val="24"/>
        </w:rPr>
        <w:t xml:space="preserve"> and total pack costs were treated as continuous variables, where SKU and packaging type were analysed as categorical variables.</w:t>
      </w:r>
      <w:r w:rsidR="001C21AD">
        <w:rPr>
          <w:rFonts w:ascii="Arial" w:hAnsi="Arial" w:cs="Arial"/>
          <w:color w:val="auto"/>
          <w:sz w:val="24"/>
          <w:szCs w:val="24"/>
        </w:rPr>
        <w:t xml:space="preserve"> </w:t>
      </w:r>
    </w:p>
    <w:p w14:paraId="391094E7" w14:textId="77777777" w:rsidR="001C21AD" w:rsidRDefault="001C21AD" w:rsidP="00BB760A">
      <w:pPr>
        <w:spacing w:line="360" w:lineRule="auto"/>
        <w:jc w:val="both"/>
        <w:rPr>
          <w:rFonts w:ascii="Arial" w:hAnsi="Arial" w:cs="Arial"/>
          <w:color w:val="auto"/>
          <w:sz w:val="24"/>
          <w:szCs w:val="24"/>
        </w:rPr>
      </w:pPr>
      <w:r w:rsidRPr="001C21AD">
        <w:rPr>
          <w:rFonts w:ascii="Arial" w:hAnsi="Arial" w:cs="Arial"/>
          <w:color w:val="auto"/>
          <w:sz w:val="24"/>
          <w:szCs w:val="24"/>
        </w:rPr>
        <w:t>Royal Mail dimensions were standardised into</w:t>
      </w:r>
      <w:r>
        <w:rPr>
          <w:rFonts w:ascii="Arial" w:hAnsi="Arial" w:cs="Arial"/>
          <w:color w:val="auto"/>
          <w:sz w:val="24"/>
          <w:szCs w:val="24"/>
        </w:rPr>
        <w:t>:</w:t>
      </w:r>
    </w:p>
    <w:p w14:paraId="10B15754"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Letter</w:t>
      </w:r>
    </w:p>
    <w:p w14:paraId="653B6E7A"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 xml:space="preserve">Large Letter </w:t>
      </w:r>
    </w:p>
    <w:p w14:paraId="07CB4F54"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 xml:space="preserve">Parcel categories </w:t>
      </w:r>
    </w:p>
    <w:p w14:paraId="24A2C2C6" w14:textId="2E65C63B" w:rsidR="00BB760A" w:rsidRPr="001C21AD" w:rsidRDefault="001C21AD" w:rsidP="001C21AD">
      <w:pPr>
        <w:spacing w:line="360" w:lineRule="auto"/>
        <w:jc w:val="both"/>
        <w:rPr>
          <w:rFonts w:ascii="Arial" w:hAnsi="Arial" w:cs="Arial"/>
          <w:color w:val="auto"/>
          <w:sz w:val="24"/>
          <w:szCs w:val="24"/>
        </w:rPr>
      </w:pPr>
      <w:r>
        <w:rPr>
          <w:rFonts w:ascii="Arial" w:hAnsi="Arial" w:cs="Arial"/>
          <w:color w:val="auto"/>
          <w:sz w:val="24"/>
          <w:szCs w:val="24"/>
        </w:rPr>
        <w:t>This</w:t>
      </w:r>
      <w:r w:rsidRPr="001C21AD">
        <w:rPr>
          <w:rFonts w:ascii="Arial" w:hAnsi="Arial" w:cs="Arial"/>
          <w:color w:val="auto"/>
          <w:sz w:val="24"/>
          <w:szCs w:val="24"/>
        </w:rPr>
        <w:t xml:space="preserve"> </w:t>
      </w:r>
      <w:r w:rsidR="00AE4CBA">
        <w:rPr>
          <w:rFonts w:ascii="Arial" w:hAnsi="Arial" w:cs="Arial"/>
          <w:color w:val="auto"/>
          <w:sz w:val="24"/>
          <w:szCs w:val="24"/>
        </w:rPr>
        <w:t>allows</w:t>
      </w:r>
      <w:r w:rsidRPr="001C21AD">
        <w:rPr>
          <w:rFonts w:ascii="Arial" w:hAnsi="Arial" w:cs="Arial"/>
          <w:color w:val="auto"/>
          <w:sz w:val="24"/>
          <w:szCs w:val="24"/>
        </w:rPr>
        <w:t xml:space="preserve"> </w:t>
      </w:r>
      <w:r w:rsidR="00AE4CBA">
        <w:rPr>
          <w:rFonts w:ascii="Arial" w:hAnsi="Arial" w:cs="Arial"/>
          <w:color w:val="auto"/>
          <w:sz w:val="24"/>
          <w:szCs w:val="24"/>
        </w:rPr>
        <w:t xml:space="preserve">a </w:t>
      </w:r>
      <w:r w:rsidRPr="001C21AD">
        <w:rPr>
          <w:rFonts w:ascii="Arial" w:hAnsi="Arial" w:cs="Arial"/>
          <w:color w:val="auto"/>
          <w:sz w:val="24"/>
          <w:szCs w:val="24"/>
        </w:rPr>
        <w:t xml:space="preserve">clearer </w:t>
      </w:r>
      <w:r w:rsidR="00AE4CBA" w:rsidRPr="001C21AD">
        <w:rPr>
          <w:rFonts w:ascii="Arial" w:hAnsi="Arial" w:cs="Arial"/>
          <w:color w:val="auto"/>
          <w:sz w:val="24"/>
          <w:szCs w:val="24"/>
        </w:rPr>
        <w:t>contrast</w:t>
      </w:r>
      <w:r w:rsidRPr="001C21AD">
        <w:rPr>
          <w:rFonts w:ascii="Arial" w:hAnsi="Arial" w:cs="Arial"/>
          <w:color w:val="auto"/>
          <w:sz w:val="24"/>
          <w:szCs w:val="24"/>
        </w:rPr>
        <w:t xml:space="preserve"> of postage cost implications. The dataset was also checked for duplicates</w:t>
      </w:r>
      <w:r w:rsidR="00AE4CBA">
        <w:rPr>
          <w:rFonts w:ascii="Arial" w:hAnsi="Arial" w:cs="Arial"/>
          <w:color w:val="auto"/>
          <w:sz w:val="24"/>
          <w:szCs w:val="24"/>
        </w:rPr>
        <w:t xml:space="preserve"> and </w:t>
      </w:r>
      <w:r w:rsidRPr="001C21AD">
        <w:rPr>
          <w:rFonts w:ascii="Arial" w:hAnsi="Arial" w:cs="Arial"/>
          <w:color w:val="auto"/>
          <w:sz w:val="24"/>
          <w:szCs w:val="24"/>
        </w:rPr>
        <w:t>negative values</w:t>
      </w:r>
      <w:r w:rsidR="00AE4CBA">
        <w:rPr>
          <w:rFonts w:ascii="Arial" w:hAnsi="Arial" w:cs="Arial"/>
          <w:color w:val="auto"/>
          <w:sz w:val="24"/>
          <w:szCs w:val="24"/>
        </w:rPr>
        <w:t xml:space="preserve">. </w:t>
      </w:r>
      <w:r w:rsidRPr="001C21AD">
        <w:rPr>
          <w:rFonts w:ascii="Arial" w:hAnsi="Arial" w:cs="Arial"/>
          <w:color w:val="auto"/>
          <w:sz w:val="24"/>
          <w:szCs w:val="24"/>
        </w:rPr>
        <w:t xml:space="preserve">No significant issues were </w:t>
      </w:r>
      <w:proofErr w:type="gramStart"/>
      <w:r w:rsidRPr="001C21AD">
        <w:rPr>
          <w:rFonts w:ascii="Arial" w:hAnsi="Arial" w:cs="Arial"/>
          <w:color w:val="auto"/>
          <w:sz w:val="24"/>
          <w:szCs w:val="24"/>
        </w:rPr>
        <w:t>identifie</w:t>
      </w:r>
      <w:r w:rsidR="00766B10">
        <w:rPr>
          <w:rFonts w:ascii="Arial" w:hAnsi="Arial" w:cs="Arial"/>
          <w:color w:val="auto"/>
          <w:sz w:val="24"/>
          <w:szCs w:val="24"/>
        </w:rPr>
        <w:t>d</w:t>
      </w:r>
      <w:proofErr w:type="gramEnd"/>
      <w:r w:rsidR="00766B10">
        <w:rPr>
          <w:rFonts w:ascii="Arial" w:hAnsi="Arial" w:cs="Arial"/>
          <w:color w:val="auto"/>
          <w:sz w:val="24"/>
          <w:szCs w:val="24"/>
        </w:rPr>
        <w:t xml:space="preserve"> </w:t>
      </w:r>
      <w:r w:rsidRPr="001C21AD">
        <w:rPr>
          <w:rFonts w:ascii="Arial" w:hAnsi="Arial" w:cs="Arial"/>
          <w:color w:val="auto"/>
          <w:sz w:val="24"/>
          <w:szCs w:val="24"/>
        </w:rPr>
        <w:t>and the cleaned dataset appeared suitable for analysis</w:t>
      </w:r>
      <w:r w:rsidR="00766B10">
        <w:rPr>
          <w:rFonts w:ascii="Arial" w:hAnsi="Arial" w:cs="Arial"/>
          <w:color w:val="auto"/>
          <w:sz w:val="24"/>
          <w:szCs w:val="24"/>
        </w:rPr>
        <w:t>.</w:t>
      </w:r>
    </w:p>
    <w:p w14:paraId="5B7EB1F6" w14:textId="77777777" w:rsidR="004E066E" w:rsidRDefault="004E066E" w:rsidP="00475695">
      <w:pPr>
        <w:jc w:val="both"/>
        <w:rPr>
          <w:rFonts w:ascii="Arial" w:hAnsi="Arial" w:cs="Arial"/>
          <w:color w:val="auto"/>
          <w:sz w:val="24"/>
          <w:szCs w:val="24"/>
        </w:rPr>
      </w:pPr>
      <w:r>
        <w:rPr>
          <w:rFonts w:ascii="Arial" w:hAnsi="Arial" w:cs="Arial"/>
          <w:color w:val="auto"/>
          <w:sz w:val="24"/>
          <w:szCs w:val="24"/>
        </w:rPr>
        <w:br w:type="page"/>
      </w:r>
    </w:p>
    <w:p w14:paraId="73DC6064" w14:textId="1D47F58A" w:rsidR="00BC4FFD" w:rsidRPr="00AE264A" w:rsidRDefault="004E066E" w:rsidP="001D10DD">
      <w:pPr>
        <w:pStyle w:val="Heading2"/>
        <w:rPr>
          <w:rFonts w:ascii="Arial" w:hAnsi="Arial"/>
          <w:sz w:val="28"/>
          <w:szCs w:val="28"/>
        </w:rPr>
      </w:pPr>
      <w:bookmarkStart w:id="11" w:name="_Toc223467513"/>
      <w:r w:rsidRPr="00AE264A">
        <w:rPr>
          <w:rFonts w:ascii="Arial" w:hAnsi="Arial"/>
          <w:sz w:val="28"/>
          <w:szCs w:val="28"/>
        </w:rPr>
        <w:lastRenderedPageBreak/>
        <w:t>Data Analysis</w:t>
      </w:r>
      <w:bookmarkEnd w:id="11"/>
      <w:r w:rsidRPr="00AE264A">
        <w:rPr>
          <w:rFonts w:ascii="Arial" w:hAnsi="Arial"/>
          <w:sz w:val="28"/>
          <w:szCs w:val="28"/>
        </w:rPr>
        <w:t xml:space="preserve"> </w:t>
      </w:r>
    </w:p>
    <w:p w14:paraId="57C4F5E5" w14:textId="77777777" w:rsidR="0059659D" w:rsidRDefault="0059659D" w:rsidP="00475695">
      <w:pPr>
        <w:spacing w:line="360" w:lineRule="auto"/>
        <w:jc w:val="both"/>
        <w:rPr>
          <w:rFonts w:ascii="Arial" w:hAnsi="Arial" w:cs="Arial"/>
          <w:color w:val="auto"/>
          <w:sz w:val="24"/>
          <w:szCs w:val="24"/>
        </w:rPr>
      </w:pPr>
    </w:p>
    <w:p w14:paraId="580874F4" w14:textId="4E71EB69" w:rsidR="00AA0E06" w:rsidRDefault="00AA0E06" w:rsidP="00475695">
      <w:pPr>
        <w:spacing w:line="360" w:lineRule="auto"/>
        <w:jc w:val="both"/>
        <w:rPr>
          <w:rFonts w:ascii="Arial" w:hAnsi="Arial" w:cs="Arial"/>
          <w:color w:val="auto"/>
          <w:sz w:val="24"/>
          <w:szCs w:val="24"/>
        </w:rPr>
      </w:pPr>
      <w:r w:rsidRPr="00AA0E06">
        <w:rPr>
          <w:rFonts w:ascii="Arial" w:hAnsi="Arial" w:cs="Arial"/>
          <w:color w:val="auto"/>
          <w:sz w:val="24"/>
          <w:szCs w:val="24"/>
        </w:rPr>
        <w:t>Cost breakdown analysis shows that packaging accounts for 31</w:t>
      </w:r>
      <w:r w:rsidR="00A05A14">
        <w:rPr>
          <w:rFonts w:ascii="Arial" w:hAnsi="Arial" w:cs="Arial"/>
          <w:color w:val="auto"/>
          <w:sz w:val="24"/>
          <w:szCs w:val="24"/>
        </w:rPr>
        <w:t>%</w:t>
      </w:r>
      <w:r w:rsidRPr="00AA0E06">
        <w:rPr>
          <w:rFonts w:ascii="Arial" w:hAnsi="Arial" w:cs="Arial"/>
          <w:color w:val="auto"/>
          <w:sz w:val="24"/>
          <w:szCs w:val="24"/>
        </w:rPr>
        <w:t xml:space="preserve"> </w:t>
      </w:r>
      <w:r w:rsidR="00A05A14">
        <w:rPr>
          <w:rFonts w:ascii="Arial" w:hAnsi="Arial" w:cs="Arial"/>
          <w:color w:val="auto"/>
          <w:sz w:val="24"/>
          <w:szCs w:val="24"/>
        </w:rPr>
        <w:t>(£</w:t>
      </w:r>
      <w:r w:rsidRPr="00AA0E06">
        <w:rPr>
          <w:rFonts w:ascii="Arial" w:hAnsi="Arial" w:cs="Arial"/>
          <w:color w:val="auto"/>
          <w:sz w:val="24"/>
          <w:szCs w:val="24"/>
        </w:rPr>
        <w:t xml:space="preserve">8,719) of total pack expenses (Figure 2) representing a </w:t>
      </w:r>
      <w:r w:rsidR="008953F8" w:rsidRPr="00AA0E06">
        <w:rPr>
          <w:rFonts w:ascii="Arial" w:hAnsi="Arial" w:cs="Arial"/>
          <w:color w:val="auto"/>
          <w:sz w:val="24"/>
          <w:szCs w:val="24"/>
        </w:rPr>
        <w:t>real</w:t>
      </w:r>
      <w:r w:rsidRPr="00AA0E06">
        <w:rPr>
          <w:rFonts w:ascii="Arial" w:hAnsi="Arial" w:cs="Arial"/>
          <w:color w:val="auto"/>
          <w:sz w:val="24"/>
          <w:szCs w:val="24"/>
        </w:rPr>
        <w:t xml:space="preserve"> share of the overall cost.</w:t>
      </w:r>
    </w:p>
    <w:p w14:paraId="094D14A1" w14:textId="77777777" w:rsidR="00B15731" w:rsidRDefault="00B15731" w:rsidP="00475695">
      <w:pPr>
        <w:spacing w:line="360" w:lineRule="auto"/>
        <w:jc w:val="both"/>
        <w:rPr>
          <w:rFonts w:ascii="Arial" w:hAnsi="Arial" w:cs="Arial"/>
          <w:color w:val="auto"/>
          <w:sz w:val="24"/>
          <w:szCs w:val="24"/>
        </w:rPr>
      </w:pPr>
    </w:p>
    <w:p w14:paraId="5F6D0A39" w14:textId="6C9264D4" w:rsidR="008953F8" w:rsidRDefault="008953F8"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2. </w:t>
      </w:r>
      <w:r w:rsidRPr="00223AC5">
        <w:rPr>
          <w:rFonts w:ascii="Arial" w:hAnsi="Arial" w:cs="Arial"/>
          <w:color w:val="auto"/>
          <w:sz w:val="24"/>
          <w:szCs w:val="24"/>
        </w:rPr>
        <w:t>Cost Breakdown for 10,367 Sample Packs</w:t>
      </w:r>
    </w:p>
    <w:p w14:paraId="1118E5CD" w14:textId="0334A3D9" w:rsidR="00B15731" w:rsidRDefault="00B15731" w:rsidP="00475695">
      <w:pPr>
        <w:spacing w:line="360" w:lineRule="auto"/>
        <w:jc w:val="both"/>
        <w:rPr>
          <w:rFonts w:ascii="Arial" w:hAnsi="Arial" w:cs="Arial"/>
          <w:color w:val="auto"/>
          <w:sz w:val="24"/>
          <w:szCs w:val="24"/>
        </w:rPr>
      </w:pPr>
      <w:r>
        <w:rPr>
          <w:noProof/>
        </w:rPr>
        <w:drawing>
          <wp:inline distT="0" distB="0" distL="0" distR="0" wp14:anchorId="157E5C0E" wp14:editId="2B9E3C9D">
            <wp:extent cx="5029200" cy="3300413"/>
            <wp:effectExtent l="0" t="0" r="0" b="14605"/>
            <wp:docPr id="493304004" name="Chart 1">
              <a:extLst xmlns:a="http://schemas.openxmlformats.org/drawingml/2006/main">
                <a:ext uri="{FF2B5EF4-FFF2-40B4-BE49-F238E27FC236}">
                  <a16:creationId xmlns:a16="http://schemas.microsoft.com/office/drawing/2014/main" id="{7E989DC6-2A26-28FD-5FE4-10B24928F9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EF74F9" w14:textId="77777777" w:rsidR="00AA0E06" w:rsidRDefault="00AA0E06" w:rsidP="00475695">
      <w:pPr>
        <w:spacing w:line="360" w:lineRule="auto"/>
        <w:jc w:val="both"/>
        <w:rPr>
          <w:rFonts w:ascii="Arial" w:hAnsi="Arial" w:cs="Arial"/>
          <w:color w:val="auto"/>
          <w:sz w:val="24"/>
          <w:szCs w:val="24"/>
        </w:rPr>
      </w:pPr>
    </w:p>
    <w:p w14:paraId="0BD51213" w14:textId="77777777" w:rsidR="00AA0E06" w:rsidRDefault="00AA0E06" w:rsidP="00475695">
      <w:pPr>
        <w:spacing w:line="360" w:lineRule="auto"/>
        <w:jc w:val="both"/>
        <w:rPr>
          <w:rFonts w:ascii="Arial" w:hAnsi="Arial" w:cs="Arial"/>
          <w:color w:val="auto"/>
          <w:sz w:val="24"/>
          <w:szCs w:val="24"/>
        </w:rPr>
      </w:pPr>
    </w:p>
    <w:p w14:paraId="13ED1AF9" w14:textId="24AD2C4C" w:rsidR="0059659D" w:rsidRPr="00AE264A" w:rsidRDefault="00BC4FFD" w:rsidP="001D10DD">
      <w:pPr>
        <w:pStyle w:val="Heading3"/>
        <w:rPr>
          <w:rFonts w:ascii="Arial" w:hAnsi="Arial"/>
          <w:sz w:val="24"/>
          <w:szCs w:val="24"/>
        </w:rPr>
      </w:pPr>
      <w:bookmarkStart w:id="12" w:name="_Toc223467514"/>
      <w:r w:rsidRPr="00AE264A">
        <w:rPr>
          <w:rFonts w:ascii="Arial" w:hAnsi="Arial"/>
          <w:sz w:val="24"/>
          <w:szCs w:val="24"/>
        </w:rPr>
        <w:t xml:space="preserve">Descriptive </w:t>
      </w:r>
      <w:r w:rsidR="00A7047B" w:rsidRPr="00AE264A">
        <w:rPr>
          <w:rFonts w:ascii="Arial" w:hAnsi="Arial"/>
          <w:sz w:val="24"/>
          <w:szCs w:val="24"/>
        </w:rPr>
        <w:t>s</w:t>
      </w:r>
      <w:r w:rsidRPr="00AE264A">
        <w:rPr>
          <w:rFonts w:ascii="Arial" w:hAnsi="Arial"/>
          <w:sz w:val="24"/>
          <w:szCs w:val="24"/>
        </w:rPr>
        <w:t xml:space="preserve">tatistical </w:t>
      </w:r>
      <w:r w:rsidR="00A7047B" w:rsidRPr="00AE264A">
        <w:rPr>
          <w:rFonts w:ascii="Arial" w:hAnsi="Arial"/>
          <w:sz w:val="24"/>
          <w:szCs w:val="24"/>
        </w:rPr>
        <w:t>a</w:t>
      </w:r>
      <w:r w:rsidRPr="00AE264A">
        <w:rPr>
          <w:rFonts w:ascii="Arial" w:hAnsi="Arial"/>
          <w:sz w:val="24"/>
          <w:szCs w:val="24"/>
        </w:rPr>
        <w:t>nalysis</w:t>
      </w:r>
      <w:bookmarkEnd w:id="12"/>
    </w:p>
    <w:p w14:paraId="6EBA3E34" w14:textId="77777777" w:rsidR="007308C8" w:rsidRDefault="007308C8" w:rsidP="00475695">
      <w:pPr>
        <w:spacing w:line="360" w:lineRule="auto"/>
        <w:jc w:val="both"/>
        <w:rPr>
          <w:rFonts w:ascii="Arial" w:hAnsi="Arial" w:cs="Arial"/>
          <w:color w:val="auto"/>
          <w:sz w:val="24"/>
          <w:szCs w:val="24"/>
        </w:rPr>
      </w:pPr>
    </w:p>
    <w:p w14:paraId="36933BC5" w14:textId="70D04828" w:rsidR="00C77127" w:rsidRDefault="0059659D" w:rsidP="00475695">
      <w:pPr>
        <w:spacing w:line="360" w:lineRule="auto"/>
        <w:jc w:val="both"/>
        <w:rPr>
          <w:rFonts w:ascii="Arial" w:hAnsi="Arial" w:cs="Arial"/>
          <w:color w:val="auto"/>
          <w:sz w:val="24"/>
          <w:szCs w:val="24"/>
        </w:rPr>
      </w:pPr>
      <w:r w:rsidRPr="0059659D">
        <w:rPr>
          <w:rFonts w:ascii="Arial" w:hAnsi="Arial" w:cs="Arial"/>
          <w:color w:val="auto"/>
          <w:sz w:val="24"/>
          <w:szCs w:val="24"/>
        </w:rPr>
        <w:t xml:space="preserve">Descriptive analysis was </w:t>
      </w:r>
      <w:r w:rsidR="00DB7CAE">
        <w:rPr>
          <w:rFonts w:ascii="Arial" w:hAnsi="Arial" w:cs="Arial"/>
          <w:color w:val="auto"/>
          <w:sz w:val="24"/>
          <w:szCs w:val="24"/>
        </w:rPr>
        <w:t>conducted</w:t>
      </w:r>
      <w:r w:rsidRPr="0059659D">
        <w:rPr>
          <w:rFonts w:ascii="Arial" w:hAnsi="Arial" w:cs="Arial"/>
          <w:color w:val="auto"/>
          <w:sz w:val="24"/>
          <w:szCs w:val="24"/>
        </w:rPr>
        <w:t xml:space="preserve"> on 10,367 consumer sample packs with complete cost data, covering 47 distinct pack types</w:t>
      </w:r>
      <w:r w:rsidR="00EB1914" w:rsidRPr="00EB1914">
        <w:rPr>
          <w:rFonts w:ascii="Arial" w:hAnsi="Arial" w:cs="Arial"/>
          <w:color w:val="auto"/>
          <w:sz w:val="24"/>
          <w:szCs w:val="24"/>
        </w:rPr>
        <w:t xml:space="preserve"> (see Table 2)</w:t>
      </w:r>
      <w:r w:rsidR="00510B2C">
        <w:rPr>
          <w:rFonts w:ascii="Arial" w:hAnsi="Arial" w:cs="Arial"/>
          <w:color w:val="auto"/>
          <w:sz w:val="24"/>
          <w:szCs w:val="24"/>
        </w:rPr>
        <w:t>, and t</w:t>
      </w:r>
      <w:r w:rsidR="00EB1914" w:rsidRPr="00EB1914">
        <w:rPr>
          <w:rFonts w:ascii="Arial" w:hAnsi="Arial" w:cs="Arial"/>
          <w:color w:val="auto"/>
          <w:sz w:val="24"/>
          <w:szCs w:val="24"/>
        </w:rPr>
        <w:t xml:space="preserve">he total </w:t>
      </w:r>
      <w:r w:rsidR="00AB2C1B" w:rsidRPr="00EB1914">
        <w:rPr>
          <w:rFonts w:ascii="Arial" w:hAnsi="Arial" w:cs="Arial"/>
          <w:color w:val="auto"/>
          <w:sz w:val="24"/>
          <w:szCs w:val="24"/>
        </w:rPr>
        <w:t>expenses</w:t>
      </w:r>
      <w:r w:rsidR="00EB1914" w:rsidRPr="00EB1914">
        <w:rPr>
          <w:rFonts w:ascii="Arial" w:hAnsi="Arial" w:cs="Arial"/>
          <w:color w:val="auto"/>
          <w:sz w:val="24"/>
          <w:szCs w:val="24"/>
        </w:rPr>
        <w:t xml:space="preserve"> amounted to £27,746.79.</w:t>
      </w:r>
    </w:p>
    <w:p w14:paraId="7B0B7619" w14:textId="01E2D48A" w:rsidR="00320166" w:rsidRDefault="00702856" w:rsidP="00475695">
      <w:pPr>
        <w:spacing w:line="360" w:lineRule="auto"/>
        <w:jc w:val="both"/>
        <w:rPr>
          <w:rFonts w:ascii="Arial" w:hAnsi="Arial" w:cs="Arial"/>
          <w:color w:val="auto"/>
          <w:sz w:val="24"/>
          <w:szCs w:val="24"/>
        </w:rPr>
      </w:pPr>
      <w:r>
        <w:rPr>
          <w:rFonts w:ascii="Arial" w:hAnsi="Arial" w:cs="Arial"/>
          <w:color w:val="auto"/>
          <w:sz w:val="24"/>
          <w:szCs w:val="24"/>
        </w:rPr>
        <w:t>The following</w:t>
      </w:r>
      <w:r w:rsidR="00EA0EFC">
        <w:rPr>
          <w:rFonts w:ascii="Arial" w:hAnsi="Arial" w:cs="Arial"/>
          <w:color w:val="auto"/>
          <w:sz w:val="24"/>
          <w:szCs w:val="24"/>
        </w:rPr>
        <w:t xml:space="preserve"> </w:t>
      </w:r>
      <w:r w:rsidR="00EA0782">
        <w:rPr>
          <w:rFonts w:ascii="Arial" w:hAnsi="Arial" w:cs="Arial"/>
          <w:color w:val="auto"/>
          <w:sz w:val="24"/>
          <w:szCs w:val="24"/>
        </w:rPr>
        <w:t>Figure 3</w:t>
      </w:r>
      <w:r w:rsidR="00014045">
        <w:rPr>
          <w:rFonts w:ascii="Arial" w:hAnsi="Arial" w:cs="Arial"/>
          <w:color w:val="auto"/>
          <w:sz w:val="24"/>
          <w:szCs w:val="24"/>
        </w:rPr>
        <w:t xml:space="preserve"> summarises</w:t>
      </w:r>
      <w:r w:rsidR="00EA0EFC" w:rsidRPr="00EA0EFC">
        <w:rPr>
          <w:rFonts w:ascii="Arial" w:hAnsi="Arial" w:cs="Arial"/>
          <w:color w:val="auto"/>
          <w:sz w:val="24"/>
          <w:szCs w:val="24"/>
        </w:rPr>
        <w:t xml:space="preserve"> </w:t>
      </w:r>
      <w:r w:rsidR="002A0C7B">
        <w:rPr>
          <w:rFonts w:ascii="Arial" w:hAnsi="Arial" w:cs="Arial"/>
          <w:color w:val="auto"/>
          <w:sz w:val="24"/>
          <w:szCs w:val="24"/>
        </w:rPr>
        <w:t xml:space="preserve">that </w:t>
      </w:r>
      <w:r w:rsidR="00EA0EFC" w:rsidRPr="00EA0EFC">
        <w:rPr>
          <w:rFonts w:ascii="Arial" w:hAnsi="Arial" w:cs="Arial"/>
          <w:color w:val="auto"/>
          <w:sz w:val="24"/>
          <w:szCs w:val="24"/>
        </w:rPr>
        <w:t xml:space="preserve">the </w:t>
      </w:r>
      <w:r w:rsidR="002A0C7B" w:rsidRPr="002A0C7B">
        <w:rPr>
          <w:rFonts w:ascii="Arial" w:hAnsi="Arial" w:cs="Arial"/>
          <w:color w:val="auto"/>
          <w:sz w:val="24"/>
          <w:szCs w:val="24"/>
        </w:rPr>
        <w:t>average total cost per pack was £2.73, while the median was slightly lower at £2.48. With a standard deviation of £1.29, there appears to be moderate variation between pack types.</w:t>
      </w:r>
    </w:p>
    <w:p w14:paraId="7BA465B8" w14:textId="77777777" w:rsidR="00B702F7" w:rsidRDefault="00B702F7" w:rsidP="00475695">
      <w:pPr>
        <w:spacing w:line="360" w:lineRule="auto"/>
        <w:jc w:val="both"/>
        <w:rPr>
          <w:rFonts w:ascii="Arial" w:hAnsi="Arial" w:cs="Arial"/>
          <w:color w:val="auto"/>
          <w:sz w:val="24"/>
          <w:szCs w:val="24"/>
        </w:rPr>
      </w:pPr>
    </w:p>
    <w:p w14:paraId="093F65DD" w14:textId="77777777" w:rsidR="00B702F7" w:rsidRDefault="00B702F7" w:rsidP="00475695">
      <w:pPr>
        <w:spacing w:line="360" w:lineRule="auto"/>
        <w:jc w:val="both"/>
        <w:rPr>
          <w:rFonts w:ascii="Arial" w:hAnsi="Arial" w:cs="Arial"/>
          <w:color w:val="auto"/>
          <w:sz w:val="24"/>
          <w:szCs w:val="24"/>
        </w:rPr>
      </w:pPr>
    </w:p>
    <w:p w14:paraId="5F6D6ACF" w14:textId="77777777" w:rsidR="00142554" w:rsidRDefault="00142554" w:rsidP="00475695">
      <w:pPr>
        <w:spacing w:line="360" w:lineRule="auto"/>
        <w:jc w:val="both"/>
        <w:rPr>
          <w:rFonts w:ascii="Arial" w:hAnsi="Arial" w:cs="Arial"/>
          <w:color w:val="auto"/>
          <w:sz w:val="24"/>
          <w:szCs w:val="24"/>
        </w:rPr>
      </w:pPr>
    </w:p>
    <w:p w14:paraId="079A6B1C" w14:textId="77777777" w:rsidR="009F2F7C" w:rsidRDefault="009F2F7C" w:rsidP="00475695">
      <w:pPr>
        <w:spacing w:line="360" w:lineRule="auto"/>
        <w:jc w:val="both"/>
        <w:rPr>
          <w:rFonts w:ascii="Arial" w:hAnsi="Arial" w:cs="Arial"/>
          <w:color w:val="auto"/>
          <w:sz w:val="24"/>
          <w:szCs w:val="24"/>
        </w:rPr>
      </w:pPr>
    </w:p>
    <w:p w14:paraId="61BD60D8" w14:textId="3334E82D" w:rsidR="00C77127" w:rsidRDefault="00C77127" w:rsidP="00475695">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3. </w:t>
      </w:r>
      <w:r w:rsidRPr="00C77127">
        <w:rPr>
          <w:rFonts w:ascii="Arial" w:hAnsi="Arial" w:cs="Arial"/>
          <w:color w:val="auto"/>
          <w:sz w:val="24"/>
          <w:szCs w:val="24"/>
        </w:rPr>
        <w:t>Descriptive statistics</w:t>
      </w:r>
      <w:r w:rsidR="00397EE3">
        <w:rPr>
          <w:rFonts w:ascii="Arial" w:hAnsi="Arial" w:cs="Arial"/>
          <w:color w:val="auto"/>
          <w:sz w:val="24"/>
          <w:szCs w:val="24"/>
        </w:rPr>
        <w:t xml:space="preserve"> per sample pack.</w:t>
      </w:r>
    </w:p>
    <w:tbl>
      <w:tblPr>
        <w:tblW w:w="8217" w:type="dxa"/>
        <w:tblLook w:val="04A0" w:firstRow="1" w:lastRow="0" w:firstColumn="1" w:lastColumn="0" w:noHBand="0" w:noVBand="1"/>
      </w:tblPr>
      <w:tblGrid>
        <w:gridCol w:w="979"/>
        <w:gridCol w:w="960"/>
        <w:gridCol w:w="1175"/>
        <w:gridCol w:w="992"/>
        <w:gridCol w:w="1134"/>
        <w:gridCol w:w="851"/>
        <w:gridCol w:w="992"/>
        <w:gridCol w:w="1134"/>
      </w:tblGrid>
      <w:tr w:rsidR="00D06A52" w:rsidRPr="00D06A52" w14:paraId="714DBCC4"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4A237B1F"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Variable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E372ED9"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Mean (£)</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360D2BD3"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Median (£)</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32571432"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Mode (£)</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1AE9423"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Range (£)</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3175D19E" w14:textId="75421838" w:rsidR="00D06A52" w:rsidRPr="00D06A52" w:rsidRDefault="00165D2A"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SD (</w:t>
            </w:r>
            <w:r w:rsidR="00D06A52" w:rsidRPr="00D06A52">
              <w:rPr>
                <w:rFonts w:ascii="Calibri" w:eastAsia="Times New Roman" w:hAnsi="Calibri" w:cs="Calibri"/>
                <w:b/>
                <w:bCs/>
                <w:color w:val="000000"/>
                <w:sz w:val="22"/>
                <w:szCs w:val="22"/>
                <w:lang w:eastAsia="en-GB"/>
              </w:rPr>
              <w:t>£)</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0FF75825"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Min (£)</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FD2A55"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Max (£)</w:t>
            </w:r>
          </w:p>
        </w:tc>
      </w:tr>
      <w:tr w:rsidR="00D06A52" w:rsidRPr="00D06A52" w14:paraId="0C64306A"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E4FACC1"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Total</w:t>
            </w:r>
          </w:p>
        </w:tc>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1A34433"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2.73</w:t>
            </w:r>
          </w:p>
        </w:tc>
        <w:tc>
          <w:tcPr>
            <w:tcW w:w="1175"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F7C3B6F"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2.48</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C00E22B"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2.48</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F18B72"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6.28</w:t>
            </w:r>
          </w:p>
        </w:tc>
        <w:tc>
          <w:tcPr>
            <w:tcW w:w="851"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57F901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1.29</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9C8CAE7"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0.75</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71CF15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7.03</w:t>
            </w:r>
          </w:p>
        </w:tc>
      </w:tr>
      <w:tr w:rsidR="00D06A52" w:rsidRPr="00D06A52" w14:paraId="2A9F067F"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7AA20BC0"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Product</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5A9BC43"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1.71</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4BA82564"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1.56</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0CAF3902"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1.56</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92AC6B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5.21</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3916FF4D"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1.21</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424D011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0.07</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F30B51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5.28</w:t>
            </w:r>
          </w:p>
        </w:tc>
      </w:tr>
      <w:tr w:rsidR="00D06A52" w:rsidRPr="00D06A52" w14:paraId="74D3650F"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C90E41"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Pouch</w:t>
            </w:r>
          </w:p>
        </w:tc>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349E78"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0.86</w:t>
            </w:r>
          </w:p>
        </w:tc>
        <w:tc>
          <w:tcPr>
            <w:tcW w:w="1175"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2B026A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0.95</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AC8A6D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0.75</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EB4964F"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1.45</w:t>
            </w:r>
          </w:p>
        </w:tc>
        <w:tc>
          <w:tcPr>
            <w:tcW w:w="851"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0F75499"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0.2</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B75742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3F6F9A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1.45</w:t>
            </w:r>
          </w:p>
        </w:tc>
      </w:tr>
      <w:tr w:rsidR="00D06A52" w:rsidRPr="00D06A52" w14:paraId="31226492"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6CD8ECE7"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Printing</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9054EE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3BAFFC68"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6973067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CCCA1A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0.46</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516379D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7046CB4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F070C0"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0.46</w:t>
            </w:r>
          </w:p>
        </w:tc>
      </w:tr>
    </w:tbl>
    <w:p w14:paraId="313ED508" w14:textId="77777777" w:rsidR="00397EE3" w:rsidRPr="00C77127" w:rsidRDefault="00397EE3" w:rsidP="00475695">
      <w:pPr>
        <w:spacing w:line="360" w:lineRule="auto"/>
        <w:jc w:val="both"/>
        <w:rPr>
          <w:rFonts w:ascii="Arial" w:hAnsi="Arial" w:cs="Arial"/>
          <w:color w:val="auto"/>
          <w:sz w:val="24"/>
          <w:szCs w:val="24"/>
        </w:rPr>
      </w:pPr>
    </w:p>
    <w:p w14:paraId="0F4CD1E1" w14:textId="43DC7B75" w:rsidR="00B87A8A" w:rsidRPr="00B87A8A" w:rsidRDefault="00B82105" w:rsidP="00475695">
      <w:pPr>
        <w:spacing w:line="360" w:lineRule="auto"/>
        <w:jc w:val="both"/>
        <w:rPr>
          <w:rFonts w:ascii="Arial" w:hAnsi="Arial" w:cs="Arial"/>
          <w:color w:val="auto"/>
          <w:sz w:val="24"/>
          <w:szCs w:val="24"/>
        </w:rPr>
      </w:pPr>
      <w:r w:rsidRPr="00B82105">
        <w:rPr>
          <w:rFonts w:ascii="Arial" w:hAnsi="Arial" w:cs="Arial"/>
          <w:color w:val="auto"/>
          <w:sz w:val="24"/>
          <w:szCs w:val="24"/>
        </w:rPr>
        <w:t xml:space="preserve">Product cost </w:t>
      </w:r>
      <w:r w:rsidR="0026722F">
        <w:rPr>
          <w:rFonts w:ascii="Arial" w:hAnsi="Arial" w:cs="Arial"/>
          <w:color w:val="auto"/>
          <w:sz w:val="24"/>
          <w:szCs w:val="24"/>
        </w:rPr>
        <w:t xml:space="preserve">shows </w:t>
      </w:r>
      <w:r w:rsidR="00312402">
        <w:rPr>
          <w:rFonts w:ascii="Arial" w:hAnsi="Arial" w:cs="Arial"/>
          <w:color w:val="auto"/>
          <w:sz w:val="24"/>
          <w:szCs w:val="24"/>
        </w:rPr>
        <w:t xml:space="preserve">the </w:t>
      </w:r>
      <w:r w:rsidR="002F4B76">
        <w:rPr>
          <w:rFonts w:ascii="Arial" w:hAnsi="Arial" w:cs="Arial"/>
          <w:color w:val="auto"/>
          <w:sz w:val="24"/>
          <w:szCs w:val="24"/>
        </w:rPr>
        <w:t>most</w:t>
      </w:r>
      <w:r w:rsidR="00312402">
        <w:rPr>
          <w:rFonts w:ascii="Arial" w:hAnsi="Arial" w:cs="Arial"/>
          <w:color w:val="auto"/>
          <w:sz w:val="24"/>
          <w:szCs w:val="24"/>
        </w:rPr>
        <w:t xml:space="preserve"> variability (</w:t>
      </w:r>
      <w:r w:rsidRPr="00B82105">
        <w:rPr>
          <w:rFonts w:ascii="Arial" w:hAnsi="Arial" w:cs="Arial"/>
          <w:color w:val="auto"/>
          <w:sz w:val="24"/>
          <w:szCs w:val="24"/>
        </w:rPr>
        <w:t xml:space="preserve">SD £1.21), </w:t>
      </w:r>
      <w:r w:rsidR="008B5C4A" w:rsidRPr="008B5C4A">
        <w:rPr>
          <w:rFonts w:ascii="Arial" w:hAnsi="Arial" w:cs="Arial"/>
          <w:color w:val="auto"/>
          <w:sz w:val="24"/>
          <w:szCs w:val="24"/>
        </w:rPr>
        <w:t>reflecting differences in product composition across packs.</w:t>
      </w:r>
      <w:r w:rsidR="008B5C4A" w:rsidRPr="006A0367">
        <w:rPr>
          <w:rFonts w:ascii="Arial" w:hAnsi="Arial" w:cs="Arial"/>
          <w:color w:val="auto"/>
          <w:sz w:val="24"/>
          <w:szCs w:val="24"/>
        </w:rPr>
        <w:t xml:space="preserve"> In</w:t>
      </w:r>
      <w:r w:rsidR="006A0367" w:rsidRPr="006A0367">
        <w:rPr>
          <w:rFonts w:ascii="Arial" w:hAnsi="Arial" w:cs="Arial"/>
          <w:color w:val="auto"/>
          <w:sz w:val="24"/>
          <w:szCs w:val="24"/>
        </w:rPr>
        <w:t xml:space="preserve"> contrast</w:t>
      </w:r>
      <w:r w:rsidRPr="00B82105">
        <w:rPr>
          <w:rFonts w:ascii="Arial" w:hAnsi="Arial" w:cs="Arial"/>
          <w:color w:val="auto"/>
          <w:sz w:val="24"/>
          <w:szCs w:val="24"/>
        </w:rPr>
        <w:t>, pouch cost was relatively stable (mean £0.86</w:t>
      </w:r>
      <w:r w:rsidR="006A0367">
        <w:rPr>
          <w:rFonts w:ascii="Arial" w:hAnsi="Arial" w:cs="Arial"/>
          <w:color w:val="auto"/>
          <w:sz w:val="24"/>
          <w:szCs w:val="24"/>
        </w:rPr>
        <w:t xml:space="preserve"> and</w:t>
      </w:r>
      <w:r w:rsidRPr="00B82105">
        <w:rPr>
          <w:rFonts w:ascii="Arial" w:hAnsi="Arial" w:cs="Arial"/>
          <w:color w:val="auto"/>
          <w:sz w:val="24"/>
          <w:szCs w:val="24"/>
        </w:rPr>
        <w:t xml:space="preserve"> SD £0.20)</w:t>
      </w:r>
      <w:r w:rsidR="00115BD6">
        <w:rPr>
          <w:rFonts w:ascii="Arial" w:hAnsi="Arial" w:cs="Arial"/>
          <w:color w:val="auto"/>
          <w:sz w:val="24"/>
          <w:szCs w:val="24"/>
        </w:rPr>
        <w:t xml:space="preserve">, showing that </w:t>
      </w:r>
      <w:r w:rsidR="00DC149E">
        <w:rPr>
          <w:rFonts w:ascii="Arial" w:hAnsi="Arial" w:cs="Arial"/>
          <w:color w:val="auto"/>
          <w:sz w:val="24"/>
          <w:szCs w:val="24"/>
        </w:rPr>
        <w:t xml:space="preserve">the </w:t>
      </w:r>
      <w:r w:rsidR="0065419B">
        <w:rPr>
          <w:rFonts w:ascii="Arial" w:hAnsi="Arial" w:cs="Arial"/>
          <w:color w:val="auto"/>
          <w:sz w:val="24"/>
          <w:szCs w:val="24"/>
        </w:rPr>
        <w:t>pouch</w:t>
      </w:r>
      <w:r w:rsidRPr="00B82105">
        <w:rPr>
          <w:rFonts w:ascii="Arial" w:hAnsi="Arial" w:cs="Arial"/>
          <w:color w:val="auto"/>
          <w:sz w:val="24"/>
          <w:szCs w:val="24"/>
        </w:rPr>
        <w:t xml:space="preserve"> </w:t>
      </w:r>
      <w:r w:rsidR="00115BD6">
        <w:rPr>
          <w:rFonts w:ascii="Arial" w:hAnsi="Arial" w:cs="Arial"/>
          <w:color w:val="auto"/>
          <w:sz w:val="24"/>
          <w:szCs w:val="24"/>
        </w:rPr>
        <w:t>is</w:t>
      </w:r>
      <w:r w:rsidRPr="00B82105">
        <w:rPr>
          <w:rFonts w:ascii="Arial" w:hAnsi="Arial" w:cs="Arial"/>
          <w:color w:val="auto"/>
          <w:sz w:val="24"/>
          <w:szCs w:val="24"/>
        </w:rPr>
        <w:t xml:space="preserve"> </w:t>
      </w:r>
      <w:r w:rsidR="00115BD6">
        <w:rPr>
          <w:rFonts w:ascii="Arial" w:hAnsi="Arial" w:cs="Arial"/>
          <w:color w:val="auto"/>
          <w:sz w:val="24"/>
          <w:szCs w:val="24"/>
        </w:rPr>
        <w:t xml:space="preserve">a </w:t>
      </w:r>
      <w:r w:rsidRPr="00B82105">
        <w:rPr>
          <w:rFonts w:ascii="Arial" w:hAnsi="Arial" w:cs="Arial"/>
          <w:color w:val="auto"/>
          <w:sz w:val="24"/>
          <w:szCs w:val="24"/>
        </w:rPr>
        <w:t xml:space="preserve">consistent structural </w:t>
      </w:r>
      <w:r w:rsidR="009F04F9">
        <w:rPr>
          <w:rFonts w:ascii="Arial" w:hAnsi="Arial" w:cs="Arial"/>
          <w:color w:val="auto"/>
          <w:sz w:val="24"/>
          <w:szCs w:val="24"/>
        </w:rPr>
        <w:t>part</w:t>
      </w:r>
      <w:r w:rsidR="00F702A5" w:rsidRPr="00F702A5">
        <w:rPr>
          <w:rFonts w:ascii="Arial" w:hAnsi="Arial" w:cs="Arial"/>
          <w:color w:val="auto"/>
          <w:sz w:val="24"/>
          <w:szCs w:val="24"/>
        </w:rPr>
        <w:t xml:space="preserve"> of total pack cost</w:t>
      </w:r>
      <w:r w:rsidRPr="00B82105">
        <w:rPr>
          <w:rFonts w:ascii="Arial" w:hAnsi="Arial" w:cs="Arial"/>
          <w:color w:val="auto"/>
          <w:sz w:val="24"/>
          <w:szCs w:val="24"/>
        </w:rPr>
        <w:t xml:space="preserve">. </w:t>
      </w:r>
      <w:r w:rsidR="00A75E39" w:rsidRPr="00A75E39">
        <w:rPr>
          <w:rFonts w:ascii="Arial" w:hAnsi="Arial" w:cs="Arial"/>
          <w:color w:val="auto"/>
          <w:sz w:val="24"/>
          <w:szCs w:val="24"/>
        </w:rPr>
        <w:t>Printing costs were minimal (mean £0.17) with limited influence on total cost.</w:t>
      </w:r>
      <w:r w:rsidR="00AD5F42">
        <w:rPr>
          <w:rFonts w:ascii="Arial" w:hAnsi="Arial" w:cs="Arial"/>
          <w:color w:val="auto"/>
          <w:sz w:val="24"/>
          <w:szCs w:val="24"/>
        </w:rPr>
        <w:t xml:space="preserve"> </w:t>
      </w:r>
      <w:r w:rsidR="00D72CDC">
        <w:rPr>
          <w:rFonts w:ascii="Arial" w:hAnsi="Arial" w:cs="Arial"/>
          <w:color w:val="auto"/>
          <w:sz w:val="24"/>
          <w:szCs w:val="24"/>
        </w:rPr>
        <w:t>Table</w:t>
      </w:r>
      <w:r w:rsidR="00B87A8A">
        <w:rPr>
          <w:rFonts w:ascii="Arial" w:hAnsi="Arial" w:cs="Arial"/>
          <w:color w:val="auto"/>
          <w:sz w:val="24"/>
          <w:szCs w:val="24"/>
        </w:rPr>
        <w:t xml:space="preserve">3 </w:t>
      </w:r>
      <w:r w:rsidR="006B4E22">
        <w:rPr>
          <w:rFonts w:ascii="Arial" w:hAnsi="Arial" w:cs="Arial"/>
          <w:color w:val="auto"/>
          <w:sz w:val="24"/>
          <w:szCs w:val="24"/>
        </w:rPr>
        <w:t>explains that hi</w:t>
      </w:r>
      <w:r w:rsidR="006B4E22" w:rsidRPr="006B4E22">
        <w:rPr>
          <w:rFonts w:ascii="Arial" w:hAnsi="Arial" w:cs="Arial"/>
          <w:color w:val="auto"/>
          <w:sz w:val="24"/>
          <w:szCs w:val="24"/>
        </w:rPr>
        <w:t>gher-cost packs typically include a larger quantity of products (catheter sets and closed bags), while lower-cost packs</w:t>
      </w:r>
      <w:r w:rsidR="002C2F19">
        <w:rPr>
          <w:rFonts w:ascii="Arial" w:hAnsi="Arial" w:cs="Arial"/>
          <w:color w:val="auto"/>
          <w:sz w:val="24"/>
          <w:szCs w:val="24"/>
        </w:rPr>
        <w:t>,</w:t>
      </w:r>
      <w:r w:rsidR="006B4E22" w:rsidRPr="006B4E22">
        <w:rPr>
          <w:rFonts w:ascii="Arial" w:hAnsi="Arial" w:cs="Arial"/>
          <w:color w:val="auto"/>
          <w:sz w:val="24"/>
          <w:szCs w:val="24"/>
        </w:rPr>
        <w:t xml:space="preserve"> such as Brava products</w:t>
      </w:r>
      <w:r w:rsidR="00176320">
        <w:rPr>
          <w:rFonts w:ascii="Arial" w:hAnsi="Arial" w:cs="Arial"/>
          <w:color w:val="auto"/>
          <w:sz w:val="24"/>
          <w:szCs w:val="24"/>
        </w:rPr>
        <w:t>,</w:t>
      </w:r>
      <w:r w:rsidR="006B4E22" w:rsidRPr="006B4E22">
        <w:rPr>
          <w:rFonts w:ascii="Arial" w:hAnsi="Arial" w:cs="Arial"/>
          <w:color w:val="auto"/>
          <w:sz w:val="24"/>
          <w:szCs w:val="24"/>
        </w:rPr>
        <w:t xml:space="preserve"> show a </w:t>
      </w:r>
      <w:r w:rsidR="00824AC4" w:rsidRPr="006B4E22">
        <w:rPr>
          <w:rFonts w:ascii="Arial" w:hAnsi="Arial" w:cs="Arial"/>
          <w:color w:val="auto"/>
          <w:sz w:val="24"/>
          <w:szCs w:val="24"/>
        </w:rPr>
        <w:t>better</w:t>
      </w:r>
      <w:r w:rsidR="006B4E22" w:rsidRPr="006B4E22">
        <w:rPr>
          <w:rFonts w:ascii="Arial" w:hAnsi="Arial" w:cs="Arial"/>
          <w:color w:val="auto"/>
          <w:sz w:val="24"/>
          <w:szCs w:val="24"/>
        </w:rPr>
        <w:t xml:space="preserve"> proportional influence of packaging cost.</w:t>
      </w:r>
    </w:p>
    <w:p w14:paraId="35992FF9" w14:textId="5B094E63" w:rsidR="00820E19" w:rsidRDefault="00820E19" w:rsidP="00475695">
      <w:pPr>
        <w:spacing w:line="360" w:lineRule="auto"/>
        <w:jc w:val="both"/>
        <w:rPr>
          <w:rFonts w:ascii="Arial" w:hAnsi="Arial" w:cs="Arial"/>
          <w:color w:val="auto"/>
          <w:sz w:val="24"/>
          <w:szCs w:val="24"/>
        </w:rPr>
      </w:pPr>
    </w:p>
    <w:p w14:paraId="08F6BA15" w14:textId="43AD721E" w:rsidR="003A7A9C" w:rsidRPr="004A697B" w:rsidRDefault="00A7047B" w:rsidP="004A697B">
      <w:pPr>
        <w:rPr>
          <w:rFonts w:ascii="Arial" w:eastAsiaTheme="majorEastAsia" w:hAnsi="Arial" w:cs="Arial"/>
          <w:sz w:val="24"/>
          <w:szCs w:val="24"/>
        </w:rPr>
      </w:pPr>
      <w:bookmarkStart w:id="13" w:name="_Toc223467515"/>
      <w:r w:rsidRPr="00AE264A">
        <w:rPr>
          <w:rFonts w:ascii="Arial" w:hAnsi="Arial"/>
          <w:sz w:val="24"/>
          <w:szCs w:val="24"/>
        </w:rPr>
        <w:t>Correlation and regression analysis</w:t>
      </w:r>
      <w:bookmarkEnd w:id="13"/>
    </w:p>
    <w:p w14:paraId="63A4B2AF" w14:textId="77777777" w:rsidR="00422E40" w:rsidRDefault="00422E40" w:rsidP="00475695">
      <w:pPr>
        <w:spacing w:line="360" w:lineRule="auto"/>
        <w:jc w:val="both"/>
        <w:rPr>
          <w:rFonts w:ascii="Arial" w:hAnsi="Arial" w:cs="Arial"/>
          <w:color w:val="auto"/>
          <w:sz w:val="24"/>
          <w:szCs w:val="24"/>
        </w:rPr>
      </w:pPr>
    </w:p>
    <w:p w14:paraId="397A0CFF" w14:textId="4C089222" w:rsidR="003A7A9C" w:rsidRDefault="00D80179" w:rsidP="00475695">
      <w:pPr>
        <w:spacing w:line="360" w:lineRule="auto"/>
        <w:jc w:val="both"/>
        <w:rPr>
          <w:rFonts w:ascii="Arial" w:hAnsi="Arial" w:cs="Arial"/>
          <w:color w:val="auto"/>
          <w:sz w:val="24"/>
          <w:szCs w:val="24"/>
        </w:rPr>
      </w:pPr>
      <w:r w:rsidRPr="00D80179">
        <w:rPr>
          <w:rFonts w:ascii="Arial" w:hAnsi="Arial" w:cs="Arial"/>
          <w:color w:val="auto"/>
          <w:sz w:val="24"/>
          <w:szCs w:val="24"/>
        </w:rPr>
        <w:t xml:space="preserve">The </w:t>
      </w:r>
      <w:r w:rsidR="000A6AB6">
        <w:rPr>
          <w:rFonts w:ascii="Arial" w:hAnsi="Arial" w:cs="Arial"/>
          <w:color w:val="auto"/>
          <w:sz w:val="24"/>
          <w:szCs w:val="24"/>
        </w:rPr>
        <w:t xml:space="preserve">analysis </w:t>
      </w:r>
      <w:r w:rsidRPr="00D80179">
        <w:rPr>
          <w:rFonts w:ascii="Arial" w:hAnsi="Arial" w:cs="Arial"/>
          <w:color w:val="auto"/>
          <w:sz w:val="24"/>
          <w:szCs w:val="24"/>
        </w:rPr>
        <w:t>results indicate a weak negative correlation (</w:t>
      </w:r>
      <w:r w:rsidR="007842E8" w:rsidRPr="007842E8">
        <w:rPr>
          <w:rFonts w:ascii="Arial" w:hAnsi="Arial" w:cs="Arial"/>
          <w:color w:val="auto"/>
          <w:sz w:val="24"/>
          <w:szCs w:val="24"/>
        </w:rPr>
        <w:t>r</w:t>
      </w:r>
      <w:r w:rsidR="00B13018">
        <w:rPr>
          <w:rFonts w:ascii="Arial" w:hAnsi="Arial" w:cs="Arial"/>
          <w:color w:val="auto"/>
          <w:sz w:val="24"/>
          <w:szCs w:val="24"/>
        </w:rPr>
        <w:t xml:space="preserve"> </w:t>
      </w:r>
      <w:r w:rsidR="00E945A6">
        <w:rPr>
          <w:rFonts w:ascii="Arial" w:hAnsi="Arial" w:cs="Arial"/>
          <w:color w:val="auto"/>
          <w:sz w:val="24"/>
          <w:szCs w:val="24"/>
        </w:rPr>
        <w:t>=</w:t>
      </w:r>
      <w:r w:rsidR="00B13018">
        <w:rPr>
          <w:rFonts w:ascii="Arial" w:hAnsi="Arial" w:cs="Arial"/>
          <w:color w:val="auto"/>
          <w:sz w:val="24"/>
          <w:szCs w:val="24"/>
        </w:rPr>
        <w:t xml:space="preserve"> </w:t>
      </w:r>
      <w:r w:rsidR="00E945A6">
        <w:rPr>
          <w:rFonts w:ascii="Arial" w:hAnsi="Arial" w:cs="Arial"/>
          <w:color w:val="auto"/>
          <w:sz w:val="24"/>
          <w:szCs w:val="24"/>
        </w:rPr>
        <w:t>-</w:t>
      </w:r>
      <w:r w:rsidR="006E5BD3">
        <w:rPr>
          <w:rFonts w:ascii="Arial" w:hAnsi="Arial" w:cs="Arial"/>
          <w:color w:val="auto"/>
          <w:sz w:val="24"/>
          <w:szCs w:val="24"/>
        </w:rPr>
        <w:t>0.</w:t>
      </w:r>
      <w:r w:rsidR="001949F4">
        <w:rPr>
          <w:rFonts w:ascii="Arial" w:hAnsi="Arial" w:cs="Arial"/>
          <w:color w:val="auto"/>
          <w:sz w:val="24"/>
          <w:szCs w:val="24"/>
        </w:rPr>
        <w:t>274</w:t>
      </w:r>
      <w:r w:rsidR="00B479A9">
        <w:rPr>
          <w:rFonts w:ascii="Arial" w:hAnsi="Arial" w:cs="Arial"/>
          <w:color w:val="auto"/>
          <w:sz w:val="24"/>
          <w:szCs w:val="24"/>
        </w:rPr>
        <w:t>)</w:t>
      </w:r>
      <w:r w:rsidR="007842E8" w:rsidRPr="007842E8">
        <w:rPr>
          <w:rFonts w:ascii="Arial" w:hAnsi="Arial" w:cs="Arial"/>
          <w:color w:val="auto"/>
          <w:sz w:val="24"/>
          <w:szCs w:val="24"/>
        </w:rPr>
        <w:t xml:space="preserve">, </w:t>
      </w:r>
      <w:r>
        <w:rPr>
          <w:rFonts w:ascii="Arial" w:hAnsi="Arial" w:cs="Arial"/>
          <w:color w:val="auto"/>
          <w:sz w:val="24"/>
          <w:szCs w:val="24"/>
        </w:rPr>
        <w:t>with</w:t>
      </w:r>
      <w:r w:rsidRPr="00D80179">
        <w:rPr>
          <w:rFonts w:ascii="Arial" w:hAnsi="Arial" w:cs="Arial"/>
          <w:color w:val="auto"/>
          <w:sz w:val="24"/>
          <w:szCs w:val="24"/>
        </w:rPr>
        <w:t xml:space="preserve"> pouch cost explaining only 6.1% of total cost variation (R</w:t>
      </w:r>
      <w:r w:rsidR="00754C0C">
        <w:rPr>
          <w:rFonts w:ascii="Arial" w:hAnsi="Arial" w:cs="Arial"/>
          <w:color w:val="auto"/>
          <w:sz w:val="24"/>
          <w:szCs w:val="24"/>
        </w:rPr>
        <w:t>2</w:t>
      </w:r>
      <w:r w:rsidRPr="00D80179">
        <w:rPr>
          <w:rFonts w:ascii="Arial" w:hAnsi="Arial" w:cs="Arial"/>
          <w:color w:val="auto"/>
          <w:sz w:val="24"/>
          <w:szCs w:val="24"/>
        </w:rPr>
        <w:t>=0.061)</w:t>
      </w:r>
      <w:r w:rsidR="007842E8" w:rsidRPr="007842E8">
        <w:rPr>
          <w:rFonts w:ascii="Arial" w:hAnsi="Arial" w:cs="Arial"/>
          <w:color w:val="auto"/>
          <w:sz w:val="24"/>
          <w:szCs w:val="24"/>
        </w:rPr>
        <w:t>.</w:t>
      </w:r>
      <w:r w:rsidR="00440E62">
        <w:rPr>
          <w:rFonts w:ascii="Arial" w:hAnsi="Arial" w:cs="Arial"/>
          <w:color w:val="auto"/>
          <w:sz w:val="24"/>
          <w:szCs w:val="24"/>
        </w:rPr>
        <w:t xml:space="preserve"> The </w:t>
      </w:r>
      <w:r w:rsidR="00BE1DC8">
        <w:rPr>
          <w:rFonts w:ascii="Arial" w:hAnsi="Arial" w:cs="Arial"/>
          <w:color w:val="auto"/>
          <w:sz w:val="24"/>
          <w:szCs w:val="24"/>
        </w:rPr>
        <w:t>p</w:t>
      </w:r>
      <w:r w:rsidR="00440E62">
        <w:rPr>
          <w:rFonts w:ascii="Arial" w:hAnsi="Arial" w:cs="Arial"/>
          <w:color w:val="auto"/>
          <w:sz w:val="24"/>
          <w:szCs w:val="24"/>
        </w:rPr>
        <w:t>o</w:t>
      </w:r>
      <w:r w:rsidR="00F3779A">
        <w:rPr>
          <w:rFonts w:ascii="Arial" w:hAnsi="Arial" w:cs="Arial"/>
          <w:color w:val="auto"/>
          <w:sz w:val="24"/>
          <w:szCs w:val="24"/>
        </w:rPr>
        <w:t>uch cost and pack cost can be found in Table 4.</w:t>
      </w:r>
    </w:p>
    <w:p w14:paraId="40BBB74E" w14:textId="0D8C467A" w:rsidR="0085387D" w:rsidRDefault="0085387D" w:rsidP="00475695">
      <w:pPr>
        <w:spacing w:line="360" w:lineRule="auto"/>
        <w:jc w:val="both"/>
        <w:rPr>
          <w:rFonts w:ascii="Arial" w:hAnsi="Arial" w:cs="Arial"/>
          <w:color w:val="auto"/>
          <w:sz w:val="24"/>
          <w:szCs w:val="24"/>
        </w:rPr>
      </w:pPr>
      <w:r w:rsidRPr="0085387D">
        <w:rPr>
          <w:rFonts w:ascii="Arial" w:hAnsi="Arial" w:cs="Arial"/>
          <w:color w:val="auto"/>
          <w:sz w:val="24"/>
          <w:szCs w:val="24"/>
        </w:rPr>
        <w:t xml:space="preserve">To further quantify this relationship, a simple linear regression analysis was performed. </w:t>
      </w:r>
      <w:r w:rsidR="00B63D2A" w:rsidRPr="00B63D2A">
        <w:rPr>
          <w:rFonts w:ascii="Arial" w:hAnsi="Arial" w:cs="Arial"/>
          <w:color w:val="auto"/>
          <w:sz w:val="24"/>
          <w:szCs w:val="24"/>
        </w:rPr>
        <w:t>The regression model shown in Table 5 produced the following equation</w:t>
      </w:r>
      <w:r w:rsidR="00BE5621">
        <w:rPr>
          <w:rFonts w:ascii="Arial" w:hAnsi="Arial" w:cs="Arial"/>
          <w:color w:val="auto"/>
          <w:sz w:val="24"/>
          <w:szCs w:val="24"/>
        </w:rPr>
        <w:t>:</w:t>
      </w:r>
      <w:r w:rsidR="00623D84">
        <w:rPr>
          <w:rFonts w:ascii="Arial" w:hAnsi="Arial" w:cs="Arial"/>
          <w:color w:val="auto"/>
          <w:sz w:val="24"/>
          <w:szCs w:val="24"/>
        </w:rPr>
        <w:t xml:space="preserve"> </w:t>
      </w:r>
    </w:p>
    <w:p w14:paraId="5A06B4D9" w14:textId="5F4A1A2A" w:rsidR="001636D1" w:rsidRPr="00122C1D" w:rsidRDefault="001636D1" w:rsidP="00475695">
      <w:pPr>
        <w:spacing w:line="360" w:lineRule="auto"/>
        <w:jc w:val="center"/>
        <w:rPr>
          <w:rFonts w:ascii="Arial" w:hAnsi="Arial" w:cs="Arial"/>
          <w:b/>
          <w:bCs/>
          <w:color w:val="auto"/>
          <w:sz w:val="24"/>
          <w:szCs w:val="24"/>
        </w:rPr>
      </w:pPr>
      <w:r w:rsidRPr="00122C1D">
        <w:rPr>
          <w:rFonts w:ascii="Arial" w:hAnsi="Arial" w:cs="Arial"/>
          <w:b/>
          <w:bCs/>
          <w:color w:val="auto"/>
          <w:sz w:val="24"/>
          <w:szCs w:val="24"/>
        </w:rPr>
        <w:t>Total</w:t>
      </w:r>
      <w:r w:rsidR="00A829AC" w:rsidRPr="00122C1D">
        <w:rPr>
          <w:rFonts w:ascii="Arial" w:hAnsi="Arial" w:cs="Arial"/>
          <w:b/>
          <w:bCs/>
          <w:color w:val="auto"/>
          <w:sz w:val="24"/>
          <w:szCs w:val="24"/>
        </w:rPr>
        <w:t xml:space="preserve"> </w:t>
      </w:r>
      <w:r w:rsidRPr="00122C1D">
        <w:rPr>
          <w:rFonts w:ascii="Arial" w:hAnsi="Arial" w:cs="Arial"/>
          <w:b/>
          <w:bCs/>
          <w:color w:val="auto"/>
          <w:sz w:val="24"/>
          <w:szCs w:val="24"/>
        </w:rPr>
        <w:t>Cost</w:t>
      </w:r>
      <w:r w:rsidR="00BF001F" w:rsidRPr="00122C1D">
        <w:rPr>
          <w:rFonts w:ascii="Arial" w:hAnsi="Arial" w:cs="Arial"/>
          <w:b/>
          <w:bCs/>
          <w:color w:val="auto"/>
          <w:sz w:val="24"/>
          <w:szCs w:val="24"/>
        </w:rPr>
        <w:t xml:space="preserve"> </w:t>
      </w:r>
      <w:r w:rsidR="00E945A6">
        <w:rPr>
          <w:rFonts w:ascii="Arial" w:hAnsi="Arial" w:cs="Arial"/>
          <w:b/>
          <w:bCs/>
          <w:color w:val="auto"/>
          <w:sz w:val="24"/>
          <w:szCs w:val="24"/>
        </w:rPr>
        <w:t xml:space="preserve">= </w:t>
      </w:r>
      <w:r w:rsidR="00442D53">
        <w:rPr>
          <w:rFonts w:ascii="Arial" w:hAnsi="Arial" w:cs="Arial"/>
          <w:b/>
          <w:bCs/>
          <w:color w:val="auto"/>
          <w:sz w:val="24"/>
          <w:szCs w:val="24"/>
        </w:rPr>
        <w:t>4.33</w:t>
      </w:r>
      <w:r w:rsidR="00BF001F" w:rsidRPr="00122C1D">
        <w:rPr>
          <w:rFonts w:ascii="Arial" w:hAnsi="Arial" w:cs="Arial"/>
          <w:b/>
          <w:bCs/>
          <w:color w:val="auto"/>
          <w:sz w:val="24"/>
          <w:szCs w:val="24"/>
        </w:rPr>
        <w:t xml:space="preserve"> </w:t>
      </w:r>
      <w:r w:rsidR="006A337C">
        <w:rPr>
          <w:rFonts w:ascii="Arial" w:hAnsi="Arial" w:cs="Arial"/>
          <w:b/>
          <w:bCs/>
          <w:color w:val="auto"/>
          <w:sz w:val="24"/>
          <w:szCs w:val="24"/>
        </w:rPr>
        <w:t>-</w:t>
      </w:r>
      <w:r w:rsidR="00BF001F" w:rsidRPr="00122C1D">
        <w:rPr>
          <w:rFonts w:ascii="Arial" w:hAnsi="Arial" w:cs="Arial"/>
          <w:b/>
          <w:bCs/>
          <w:color w:val="auto"/>
          <w:sz w:val="24"/>
          <w:szCs w:val="24"/>
        </w:rPr>
        <w:t xml:space="preserve"> </w:t>
      </w:r>
      <w:r w:rsidR="000A1F3F">
        <w:rPr>
          <w:rFonts w:ascii="Arial" w:hAnsi="Arial" w:cs="Arial"/>
          <w:b/>
          <w:bCs/>
          <w:color w:val="auto"/>
          <w:sz w:val="24"/>
          <w:szCs w:val="24"/>
        </w:rPr>
        <w:t>1.97</w:t>
      </w:r>
      <w:r w:rsidR="00BF001F" w:rsidRPr="00122C1D">
        <w:rPr>
          <w:rFonts w:ascii="Arial" w:hAnsi="Arial" w:cs="Arial"/>
          <w:b/>
          <w:bCs/>
          <w:color w:val="auto"/>
          <w:sz w:val="24"/>
          <w:szCs w:val="24"/>
        </w:rPr>
        <w:t xml:space="preserve"> </w:t>
      </w:r>
      <w:r w:rsidR="004003EC">
        <w:rPr>
          <w:rFonts w:ascii="Arial" w:hAnsi="Arial" w:cs="Arial"/>
          <w:b/>
          <w:bCs/>
          <w:color w:val="auto"/>
          <w:sz w:val="24"/>
          <w:szCs w:val="24"/>
        </w:rPr>
        <w:t xml:space="preserve">x </w:t>
      </w:r>
      <w:r w:rsidR="00BF001F" w:rsidRPr="00122C1D">
        <w:rPr>
          <w:rFonts w:ascii="Arial" w:hAnsi="Arial" w:cs="Arial"/>
          <w:b/>
          <w:bCs/>
          <w:color w:val="auto"/>
          <w:sz w:val="24"/>
          <w:szCs w:val="24"/>
        </w:rPr>
        <w:t>P</w:t>
      </w:r>
      <w:r w:rsidR="00A829AC" w:rsidRPr="00122C1D">
        <w:rPr>
          <w:rFonts w:ascii="Arial" w:hAnsi="Arial" w:cs="Arial"/>
          <w:b/>
          <w:bCs/>
          <w:color w:val="auto"/>
          <w:sz w:val="24"/>
          <w:szCs w:val="24"/>
        </w:rPr>
        <w:t>ouch Cost</w:t>
      </w:r>
    </w:p>
    <w:p w14:paraId="2F1ECF34" w14:textId="3979EF60" w:rsidR="00C03CAA" w:rsidRDefault="005C3FC0" w:rsidP="00475695">
      <w:pPr>
        <w:spacing w:line="360" w:lineRule="auto"/>
        <w:jc w:val="both"/>
        <w:rPr>
          <w:rFonts w:ascii="Arial" w:hAnsi="Arial" w:cs="Arial"/>
          <w:color w:val="auto"/>
          <w:sz w:val="24"/>
          <w:szCs w:val="24"/>
        </w:rPr>
      </w:pPr>
      <w:r w:rsidRPr="005C3FC0">
        <w:rPr>
          <w:rFonts w:ascii="Arial" w:hAnsi="Arial" w:cs="Arial"/>
          <w:color w:val="auto"/>
          <w:sz w:val="24"/>
          <w:szCs w:val="24"/>
        </w:rPr>
        <w:t>The regression coefficient (b</w:t>
      </w:r>
      <w:r w:rsidR="00E945A6">
        <w:rPr>
          <w:rFonts w:ascii="Arial" w:hAnsi="Arial" w:cs="Arial"/>
          <w:color w:val="auto"/>
          <w:sz w:val="24"/>
          <w:szCs w:val="24"/>
        </w:rPr>
        <w:t>=</w:t>
      </w:r>
      <w:r w:rsidR="00B13018">
        <w:rPr>
          <w:rFonts w:ascii="Arial" w:hAnsi="Arial" w:cs="Arial"/>
          <w:color w:val="auto"/>
          <w:sz w:val="24"/>
          <w:szCs w:val="24"/>
        </w:rPr>
        <w:t xml:space="preserve"> </w:t>
      </w:r>
      <w:r w:rsidR="00E945A6">
        <w:rPr>
          <w:rFonts w:ascii="Arial" w:hAnsi="Arial" w:cs="Arial"/>
          <w:color w:val="auto"/>
          <w:sz w:val="24"/>
          <w:szCs w:val="24"/>
        </w:rPr>
        <w:t>-</w:t>
      </w:r>
      <w:r w:rsidRPr="005C3FC0">
        <w:rPr>
          <w:rFonts w:ascii="Arial" w:hAnsi="Arial" w:cs="Arial"/>
          <w:color w:val="auto"/>
          <w:sz w:val="24"/>
          <w:szCs w:val="24"/>
        </w:rPr>
        <w:t xml:space="preserve">1.97) </w:t>
      </w:r>
      <w:r w:rsidR="007B334C" w:rsidRPr="007B334C">
        <w:rPr>
          <w:rFonts w:ascii="Arial" w:hAnsi="Arial" w:cs="Arial"/>
          <w:color w:val="auto"/>
          <w:sz w:val="24"/>
          <w:szCs w:val="24"/>
        </w:rPr>
        <w:t>indicates that pouch cost does not increase total pack cost.</w:t>
      </w:r>
      <w:r w:rsidR="007B334C" w:rsidRPr="005C3FC0">
        <w:rPr>
          <w:rFonts w:ascii="Arial" w:hAnsi="Arial" w:cs="Arial"/>
          <w:color w:val="auto"/>
          <w:sz w:val="24"/>
          <w:szCs w:val="24"/>
        </w:rPr>
        <w:t xml:space="preserve"> This</w:t>
      </w:r>
      <w:r w:rsidRPr="005C3FC0">
        <w:rPr>
          <w:rFonts w:ascii="Arial" w:hAnsi="Arial" w:cs="Arial"/>
          <w:color w:val="auto"/>
          <w:sz w:val="24"/>
          <w:szCs w:val="24"/>
        </w:rPr>
        <w:t xml:space="preserve"> indicates that total cost variability is primarily driven by product composition rather than </w:t>
      </w:r>
      <w:r w:rsidR="00DC149E">
        <w:rPr>
          <w:rFonts w:ascii="Arial" w:hAnsi="Arial" w:cs="Arial"/>
          <w:color w:val="auto"/>
          <w:sz w:val="24"/>
          <w:szCs w:val="24"/>
        </w:rPr>
        <w:t>pouch</w:t>
      </w:r>
      <w:r w:rsidRPr="005C3FC0">
        <w:rPr>
          <w:rFonts w:ascii="Arial" w:hAnsi="Arial" w:cs="Arial"/>
          <w:color w:val="auto"/>
          <w:sz w:val="24"/>
          <w:szCs w:val="24"/>
        </w:rPr>
        <w:t xml:space="preserve"> price alone.</w:t>
      </w:r>
      <w:r w:rsidR="00BE5621">
        <w:rPr>
          <w:rFonts w:ascii="Arial" w:hAnsi="Arial" w:cs="Arial"/>
          <w:color w:val="auto"/>
          <w:sz w:val="24"/>
          <w:szCs w:val="24"/>
        </w:rPr>
        <w:t xml:space="preserve"> </w:t>
      </w:r>
    </w:p>
    <w:p w14:paraId="65D41DA6" w14:textId="172C29BB" w:rsidR="009E5919" w:rsidRDefault="000B37DD">
      <w:pPr>
        <w:rPr>
          <w:rFonts w:ascii="Arial" w:hAnsi="Arial" w:cs="Arial"/>
          <w:color w:val="auto"/>
          <w:sz w:val="24"/>
          <w:szCs w:val="24"/>
        </w:rPr>
      </w:pPr>
      <w:r w:rsidRPr="000B37DD">
        <w:rPr>
          <w:rFonts w:ascii="Arial" w:hAnsi="Arial" w:cs="Arial"/>
          <w:color w:val="auto"/>
          <w:sz w:val="24"/>
          <w:szCs w:val="24"/>
        </w:rPr>
        <w:t>Cost optimisation should therefore focus on high-cost pack categories.</w:t>
      </w:r>
      <w:r w:rsidR="009E5919">
        <w:rPr>
          <w:rFonts w:ascii="Arial" w:hAnsi="Arial" w:cs="Arial"/>
          <w:color w:val="auto"/>
          <w:sz w:val="24"/>
          <w:szCs w:val="24"/>
        </w:rPr>
        <w:br w:type="page"/>
      </w:r>
    </w:p>
    <w:p w14:paraId="1921A62D" w14:textId="3833E2F1" w:rsidR="00165D2A" w:rsidRPr="00AE264A" w:rsidRDefault="009E5919" w:rsidP="001D10DD">
      <w:pPr>
        <w:pStyle w:val="Heading2"/>
        <w:rPr>
          <w:rFonts w:ascii="Arial" w:hAnsi="Arial"/>
          <w:sz w:val="28"/>
          <w:szCs w:val="28"/>
        </w:rPr>
      </w:pPr>
      <w:bookmarkStart w:id="14" w:name="_Toc223467516"/>
      <w:r w:rsidRPr="00AE264A">
        <w:rPr>
          <w:rFonts w:ascii="Arial" w:hAnsi="Arial"/>
          <w:sz w:val="28"/>
          <w:szCs w:val="28"/>
        </w:rPr>
        <w:lastRenderedPageBreak/>
        <w:t>Disc</w:t>
      </w:r>
      <w:r w:rsidR="00BD4F40" w:rsidRPr="00AE264A">
        <w:rPr>
          <w:rFonts w:ascii="Arial" w:hAnsi="Arial"/>
          <w:sz w:val="28"/>
          <w:szCs w:val="28"/>
        </w:rPr>
        <w:t>ussion</w:t>
      </w:r>
      <w:bookmarkEnd w:id="14"/>
    </w:p>
    <w:p w14:paraId="4DC6F3C2" w14:textId="77777777" w:rsidR="00422E40" w:rsidRDefault="00422E40" w:rsidP="00475695">
      <w:pPr>
        <w:spacing w:line="360" w:lineRule="auto"/>
        <w:jc w:val="both"/>
        <w:rPr>
          <w:rFonts w:ascii="Arial" w:hAnsi="Arial" w:cs="Arial"/>
          <w:color w:val="auto"/>
          <w:sz w:val="24"/>
          <w:szCs w:val="24"/>
        </w:rPr>
      </w:pPr>
    </w:p>
    <w:p w14:paraId="357B74FC" w14:textId="410D0A1A" w:rsidR="004545A0" w:rsidRPr="0050114D" w:rsidRDefault="004545A0"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4. </w:t>
      </w:r>
      <w:r w:rsidRPr="004545A0">
        <w:rPr>
          <w:rFonts w:ascii="Arial" w:hAnsi="Arial" w:cs="Arial"/>
          <w:color w:val="auto"/>
          <w:sz w:val="24"/>
          <w:szCs w:val="24"/>
        </w:rPr>
        <w:t xml:space="preserve">Average </w:t>
      </w:r>
      <w:r>
        <w:rPr>
          <w:rFonts w:ascii="Arial" w:hAnsi="Arial" w:cs="Arial"/>
          <w:color w:val="auto"/>
          <w:sz w:val="24"/>
          <w:szCs w:val="24"/>
        </w:rPr>
        <w:t>c</w:t>
      </w:r>
      <w:r w:rsidRPr="004545A0">
        <w:rPr>
          <w:rFonts w:ascii="Arial" w:hAnsi="Arial" w:cs="Arial"/>
          <w:color w:val="auto"/>
          <w:sz w:val="24"/>
          <w:szCs w:val="24"/>
        </w:rPr>
        <w:t xml:space="preserve">ost </w:t>
      </w:r>
      <w:r>
        <w:rPr>
          <w:rFonts w:ascii="Arial" w:hAnsi="Arial" w:cs="Arial"/>
          <w:color w:val="auto"/>
          <w:sz w:val="24"/>
          <w:szCs w:val="24"/>
        </w:rPr>
        <w:t>c</w:t>
      </w:r>
      <w:r w:rsidRPr="004545A0">
        <w:rPr>
          <w:rFonts w:ascii="Arial" w:hAnsi="Arial" w:cs="Arial"/>
          <w:color w:val="auto"/>
          <w:sz w:val="24"/>
          <w:szCs w:val="24"/>
        </w:rPr>
        <w:t xml:space="preserve">ontribution per </w:t>
      </w:r>
      <w:r>
        <w:rPr>
          <w:rFonts w:ascii="Arial" w:hAnsi="Arial" w:cs="Arial"/>
          <w:color w:val="auto"/>
          <w:sz w:val="24"/>
          <w:szCs w:val="24"/>
        </w:rPr>
        <w:t>c</w:t>
      </w:r>
      <w:r w:rsidRPr="004545A0">
        <w:rPr>
          <w:rFonts w:ascii="Arial" w:hAnsi="Arial" w:cs="Arial"/>
          <w:color w:val="auto"/>
          <w:sz w:val="24"/>
          <w:szCs w:val="24"/>
        </w:rPr>
        <w:t>omponent (£)</w:t>
      </w:r>
    </w:p>
    <w:p w14:paraId="1CCA6147" w14:textId="723C964C" w:rsidR="003A7A9C" w:rsidRDefault="00037DD5" w:rsidP="00475695">
      <w:pPr>
        <w:spacing w:line="360" w:lineRule="auto"/>
        <w:jc w:val="both"/>
        <w:rPr>
          <w:rFonts w:ascii="Arial" w:hAnsi="Arial" w:cs="Arial"/>
          <w:color w:val="auto"/>
          <w:sz w:val="24"/>
          <w:szCs w:val="24"/>
        </w:rPr>
      </w:pPr>
      <w:r>
        <w:rPr>
          <w:noProof/>
        </w:rPr>
        <w:drawing>
          <wp:inline distT="0" distB="0" distL="0" distR="0" wp14:anchorId="195EE1BD" wp14:editId="6806DA83">
            <wp:extent cx="4572000" cy="2743200"/>
            <wp:effectExtent l="0" t="0" r="0" b="0"/>
            <wp:docPr id="493436606" name="Chart 1">
              <a:extLst xmlns:a="http://schemas.openxmlformats.org/drawingml/2006/main">
                <a:ext uri="{FF2B5EF4-FFF2-40B4-BE49-F238E27FC236}">
                  <a16:creationId xmlns:a16="http://schemas.microsoft.com/office/drawing/2014/main" id="{65DA02E5-EDCA-9D7E-66BE-7B49BDB7E3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4FE80F2" w14:textId="0E37375B" w:rsidR="004B7255" w:rsidRDefault="007D5A42" w:rsidP="00475695">
      <w:pPr>
        <w:spacing w:line="360" w:lineRule="auto"/>
        <w:jc w:val="both"/>
        <w:rPr>
          <w:rFonts w:ascii="Arial" w:hAnsi="Arial" w:cs="Arial"/>
          <w:color w:val="auto"/>
          <w:sz w:val="24"/>
          <w:szCs w:val="24"/>
        </w:rPr>
      </w:pPr>
      <w:r w:rsidRPr="007D5A42">
        <w:rPr>
          <w:rFonts w:ascii="Arial" w:hAnsi="Arial" w:cs="Arial"/>
          <w:color w:val="auto"/>
          <w:sz w:val="24"/>
          <w:szCs w:val="24"/>
        </w:rPr>
        <w:t xml:space="preserve">Figure 4 shows that product cost (£1.71) represents the largest average expense per pack, followed by pouch cost (£0.86), while printing cost remains minimal (£0.17). Although product cost dominates, </w:t>
      </w:r>
      <w:r w:rsidR="000273BD">
        <w:rPr>
          <w:rFonts w:ascii="Arial" w:hAnsi="Arial" w:cs="Arial"/>
          <w:color w:val="auto"/>
          <w:sz w:val="24"/>
          <w:szCs w:val="24"/>
        </w:rPr>
        <w:t>p</w:t>
      </w:r>
      <w:r w:rsidR="00657331">
        <w:rPr>
          <w:rFonts w:ascii="Arial" w:hAnsi="Arial" w:cs="Arial"/>
          <w:color w:val="auto"/>
          <w:sz w:val="24"/>
          <w:szCs w:val="24"/>
        </w:rPr>
        <w:t>ouch</w:t>
      </w:r>
      <w:r w:rsidRPr="007D5A42">
        <w:rPr>
          <w:rFonts w:ascii="Arial" w:hAnsi="Arial" w:cs="Arial"/>
          <w:color w:val="auto"/>
          <w:sz w:val="24"/>
          <w:szCs w:val="24"/>
        </w:rPr>
        <w:t xml:space="preserve"> represents </w:t>
      </w:r>
      <w:r w:rsidR="007056B5">
        <w:rPr>
          <w:rFonts w:ascii="Arial" w:hAnsi="Arial" w:cs="Arial"/>
          <w:color w:val="auto"/>
          <w:sz w:val="24"/>
          <w:szCs w:val="24"/>
        </w:rPr>
        <w:t xml:space="preserve">a </w:t>
      </w:r>
      <w:r w:rsidRPr="007D5A42">
        <w:rPr>
          <w:rFonts w:ascii="Arial" w:hAnsi="Arial" w:cs="Arial"/>
          <w:color w:val="auto"/>
          <w:sz w:val="24"/>
          <w:szCs w:val="24"/>
        </w:rPr>
        <w:t xml:space="preserve">controllable cost component. </w:t>
      </w:r>
      <w:r w:rsidR="002376AF">
        <w:rPr>
          <w:rFonts w:ascii="Arial" w:hAnsi="Arial" w:cs="Arial"/>
          <w:color w:val="auto"/>
          <w:sz w:val="24"/>
          <w:szCs w:val="24"/>
        </w:rPr>
        <w:t>Unlike</w:t>
      </w:r>
      <w:r w:rsidRPr="007D5A42">
        <w:rPr>
          <w:rFonts w:ascii="Arial" w:hAnsi="Arial" w:cs="Arial"/>
          <w:color w:val="auto"/>
          <w:sz w:val="24"/>
          <w:szCs w:val="24"/>
        </w:rPr>
        <w:t xml:space="preserve"> product specifications, which are clinically determined</w:t>
      </w:r>
      <w:r w:rsidR="00BC7CEF">
        <w:rPr>
          <w:rFonts w:ascii="Arial" w:hAnsi="Arial" w:cs="Arial"/>
          <w:color w:val="auto"/>
          <w:sz w:val="24"/>
          <w:szCs w:val="24"/>
        </w:rPr>
        <w:t xml:space="preserve">, the </w:t>
      </w:r>
      <w:r w:rsidRPr="007D5A42">
        <w:rPr>
          <w:rFonts w:ascii="Arial" w:hAnsi="Arial" w:cs="Arial"/>
          <w:color w:val="auto"/>
          <w:sz w:val="24"/>
          <w:szCs w:val="24"/>
        </w:rPr>
        <w:t>packaging design can be adjusted with lower operational risk.</w:t>
      </w:r>
    </w:p>
    <w:p w14:paraId="12468D2C" w14:textId="77777777" w:rsidR="000E2FD8" w:rsidRDefault="000E2FD8" w:rsidP="00475695">
      <w:pPr>
        <w:spacing w:line="360" w:lineRule="auto"/>
        <w:jc w:val="both"/>
        <w:rPr>
          <w:rFonts w:ascii="Arial" w:hAnsi="Arial" w:cs="Arial"/>
          <w:color w:val="auto"/>
          <w:sz w:val="24"/>
          <w:szCs w:val="24"/>
        </w:rPr>
      </w:pPr>
    </w:p>
    <w:p w14:paraId="3174A268" w14:textId="7948263B" w:rsidR="004B7255" w:rsidRDefault="004B7255"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w:t>
      </w:r>
      <w:r w:rsidR="00BC7CEF">
        <w:rPr>
          <w:rFonts w:ascii="Arial" w:hAnsi="Arial" w:cs="Arial"/>
          <w:color w:val="auto"/>
          <w:sz w:val="24"/>
          <w:szCs w:val="24"/>
        </w:rPr>
        <w:t xml:space="preserve">5. </w:t>
      </w:r>
      <w:r w:rsidR="00B2324B" w:rsidRPr="00B2324B">
        <w:rPr>
          <w:rFonts w:ascii="Arial" w:hAnsi="Arial" w:cs="Arial"/>
          <w:color w:val="auto"/>
          <w:sz w:val="24"/>
          <w:szCs w:val="24"/>
        </w:rPr>
        <w:t xml:space="preserve">Relationship </w:t>
      </w:r>
      <w:r w:rsidR="00B2324B">
        <w:rPr>
          <w:rFonts w:ascii="Arial" w:hAnsi="Arial" w:cs="Arial"/>
          <w:color w:val="auto"/>
          <w:sz w:val="24"/>
          <w:szCs w:val="24"/>
        </w:rPr>
        <w:t>b</w:t>
      </w:r>
      <w:r w:rsidR="00B2324B" w:rsidRPr="00B2324B">
        <w:rPr>
          <w:rFonts w:ascii="Arial" w:hAnsi="Arial" w:cs="Arial"/>
          <w:color w:val="auto"/>
          <w:sz w:val="24"/>
          <w:szCs w:val="24"/>
        </w:rPr>
        <w:t xml:space="preserve">etween </w:t>
      </w:r>
      <w:r w:rsidR="00B2324B">
        <w:rPr>
          <w:rFonts w:ascii="Arial" w:hAnsi="Arial" w:cs="Arial"/>
          <w:color w:val="auto"/>
          <w:sz w:val="24"/>
          <w:szCs w:val="24"/>
        </w:rPr>
        <w:t>p</w:t>
      </w:r>
      <w:r w:rsidR="00B2324B" w:rsidRPr="00B2324B">
        <w:rPr>
          <w:rFonts w:ascii="Arial" w:hAnsi="Arial" w:cs="Arial"/>
          <w:color w:val="auto"/>
          <w:sz w:val="24"/>
          <w:szCs w:val="24"/>
        </w:rPr>
        <w:t xml:space="preserve">ouch </w:t>
      </w:r>
      <w:r w:rsidR="00B2324B">
        <w:rPr>
          <w:rFonts w:ascii="Arial" w:hAnsi="Arial" w:cs="Arial"/>
          <w:color w:val="auto"/>
          <w:sz w:val="24"/>
          <w:szCs w:val="24"/>
        </w:rPr>
        <w:t>c</w:t>
      </w:r>
      <w:r w:rsidR="00B2324B" w:rsidRPr="00B2324B">
        <w:rPr>
          <w:rFonts w:ascii="Arial" w:hAnsi="Arial" w:cs="Arial"/>
          <w:color w:val="auto"/>
          <w:sz w:val="24"/>
          <w:szCs w:val="24"/>
        </w:rPr>
        <w:t xml:space="preserve">ost and </w:t>
      </w:r>
      <w:r w:rsidR="00B2324B">
        <w:rPr>
          <w:rFonts w:ascii="Arial" w:hAnsi="Arial" w:cs="Arial"/>
          <w:color w:val="auto"/>
          <w:sz w:val="24"/>
          <w:szCs w:val="24"/>
        </w:rPr>
        <w:t>t</w:t>
      </w:r>
      <w:r w:rsidR="00B2324B" w:rsidRPr="00B2324B">
        <w:rPr>
          <w:rFonts w:ascii="Arial" w:hAnsi="Arial" w:cs="Arial"/>
          <w:color w:val="auto"/>
          <w:sz w:val="24"/>
          <w:szCs w:val="24"/>
        </w:rPr>
        <w:t xml:space="preserve">otal </w:t>
      </w:r>
      <w:r w:rsidR="00B2324B">
        <w:rPr>
          <w:rFonts w:ascii="Arial" w:hAnsi="Arial" w:cs="Arial"/>
          <w:color w:val="auto"/>
          <w:sz w:val="24"/>
          <w:szCs w:val="24"/>
        </w:rPr>
        <w:t>p</w:t>
      </w:r>
      <w:r w:rsidR="00B2324B" w:rsidRPr="00B2324B">
        <w:rPr>
          <w:rFonts w:ascii="Arial" w:hAnsi="Arial" w:cs="Arial"/>
          <w:color w:val="auto"/>
          <w:sz w:val="24"/>
          <w:szCs w:val="24"/>
        </w:rPr>
        <w:t xml:space="preserve">ack </w:t>
      </w:r>
      <w:r w:rsidR="00B2324B">
        <w:rPr>
          <w:rFonts w:ascii="Arial" w:hAnsi="Arial" w:cs="Arial"/>
          <w:color w:val="auto"/>
          <w:sz w:val="24"/>
          <w:szCs w:val="24"/>
        </w:rPr>
        <w:t>c</w:t>
      </w:r>
      <w:r w:rsidR="00B2324B" w:rsidRPr="00B2324B">
        <w:rPr>
          <w:rFonts w:ascii="Arial" w:hAnsi="Arial" w:cs="Arial"/>
          <w:color w:val="auto"/>
          <w:sz w:val="24"/>
          <w:szCs w:val="24"/>
        </w:rPr>
        <w:t>ost</w:t>
      </w:r>
    </w:p>
    <w:p w14:paraId="2B8CDF75" w14:textId="09CE6668" w:rsidR="003A7A9C" w:rsidRDefault="00DD1A30" w:rsidP="000901D6">
      <w:pPr>
        <w:spacing w:line="360" w:lineRule="auto"/>
        <w:rPr>
          <w:rFonts w:ascii="Arial" w:hAnsi="Arial" w:cs="Arial"/>
          <w:color w:val="auto"/>
          <w:sz w:val="24"/>
          <w:szCs w:val="24"/>
        </w:rPr>
      </w:pPr>
      <w:r>
        <w:rPr>
          <w:noProof/>
        </w:rPr>
        <w:drawing>
          <wp:inline distT="0" distB="0" distL="0" distR="0" wp14:anchorId="4E3B6412" wp14:editId="5287ECF5">
            <wp:extent cx="6041390" cy="2875006"/>
            <wp:effectExtent l="0" t="0" r="16510" b="1905"/>
            <wp:docPr id="253538750" name="Chart 1">
              <a:extLst xmlns:a="http://schemas.openxmlformats.org/drawingml/2006/main">
                <a:ext uri="{FF2B5EF4-FFF2-40B4-BE49-F238E27FC236}">
                  <a16:creationId xmlns:a16="http://schemas.microsoft.com/office/drawing/2014/main" id="{B818B292-9321-45B2-AB89-246DC10C4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66D6620" w14:textId="2BA7409C" w:rsidR="00F64A70" w:rsidRPr="00F64A70" w:rsidRDefault="00482EAE" w:rsidP="00EC0E44">
      <w:pPr>
        <w:spacing w:line="360" w:lineRule="auto"/>
        <w:jc w:val="both"/>
        <w:rPr>
          <w:rFonts w:ascii="Arial" w:hAnsi="Arial" w:cs="Arial"/>
          <w:color w:val="auto"/>
          <w:sz w:val="24"/>
          <w:szCs w:val="24"/>
        </w:rPr>
      </w:pPr>
      <w:r w:rsidRPr="00482EAE">
        <w:rPr>
          <w:rFonts w:ascii="Arial" w:hAnsi="Arial" w:cs="Arial"/>
          <w:color w:val="auto"/>
          <w:sz w:val="24"/>
          <w:szCs w:val="24"/>
        </w:rPr>
        <w:lastRenderedPageBreak/>
        <w:t xml:space="preserve">The scatter plot in Figure 5 </w:t>
      </w:r>
      <w:r w:rsidR="0034423E">
        <w:rPr>
          <w:rFonts w:ascii="Arial" w:hAnsi="Arial" w:cs="Arial"/>
          <w:color w:val="auto"/>
          <w:sz w:val="24"/>
          <w:szCs w:val="24"/>
        </w:rPr>
        <w:t>indicates</w:t>
      </w:r>
      <w:r w:rsidRPr="00482EAE">
        <w:rPr>
          <w:rFonts w:ascii="Arial" w:hAnsi="Arial" w:cs="Arial"/>
          <w:color w:val="auto"/>
          <w:sz w:val="24"/>
          <w:szCs w:val="24"/>
        </w:rPr>
        <w:t xml:space="preserve"> </w:t>
      </w:r>
      <w:r w:rsidR="00F64A70" w:rsidRPr="00F64A70">
        <w:rPr>
          <w:rFonts w:ascii="Arial" w:hAnsi="Arial" w:cs="Arial"/>
          <w:color w:val="auto"/>
          <w:sz w:val="24"/>
          <w:szCs w:val="24"/>
        </w:rPr>
        <w:t xml:space="preserve">a weak relationship between pouch unit cost and total pack unit cost. </w:t>
      </w:r>
      <w:r w:rsidR="006D1C87" w:rsidRPr="006D1C87">
        <w:rPr>
          <w:rFonts w:ascii="Arial" w:hAnsi="Arial" w:cs="Arial"/>
          <w:color w:val="auto"/>
          <w:sz w:val="24"/>
          <w:szCs w:val="24"/>
        </w:rPr>
        <w:t>R2</w:t>
      </w:r>
      <w:r w:rsidR="006D1C87">
        <w:rPr>
          <w:rFonts w:ascii="Arial" w:hAnsi="Arial" w:cs="Arial"/>
          <w:color w:val="auto"/>
          <w:sz w:val="24"/>
          <w:szCs w:val="24"/>
        </w:rPr>
        <w:t xml:space="preserve"> = </w:t>
      </w:r>
      <w:r w:rsidR="006D1C87" w:rsidRPr="006D1C87">
        <w:rPr>
          <w:rFonts w:ascii="Arial" w:hAnsi="Arial" w:cs="Arial"/>
          <w:color w:val="auto"/>
          <w:sz w:val="24"/>
          <w:szCs w:val="24"/>
        </w:rPr>
        <w:t xml:space="preserve">0.061 indicates that the regression model has limited explanatory power, explaining only </w:t>
      </w:r>
      <w:r w:rsidR="003C5660">
        <w:rPr>
          <w:rFonts w:ascii="Arial" w:hAnsi="Arial" w:cs="Arial"/>
          <w:color w:val="auto"/>
          <w:sz w:val="24"/>
          <w:szCs w:val="24"/>
        </w:rPr>
        <w:t>6.1</w:t>
      </w:r>
      <w:r w:rsidR="006D1C87" w:rsidRPr="006D1C87">
        <w:rPr>
          <w:rFonts w:ascii="Arial" w:hAnsi="Arial" w:cs="Arial"/>
          <w:color w:val="auto"/>
          <w:sz w:val="24"/>
          <w:szCs w:val="24"/>
        </w:rPr>
        <w:t>% of the variation in total cost.</w:t>
      </w:r>
    </w:p>
    <w:p w14:paraId="6CB1647A" w14:textId="46FCD4FF" w:rsidR="00CD7636" w:rsidRDefault="00D34C7E" w:rsidP="00E354BB">
      <w:pPr>
        <w:spacing w:line="360" w:lineRule="auto"/>
        <w:jc w:val="both"/>
        <w:rPr>
          <w:rFonts w:ascii="Arial" w:hAnsi="Arial" w:cs="Arial"/>
          <w:color w:val="auto"/>
          <w:sz w:val="24"/>
          <w:szCs w:val="24"/>
        </w:rPr>
      </w:pPr>
      <w:r>
        <w:rPr>
          <w:rFonts w:ascii="Arial" w:hAnsi="Arial" w:cs="Arial"/>
          <w:color w:val="auto"/>
          <w:sz w:val="24"/>
          <w:szCs w:val="24"/>
        </w:rPr>
        <w:t>According to t</w:t>
      </w:r>
      <w:r w:rsidR="00F64A70" w:rsidRPr="00F64A70">
        <w:rPr>
          <w:rFonts w:ascii="Arial" w:hAnsi="Arial" w:cs="Arial"/>
          <w:color w:val="auto"/>
          <w:sz w:val="24"/>
          <w:szCs w:val="24"/>
        </w:rPr>
        <w:t>he regression equation</w:t>
      </w:r>
      <w:r w:rsidR="00F350FD">
        <w:rPr>
          <w:rFonts w:ascii="Arial" w:hAnsi="Arial" w:cs="Arial"/>
          <w:color w:val="auto"/>
          <w:sz w:val="24"/>
          <w:szCs w:val="24"/>
        </w:rPr>
        <w:t>,</w:t>
      </w:r>
      <w:r w:rsidR="00F64A70" w:rsidRPr="00F64A70">
        <w:rPr>
          <w:rFonts w:ascii="Arial" w:hAnsi="Arial" w:cs="Arial"/>
          <w:color w:val="auto"/>
          <w:sz w:val="24"/>
          <w:szCs w:val="24"/>
        </w:rPr>
        <w:t xml:space="preserve"> </w:t>
      </w:r>
      <w:r w:rsidR="00400C60" w:rsidRPr="00400C60">
        <w:rPr>
          <w:rFonts w:ascii="Arial" w:hAnsi="Arial" w:cs="Arial"/>
          <w:color w:val="auto"/>
          <w:sz w:val="24"/>
          <w:szCs w:val="24"/>
        </w:rPr>
        <w:t>higher pack costs are not correlated with increases in pouch unit costs</w:t>
      </w:r>
      <w:r w:rsidR="00F64A70" w:rsidRPr="00F64A70">
        <w:rPr>
          <w:rFonts w:ascii="Arial" w:hAnsi="Arial" w:cs="Arial"/>
          <w:color w:val="auto"/>
          <w:sz w:val="24"/>
          <w:szCs w:val="24"/>
        </w:rPr>
        <w:t xml:space="preserve">. The </w:t>
      </w:r>
      <w:r w:rsidR="003B3562">
        <w:rPr>
          <w:rFonts w:ascii="Arial" w:hAnsi="Arial" w:cs="Arial"/>
          <w:color w:val="auto"/>
          <w:sz w:val="24"/>
          <w:szCs w:val="24"/>
        </w:rPr>
        <w:t>large</w:t>
      </w:r>
      <w:r w:rsidR="00F64A70" w:rsidRPr="00F64A70">
        <w:rPr>
          <w:rFonts w:ascii="Arial" w:hAnsi="Arial" w:cs="Arial"/>
          <w:color w:val="auto"/>
          <w:sz w:val="24"/>
          <w:szCs w:val="24"/>
        </w:rPr>
        <w:t xml:space="preserve"> vertical dispersion of data points confirms that total pack cost is influenced by product rather than packaging cost alone.</w:t>
      </w:r>
      <w:r w:rsidR="00E570E4">
        <w:rPr>
          <w:rFonts w:ascii="Arial" w:hAnsi="Arial" w:cs="Arial"/>
          <w:color w:val="auto"/>
          <w:sz w:val="24"/>
          <w:szCs w:val="24"/>
        </w:rPr>
        <w:t xml:space="preserve"> </w:t>
      </w:r>
    </w:p>
    <w:p w14:paraId="34478E9D" w14:textId="77777777" w:rsidR="00FE67FC" w:rsidRDefault="00FE67FC" w:rsidP="00E354BB">
      <w:pPr>
        <w:spacing w:line="360" w:lineRule="auto"/>
        <w:jc w:val="both"/>
        <w:rPr>
          <w:rFonts w:ascii="Arial" w:hAnsi="Arial" w:cs="Arial"/>
          <w:color w:val="auto"/>
          <w:sz w:val="24"/>
          <w:szCs w:val="24"/>
        </w:rPr>
      </w:pPr>
    </w:p>
    <w:p w14:paraId="4FB57E09" w14:textId="69263F9D" w:rsidR="00CD7636" w:rsidRDefault="00CD7636" w:rsidP="00F64A70">
      <w:pPr>
        <w:spacing w:line="360" w:lineRule="auto"/>
        <w:rPr>
          <w:rFonts w:ascii="Arial" w:hAnsi="Arial" w:cs="Arial"/>
          <w:color w:val="auto"/>
          <w:sz w:val="24"/>
          <w:szCs w:val="24"/>
        </w:rPr>
      </w:pPr>
      <w:r>
        <w:rPr>
          <w:rFonts w:ascii="Arial" w:hAnsi="Arial" w:cs="Arial"/>
          <w:color w:val="auto"/>
          <w:sz w:val="24"/>
          <w:szCs w:val="24"/>
        </w:rPr>
        <w:t xml:space="preserve">Figure 6. </w:t>
      </w:r>
      <w:r w:rsidR="00612CE4" w:rsidRPr="00612CE4">
        <w:rPr>
          <w:rFonts w:ascii="Arial" w:hAnsi="Arial" w:cs="Arial"/>
          <w:color w:val="auto"/>
          <w:sz w:val="24"/>
          <w:szCs w:val="24"/>
        </w:rPr>
        <w:t xml:space="preserve">Unit </w:t>
      </w:r>
      <w:r w:rsidR="00612CE4">
        <w:rPr>
          <w:rFonts w:ascii="Arial" w:hAnsi="Arial" w:cs="Arial"/>
          <w:color w:val="auto"/>
          <w:sz w:val="24"/>
          <w:szCs w:val="24"/>
        </w:rPr>
        <w:t>c</w:t>
      </w:r>
      <w:r w:rsidR="00612CE4" w:rsidRPr="00612CE4">
        <w:rPr>
          <w:rFonts w:ascii="Arial" w:hAnsi="Arial" w:cs="Arial"/>
          <w:color w:val="auto"/>
          <w:sz w:val="24"/>
          <w:szCs w:val="24"/>
        </w:rPr>
        <w:t>ost</w:t>
      </w:r>
      <w:r w:rsidR="00612CE4">
        <w:rPr>
          <w:rFonts w:ascii="Arial" w:hAnsi="Arial" w:cs="Arial"/>
          <w:color w:val="auto"/>
          <w:sz w:val="24"/>
          <w:szCs w:val="24"/>
        </w:rPr>
        <w:t xml:space="preserve"> c</w:t>
      </w:r>
      <w:r w:rsidR="00612CE4" w:rsidRPr="00612CE4">
        <w:rPr>
          <w:rFonts w:ascii="Arial" w:hAnsi="Arial" w:cs="Arial"/>
          <w:color w:val="auto"/>
          <w:sz w:val="24"/>
          <w:szCs w:val="24"/>
        </w:rPr>
        <w:t>omparison: Plastic Pouch vs Paper Envelope</w:t>
      </w:r>
    </w:p>
    <w:p w14:paraId="21B0CB49" w14:textId="77777777" w:rsidR="00C46004" w:rsidRDefault="00E3285E" w:rsidP="000901D6">
      <w:pPr>
        <w:spacing w:line="360" w:lineRule="auto"/>
        <w:rPr>
          <w:rFonts w:ascii="Arial" w:hAnsi="Arial" w:cs="Arial"/>
          <w:color w:val="auto"/>
          <w:sz w:val="24"/>
          <w:szCs w:val="24"/>
        </w:rPr>
      </w:pPr>
      <w:r w:rsidRPr="00E3285E">
        <w:rPr>
          <w:rFonts w:ascii="Arial" w:hAnsi="Arial" w:cs="Arial"/>
          <w:noProof/>
          <w:color w:val="auto"/>
          <w:sz w:val="24"/>
          <w:szCs w:val="24"/>
        </w:rPr>
        <w:drawing>
          <wp:inline distT="0" distB="0" distL="0" distR="0" wp14:anchorId="2B6ACCC5" wp14:editId="3FD3E61C">
            <wp:extent cx="6263640" cy="3011170"/>
            <wp:effectExtent l="0" t="0" r="3810" b="0"/>
            <wp:docPr id="235545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45230" name=""/>
                    <pic:cNvPicPr/>
                  </pic:nvPicPr>
                  <pic:blipFill>
                    <a:blip r:embed="rId24"/>
                    <a:stretch>
                      <a:fillRect/>
                    </a:stretch>
                  </pic:blipFill>
                  <pic:spPr>
                    <a:xfrm>
                      <a:off x="0" y="0"/>
                      <a:ext cx="6263640" cy="3011170"/>
                    </a:xfrm>
                    <a:prstGeom prst="rect">
                      <a:avLst/>
                    </a:prstGeom>
                  </pic:spPr>
                </pic:pic>
              </a:graphicData>
            </a:graphic>
          </wp:inline>
        </w:drawing>
      </w:r>
    </w:p>
    <w:p w14:paraId="4A5EA148" w14:textId="60082DC7" w:rsidR="000511EA" w:rsidRDefault="002A5C74" w:rsidP="00EC0E44">
      <w:pPr>
        <w:spacing w:line="360" w:lineRule="auto"/>
        <w:jc w:val="both"/>
        <w:rPr>
          <w:rFonts w:ascii="Arial" w:hAnsi="Arial" w:cs="Arial"/>
          <w:color w:val="auto"/>
          <w:sz w:val="24"/>
          <w:szCs w:val="24"/>
        </w:rPr>
      </w:pPr>
      <w:r>
        <w:rPr>
          <w:rFonts w:ascii="Arial" w:hAnsi="Arial" w:cs="Arial"/>
          <w:color w:val="auto"/>
          <w:sz w:val="24"/>
          <w:szCs w:val="24"/>
        </w:rPr>
        <w:t xml:space="preserve">Figure 6 </w:t>
      </w:r>
      <w:r w:rsidR="00E60029">
        <w:rPr>
          <w:rFonts w:ascii="Arial" w:hAnsi="Arial" w:cs="Arial"/>
          <w:color w:val="auto"/>
          <w:sz w:val="24"/>
          <w:szCs w:val="24"/>
        </w:rPr>
        <w:t>compare</w:t>
      </w:r>
      <w:r w:rsidR="00B75E6D">
        <w:rPr>
          <w:rFonts w:ascii="Arial" w:hAnsi="Arial" w:cs="Arial"/>
          <w:color w:val="auto"/>
          <w:sz w:val="24"/>
          <w:szCs w:val="24"/>
        </w:rPr>
        <w:t xml:space="preserve">s </w:t>
      </w:r>
      <w:r w:rsidR="000511EA" w:rsidRPr="000511EA">
        <w:rPr>
          <w:rFonts w:ascii="Arial" w:hAnsi="Arial" w:cs="Arial"/>
          <w:color w:val="auto"/>
          <w:sz w:val="24"/>
          <w:szCs w:val="24"/>
        </w:rPr>
        <w:t xml:space="preserve">current plastic pouch unit costs with proposed paper-envelope alternatives. Cost reductions range between 60% and 77% depending on </w:t>
      </w:r>
      <w:r w:rsidR="004D0986">
        <w:rPr>
          <w:rFonts w:ascii="Arial" w:hAnsi="Arial" w:cs="Arial"/>
          <w:color w:val="auto"/>
          <w:sz w:val="24"/>
          <w:szCs w:val="24"/>
        </w:rPr>
        <w:t xml:space="preserve">the </w:t>
      </w:r>
      <w:r w:rsidR="000511EA" w:rsidRPr="000511EA">
        <w:rPr>
          <w:rFonts w:ascii="Arial" w:hAnsi="Arial" w:cs="Arial"/>
          <w:color w:val="auto"/>
          <w:sz w:val="24"/>
          <w:szCs w:val="24"/>
        </w:rPr>
        <w:t>size category.</w:t>
      </w:r>
      <w:r w:rsidR="000511EA">
        <w:rPr>
          <w:rFonts w:ascii="Arial" w:hAnsi="Arial" w:cs="Arial"/>
          <w:color w:val="auto"/>
          <w:sz w:val="24"/>
          <w:szCs w:val="24"/>
        </w:rPr>
        <w:t xml:space="preserve"> </w:t>
      </w:r>
    </w:p>
    <w:p w14:paraId="05EF0A58" w14:textId="6146B892" w:rsidR="001D6DD2" w:rsidRDefault="000511EA" w:rsidP="00EC0E44">
      <w:pPr>
        <w:spacing w:line="360" w:lineRule="auto"/>
        <w:jc w:val="both"/>
        <w:rPr>
          <w:rFonts w:ascii="Arial" w:hAnsi="Arial" w:cs="Arial"/>
          <w:color w:val="auto"/>
          <w:sz w:val="24"/>
          <w:szCs w:val="24"/>
        </w:rPr>
      </w:pPr>
      <w:r>
        <w:rPr>
          <w:rFonts w:ascii="Arial" w:hAnsi="Arial" w:cs="Arial"/>
          <w:color w:val="auto"/>
          <w:sz w:val="24"/>
          <w:szCs w:val="24"/>
        </w:rPr>
        <w:t xml:space="preserve">When </w:t>
      </w:r>
      <w:r w:rsidRPr="000511EA">
        <w:rPr>
          <w:rFonts w:ascii="Arial" w:hAnsi="Arial" w:cs="Arial"/>
          <w:color w:val="auto"/>
          <w:sz w:val="24"/>
          <w:szCs w:val="24"/>
        </w:rPr>
        <w:t xml:space="preserve">regression analysis shows that pouch cost does not drive overall cost variability, the unit price reduction remains financially significant. Given the annual shipment volume of over 10,000 sample packs, even per-unit savings may </w:t>
      </w:r>
      <w:r w:rsidR="008657A4" w:rsidRPr="000511EA">
        <w:rPr>
          <w:rFonts w:ascii="Arial" w:hAnsi="Arial" w:cs="Arial"/>
          <w:color w:val="auto"/>
          <w:sz w:val="24"/>
          <w:szCs w:val="24"/>
        </w:rPr>
        <w:t>add</w:t>
      </w:r>
      <w:r w:rsidRPr="000511EA">
        <w:rPr>
          <w:rFonts w:ascii="Arial" w:hAnsi="Arial" w:cs="Arial"/>
          <w:color w:val="auto"/>
          <w:sz w:val="24"/>
          <w:szCs w:val="24"/>
        </w:rPr>
        <w:t xml:space="preserve"> </w:t>
      </w:r>
      <w:r w:rsidR="008657A4">
        <w:rPr>
          <w:rFonts w:ascii="Arial" w:hAnsi="Arial" w:cs="Arial"/>
          <w:color w:val="auto"/>
          <w:sz w:val="24"/>
          <w:szCs w:val="24"/>
        </w:rPr>
        <w:t>up to</w:t>
      </w:r>
      <w:r w:rsidRPr="000511EA">
        <w:rPr>
          <w:rFonts w:ascii="Arial" w:hAnsi="Arial" w:cs="Arial"/>
          <w:color w:val="auto"/>
          <w:sz w:val="24"/>
          <w:szCs w:val="24"/>
        </w:rPr>
        <w:t xml:space="preserve"> </w:t>
      </w:r>
      <w:r w:rsidR="008657A4" w:rsidRPr="000511EA">
        <w:rPr>
          <w:rFonts w:ascii="Arial" w:hAnsi="Arial" w:cs="Arial"/>
          <w:color w:val="auto"/>
          <w:sz w:val="24"/>
          <w:szCs w:val="24"/>
        </w:rPr>
        <w:t>important</w:t>
      </w:r>
      <w:r w:rsidRPr="000511EA">
        <w:rPr>
          <w:rFonts w:ascii="Arial" w:hAnsi="Arial" w:cs="Arial"/>
          <w:color w:val="auto"/>
          <w:sz w:val="24"/>
          <w:szCs w:val="24"/>
        </w:rPr>
        <w:t xml:space="preserve"> total </w:t>
      </w:r>
      <w:r w:rsidR="00475C86">
        <w:rPr>
          <w:rFonts w:ascii="Arial" w:hAnsi="Arial" w:cs="Arial"/>
          <w:color w:val="auto"/>
          <w:sz w:val="24"/>
          <w:szCs w:val="24"/>
        </w:rPr>
        <w:t>cost</w:t>
      </w:r>
      <w:r w:rsidRPr="000511EA">
        <w:rPr>
          <w:rFonts w:ascii="Arial" w:hAnsi="Arial" w:cs="Arial"/>
          <w:color w:val="auto"/>
          <w:sz w:val="24"/>
          <w:szCs w:val="24"/>
        </w:rPr>
        <w:t xml:space="preserve"> reductions.</w:t>
      </w:r>
      <w:r w:rsidR="00B01F78">
        <w:rPr>
          <w:rFonts w:ascii="Arial" w:hAnsi="Arial" w:cs="Arial"/>
          <w:color w:val="auto"/>
          <w:sz w:val="24"/>
          <w:szCs w:val="24"/>
        </w:rPr>
        <w:t xml:space="preserve"> </w:t>
      </w:r>
      <w:r w:rsidR="00870AF6" w:rsidRPr="00870AF6">
        <w:rPr>
          <w:rFonts w:ascii="Arial" w:hAnsi="Arial" w:cs="Arial"/>
          <w:color w:val="auto"/>
          <w:sz w:val="24"/>
          <w:szCs w:val="24"/>
        </w:rPr>
        <w:t>Packaging optimisation can therefore deliver cost savings despite limited influence on cost variation.</w:t>
      </w:r>
    </w:p>
    <w:p w14:paraId="633164A1" w14:textId="77777777" w:rsidR="001D6DD2" w:rsidRDefault="001D6DD2" w:rsidP="00EC0E44">
      <w:pPr>
        <w:spacing w:line="360" w:lineRule="auto"/>
        <w:jc w:val="both"/>
        <w:rPr>
          <w:rFonts w:ascii="Arial" w:hAnsi="Arial" w:cs="Arial"/>
          <w:color w:val="auto"/>
          <w:sz w:val="24"/>
          <w:szCs w:val="24"/>
        </w:rPr>
      </w:pPr>
    </w:p>
    <w:p w14:paraId="40D050A3" w14:textId="5FDA0C1E" w:rsidR="005D6D5F" w:rsidRDefault="005D6D5F" w:rsidP="00E354BB">
      <w:pPr>
        <w:rPr>
          <w:rFonts w:ascii="Arial" w:hAnsi="Arial" w:cs="Arial"/>
          <w:color w:val="auto"/>
          <w:sz w:val="24"/>
          <w:szCs w:val="24"/>
        </w:rPr>
      </w:pPr>
      <w:r>
        <w:rPr>
          <w:rFonts w:ascii="Arial" w:hAnsi="Arial" w:cs="Arial"/>
          <w:color w:val="auto"/>
          <w:sz w:val="24"/>
          <w:szCs w:val="24"/>
        </w:rPr>
        <w:br w:type="page"/>
      </w:r>
      <w:r w:rsidR="001D6DD2">
        <w:rPr>
          <w:rFonts w:ascii="Arial" w:hAnsi="Arial" w:cs="Arial"/>
          <w:color w:val="auto"/>
          <w:sz w:val="24"/>
          <w:szCs w:val="24"/>
        </w:rPr>
        <w:lastRenderedPageBreak/>
        <w:t xml:space="preserve">Figure 7. </w:t>
      </w:r>
      <w:r w:rsidR="001724A9" w:rsidRPr="001724A9">
        <w:rPr>
          <w:rFonts w:ascii="Arial" w:hAnsi="Arial" w:cs="Arial"/>
          <w:color w:val="auto"/>
          <w:sz w:val="24"/>
          <w:szCs w:val="24"/>
        </w:rPr>
        <w:t xml:space="preserve">Royal </w:t>
      </w:r>
      <w:r w:rsidR="000F71B2">
        <w:rPr>
          <w:rFonts w:ascii="Arial" w:hAnsi="Arial" w:cs="Arial"/>
          <w:color w:val="auto"/>
          <w:sz w:val="24"/>
          <w:szCs w:val="24"/>
        </w:rPr>
        <w:t>Mail</w:t>
      </w:r>
      <w:r w:rsidR="001724A9" w:rsidRPr="001724A9">
        <w:rPr>
          <w:rFonts w:ascii="Arial" w:hAnsi="Arial" w:cs="Arial"/>
          <w:color w:val="auto"/>
          <w:sz w:val="24"/>
          <w:szCs w:val="24"/>
        </w:rPr>
        <w:t xml:space="preserve"> </w:t>
      </w:r>
      <w:r w:rsidR="001724A9">
        <w:rPr>
          <w:rFonts w:ascii="Arial" w:hAnsi="Arial" w:cs="Arial"/>
          <w:color w:val="auto"/>
          <w:sz w:val="24"/>
          <w:szCs w:val="24"/>
        </w:rPr>
        <w:t>s</w:t>
      </w:r>
      <w:r w:rsidR="001724A9" w:rsidRPr="001724A9">
        <w:rPr>
          <w:rFonts w:ascii="Arial" w:hAnsi="Arial" w:cs="Arial"/>
          <w:color w:val="auto"/>
          <w:sz w:val="24"/>
          <w:szCs w:val="24"/>
        </w:rPr>
        <w:t xml:space="preserve">ize </w:t>
      </w:r>
      <w:r w:rsidR="00D14F2C">
        <w:rPr>
          <w:rFonts w:ascii="Arial" w:hAnsi="Arial" w:cs="Arial"/>
          <w:color w:val="auto"/>
          <w:sz w:val="24"/>
          <w:szCs w:val="24"/>
        </w:rPr>
        <w:t xml:space="preserve">and weight </w:t>
      </w:r>
      <w:r>
        <w:rPr>
          <w:rFonts w:ascii="Arial" w:hAnsi="Arial" w:cs="Arial"/>
          <w:color w:val="auto"/>
          <w:sz w:val="24"/>
          <w:szCs w:val="24"/>
        </w:rPr>
        <w:t>guide</w:t>
      </w:r>
    </w:p>
    <w:p w14:paraId="13D7749C" w14:textId="77777777" w:rsidR="00637BEE" w:rsidRDefault="005D6D5F" w:rsidP="000901D6">
      <w:pPr>
        <w:spacing w:line="360" w:lineRule="auto"/>
        <w:rPr>
          <w:rFonts w:ascii="Arial" w:hAnsi="Arial" w:cs="Arial"/>
          <w:color w:val="auto"/>
          <w:sz w:val="24"/>
          <w:szCs w:val="24"/>
        </w:rPr>
      </w:pPr>
      <w:r w:rsidRPr="005D6D5F">
        <w:rPr>
          <w:noProof/>
        </w:rPr>
        <w:drawing>
          <wp:inline distT="0" distB="0" distL="0" distR="0" wp14:anchorId="74851DE6" wp14:editId="686E058D">
            <wp:extent cx="6263640" cy="1849755"/>
            <wp:effectExtent l="0" t="0" r="3810" b="0"/>
            <wp:docPr id="564519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63640" cy="1849755"/>
                    </a:xfrm>
                    <a:prstGeom prst="rect">
                      <a:avLst/>
                    </a:prstGeom>
                    <a:noFill/>
                    <a:ln>
                      <a:noFill/>
                    </a:ln>
                  </pic:spPr>
                </pic:pic>
              </a:graphicData>
            </a:graphic>
          </wp:inline>
        </w:drawing>
      </w:r>
    </w:p>
    <w:p w14:paraId="0394D43D" w14:textId="5E3FF00A" w:rsidR="00637BEE" w:rsidRDefault="00D45880" w:rsidP="009E613B">
      <w:pPr>
        <w:spacing w:line="360" w:lineRule="auto"/>
        <w:jc w:val="right"/>
        <w:rPr>
          <w:rFonts w:ascii="Arial" w:hAnsi="Arial" w:cs="Arial"/>
          <w:color w:val="auto"/>
          <w:sz w:val="24"/>
          <w:szCs w:val="24"/>
        </w:rPr>
      </w:pPr>
      <w:r>
        <w:rPr>
          <w:rFonts w:ascii="Arial" w:hAnsi="Arial" w:cs="Arial"/>
          <w:color w:val="auto"/>
          <w:sz w:val="24"/>
          <w:szCs w:val="24"/>
        </w:rPr>
        <w:t>Source: (</w:t>
      </w:r>
      <w:r w:rsidR="009E613B">
        <w:rPr>
          <w:rFonts w:ascii="Arial" w:hAnsi="Arial" w:cs="Arial"/>
          <w:color w:val="auto"/>
          <w:sz w:val="24"/>
          <w:szCs w:val="24"/>
        </w:rPr>
        <w:t>Royal Mail</w:t>
      </w:r>
      <w:r>
        <w:rPr>
          <w:rFonts w:ascii="Arial" w:hAnsi="Arial" w:cs="Arial"/>
          <w:color w:val="auto"/>
          <w:sz w:val="24"/>
          <w:szCs w:val="24"/>
        </w:rPr>
        <w:t xml:space="preserve">, </w:t>
      </w:r>
      <w:r w:rsidR="009E613B">
        <w:rPr>
          <w:rFonts w:ascii="Arial" w:hAnsi="Arial" w:cs="Arial"/>
          <w:color w:val="auto"/>
          <w:sz w:val="24"/>
          <w:szCs w:val="24"/>
        </w:rPr>
        <w:t>2025)</w:t>
      </w:r>
    </w:p>
    <w:p w14:paraId="2FB54088" w14:textId="090B590D" w:rsidR="00FE67FC" w:rsidRDefault="00637BEE" w:rsidP="005A28EB">
      <w:pPr>
        <w:spacing w:line="360" w:lineRule="auto"/>
        <w:jc w:val="both"/>
        <w:rPr>
          <w:rFonts w:ascii="Arial" w:hAnsi="Arial" w:cs="Arial"/>
          <w:color w:val="auto"/>
          <w:sz w:val="24"/>
          <w:szCs w:val="24"/>
        </w:rPr>
      </w:pPr>
      <w:r w:rsidRPr="00637BEE">
        <w:rPr>
          <w:rFonts w:ascii="Arial" w:hAnsi="Arial" w:cs="Arial"/>
          <w:color w:val="auto"/>
          <w:sz w:val="24"/>
          <w:szCs w:val="24"/>
        </w:rPr>
        <w:t xml:space="preserve">Figure 7 summarises Royal Mail weight and dimensional limits </w:t>
      </w:r>
      <w:r w:rsidR="00214BA7">
        <w:rPr>
          <w:rFonts w:ascii="Arial" w:hAnsi="Arial" w:cs="Arial"/>
          <w:color w:val="auto"/>
          <w:sz w:val="24"/>
          <w:szCs w:val="24"/>
        </w:rPr>
        <w:t>(</w:t>
      </w:r>
      <w:r w:rsidR="00003028">
        <w:rPr>
          <w:rFonts w:ascii="Arial" w:hAnsi="Arial" w:cs="Arial"/>
          <w:color w:val="auto"/>
          <w:sz w:val="24"/>
          <w:szCs w:val="24"/>
        </w:rPr>
        <w:t>Royal Mail, 2025).</w:t>
      </w:r>
      <w:r w:rsidR="00645988">
        <w:rPr>
          <w:rFonts w:ascii="Arial" w:hAnsi="Arial" w:cs="Arial"/>
          <w:color w:val="auto"/>
          <w:sz w:val="24"/>
          <w:szCs w:val="24"/>
        </w:rPr>
        <w:t xml:space="preserve"> </w:t>
      </w:r>
      <w:r w:rsidR="00645988" w:rsidRPr="00645988">
        <w:rPr>
          <w:rFonts w:ascii="Arial" w:hAnsi="Arial" w:cs="Arial"/>
          <w:color w:val="auto"/>
          <w:sz w:val="24"/>
          <w:szCs w:val="24"/>
        </w:rPr>
        <w:t xml:space="preserve">Analysis of current plastic pouch dimensions indicates that several pack types exceed Letter thickness limits, resulting in classification as Large Letter or Small Parcel. </w:t>
      </w:r>
      <w:r w:rsidR="005E7EC5">
        <w:rPr>
          <w:rFonts w:ascii="Arial" w:hAnsi="Arial" w:cs="Arial"/>
          <w:color w:val="auto"/>
          <w:sz w:val="24"/>
          <w:szCs w:val="24"/>
        </w:rPr>
        <w:t xml:space="preserve">The </w:t>
      </w:r>
      <w:r w:rsidR="00645988" w:rsidRPr="00645988">
        <w:rPr>
          <w:rFonts w:ascii="Arial" w:hAnsi="Arial" w:cs="Arial"/>
          <w:color w:val="auto"/>
          <w:sz w:val="24"/>
          <w:szCs w:val="24"/>
        </w:rPr>
        <w:t xml:space="preserve">paper envelopes </w:t>
      </w:r>
      <w:r w:rsidR="00550972">
        <w:rPr>
          <w:rFonts w:ascii="Arial" w:hAnsi="Arial" w:cs="Arial"/>
          <w:color w:val="auto"/>
          <w:sz w:val="24"/>
          <w:szCs w:val="24"/>
        </w:rPr>
        <w:t xml:space="preserve">are more likely to meet </w:t>
      </w:r>
      <w:r w:rsidR="00645988" w:rsidRPr="00645988">
        <w:rPr>
          <w:rFonts w:ascii="Arial" w:hAnsi="Arial" w:cs="Arial"/>
          <w:color w:val="auto"/>
          <w:sz w:val="24"/>
          <w:szCs w:val="24"/>
        </w:rPr>
        <w:t>lower-cost Letter or Large Letter categories.</w:t>
      </w:r>
      <w:r w:rsidR="001818BA">
        <w:rPr>
          <w:rFonts w:ascii="Arial" w:hAnsi="Arial" w:cs="Arial"/>
          <w:color w:val="auto"/>
          <w:sz w:val="24"/>
          <w:szCs w:val="24"/>
        </w:rPr>
        <w:t xml:space="preserve"> The Royal </w:t>
      </w:r>
      <w:r w:rsidR="005F2946">
        <w:rPr>
          <w:rFonts w:ascii="Arial" w:hAnsi="Arial" w:cs="Arial"/>
          <w:color w:val="auto"/>
          <w:sz w:val="24"/>
          <w:szCs w:val="24"/>
        </w:rPr>
        <w:t>Mail</w:t>
      </w:r>
      <w:r w:rsidR="001818BA">
        <w:rPr>
          <w:rFonts w:ascii="Arial" w:hAnsi="Arial" w:cs="Arial"/>
          <w:color w:val="auto"/>
          <w:sz w:val="24"/>
          <w:szCs w:val="24"/>
        </w:rPr>
        <w:t xml:space="preserve"> prices can be seen in Table 6</w:t>
      </w:r>
      <w:r w:rsidR="002202A3">
        <w:rPr>
          <w:rFonts w:ascii="Arial" w:hAnsi="Arial" w:cs="Arial"/>
          <w:color w:val="auto"/>
          <w:sz w:val="24"/>
          <w:szCs w:val="24"/>
        </w:rPr>
        <w:t xml:space="preserve">, </w:t>
      </w:r>
      <w:r w:rsidR="000127B1">
        <w:rPr>
          <w:rFonts w:ascii="Arial" w:hAnsi="Arial" w:cs="Arial"/>
          <w:color w:val="auto"/>
          <w:sz w:val="24"/>
          <w:szCs w:val="24"/>
        </w:rPr>
        <w:t>which</w:t>
      </w:r>
      <w:r w:rsidR="007B260F" w:rsidRPr="007B260F">
        <w:rPr>
          <w:rFonts w:ascii="Arial" w:hAnsi="Arial" w:cs="Arial"/>
          <w:color w:val="auto"/>
          <w:sz w:val="24"/>
          <w:szCs w:val="24"/>
        </w:rPr>
        <w:t xml:space="preserve"> generates estimated postage savings of approximately £0.11 </w:t>
      </w:r>
      <w:r w:rsidR="0036547E">
        <w:rPr>
          <w:rFonts w:ascii="Arial" w:hAnsi="Arial" w:cs="Arial"/>
          <w:color w:val="auto"/>
          <w:sz w:val="24"/>
          <w:szCs w:val="24"/>
        </w:rPr>
        <w:t>(</w:t>
      </w:r>
      <w:r w:rsidR="007B260F" w:rsidRPr="007B260F">
        <w:rPr>
          <w:rFonts w:ascii="Arial" w:hAnsi="Arial" w:cs="Arial"/>
          <w:color w:val="auto"/>
          <w:sz w:val="24"/>
          <w:szCs w:val="24"/>
        </w:rPr>
        <w:t>£6,325 annually</w:t>
      </w:r>
      <w:r w:rsidR="0036547E">
        <w:rPr>
          <w:rFonts w:ascii="Arial" w:hAnsi="Arial" w:cs="Arial"/>
          <w:color w:val="auto"/>
          <w:sz w:val="24"/>
          <w:szCs w:val="24"/>
        </w:rPr>
        <w:t>)</w:t>
      </w:r>
      <w:r w:rsidR="007B260F" w:rsidRPr="007B260F">
        <w:rPr>
          <w:rFonts w:ascii="Arial" w:hAnsi="Arial" w:cs="Arial"/>
          <w:color w:val="auto"/>
          <w:sz w:val="24"/>
          <w:szCs w:val="24"/>
        </w:rPr>
        <w:t>.</w:t>
      </w:r>
    </w:p>
    <w:p w14:paraId="2DA725D1" w14:textId="77777777" w:rsidR="00286EAA" w:rsidRDefault="00B93429" w:rsidP="000901D6">
      <w:pPr>
        <w:spacing w:line="360" w:lineRule="auto"/>
        <w:rPr>
          <w:rFonts w:ascii="Arial" w:hAnsi="Arial" w:cs="Arial"/>
          <w:color w:val="auto"/>
          <w:sz w:val="24"/>
          <w:szCs w:val="24"/>
        </w:rPr>
      </w:pPr>
      <w:r>
        <w:rPr>
          <w:rFonts w:ascii="Arial" w:hAnsi="Arial" w:cs="Arial"/>
          <w:color w:val="auto"/>
          <w:sz w:val="24"/>
          <w:szCs w:val="24"/>
        </w:rPr>
        <w:t xml:space="preserve">Figure 8. </w:t>
      </w:r>
      <w:r w:rsidR="00286EAA" w:rsidRPr="00286EAA">
        <w:rPr>
          <w:rFonts w:ascii="Arial" w:hAnsi="Arial" w:cs="Arial"/>
          <w:color w:val="auto"/>
          <w:sz w:val="24"/>
          <w:szCs w:val="24"/>
        </w:rPr>
        <w:t xml:space="preserve">Summary of </w:t>
      </w:r>
      <w:r w:rsidR="00286EAA">
        <w:rPr>
          <w:rFonts w:ascii="Arial" w:hAnsi="Arial" w:cs="Arial"/>
          <w:color w:val="auto"/>
          <w:sz w:val="24"/>
          <w:szCs w:val="24"/>
        </w:rPr>
        <w:t>p</w:t>
      </w:r>
      <w:r w:rsidR="00286EAA" w:rsidRPr="00286EAA">
        <w:rPr>
          <w:rFonts w:ascii="Arial" w:hAnsi="Arial" w:cs="Arial"/>
          <w:color w:val="auto"/>
          <w:sz w:val="24"/>
          <w:szCs w:val="24"/>
        </w:rPr>
        <w:t xml:space="preserve">ilot </w:t>
      </w:r>
      <w:r w:rsidR="00286EAA">
        <w:rPr>
          <w:rFonts w:ascii="Arial" w:hAnsi="Arial" w:cs="Arial"/>
          <w:color w:val="auto"/>
          <w:sz w:val="24"/>
          <w:szCs w:val="24"/>
        </w:rPr>
        <w:t>s</w:t>
      </w:r>
      <w:r w:rsidR="00286EAA" w:rsidRPr="00286EAA">
        <w:rPr>
          <w:rFonts w:ascii="Arial" w:hAnsi="Arial" w:cs="Arial"/>
          <w:color w:val="auto"/>
          <w:sz w:val="24"/>
          <w:szCs w:val="24"/>
        </w:rPr>
        <w:t xml:space="preserve">ession </w:t>
      </w:r>
      <w:r w:rsidR="00286EAA">
        <w:rPr>
          <w:rFonts w:ascii="Arial" w:hAnsi="Arial" w:cs="Arial"/>
          <w:color w:val="auto"/>
          <w:sz w:val="24"/>
          <w:szCs w:val="24"/>
        </w:rPr>
        <w:t>f</w:t>
      </w:r>
      <w:r w:rsidR="00286EAA" w:rsidRPr="00286EAA">
        <w:rPr>
          <w:rFonts w:ascii="Arial" w:hAnsi="Arial" w:cs="Arial"/>
          <w:color w:val="auto"/>
          <w:sz w:val="24"/>
          <w:szCs w:val="24"/>
        </w:rPr>
        <w:t>eedback</w:t>
      </w:r>
      <w:r w:rsidR="00286EAA">
        <w:rPr>
          <w:rFonts w:ascii="Arial" w:hAnsi="Arial" w:cs="Arial"/>
          <w:color w:val="auto"/>
          <w:sz w:val="24"/>
          <w:szCs w:val="24"/>
        </w:rPr>
        <w:t>.</w:t>
      </w:r>
    </w:p>
    <w:tbl>
      <w:tblPr>
        <w:tblW w:w="6374" w:type="dxa"/>
        <w:tblLook w:val="04A0" w:firstRow="1" w:lastRow="0" w:firstColumn="1" w:lastColumn="0" w:noHBand="0" w:noVBand="1"/>
      </w:tblPr>
      <w:tblGrid>
        <w:gridCol w:w="1410"/>
        <w:gridCol w:w="2380"/>
        <w:gridCol w:w="2584"/>
      </w:tblGrid>
      <w:tr w:rsidR="00EC0E44" w:rsidRPr="00EC0E44" w14:paraId="4E3CB2A7" w14:textId="77777777" w:rsidTr="00EC0E44">
        <w:trPr>
          <w:trHeight w:val="300"/>
        </w:trPr>
        <w:tc>
          <w:tcPr>
            <w:tcW w:w="1410"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7A0F6C85"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Theme</w:t>
            </w:r>
          </w:p>
        </w:tc>
        <w:tc>
          <w:tcPr>
            <w:tcW w:w="2380" w:type="dxa"/>
            <w:tcBorders>
              <w:top w:val="single" w:sz="4" w:space="0" w:color="auto"/>
              <w:left w:val="nil"/>
              <w:bottom w:val="single" w:sz="4" w:space="0" w:color="auto"/>
              <w:right w:val="single" w:sz="4" w:space="0" w:color="auto"/>
            </w:tcBorders>
            <w:shd w:val="clear" w:color="000000" w:fill="AEAAAA"/>
            <w:noWrap/>
            <w:vAlign w:val="bottom"/>
            <w:hideMark/>
          </w:tcPr>
          <w:p w14:paraId="3CC32CD8"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Positive Feedback</w:t>
            </w:r>
          </w:p>
        </w:tc>
        <w:tc>
          <w:tcPr>
            <w:tcW w:w="2584" w:type="dxa"/>
            <w:tcBorders>
              <w:top w:val="single" w:sz="4" w:space="0" w:color="auto"/>
              <w:left w:val="nil"/>
              <w:bottom w:val="single" w:sz="4" w:space="0" w:color="auto"/>
              <w:right w:val="single" w:sz="4" w:space="0" w:color="auto"/>
            </w:tcBorders>
            <w:shd w:val="clear" w:color="000000" w:fill="AEAAAA"/>
            <w:noWrap/>
            <w:vAlign w:val="bottom"/>
            <w:hideMark/>
          </w:tcPr>
          <w:p w14:paraId="269C1E22"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Concerns</w:t>
            </w:r>
          </w:p>
        </w:tc>
      </w:tr>
      <w:tr w:rsidR="00EC0E44" w:rsidRPr="00EC0E44" w14:paraId="38D709D6"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099E8245"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Ease of Use</w:t>
            </w:r>
          </w:p>
        </w:tc>
        <w:tc>
          <w:tcPr>
            <w:tcW w:w="2380" w:type="dxa"/>
            <w:tcBorders>
              <w:top w:val="nil"/>
              <w:left w:val="nil"/>
              <w:bottom w:val="single" w:sz="4" w:space="0" w:color="auto"/>
              <w:right w:val="single" w:sz="4" w:space="0" w:color="auto"/>
            </w:tcBorders>
            <w:noWrap/>
            <w:vAlign w:val="bottom"/>
            <w:hideMark/>
          </w:tcPr>
          <w:p w14:paraId="20F83D20"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Easy to open and seal</w:t>
            </w:r>
          </w:p>
        </w:tc>
        <w:tc>
          <w:tcPr>
            <w:tcW w:w="2584" w:type="dxa"/>
            <w:tcBorders>
              <w:top w:val="nil"/>
              <w:left w:val="nil"/>
              <w:bottom w:val="single" w:sz="4" w:space="0" w:color="auto"/>
              <w:right w:val="single" w:sz="4" w:space="0" w:color="auto"/>
            </w:tcBorders>
            <w:noWrap/>
            <w:vAlign w:val="bottom"/>
            <w:hideMark/>
          </w:tcPr>
          <w:p w14:paraId="6E4DC6F8"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Less flexible</w:t>
            </w:r>
          </w:p>
        </w:tc>
      </w:tr>
      <w:tr w:rsidR="00EC0E44" w:rsidRPr="00EC0E44" w14:paraId="698BFAEF"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2CA12664"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Quality</w:t>
            </w:r>
          </w:p>
        </w:tc>
        <w:tc>
          <w:tcPr>
            <w:tcW w:w="2380" w:type="dxa"/>
            <w:tcBorders>
              <w:top w:val="nil"/>
              <w:left w:val="nil"/>
              <w:bottom w:val="single" w:sz="4" w:space="0" w:color="auto"/>
              <w:right w:val="single" w:sz="4" w:space="0" w:color="auto"/>
            </w:tcBorders>
            <w:noWrap/>
            <w:vAlign w:val="bottom"/>
            <w:hideMark/>
          </w:tcPr>
          <w:p w14:paraId="3D4AA764"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Stronger material</w:t>
            </w:r>
          </w:p>
        </w:tc>
        <w:tc>
          <w:tcPr>
            <w:tcW w:w="2584" w:type="dxa"/>
            <w:tcBorders>
              <w:top w:val="nil"/>
              <w:left w:val="nil"/>
              <w:bottom w:val="single" w:sz="4" w:space="0" w:color="auto"/>
              <w:right w:val="single" w:sz="4" w:space="0" w:color="auto"/>
            </w:tcBorders>
            <w:noWrap/>
            <w:vAlign w:val="bottom"/>
            <w:hideMark/>
          </w:tcPr>
          <w:p w14:paraId="740471B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Elastic durability</w:t>
            </w:r>
          </w:p>
        </w:tc>
      </w:tr>
      <w:tr w:rsidR="00EC0E44" w:rsidRPr="00EC0E44" w14:paraId="0853472A"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3A268129"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Efficiency</w:t>
            </w:r>
          </w:p>
        </w:tc>
        <w:tc>
          <w:tcPr>
            <w:tcW w:w="2380" w:type="dxa"/>
            <w:tcBorders>
              <w:top w:val="nil"/>
              <w:left w:val="nil"/>
              <w:bottom w:val="single" w:sz="4" w:space="0" w:color="auto"/>
              <w:right w:val="single" w:sz="4" w:space="0" w:color="auto"/>
            </w:tcBorders>
            <w:noWrap/>
            <w:vAlign w:val="bottom"/>
            <w:hideMark/>
          </w:tcPr>
          <w:p w14:paraId="7235CFA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Faster packing potential</w:t>
            </w:r>
          </w:p>
        </w:tc>
        <w:tc>
          <w:tcPr>
            <w:tcW w:w="2584" w:type="dxa"/>
            <w:tcBorders>
              <w:top w:val="nil"/>
              <w:left w:val="nil"/>
              <w:bottom w:val="single" w:sz="4" w:space="0" w:color="auto"/>
              <w:right w:val="single" w:sz="4" w:space="0" w:color="auto"/>
            </w:tcBorders>
            <w:noWrap/>
            <w:vAlign w:val="bottom"/>
            <w:hideMark/>
          </w:tcPr>
          <w:p w14:paraId="156CC1C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Storage adaptation</w:t>
            </w:r>
          </w:p>
        </w:tc>
      </w:tr>
      <w:tr w:rsidR="00EC0E44" w:rsidRPr="00EC0E44" w14:paraId="2CE11BFA" w14:textId="77777777" w:rsidTr="00EC0E44">
        <w:trPr>
          <w:trHeight w:val="266"/>
        </w:trPr>
        <w:tc>
          <w:tcPr>
            <w:tcW w:w="1410" w:type="dxa"/>
            <w:tcBorders>
              <w:top w:val="nil"/>
              <w:left w:val="single" w:sz="4" w:space="0" w:color="auto"/>
              <w:bottom w:val="single" w:sz="4" w:space="0" w:color="auto"/>
              <w:right w:val="single" w:sz="4" w:space="0" w:color="auto"/>
            </w:tcBorders>
            <w:noWrap/>
            <w:vAlign w:val="bottom"/>
            <w:hideMark/>
          </w:tcPr>
          <w:p w14:paraId="7DDDD57E"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Sustainability</w:t>
            </w:r>
          </w:p>
        </w:tc>
        <w:tc>
          <w:tcPr>
            <w:tcW w:w="2380" w:type="dxa"/>
            <w:tcBorders>
              <w:top w:val="nil"/>
              <w:left w:val="nil"/>
              <w:bottom w:val="single" w:sz="4" w:space="0" w:color="auto"/>
              <w:right w:val="single" w:sz="4" w:space="0" w:color="auto"/>
            </w:tcBorders>
            <w:noWrap/>
            <w:vAlign w:val="bottom"/>
            <w:hideMark/>
          </w:tcPr>
          <w:p w14:paraId="42544EAA"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More eco-friendly</w:t>
            </w:r>
          </w:p>
        </w:tc>
        <w:tc>
          <w:tcPr>
            <w:tcW w:w="2584" w:type="dxa"/>
            <w:tcBorders>
              <w:top w:val="nil"/>
              <w:left w:val="nil"/>
              <w:bottom w:val="single" w:sz="4" w:space="0" w:color="auto"/>
              <w:right w:val="single" w:sz="4" w:space="0" w:color="auto"/>
            </w:tcBorders>
            <w:noWrap/>
            <w:vAlign w:val="bottom"/>
            <w:hideMark/>
          </w:tcPr>
          <w:p w14:paraId="375AAE65"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Elastic bands impact</w:t>
            </w:r>
          </w:p>
        </w:tc>
      </w:tr>
    </w:tbl>
    <w:p w14:paraId="066A0BA5" w14:textId="0C24F480" w:rsidR="003E29EC" w:rsidRDefault="00204688" w:rsidP="00AF4C93">
      <w:pPr>
        <w:spacing w:line="360" w:lineRule="auto"/>
        <w:jc w:val="both"/>
        <w:rPr>
          <w:rFonts w:ascii="Arial" w:hAnsi="Arial" w:cs="Arial"/>
          <w:sz w:val="24"/>
          <w:szCs w:val="24"/>
        </w:rPr>
      </w:pPr>
      <w:r w:rsidRPr="000E74C4">
        <w:rPr>
          <w:rFonts w:ascii="Arial" w:hAnsi="Arial" w:cs="Arial"/>
          <w:color w:val="auto"/>
          <w:sz w:val="24"/>
          <w:szCs w:val="24"/>
        </w:rPr>
        <w:t xml:space="preserve">Figure 8 </w:t>
      </w:r>
      <w:r w:rsidR="0066434B" w:rsidRPr="000E74C4">
        <w:rPr>
          <w:rFonts w:ascii="Arial" w:hAnsi="Arial" w:cs="Arial"/>
          <w:color w:val="auto"/>
          <w:sz w:val="24"/>
          <w:szCs w:val="24"/>
        </w:rPr>
        <w:t>is</w:t>
      </w:r>
      <w:r w:rsidR="00C35E6C" w:rsidRPr="000E74C4">
        <w:rPr>
          <w:rFonts w:ascii="Arial" w:hAnsi="Arial" w:cs="Arial"/>
          <w:color w:val="auto"/>
          <w:sz w:val="24"/>
          <w:szCs w:val="24"/>
        </w:rPr>
        <w:t xml:space="preserve"> the summary providing the key findings from the pilot </w:t>
      </w:r>
      <w:r w:rsidR="0066434B" w:rsidRPr="000E74C4">
        <w:rPr>
          <w:rFonts w:ascii="Arial" w:hAnsi="Arial" w:cs="Arial"/>
          <w:color w:val="auto"/>
          <w:sz w:val="24"/>
          <w:szCs w:val="24"/>
        </w:rPr>
        <w:t>session</w:t>
      </w:r>
      <w:r w:rsidR="00027814">
        <w:rPr>
          <w:rFonts w:ascii="Arial" w:hAnsi="Arial" w:cs="Arial"/>
          <w:color w:val="auto"/>
          <w:sz w:val="24"/>
          <w:szCs w:val="24"/>
        </w:rPr>
        <w:t xml:space="preserve">, </w:t>
      </w:r>
      <w:r w:rsidR="00423BF0" w:rsidRPr="000E74C4">
        <w:rPr>
          <w:rFonts w:ascii="Arial" w:hAnsi="Arial" w:cs="Arial"/>
          <w:color w:val="auto"/>
          <w:sz w:val="24"/>
          <w:szCs w:val="24"/>
        </w:rPr>
        <w:t>which</w:t>
      </w:r>
      <w:r w:rsidR="0066434B" w:rsidRPr="000E74C4">
        <w:rPr>
          <w:rFonts w:ascii="Arial" w:hAnsi="Arial" w:cs="Arial"/>
          <w:color w:val="auto"/>
          <w:sz w:val="24"/>
          <w:szCs w:val="24"/>
        </w:rPr>
        <w:t xml:space="preserve"> indicates that the proposed paper-based envelopes were generally well received. Participants reported that the packs were easy to open and seal, and the material </w:t>
      </w:r>
      <w:r w:rsidR="00EA21FC" w:rsidRPr="000E74C4">
        <w:rPr>
          <w:rFonts w:ascii="Arial" w:hAnsi="Arial" w:cs="Arial"/>
          <w:color w:val="auto"/>
          <w:sz w:val="24"/>
          <w:szCs w:val="24"/>
        </w:rPr>
        <w:t>felt</w:t>
      </w:r>
      <w:r w:rsidR="0066434B" w:rsidRPr="000E74C4">
        <w:rPr>
          <w:rFonts w:ascii="Arial" w:hAnsi="Arial" w:cs="Arial"/>
          <w:color w:val="auto"/>
          <w:sz w:val="24"/>
          <w:szCs w:val="24"/>
        </w:rPr>
        <w:t xml:space="preserve"> stronger and better quality compared to the previous plastic bags. The solution was also considered more environmentally friendly.</w:t>
      </w:r>
      <w:r w:rsidR="000E74C4" w:rsidRPr="000E74C4">
        <w:rPr>
          <w:rFonts w:ascii="Arial" w:hAnsi="Arial" w:cs="Arial"/>
          <w:sz w:val="24"/>
          <w:szCs w:val="24"/>
        </w:rPr>
        <w:t xml:space="preserve"> </w:t>
      </w:r>
    </w:p>
    <w:p w14:paraId="5675C809" w14:textId="60A1B0FF" w:rsidR="00FC06B7" w:rsidRDefault="00DC55BF" w:rsidP="00AF4C93">
      <w:pPr>
        <w:spacing w:line="360" w:lineRule="auto"/>
        <w:jc w:val="both"/>
        <w:rPr>
          <w:rFonts w:ascii="Arial" w:hAnsi="Arial"/>
          <w:color w:val="auto"/>
          <w:sz w:val="24"/>
          <w:szCs w:val="24"/>
        </w:rPr>
      </w:pPr>
      <w:r>
        <w:rPr>
          <w:rFonts w:ascii="Arial" w:hAnsi="Arial"/>
          <w:color w:val="auto"/>
          <w:sz w:val="24"/>
          <w:szCs w:val="24"/>
        </w:rPr>
        <w:t xml:space="preserve">Some </w:t>
      </w:r>
      <w:r w:rsidR="00FC06B7" w:rsidRPr="00FC06B7">
        <w:rPr>
          <w:rFonts w:ascii="Arial" w:hAnsi="Arial"/>
          <w:color w:val="auto"/>
          <w:sz w:val="24"/>
          <w:szCs w:val="24"/>
        </w:rPr>
        <w:t>concerns were raised regarding reduced flexibility compared to plastic pouches, which may affect storage capacity and packing efficiency during the transition period. Minor concerns were also noted regarding the durability of elastic bands.</w:t>
      </w:r>
    </w:p>
    <w:p w14:paraId="48B2BD23" w14:textId="77777777" w:rsidR="00AF4C93" w:rsidRDefault="00FC06B7" w:rsidP="00AF4C93">
      <w:pPr>
        <w:spacing w:line="360" w:lineRule="auto"/>
        <w:jc w:val="both"/>
        <w:rPr>
          <w:rFonts w:ascii="Arial" w:hAnsi="Arial" w:cs="Arial"/>
          <w:color w:val="auto"/>
          <w:sz w:val="24"/>
          <w:szCs w:val="24"/>
        </w:rPr>
      </w:pPr>
      <w:r w:rsidRPr="00FC06B7">
        <w:rPr>
          <w:rFonts w:ascii="Arial" w:hAnsi="Arial" w:cs="Arial"/>
          <w:color w:val="auto"/>
          <w:sz w:val="24"/>
          <w:szCs w:val="24"/>
        </w:rPr>
        <w:t xml:space="preserve">Overall, the pilot findings suggest that the new packaging solution is operationally </w:t>
      </w:r>
      <w:r w:rsidR="005370BB" w:rsidRPr="00FC06B7">
        <w:rPr>
          <w:rFonts w:ascii="Arial" w:hAnsi="Arial" w:cs="Arial"/>
          <w:color w:val="auto"/>
          <w:sz w:val="24"/>
          <w:szCs w:val="24"/>
        </w:rPr>
        <w:t>possible</w:t>
      </w:r>
      <w:r w:rsidRPr="00FC06B7">
        <w:rPr>
          <w:rFonts w:ascii="Arial" w:hAnsi="Arial" w:cs="Arial"/>
          <w:color w:val="auto"/>
          <w:sz w:val="24"/>
          <w:szCs w:val="24"/>
        </w:rPr>
        <w:t xml:space="preserve">, with manageable implementation considerations. Full </w:t>
      </w:r>
      <w:r w:rsidR="00E25AD5">
        <w:rPr>
          <w:rFonts w:ascii="Arial" w:hAnsi="Arial" w:cs="Arial"/>
          <w:color w:val="auto"/>
          <w:sz w:val="24"/>
          <w:szCs w:val="24"/>
        </w:rPr>
        <w:t>pilot</w:t>
      </w:r>
      <w:r w:rsidRPr="00FC06B7">
        <w:rPr>
          <w:rFonts w:ascii="Arial" w:hAnsi="Arial" w:cs="Arial"/>
          <w:color w:val="auto"/>
          <w:sz w:val="24"/>
          <w:szCs w:val="24"/>
        </w:rPr>
        <w:t xml:space="preserve"> responses are </w:t>
      </w:r>
      <w:r>
        <w:rPr>
          <w:rFonts w:ascii="Arial" w:hAnsi="Arial" w:cs="Arial"/>
          <w:color w:val="auto"/>
          <w:sz w:val="24"/>
          <w:szCs w:val="24"/>
        </w:rPr>
        <w:t>provided</w:t>
      </w:r>
      <w:r>
        <w:rPr>
          <w:rFonts w:ascii="Arial" w:hAnsi="Arial"/>
          <w:color w:val="auto"/>
          <w:sz w:val="24"/>
          <w:szCs w:val="24"/>
        </w:rPr>
        <w:t xml:space="preserve"> </w:t>
      </w:r>
      <w:r w:rsidR="003101D1" w:rsidRPr="000E74C4">
        <w:rPr>
          <w:rFonts w:ascii="Arial" w:hAnsi="Arial" w:cs="Arial"/>
          <w:color w:val="auto"/>
          <w:sz w:val="24"/>
          <w:szCs w:val="24"/>
        </w:rPr>
        <w:t>in Table 7</w:t>
      </w:r>
      <w:r w:rsidR="005D2574" w:rsidRPr="000E74C4">
        <w:rPr>
          <w:rFonts w:ascii="Arial" w:hAnsi="Arial" w:cs="Arial"/>
          <w:color w:val="auto"/>
          <w:sz w:val="24"/>
          <w:szCs w:val="24"/>
        </w:rPr>
        <w:t>, Table 8 and Table 9.</w:t>
      </w:r>
      <w:r w:rsidR="009C2D19">
        <w:rPr>
          <w:rFonts w:ascii="Arial" w:hAnsi="Arial" w:cs="Arial"/>
          <w:color w:val="auto"/>
          <w:sz w:val="24"/>
          <w:szCs w:val="24"/>
        </w:rPr>
        <w:t xml:space="preserve"> </w:t>
      </w:r>
    </w:p>
    <w:p w14:paraId="2AE1FC80" w14:textId="3C3E9A50" w:rsidR="00154123" w:rsidRDefault="00AF4C93" w:rsidP="00AF4C93">
      <w:pPr>
        <w:spacing w:line="360" w:lineRule="auto"/>
        <w:jc w:val="both"/>
        <w:rPr>
          <w:rFonts w:ascii="Arial" w:hAnsi="Arial" w:cs="Arial"/>
          <w:color w:val="auto"/>
          <w:sz w:val="24"/>
          <w:szCs w:val="24"/>
        </w:rPr>
      </w:pPr>
      <w:r w:rsidRPr="00AF4C93">
        <w:rPr>
          <w:rFonts w:ascii="Arial" w:hAnsi="Arial" w:cs="Arial"/>
          <w:color w:val="auto"/>
          <w:sz w:val="24"/>
          <w:szCs w:val="24"/>
        </w:rPr>
        <w:t>The findings suggest that packaging redesign can deliver cost savings while supporting sustainability goals.</w:t>
      </w:r>
    </w:p>
    <w:p w14:paraId="7690F660" w14:textId="50F1EAF6" w:rsidR="00372CC3" w:rsidRPr="00AE264A" w:rsidRDefault="00154123" w:rsidP="001D10DD">
      <w:pPr>
        <w:pStyle w:val="Heading2"/>
        <w:rPr>
          <w:rFonts w:ascii="Arial" w:hAnsi="Arial"/>
          <w:sz w:val="28"/>
          <w:szCs w:val="28"/>
        </w:rPr>
      </w:pPr>
      <w:bookmarkStart w:id="15" w:name="_Toc223467517"/>
      <w:r w:rsidRPr="00AE264A">
        <w:rPr>
          <w:rFonts w:ascii="Arial" w:hAnsi="Arial"/>
          <w:sz w:val="28"/>
          <w:szCs w:val="28"/>
        </w:rPr>
        <w:lastRenderedPageBreak/>
        <w:t>Conclusion</w:t>
      </w:r>
      <w:bookmarkEnd w:id="15"/>
    </w:p>
    <w:p w14:paraId="0300253C" w14:textId="77777777" w:rsidR="00427CB2" w:rsidRDefault="00427CB2" w:rsidP="00FC06B7">
      <w:pPr>
        <w:spacing w:line="360" w:lineRule="auto"/>
        <w:jc w:val="both"/>
        <w:rPr>
          <w:rFonts w:ascii="Arial" w:hAnsi="Arial"/>
          <w:color w:val="auto"/>
          <w:sz w:val="24"/>
          <w:szCs w:val="24"/>
        </w:rPr>
      </w:pPr>
    </w:p>
    <w:p w14:paraId="18FB4C62" w14:textId="6073E9F6" w:rsidR="00014187" w:rsidRPr="00014187" w:rsidRDefault="00037EE6" w:rsidP="00014187">
      <w:pPr>
        <w:spacing w:line="360" w:lineRule="auto"/>
        <w:jc w:val="both"/>
        <w:rPr>
          <w:rFonts w:ascii="Arial" w:hAnsi="Arial"/>
          <w:color w:val="auto"/>
          <w:sz w:val="24"/>
          <w:szCs w:val="24"/>
        </w:rPr>
      </w:pPr>
      <w:r w:rsidRPr="00037EE6">
        <w:rPr>
          <w:rFonts w:ascii="Arial" w:hAnsi="Arial"/>
          <w:color w:val="auto"/>
          <w:sz w:val="24"/>
          <w:szCs w:val="24"/>
        </w:rPr>
        <w:t>The analysis indicates that pouch cost does not strongly influence total pack cost variation</w:t>
      </w:r>
      <w:r w:rsidR="00014187" w:rsidRPr="00014187">
        <w:rPr>
          <w:rFonts w:ascii="Arial" w:hAnsi="Arial"/>
          <w:color w:val="auto"/>
          <w:sz w:val="24"/>
          <w:szCs w:val="24"/>
        </w:rPr>
        <w:t>. However, the regression analysis (</w:t>
      </w:r>
      <w:r w:rsidR="00981587">
        <w:rPr>
          <w:rFonts w:ascii="Arial" w:hAnsi="Arial" w:cs="Arial"/>
          <w:color w:val="auto"/>
          <w:sz w:val="24"/>
          <w:szCs w:val="24"/>
        </w:rPr>
        <w:t>R2</w:t>
      </w:r>
      <w:r w:rsidR="00152364">
        <w:rPr>
          <w:rFonts w:ascii="Arial" w:hAnsi="Arial"/>
          <w:color w:val="auto"/>
          <w:sz w:val="24"/>
          <w:szCs w:val="24"/>
        </w:rPr>
        <w:t>=</w:t>
      </w:r>
      <w:r w:rsidR="00014187" w:rsidRPr="00014187">
        <w:rPr>
          <w:rFonts w:ascii="Arial" w:hAnsi="Arial"/>
          <w:color w:val="auto"/>
          <w:sz w:val="24"/>
          <w:szCs w:val="24"/>
        </w:rPr>
        <w:t>0.061) indicates that pouch unit cost explains only a small share of overall cost variation. It seems that product composition, rather than packaging alone, is the main cost driver.</w:t>
      </w:r>
    </w:p>
    <w:p w14:paraId="7BAE0CC9" w14:textId="3427AB96" w:rsidR="00014187" w:rsidRPr="00014187" w:rsidRDefault="00014187" w:rsidP="00014187">
      <w:pPr>
        <w:spacing w:line="360" w:lineRule="auto"/>
        <w:jc w:val="both"/>
        <w:rPr>
          <w:rFonts w:ascii="Arial" w:hAnsi="Arial"/>
          <w:color w:val="auto"/>
          <w:sz w:val="24"/>
          <w:szCs w:val="24"/>
        </w:rPr>
      </w:pPr>
      <w:r w:rsidRPr="00014187">
        <w:rPr>
          <w:rFonts w:ascii="Arial" w:hAnsi="Arial"/>
          <w:color w:val="auto"/>
          <w:sz w:val="24"/>
          <w:szCs w:val="24"/>
        </w:rPr>
        <w:t>Still, the unit cost comparison is difficult to ignore. Paper envelopes show potential packaging savings of 60</w:t>
      </w:r>
      <w:r w:rsidR="007863F7">
        <w:rPr>
          <w:rFonts w:ascii="Arial" w:hAnsi="Arial"/>
          <w:color w:val="auto"/>
          <w:sz w:val="24"/>
          <w:szCs w:val="24"/>
        </w:rPr>
        <w:t>-</w:t>
      </w:r>
      <w:r w:rsidRPr="00014187">
        <w:rPr>
          <w:rFonts w:ascii="Arial" w:hAnsi="Arial"/>
          <w:color w:val="auto"/>
          <w:sz w:val="24"/>
          <w:szCs w:val="24"/>
        </w:rPr>
        <w:t xml:space="preserve">77%, depending on size. When applied to annual volumes, these savings become </w:t>
      </w:r>
      <w:r w:rsidR="007643BD" w:rsidRPr="00014187">
        <w:rPr>
          <w:rFonts w:ascii="Arial" w:hAnsi="Arial"/>
          <w:color w:val="auto"/>
          <w:sz w:val="24"/>
          <w:szCs w:val="24"/>
        </w:rPr>
        <w:t>important</w:t>
      </w:r>
      <w:r w:rsidRPr="00014187">
        <w:rPr>
          <w:rFonts w:ascii="Arial" w:hAnsi="Arial"/>
          <w:color w:val="auto"/>
          <w:sz w:val="24"/>
          <w:szCs w:val="24"/>
        </w:rPr>
        <w:t>. The Royal Mail review also suggests a possible £0.11 saving per order</w:t>
      </w:r>
      <w:r w:rsidR="00A66171">
        <w:rPr>
          <w:rFonts w:ascii="Arial" w:hAnsi="Arial"/>
          <w:color w:val="auto"/>
          <w:sz w:val="24"/>
          <w:szCs w:val="24"/>
        </w:rPr>
        <w:t xml:space="preserve"> (</w:t>
      </w:r>
      <w:r w:rsidRPr="00014187">
        <w:rPr>
          <w:rFonts w:ascii="Arial" w:hAnsi="Arial"/>
          <w:color w:val="auto"/>
          <w:sz w:val="24"/>
          <w:szCs w:val="24"/>
        </w:rPr>
        <w:t>around £6,325 per year</w:t>
      </w:r>
      <w:r w:rsidR="00A66171">
        <w:rPr>
          <w:rFonts w:ascii="Arial" w:hAnsi="Arial"/>
          <w:color w:val="auto"/>
          <w:sz w:val="24"/>
          <w:szCs w:val="24"/>
        </w:rPr>
        <w:t>),</w:t>
      </w:r>
      <w:r w:rsidRPr="00014187">
        <w:rPr>
          <w:rFonts w:ascii="Arial" w:hAnsi="Arial"/>
          <w:color w:val="auto"/>
          <w:sz w:val="24"/>
          <w:szCs w:val="24"/>
        </w:rPr>
        <w:t xml:space="preserve"> which strengthens the financial case.</w:t>
      </w:r>
    </w:p>
    <w:p w14:paraId="5F2D7C45" w14:textId="77777777" w:rsidR="00014187" w:rsidRPr="00014187" w:rsidRDefault="00014187" w:rsidP="00014187">
      <w:pPr>
        <w:spacing w:line="360" w:lineRule="auto"/>
        <w:jc w:val="both"/>
        <w:rPr>
          <w:rFonts w:ascii="Arial" w:hAnsi="Arial"/>
          <w:color w:val="auto"/>
          <w:sz w:val="24"/>
          <w:szCs w:val="24"/>
        </w:rPr>
      </w:pPr>
      <w:r w:rsidRPr="00014187">
        <w:rPr>
          <w:rFonts w:ascii="Arial" w:hAnsi="Arial"/>
          <w:color w:val="auto"/>
          <w:sz w:val="24"/>
          <w:szCs w:val="24"/>
        </w:rPr>
        <w:t>Pilot feedback was largely positive, although minor adjustments would likely be needed during implementation.</w:t>
      </w:r>
    </w:p>
    <w:p w14:paraId="295F1B7D" w14:textId="62BD9414" w:rsidR="00D72DD1" w:rsidRDefault="00014187" w:rsidP="007863F7">
      <w:pPr>
        <w:spacing w:line="360" w:lineRule="auto"/>
        <w:jc w:val="both"/>
        <w:rPr>
          <w:rFonts w:ascii="Arial" w:hAnsi="Arial"/>
          <w:color w:val="auto"/>
          <w:sz w:val="24"/>
          <w:szCs w:val="24"/>
        </w:rPr>
      </w:pPr>
      <w:r w:rsidRPr="00014187">
        <w:rPr>
          <w:rFonts w:ascii="Arial" w:hAnsi="Arial"/>
          <w:color w:val="auto"/>
          <w:sz w:val="24"/>
          <w:szCs w:val="24"/>
        </w:rPr>
        <w:t xml:space="preserve">Overall, the transition appears financially justified and aligned with sustainability goals. </w:t>
      </w:r>
      <w:r w:rsidR="00E41E75">
        <w:rPr>
          <w:rFonts w:ascii="Arial" w:hAnsi="Arial"/>
          <w:color w:val="auto"/>
          <w:sz w:val="24"/>
          <w:szCs w:val="24"/>
        </w:rPr>
        <w:t>An</w:t>
      </w:r>
      <w:r w:rsidRPr="00014187">
        <w:rPr>
          <w:rFonts w:ascii="Arial" w:hAnsi="Arial"/>
          <w:color w:val="auto"/>
          <w:sz w:val="24"/>
          <w:szCs w:val="24"/>
        </w:rPr>
        <w:t xml:space="preserve"> </w:t>
      </w:r>
      <w:r w:rsidR="00DF03DB">
        <w:rPr>
          <w:rFonts w:ascii="Arial" w:hAnsi="Arial"/>
          <w:color w:val="auto"/>
          <w:sz w:val="24"/>
          <w:szCs w:val="24"/>
        </w:rPr>
        <w:t xml:space="preserve">implementation </w:t>
      </w:r>
      <w:r w:rsidRPr="00014187">
        <w:rPr>
          <w:rFonts w:ascii="Arial" w:hAnsi="Arial"/>
          <w:color w:val="auto"/>
          <w:sz w:val="24"/>
          <w:szCs w:val="24"/>
        </w:rPr>
        <w:t xml:space="preserve">with ongoing monitoring would help manage operational risk while </w:t>
      </w:r>
      <w:r w:rsidR="003F4CF2">
        <w:rPr>
          <w:rFonts w:ascii="Arial" w:hAnsi="Arial"/>
          <w:color w:val="auto"/>
          <w:sz w:val="24"/>
          <w:szCs w:val="24"/>
        </w:rPr>
        <w:t xml:space="preserve">realising </w:t>
      </w:r>
      <w:r w:rsidRPr="00014187">
        <w:rPr>
          <w:rFonts w:ascii="Arial" w:hAnsi="Arial"/>
          <w:color w:val="auto"/>
          <w:sz w:val="24"/>
          <w:szCs w:val="24"/>
        </w:rPr>
        <w:t xml:space="preserve">the </w:t>
      </w:r>
      <w:r w:rsidR="002E028F" w:rsidRPr="00014187">
        <w:rPr>
          <w:rFonts w:ascii="Arial" w:hAnsi="Arial"/>
          <w:color w:val="auto"/>
          <w:sz w:val="24"/>
          <w:szCs w:val="24"/>
        </w:rPr>
        <w:t>possible</w:t>
      </w:r>
      <w:r w:rsidRPr="00014187">
        <w:rPr>
          <w:rFonts w:ascii="Arial" w:hAnsi="Arial"/>
          <w:color w:val="auto"/>
          <w:sz w:val="24"/>
          <w:szCs w:val="24"/>
        </w:rPr>
        <w:t xml:space="preserve"> savings.</w:t>
      </w:r>
    </w:p>
    <w:p w14:paraId="79C614CF" w14:textId="77777777" w:rsidR="00D72DD1" w:rsidRDefault="00D72DD1">
      <w:pPr>
        <w:rPr>
          <w:rFonts w:ascii="Arial" w:hAnsi="Arial"/>
          <w:color w:val="auto"/>
          <w:sz w:val="24"/>
          <w:szCs w:val="24"/>
        </w:rPr>
      </w:pPr>
      <w:r>
        <w:rPr>
          <w:rFonts w:ascii="Arial" w:hAnsi="Arial"/>
          <w:color w:val="auto"/>
          <w:sz w:val="24"/>
          <w:szCs w:val="24"/>
        </w:rPr>
        <w:br w:type="page"/>
      </w:r>
    </w:p>
    <w:p w14:paraId="1D905A71" w14:textId="26570B00" w:rsidR="00154123" w:rsidRPr="00AE264A" w:rsidRDefault="00D72DD1" w:rsidP="00AE264A">
      <w:pPr>
        <w:pStyle w:val="Heading1"/>
        <w:rPr>
          <w:rFonts w:ascii="Arial" w:hAnsi="Arial"/>
          <w:sz w:val="28"/>
          <w:szCs w:val="28"/>
        </w:rPr>
      </w:pPr>
      <w:bookmarkStart w:id="16" w:name="_Toc223467518"/>
      <w:r w:rsidRPr="00AE264A">
        <w:rPr>
          <w:rFonts w:ascii="Arial" w:hAnsi="Arial"/>
          <w:sz w:val="28"/>
          <w:szCs w:val="28"/>
        </w:rPr>
        <w:lastRenderedPageBreak/>
        <w:t>Part 2</w:t>
      </w:r>
      <w:bookmarkEnd w:id="16"/>
    </w:p>
    <w:p w14:paraId="5CEC7B56" w14:textId="1B62731A" w:rsidR="00173B47" w:rsidRPr="00AE264A" w:rsidRDefault="00173B47" w:rsidP="004A53C2">
      <w:pPr>
        <w:pStyle w:val="Heading2"/>
        <w:rPr>
          <w:rFonts w:ascii="Arial" w:hAnsi="Arial"/>
          <w:sz w:val="28"/>
          <w:szCs w:val="28"/>
        </w:rPr>
      </w:pPr>
      <w:bookmarkStart w:id="17" w:name="_Toc223467519"/>
      <w:r w:rsidRPr="00AE264A">
        <w:rPr>
          <w:rFonts w:ascii="Arial" w:hAnsi="Arial"/>
          <w:sz w:val="28"/>
          <w:szCs w:val="28"/>
        </w:rPr>
        <w:t>Coloplast</w:t>
      </w:r>
      <w:r w:rsidR="00985197" w:rsidRPr="00AE264A">
        <w:rPr>
          <w:rFonts w:ascii="Arial" w:hAnsi="Arial"/>
          <w:sz w:val="28"/>
          <w:szCs w:val="28"/>
        </w:rPr>
        <w:t>’s</w:t>
      </w:r>
      <w:r w:rsidRPr="00AE264A">
        <w:rPr>
          <w:rFonts w:ascii="Arial" w:hAnsi="Arial"/>
          <w:sz w:val="28"/>
          <w:szCs w:val="28"/>
        </w:rPr>
        <w:t xml:space="preserve"> </w:t>
      </w:r>
      <w:r w:rsidR="00985197" w:rsidRPr="00AE264A">
        <w:rPr>
          <w:rFonts w:ascii="Arial" w:hAnsi="Arial"/>
          <w:sz w:val="28"/>
          <w:szCs w:val="28"/>
        </w:rPr>
        <w:t>Five-Year Financial Data Analysis (Coloplast, 2025b)</w:t>
      </w:r>
      <w:bookmarkEnd w:id="17"/>
    </w:p>
    <w:p w14:paraId="52587A2D" w14:textId="77777777" w:rsidR="00173B47" w:rsidRDefault="00173B47" w:rsidP="00F257C2">
      <w:pPr>
        <w:spacing w:line="360" w:lineRule="auto"/>
        <w:jc w:val="both"/>
        <w:rPr>
          <w:rFonts w:ascii="Arial" w:hAnsi="Arial"/>
          <w:color w:val="auto"/>
          <w:sz w:val="24"/>
          <w:szCs w:val="24"/>
        </w:rPr>
      </w:pPr>
    </w:p>
    <w:p w14:paraId="4EA6EEEB" w14:textId="4D3471D9" w:rsidR="00CE3473" w:rsidRDefault="00A8681B" w:rsidP="00F257C2">
      <w:pPr>
        <w:spacing w:line="360" w:lineRule="auto"/>
        <w:jc w:val="both"/>
        <w:rPr>
          <w:rFonts w:ascii="Arial" w:hAnsi="Arial"/>
          <w:color w:val="auto"/>
          <w:sz w:val="24"/>
          <w:szCs w:val="24"/>
        </w:rPr>
      </w:pPr>
      <w:r>
        <w:rPr>
          <w:rFonts w:ascii="Arial" w:hAnsi="Arial"/>
          <w:color w:val="auto"/>
          <w:sz w:val="24"/>
          <w:szCs w:val="24"/>
        </w:rPr>
        <w:t xml:space="preserve">Figure 9. </w:t>
      </w:r>
      <w:r w:rsidR="00837F1F" w:rsidRPr="00837F1F">
        <w:rPr>
          <w:rFonts w:ascii="Arial" w:hAnsi="Arial"/>
          <w:color w:val="auto"/>
          <w:sz w:val="24"/>
          <w:szCs w:val="24"/>
        </w:rPr>
        <w:t>Five-Year Revenue and Cost Summary (DKK million</w:t>
      </w:r>
      <w:r w:rsidR="00837F1F">
        <w:rPr>
          <w:rFonts w:ascii="Arial" w:hAnsi="Arial"/>
          <w:color w:val="auto"/>
          <w:sz w:val="24"/>
          <w:szCs w:val="24"/>
        </w:rPr>
        <w:t>).</w:t>
      </w:r>
    </w:p>
    <w:tbl>
      <w:tblPr>
        <w:tblW w:w="6860" w:type="dxa"/>
        <w:tblLook w:val="04A0" w:firstRow="1" w:lastRow="0" w:firstColumn="1" w:lastColumn="0" w:noHBand="0" w:noVBand="1"/>
      </w:tblPr>
      <w:tblGrid>
        <w:gridCol w:w="976"/>
        <w:gridCol w:w="1176"/>
        <w:gridCol w:w="976"/>
        <w:gridCol w:w="2356"/>
        <w:gridCol w:w="1376"/>
      </w:tblGrid>
      <w:tr w:rsidR="00DF4EAD" w:rsidRPr="00DF4EAD" w14:paraId="33DEE753" w14:textId="77777777" w:rsidTr="00DF4EAD">
        <w:trPr>
          <w:trHeight w:val="300"/>
        </w:trPr>
        <w:tc>
          <w:tcPr>
            <w:tcW w:w="976" w:type="dxa"/>
            <w:tcBorders>
              <w:top w:val="single" w:sz="4" w:space="0" w:color="000000"/>
              <w:left w:val="nil"/>
              <w:bottom w:val="single" w:sz="4" w:space="0" w:color="000000"/>
              <w:right w:val="nil"/>
            </w:tcBorders>
            <w:noWrap/>
            <w:vAlign w:val="bottom"/>
            <w:hideMark/>
          </w:tcPr>
          <w:p w14:paraId="788BE7F6"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Year</w:t>
            </w:r>
          </w:p>
        </w:tc>
        <w:tc>
          <w:tcPr>
            <w:tcW w:w="1176" w:type="dxa"/>
            <w:tcBorders>
              <w:top w:val="single" w:sz="4" w:space="0" w:color="000000"/>
              <w:left w:val="nil"/>
              <w:bottom w:val="single" w:sz="4" w:space="0" w:color="000000"/>
              <w:right w:val="nil"/>
            </w:tcBorders>
            <w:noWrap/>
            <w:vAlign w:val="bottom"/>
            <w:hideMark/>
          </w:tcPr>
          <w:p w14:paraId="2A4EB52A"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Revenue</w:t>
            </w:r>
          </w:p>
        </w:tc>
        <w:tc>
          <w:tcPr>
            <w:tcW w:w="976" w:type="dxa"/>
            <w:tcBorders>
              <w:top w:val="single" w:sz="4" w:space="0" w:color="000000"/>
              <w:left w:val="nil"/>
              <w:bottom w:val="single" w:sz="4" w:space="0" w:color="000000"/>
              <w:right w:val="nil"/>
            </w:tcBorders>
            <w:noWrap/>
            <w:vAlign w:val="bottom"/>
            <w:hideMark/>
          </w:tcPr>
          <w:p w14:paraId="2888DC35"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EBIT</w:t>
            </w:r>
          </w:p>
        </w:tc>
        <w:tc>
          <w:tcPr>
            <w:tcW w:w="2356" w:type="dxa"/>
            <w:tcBorders>
              <w:top w:val="single" w:sz="4" w:space="0" w:color="000000"/>
              <w:left w:val="nil"/>
              <w:bottom w:val="single" w:sz="4" w:space="0" w:color="000000"/>
              <w:right w:val="nil"/>
            </w:tcBorders>
            <w:noWrap/>
            <w:vAlign w:val="bottom"/>
            <w:hideMark/>
          </w:tcPr>
          <w:p w14:paraId="2574AFD4"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Cost (Revenue - EBIT)</w:t>
            </w:r>
          </w:p>
        </w:tc>
        <w:tc>
          <w:tcPr>
            <w:tcW w:w="1376" w:type="dxa"/>
            <w:tcBorders>
              <w:top w:val="single" w:sz="4" w:space="0" w:color="000000"/>
              <w:left w:val="nil"/>
              <w:bottom w:val="single" w:sz="4" w:space="0" w:color="000000"/>
              <w:right w:val="nil"/>
            </w:tcBorders>
            <w:noWrap/>
            <w:vAlign w:val="bottom"/>
            <w:hideMark/>
          </w:tcPr>
          <w:p w14:paraId="088A11F0"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Employees</w:t>
            </w:r>
          </w:p>
        </w:tc>
      </w:tr>
      <w:tr w:rsidR="00DF4EAD" w:rsidRPr="00DF4EAD" w14:paraId="4B131821" w14:textId="77777777" w:rsidTr="00DF4EAD">
        <w:trPr>
          <w:trHeight w:val="300"/>
        </w:trPr>
        <w:tc>
          <w:tcPr>
            <w:tcW w:w="976" w:type="dxa"/>
            <w:tcBorders>
              <w:top w:val="nil"/>
              <w:left w:val="nil"/>
              <w:bottom w:val="nil"/>
              <w:right w:val="nil"/>
            </w:tcBorders>
            <w:shd w:val="clear" w:color="D9D9D9" w:fill="D9D9D9"/>
            <w:noWrap/>
            <w:vAlign w:val="bottom"/>
            <w:hideMark/>
          </w:tcPr>
          <w:p w14:paraId="095D2B67"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2020/21</w:t>
            </w:r>
          </w:p>
        </w:tc>
        <w:tc>
          <w:tcPr>
            <w:tcW w:w="1176" w:type="dxa"/>
            <w:tcBorders>
              <w:top w:val="nil"/>
              <w:left w:val="nil"/>
              <w:bottom w:val="nil"/>
              <w:right w:val="nil"/>
            </w:tcBorders>
            <w:shd w:val="clear" w:color="D9D9D9" w:fill="D9D9D9"/>
            <w:noWrap/>
            <w:vAlign w:val="bottom"/>
            <w:hideMark/>
          </w:tcPr>
          <w:p w14:paraId="5656D67F"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19,426</w:t>
            </w:r>
          </w:p>
        </w:tc>
        <w:tc>
          <w:tcPr>
            <w:tcW w:w="976" w:type="dxa"/>
            <w:tcBorders>
              <w:top w:val="nil"/>
              <w:left w:val="nil"/>
              <w:bottom w:val="nil"/>
              <w:right w:val="nil"/>
            </w:tcBorders>
            <w:shd w:val="clear" w:color="D9D9D9" w:fill="D9D9D9"/>
            <w:noWrap/>
            <w:vAlign w:val="bottom"/>
            <w:hideMark/>
          </w:tcPr>
          <w:p w14:paraId="5C6FBC4C"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6,155</w:t>
            </w:r>
          </w:p>
        </w:tc>
        <w:tc>
          <w:tcPr>
            <w:tcW w:w="2356" w:type="dxa"/>
            <w:tcBorders>
              <w:top w:val="nil"/>
              <w:left w:val="nil"/>
              <w:bottom w:val="nil"/>
              <w:right w:val="nil"/>
            </w:tcBorders>
            <w:shd w:val="clear" w:color="D9D9D9" w:fill="D9D9D9"/>
            <w:noWrap/>
            <w:vAlign w:val="bottom"/>
            <w:hideMark/>
          </w:tcPr>
          <w:p w14:paraId="45979A9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13,271</w:t>
            </w:r>
          </w:p>
        </w:tc>
        <w:tc>
          <w:tcPr>
            <w:tcW w:w="1376" w:type="dxa"/>
            <w:tcBorders>
              <w:top w:val="nil"/>
              <w:left w:val="nil"/>
              <w:bottom w:val="nil"/>
              <w:right w:val="nil"/>
            </w:tcBorders>
            <w:shd w:val="clear" w:color="D9D9D9" w:fill="D9D9D9"/>
            <w:noWrap/>
            <w:vAlign w:val="bottom"/>
            <w:hideMark/>
          </w:tcPr>
          <w:p w14:paraId="641314D5"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12,656</w:t>
            </w:r>
          </w:p>
        </w:tc>
      </w:tr>
      <w:tr w:rsidR="00DF4EAD" w:rsidRPr="00DF4EAD" w14:paraId="0F6B8D32" w14:textId="77777777" w:rsidTr="00DF4EAD">
        <w:trPr>
          <w:trHeight w:val="300"/>
        </w:trPr>
        <w:tc>
          <w:tcPr>
            <w:tcW w:w="976" w:type="dxa"/>
            <w:tcBorders>
              <w:top w:val="nil"/>
              <w:left w:val="nil"/>
              <w:bottom w:val="nil"/>
              <w:right w:val="nil"/>
            </w:tcBorders>
            <w:noWrap/>
            <w:vAlign w:val="bottom"/>
            <w:hideMark/>
          </w:tcPr>
          <w:p w14:paraId="36918148"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2021/22</w:t>
            </w:r>
          </w:p>
        </w:tc>
        <w:tc>
          <w:tcPr>
            <w:tcW w:w="1176" w:type="dxa"/>
            <w:tcBorders>
              <w:top w:val="nil"/>
              <w:left w:val="nil"/>
              <w:bottom w:val="nil"/>
              <w:right w:val="nil"/>
            </w:tcBorders>
            <w:noWrap/>
            <w:vAlign w:val="bottom"/>
            <w:hideMark/>
          </w:tcPr>
          <w:p w14:paraId="0719721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22,579</w:t>
            </w:r>
          </w:p>
        </w:tc>
        <w:tc>
          <w:tcPr>
            <w:tcW w:w="976" w:type="dxa"/>
            <w:tcBorders>
              <w:top w:val="nil"/>
              <w:left w:val="nil"/>
              <w:bottom w:val="nil"/>
              <w:right w:val="nil"/>
            </w:tcBorders>
            <w:noWrap/>
            <w:vAlign w:val="bottom"/>
            <w:hideMark/>
          </w:tcPr>
          <w:p w14:paraId="763A820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6,439</w:t>
            </w:r>
          </w:p>
        </w:tc>
        <w:tc>
          <w:tcPr>
            <w:tcW w:w="2356" w:type="dxa"/>
            <w:tcBorders>
              <w:top w:val="nil"/>
              <w:left w:val="nil"/>
              <w:bottom w:val="nil"/>
              <w:right w:val="nil"/>
            </w:tcBorders>
            <w:noWrap/>
            <w:vAlign w:val="bottom"/>
            <w:hideMark/>
          </w:tcPr>
          <w:p w14:paraId="3D9BC7D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16,140</w:t>
            </w:r>
          </w:p>
        </w:tc>
        <w:tc>
          <w:tcPr>
            <w:tcW w:w="1376" w:type="dxa"/>
            <w:tcBorders>
              <w:top w:val="nil"/>
              <w:left w:val="nil"/>
              <w:bottom w:val="nil"/>
              <w:right w:val="nil"/>
            </w:tcBorders>
            <w:noWrap/>
            <w:vAlign w:val="bottom"/>
            <w:hideMark/>
          </w:tcPr>
          <w:p w14:paraId="1C4EA062"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13,825</w:t>
            </w:r>
          </w:p>
        </w:tc>
      </w:tr>
      <w:tr w:rsidR="00DF4EAD" w:rsidRPr="00DF4EAD" w14:paraId="79286A0C" w14:textId="77777777" w:rsidTr="00DF4EAD">
        <w:trPr>
          <w:trHeight w:val="300"/>
        </w:trPr>
        <w:tc>
          <w:tcPr>
            <w:tcW w:w="976" w:type="dxa"/>
            <w:tcBorders>
              <w:top w:val="nil"/>
              <w:left w:val="nil"/>
              <w:bottom w:val="nil"/>
              <w:right w:val="nil"/>
            </w:tcBorders>
            <w:shd w:val="clear" w:color="D9D9D9" w:fill="D9D9D9"/>
            <w:noWrap/>
            <w:vAlign w:val="bottom"/>
            <w:hideMark/>
          </w:tcPr>
          <w:p w14:paraId="2C14767B"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2022/23</w:t>
            </w:r>
          </w:p>
        </w:tc>
        <w:tc>
          <w:tcPr>
            <w:tcW w:w="1176" w:type="dxa"/>
            <w:tcBorders>
              <w:top w:val="nil"/>
              <w:left w:val="nil"/>
              <w:bottom w:val="nil"/>
              <w:right w:val="nil"/>
            </w:tcBorders>
            <w:shd w:val="clear" w:color="D9D9D9" w:fill="D9D9D9"/>
            <w:noWrap/>
            <w:vAlign w:val="bottom"/>
            <w:hideMark/>
          </w:tcPr>
          <w:p w14:paraId="281212D1"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24,500</w:t>
            </w:r>
          </w:p>
        </w:tc>
        <w:tc>
          <w:tcPr>
            <w:tcW w:w="976" w:type="dxa"/>
            <w:tcBorders>
              <w:top w:val="nil"/>
              <w:left w:val="nil"/>
              <w:bottom w:val="nil"/>
              <w:right w:val="nil"/>
            </w:tcBorders>
            <w:shd w:val="clear" w:color="D9D9D9" w:fill="D9D9D9"/>
            <w:noWrap/>
            <w:vAlign w:val="bottom"/>
            <w:hideMark/>
          </w:tcPr>
          <w:p w14:paraId="5868B65D"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6,771</w:t>
            </w:r>
          </w:p>
        </w:tc>
        <w:tc>
          <w:tcPr>
            <w:tcW w:w="2356" w:type="dxa"/>
            <w:tcBorders>
              <w:top w:val="nil"/>
              <w:left w:val="nil"/>
              <w:bottom w:val="nil"/>
              <w:right w:val="nil"/>
            </w:tcBorders>
            <w:shd w:val="clear" w:color="D9D9D9" w:fill="D9D9D9"/>
            <w:noWrap/>
            <w:vAlign w:val="bottom"/>
            <w:hideMark/>
          </w:tcPr>
          <w:p w14:paraId="4428F0D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17,729</w:t>
            </w:r>
          </w:p>
        </w:tc>
        <w:tc>
          <w:tcPr>
            <w:tcW w:w="1376" w:type="dxa"/>
            <w:tcBorders>
              <w:top w:val="nil"/>
              <w:left w:val="nil"/>
              <w:bottom w:val="nil"/>
              <w:right w:val="nil"/>
            </w:tcBorders>
            <w:shd w:val="clear" w:color="D9D9D9" w:fill="D9D9D9"/>
            <w:noWrap/>
            <w:vAlign w:val="bottom"/>
            <w:hideMark/>
          </w:tcPr>
          <w:p w14:paraId="71AC46E3"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15,069</w:t>
            </w:r>
          </w:p>
        </w:tc>
      </w:tr>
      <w:tr w:rsidR="00DF4EAD" w:rsidRPr="00DF4EAD" w14:paraId="7116B08C" w14:textId="77777777" w:rsidTr="00DF4EAD">
        <w:trPr>
          <w:trHeight w:val="300"/>
        </w:trPr>
        <w:tc>
          <w:tcPr>
            <w:tcW w:w="976" w:type="dxa"/>
            <w:tcBorders>
              <w:top w:val="nil"/>
              <w:left w:val="nil"/>
              <w:bottom w:val="nil"/>
              <w:right w:val="nil"/>
            </w:tcBorders>
            <w:noWrap/>
            <w:vAlign w:val="bottom"/>
            <w:hideMark/>
          </w:tcPr>
          <w:p w14:paraId="1E794AAB"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2023/24</w:t>
            </w:r>
          </w:p>
        </w:tc>
        <w:tc>
          <w:tcPr>
            <w:tcW w:w="1176" w:type="dxa"/>
            <w:tcBorders>
              <w:top w:val="nil"/>
              <w:left w:val="nil"/>
              <w:bottom w:val="nil"/>
              <w:right w:val="nil"/>
            </w:tcBorders>
            <w:noWrap/>
            <w:vAlign w:val="bottom"/>
            <w:hideMark/>
          </w:tcPr>
          <w:p w14:paraId="2E3242C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27,030</w:t>
            </w:r>
          </w:p>
        </w:tc>
        <w:tc>
          <w:tcPr>
            <w:tcW w:w="976" w:type="dxa"/>
            <w:tcBorders>
              <w:top w:val="nil"/>
              <w:left w:val="nil"/>
              <w:bottom w:val="nil"/>
              <w:right w:val="nil"/>
            </w:tcBorders>
            <w:noWrap/>
            <w:vAlign w:val="bottom"/>
            <w:hideMark/>
          </w:tcPr>
          <w:p w14:paraId="5938E97E"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7,320</w:t>
            </w:r>
          </w:p>
        </w:tc>
        <w:tc>
          <w:tcPr>
            <w:tcW w:w="2356" w:type="dxa"/>
            <w:tcBorders>
              <w:top w:val="nil"/>
              <w:left w:val="nil"/>
              <w:bottom w:val="nil"/>
              <w:right w:val="nil"/>
            </w:tcBorders>
            <w:noWrap/>
            <w:vAlign w:val="bottom"/>
            <w:hideMark/>
          </w:tcPr>
          <w:p w14:paraId="776263C2"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19,710</w:t>
            </w:r>
          </w:p>
        </w:tc>
        <w:tc>
          <w:tcPr>
            <w:tcW w:w="1376" w:type="dxa"/>
            <w:tcBorders>
              <w:top w:val="nil"/>
              <w:left w:val="nil"/>
              <w:bottom w:val="nil"/>
              <w:right w:val="nil"/>
            </w:tcBorders>
            <w:noWrap/>
            <w:vAlign w:val="bottom"/>
            <w:hideMark/>
          </w:tcPr>
          <w:p w14:paraId="1499F34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16,202</w:t>
            </w:r>
          </w:p>
        </w:tc>
      </w:tr>
      <w:tr w:rsidR="00DF4EAD" w:rsidRPr="00DF4EAD" w14:paraId="2A826169" w14:textId="77777777" w:rsidTr="00DF4EAD">
        <w:trPr>
          <w:trHeight w:val="300"/>
        </w:trPr>
        <w:tc>
          <w:tcPr>
            <w:tcW w:w="976" w:type="dxa"/>
            <w:tcBorders>
              <w:top w:val="nil"/>
              <w:left w:val="nil"/>
              <w:bottom w:val="single" w:sz="4" w:space="0" w:color="000000"/>
              <w:right w:val="nil"/>
            </w:tcBorders>
            <w:shd w:val="clear" w:color="D9D9D9" w:fill="D9D9D9"/>
            <w:noWrap/>
            <w:vAlign w:val="bottom"/>
            <w:hideMark/>
          </w:tcPr>
          <w:p w14:paraId="0E7FEF30"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2024/25</w:t>
            </w:r>
          </w:p>
        </w:tc>
        <w:tc>
          <w:tcPr>
            <w:tcW w:w="1176" w:type="dxa"/>
            <w:tcBorders>
              <w:top w:val="nil"/>
              <w:left w:val="nil"/>
              <w:bottom w:val="single" w:sz="4" w:space="0" w:color="000000"/>
              <w:right w:val="nil"/>
            </w:tcBorders>
            <w:shd w:val="clear" w:color="D9D9D9" w:fill="D9D9D9"/>
            <w:noWrap/>
            <w:vAlign w:val="bottom"/>
            <w:hideMark/>
          </w:tcPr>
          <w:p w14:paraId="5D07AF85"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27,874</w:t>
            </w:r>
          </w:p>
        </w:tc>
        <w:tc>
          <w:tcPr>
            <w:tcW w:w="976" w:type="dxa"/>
            <w:tcBorders>
              <w:top w:val="nil"/>
              <w:left w:val="nil"/>
              <w:bottom w:val="single" w:sz="4" w:space="0" w:color="000000"/>
              <w:right w:val="nil"/>
            </w:tcBorders>
            <w:shd w:val="clear" w:color="D9D9D9" w:fill="D9D9D9"/>
            <w:noWrap/>
            <w:vAlign w:val="bottom"/>
            <w:hideMark/>
          </w:tcPr>
          <w:p w14:paraId="0AE56C2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7,201</w:t>
            </w:r>
          </w:p>
        </w:tc>
        <w:tc>
          <w:tcPr>
            <w:tcW w:w="2356" w:type="dxa"/>
            <w:tcBorders>
              <w:top w:val="nil"/>
              <w:left w:val="nil"/>
              <w:bottom w:val="single" w:sz="4" w:space="0" w:color="000000"/>
              <w:right w:val="nil"/>
            </w:tcBorders>
            <w:shd w:val="clear" w:color="D9D9D9" w:fill="D9D9D9"/>
            <w:noWrap/>
            <w:vAlign w:val="bottom"/>
            <w:hideMark/>
          </w:tcPr>
          <w:p w14:paraId="1E7361D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20,673</w:t>
            </w:r>
          </w:p>
        </w:tc>
        <w:tc>
          <w:tcPr>
            <w:tcW w:w="1376" w:type="dxa"/>
            <w:tcBorders>
              <w:top w:val="nil"/>
              <w:left w:val="nil"/>
              <w:bottom w:val="single" w:sz="4" w:space="0" w:color="000000"/>
              <w:right w:val="nil"/>
            </w:tcBorders>
            <w:shd w:val="clear" w:color="D9D9D9" w:fill="D9D9D9"/>
            <w:noWrap/>
            <w:vAlign w:val="bottom"/>
            <w:hideMark/>
          </w:tcPr>
          <w:p w14:paraId="4B7D8C76"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16,773</w:t>
            </w:r>
          </w:p>
        </w:tc>
      </w:tr>
    </w:tbl>
    <w:p w14:paraId="02AAAC75" w14:textId="77777777" w:rsidR="001D1C9F" w:rsidRDefault="001D1C9F" w:rsidP="0066434B">
      <w:pPr>
        <w:spacing w:line="360" w:lineRule="auto"/>
        <w:jc w:val="both"/>
        <w:rPr>
          <w:rFonts w:ascii="Arial" w:hAnsi="Arial" w:cs="Arial"/>
          <w:color w:val="auto"/>
          <w:sz w:val="24"/>
          <w:szCs w:val="24"/>
        </w:rPr>
      </w:pPr>
    </w:p>
    <w:p w14:paraId="69F1BD29" w14:textId="2F89DD7D" w:rsidR="008D57C9" w:rsidRDefault="00824AFC"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10. </w:t>
      </w:r>
      <w:r w:rsidR="00F60995" w:rsidRPr="00F60995">
        <w:rPr>
          <w:rFonts w:ascii="Arial" w:hAnsi="Arial" w:cs="Arial"/>
          <w:color w:val="auto"/>
          <w:sz w:val="24"/>
          <w:szCs w:val="24"/>
        </w:rPr>
        <w:t>Descriptive Statistics</w:t>
      </w:r>
      <w:r w:rsidR="00F60995">
        <w:rPr>
          <w:rFonts w:ascii="Arial" w:hAnsi="Arial" w:cs="Arial"/>
          <w:color w:val="auto"/>
          <w:sz w:val="24"/>
          <w:szCs w:val="24"/>
        </w:rPr>
        <w:t xml:space="preserve"> –</w:t>
      </w:r>
      <w:r w:rsidR="00F60995" w:rsidRPr="00F60995">
        <w:rPr>
          <w:rFonts w:ascii="Arial" w:hAnsi="Arial" w:cs="Arial"/>
          <w:color w:val="auto"/>
          <w:sz w:val="24"/>
          <w:szCs w:val="24"/>
        </w:rPr>
        <w:t xml:space="preserve"> Revenue (DKK million)</w:t>
      </w:r>
      <w:r w:rsidR="00F4531E">
        <w:rPr>
          <w:rFonts w:ascii="Arial" w:hAnsi="Arial" w:cs="Arial"/>
          <w:color w:val="auto"/>
          <w:sz w:val="24"/>
          <w:szCs w:val="24"/>
        </w:rPr>
        <w:t>.</w:t>
      </w:r>
    </w:p>
    <w:tbl>
      <w:tblPr>
        <w:tblW w:w="6340" w:type="dxa"/>
        <w:tblLook w:val="04A0" w:firstRow="1" w:lastRow="0" w:firstColumn="1" w:lastColumn="0" w:noHBand="0" w:noVBand="1"/>
      </w:tblPr>
      <w:tblGrid>
        <w:gridCol w:w="2040"/>
        <w:gridCol w:w="4300"/>
      </w:tblGrid>
      <w:tr w:rsidR="00CA3D4F" w:rsidRPr="00CA3D4F" w14:paraId="5E381A21" w14:textId="77777777" w:rsidTr="00CA3D4F">
        <w:trPr>
          <w:trHeight w:val="300"/>
        </w:trPr>
        <w:tc>
          <w:tcPr>
            <w:tcW w:w="2040" w:type="dxa"/>
            <w:tcBorders>
              <w:top w:val="single" w:sz="4" w:space="0" w:color="auto"/>
              <w:left w:val="single" w:sz="4" w:space="0" w:color="auto"/>
              <w:bottom w:val="single" w:sz="4" w:space="0" w:color="auto"/>
              <w:right w:val="single" w:sz="4" w:space="0" w:color="auto"/>
            </w:tcBorders>
            <w:vAlign w:val="center"/>
            <w:hideMark/>
          </w:tcPr>
          <w:p w14:paraId="7197C62F" w14:textId="77777777" w:rsidR="00CA3D4F" w:rsidRPr="00CA3D4F" w:rsidRDefault="00CA3D4F" w:rsidP="00CA3D4F">
            <w:pPr>
              <w:spacing w:line="240" w:lineRule="auto"/>
              <w:jc w:val="center"/>
              <w:rPr>
                <w:rFonts w:ascii="Calibri" w:eastAsia="Times New Roman" w:hAnsi="Calibri" w:cs="Calibri"/>
                <w:b/>
                <w:bCs/>
                <w:color w:val="000000"/>
                <w:sz w:val="22"/>
                <w:szCs w:val="22"/>
                <w:lang w:eastAsia="en-GB"/>
              </w:rPr>
            </w:pPr>
            <w:r w:rsidRPr="00CA3D4F">
              <w:rPr>
                <w:rFonts w:ascii="Calibri" w:eastAsia="Times New Roman" w:hAnsi="Calibri" w:cs="Calibri"/>
                <w:b/>
                <w:bCs/>
                <w:color w:val="000000"/>
                <w:sz w:val="22"/>
                <w:szCs w:val="22"/>
                <w:lang w:eastAsia="en-GB"/>
              </w:rPr>
              <w:t>Statistic</w:t>
            </w:r>
          </w:p>
        </w:tc>
        <w:tc>
          <w:tcPr>
            <w:tcW w:w="4300" w:type="dxa"/>
            <w:tcBorders>
              <w:top w:val="single" w:sz="4" w:space="0" w:color="auto"/>
              <w:left w:val="nil"/>
              <w:bottom w:val="single" w:sz="4" w:space="0" w:color="auto"/>
              <w:right w:val="single" w:sz="4" w:space="0" w:color="auto"/>
            </w:tcBorders>
            <w:vAlign w:val="center"/>
            <w:hideMark/>
          </w:tcPr>
          <w:p w14:paraId="669ADDB3" w14:textId="77777777" w:rsidR="00CA3D4F" w:rsidRPr="00CA3D4F" w:rsidRDefault="00CA3D4F" w:rsidP="00CA3D4F">
            <w:pPr>
              <w:spacing w:line="240" w:lineRule="auto"/>
              <w:jc w:val="center"/>
              <w:rPr>
                <w:rFonts w:ascii="Calibri" w:eastAsia="Times New Roman" w:hAnsi="Calibri" w:cs="Calibri"/>
                <w:b/>
                <w:bCs/>
                <w:color w:val="000000"/>
                <w:sz w:val="22"/>
                <w:szCs w:val="22"/>
                <w:lang w:eastAsia="en-GB"/>
              </w:rPr>
            </w:pPr>
            <w:r w:rsidRPr="00CA3D4F">
              <w:rPr>
                <w:rFonts w:ascii="Calibri" w:eastAsia="Times New Roman" w:hAnsi="Calibri" w:cs="Calibri"/>
                <w:b/>
                <w:bCs/>
                <w:color w:val="000000"/>
                <w:sz w:val="22"/>
                <w:szCs w:val="22"/>
                <w:lang w:eastAsia="en-GB"/>
              </w:rPr>
              <w:t>Value</w:t>
            </w:r>
          </w:p>
        </w:tc>
      </w:tr>
      <w:tr w:rsidR="00CA3D4F" w:rsidRPr="00CA3D4F" w14:paraId="2F9C1B14" w14:textId="77777777" w:rsidTr="00CA3D4F">
        <w:trPr>
          <w:trHeight w:val="840"/>
        </w:trPr>
        <w:tc>
          <w:tcPr>
            <w:tcW w:w="2040" w:type="dxa"/>
            <w:tcBorders>
              <w:top w:val="nil"/>
              <w:left w:val="single" w:sz="4" w:space="0" w:color="auto"/>
              <w:bottom w:val="single" w:sz="4" w:space="0" w:color="auto"/>
              <w:right w:val="single" w:sz="4" w:space="0" w:color="auto"/>
            </w:tcBorders>
            <w:vAlign w:val="center"/>
            <w:hideMark/>
          </w:tcPr>
          <w:p w14:paraId="294F58BA"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Mean</w:t>
            </w:r>
          </w:p>
        </w:tc>
        <w:tc>
          <w:tcPr>
            <w:tcW w:w="4300" w:type="dxa"/>
            <w:tcBorders>
              <w:top w:val="nil"/>
              <w:left w:val="nil"/>
              <w:bottom w:val="single" w:sz="4" w:space="0" w:color="auto"/>
              <w:right w:val="single" w:sz="4" w:space="0" w:color="auto"/>
            </w:tcBorders>
            <w:vAlign w:val="center"/>
            <w:hideMark/>
          </w:tcPr>
          <w:p w14:paraId="640BB142" w14:textId="0E22B9B4"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24,282 DKK million</w:t>
            </w:r>
          </w:p>
        </w:tc>
      </w:tr>
      <w:tr w:rsidR="00CA3D4F" w:rsidRPr="00CA3D4F" w14:paraId="2E9FB5AF"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12C78989"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Median</w:t>
            </w:r>
          </w:p>
        </w:tc>
        <w:tc>
          <w:tcPr>
            <w:tcW w:w="4300" w:type="dxa"/>
            <w:tcBorders>
              <w:top w:val="nil"/>
              <w:left w:val="nil"/>
              <w:bottom w:val="single" w:sz="4" w:space="0" w:color="auto"/>
              <w:right w:val="single" w:sz="4" w:space="0" w:color="auto"/>
            </w:tcBorders>
            <w:vAlign w:val="center"/>
            <w:hideMark/>
          </w:tcPr>
          <w:p w14:paraId="0BF41A40"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24,500</w:t>
            </w:r>
          </w:p>
        </w:tc>
      </w:tr>
      <w:tr w:rsidR="00CA3D4F" w:rsidRPr="00CA3D4F" w14:paraId="1A05C82D"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4009C966"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Mode</w:t>
            </w:r>
          </w:p>
        </w:tc>
        <w:tc>
          <w:tcPr>
            <w:tcW w:w="4300" w:type="dxa"/>
            <w:tcBorders>
              <w:top w:val="nil"/>
              <w:left w:val="nil"/>
              <w:bottom w:val="single" w:sz="4" w:space="0" w:color="auto"/>
              <w:right w:val="single" w:sz="4" w:space="0" w:color="auto"/>
            </w:tcBorders>
            <w:vAlign w:val="center"/>
            <w:hideMark/>
          </w:tcPr>
          <w:p w14:paraId="52802B31"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None</w:t>
            </w:r>
          </w:p>
        </w:tc>
      </w:tr>
      <w:tr w:rsidR="00CA3D4F" w:rsidRPr="00CA3D4F" w14:paraId="15C707E5" w14:textId="77777777" w:rsidTr="00CA3D4F">
        <w:trPr>
          <w:trHeight w:val="405"/>
        </w:trPr>
        <w:tc>
          <w:tcPr>
            <w:tcW w:w="2040" w:type="dxa"/>
            <w:tcBorders>
              <w:top w:val="nil"/>
              <w:left w:val="single" w:sz="4" w:space="0" w:color="auto"/>
              <w:bottom w:val="single" w:sz="4" w:space="0" w:color="auto"/>
              <w:right w:val="single" w:sz="4" w:space="0" w:color="auto"/>
            </w:tcBorders>
            <w:vAlign w:val="center"/>
            <w:hideMark/>
          </w:tcPr>
          <w:p w14:paraId="6ADD23DD"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Standard Deviation</w:t>
            </w:r>
          </w:p>
        </w:tc>
        <w:tc>
          <w:tcPr>
            <w:tcW w:w="4300" w:type="dxa"/>
            <w:tcBorders>
              <w:top w:val="nil"/>
              <w:left w:val="nil"/>
              <w:bottom w:val="single" w:sz="4" w:space="0" w:color="auto"/>
              <w:right w:val="single" w:sz="4" w:space="0" w:color="auto"/>
            </w:tcBorders>
            <w:vAlign w:val="center"/>
            <w:hideMark/>
          </w:tcPr>
          <w:p w14:paraId="40B5B3FF"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3,397</w:t>
            </w:r>
          </w:p>
        </w:tc>
      </w:tr>
      <w:tr w:rsidR="00CA3D4F" w:rsidRPr="00CA3D4F" w14:paraId="30F4D6CF"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0F868FE5"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Variance</w:t>
            </w:r>
          </w:p>
        </w:tc>
        <w:tc>
          <w:tcPr>
            <w:tcW w:w="4300" w:type="dxa"/>
            <w:tcBorders>
              <w:top w:val="nil"/>
              <w:left w:val="nil"/>
              <w:bottom w:val="single" w:sz="4" w:space="0" w:color="auto"/>
              <w:right w:val="single" w:sz="4" w:space="0" w:color="auto"/>
            </w:tcBorders>
            <w:vAlign w:val="center"/>
            <w:hideMark/>
          </w:tcPr>
          <w:p w14:paraId="384B0468"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11,544,000</w:t>
            </w:r>
          </w:p>
        </w:tc>
      </w:tr>
    </w:tbl>
    <w:p w14:paraId="6020E19D" w14:textId="77777777" w:rsidR="00195F3F" w:rsidRDefault="00195F3F" w:rsidP="0066434B">
      <w:pPr>
        <w:spacing w:line="360" w:lineRule="auto"/>
        <w:jc w:val="both"/>
        <w:rPr>
          <w:rFonts w:ascii="Arial" w:hAnsi="Arial" w:cs="Arial"/>
          <w:color w:val="auto"/>
          <w:sz w:val="24"/>
          <w:szCs w:val="24"/>
        </w:rPr>
      </w:pPr>
    </w:p>
    <w:p w14:paraId="448E5B0E" w14:textId="77777777" w:rsidR="000B2009" w:rsidRDefault="00195F3F"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11. </w:t>
      </w:r>
      <w:r w:rsidR="000B2009" w:rsidRPr="000B2009">
        <w:rPr>
          <w:rFonts w:ascii="Arial" w:hAnsi="Arial" w:cs="Arial"/>
          <w:color w:val="auto"/>
          <w:sz w:val="24"/>
          <w:szCs w:val="24"/>
        </w:rPr>
        <w:t>Correlation Analysis</w:t>
      </w:r>
    </w:p>
    <w:p w14:paraId="5865CFC3" w14:textId="41FA99E8" w:rsidR="001C3726" w:rsidRDefault="00FE3407" w:rsidP="0066434B">
      <w:pPr>
        <w:spacing w:line="360" w:lineRule="auto"/>
        <w:jc w:val="both"/>
        <w:rPr>
          <w:rFonts w:ascii="Arial" w:hAnsi="Arial" w:cs="Arial"/>
          <w:color w:val="auto"/>
          <w:sz w:val="24"/>
          <w:szCs w:val="24"/>
        </w:rPr>
      </w:pPr>
      <w:r w:rsidRPr="00FE3407">
        <w:rPr>
          <w:rFonts w:ascii="Arial" w:hAnsi="Arial" w:cs="Arial"/>
          <w:noProof/>
          <w:color w:val="auto"/>
          <w:sz w:val="24"/>
          <w:szCs w:val="24"/>
        </w:rPr>
        <w:drawing>
          <wp:inline distT="0" distB="0" distL="0" distR="0" wp14:anchorId="45EF2BED" wp14:editId="03750A5A">
            <wp:extent cx="3600953" cy="2162477"/>
            <wp:effectExtent l="0" t="0" r="0" b="9525"/>
            <wp:docPr id="16091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314" name=""/>
                    <pic:cNvPicPr/>
                  </pic:nvPicPr>
                  <pic:blipFill>
                    <a:blip r:embed="rId26"/>
                    <a:stretch>
                      <a:fillRect/>
                    </a:stretch>
                  </pic:blipFill>
                  <pic:spPr>
                    <a:xfrm>
                      <a:off x="0" y="0"/>
                      <a:ext cx="3600953" cy="2162477"/>
                    </a:xfrm>
                    <a:prstGeom prst="rect">
                      <a:avLst/>
                    </a:prstGeom>
                  </pic:spPr>
                </pic:pic>
              </a:graphicData>
            </a:graphic>
          </wp:inline>
        </w:drawing>
      </w:r>
    </w:p>
    <w:p w14:paraId="3DD1F3DF" w14:textId="77777777" w:rsidR="001C3726" w:rsidRDefault="001C3726" w:rsidP="0066434B">
      <w:pPr>
        <w:spacing w:line="360" w:lineRule="auto"/>
        <w:jc w:val="both"/>
        <w:rPr>
          <w:rFonts w:ascii="Arial" w:hAnsi="Arial" w:cs="Arial"/>
          <w:color w:val="auto"/>
          <w:sz w:val="24"/>
          <w:szCs w:val="24"/>
        </w:rPr>
      </w:pPr>
    </w:p>
    <w:p w14:paraId="120EEFC6" w14:textId="77777777" w:rsidR="00102504" w:rsidRDefault="00102504">
      <w:pPr>
        <w:rPr>
          <w:rFonts w:ascii="Arial" w:hAnsi="Arial" w:cs="Arial"/>
          <w:color w:val="auto"/>
          <w:sz w:val="24"/>
          <w:szCs w:val="24"/>
        </w:rPr>
      </w:pPr>
      <w:r>
        <w:rPr>
          <w:rFonts w:ascii="Arial" w:hAnsi="Arial" w:cs="Arial"/>
          <w:color w:val="auto"/>
          <w:sz w:val="24"/>
          <w:szCs w:val="24"/>
        </w:rPr>
        <w:br w:type="page"/>
      </w:r>
    </w:p>
    <w:p w14:paraId="3074522F" w14:textId="7FB4304D" w:rsidR="001F6742" w:rsidRDefault="001C3726"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12. </w:t>
      </w:r>
      <w:r w:rsidR="00DF5A1A" w:rsidRPr="00DF5A1A">
        <w:rPr>
          <w:rFonts w:ascii="Arial" w:hAnsi="Arial" w:cs="Arial"/>
          <w:color w:val="auto"/>
          <w:sz w:val="24"/>
          <w:szCs w:val="24"/>
        </w:rPr>
        <w:t xml:space="preserve">Revenue and </w:t>
      </w:r>
      <w:r w:rsidR="00DF5A1A">
        <w:rPr>
          <w:rFonts w:ascii="Arial" w:hAnsi="Arial" w:cs="Arial"/>
          <w:color w:val="auto"/>
          <w:sz w:val="24"/>
          <w:szCs w:val="24"/>
        </w:rPr>
        <w:t>c</w:t>
      </w:r>
      <w:r w:rsidR="00DF5A1A" w:rsidRPr="00DF5A1A">
        <w:rPr>
          <w:rFonts w:ascii="Arial" w:hAnsi="Arial" w:cs="Arial"/>
          <w:color w:val="auto"/>
          <w:sz w:val="24"/>
          <w:szCs w:val="24"/>
        </w:rPr>
        <w:t xml:space="preserve">ost </w:t>
      </w:r>
      <w:r w:rsidR="00DF5A1A">
        <w:rPr>
          <w:rFonts w:ascii="Arial" w:hAnsi="Arial" w:cs="Arial"/>
          <w:color w:val="auto"/>
          <w:sz w:val="24"/>
          <w:szCs w:val="24"/>
        </w:rPr>
        <w:t>r</w:t>
      </w:r>
      <w:r w:rsidR="00DF5A1A" w:rsidRPr="00DF5A1A">
        <w:rPr>
          <w:rFonts w:ascii="Arial" w:hAnsi="Arial" w:cs="Arial"/>
          <w:color w:val="auto"/>
          <w:sz w:val="24"/>
          <w:szCs w:val="24"/>
        </w:rPr>
        <w:t xml:space="preserve">egression </w:t>
      </w:r>
      <w:r w:rsidR="00DF5A1A">
        <w:rPr>
          <w:rFonts w:ascii="Arial" w:hAnsi="Arial" w:cs="Arial"/>
          <w:color w:val="auto"/>
          <w:sz w:val="24"/>
          <w:szCs w:val="24"/>
        </w:rPr>
        <w:t>a</w:t>
      </w:r>
      <w:r w:rsidR="00DF5A1A" w:rsidRPr="00DF5A1A">
        <w:rPr>
          <w:rFonts w:ascii="Arial" w:hAnsi="Arial" w:cs="Arial"/>
          <w:color w:val="auto"/>
          <w:sz w:val="24"/>
          <w:szCs w:val="24"/>
        </w:rPr>
        <w:t>nalysis</w:t>
      </w:r>
    </w:p>
    <w:p w14:paraId="0E6B9622" w14:textId="5F15B7AE" w:rsidR="00816303" w:rsidRDefault="00816303" w:rsidP="0066434B">
      <w:pPr>
        <w:spacing w:line="360" w:lineRule="auto"/>
        <w:jc w:val="both"/>
        <w:rPr>
          <w:rFonts w:ascii="Arial" w:hAnsi="Arial" w:cs="Arial"/>
          <w:color w:val="auto"/>
          <w:sz w:val="24"/>
          <w:szCs w:val="24"/>
        </w:rPr>
      </w:pPr>
      <w:r w:rsidRPr="00816303">
        <w:rPr>
          <w:rFonts w:ascii="Arial" w:hAnsi="Arial" w:cs="Arial"/>
          <w:color w:val="auto"/>
          <w:sz w:val="24"/>
          <w:szCs w:val="24"/>
        </w:rPr>
        <w:t xml:space="preserve">Cost </w:t>
      </w:r>
      <w:r>
        <w:rPr>
          <w:rFonts w:ascii="Arial" w:hAnsi="Arial" w:cs="Arial"/>
          <w:color w:val="auto"/>
          <w:sz w:val="24"/>
          <w:szCs w:val="24"/>
        </w:rPr>
        <w:t>=</w:t>
      </w:r>
      <w:r w:rsidRPr="00816303">
        <w:rPr>
          <w:rFonts w:ascii="Arial" w:hAnsi="Arial" w:cs="Arial"/>
          <w:color w:val="auto"/>
          <w:sz w:val="24"/>
          <w:szCs w:val="24"/>
        </w:rPr>
        <w:t xml:space="preserve"> a + b(Revenue)</w:t>
      </w:r>
    </w:p>
    <w:p w14:paraId="1B798A15" w14:textId="5A28C057" w:rsidR="00C65E57" w:rsidRDefault="009E2F03" w:rsidP="0066434B">
      <w:pPr>
        <w:spacing w:line="360" w:lineRule="auto"/>
        <w:jc w:val="both"/>
        <w:rPr>
          <w:rFonts w:ascii="Arial" w:hAnsi="Arial" w:cs="Arial"/>
          <w:color w:val="auto"/>
          <w:sz w:val="24"/>
          <w:szCs w:val="24"/>
        </w:rPr>
      </w:pPr>
      <w:r>
        <w:rPr>
          <w:noProof/>
        </w:rPr>
        <w:drawing>
          <wp:inline distT="0" distB="0" distL="0" distR="0" wp14:anchorId="6867AA69" wp14:editId="0BA14325">
            <wp:extent cx="4572000" cy="2743200"/>
            <wp:effectExtent l="0" t="0" r="0" b="0"/>
            <wp:docPr id="129933404" name="Chart 1">
              <a:extLst xmlns:a="http://schemas.openxmlformats.org/drawingml/2006/main">
                <a:ext uri="{FF2B5EF4-FFF2-40B4-BE49-F238E27FC236}">
                  <a16:creationId xmlns:a16="http://schemas.microsoft.com/office/drawing/2014/main" id="{67F9E517-1BF2-1530-864C-2E280A3128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F82D386" w14:textId="77777777" w:rsidR="00C65E57" w:rsidRDefault="00C65E57" w:rsidP="0066434B">
      <w:pPr>
        <w:spacing w:line="360" w:lineRule="auto"/>
        <w:jc w:val="both"/>
        <w:rPr>
          <w:rFonts w:ascii="Arial" w:hAnsi="Arial" w:cs="Arial"/>
          <w:color w:val="auto"/>
          <w:sz w:val="24"/>
          <w:szCs w:val="24"/>
        </w:rPr>
      </w:pPr>
    </w:p>
    <w:p w14:paraId="40AC6DB4" w14:textId="77777777" w:rsidR="0012468D" w:rsidRDefault="00C65E57"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13. </w:t>
      </w:r>
      <w:r w:rsidR="000232DF" w:rsidRPr="000232DF">
        <w:rPr>
          <w:rFonts w:ascii="Arial" w:hAnsi="Arial" w:cs="Arial"/>
          <w:color w:val="auto"/>
          <w:sz w:val="24"/>
          <w:szCs w:val="24"/>
        </w:rPr>
        <w:t>Revenue Trend</w:t>
      </w:r>
      <w:r w:rsidR="0012468D">
        <w:rPr>
          <w:rFonts w:ascii="Arial" w:hAnsi="Arial" w:cs="Arial"/>
          <w:color w:val="auto"/>
          <w:sz w:val="24"/>
          <w:szCs w:val="24"/>
        </w:rPr>
        <w:t xml:space="preserve"> </w:t>
      </w:r>
    </w:p>
    <w:p w14:paraId="6644B1B0" w14:textId="77777777" w:rsidR="00780BB8" w:rsidRDefault="00372986" w:rsidP="0066434B">
      <w:pPr>
        <w:spacing w:line="360" w:lineRule="auto"/>
        <w:jc w:val="both"/>
        <w:rPr>
          <w:rFonts w:ascii="Arial" w:hAnsi="Arial" w:cs="Arial"/>
          <w:color w:val="auto"/>
          <w:sz w:val="24"/>
          <w:szCs w:val="24"/>
        </w:rPr>
      </w:pPr>
      <w:r>
        <w:rPr>
          <w:noProof/>
        </w:rPr>
        <w:drawing>
          <wp:inline distT="0" distB="0" distL="0" distR="0" wp14:anchorId="4D6455B0" wp14:editId="7A6A42C3">
            <wp:extent cx="4572000" cy="2743200"/>
            <wp:effectExtent l="0" t="0" r="0" b="0"/>
            <wp:docPr id="1049876146" name="Chart 1">
              <a:extLst xmlns:a="http://schemas.openxmlformats.org/drawingml/2006/main">
                <a:ext uri="{FF2B5EF4-FFF2-40B4-BE49-F238E27FC236}">
                  <a16:creationId xmlns:a16="http://schemas.microsoft.com/office/drawing/2014/main" id="{8D8868DE-FE4E-B77D-EC83-E8C693E74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F4DD181" w14:textId="77777777" w:rsidR="00780BB8" w:rsidRDefault="00780BB8" w:rsidP="0066434B">
      <w:pPr>
        <w:spacing w:line="360" w:lineRule="auto"/>
        <w:jc w:val="both"/>
        <w:rPr>
          <w:rFonts w:ascii="Arial" w:hAnsi="Arial" w:cs="Arial"/>
          <w:color w:val="auto"/>
          <w:sz w:val="24"/>
          <w:szCs w:val="24"/>
        </w:rPr>
      </w:pPr>
    </w:p>
    <w:p w14:paraId="0C7784BA" w14:textId="77777777" w:rsidR="009C629B" w:rsidRDefault="009C629B">
      <w:pPr>
        <w:rPr>
          <w:rFonts w:ascii="Arial" w:hAnsi="Arial" w:cs="Arial"/>
          <w:color w:val="auto"/>
          <w:sz w:val="24"/>
          <w:szCs w:val="24"/>
        </w:rPr>
      </w:pPr>
      <w:r>
        <w:rPr>
          <w:rFonts w:ascii="Arial" w:hAnsi="Arial" w:cs="Arial"/>
          <w:color w:val="auto"/>
          <w:sz w:val="24"/>
          <w:szCs w:val="24"/>
        </w:rPr>
        <w:br w:type="page"/>
      </w:r>
    </w:p>
    <w:p w14:paraId="0A55AA32" w14:textId="59C0F844" w:rsidR="008C2F01" w:rsidRDefault="00780BB8"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14. </w:t>
      </w:r>
      <w:r w:rsidR="00E34F51" w:rsidRPr="00E34F51">
        <w:rPr>
          <w:rFonts w:ascii="Arial" w:hAnsi="Arial" w:cs="Arial"/>
          <w:color w:val="auto"/>
          <w:sz w:val="24"/>
          <w:szCs w:val="24"/>
        </w:rPr>
        <w:t>Histogram</w:t>
      </w:r>
      <w:r w:rsidR="00E34F51">
        <w:rPr>
          <w:rFonts w:ascii="Arial" w:hAnsi="Arial" w:cs="Arial"/>
          <w:color w:val="auto"/>
          <w:sz w:val="24"/>
          <w:szCs w:val="24"/>
        </w:rPr>
        <w:t xml:space="preserve"> – r</w:t>
      </w:r>
      <w:r w:rsidR="009C629B" w:rsidRPr="009C629B">
        <w:rPr>
          <w:rFonts w:ascii="Arial" w:hAnsi="Arial" w:cs="Arial"/>
          <w:color w:val="auto"/>
          <w:sz w:val="24"/>
          <w:szCs w:val="24"/>
        </w:rPr>
        <w:t>evenue</w:t>
      </w:r>
      <w:r w:rsidR="00E34F51">
        <w:rPr>
          <w:rFonts w:ascii="Arial" w:hAnsi="Arial" w:cs="Arial"/>
          <w:color w:val="auto"/>
          <w:sz w:val="24"/>
          <w:szCs w:val="24"/>
        </w:rPr>
        <w:t xml:space="preserve"> d</w:t>
      </w:r>
      <w:r w:rsidR="009C629B" w:rsidRPr="009C629B">
        <w:rPr>
          <w:rFonts w:ascii="Arial" w:hAnsi="Arial" w:cs="Arial"/>
          <w:color w:val="auto"/>
          <w:sz w:val="24"/>
          <w:szCs w:val="24"/>
        </w:rPr>
        <w:t>istribution</w:t>
      </w:r>
    </w:p>
    <w:p w14:paraId="4F0E84B7" w14:textId="77777777" w:rsidR="00E34F51" w:rsidRDefault="009C629B" w:rsidP="0066434B">
      <w:pPr>
        <w:spacing w:line="360" w:lineRule="auto"/>
        <w:jc w:val="both"/>
        <w:rPr>
          <w:rFonts w:ascii="Arial" w:hAnsi="Arial" w:cs="Arial"/>
          <w:color w:val="auto"/>
          <w:sz w:val="24"/>
          <w:szCs w:val="24"/>
        </w:rPr>
      </w:pPr>
      <w:r>
        <w:rPr>
          <w:noProof/>
        </w:rPr>
        <mc:AlternateContent>
          <mc:Choice Requires="cx1">
            <w:drawing>
              <wp:inline distT="0" distB="0" distL="0" distR="0" wp14:anchorId="2B3E0AEC" wp14:editId="68366C27">
                <wp:extent cx="4572000" cy="2743200"/>
                <wp:effectExtent l="0" t="0" r="0" b="0"/>
                <wp:docPr id="968326170" name="Chart 1">
                  <a:extLst xmlns:a="http://schemas.openxmlformats.org/drawingml/2006/main">
                    <a:ext uri="{FF2B5EF4-FFF2-40B4-BE49-F238E27FC236}">
                      <a16:creationId xmlns:a16="http://schemas.microsoft.com/office/drawing/2014/main" id="{E598499C-393A-40F2-A4B5-824988743E9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9"/>
                  </a:graphicData>
                </a:graphic>
              </wp:inline>
            </w:drawing>
          </mc:Choice>
          <mc:Fallback>
            <w:drawing>
              <wp:inline distT="0" distB="0" distL="0" distR="0" wp14:anchorId="2B3E0AEC" wp14:editId="68366C27">
                <wp:extent cx="4572000" cy="2743200"/>
                <wp:effectExtent l="0" t="0" r="0" b="0"/>
                <wp:docPr id="968326170" name="Chart 1">
                  <a:extLst xmlns:a="http://schemas.openxmlformats.org/drawingml/2006/main">
                    <a:ext uri="{FF2B5EF4-FFF2-40B4-BE49-F238E27FC236}">
                      <a16:creationId xmlns:a16="http://schemas.microsoft.com/office/drawing/2014/main" id="{E598499C-393A-40F2-A4B5-824988743E9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68326170" name="Chart 1">
                          <a:extLst>
                            <a:ext uri="{FF2B5EF4-FFF2-40B4-BE49-F238E27FC236}">
                              <a16:creationId xmlns:a16="http://schemas.microsoft.com/office/drawing/2014/main" id="{E598499C-393A-40F2-A4B5-824988743E98}"/>
                            </a:ext>
                          </a:extLst>
                        </pic:cNvPr>
                        <pic:cNvPicPr>
                          <a:picLocks noGrp="1" noRot="1" noChangeAspect="1" noMove="1" noResize="1" noEditPoints="1" noAdjustHandles="1" noChangeArrowheads="1" noChangeShapeType="1"/>
                        </pic:cNvPicPr>
                      </pic:nvPicPr>
                      <pic:blipFill>
                        <a:blip r:embed="rId31"/>
                        <a:stretch>
                          <a:fillRect/>
                        </a:stretch>
                      </pic:blipFill>
                      <pic:spPr>
                        <a:xfrm>
                          <a:off x="0" y="0"/>
                          <a:ext cx="4572000" cy="2743200"/>
                        </a:xfrm>
                        <a:prstGeom prst="rect">
                          <a:avLst/>
                        </a:prstGeom>
                      </pic:spPr>
                    </pic:pic>
                  </a:graphicData>
                </a:graphic>
              </wp:inline>
            </w:drawing>
          </mc:Fallback>
        </mc:AlternateContent>
      </w:r>
    </w:p>
    <w:p w14:paraId="3ADB17BC" w14:textId="77777777" w:rsidR="00E34F51" w:rsidRDefault="00E34F51" w:rsidP="0066434B">
      <w:pPr>
        <w:spacing w:line="360" w:lineRule="auto"/>
        <w:jc w:val="both"/>
        <w:rPr>
          <w:rFonts w:ascii="Arial" w:hAnsi="Arial" w:cs="Arial"/>
          <w:color w:val="auto"/>
          <w:sz w:val="24"/>
          <w:szCs w:val="24"/>
        </w:rPr>
      </w:pPr>
    </w:p>
    <w:p w14:paraId="34387C9B" w14:textId="4CF373A8" w:rsidR="00B32D20" w:rsidRDefault="00E34F51" w:rsidP="0066434B">
      <w:pPr>
        <w:spacing w:line="360" w:lineRule="auto"/>
        <w:jc w:val="both"/>
        <w:rPr>
          <w:rFonts w:ascii="Arial" w:hAnsi="Arial" w:cs="Arial"/>
          <w:color w:val="auto"/>
          <w:sz w:val="24"/>
          <w:szCs w:val="24"/>
        </w:rPr>
      </w:pPr>
      <w:r>
        <w:rPr>
          <w:rFonts w:ascii="Arial" w:hAnsi="Arial" w:cs="Arial"/>
          <w:color w:val="auto"/>
          <w:sz w:val="24"/>
          <w:szCs w:val="24"/>
        </w:rPr>
        <w:t>Figure 15</w:t>
      </w:r>
      <w:r w:rsidR="00B32D20">
        <w:rPr>
          <w:rFonts w:ascii="Arial" w:hAnsi="Arial" w:cs="Arial"/>
          <w:color w:val="auto"/>
          <w:sz w:val="24"/>
          <w:szCs w:val="24"/>
        </w:rPr>
        <w:t xml:space="preserve">. </w:t>
      </w:r>
      <w:r w:rsidR="00B32D20" w:rsidRPr="00B32D20">
        <w:rPr>
          <w:rFonts w:ascii="Arial" w:hAnsi="Arial" w:cs="Arial"/>
          <w:color w:val="auto"/>
          <w:sz w:val="24"/>
          <w:szCs w:val="24"/>
        </w:rPr>
        <w:t xml:space="preserve">Revenue, Cost and Workforce </w:t>
      </w:r>
      <w:r w:rsidR="006C15B8">
        <w:rPr>
          <w:rFonts w:ascii="Arial" w:hAnsi="Arial" w:cs="Arial"/>
          <w:color w:val="auto"/>
          <w:sz w:val="24"/>
          <w:szCs w:val="24"/>
        </w:rPr>
        <w:t>r</w:t>
      </w:r>
      <w:r w:rsidR="00B32D20" w:rsidRPr="00B32D20">
        <w:rPr>
          <w:rFonts w:ascii="Arial" w:hAnsi="Arial" w:cs="Arial"/>
          <w:color w:val="auto"/>
          <w:sz w:val="24"/>
          <w:szCs w:val="24"/>
        </w:rPr>
        <w:t>elationship</w:t>
      </w:r>
    </w:p>
    <w:p w14:paraId="0433AC4E" w14:textId="77777777" w:rsidR="00670FA3" w:rsidRDefault="00285E6E" w:rsidP="0066434B">
      <w:pPr>
        <w:spacing w:line="360" w:lineRule="auto"/>
        <w:jc w:val="both"/>
        <w:rPr>
          <w:rFonts w:ascii="Arial" w:hAnsi="Arial" w:cs="Arial"/>
          <w:color w:val="auto"/>
          <w:sz w:val="24"/>
          <w:szCs w:val="24"/>
        </w:rPr>
      </w:pPr>
      <w:r>
        <w:rPr>
          <w:noProof/>
        </w:rPr>
        <w:drawing>
          <wp:inline distT="0" distB="0" distL="0" distR="0" wp14:anchorId="0312CE7A" wp14:editId="0387C92F">
            <wp:extent cx="4572000" cy="2743200"/>
            <wp:effectExtent l="0" t="0" r="0" b="0"/>
            <wp:docPr id="1272340857" name="Chart 1">
              <a:extLst xmlns:a="http://schemas.openxmlformats.org/drawingml/2006/main">
                <a:ext uri="{FF2B5EF4-FFF2-40B4-BE49-F238E27FC236}">
                  <a16:creationId xmlns:a16="http://schemas.microsoft.com/office/drawing/2014/main" id="{586C5B1A-8751-9F6B-FF7F-F956F83501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7174DF1" w14:textId="77777777" w:rsidR="00670FA3" w:rsidRDefault="00670FA3" w:rsidP="0066434B">
      <w:pPr>
        <w:spacing w:line="360" w:lineRule="auto"/>
        <w:jc w:val="both"/>
        <w:rPr>
          <w:rFonts w:ascii="Arial" w:hAnsi="Arial" w:cs="Arial"/>
          <w:color w:val="auto"/>
          <w:sz w:val="24"/>
          <w:szCs w:val="24"/>
        </w:rPr>
      </w:pPr>
    </w:p>
    <w:p w14:paraId="060EAF76" w14:textId="77777777" w:rsidR="005F69E5" w:rsidRDefault="005F69E5">
      <w:pPr>
        <w:rPr>
          <w:rFonts w:ascii="Arial" w:hAnsi="Arial" w:cs="Arial"/>
          <w:color w:val="auto"/>
          <w:sz w:val="24"/>
          <w:szCs w:val="24"/>
        </w:rPr>
      </w:pPr>
      <w:r>
        <w:rPr>
          <w:rFonts w:ascii="Arial" w:hAnsi="Arial" w:cs="Arial"/>
          <w:color w:val="auto"/>
          <w:sz w:val="24"/>
          <w:szCs w:val="24"/>
        </w:rPr>
        <w:br w:type="page"/>
      </w:r>
    </w:p>
    <w:p w14:paraId="42B75D79" w14:textId="30347C22" w:rsidR="005F69E5" w:rsidRDefault="005F69E5"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16. </w:t>
      </w:r>
      <w:r w:rsidR="001B3427" w:rsidRPr="001B3427">
        <w:rPr>
          <w:rFonts w:ascii="Arial" w:hAnsi="Arial" w:cs="Arial"/>
          <w:color w:val="auto"/>
          <w:sz w:val="24"/>
          <w:szCs w:val="24"/>
        </w:rPr>
        <w:t>Gorry and Scott Morton’s Framework</w:t>
      </w:r>
    </w:p>
    <w:p w14:paraId="1F4D9AF5" w14:textId="77777777" w:rsidR="005F69E5" w:rsidRDefault="005F69E5" w:rsidP="0066434B">
      <w:pPr>
        <w:spacing w:line="360" w:lineRule="auto"/>
        <w:jc w:val="both"/>
        <w:rPr>
          <w:rFonts w:ascii="Arial" w:hAnsi="Arial" w:cs="Arial"/>
          <w:color w:val="auto"/>
          <w:sz w:val="24"/>
          <w:szCs w:val="24"/>
        </w:rPr>
      </w:pPr>
    </w:p>
    <w:tbl>
      <w:tblPr>
        <w:tblW w:w="7640" w:type="dxa"/>
        <w:tblLook w:val="04A0" w:firstRow="1" w:lastRow="0" w:firstColumn="1" w:lastColumn="0" w:noHBand="0" w:noVBand="1"/>
      </w:tblPr>
      <w:tblGrid>
        <w:gridCol w:w="1940"/>
        <w:gridCol w:w="1840"/>
        <w:gridCol w:w="2060"/>
        <w:gridCol w:w="1800"/>
      </w:tblGrid>
      <w:tr w:rsidR="005F69E5" w:rsidRPr="005F69E5" w14:paraId="4C8B9F38" w14:textId="77777777" w:rsidTr="005F69E5">
        <w:trPr>
          <w:trHeight w:val="300"/>
        </w:trPr>
        <w:tc>
          <w:tcPr>
            <w:tcW w:w="1940" w:type="dxa"/>
            <w:tcBorders>
              <w:top w:val="nil"/>
              <w:left w:val="nil"/>
              <w:bottom w:val="nil"/>
              <w:right w:val="nil"/>
            </w:tcBorders>
            <w:noWrap/>
            <w:vAlign w:val="bottom"/>
            <w:hideMark/>
          </w:tcPr>
          <w:p w14:paraId="35FBF5A8" w14:textId="77777777" w:rsidR="005F69E5" w:rsidRPr="005F69E5" w:rsidRDefault="005F69E5" w:rsidP="005F69E5">
            <w:pPr>
              <w:spacing w:line="240" w:lineRule="auto"/>
              <w:rPr>
                <w:rFonts w:ascii="Times New Roman" w:eastAsia="Times New Roman" w:hAnsi="Times New Roman" w:cs="Times New Roman"/>
                <w:color w:val="auto"/>
                <w:sz w:val="24"/>
                <w:szCs w:val="24"/>
                <w:lang w:eastAsia="en-GB"/>
              </w:rPr>
            </w:pPr>
          </w:p>
        </w:tc>
        <w:tc>
          <w:tcPr>
            <w:tcW w:w="5700" w:type="dxa"/>
            <w:gridSpan w:val="3"/>
            <w:tcBorders>
              <w:top w:val="single" w:sz="4" w:space="0" w:color="auto"/>
              <w:left w:val="single" w:sz="4" w:space="0" w:color="auto"/>
              <w:bottom w:val="single" w:sz="4" w:space="0" w:color="auto"/>
              <w:right w:val="single" w:sz="4" w:space="0" w:color="auto"/>
            </w:tcBorders>
            <w:shd w:val="clear" w:color="000000" w:fill="D0CECE"/>
            <w:vAlign w:val="bottom"/>
            <w:hideMark/>
          </w:tcPr>
          <w:p w14:paraId="1E0BFA3C"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Type of Control</w:t>
            </w:r>
          </w:p>
        </w:tc>
      </w:tr>
      <w:tr w:rsidR="005F69E5" w:rsidRPr="005F69E5" w14:paraId="2B8240C9" w14:textId="77777777" w:rsidTr="005F69E5">
        <w:trPr>
          <w:trHeight w:val="300"/>
        </w:trPr>
        <w:tc>
          <w:tcPr>
            <w:tcW w:w="1940" w:type="dxa"/>
            <w:tcBorders>
              <w:top w:val="single" w:sz="4" w:space="0" w:color="auto"/>
              <w:left w:val="single" w:sz="4" w:space="0" w:color="auto"/>
              <w:bottom w:val="single" w:sz="4" w:space="0" w:color="auto"/>
              <w:right w:val="single" w:sz="4" w:space="0" w:color="auto"/>
            </w:tcBorders>
            <w:shd w:val="clear" w:color="000000" w:fill="D9E1F2"/>
            <w:vAlign w:val="center"/>
            <w:hideMark/>
          </w:tcPr>
          <w:p w14:paraId="236815DD"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Type of Decision</w:t>
            </w:r>
          </w:p>
        </w:tc>
        <w:tc>
          <w:tcPr>
            <w:tcW w:w="1840" w:type="dxa"/>
            <w:tcBorders>
              <w:top w:val="nil"/>
              <w:left w:val="nil"/>
              <w:bottom w:val="single" w:sz="4" w:space="0" w:color="auto"/>
              <w:right w:val="single" w:sz="4" w:space="0" w:color="auto"/>
            </w:tcBorders>
            <w:shd w:val="clear" w:color="000000" w:fill="D0CECE"/>
            <w:vAlign w:val="center"/>
            <w:hideMark/>
          </w:tcPr>
          <w:p w14:paraId="6B1B960D"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Operational</w:t>
            </w:r>
          </w:p>
        </w:tc>
        <w:tc>
          <w:tcPr>
            <w:tcW w:w="2060" w:type="dxa"/>
            <w:tcBorders>
              <w:top w:val="nil"/>
              <w:left w:val="nil"/>
              <w:bottom w:val="single" w:sz="4" w:space="0" w:color="auto"/>
              <w:right w:val="single" w:sz="4" w:space="0" w:color="auto"/>
            </w:tcBorders>
            <w:shd w:val="clear" w:color="000000" w:fill="D0CECE"/>
            <w:vAlign w:val="center"/>
            <w:hideMark/>
          </w:tcPr>
          <w:p w14:paraId="1C58579A"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 xml:space="preserve">Management </w:t>
            </w:r>
          </w:p>
        </w:tc>
        <w:tc>
          <w:tcPr>
            <w:tcW w:w="1800" w:type="dxa"/>
            <w:tcBorders>
              <w:top w:val="nil"/>
              <w:left w:val="nil"/>
              <w:bottom w:val="single" w:sz="4" w:space="0" w:color="auto"/>
              <w:right w:val="single" w:sz="4" w:space="0" w:color="auto"/>
            </w:tcBorders>
            <w:shd w:val="clear" w:color="000000" w:fill="D0CECE"/>
            <w:vAlign w:val="center"/>
            <w:hideMark/>
          </w:tcPr>
          <w:p w14:paraId="0425718F"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Strategic</w:t>
            </w:r>
          </w:p>
        </w:tc>
      </w:tr>
      <w:tr w:rsidR="005F69E5" w:rsidRPr="005F69E5" w14:paraId="43ED03FE"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3EFC1D96"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Structured</w:t>
            </w:r>
          </w:p>
        </w:tc>
        <w:tc>
          <w:tcPr>
            <w:tcW w:w="1840" w:type="dxa"/>
            <w:tcBorders>
              <w:top w:val="nil"/>
              <w:left w:val="nil"/>
              <w:bottom w:val="single" w:sz="4" w:space="0" w:color="auto"/>
              <w:right w:val="single" w:sz="4" w:space="0" w:color="auto"/>
            </w:tcBorders>
            <w:vAlign w:val="center"/>
            <w:hideMark/>
          </w:tcPr>
          <w:p w14:paraId="6907D0AB"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Monthly cost monitoring</w:t>
            </w:r>
          </w:p>
        </w:tc>
        <w:tc>
          <w:tcPr>
            <w:tcW w:w="2060" w:type="dxa"/>
            <w:tcBorders>
              <w:top w:val="nil"/>
              <w:left w:val="nil"/>
              <w:bottom w:val="single" w:sz="4" w:space="0" w:color="auto"/>
              <w:right w:val="single" w:sz="4" w:space="0" w:color="auto"/>
            </w:tcBorders>
            <w:vAlign w:val="center"/>
            <w:hideMark/>
          </w:tcPr>
          <w:p w14:paraId="6BDD0D6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Setting annual revenue targets</w:t>
            </w:r>
          </w:p>
        </w:tc>
        <w:tc>
          <w:tcPr>
            <w:tcW w:w="1800" w:type="dxa"/>
            <w:tcBorders>
              <w:top w:val="nil"/>
              <w:left w:val="nil"/>
              <w:bottom w:val="single" w:sz="4" w:space="0" w:color="auto"/>
              <w:right w:val="single" w:sz="4" w:space="0" w:color="auto"/>
            </w:tcBorders>
            <w:vAlign w:val="center"/>
            <w:hideMark/>
          </w:tcPr>
          <w:p w14:paraId="1A582E1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Long-term financial forecasting</w:t>
            </w:r>
          </w:p>
        </w:tc>
      </w:tr>
      <w:tr w:rsidR="005F69E5" w:rsidRPr="005F69E5" w14:paraId="353C64F1"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76BF06BB"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Semi-Structured</w:t>
            </w:r>
          </w:p>
        </w:tc>
        <w:tc>
          <w:tcPr>
            <w:tcW w:w="1840" w:type="dxa"/>
            <w:tcBorders>
              <w:top w:val="nil"/>
              <w:left w:val="nil"/>
              <w:bottom w:val="single" w:sz="4" w:space="0" w:color="auto"/>
              <w:right w:val="single" w:sz="4" w:space="0" w:color="auto"/>
            </w:tcBorders>
            <w:vAlign w:val="center"/>
            <w:hideMark/>
          </w:tcPr>
          <w:p w14:paraId="19721D83"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Budget adjustments</w:t>
            </w:r>
          </w:p>
        </w:tc>
        <w:tc>
          <w:tcPr>
            <w:tcW w:w="2060" w:type="dxa"/>
            <w:tcBorders>
              <w:top w:val="nil"/>
              <w:left w:val="nil"/>
              <w:bottom w:val="single" w:sz="4" w:space="0" w:color="auto"/>
              <w:right w:val="single" w:sz="4" w:space="0" w:color="auto"/>
            </w:tcBorders>
            <w:vAlign w:val="center"/>
            <w:hideMark/>
          </w:tcPr>
          <w:p w14:paraId="49E2DB85"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Resource allocation between product divisions</w:t>
            </w:r>
          </w:p>
        </w:tc>
        <w:tc>
          <w:tcPr>
            <w:tcW w:w="1800" w:type="dxa"/>
            <w:tcBorders>
              <w:top w:val="nil"/>
              <w:left w:val="nil"/>
              <w:bottom w:val="single" w:sz="4" w:space="0" w:color="auto"/>
              <w:right w:val="single" w:sz="4" w:space="0" w:color="auto"/>
            </w:tcBorders>
            <w:vAlign w:val="center"/>
            <w:hideMark/>
          </w:tcPr>
          <w:p w14:paraId="1F0C483F"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Investment planning and capital allocation</w:t>
            </w:r>
          </w:p>
        </w:tc>
      </w:tr>
      <w:tr w:rsidR="005F69E5" w:rsidRPr="005F69E5" w14:paraId="357EAC6B"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68F93309"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Unstructured</w:t>
            </w:r>
          </w:p>
        </w:tc>
        <w:tc>
          <w:tcPr>
            <w:tcW w:w="1840" w:type="dxa"/>
            <w:tcBorders>
              <w:top w:val="nil"/>
              <w:left w:val="nil"/>
              <w:bottom w:val="single" w:sz="4" w:space="0" w:color="auto"/>
              <w:right w:val="single" w:sz="4" w:space="0" w:color="auto"/>
            </w:tcBorders>
            <w:vAlign w:val="center"/>
            <w:hideMark/>
          </w:tcPr>
          <w:p w14:paraId="3B27D70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Handling unexpected cost increases</w:t>
            </w:r>
          </w:p>
        </w:tc>
        <w:tc>
          <w:tcPr>
            <w:tcW w:w="2060" w:type="dxa"/>
            <w:tcBorders>
              <w:top w:val="nil"/>
              <w:left w:val="nil"/>
              <w:bottom w:val="single" w:sz="4" w:space="0" w:color="auto"/>
              <w:right w:val="single" w:sz="4" w:space="0" w:color="auto"/>
            </w:tcBorders>
            <w:vAlign w:val="center"/>
            <w:hideMark/>
          </w:tcPr>
          <w:p w14:paraId="027123EE"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Responding to competitor pricing strategies</w:t>
            </w:r>
          </w:p>
        </w:tc>
        <w:tc>
          <w:tcPr>
            <w:tcW w:w="1800" w:type="dxa"/>
            <w:tcBorders>
              <w:top w:val="nil"/>
              <w:left w:val="nil"/>
              <w:bottom w:val="single" w:sz="4" w:space="0" w:color="auto"/>
              <w:right w:val="single" w:sz="4" w:space="0" w:color="auto"/>
            </w:tcBorders>
            <w:vAlign w:val="center"/>
            <w:hideMark/>
          </w:tcPr>
          <w:p w14:paraId="497C02A7"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Entering new international markets</w:t>
            </w:r>
          </w:p>
        </w:tc>
      </w:tr>
    </w:tbl>
    <w:p w14:paraId="22561CD7" w14:textId="7B8ABFA4" w:rsidR="00A87595" w:rsidRPr="00AE264A" w:rsidRDefault="00A87595" w:rsidP="004C6B00">
      <w:pPr>
        <w:pStyle w:val="Heading1"/>
        <w:rPr>
          <w:rFonts w:ascii="Arial" w:hAnsi="Arial"/>
          <w:sz w:val="28"/>
          <w:szCs w:val="28"/>
        </w:rPr>
      </w:pPr>
      <w:r w:rsidRPr="000E74C4">
        <w:br w:type="page"/>
      </w:r>
      <w:bookmarkStart w:id="18" w:name="_Toc223467520"/>
      <w:r w:rsidR="00735A36" w:rsidRPr="00AE264A">
        <w:rPr>
          <w:rFonts w:ascii="Arial" w:hAnsi="Arial"/>
          <w:sz w:val="28"/>
          <w:szCs w:val="28"/>
        </w:rPr>
        <w:lastRenderedPageBreak/>
        <w:t>Appendix</w:t>
      </w:r>
      <w:bookmarkEnd w:id="18"/>
      <w:r w:rsidR="00735A36" w:rsidRPr="00AE264A">
        <w:rPr>
          <w:rFonts w:ascii="Arial" w:hAnsi="Arial"/>
          <w:sz w:val="28"/>
          <w:szCs w:val="28"/>
        </w:rPr>
        <w:t> </w:t>
      </w:r>
    </w:p>
    <w:p w14:paraId="04C0451E" w14:textId="1804523A" w:rsidR="00735A36" w:rsidRPr="00EC680C" w:rsidRDefault="00EC680C" w:rsidP="00EC680C">
      <w:pPr>
        <w:pStyle w:val="Caption"/>
        <w:keepNext/>
        <w:jc w:val="both"/>
        <w:rPr>
          <w:rFonts w:ascii="Arial" w:hAnsi="Arial" w:cs="Arial"/>
          <w:sz w:val="24"/>
          <w:szCs w:val="24"/>
        </w:rPr>
      </w:pPr>
      <w:bookmarkStart w:id="19" w:name="_Toc222739266"/>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1</w:t>
      </w:r>
      <w:r w:rsidRPr="00EC680C">
        <w:rPr>
          <w:rFonts w:ascii="Arial" w:hAnsi="Arial" w:cs="Arial"/>
          <w:sz w:val="24"/>
          <w:szCs w:val="24"/>
        </w:rPr>
        <w:fldChar w:fldCharType="end"/>
      </w:r>
      <w:r w:rsidRPr="00EC680C">
        <w:rPr>
          <w:rFonts w:ascii="Arial" w:hAnsi="Arial" w:cs="Arial"/>
          <w:noProof/>
          <w:sz w:val="24"/>
          <w:szCs w:val="24"/>
        </w:rPr>
        <w:t>. Summary of data sources and collection methods</w:t>
      </w:r>
      <w:bookmarkEnd w:id="19"/>
    </w:p>
    <w:tbl>
      <w:tblPr>
        <w:tblW w:w="7580" w:type="dxa"/>
        <w:tblLook w:val="04A0" w:firstRow="1" w:lastRow="0" w:firstColumn="1" w:lastColumn="0" w:noHBand="0" w:noVBand="1"/>
      </w:tblPr>
      <w:tblGrid>
        <w:gridCol w:w="1960"/>
        <w:gridCol w:w="2020"/>
        <w:gridCol w:w="1820"/>
        <w:gridCol w:w="1780"/>
      </w:tblGrid>
      <w:tr w:rsidR="00F67220" w:rsidRPr="00F67220" w14:paraId="01365428" w14:textId="77777777" w:rsidTr="00F67220">
        <w:trPr>
          <w:trHeight w:val="600"/>
        </w:trPr>
        <w:tc>
          <w:tcPr>
            <w:tcW w:w="196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6547AA6E"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Data Type</w:t>
            </w:r>
          </w:p>
        </w:tc>
        <w:tc>
          <w:tcPr>
            <w:tcW w:w="202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0962213F"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Source</w:t>
            </w:r>
          </w:p>
        </w:tc>
        <w:tc>
          <w:tcPr>
            <w:tcW w:w="182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14A214DA"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Format</w:t>
            </w:r>
          </w:p>
        </w:tc>
        <w:tc>
          <w:tcPr>
            <w:tcW w:w="178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2906B40E"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Collection Method</w:t>
            </w:r>
          </w:p>
        </w:tc>
      </w:tr>
      <w:tr w:rsidR="00F67220" w:rsidRPr="00F67220" w14:paraId="4F0B9CE6" w14:textId="77777777" w:rsidTr="00F67220">
        <w:trPr>
          <w:trHeight w:val="750"/>
        </w:trPr>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C47388F"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Cost Data</w:t>
            </w:r>
          </w:p>
        </w:tc>
        <w:tc>
          <w:tcPr>
            <w:tcW w:w="20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3517800"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IC/OC reports</w:t>
            </w:r>
          </w:p>
        </w:tc>
        <w:tc>
          <w:tcPr>
            <w:tcW w:w="18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7758A3B" w14:textId="1361B358"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Structured Numeric</w:t>
            </w:r>
          </w:p>
        </w:tc>
        <w:tc>
          <w:tcPr>
            <w:tcW w:w="178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344BCCC"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48415BBF" w14:textId="77777777" w:rsidTr="00F67220">
        <w:trPr>
          <w:trHeight w:val="780"/>
        </w:trPr>
        <w:tc>
          <w:tcPr>
            <w:tcW w:w="1960" w:type="dxa"/>
            <w:tcBorders>
              <w:top w:val="single" w:sz="4" w:space="0" w:color="auto"/>
              <w:left w:val="single" w:sz="4" w:space="0" w:color="auto"/>
              <w:bottom w:val="single" w:sz="4" w:space="0" w:color="auto"/>
              <w:right w:val="single" w:sz="4" w:space="0" w:color="auto"/>
            </w:tcBorders>
            <w:vAlign w:val="center"/>
            <w:hideMark/>
          </w:tcPr>
          <w:p w14:paraId="0B8F05A4"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Shipment Data</w:t>
            </w:r>
          </w:p>
        </w:tc>
        <w:tc>
          <w:tcPr>
            <w:tcW w:w="2020" w:type="dxa"/>
            <w:tcBorders>
              <w:top w:val="single" w:sz="4" w:space="0" w:color="auto"/>
              <w:left w:val="single" w:sz="4" w:space="0" w:color="auto"/>
              <w:bottom w:val="single" w:sz="4" w:space="0" w:color="auto"/>
              <w:right w:val="single" w:sz="4" w:space="0" w:color="auto"/>
            </w:tcBorders>
            <w:vAlign w:val="center"/>
            <w:hideMark/>
          </w:tcPr>
          <w:p w14:paraId="08D80F24"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Distribution system</w:t>
            </w:r>
          </w:p>
        </w:tc>
        <w:tc>
          <w:tcPr>
            <w:tcW w:w="1820" w:type="dxa"/>
            <w:tcBorders>
              <w:top w:val="single" w:sz="4" w:space="0" w:color="auto"/>
              <w:left w:val="single" w:sz="4" w:space="0" w:color="auto"/>
              <w:bottom w:val="single" w:sz="4" w:space="0" w:color="auto"/>
              <w:right w:val="single" w:sz="4" w:space="0" w:color="auto"/>
            </w:tcBorders>
            <w:vAlign w:val="center"/>
            <w:hideMark/>
          </w:tcPr>
          <w:p w14:paraId="63C99225" w14:textId="1E332656"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Structured Numeric</w:t>
            </w:r>
          </w:p>
        </w:tc>
        <w:tc>
          <w:tcPr>
            <w:tcW w:w="1780" w:type="dxa"/>
            <w:tcBorders>
              <w:top w:val="single" w:sz="4" w:space="0" w:color="auto"/>
              <w:left w:val="single" w:sz="4" w:space="0" w:color="auto"/>
              <w:bottom w:val="single" w:sz="4" w:space="0" w:color="auto"/>
              <w:right w:val="single" w:sz="4" w:space="0" w:color="auto"/>
            </w:tcBorders>
            <w:vAlign w:val="center"/>
            <w:hideMark/>
          </w:tcPr>
          <w:p w14:paraId="46F88CE1"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0DF2A308" w14:textId="77777777" w:rsidTr="00F67220">
        <w:trPr>
          <w:trHeight w:val="1020"/>
        </w:trPr>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E697738" w14:textId="0F09A5B3"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Packaging Type</w:t>
            </w:r>
          </w:p>
        </w:tc>
        <w:tc>
          <w:tcPr>
            <w:tcW w:w="20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F0F6818"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Internal records</w:t>
            </w:r>
          </w:p>
        </w:tc>
        <w:tc>
          <w:tcPr>
            <w:tcW w:w="18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D196F3C" w14:textId="06E5255E"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Categorical Structured</w:t>
            </w:r>
          </w:p>
        </w:tc>
        <w:tc>
          <w:tcPr>
            <w:tcW w:w="178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3CD16DB"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7AC97989" w14:textId="77777777" w:rsidTr="00F67220">
        <w:trPr>
          <w:trHeight w:val="930"/>
        </w:trPr>
        <w:tc>
          <w:tcPr>
            <w:tcW w:w="1960" w:type="dxa"/>
            <w:tcBorders>
              <w:top w:val="single" w:sz="4" w:space="0" w:color="auto"/>
              <w:left w:val="single" w:sz="4" w:space="0" w:color="auto"/>
              <w:bottom w:val="single" w:sz="4" w:space="0" w:color="auto"/>
              <w:right w:val="single" w:sz="4" w:space="0" w:color="auto"/>
            </w:tcBorders>
            <w:vAlign w:val="center"/>
            <w:hideMark/>
          </w:tcPr>
          <w:p w14:paraId="30652AB8"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Pilot Feedback</w:t>
            </w:r>
          </w:p>
        </w:tc>
        <w:tc>
          <w:tcPr>
            <w:tcW w:w="2020" w:type="dxa"/>
            <w:tcBorders>
              <w:top w:val="single" w:sz="4" w:space="0" w:color="auto"/>
              <w:left w:val="single" w:sz="4" w:space="0" w:color="auto"/>
              <w:bottom w:val="single" w:sz="4" w:space="0" w:color="auto"/>
              <w:right w:val="single" w:sz="4" w:space="0" w:color="auto"/>
            </w:tcBorders>
            <w:vAlign w:val="center"/>
            <w:hideMark/>
          </w:tcPr>
          <w:p w14:paraId="3424B341"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Operational teams</w:t>
            </w:r>
          </w:p>
        </w:tc>
        <w:tc>
          <w:tcPr>
            <w:tcW w:w="1820" w:type="dxa"/>
            <w:tcBorders>
              <w:top w:val="single" w:sz="4" w:space="0" w:color="auto"/>
              <w:left w:val="single" w:sz="4" w:space="0" w:color="auto"/>
              <w:bottom w:val="single" w:sz="4" w:space="0" w:color="auto"/>
              <w:right w:val="single" w:sz="4" w:space="0" w:color="auto"/>
            </w:tcBorders>
            <w:vAlign w:val="center"/>
            <w:hideMark/>
          </w:tcPr>
          <w:p w14:paraId="7EFD995B" w14:textId="350D7B4E"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Unstructured Qualitative</w:t>
            </w:r>
          </w:p>
        </w:tc>
        <w:tc>
          <w:tcPr>
            <w:tcW w:w="1780" w:type="dxa"/>
            <w:tcBorders>
              <w:top w:val="single" w:sz="4" w:space="0" w:color="auto"/>
              <w:left w:val="single" w:sz="4" w:space="0" w:color="auto"/>
              <w:bottom w:val="single" w:sz="4" w:space="0" w:color="auto"/>
              <w:right w:val="single" w:sz="4" w:space="0" w:color="auto"/>
            </w:tcBorders>
            <w:vAlign w:val="center"/>
            <w:hideMark/>
          </w:tcPr>
          <w:p w14:paraId="61F1229B"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Manual</w:t>
            </w:r>
          </w:p>
        </w:tc>
      </w:tr>
    </w:tbl>
    <w:p w14:paraId="09C6A8F0" w14:textId="77777777" w:rsidR="00AA00F9" w:rsidRDefault="00AA00F9" w:rsidP="00AA00F9">
      <w:pPr>
        <w:spacing w:line="360" w:lineRule="auto"/>
        <w:rPr>
          <w:rFonts w:ascii="Arial" w:hAnsi="Arial" w:cs="Arial"/>
          <w:color w:val="auto"/>
          <w:sz w:val="24"/>
          <w:szCs w:val="24"/>
        </w:rPr>
      </w:pPr>
    </w:p>
    <w:p w14:paraId="623ACFEB" w14:textId="70630120" w:rsidR="00EC680C" w:rsidRPr="00EC680C" w:rsidRDefault="00EC680C" w:rsidP="00EC680C">
      <w:pPr>
        <w:pStyle w:val="Caption"/>
        <w:keepNext/>
        <w:rPr>
          <w:rFonts w:ascii="Arial" w:hAnsi="Arial" w:cs="Arial"/>
          <w:sz w:val="24"/>
          <w:szCs w:val="24"/>
        </w:rPr>
      </w:pPr>
      <w:bookmarkStart w:id="20" w:name="_Toc222739267"/>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2</w:t>
      </w:r>
      <w:r w:rsidRPr="00EC680C">
        <w:rPr>
          <w:rFonts w:ascii="Arial" w:hAnsi="Arial" w:cs="Arial"/>
          <w:sz w:val="24"/>
          <w:szCs w:val="24"/>
        </w:rPr>
        <w:fldChar w:fldCharType="end"/>
      </w:r>
      <w:r w:rsidRPr="00EC680C">
        <w:rPr>
          <w:rFonts w:ascii="Arial" w:hAnsi="Arial" w:cs="Arial"/>
          <w:sz w:val="24"/>
          <w:szCs w:val="24"/>
        </w:rPr>
        <w:t>. Sample pack cost breakdown</w:t>
      </w:r>
      <w:bookmarkEnd w:id="20"/>
    </w:p>
    <w:p w14:paraId="50074778" w14:textId="77777777" w:rsidR="002762B9" w:rsidRDefault="002762B9" w:rsidP="00D62ED8">
      <w:pPr>
        <w:spacing w:line="360" w:lineRule="auto"/>
        <w:jc w:val="both"/>
        <w:rPr>
          <w:rFonts w:ascii="Arial" w:hAnsi="Arial" w:cs="Arial"/>
          <w:color w:val="auto"/>
          <w:sz w:val="24"/>
          <w:szCs w:val="24"/>
        </w:rPr>
      </w:pPr>
      <w:r>
        <w:rPr>
          <w:noProof/>
        </w:rPr>
        <w:drawing>
          <wp:inline distT="0" distB="0" distL="0" distR="0" wp14:anchorId="23E4DA4F" wp14:editId="43C711DA">
            <wp:extent cx="6362700" cy="3629025"/>
            <wp:effectExtent l="0" t="0" r="0" b="9525"/>
            <wp:docPr id="6" name="Picture 5">
              <a:extLst xmlns:a="http://schemas.openxmlformats.org/drawingml/2006/main">
                <a:ext uri="{FF2B5EF4-FFF2-40B4-BE49-F238E27FC236}">
                  <a16:creationId xmlns:a16="http://schemas.microsoft.com/office/drawing/2014/main" id="{AEBA218B-4802-A4AD-05B2-669A5A410D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AEBA218B-4802-A4AD-05B2-669A5A410D3F}"/>
                        </a:ext>
                      </a:extLst>
                    </pic:cNvPr>
                    <pic:cNvPicPr>
                      <a:picLocks noChangeAspect="1"/>
                    </pic:cNvPicPr>
                  </pic:nvPicPr>
                  <pic:blipFill>
                    <a:blip r:embed="rId33"/>
                    <a:stretch>
                      <a:fillRect/>
                    </a:stretch>
                  </pic:blipFill>
                  <pic:spPr>
                    <a:xfrm>
                      <a:off x="0" y="0"/>
                      <a:ext cx="6362700" cy="3629025"/>
                    </a:xfrm>
                    <a:prstGeom prst="rect">
                      <a:avLst/>
                    </a:prstGeom>
                  </pic:spPr>
                </pic:pic>
              </a:graphicData>
            </a:graphic>
          </wp:inline>
        </w:drawing>
      </w:r>
    </w:p>
    <w:p w14:paraId="5EEA10B0" w14:textId="1850E17D" w:rsidR="00D70F97" w:rsidRDefault="00D70F97">
      <w:pPr>
        <w:rPr>
          <w:rFonts w:ascii="Arial" w:hAnsi="Arial" w:cs="Arial"/>
          <w:color w:val="auto"/>
          <w:sz w:val="24"/>
          <w:szCs w:val="24"/>
        </w:rPr>
      </w:pPr>
    </w:p>
    <w:p w14:paraId="7BCBBDF6" w14:textId="77777777" w:rsidR="00EC680C" w:rsidRDefault="00EC680C">
      <w:pPr>
        <w:rPr>
          <w:rFonts w:ascii="Arial" w:hAnsi="Arial" w:cs="Arial"/>
          <w:color w:val="auto"/>
          <w:sz w:val="24"/>
          <w:szCs w:val="24"/>
        </w:rPr>
      </w:pPr>
    </w:p>
    <w:p w14:paraId="4C027CBD" w14:textId="319887DD" w:rsidR="0077771E" w:rsidRPr="00EC680C" w:rsidRDefault="00EC680C" w:rsidP="00EC680C">
      <w:pPr>
        <w:pStyle w:val="Caption"/>
        <w:keepNext/>
        <w:jc w:val="both"/>
        <w:rPr>
          <w:rFonts w:ascii="Arial" w:hAnsi="Arial" w:cs="Arial"/>
          <w:sz w:val="24"/>
          <w:szCs w:val="24"/>
        </w:rPr>
      </w:pPr>
      <w:bookmarkStart w:id="21" w:name="_Toc222739268"/>
      <w:r w:rsidRPr="00EC680C">
        <w:rPr>
          <w:rFonts w:ascii="Arial" w:hAnsi="Arial" w:cs="Arial"/>
          <w:sz w:val="24"/>
          <w:szCs w:val="24"/>
        </w:rPr>
        <w:lastRenderedPageBreak/>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3</w:t>
      </w:r>
      <w:r w:rsidRPr="00EC680C">
        <w:rPr>
          <w:rFonts w:ascii="Arial" w:hAnsi="Arial" w:cs="Arial"/>
          <w:sz w:val="24"/>
          <w:szCs w:val="24"/>
        </w:rPr>
        <w:fldChar w:fldCharType="end"/>
      </w:r>
      <w:r w:rsidRPr="00EC680C">
        <w:rPr>
          <w:rFonts w:ascii="Arial" w:hAnsi="Arial" w:cs="Arial"/>
          <w:sz w:val="24"/>
          <w:szCs w:val="24"/>
        </w:rPr>
        <w:t>. Cost range for sending a sample pack</w:t>
      </w:r>
      <w:bookmarkEnd w:id="21"/>
    </w:p>
    <w:tbl>
      <w:tblPr>
        <w:tblW w:w="9400" w:type="dxa"/>
        <w:tblLook w:val="04A0" w:firstRow="1" w:lastRow="0" w:firstColumn="1" w:lastColumn="0" w:noHBand="0" w:noVBand="1"/>
      </w:tblPr>
      <w:tblGrid>
        <w:gridCol w:w="2060"/>
        <w:gridCol w:w="7340"/>
      </w:tblGrid>
      <w:tr w:rsidR="0077771E" w:rsidRPr="0077771E" w14:paraId="2E941DAD" w14:textId="77777777" w:rsidTr="0077771E">
        <w:trPr>
          <w:trHeight w:val="300"/>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9DB2C82" w14:textId="77777777" w:rsidR="0077771E" w:rsidRPr="0077771E" w:rsidRDefault="0077771E" w:rsidP="0077771E">
            <w:pPr>
              <w:spacing w:line="240" w:lineRule="auto"/>
              <w:rPr>
                <w:rFonts w:ascii="Calibri" w:eastAsia="Times New Roman" w:hAnsi="Calibri" w:cs="Calibri"/>
                <w:b/>
                <w:bCs/>
                <w:color w:val="000000"/>
                <w:sz w:val="22"/>
                <w:szCs w:val="22"/>
                <w:lang w:eastAsia="en-GB"/>
              </w:rPr>
            </w:pPr>
            <w:r w:rsidRPr="0077771E">
              <w:rPr>
                <w:rFonts w:ascii="Calibri" w:eastAsia="Times New Roman" w:hAnsi="Calibri" w:cs="Calibri"/>
                <w:b/>
                <w:bCs/>
                <w:color w:val="000000"/>
                <w:sz w:val="22"/>
                <w:szCs w:val="22"/>
                <w:lang w:eastAsia="en-GB"/>
              </w:rPr>
              <w:t>Cost Range</w:t>
            </w:r>
          </w:p>
        </w:tc>
        <w:tc>
          <w:tcPr>
            <w:tcW w:w="7340" w:type="dxa"/>
            <w:tcBorders>
              <w:top w:val="single" w:sz="4" w:space="0" w:color="auto"/>
              <w:left w:val="nil"/>
              <w:bottom w:val="single" w:sz="4" w:space="0" w:color="auto"/>
              <w:right w:val="single" w:sz="4" w:space="0" w:color="auto"/>
            </w:tcBorders>
            <w:noWrap/>
            <w:vAlign w:val="bottom"/>
            <w:hideMark/>
          </w:tcPr>
          <w:p w14:paraId="0847339F" w14:textId="77777777" w:rsidR="0077771E" w:rsidRPr="0077771E" w:rsidRDefault="0077771E" w:rsidP="0077771E">
            <w:pPr>
              <w:spacing w:line="240" w:lineRule="auto"/>
              <w:rPr>
                <w:rFonts w:ascii="Calibri" w:eastAsia="Times New Roman" w:hAnsi="Calibri" w:cs="Calibri"/>
                <w:b/>
                <w:bCs/>
                <w:color w:val="000000"/>
                <w:sz w:val="22"/>
                <w:szCs w:val="22"/>
                <w:lang w:eastAsia="en-GB"/>
              </w:rPr>
            </w:pPr>
            <w:r w:rsidRPr="0077771E">
              <w:rPr>
                <w:rFonts w:ascii="Calibri" w:eastAsia="Times New Roman" w:hAnsi="Calibri" w:cs="Calibri"/>
                <w:b/>
                <w:bCs/>
                <w:color w:val="000000"/>
                <w:sz w:val="22"/>
                <w:szCs w:val="22"/>
                <w:lang w:eastAsia="en-GB"/>
              </w:rPr>
              <w:t>Notes</w:t>
            </w:r>
          </w:p>
        </w:tc>
      </w:tr>
      <w:tr w:rsidR="0077771E" w:rsidRPr="0077771E" w14:paraId="29E0B491" w14:textId="77777777" w:rsidTr="0077771E">
        <w:trPr>
          <w:trHeight w:val="630"/>
        </w:trPr>
        <w:tc>
          <w:tcPr>
            <w:tcW w:w="2060" w:type="dxa"/>
            <w:tcBorders>
              <w:top w:val="nil"/>
              <w:left w:val="single" w:sz="4" w:space="0" w:color="auto"/>
              <w:bottom w:val="single" w:sz="4" w:space="0" w:color="auto"/>
              <w:right w:val="single" w:sz="4" w:space="0" w:color="auto"/>
            </w:tcBorders>
            <w:noWrap/>
            <w:vAlign w:val="bottom"/>
            <w:hideMark/>
          </w:tcPr>
          <w:p w14:paraId="03433132" w14:textId="77777777" w:rsidR="0077771E" w:rsidRPr="0077771E" w:rsidRDefault="0077771E" w:rsidP="0077771E">
            <w:pPr>
              <w:spacing w:line="240" w:lineRule="auto"/>
              <w:rPr>
                <w:rFonts w:ascii="Calibri" w:eastAsia="Times New Roman" w:hAnsi="Calibri" w:cs="Calibri"/>
                <w:color w:val="70AD47"/>
                <w:sz w:val="32"/>
                <w:szCs w:val="32"/>
                <w:lang w:eastAsia="en-GB"/>
              </w:rPr>
            </w:pPr>
            <w:r w:rsidRPr="0077771E">
              <w:rPr>
                <w:rFonts w:ascii="Calibri" w:eastAsia="Times New Roman" w:hAnsi="Calibri" w:cs="Calibri"/>
                <w:color w:val="70AD47"/>
                <w:sz w:val="32"/>
                <w:szCs w:val="32"/>
                <w:lang w:eastAsia="en-GB"/>
              </w:rPr>
              <w:t>£0.75 – £2.21</w:t>
            </w:r>
          </w:p>
        </w:tc>
        <w:tc>
          <w:tcPr>
            <w:tcW w:w="7340" w:type="dxa"/>
            <w:tcBorders>
              <w:top w:val="nil"/>
              <w:left w:val="nil"/>
              <w:bottom w:val="single" w:sz="4" w:space="0" w:color="auto"/>
              <w:right w:val="single" w:sz="4" w:space="0" w:color="auto"/>
            </w:tcBorders>
            <w:vAlign w:val="bottom"/>
            <w:hideMark/>
          </w:tcPr>
          <w:p w14:paraId="43C2F93F" w14:textId="604111AC"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 xml:space="preserve">The </w:t>
            </w:r>
            <w:r w:rsidR="0077771E" w:rsidRPr="0077771E">
              <w:rPr>
                <w:rFonts w:ascii="Calibri" w:eastAsia="Times New Roman" w:hAnsi="Calibri" w:cs="Calibri"/>
                <w:color w:val="000000"/>
                <w:sz w:val="22"/>
                <w:szCs w:val="22"/>
                <w:lang w:eastAsia="en-GB"/>
              </w:rPr>
              <w:t>cheapest to sample are Brava products and older generation products (Assura and SC Standard)</w:t>
            </w:r>
          </w:p>
        </w:tc>
      </w:tr>
      <w:tr w:rsidR="0077771E" w:rsidRPr="0077771E" w14:paraId="4EAE9874" w14:textId="77777777" w:rsidTr="0077771E">
        <w:trPr>
          <w:trHeight w:val="630"/>
        </w:trPr>
        <w:tc>
          <w:tcPr>
            <w:tcW w:w="2060" w:type="dxa"/>
            <w:tcBorders>
              <w:top w:val="nil"/>
              <w:left w:val="single" w:sz="4" w:space="0" w:color="auto"/>
              <w:bottom w:val="single" w:sz="4" w:space="0" w:color="auto"/>
              <w:right w:val="single" w:sz="4" w:space="0" w:color="auto"/>
            </w:tcBorders>
            <w:noWrap/>
            <w:vAlign w:val="bottom"/>
            <w:hideMark/>
          </w:tcPr>
          <w:p w14:paraId="2C7BDE84" w14:textId="77777777" w:rsidR="0077771E" w:rsidRPr="0077771E" w:rsidRDefault="0077771E" w:rsidP="0077771E">
            <w:pPr>
              <w:spacing w:line="240" w:lineRule="auto"/>
              <w:rPr>
                <w:rFonts w:ascii="Calibri" w:eastAsia="Times New Roman" w:hAnsi="Calibri" w:cs="Calibri"/>
                <w:color w:val="FFC000"/>
                <w:sz w:val="32"/>
                <w:szCs w:val="32"/>
                <w:lang w:eastAsia="en-GB"/>
              </w:rPr>
            </w:pPr>
            <w:r w:rsidRPr="0077771E">
              <w:rPr>
                <w:rFonts w:ascii="Calibri" w:eastAsia="Times New Roman" w:hAnsi="Calibri" w:cs="Calibri"/>
                <w:color w:val="FFC000"/>
                <w:sz w:val="32"/>
                <w:szCs w:val="32"/>
                <w:lang w:eastAsia="en-GB"/>
              </w:rPr>
              <w:t>£2.48 – £3.73</w:t>
            </w:r>
          </w:p>
        </w:tc>
        <w:tc>
          <w:tcPr>
            <w:tcW w:w="7340" w:type="dxa"/>
            <w:tcBorders>
              <w:top w:val="nil"/>
              <w:left w:val="nil"/>
              <w:bottom w:val="single" w:sz="4" w:space="0" w:color="auto"/>
              <w:right w:val="single" w:sz="4" w:space="0" w:color="auto"/>
            </w:tcBorders>
            <w:vAlign w:val="bottom"/>
            <w:hideMark/>
          </w:tcPr>
          <w:p w14:paraId="27143E81" w14:textId="2A7523C8"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This</w:t>
            </w:r>
            <w:r w:rsidR="0077771E" w:rsidRPr="0077771E">
              <w:rPr>
                <w:rFonts w:ascii="Calibri" w:eastAsia="Times New Roman" w:hAnsi="Calibri" w:cs="Calibri"/>
                <w:color w:val="000000"/>
                <w:sz w:val="22"/>
                <w:szCs w:val="22"/>
                <w:lang w:eastAsia="en-GB"/>
              </w:rPr>
              <w:t xml:space="preserve"> range primarily includes all OC drainable bags (both 1-piece and 2-piece). IC products tend to be the more expensive ones in this range.</w:t>
            </w:r>
          </w:p>
        </w:tc>
      </w:tr>
      <w:tr w:rsidR="0077771E" w:rsidRPr="0077771E" w14:paraId="61BD46AC" w14:textId="77777777" w:rsidTr="0077771E">
        <w:trPr>
          <w:trHeight w:val="930"/>
        </w:trPr>
        <w:tc>
          <w:tcPr>
            <w:tcW w:w="2060" w:type="dxa"/>
            <w:tcBorders>
              <w:top w:val="nil"/>
              <w:left w:val="single" w:sz="4" w:space="0" w:color="auto"/>
              <w:bottom w:val="single" w:sz="4" w:space="0" w:color="auto"/>
              <w:right w:val="single" w:sz="4" w:space="0" w:color="auto"/>
            </w:tcBorders>
            <w:noWrap/>
            <w:vAlign w:val="bottom"/>
            <w:hideMark/>
          </w:tcPr>
          <w:p w14:paraId="1B1B7FD2" w14:textId="77777777" w:rsidR="0077771E" w:rsidRPr="0077771E" w:rsidRDefault="0077771E" w:rsidP="0077771E">
            <w:pPr>
              <w:spacing w:line="240" w:lineRule="auto"/>
              <w:rPr>
                <w:rFonts w:ascii="Calibri" w:eastAsia="Times New Roman" w:hAnsi="Calibri" w:cs="Calibri"/>
                <w:color w:val="FF0000"/>
                <w:sz w:val="32"/>
                <w:szCs w:val="32"/>
                <w:lang w:eastAsia="en-GB"/>
              </w:rPr>
            </w:pPr>
            <w:r w:rsidRPr="0077771E">
              <w:rPr>
                <w:rFonts w:ascii="Calibri" w:eastAsia="Times New Roman" w:hAnsi="Calibri" w:cs="Calibri"/>
                <w:color w:val="FF0000"/>
                <w:sz w:val="32"/>
                <w:szCs w:val="32"/>
                <w:lang w:eastAsia="en-GB"/>
              </w:rPr>
              <w:t>£4.21 – £7.08</w:t>
            </w:r>
          </w:p>
        </w:tc>
        <w:tc>
          <w:tcPr>
            <w:tcW w:w="7340" w:type="dxa"/>
            <w:tcBorders>
              <w:top w:val="nil"/>
              <w:left w:val="nil"/>
              <w:bottom w:val="single" w:sz="4" w:space="0" w:color="auto"/>
              <w:right w:val="single" w:sz="4" w:space="0" w:color="auto"/>
            </w:tcBorders>
            <w:vAlign w:val="bottom"/>
            <w:hideMark/>
          </w:tcPr>
          <w:p w14:paraId="0903616D" w14:textId="433E1A03"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This</w:t>
            </w:r>
            <w:r w:rsidR="0077771E" w:rsidRPr="0077771E">
              <w:rPr>
                <w:rFonts w:ascii="Calibri" w:eastAsia="Times New Roman" w:hAnsi="Calibri" w:cs="Calibri"/>
                <w:color w:val="000000"/>
                <w:sz w:val="22"/>
                <w:szCs w:val="22"/>
                <w:lang w:eastAsia="en-GB"/>
              </w:rPr>
              <w:t xml:space="preserve"> range includes closed bags and </w:t>
            </w:r>
            <w:proofErr w:type="gramStart"/>
            <w:r w:rsidR="0077771E" w:rsidRPr="0077771E">
              <w:rPr>
                <w:rFonts w:ascii="Calibri" w:eastAsia="Times New Roman" w:hAnsi="Calibri" w:cs="Calibri"/>
                <w:color w:val="000000"/>
                <w:sz w:val="22"/>
                <w:szCs w:val="22"/>
                <w:lang w:eastAsia="en-GB"/>
              </w:rPr>
              <w:t>set</w:t>
            </w:r>
            <w:proofErr w:type="gramEnd"/>
            <w:r w:rsidR="0077771E" w:rsidRPr="0077771E">
              <w:rPr>
                <w:rFonts w:ascii="Calibri" w:eastAsia="Times New Roman" w:hAnsi="Calibri" w:cs="Calibri"/>
                <w:color w:val="000000"/>
                <w:sz w:val="22"/>
                <w:szCs w:val="22"/>
                <w:lang w:eastAsia="en-GB"/>
              </w:rPr>
              <w:t xml:space="preserve"> catheters. Both categories are characterised by having a high quantity of products inside the sample packs + more expensive to produce.</w:t>
            </w:r>
          </w:p>
        </w:tc>
      </w:tr>
    </w:tbl>
    <w:p w14:paraId="5C9157E4" w14:textId="77777777" w:rsidR="00F3779A" w:rsidRDefault="00F3779A" w:rsidP="00D62ED8">
      <w:pPr>
        <w:spacing w:line="360" w:lineRule="auto"/>
        <w:jc w:val="both"/>
        <w:rPr>
          <w:rFonts w:ascii="Arial" w:hAnsi="Arial" w:cs="Arial"/>
          <w:color w:val="auto"/>
          <w:sz w:val="24"/>
          <w:szCs w:val="24"/>
        </w:rPr>
      </w:pPr>
    </w:p>
    <w:p w14:paraId="150A2D28" w14:textId="12DF8CCB" w:rsidR="00EC680C" w:rsidRPr="00EC680C" w:rsidRDefault="00EC680C" w:rsidP="00EC680C">
      <w:pPr>
        <w:pStyle w:val="Caption"/>
        <w:keepNext/>
        <w:jc w:val="both"/>
        <w:rPr>
          <w:rFonts w:ascii="Arial" w:hAnsi="Arial" w:cs="Arial"/>
          <w:sz w:val="24"/>
          <w:szCs w:val="24"/>
        </w:rPr>
      </w:pPr>
      <w:bookmarkStart w:id="22" w:name="_Toc222739269"/>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4</w:t>
      </w:r>
      <w:r w:rsidRPr="00EC680C">
        <w:rPr>
          <w:rFonts w:ascii="Arial" w:hAnsi="Arial" w:cs="Arial"/>
          <w:sz w:val="24"/>
          <w:szCs w:val="24"/>
        </w:rPr>
        <w:fldChar w:fldCharType="end"/>
      </w:r>
      <w:r w:rsidRPr="00EC680C">
        <w:rPr>
          <w:rFonts w:ascii="Arial" w:hAnsi="Arial" w:cs="Arial"/>
          <w:sz w:val="24"/>
          <w:szCs w:val="24"/>
        </w:rPr>
        <w:t>. The sample pack and sample pouch - Total cost</w:t>
      </w:r>
      <w:bookmarkEnd w:id="22"/>
    </w:p>
    <w:p w14:paraId="104CD49E" w14:textId="77777777" w:rsidR="00EC680C" w:rsidRDefault="00B57B8C">
      <w:r w:rsidRPr="00B57B8C">
        <w:rPr>
          <w:rFonts w:ascii="Arial" w:hAnsi="Arial" w:cs="Arial"/>
          <w:noProof/>
          <w:color w:val="auto"/>
          <w:sz w:val="24"/>
          <w:szCs w:val="24"/>
        </w:rPr>
        <w:drawing>
          <wp:inline distT="0" distB="0" distL="0" distR="0" wp14:anchorId="60C25D0B" wp14:editId="169C9837">
            <wp:extent cx="2999431" cy="5544000"/>
            <wp:effectExtent l="0" t="0" r="0" b="0"/>
            <wp:docPr id="148588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84089" name=""/>
                    <pic:cNvPicPr/>
                  </pic:nvPicPr>
                  <pic:blipFill>
                    <a:blip r:embed="rId34"/>
                    <a:stretch>
                      <a:fillRect/>
                    </a:stretch>
                  </pic:blipFill>
                  <pic:spPr>
                    <a:xfrm>
                      <a:off x="0" y="0"/>
                      <a:ext cx="3012506" cy="5568168"/>
                    </a:xfrm>
                    <a:prstGeom prst="rect">
                      <a:avLst/>
                    </a:prstGeom>
                  </pic:spPr>
                </pic:pic>
              </a:graphicData>
            </a:graphic>
          </wp:inline>
        </w:drawing>
      </w:r>
      <w:r w:rsidR="005364E6">
        <w:rPr>
          <w:rFonts w:ascii="Arial" w:hAnsi="Arial" w:cs="Arial"/>
          <w:color w:val="auto"/>
          <w:sz w:val="24"/>
          <w:szCs w:val="24"/>
        </w:rPr>
        <w:br w:type="page"/>
      </w:r>
    </w:p>
    <w:p w14:paraId="60E941FE" w14:textId="21169FA4" w:rsidR="00E913B2" w:rsidRPr="00EC680C" w:rsidRDefault="00EC680C" w:rsidP="00EC680C">
      <w:pPr>
        <w:pStyle w:val="Caption"/>
        <w:keepNext/>
        <w:rPr>
          <w:rFonts w:ascii="Arial" w:hAnsi="Arial" w:cs="Arial"/>
          <w:sz w:val="24"/>
          <w:szCs w:val="24"/>
        </w:rPr>
      </w:pPr>
      <w:bookmarkStart w:id="23" w:name="_Toc222739270"/>
      <w:r w:rsidRPr="00EC680C">
        <w:rPr>
          <w:rFonts w:ascii="Arial" w:hAnsi="Arial" w:cs="Arial"/>
          <w:sz w:val="24"/>
          <w:szCs w:val="24"/>
        </w:rPr>
        <w:lastRenderedPageBreak/>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5</w:t>
      </w:r>
      <w:r w:rsidRPr="00EC680C">
        <w:rPr>
          <w:rFonts w:ascii="Arial" w:hAnsi="Arial" w:cs="Arial"/>
          <w:sz w:val="24"/>
          <w:szCs w:val="24"/>
        </w:rPr>
        <w:fldChar w:fldCharType="end"/>
      </w:r>
      <w:r w:rsidRPr="00EC680C">
        <w:rPr>
          <w:rFonts w:ascii="Arial" w:hAnsi="Arial" w:cs="Arial"/>
          <w:sz w:val="24"/>
          <w:szCs w:val="24"/>
        </w:rPr>
        <w:t>. Linear regression model</w:t>
      </w:r>
      <w:bookmarkEnd w:id="23"/>
    </w:p>
    <w:tbl>
      <w:tblPr>
        <w:tblW w:w="5660" w:type="dxa"/>
        <w:tblLook w:val="04A0" w:firstRow="1" w:lastRow="0" w:firstColumn="1" w:lastColumn="0" w:noHBand="0" w:noVBand="1"/>
      </w:tblPr>
      <w:tblGrid>
        <w:gridCol w:w="640"/>
        <w:gridCol w:w="5122"/>
      </w:tblGrid>
      <w:tr w:rsidR="00E528AA" w:rsidRPr="00E528AA" w14:paraId="57FC2DA4" w14:textId="77777777" w:rsidTr="00E528AA">
        <w:trPr>
          <w:trHeight w:val="675"/>
        </w:trPr>
        <w:tc>
          <w:tcPr>
            <w:tcW w:w="640" w:type="dxa"/>
            <w:tcBorders>
              <w:top w:val="nil"/>
              <w:left w:val="nil"/>
              <w:bottom w:val="nil"/>
              <w:right w:val="nil"/>
            </w:tcBorders>
            <w:noWrap/>
            <w:vAlign w:val="bottom"/>
            <w:hideMark/>
          </w:tcPr>
          <w:p w14:paraId="50AC6DB4" w14:textId="77777777" w:rsidR="00E528AA" w:rsidRPr="00E528AA" w:rsidRDefault="00E528AA" w:rsidP="00E528AA">
            <w:pPr>
              <w:spacing w:line="240" w:lineRule="auto"/>
              <w:rPr>
                <w:rFonts w:ascii="Times New Roman" w:eastAsia="Times New Roman" w:hAnsi="Times New Roman" w:cs="Times New Roman"/>
                <w:color w:val="auto"/>
                <w:sz w:val="24"/>
                <w:szCs w:val="24"/>
                <w:lang w:eastAsia="en-GB"/>
              </w:rPr>
            </w:pPr>
          </w:p>
        </w:tc>
        <w:tc>
          <w:tcPr>
            <w:tcW w:w="5020" w:type="dxa"/>
            <w:tcBorders>
              <w:top w:val="nil"/>
              <w:left w:val="nil"/>
              <w:bottom w:val="nil"/>
              <w:right w:val="nil"/>
            </w:tcBorders>
            <w:noWrap/>
            <w:vAlign w:val="bottom"/>
            <w:hideMark/>
          </w:tcPr>
          <w:p w14:paraId="01F9674A" w14:textId="77777777" w:rsidR="00E528AA" w:rsidRPr="00E528AA" w:rsidRDefault="00E528AA" w:rsidP="00E528AA">
            <w:pPr>
              <w:spacing w:line="240" w:lineRule="auto"/>
              <w:rPr>
                <w:rFonts w:ascii="Aptos" w:eastAsia="Times New Roman" w:hAnsi="Aptos" w:cs="Calibri"/>
                <w:b/>
                <w:bCs/>
                <w:color w:val="000000"/>
                <w:sz w:val="40"/>
                <w:szCs w:val="40"/>
                <w:lang w:eastAsia="en-GB"/>
              </w:rPr>
            </w:pPr>
            <w:proofErr w:type="spellStart"/>
            <w:r w:rsidRPr="00E528AA">
              <w:rPr>
                <w:rFonts w:ascii="Aptos" w:eastAsia="Times New Roman" w:hAnsi="Aptos" w:cs="Calibri"/>
                <w:b/>
                <w:bCs/>
                <w:color w:val="000000"/>
                <w:sz w:val="40"/>
                <w:szCs w:val="40"/>
                <w:lang w:eastAsia="en-GB"/>
              </w:rPr>
              <w:t>TotalCost</w:t>
            </w:r>
            <w:proofErr w:type="spellEnd"/>
            <w:r w:rsidRPr="00E528AA">
              <w:rPr>
                <w:rFonts w:ascii="Aptos" w:eastAsia="Times New Roman" w:hAnsi="Aptos" w:cs="Calibri"/>
                <w:b/>
                <w:bCs/>
                <w:color w:val="000000"/>
                <w:sz w:val="40"/>
                <w:szCs w:val="40"/>
                <w:lang w:eastAsia="en-GB"/>
              </w:rPr>
              <w:t>=</w:t>
            </w:r>
            <w:proofErr w:type="spellStart"/>
            <w:r w:rsidRPr="00E528AA">
              <w:rPr>
                <w:rFonts w:ascii="Aptos" w:eastAsia="Times New Roman" w:hAnsi="Aptos" w:cs="Calibri"/>
                <w:b/>
                <w:bCs/>
                <w:color w:val="000000"/>
                <w:sz w:val="40"/>
                <w:szCs w:val="40"/>
                <w:lang w:eastAsia="en-GB"/>
              </w:rPr>
              <w:t>a+b</w:t>
            </w:r>
            <w:proofErr w:type="spellEnd"/>
            <w:r w:rsidRPr="00E528AA">
              <w:rPr>
                <w:rFonts w:ascii="Aptos" w:eastAsia="Times New Roman" w:hAnsi="Aptos" w:cs="Calibri"/>
                <w:b/>
                <w:bCs/>
                <w:color w:val="000000"/>
                <w:sz w:val="40"/>
                <w:szCs w:val="40"/>
                <w:lang w:eastAsia="en-GB"/>
              </w:rPr>
              <w:t>(</w:t>
            </w:r>
            <w:proofErr w:type="spellStart"/>
            <w:r w:rsidRPr="00E528AA">
              <w:rPr>
                <w:rFonts w:ascii="Aptos" w:eastAsia="Times New Roman" w:hAnsi="Aptos" w:cs="Calibri"/>
                <w:b/>
                <w:bCs/>
                <w:color w:val="000000"/>
                <w:sz w:val="40"/>
                <w:szCs w:val="40"/>
                <w:lang w:eastAsia="en-GB"/>
              </w:rPr>
              <w:t>PouchCost</w:t>
            </w:r>
            <w:proofErr w:type="spellEnd"/>
            <w:r w:rsidRPr="00E528AA">
              <w:rPr>
                <w:rFonts w:ascii="Aptos" w:eastAsia="Times New Roman" w:hAnsi="Aptos" w:cs="Calibri"/>
                <w:b/>
                <w:bCs/>
                <w:color w:val="000000"/>
                <w:sz w:val="40"/>
                <w:szCs w:val="40"/>
                <w:lang w:eastAsia="en-GB"/>
              </w:rPr>
              <w:t>)</w:t>
            </w:r>
          </w:p>
        </w:tc>
      </w:tr>
      <w:tr w:rsidR="00E528AA" w:rsidRPr="00E528AA" w14:paraId="125C59D0" w14:textId="77777777" w:rsidTr="00E528AA">
        <w:trPr>
          <w:trHeight w:val="300"/>
        </w:trPr>
        <w:tc>
          <w:tcPr>
            <w:tcW w:w="640" w:type="dxa"/>
            <w:tcBorders>
              <w:top w:val="single" w:sz="4" w:space="0" w:color="auto"/>
              <w:left w:val="single" w:sz="4" w:space="0" w:color="auto"/>
              <w:bottom w:val="single" w:sz="4" w:space="0" w:color="auto"/>
              <w:right w:val="single" w:sz="4" w:space="0" w:color="auto"/>
            </w:tcBorders>
            <w:noWrap/>
            <w:vAlign w:val="bottom"/>
            <w:hideMark/>
          </w:tcPr>
          <w:p w14:paraId="006FC96C" w14:textId="77777777" w:rsidR="00E528AA" w:rsidRPr="00E528AA" w:rsidRDefault="00E528AA" w:rsidP="00E528AA">
            <w:pPr>
              <w:spacing w:line="240" w:lineRule="auto"/>
              <w:jc w:val="center"/>
              <w:rPr>
                <w:rFonts w:ascii="Calibri" w:eastAsia="Times New Roman" w:hAnsi="Calibri" w:cs="Calibri"/>
                <w:b/>
                <w:bCs/>
                <w:color w:val="000000"/>
                <w:sz w:val="22"/>
                <w:szCs w:val="22"/>
                <w:lang w:eastAsia="en-GB"/>
              </w:rPr>
            </w:pPr>
            <w:r w:rsidRPr="00E528AA">
              <w:rPr>
                <w:rFonts w:ascii="Calibri" w:eastAsia="Times New Roman" w:hAnsi="Calibri" w:cs="Calibri"/>
                <w:b/>
                <w:bCs/>
                <w:color w:val="000000"/>
                <w:sz w:val="22"/>
                <w:szCs w:val="22"/>
                <w:lang w:eastAsia="en-GB"/>
              </w:rPr>
              <w:t>a</w:t>
            </w:r>
          </w:p>
        </w:tc>
        <w:tc>
          <w:tcPr>
            <w:tcW w:w="5020" w:type="dxa"/>
            <w:tcBorders>
              <w:top w:val="single" w:sz="4" w:space="0" w:color="auto"/>
              <w:left w:val="nil"/>
              <w:bottom w:val="single" w:sz="4" w:space="0" w:color="auto"/>
              <w:right w:val="single" w:sz="4" w:space="0" w:color="auto"/>
            </w:tcBorders>
            <w:noWrap/>
            <w:vAlign w:val="bottom"/>
            <w:hideMark/>
          </w:tcPr>
          <w:p w14:paraId="5B8EDA5F" w14:textId="77777777" w:rsidR="00E528AA" w:rsidRPr="00E528AA" w:rsidRDefault="00E528AA" w:rsidP="00E528AA">
            <w:pPr>
              <w:spacing w:line="240" w:lineRule="auto"/>
              <w:rPr>
                <w:rFonts w:ascii="Calibri" w:eastAsia="Times New Roman" w:hAnsi="Calibri" w:cs="Calibri"/>
                <w:color w:val="000000"/>
                <w:sz w:val="22"/>
                <w:szCs w:val="22"/>
                <w:lang w:eastAsia="en-GB"/>
              </w:rPr>
            </w:pPr>
            <w:r w:rsidRPr="00E528AA">
              <w:rPr>
                <w:rFonts w:ascii="Calibri" w:eastAsia="Times New Roman" w:hAnsi="Calibri" w:cs="Calibri"/>
                <w:color w:val="000000"/>
                <w:sz w:val="22"/>
                <w:szCs w:val="22"/>
                <w:lang w:eastAsia="en-GB"/>
              </w:rPr>
              <w:t>represents the intercept</w:t>
            </w:r>
          </w:p>
        </w:tc>
      </w:tr>
      <w:tr w:rsidR="00E528AA" w:rsidRPr="00E528AA" w14:paraId="0D393DF4" w14:textId="77777777" w:rsidTr="00E528AA">
        <w:trPr>
          <w:trHeight w:val="300"/>
        </w:trPr>
        <w:tc>
          <w:tcPr>
            <w:tcW w:w="640" w:type="dxa"/>
            <w:tcBorders>
              <w:top w:val="nil"/>
              <w:left w:val="single" w:sz="4" w:space="0" w:color="auto"/>
              <w:bottom w:val="single" w:sz="4" w:space="0" w:color="auto"/>
              <w:right w:val="single" w:sz="4" w:space="0" w:color="auto"/>
            </w:tcBorders>
            <w:noWrap/>
            <w:vAlign w:val="bottom"/>
            <w:hideMark/>
          </w:tcPr>
          <w:p w14:paraId="7BEE43B2" w14:textId="77777777" w:rsidR="00E528AA" w:rsidRPr="00E528AA" w:rsidRDefault="00E528AA" w:rsidP="00E528AA">
            <w:pPr>
              <w:spacing w:line="240" w:lineRule="auto"/>
              <w:jc w:val="center"/>
              <w:rPr>
                <w:rFonts w:ascii="Calibri" w:eastAsia="Times New Roman" w:hAnsi="Calibri" w:cs="Calibri"/>
                <w:b/>
                <w:bCs/>
                <w:color w:val="000000"/>
                <w:sz w:val="22"/>
                <w:szCs w:val="22"/>
                <w:lang w:eastAsia="en-GB"/>
              </w:rPr>
            </w:pPr>
            <w:r w:rsidRPr="00E528AA">
              <w:rPr>
                <w:rFonts w:ascii="Calibri" w:eastAsia="Times New Roman" w:hAnsi="Calibri" w:cs="Calibri"/>
                <w:b/>
                <w:bCs/>
                <w:color w:val="000000"/>
                <w:sz w:val="22"/>
                <w:szCs w:val="22"/>
                <w:lang w:eastAsia="en-GB"/>
              </w:rPr>
              <w:t>b</w:t>
            </w:r>
          </w:p>
        </w:tc>
        <w:tc>
          <w:tcPr>
            <w:tcW w:w="5020" w:type="dxa"/>
            <w:tcBorders>
              <w:top w:val="nil"/>
              <w:left w:val="nil"/>
              <w:bottom w:val="single" w:sz="4" w:space="0" w:color="auto"/>
              <w:right w:val="single" w:sz="4" w:space="0" w:color="auto"/>
            </w:tcBorders>
            <w:noWrap/>
            <w:vAlign w:val="bottom"/>
            <w:hideMark/>
          </w:tcPr>
          <w:p w14:paraId="7EA7FA46" w14:textId="77777777" w:rsidR="00E528AA" w:rsidRPr="00E528AA" w:rsidRDefault="00E528AA" w:rsidP="00E528AA">
            <w:pPr>
              <w:spacing w:line="240" w:lineRule="auto"/>
              <w:rPr>
                <w:rFonts w:ascii="Calibri" w:eastAsia="Times New Roman" w:hAnsi="Calibri" w:cs="Calibri"/>
                <w:color w:val="000000"/>
                <w:sz w:val="22"/>
                <w:szCs w:val="22"/>
                <w:lang w:eastAsia="en-GB"/>
              </w:rPr>
            </w:pPr>
            <w:r w:rsidRPr="00E528AA">
              <w:rPr>
                <w:rFonts w:ascii="Calibri" w:eastAsia="Times New Roman" w:hAnsi="Calibri" w:cs="Calibri"/>
                <w:color w:val="000000"/>
                <w:sz w:val="22"/>
                <w:szCs w:val="22"/>
                <w:lang w:eastAsia="en-GB"/>
              </w:rPr>
              <w:t>represents the regression coefficient for pouch cost</w:t>
            </w:r>
          </w:p>
        </w:tc>
      </w:tr>
    </w:tbl>
    <w:p w14:paraId="4254C5CA" w14:textId="77777777" w:rsidR="001818BA" w:rsidRDefault="001818BA">
      <w:pPr>
        <w:rPr>
          <w:rFonts w:ascii="Arial" w:hAnsi="Arial" w:cs="Arial"/>
          <w:color w:val="auto"/>
          <w:sz w:val="24"/>
          <w:szCs w:val="24"/>
        </w:rPr>
      </w:pPr>
    </w:p>
    <w:p w14:paraId="48193949" w14:textId="77777777" w:rsidR="00EC680C" w:rsidRDefault="00EC680C" w:rsidP="00EC680C">
      <w:pPr>
        <w:pStyle w:val="Caption"/>
        <w:rPr>
          <w:rFonts w:ascii="Arial" w:hAnsi="Arial" w:cs="Arial"/>
          <w:sz w:val="24"/>
          <w:szCs w:val="24"/>
        </w:rPr>
      </w:pPr>
    </w:p>
    <w:p w14:paraId="7062122C" w14:textId="02D98932" w:rsidR="001818BA" w:rsidRPr="00EC680C" w:rsidRDefault="00EC680C" w:rsidP="00EC680C">
      <w:pPr>
        <w:pStyle w:val="Caption"/>
        <w:rPr>
          <w:rFonts w:ascii="Arial" w:hAnsi="Arial" w:cs="Arial"/>
          <w:color w:val="auto"/>
          <w:sz w:val="24"/>
          <w:szCs w:val="24"/>
        </w:rPr>
      </w:pPr>
      <w:bookmarkStart w:id="24" w:name="_Toc222739271"/>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6</w:t>
      </w:r>
      <w:r w:rsidRPr="00EC680C">
        <w:rPr>
          <w:rFonts w:ascii="Arial" w:hAnsi="Arial" w:cs="Arial"/>
          <w:sz w:val="24"/>
          <w:szCs w:val="24"/>
        </w:rPr>
        <w:fldChar w:fldCharType="end"/>
      </w:r>
      <w:r w:rsidRPr="00EC680C">
        <w:rPr>
          <w:rFonts w:ascii="Arial" w:hAnsi="Arial" w:cs="Arial"/>
          <w:sz w:val="24"/>
          <w:szCs w:val="24"/>
        </w:rPr>
        <w:t>. Current postage prices for Royal Mail.</w:t>
      </w:r>
      <w:bookmarkEnd w:id="24"/>
    </w:p>
    <w:p w14:paraId="69FCBE43" w14:textId="77777777" w:rsidR="005D2574" w:rsidRDefault="00F15AD7">
      <w:pPr>
        <w:rPr>
          <w:rFonts w:ascii="Arial" w:hAnsi="Arial" w:cs="Arial"/>
          <w:color w:val="auto"/>
          <w:sz w:val="24"/>
          <w:szCs w:val="24"/>
        </w:rPr>
      </w:pPr>
      <w:r w:rsidRPr="00F15AD7">
        <w:rPr>
          <w:rFonts w:ascii="Arial" w:hAnsi="Arial" w:cs="Arial"/>
          <w:noProof/>
          <w:color w:val="auto"/>
          <w:sz w:val="24"/>
          <w:szCs w:val="24"/>
        </w:rPr>
        <w:drawing>
          <wp:inline distT="0" distB="0" distL="0" distR="0" wp14:anchorId="602FFCA6" wp14:editId="7D750C94">
            <wp:extent cx="6263640" cy="2577600"/>
            <wp:effectExtent l="0" t="0" r="3810" b="0"/>
            <wp:docPr id="22326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63290" name=""/>
                    <pic:cNvPicPr/>
                  </pic:nvPicPr>
                  <pic:blipFill>
                    <a:blip r:embed="rId35"/>
                    <a:stretch>
                      <a:fillRect/>
                    </a:stretch>
                  </pic:blipFill>
                  <pic:spPr>
                    <a:xfrm>
                      <a:off x="0" y="0"/>
                      <a:ext cx="6267591" cy="2579226"/>
                    </a:xfrm>
                    <a:prstGeom prst="rect">
                      <a:avLst/>
                    </a:prstGeom>
                  </pic:spPr>
                </pic:pic>
              </a:graphicData>
            </a:graphic>
          </wp:inline>
        </w:drawing>
      </w:r>
    </w:p>
    <w:p w14:paraId="6D85CF41" w14:textId="77777777" w:rsidR="005D2574" w:rsidRDefault="005D2574">
      <w:pPr>
        <w:rPr>
          <w:rFonts w:ascii="Arial" w:hAnsi="Arial" w:cs="Arial"/>
          <w:color w:val="auto"/>
          <w:sz w:val="24"/>
          <w:szCs w:val="24"/>
        </w:rPr>
      </w:pPr>
    </w:p>
    <w:p w14:paraId="36BDB244" w14:textId="77777777" w:rsidR="00EC680C" w:rsidRDefault="00EC680C">
      <w:pPr>
        <w:rPr>
          <w:rFonts w:ascii="Arial" w:hAnsi="Arial" w:cs="Arial"/>
          <w:color w:val="auto"/>
          <w:sz w:val="24"/>
          <w:szCs w:val="24"/>
        </w:rPr>
      </w:pPr>
    </w:p>
    <w:p w14:paraId="1C4B59A1" w14:textId="77777777" w:rsidR="00EC680C" w:rsidRDefault="00EC680C">
      <w:pPr>
        <w:rPr>
          <w:rFonts w:ascii="Arial" w:hAnsi="Arial" w:cs="Arial"/>
          <w:iCs/>
          <w:sz w:val="24"/>
          <w:szCs w:val="24"/>
        </w:rPr>
      </w:pPr>
      <w:r>
        <w:rPr>
          <w:rFonts w:ascii="Arial" w:hAnsi="Arial" w:cs="Arial"/>
          <w:sz w:val="24"/>
          <w:szCs w:val="24"/>
        </w:rPr>
        <w:br w:type="page"/>
      </w:r>
    </w:p>
    <w:p w14:paraId="34FEDE2F" w14:textId="0EC79207" w:rsidR="00EC680C" w:rsidRDefault="00CD521A" w:rsidP="00CD521A">
      <w:pPr>
        <w:pStyle w:val="Caption"/>
        <w:rPr>
          <w:rFonts w:ascii="Arial" w:hAnsi="Arial" w:cs="Arial"/>
          <w:color w:val="auto"/>
          <w:sz w:val="24"/>
          <w:szCs w:val="24"/>
        </w:rPr>
      </w:pPr>
      <w:bookmarkStart w:id="25" w:name="_Toc222739272"/>
      <w:r>
        <w:rPr>
          <w:noProof/>
        </w:rPr>
        <w:lastRenderedPageBreak/>
        <w:drawing>
          <wp:anchor distT="0" distB="0" distL="114300" distR="114300" simplePos="0" relativeHeight="251660288" behindDoc="1" locked="0" layoutInCell="1" allowOverlap="1" wp14:anchorId="3CC78E7D" wp14:editId="001DEE2B">
            <wp:simplePos x="0" y="0"/>
            <wp:positionH relativeFrom="margin">
              <wp:align>right</wp:align>
            </wp:positionH>
            <wp:positionV relativeFrom="paragraph">
              <wp:posOffset>281145</wp:posOffset>
            </wp:positionV>
            <wp:extent cx="6260465" cy="3866400"/>
            <wp:effectExtent l="0" t="0" r="6985" b="1270"/>
            <wp:wrapTight wrapText="bothSides">
              <wp:wrapPolygon edited="0">
                <wp:start x="0" y="0"/>
                <wp:lineTo x="0" y="21501"/>
                <wp:lineTo x="21558" y="21501"/>
                <wp:lineTo x="21558" y="0"/>
                <wp:lineTo x="0" y="0"/>
              </wp:wrapPolygon>
            </wp:wrapTight>
            <wp:docPr id="3" name="Picture 2">
              <a:extLst xmlns:a="http://schemas.openxmlformats.org/drawingml/2006/main">
                <a:ext uri="{FF2B5EF4-FFF2-40B4-BE49-F238E27FC236}">
                  <a16:creationId xmlns:a16="http://schemas.microsoft.com/office/drawing/2014/main" id="{77A57919-05DE-9198-D634-64A2C14C12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7A57919-05DE-9198-D634-64A2C14C12C0}"/>
                        </a:ext>
                      </a:extLst>
                    </pic:cNvPr>
                    <pic:cNvPicPr>
                      <a:picLocks noChangeAspect="1"/>
                    </pic:cNvPicPr>
                  </pic:nvPicPr>
                  <pic:blipFill>
                    <a:blip r:embed="rId36"/>
                    <a:stretch>
                      <a:fillRect/>
                    </a:stretch>
                  </pic:blipFill>
                  <pic:spPr>
                    <a:xfrm>
                      <a:off x="0" y="0"/>
                      <a:ext cx="6260465" cy="3866400"/>
                    </a:xfrm>
                    <a:prstGeom prst="rect">
                      <a:avLst/>
                    </a:prstGeom>
                  </pic:spPr>
                </pic:pic>
              </a:graphicData>
            </a:graphic>
          </wp:anchor>
        </w:drawing>
      </w:r>
      <w:r w:rsidR="00EC680C" w:rsidRPr="00EC680C">
        <w:rPr>
          <w:rFonts w:ascii="Arial" w:hAnsi="Arial" w:cs="Arial"/>
          <w:sz w:val="24"/>
          <w:szCs w:val="24"/>
        </w:rPr>
        <w:t xml:space="preserve">Table </w:t>
      </w:r>
      <w:r w:rsidR="00EC680C" w:rsidRPr="00EC680C">
        <w:rPr>
          <w:rFonts w:ascii="Arial" w:hAnsi="Arial" w:cs="Arial"/>
          <w:sz w:val="24"/>
          <w:szCs w:val="24"/>
        </w:rPr>
        <w:fldChar w:fldCharType="begin"/>
      </w:r>
      <w:r w:rsidR="00EC680C" w:rsidRPr="00EC680C">
        <w:rPr>
          <w:rFonts w:ascii="Arial" w:hAnsi="Arial" w:cs="Arial"/>
          <w:sz w:val="24"/>
          <w:szCs w:val="24"/>
        </w:rPr>
        <w:instrText xml:space="preserve"> SEQ Table \* ARABIC </w:instrText>
      </w:r>
      <w:r w:rsidR="00EC680C" w:rsidRPr="00EC680C">
        <w:rPr>
          <w:rFonts w:ascii="Arial" w:hAnsi="Arial" w:cs="Arial"/>
          <w:sz w:val="24"/>
          <w:szCs w:val="24"/>
        </w:rPr>
        <w:fldChar w:fldCharType="separate"/>
      </w:r>
      <w:r w:rsidR="00872243">
        <w:rPr>
          <w:rFonts w:ascii="Arial" w:hAnsi="Arial" w:cs="Arial"/>
          <w:noProof/>
          <w:sz w:val="24"/>
          <w:szCs w:val="24"/>
        </w:rPr>
        <w:t>7</w:t>
      </w:r>
      <w:r w:rsidR="00EC680C" w:rsidRPr="00EC680C">
        <w:rPr>
          <w:rFonts w:ascii="Arial" w:hAnsi="Arial" w:cs="Arial"/>
          <w:sz w:val="24"/>
          <w:szCs w:val="24"/>
        </w:rPr>
        <w:fldChar w:fldCharType="end"/>
      </w:r>
      <w:r w:rsidR="00EC680C" w:rsidRPr="00EC680C">
        <w:rPr>
          <w:rFonts w:ascii="Arial" w:hAnsi="Arial" w:cs="Arial"/>
          <w:sz w:val="24"/>
          <w:szCs w:val="24"/>
        </w:rPr>
        <w:t>. Cutting room pilot session feedback</w:t>
      </w:r>
      <w:bookmarkEnd w:id="25"/>
      <w:r w:rsidR="00655494" w:rsidRPr="00EC680C">
        <w:rPr>
          <w:rFonts w:ascii="Arial" w:hAnsi="Arial" w:cs="Arial"/>
          <w:color w:val="auto"/>
          <w:sz w:val="24"/>
          <w:szCs w:val="24"/>
        </w:rPr>
        <w:t xml:space="preserve"> </w:t>
      </w:r>
    </w:p>
    <w:p w14:paraId="4E94558C" w14:textId="77777777" w:rsidR="00EC680C" w:rsidRDefault="00EC680C" w:rsidP="00E1793F">
      <w:pPr>
        <w:rPr>
          <w:rFonts w:ascii="Arial" w:hAnsi="Arial" w:cs="Arial"/>
          <w:color w:val="auto"/>
          <w:sz w:val="24"/>
          <w:szCs w:val="24"/>
        </w:rPr>
      </w:pPr>
    </w:p>
    <w:p w14:paraId="1FC77CB6" w14:textId="40E5967E" w:rsidR="00872243" w:rsidRPr="00872243" w:rsidRDefault="00872243" w:rsidP="00872243">
      <w:pPr>
        <w:pStyle w:val="Caption"/>
        <w:keepNext/>
        <w:rPr>
          <w:rFonts w:ascii="Arial" w:hAnsi="Arial" w:cs="Arial"/>
          <w:sz w:val="24"/>
          <w:szCs w:val="24"/>
        </w:rPr>
      </w:pPr>
      <w:bookmarkStart w:id="26" w:name="_Toc222739273"/>
      <w:r w:rsidRPr="00872243">
        <w:rPr>
          <w:rFonts w:ascii="Arial" w:hAnsi="Arial" w:cs="Arial"/>
          <w:sz w:val="24"/>
          <w:szCs w:val="24"/>
        </w:rPr>
        <w:t xml:space="preserve">Table </w:t>
      </w:r>
      <w:r w:rsidRPr="00872243">
        <w:rPr>
          <w:rFonts w:ascii="Arial" w:hAnsi="Arial" w:cs="Arial"/>
          <w:sz w:val="24"/>
          <w:szCs w:val="24"/>
        </w:rPr>
        <w:fldChar w:fldCharType="begin"/>
      </w:r>
      <w:r w:rsidRPr="00872243">
        <w:rPr>
          <w:rFonts w:ascii="Arial" w:hAnsi="Arial" w:cs="Arial"/>
          <w:sz w:val="24"/>
          <w:szCs w:val="24"/>
        </w:rPr>
        <w:instrText xml:space="preserve"> SEQ Table \* ARABIC </w:instrText>
      </w:r>
      <w:r w:rsidRPr="00872243">
        <w:rPr>
          <w:rFonts w:ascii="Arial" w:hAnsi="Arial" w:cs="Arial"/>
          <w:sz w:val="24"/>
          <w:szCs w:val="24"/>
        </w:rPr>
        <w:fldChar w:fldCharType="separate"/>
      </w:r>
      <w:r>
        <w:rPr>
          <w:rFonts w:ascii="Arial" w:hAnsi="Arial" w:cs="Arial"/>
          <w:noProof/>
          <w:sz w:val="24"/>
          <w:szCs w:val="24"/>
        </w:rPr>
        <w:t>8</w:t>
      </w:r>
      <w:r w:rsidRPr="00872243">
        <w:rPr>
          <w:rFonts w:ascii="Arial" w:hAnsi="Arial" w:cs="Arial"/>
          <w:sz w:val="24"/>
          <w:szCs w:val="24"/>
        </w:rPr>
        <w:fldChar w:fldCharType="end"/>
      </w:r>
      <w:r w:rsidRPr="00872243">
        <w:rPr>
          <w:rFonts w:ascii="Arial" w:hAnsi="Arial" w:cs="Arial"/>
          <w:sz w:val="24"/>
          <w:szCs w:val="24"/>
        </w:rPr>
        <w:t xml:space="preserve">. </w:t>
      </w:r>
      <w:proofErr w:type="spellStart"/>
      <w:r w:rsidRPr="00872243">
        <w:rPr>
          <w:rFonts w:ascii="Arial" w:hAnsi="Arial" w:cs="Arial"/>
          <w:sz w:val="24"/>
          <w:szCs w:val="24"/>
        </w:rPr>
        <w:t>Homepacks</w:t>
      </w:r>
      <w:proofErr w:type="spellEnd"/>
      <w:r w:rsidRPr="00872243">
        <w:rPr>
          <w:rFonts w:ascii="Arial" w:hAnsi="Arial" w:cs="Arial"/>
          <w:sz w:val="24"/>
          <w:szCs w:val="24"/>
        </w:rPr>
        <w:t xml:space="preserve"> pilot session feedback</w:t>
      </w:r>
      <w:bookmarkEnd w:id="26"/>
    </w:p>
    <w:p w14:paraId="048515F7" w14:textId="133B3DCA" w:rsidR="00E1793F" w:rsidRDefault="00601D35" w:rsidP="00E1793F">
      <w:pPr>
        <w:rPr>
          <w:rFonts w:ascii="Arial" w:hAnsi="Arial" w:cs="Arial"/>
          <w:color w:val="auto"/>
          <w:sz w:val="24"/>
          <w:szCs w:val="24"/>
        </w:rPr>
      </w:pPr>
      <w:r>
        <w:rPr>
          <w:noProof/>
        </w:rPr>
        <w:drawing>
          <wp:inline distT="0" distB="0" distL="0" distR="0" wp14:anchorId="62BE3B7B" wp14:editId="6E20C7F9">
            <wp:extent cx="6263278" cy="3744000"/>
            <wp:effectExtent l="0" t="0" r="4445" b="8890"/>
            <wp:docPr id="4" name="Picture 3">
              <a:extLst xmlns:a="http://schemas.openxmlformats.org/drawingml/2006/main">
                <a:ext uri="{FF2B5EF4-FFF2-40B4-BE49-F238E27FC236}">
                  <a16:creationId xmlns:a16="http://schemas.microsoft.com/office/drawing/2014/main" id="{B6427AEB-F9F5-EC6D-0FD3-DBCF37FDEF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6427AEB-F9F5-EC6D-0FD3-DBCF37FDEF00}"/>
                        </a:ext>
                      </a:extLst>
                    </pic:cNvPr>
                    <pic:cNvPicPr>
                      <a:picLocks noChangeAspect="1"/>
                    </pic:cNvPicPr>
                  </pic:nvPicPr>
                  <pic:blipFill>
                    <a:blip r:embed="rId37"/>
                    <a:stretch>
                      <a:fillRect/>
                    </a:stretch>
                  </pic:blipFill>
                  <pic:spPr>
                    <a:xfrm>
                      <a:off x="0" y="0"/>
                      <a:ext cx="6269288" cy="3747593"/>
                    </a:xfrm>
                    <a:prstGeom prst="rect">
                      <a:avLst/>
                    </a:prstGeom>
                  </pic:spPr>
                </pic:pic>
              </a:graphicData>
            </a:graphic>
          </wp:inline>
        </w:drawing>
      </w:r>
    </w:p>
    <w:p w14:paraId="33FC33D4" w14:textId="77777777" w:rsidR="00601D35" w:rsidRDefault="00601D35" w:rsidP="00E1793F">
      <w:pPr>
        <w:rPr>
          <w:rFonts w:ascii="Arial" w:hAnsi="Arial" w:cs="Arial"/>
          <w:color w:val="auto"/>
          <w:sz w:val="24"/>
          <w:szCs w:val="24"/>
        </w:rPr>
      </w:pPr>
    </w:p>
    <w:p w14:paraId="5C12BC48" w14:textId="12EDA196" w:rsidR="00872243" w:rsidRPr="00872243" w:rsidRDefault="00872243" w:rsidP="00872243">
      <w:pPr>
        <w:pStyle w:val="Caption"/>
        <w:keepNext/>
        <w:rPr>
          <w:rFonts w:ascii="Arial" w:hAnsi="Arial" w:cs="Arial"/>
          <w:sz w:val="24"/>
          <w:szCs w:val="24"/>
        </w:rPr>
      </w:pPr>
      <w:bookmarkStart w:id="27" w:name="_Toc222739274"/>
      <w:r w:rsidRPr="00872243">
        <w:rPr>
          <w:rFonts w:ascii="Arial" w:hAnsi="Arial" w:cs="Arial"/>
          <w:sz w:val="24"/>
          <w:szCs w:val="24"/>
        </w:rPr>
        <w:t xml:space="preserve">Table </w:t>
      </w:r>
      <w:r w:rsidRPr="00872243">
        <w:rPr>
          <w:rFonts w:ascii="Arial" w:hAnsi="Arial" w:cs="Arial"/>
          <w:sz w:val="24"/>
          <w:szCs w:val="24"/>
        </w:rPr>
        <w:fldChar w:fldCharType="begin"/>
      </w:r>
      <w:r w:rsidRPr="00872243">
        <w:rPr>
          <w:rFonts w:ascii="Arial" w:hAnsi="Arial" w:cs="Arial"/>
          <w:sz w:val="24"/>
          <w:szCs w:val="24"/>
        </w:rPr>
        <w:instrText xml:space="preserve"> SEQ Table \* ARABIC </w:instrText>
      </w:r>
      <w:r w:rsidRPr="00872243">
        <w:rPr>
          <w:rFonts w:ascii="Arial" w:hAnsi="Arial" w:cs="Arial"/>
          <w:sz w:val="24"/>
          <w:szCs w:val="24"/>
        </w:rPr>
        <w:fldChar w:fldCharType="separate"/>
      </w:r>
      <w:r w:rsidRPr="00872243">
        <w:rPr>
          <w:rFonts w:ascii="Arial" w:hAnsi="Arial" w:cs="Arial"/>
          <w:noProof/>
          <w:sz w:val="24"/>
          <w:szCs w:val="24"/>
        </w:rPr>
        <w:t>9</w:t>
      </w:r>
      <w:r w:rsidRPr="00872243">
        <w:rPr>
          <w:rFonts w:ascii="Arial" w:hAnsi="Arial" w:cs="Arial"/>
          <w:sz w:val="24"/>
          <w:szCs w:val="24"/>
        </w:rPr>
        <w:fldChar w:fldCharType="end"/>
      </w:r>
      <w:r w:rsidRPr="00872243">
        <w:rPr>
          <w:rFonts w:ascii="Arial" w:hAnsi="Arial" w:cs="Arial"/>
          <w:sz w:val="24"/>
          <w:szCs w:val="24"/>
        </w:rPr>
        <w:t>. Charter pilot session feedback</w:t>
      </w:r>
      <w:bookmarkEnd w:id="27"/>
    </w:p>
    <w:p w14:paraId="0F15A92C" w14:textId="3BEF596F" w:rsidR="00601D35" w:rsidRDefault="000E74C4" w:rsidP="00E1793F">
      <w:pPr>
        <w:rPr>
          <w:rFonts w:ascii="Arial" w:hAnsi="Arial" w:cs="Arial"/>
          <w:color w:val="auto"/>
          <w:sz w:val="24"/>
          <w:szCs w:val="24"/>
        </w:rPr>
      </w:pPr>
      <w:r w:rsidRPr="000E74C4">
        <w:rPr>
          <w:rFonts w:ascii="Arial" w:hAnsi="Arial" w:cs="Arial"/>
          <w:noProof/>
          <w:color w:val="auto"/>
          <w:sz w:val="24"/>
          <w:szCs w:val="24"/>
        </w:rPr>
        <w:drawing>
          <wp:inline distT="0" distB="0" distL="0" distR="0" wp14:anchorId="6846D1B0" wp14:editId="37DE453C">
            <wp:extent cx="6263640" cy="3188335"/>
            <wp:effectExtent l="0" t="0" r="3810" b="0"/>
            <wp:docPr id="64467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78678" name=""/>
                    <pic:cNvPicPr/>
                  </pic:nvPicPr>
                  <pic:blipFill>
                    <a:blip r:embed="rId38"/>
                    <a:stretch>
                      <a:fillRect/>
                    </a:stretch>
                  </pic:blipFill>
                  <pic:spPr>
                    <a:xfrm>
                      <a:off x="0" y="0"/>
                      <a:ext cx="6263640" cy="3188335"/>
                    </a:xfrm>
                    <a:prstGeom prst="rect">
                      <a:avLst/>
                    </a:prstGeom>
                  </pic:spPr>
                </pic:pic>
              </a:graphicData>
            </a:graphic>
          </wp:inline>
        </w:drawing>
      </w:r>
    </w:p>
    <w:p w14:paraId="693307D0" w14:textId="319FF2D7" w:rsidR="00E913B2" w:rsidRDefault="00E913B2">
      <w:pPr>
        <w:rPr>
          <w:rFonts w:ascii="Arial" w:hAnsi="Arial" w:cs="Arial"/>
          <w:color w:val="auto"/>
          <w:sz w:val="24"/>
          <w:szCs w:val="24"/>
        </w:rPr>
      </w:pPr>
      <w:r>
        <w:rPr>
          <w:rFonts w:ascii="Arial" w:hAnsi="Arial" w:cs="Arial"/>
          <w:color w:val="auto"/>
          <w:sz w:val="24"/>
          <w:szCs w:val="24"/>
        </w:rPr>
        <w:br w:type="page"/>
      </w:r>
    </w:p>
    <w:p w14:paraId="43D1330D" w14:textId="35EE3F81" w:rsidR="00B61EAA" w:rsidRPr="00B61EAA" w:rsidRDefault="00575D3E" w:rsidP="00B61EAA">
      <w:pPr>
        <w:pStyle w:val="Heading1"/>
        <w:rPr>
          <w:rFonts w:ascii="Arial" w:hAnsi="Arial"/>
          <w:sz w:val="28"/>
          <w:szCs w:val="28"/>
        </w:rPr>
      </w:pPr>
      <w:bookmarkStart w:id="28" w:name="_Toc223467521"/>
      <w:r w:rsidRPr="00AE264A">
        <w:rPr>
          <w:rFonts w:ascii="Arial" w:hAnsi="Arial"/>
          <w:sz w:val="28"/>
          <w:szCs w:val="28"/>
        </w:rPr>
        <w:lastRenderedPageBreak/>
        <w:t>Referen</w:t>
      </w:r>
      <w:r w:rsidR="009C69F7" w:rsidRPr="00AE264A">
        <w:rPr>
          <w:rFonts w:ascii="Arial" w:hAnsi="Arial"/>
          <w:sz w:val="28"/>
          <w:szCs w:val="28"/>
        </w:rPr>
        <w:t>ces</w:t>
      </w:r>
      <w:bookmarkEnd w:id="28"/>
      <w:r w:rsidR="009C69F7" w:rsidRPr="00AE264A">
        <w:rPr>
          <w:rFonts w:ascii="Arial" w:hAnsi="Arial"/>
          <w:sz w:val="28"/>
          <w:szCs w:val="28"/>
        </w:rPr>
        <w:t xml:space="preserve"> </w:t>
      </w:r>
    </w:p>
    <w:p w14:paraId="4BA04CAB"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Coloplast (2025) </w:t>
      </w:r>
      <w:r>
        <w:rPr>
          <w:rFonts w:ascii="Arial" w:hAnsi="Arial" w:cs="Arial"/>
          <w:i/>
          <w:iCs/>
          <w:color w:val="auto"/>
          <w:sz w:val="24"/>
          <w:szCs w:val="24"/>
        </w:rPr>
        <w:t xml:space="preserve">Annual report. </w:t>
      </w:r>
      <w:r w:rsidRPr="00493495">
        <w:rPr>
          <w:rFonts w:ascii="Arial" w:hAnsi="Arial" w:cs="Arial"/>
          <w:color w:val="auto"/>
          <w:sz w:val="24"/>
          <w:szCs w:val="24"/>
        </w:rPr>
        <w:t>Available at</w:t>
      </w:r>
      <w:r>
        <w:rPr>
          <w:rFonts w:ascii="Arial" w:hAnsi="Arial" w:cs="Arial"/>
          <w:color w:val="auto"/>
          <w:sz w:val="24"/>
          <w:szCs w:val="24"/>
        </w:rPr>
        <w:t xml:space="preserve">: </w:t>
      </w:r>
      <w:hyperlink r:id="rId39" w:history="1">
        <w:r w:rsidRPr="00EB6806">
          <w:rPr>
            <w:rStyle w:val="Hyperlink"/>
            <w:rFonts w:ascii="Arial" w:hAnsi="Arial" w:cs="Arial"/>
            <w:sz w:val="24"/>
            <w:szCs w:val="24"/>
          </w:rPr>
          <w:t>https://www.coloplast.com/siteassets/sustainability/targets--reporting/11_2025_annual_report_2024-25.pdf</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23</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781CD0A2" w14:textId="77777777" w:rsidR="00B61EAA" w:rsidRDefault="00B61EAA" w:rsidP="00180293">
      <w:pPr>
        <w:spacing w:line="360" w:lineRule="auto"/>
        <w:rPr>
          <w:rFonts w:ascii="Arial" w:hAnsi="Arial" w:cs="Arial"/>
          <w:color w:val="auto"/>
          <w:sz w:val="24"/>
          <w:szCs w:val="24"/>
        </w:rPr>
      </w:pPr>
    </w:p>
    <w:p w14:paraId="5FAA18E1"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Coloplast (no date) </w:t>
      </w:r>
      <w:r w:rsidRPr="00194513">
        <w:rPr>
          <w:rFonts w:ascii="Arial" w:hAnsi="Arial"/>
          <w:i/>
          <w:iCs/>
          <w:color w:val="auto"/>
          <w:sz w:val="24"/>
          <w:szCs w:val="24"/>
        </w:rPr>
        <w:t>Product samples</w:t>
      </w:r>
      <w:r>
        <w:rPr>
          <w:rFonts w:ascii="Arial" w:hAnsi="Arial"/>
          <w:i/>
          <w:iCs/>
          <w:color w:val="auto"/>
          <w:sz w:val="24"/>
          <w:szCs w:val="24"/>
        </w:rPr>
        <w:t xml:space="preserve">. </w:t>
      </w:r>
      <w:r w:rsidRPr="00493495">
        <w:rPr>
          <w:rFonts w:ascii="Arial" w:hAnsi="Arial" w:cs="Arial"/>
          <w:color w:val="auto"/>
          <w:sz w:val="24"/>
          <w:szCs w:val="24"/>
        </w:rPr>
        <w:t>Available at</w:t>
      </w:r>
      <w:r>
        <w:rPr>
          <w:rFonts w:ascii="Arial" w:hAnsi="Arial" w:cs="Arial"/>
          <w:color w:val="auto"/>
          <w:sz w:val="24"/>
          <w:szCs w:val="24"/>
        </w:rPr>
        <w:t xml:space="preserve">: </w:t>
      </w:r>
      <w:hyperlink r:id="rId40" w:history="1">
        <w:r w:rsidRPr="008D4ED2">
          <w:rPr>
            <w:rStyle w:val="Hyperlink"/>
            <w:rFonts w:ascii="Arial" w:hAnsi="Arial" w:cs="Arial"/>
            <w:sz w:val="24"/>
            <w:szCs w:val="24"/>
          </w:rPr>
          <w:t>https://products.coloplast.us/how-to-sample/</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20</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40DDADAA" w14:textId="77777777" w:rsidR="00B61EAA" w:rsidRDefault="00B61EAA" w:rsidP="00180293">
      <w:pPr>
        <w:spacing w:line="360" w:lineRule="auto"/>
        <w:rPr>
          <w:rFonts w:ascii="Arial" w:hAnsi="Arial" w:cs="Arial"/>
          <w:color w:val="auto"/>
          <w:sz w:val="24"/>
          <w:szCs w:val="24"/>
        </w:rPr>
      </w:pPr>
    </w:p>
    <w:p w14:paraId="1B896AFF"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Meyers (2025) </w:t>
      </w:r>
      <w:r w:rsidRPr="009A3855">
        <w:rPr>
          <w:rFonts w:ascii="Arial" w:hAnsi="Arial" w:cs="Arial"/>
          <w:i/>
          <w:iCs/>
          <w:color w:val="auto"/>
          <w:sz w:val="24"/>
          <w:szCs w:val="24"/>
        </w:rPr>
        <w:t>Optimization in Packaging: Impact, Processes, and Best Practices</w:t>
      </w:r>
      <w:r>
        <w:rPr>
          <w:rFonts w:ascii="Arial" w:hAnsi="Arial" w:cs="Arial"/>
          <w:i/>
          <w:iCs/>
          <w:color w:val="auto"/>
          <w:sz w:val="24"/>
          <w:szCs w:val="24"/>
        </w:rPr>
        <w:t xml:space="preserve">. </w:t>
      </w:r>
      <w:r w:rsidRPr="00493495">
        <w:rPr>
          <w:rFonts w:ascii="Arial" w:hAnsi="Arial" w:cs="Arial"/>
          <w:color w:val="auto"/>
          <w:sz w:val="24"/>
          <w:szCs w:val="24"/>
        </w:rPr>
        <w:t>Available at</w:t>
      </w:r>
      <w:r>
        <w:rPr>
          <w:rFonts w:ascii="Arial" w:hAnsi="Arial" w:cs="Arial"/>
          <w:color w:val="auto"/>
          <w:sz w:val="24"/>
          <w:szCs w:val="24"/>
        </w:rPr>
        <w:t xml:space="preserve">: </w:t>
      </w:r>
      <w:hyperlink r:id="rId41" w:history="1">
        <w:r w:rsidRPr="008D4ED2">
          <w:rPr>
            <w:rStyle w:val="Hyperlink"/>
            <w:rFonts w:ascii="Arial" w:hAnsi="Arial" w:cs="Arial"/>
            <w:sz w:val="24"/>
            <w:szCs w:val="24"/>
          </w:rPr>
          <w:t>https://meyers.com/meyers-blog/optimization_in_packaging/</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20</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53A04A50" w14:textId="77777777" w:rsidR="00B61EAA" w:rsidRDefault="00B61EAA" w:rsidP="00180293">
      <w:pPr>
        <w:spacing w:line="360" w:lineRule="auto"/>
        <w:rPr>
          <w:rFonts w:ascii="Arial" w:hAnsi="Arial" w:cs="Arial"/>
          <w:color w:val="auto"/>
          <w:sz w:val="24"/>
          <w:szCs w:val="24"/>
        </w:rPr>
      </w:pPr>
    </w:p>
    <w:p w14:paraId="01DA8AC3" w14:textId="77777777" w:rsidR="00B61EAA" w:rsidRDefault="00B61EAA" w:rsidP="00180293">
      <w:pPr>
        <w:spacing w:line="360" w:lineRule="auto"/>
        <w:rPr>
          <w:rFonts w:ascii="Arial" w:hAnsi="Arial" w:cs="Arial"/>
          <w:color w:val="auto"/>
          <w:sz w:val="24"/>
          <w:szCs w:val="24"/>
        </w:rPr>
      </w:pPr>
      <w:proofErr w:type="spellStart"/>
      <w:r w:rsidRPr="00AF4311">
        <w:rPr>
          <w:rFonts w:ascii="Arial" w:hAnsi="Arial" w:cs="Arial"/>
          <w:color w:val="auto"/>
          <w:sz w:val="24"/>
          <w:szCs w:val="24"/>
        </w:rPr>
        <w:t>Morashti</w:t>
      </w:r>
      <w:proofErr w:type="spellEnd"/>
      <w:r w:rsidRPr="00AF4311">
        <w:rPr>
          <w:rFonts w:ascii="Arial" w:hAnsi="Arial" w:cs="Arial"/>
          <w:color w:val="auto"/>
          <w:sz w:val="24"/>
          <w:szCs w:val="24"/>
        </w:rPr>
        <w:t xml:space="preserve">, J., An, Y. and Jang, H. (2022) “A Systematic Literature Review of Sustainable Packaging in Supply Chain Management,” </w:t>
      </w:r>
      <w:r w:rsidRPr="00AF4311">
        <w:rPr>
          <w:rFonts w:ascii="Arial" w:hAnsi="Arial" w:cs="Arial"/>
          <w:i/>
          <w:iCs/>
          <w:color w:val="auto"/>
          <w:sz w:val="24"/>
          <w:szCs w:val="24"/>
        </w:rPr>
        <w:t>Sustainability</w:t>
      </w:r>
      <w:r w:rsidRPr="00AF4311">
        <w:rPr>
          <w:rFonts w:ascii="Arial" w:hAnsi="Arial" w:cs="Arial"/>
          <w:color w:val="auto"/>
          <w:sz w:val="24"/>
          <w:szCs w:val="24"/>
        </w:rPr>
        <w:t xml:space="preserve">, 14(9), p. 4921. Available at: </w:t>
      </w:r>
      <w:hyperlink r:id="rId42" w:history="1">
        <w:r w:rsidRPr="00AF4311">
          <w:rPr>
            <w:rStyle w:val="Hyperlink"/>
            <w:rFonts w:ascii="Arial" w:hAnsi="Arial" w:cs="Arial"/>
            <w:sz w:val="24"/>
            <w:szCs w:val="24"/>
          </w:rPr>
          <w:t>https://doi.org/10.3390/su14094921</w:t>
        </w:r>
      </w:hyperlink>
      <w:r>
        <w:rPr>
          <w:rFonts w:ascii="Arial" w:hAnsi="Arial" w:cs="Arial"/>
          <w:color w:val="auto"/>
          <w:sz w:val="24"/>
          <w:szCs w:val="24"/>
        </w:rPr>
        <w:t xml:space="preserve"> </w:t>
      </w:r>
      <w:r w:rsidRPr="00A66E09">
        <w:rPr>
          <w:rFonts w:ascii="Arial" w:hAnsi="Arial" w:cs="Arial"/>
          <w:color w:val="auto"/>
          <w:sz w:val="24"/>
          <w:szCs w:val="24"/>
        </w:rPr>
        <w:t>(Accessed: 05 February 2026).</w:t>
      </w:r>
    </w:p>
    <w:p w14:paraId="57F9AD26" w14:textId="77777777" w:rsidR="00B61EAA" w:rsidRDefault="00B61EAA" w:rsidP="00180293">
      <w:pPr>
        <w:spacing w:line="360" w:lineRule="auto"/>
        <w:rPr>
          <w:rFonts w:ascii="Arial" w:hAnsi="Arial" w:cs="Arial"/>
          <w:color w:val="auto"/>
          <w:sz w:val="24"/>
          <w:szCs w:val="24"/>
        </w:rPr>
      </w:pPr>
    </w:p>
    <w:p w14:paraId="380A1150"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Royal Mail (2024) </w:t>
      </w:r>
      <w:r w:rsidRPr="00C00FD9">
        <w:rPr>
          <w:rFonts w:ascii="Arial" w:hAnsi="Arial" w:cs="Arial"/>
          <w:i/>
          <w:iCs/>
          <w:color w:val="auto"/>
          <w:sz w:val="24"/>
          <w:szCs w:val="24"/>
        </w:rPr>
        <w:t>Size and weight guide</w:t>
      </w:r>
      <w:r>
        <w:rPr>
          <w:rFonts w:ascii="Arial" w:hAnsi="Arial" w:cs="Arial"/>
          <w:i/>
          <w:iCs/>
          <w:color w:val="auto"/>
          <w:sz w:val="24"/>
          <w:szCs w:val="24"/>
        </w:rPr>
        <w:t xml:space="preserve"> </w:t>
      </w:r>
      <w:r w:rsidRPr="00C00FD9">
        <w:rPr>
          <w:rFonts w:ascii="Arial" w:hAnsi="Arial" w:cs="Arial"/>
          <w:color w:val="auto"/>
          <w:sz w:val="24"/>
          <w:szCs w:val="24"/>
        </w:rPr>
        <w:t>Available at:</w:t>
      </w:r>
      <w:r>
        <w:rPr>
          <w:rFonts w:ascii="Arial" w:hAnsi="Arial" w:cs="Arial"/>
          <w:color w:val="auto"/>
          <w:sz w:val="24"/>
          <w:szCs w:val="24"/>
        </w:rPr>
        <w:t xml:space="preserve"> </w:t>
      </w:r>
      <w:hyperlink r:id="rId43" w:history="1">
        <w:r w:rsidRPr="00A13FA3">
          <w:rPr>
            <w:rStyle w:val="Hyperlink"/>
            <w:rFonts w:ascii="Arial" w:hAnsi="Arial" w:cs="Arial"/>
            <w:sz w:val="24"/>
            <w:szCs w:val="24"/>
          </w:rPr>
          <w:t>https://help.royalmail.com/personal/s/article/Size-and-weight-guide</w:t>
        </w:r>
      </w:hyperlink>
      <w:r>
        <w:rPr>
          <w:rFonts w:ascii="Arial" w:hAnsi="Arial" w:cs="Arial"/>
          <w:color w:val="auto"/>
          <w:sz w:val="24"/>
          <w:szCs w:val="24"/>
        </w:rPr>
        <w:t xml:space="preserve"> </w:t>
      </w:r>
      <w:r w:rsidRPr="00FE1EF5">
        <w:rPr>
          <w:rFonts w:ascii="Arial" w:hAnsi="Arial" w:cs="Arial"/>
          <w:color w:val="auto"/>
          <w:sz w:val="24"/>
          <w:szCs w:val="24"/>
        </w:rPr>
        <w:t xml:space="preserve">(Accessed: </w:t>
      </w:r>
      <w:r>
        <w:rPr>
          <w:rFonts w:ascii="Arial" w:hAnsi="Arial" w:cs="Arial"/>
          <w:color w:val="auto"/>
          <w:sz w:val="24"/>
          <w:szCs w:val="24"/>
        </w:rPr>
        <w:t xml:space="preserve">16 </w:t>
      </w:r>
      <w:r w:rsidRPr="00FE1EF5">
        <w:rPr>
          <w:rFonts w:ascii="Arial" w:hAnsi="Arial" w:cs="Arial"/>
          <w:color w:val="auto"/>
          <w:sz w:val="24"/>
          <w:szCs w:val="24"/>
        </w:rPr>
        <w:t>February 2026)</w:t>
      </w:r>
      <w:r>
        <w:rPr>
          <w:rFonts w:ascii="Arial" w:hAnsi="Arial" w:cs="Arial"/>
          <w:color w:val="auto"/>
          <w:sz w:val="24"/>
          <w:szCs w:val="24"/>
        </w:rPr>
        <w:t>.</w:t>
      </w:r>
    </w:p>
    <w:p w14:paraId="2FC3D765" w14:textId="77777777" w:rsidR="00B61EAA" w:rsidRDefault="00B61EAA" w:rsidP="00180293">
      <w:pPr>
        <w:spacing w:line="360" w:lineRule="auto"/>
        <w:rPr>
          <w:rFonts w:ascii="Arial" w:hAnsi="Arial" w:cs="Arial"/>
          <w:color w:val="auto"/>
          <w:sz w:val="24"/>
          <w:szCs w:val="24"/>
        </w:rPr>
      </w:pPr>
    </w:p>
    <w:p w14:paraId="754705ED" w14:textId="77777777" w:rsidR="00B61EAA" w:rsidRDefault="00B61EAA" w:rsidP="00180293">
      <w:pPr>
        <w:spacing w:line="360" w:lineRule="auto"/>
        <w:rPr>
          <w:rFonts w:ascii="Arial" w:hAnsi="Arial" w:cs="Arial"/>
          <w:color w:val="auto"/>
          <w:sz w:val="24"/>
          <w:szCs w:val="24"/>
        </w:rPr>
      </w:pPr>
      <w:proofErr w:type="spellStart"/>
      <w:r w:rsidRPr="00441334">
        <w:rPr>
          <w:rFonts w:ascii="Arial" w:hAnsi="Arial" w:cs="Arial"/>
          <w:color w:val="auto"/>
          <w:sz w:val="24"/>
          <w:szCs w:val="24"/>
        </w:rPr>
        <w:t>Seoni</w:t>
      </w:r>
      <w:proofErr w:type="spellEnd"/>
      <w:r w:rsidRPr="00441334">
        <w:rPr>
          <w:rFonts w:ascii="Arial" w:hAnsi="Arial" w:cs="Arial"/>
          <w:color w:val="auto"/>
          <w:sz w:val="24"/>
          <w:szCs w:val="24"/>
        </w:rPr>
        <w:t xml:space="preserve">, S. </w:t>
      </w:r>
      <w:r w:rsidRPr="00441334">
        <w:rPr>
          <w:rFonts w:ascii="Arial" w:hAnsi="Arial" w:cs="Arial"/>
          <w:i/>
          <w:iCs/>
          <w:color w:val="auto"/>
          <w:sz w:val="24"/>
          <w:szCs w:val="24"/>
        </w:rPr>
        <w:t>et al.</w:t>
      </w:r>
      <w:r w:rsidRPr="00441334">
        <w:rPr>
          <w:rFonts w:ascii="Arial" w:hAnsi="Arial" w:cs="Arial"/>
          <w:color w:val="auto"/>
          <w:sz w:val="24"/>
          <w:szCs w:val="24"/>
        </w:rPr>
        <w:t xml:space="preserve"> (2024) “All you need is data preparation: A systematic review of image harmonization techniques in </w:t>
      </w:r>
      <w:proofErr w:type="gramStart"/>
      <w:r w:rsidRPr="00441334">
        <w:rPr>
          <w:rFonts w:ascii="Arial" w:hAnsi="Arial" w:cs="Arial"/>
          <w:color w:val="auto"/>
          <w:sz w:val="24"/>
          <w:szCs w:val="24"/>
        </w:rPr>
        <w:t>Multi-</w:t>
      </w:r>
      <w:proofErr w:type="spellStart"/>
      <w:r w:rsidRPr="00441334">
        <w:rPr>
          <w:rFonts w:ascii="Arial" w:hAnsi="Arial" w:cs="Arial"/>
          <w:color w:val="auto"/>
          <w:sz w:val="24"/>
          <w:szCs w:val="24"/>
        </w:rPr>
        <w:t>center</w:t>
      </w:r>
      <w:proofErr w:type="spellEnd"/>
      <w:proofErr w:type="gramEnd"/>
      <w:r w:rsidRPr="00441334">
        <w:rPr>
          <w:rFonts w:ascii="Arial" w:hAnsi="Arial" w:cs="Arial"/>
          <w:color w:val="auto"/>
          <w:sz w:val="24"/>
          <w:szCs w:val="24"/>
        </w:rPr>
        <w:t xml:space="preserve">/device studies for medical support systems,” </w:t>
      </w:r>
      <w:r w:rsidRPr="00441334">
        <w:rPr>
          <w:rFonts w:ascii="Arial" w:hAnsi="Arial" w:cs="Arial"/>
          <w:i/>
          <w:iCs/>
          <w:color w:val="auto"/>
          <w:sz w:val="24"/>
          <w:szCs w:val="24"/>
        </w:rPr>
        <w:t>Computer methods and programs in biomedicine</w:t>
      </w:r>
      <w:r w:rsidRPr="00441334">
        <w:rPr>
          <w:rFonts w:ascii="Arial" w:hAnsi="Arial" w:cs="Arial"/>
          <w:color w:val="auto"/>
          <w:sz w:val="24"/>
          <w:szCs w:val="24"/>
        </w:rPr>
        <w:t xml:space="preserve">, 250. Available at: </w:t>
      </w:r>
      <w:hyperlink r:id="rId44" w:history="1">
        <w:r w:rsidRPr="00441334">
          <w:rPr>
            <w:rStyle w:val="Hyperlink"/>
            <w:rFonts w:ascii="Arial" w:hAnsi="Arial" w:cs="Arial"/>
            <w:sz w:val="24"/>
            <w:szCs w:val="24"/>
          </w:rPr>
          <w:t>https://doi.org/10.1016/j.cmpb.2024.108200</w:t>
        </w:r>
      </w:hyperlink>
      <w:r>
        <w:rPr>
          <w:rFonts w:ascii="Arial" w:hAnsi="Arial" w:cs="Arial"/>
          <w:color w:val="auto"/>
          <w:sz w:val="24"/>
          <w:szCs w:val="24"/>
        </w:rPr>
        <w:t xml:space="preserve"> </w:t>
      </w:r>
      <w:r w:rsidRPr="00441334">
        <w:rPr>
          <w:rFonts w:ascii="Arial" w:hAnsi="Arial" w:cs="Arial"/>
          <w:color w:val="auto"/>
          <w:sz w:val="24"/>
          <w:szCs w:val="24"/>
        </w:rPr>
        <w:t xml:space="preserve">(Accessed: </w:t>
      </w:r>
      <w:r>
        <w:rPr>
          <w:rFonts w:ascii="Arial" w:hAnsi="Arial" w:cs="Arial"/>
          <w:color w:val="auto"/>
          <w:sz w:val="24"/>
          <w:szCs w:val="24"/>
        </w:rPr>
        <w:t>10</w:t>
      </w:r>
      <w:r w:rsidRPr="00441334">
        <w:rPr>
          <w:rFonts w:ascii="Arial" w:hAnsi="Arial" w:cs="Arial"/>
          <w:color w:val="auto"/>
          <w:sz w:val="24"/>
          <w:szCs w:val="24"/>
        </w:rPr>
        <w:t xml:space="preserve"> February 2026).</w:t>
      </w:r>
    </w:p>
    <w:p w14:paraId="18C889E3" w14:textId="77777777" w:rsidR="00B61EAA" w:rsidRDefault="00B61EAA" w:rsidP="00180293">
      <w:pPr>
        <w:spacing w:line="360" w:lineRule="auto"/>
        <w:rPr>
          <w:rFonts w:ascii="Arial" w:hAnsi="Arial" w:cs="Arial"/>
          <w:color w:val="auto"/>
          <w:sz w:val="24"/>
          <w:szCs w:val="24"/>
        </w:rPr>
      </w:pPr>
    </w:p>
    <w:p w14:paraId="40BB3A1A" w14:textId="77777777" w:rsidR="00B61EAA" w:rsidRDefault="00B61EAA" w:rsidP="00831398">
      <w:pPr>
        <w:spacing w:line="360" w:lineRule="auto"/>
        <w:rPr>
          <w:rFonts w:ascii="Arial" w:hAnsi="Arial" w:cs="Arial"/>
          <w:color w:val="auto"/>
          <w:sz w:val="24"/>
          <w:szCs w:val="24"/>
        </w:rPr>
      </w:pPr>
      <w:r w:rsidRPr="00831398">
        <w:rPr>
          <w:rFonts w:ascii="Arial" w:hAnsi="Arial" w:cs="Arial"/>
          <w:color w:val="auto"/>
          <w:sz w:val="24"/>
          <w:szCs w:val="24"/>
        </w:rPr>
        <w:t xml:space="preserve">Shah, H.M. </w:t>
      </w:r>
      <w:r w:rsidRPr="00831398">
        <w:rPr>
          <w:rFonts w:ascii="Arial" w:hAnsi="Arial" w:cs="Arial"/>
          <w:i/>
          <w:iCs/>
          <w:color w:val="auto"/>
          <w:sz w:val="24"/>
          <w:szCs w:val="24"/>
        </w:rPr>
        <w:t>et al.</w:t>
      </w:r>
      <w:r w:rsidRPr="00831398">
        <w:rPr>
          <w:rFonts w:ascii="Arial" w:hAnsi="Arial" w:cs="Arial"/>
          <w:color w:val="auto"/>
          <w:sz w:val="24"/>
          <w:szCs w:val="24"/>
        </w:rPr>
        <w:t xml:space="preserve"> (2023) “The contemporary state of big data analytics and artificial intelligence towards intelligent supply chain risk management: a comprehensive review,” </w:t>
      </w:r>
      <w:proofErr w:type="spellStart"/>
      <w:r w:rsidRPr="00831398">
        <w:rPr>
          <w:rFonts w:ascii="Arial" w:hAnsi="Arial" w:cs="Arial"/>
          <w:i/>
          <w:iCs/>
          <w:color w:val="auto"/>
          <w:sz w:val="24"/>
          <w:szCs w:val="24"/>
        </w:rPr>
        <w:t>Kybernetes</w:t>
      </w:r>
      <w:proofErr w:type="spellEnd"/>
      <w:r w:rsidRPr="00831398">
        <w:rPr>
          <w:rFonts w:ascii="Arial" w:hAnsi="Arial" w:cs="Arial"/>
          <w:color w:val="auto"/>
          <w:sz w:val="24"/>
          <w:szCs w:val="24"/>
        </w:rPr>
        <w:t xml:space="preserve">, 52(5), pp. 1643–1697. Available at: </w:t>
      </w:r>
      <w:hyperlink r:id="rId45" w:history="1">
        <w:r w:rsidRPr="00831398">
          <w:rPr>
            <w:rStyle w:val="Hyperlink"/>
            <w:rFonts w:ascii="Arial" w:hAnsi="Arial" w:cs="Arial"/>
            <w:sz w:val="24"/>
            <w:szCs w:val="24"/>
          </w:rPr>
          <w:t>https://doi.org/10.1108/K-05-2021-0423</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27</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69B0CB96" w14:textId="77777777" w:rsidR="00B61EAA" w:rsidRDefault="00B61EAA" w:rsidP="00180293">
      <w:pPr>
        <w:spacing w:line="360" w:lineRule="auto"/>
        <w:rPr>
          <w:rFonts w:ascii="Arial" w:hAnsi="Arial" w:cs="Arial"/>
          <w:color w:val="auto"/>
          <w:sz w:val="24"/>
          <w:szCs w:val="24"/>
        </w:rPr>
      </w:pPr>
      <w:r w:rsidRPr="00363457">
        <w:rPr>
          <w:rFonts w:ascii="Arial" w:hAnsi="Arial" w:cs="Arial"/>
          <w:color w:val="auto"/>
          <w:sz w:val="24"/>
          <w:szCs w:val="24"/>
        </w:rPr>
        <w:lastRenderedPageBreak/>
        <w:t xml:space="preserve">Silva, N. and Pålsson, H. (2022) “Industrial packaging and its impact on sustainability and circular economy: A systematic literature review,” </w:t>
      </w:r>
      <w:r w:rsidRPr="00363457">
        <w:rPr>
          <w:rFonts w:ascii="Arial" w:hAnsi="Arial" w:cs="Arial"/>
          <w:i/>
          <w:iCs/>
          <w:color w:val="auto"/>
          <w:sz w:val="24"/>
          <w:szCs w:val="24"/>
        </w:rPr>
        <w:t>Journal of cleaner production</w:t>
      </w:r>
      <w:r w:rsidRPr="00363457">
        <w:rPr>
          <w:rFonts w:ascii="Arial" w:hAnsi="Arial" w:cs="Arial"/>
          <w:color w:val="auto"/>
          <w:sz w:val="24"/>
          <w:szCs w:val="24"/>
        </w:rPr>
        <w:t xml:space="preserve">, 333. Available at: </w:t>
      </w:r>
      <w:hyperlink r:id="rId46" w:history="1">
        <w:r w:rsidRPr="00363457">
          <w:rPr>
            <w:rStyle w:val="Hyperlink"/>
            <w:rFonts w:ascii="Arial" w:hAnsi="Arial" w:cs="Arial"/>
            <w:sz w:val="24"/>
            <w:szCs w:val="24"/>
          </w:rPr>
          <w:t>https://doi.org/10.1016/j.jclepro.2021.130165</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05</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55947B53" w14:textId="77777777" w:rsidR="00B61EAA" w:rsidRDefault="00B61EAA" w:rsidP="00180293">
      <w:pPr>
        <w:spacing w:line="360" w:lineRule="auto"/>
        <w:rPr>
          <w:rFonts w:ascii="Arial" w:hAnsi="Arial" w:cs="Arial"/>
          <w:color w:val="auto"/>
          <w:sz w:val="24"/>
          <w:szCs w:val="24"/>
        </w:rPr>
      </w:pPr>
    </w:p>
    <w:p w14:paraId="3E7F3905" w14:textId="77777777" w:rsidR="00B61EAA" w:rsidRDefault="00B61EAA" w:rsidP="00775BAB">
      <w:pPr>
        <w:spacing w:line="360" w:lineRule="auto"/>
        <w:rPr>
          <w:rFonts w:ascii="Arial" w:hAnsi="Arial" w:cs="Arial"/>
          <w:color w:val="auto"/>
          <w:sz w:val="24"/>
          <w:szCs w:val="24"/>
        </w:rPr>
      </w:pPr>
      <w:proofErr w:type="spellStart"/>
      <w:r w:rsidRPr="00775BAB">
        <w:rPr>
          <w:rFonts w:ascii="Arial" w:hAnsi="Arial" w:cs="Arial"/>
          <w:color w:val="auto"/>
          <w:sz w:val="24"/>
          <w:szCs w:val="24"/>
        </w:rPr>
        <w:t>Spanaki</w:t>
      </w:r>
      <w:proofErr w:type="spellEnd"/>
      <w:r w:rsidRPr="00775BAB">
        <w:rPr>
          <w:rFonts w:ascii="Arial" w:hAnsi="Arial" w:cs="Arial"/>
          <w:color w:val="auto"/>
          <w:sz w:val="24"/>
          <w:szCs w:val="24"/>
        </w:rPr>
        <w:t xml:space="preserve">, K. </w:t>
      </w:r>
      <w:r w:rsidRPr="00775BAB">
        <w:rPr>
          <w:rFonts w:ascii="Arial" w:hAnsi="Arial" w:cs="Arial"/>
          <w:i/>
          <w:iCs/>
          <w:color w:val="auto"/>
          <w:sz w:val="24"/>
          <w:szCs w:val="24"/>
        </w:rPr>
        <w:t>et al.</w:t>
      </w:r>
      <w:r w:rsidRPr="00775BAB">
        <w:rPr>
          <w:rFonts w:ascii="Arial" w:hAnsi="Arial" w:cs="Arial"/>
          <w:color w:val="auto"/>
          <w:sz w:val="24"/>
          <w:szCs w:val="24"/>
        </w:rPr>
        <w:t xml:space="preserve"> (2025) “Data-driven digital transformation in operations and supply chain management,” </w:t>
      </w:r>
      <w:r w:rsidRPr="00775BAB">
        <w:rPr>
          <w:rFonts w:ascii="Arial" w:hAnsi="Arial" w:cs="Arial"/>
          <w:i/>
          <w:iCs/>
          <w:color w:val="auto"/>
          <w:sz w:val="24"/>
          <w:szCs w:val="24"/>
        </w:rPr>
        <w:t>International journal of production economics</w:t>
      </w:r>
      <w:r w:rsidRPr="00775BAB">
        <w:rPr>
          <w:rFonts w:ascii="Arial" w:hAnsi="Arial" w:cs="Arial"/>
          <w:color w:val="auto"/>
          <w:sz w:val="24"/>
          <w:szCs w:val="24"/>
        </w:rPr>
        <w:t xml:space="preserve">, 284. Available at: </w:t>
      </w:r>
      <w:hyperlink r:id="rId47" w:history="1">
        <w:r w:rsidRPr="00775BAB">
          <w:rPr>
            <w:rStyle w:val="Hyperlink"/>
            <w:rFonts w:ascii="Arial" w:hAnsi="Arial" w:cs="Arial"/>
            <w:sz w:val="24"/>
            <w:szCs w:val="24"/>
          </w:rPr>
          <w:t>https://doi.org/10.1016/j.ijpe.2025.109599</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27</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604569DF" w14:textId="77777777" w:rsidR="00775BAB" w:rsidRDefault="00775BAB" w:rsidP="00180293">
      <w:pPr>
        <w:spacing w:line="360" w:lineRule="auto"/>
        <w:rPr>
          <w:rFonts w:ascii="Arial" w:hAnsi="Arial" w:cs="Arial"/>
          <w:color w:val="auto"/>
          <w:sz w:val="24"/>
          <w:szCs w:val="24"/>
        </w:rPr>
      </w:pPr>
    </w:p>
    <w:p w14:paraId="23DF73D5" w14:textId="77777777" w:rsidR="00E671A2" w:rsidRPr="006A148E" w:rsidRDefault="00E671A2" w:rsidP="00180293">
      <w:pPr>
        <w:spacing w:line="360" w:lineRule="auto"/>
        <w:rPr>
          <w:rFonts w:ascii="Arial" w:hAnsi="Arial" w:cs="Arial"/>
          <w:i/>
          <w:iCs/>
          <w:color w:val="auto"/>
          <w:sz w:val="24"/>
          <w:szCs w:val="24"/>
        </w:rPr>
      </w:pPr>
    </w:p>
    <w:p w14:paraId="3CDE35BA" w14:textId="32BDCD67" w:rsidR="00194513" w:rsidRPr="00E17D7A" w:rsidRDefault="00194513" w:rsidP="00180293">
      <w:pPr>
        <w:spacing w:line="360" w:lineRule="auto"/>
        <w:jc w:val="both"/>
        <w:rPr>
          <w:rFonts w:ascii="Arial" w:hAnsi="Arial"/>
          <w:color w:val="auto"/>
          <w:sz w:val="24"/>
          <w:szCs w:val="24"/>
        </w:rPr>
      </w:pPr>
    </w:p>
    <w:p w14:paraId="073BF13F" w14:textId="77777777" w:rsidR="00CA6F47" w:rsidRPr="00493495" w:rsidRDefault="00CA6F47" w:rsidP="00180293">
      <w:pPr>
        <w:spacing w:line="360" w:lineRule="auto"/>
        <w:jc w:val="both"/>
        <w:rPr>
          <w:rFonts w:ascii="Arial" w:hAnsi="Arial" w:cs="Arial"/>
          <w:color w:val="auto"/>
          <w:sz w:val="24"/>
          <w:szCs w:val="24"/>
        </w:rPr>
      </w:pPr>
    </w:p>
    <w:sectPr w:rsidR="00CA6F47" w:rsidRPr="00493495" w:rsidSect="00656624">
      <w:footerReference w:type="default" r:id="rId48"/>
      <w:pgSz w:w="11906" w:h="16838" w:code="9"/>
      <w:pgMar w:top="1644" w:right="1021" w:bottom="1644" w:left="1021" w:header="590" w:footer="53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8C501" w14:textId="77777777" w:rsidR="007B3CA8" w:rsidRDefault="007B3CA8" w:rsidP="00C17A1E">
      <w:pPr>
        <w:spacing w:line="240" w:lineRule="auto"/>
      </w:pPr>
      <w:r>
        <w:separator/>
      </w:r>
    </w:p>
  </w:endnote>
  <w:endnote w:type="continuationSeparator" w:id="0">
    <w:p w14:paraId="4321D058" w14:textId="77777777" w:rsidR="007B3CA8" w:rsidRDefault="007B3CA8" w:rsidP="00C17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loplast">
    <w:altName w:val="Calibri"/>
    <w:panose1 w:val="00000000000000000000"/>
    <w:charset w:val="00"/>
    <w:family w:val="auto"/>
    <w:pitch w:val="variable"/>
    <w:sig w:usb0="00000287" w:usb1="00000000" w:usb2="00000000" w:usb3="00000000" w:csb0="0000008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loplast Medium">
    <w:altName w:val="Calibri"/>
    <w:panose1 w:val="00000000000000000000"/>
    <w:charset w:val="00"/>
    <w:family w:val="auto"/>
    <w:pitch w:val="variable"/>
    <w:sig w:usb0="00000287" w:usb1="00000000" w:usb2="00000000" w:usb3="00000000" w:csb0="0000008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7898C" w14:textId="77777777" w:rsidR="00656624" w:rsidRDefault="006566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27CF1" w14:textId="4B62F7C5" w:rsidR="009A7328" w:rsidRPr="00C81165" w:rsidRDefault="009A7328" w:rsidP="00C81165">
    <w:pPr>
      <w:pStyle w:val="Footer"/>
    </w:pPr>
    <w:r>
      <w:rPr>
        <w:noProof/>
      </w:rPr>
      <mc:AlternateContent>
        <mc:Choice Requires="wps">
          <w:drawing>
            <wp:anchor distT="0" distB="0" distL="0" distR="0" simplePos="0" relativeHeight="251668480" behindDoc="0" locked="0" layoutInCell="1" allowOverlap="1" wp14:anchorId="6A6960C1" wp14:editId="2EC80D4C">
              <wp:simplePos x="0" y="0"/>
              <wp:positionH relativeFrom="page">
                <wp:align>left</wp:align>
              </wp:positionH>
              <wp:positionV relativeFrom="page">
                <wp:align>bottom</wp:align>
              </wp:positionV>
              <wp:extent cx="558000" cy="475200"/>
              <wp:effectExtent l="0" t="0" r="13970" b="0"/>
              <wp:wrapSquare wrapText="bothSides"/>
              <wp:docPr id="1" name="PageNumber"/>
              <wp:cNvGraphicFramePr/>
              <a:graphic xmlns:a="http://schemas.openxmlformats.org/drawingml/2006/main">
                <a:graphicData uri="http://schemas.microsoft.com/office/word/2010/wordprocessingShape">
                  <wps:wsp>
                    <wps:cNvSpPr txBox="1"/>
                    <wps:spPr>
                      <a:xfrm>
                        <a:off x="0" y="0"/>
                        <a:ext cx="558000" cy="475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txbx>
                      <w:txbxContent>
                        <w:p w14:paraId="7946F935" w14:textId="019EFD2A" w:rsidR="009A7328" w:rsidRPr="00C17A1E" w:rsidRDefault="009A7328" w:rsidP="00C81165">
                          <w:pPr>
                            <w:pStyle w:val="Footer-PageNumber"/>
                          </w:pPr>
                        </w:p>
                      </w:txbxContent>
                    </wps:txbx>
                    <wps:bodyPr rot="0" spcFirstLastPara="0" vertOverflow="overflow" horzOverflow="overflow" vert="horz" wrap="square" lIns="0" tIns="0" rIns="0" bIns="35280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A6960C1" id="_x0000_t202" coordsize="21600,21600" o:spt="202" path="m,l,21600r21600,l21600,xe">
              <v:stroke joinstyle="miter"/>
              <v:path gradientshapeok="t" o:connecttype="rect"/>
            </v:shapetype>
            <v:shape id="PageNumber" o:spid="_x0000_s1026" type="#_x0000_t202" style="position:absolute;margin-left:0;margin-top:0;width:43.95pt;height:37.4pt;z-index:251668480;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" filled="f" fillcolor="white [3201]" stroked="f" strokeweight=".5pt">
              <v:textbox style="mso-fit-shape-to-text:t" inset="0,0,0,9.8mm">
                <w:txbxContent>
                  <w:p w14:paraId="7946F935" w14:textId="019EFD2A" w:rsidR="009A7328" w:rsidRPr="00C17A1E" w:rsidRDefault="009A7328" w:rsidP="00C81165">
                    <w:pPr>
                      <w:pStyle w:val="Footer-PageNumber"/>
                    </w:pPr>
                  </w:p>
                </w:txbxContent>
              </v:textbox>
              <w10:wrap type="square"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A1D62" w14:textId="77777777" w:rsidR="00656624" w:rsidRDefault="0065662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656082"/>
      <w:docPartObj>
        <w:docPartGallery w:val="Page Numbers (Bottom of Page)"/>
        <w:docPartUnique/>
      </w:docPartObj>
    </w:sdtPr>
    <w:sdtEndPr>
      <w:rPr>
        <w:noProof/>
      </w:rPr>
    </w:sdtEndPr>
    <w:sdtContent>
      <w:p w14:paraId="3C810FE9" w14:textId="03028A2C" w:rsidR="005D5432" w:rsidRDefault="005D5432">
        <w:pPr>
          <w:pStyle w:val="Footer"/>
        </w:pPr>
        <w:r>
          <w:fldChar w:fldCharType="begin"/>
        </w:r>
        <w:r>
          <w:instrText xml:space="preserve"> PAGE   \* MERGEFORMAT </w:instrText>
        </w:r>
        <w:r>
          <w:fldChar w:fldCharType="separate"/>
        </w:r>
        <w:r>
          <w:rPr>
            <w:noProof/>
          </w:rPr>
          <w:t>2</w:t>
        </w:r>
        <w:r>
          <w:rPr>
            <w:noProof/>
          </w:rPr>
          <w:fldChar w:fldCharType="end"/>
        </w:r>
      </w:p>
    </w:sdtContent>
  </w:sdt>
  <w:p w14:paraId="284FFEEA" w14:textId="341248D6" w:rsidR="0093153F" w:rsidRPr="00C81165" w:rsidRDefault="0093153F" w:rsidP="00C81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3C930" w14:textId="77777777" w:rsidR="007B3CA8" w:rsidRDefault="007B3CA8" w:rsidP="00C17A1E">
      <w:pPr>
        <w:spacing w:line="240" w:lineRule="auto"/>
      </w:pPr>
      <w:r>
        <w:separator/>
      </w:r>
    </w:p>
  </w:footnote>
  <w:footnote w:type="continuationSeparator" w:id="0">
    <w:p w14:paraId="28B25B40" w14:textId="77777777" w:rsidR="007B3CA8" w:rsidRDefault="007B3CA8" w:rsidP="00C17A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55490" w14:textId="77777777" w:rsidR="00656624" w:rsidRDefault="006566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FDEAF" w14:textId="77777777" w:rsidR="009A7328" w:rsidRDefault="009A7328" w:rsidP="00433D51">
    <w:pPr>
      <w:pStyle w:val="Header"/>
    </w:pPr>
  </w:p>
  <w:p w14:paraId="1DBEB957" w14:textId="77777777" w:rsidR="009A7328" w:rsidRDefault="009A73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CE0AA" w14:textId="77777777" w:rsidR="00656624" w:rsidRDefault="006566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990DA9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B06A1E6"/>
    <w:lvl w:ilvl="0">
      <w:start w:val="1"/>
      <w:numFmt w:val="decimal"/>
      <w:lvlText w:val="%1."/>
      <w:lvlJc w:val="left"/>
      <w:pPr>
        <w:tabs>
          <w:tab w:val="num" w:pos="1209"/>
        </w:tabs>
        <w:ind w:left="1209" w:hanging="360"/>
      </w:pPr>
    </w:lvl>
  </w:abstractNum>
  <w:abstractNum w:abstractNumId="2" w15:restartNumberingAfterBreak="0">
    <w:nsid w:val="FFFFFF80"/>
    <w:multiLevelType w:val="singleLevel"/>
    <w:tmpl w:val="EDC08C86"/>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A9A6E76"/>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04915334"/>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5" w15:restartNumberingAfterBreak="0">
    <w:nsid w:val="049E5579"/>
    <w:multiLevelType w:val="multilevel"/>
    <w:tmpl w:val="BEC04A6E"/>
    <w:numStyleLink w:val="ListStyle-ListNumber"/>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Coloplast" w:hAnsi="Coloplast"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FA4AAA84"/>
    <w:numStyleLink w:val="ListStyle-ListAlphabet"/>
  </w:abstractNum>
  <w:abstractNum w:abstractNumId="8" w15:restartNumberingAfterBreak="0">
    <w:nsid w:val="11EB237C"/>
    <w:multiLevelType w:val="multilevel"/>
    <w:tmpl w:val="E9086F02"/>
    <w:styleLink w:val="Liststyle-TableListBullet"/>
    <w:lvl w:ilvl="0">
      <w:start w:val="1"/>
      <w:numFmt w:val="bullet"/>
      <w:lvlText w:val="•"/>
      <w:lvlJc w:val="left"/>
      <w:pPr>
        <w:ind w:left="284" w:hanging="171"/>
      </w:pPr>
      <w:rPr>
        <w:rFonts w:ascii="Coloplast" w:hAnsi="Coloplast" w:hint="default"/>
      </w:rPr>
    </w:lvl>
    <w:lvl w:ilvl="1">
      <w:start w:val="1"/>
      <w:numFmt w:val="bullet"/>
      <w:lvlText w:val="•"/>
      <w:lvlJc w:val="left"/>
      <w:pPr>
        <w:ind w:left="454" w:hanging="171"/>
      </w:pPr>
      <w:rPr>
        <w:rFonts w:ascii="Arial" w:hAnsi="Arial" w:hint="default"/>
      </w:rPr>
    </w:lvl>
    <w:lvl w:ilvl="2">
      <w:start w:val="1"/>
      <w:numFmt w:val="bullet"/>
      <w:lvlText w:val="•"/>
      <w:lvlJc w:val="left"/>
      <w:pPr>
        <w:ind w:left="624" w:hanging="171"/>
      </w:pPr>
      <w:rPr>
        <w:rFonts w:ascii="Arial" w:hAnsi="Arial" w:hint="default"/>
      </w:rPr>
    </w:lvl>
    <w:lvl w:ilvl="3">
      <w:start w:val="1"/>
      <w:numFmt w:val="bullet"/>
      <w:lvlText w:val="•"/>
      <w:lvlJc w:val="left"/>
      <w:pPr>
        <w:ind w:left="794" w:hanging="171"/>
      </w:pPr>
      <w:rPr>
        <w:rFonts w:ascii="Arial" w:hAnsi="Arial" w:hint="default"/>
      </w:rPr>
    </w:lvl>
    <w:lvl w:ilvl="4">
      <w:start w:val="1"/>
      <w:numFmt w:val="bullet"/>
      <w:lvlText w:val="•"/>
      <w:lvlJc w:val="left"/>
      <w:pPr>
        <w:ind w:left="964" w:hanging="171"/>
      </w:pPr>
      <w:rPr>
        <w:rFonts w:ascii="Arial" w:hAnsi="Arial" w:hint="default"/>
      </w:rPr>
    </w:lvl>
    <w:lvl w:ilvl="5">
      <w:start w:val="1"/>
      <w:numFmt w:val="bullet"/>
      <w:lvlText w:val="•"/>
      <w:lvlJc w:val="left"/>
      <w:pPr>
        <w:ind w:left="1134" w:hanging="171"/>
      </w:pPr>
      <w:rPr>
        <w:rFonts w:ascii="Arial" w:hAnsi="Arial" w:hint="default"/>
      </w:rPr>
    </w:lvl>
    <w:lvl w:ilvl="6">
      <w:start w:val="1"/>
      <w:numFmt w:val="bullet"/>
      <w:lvlText w:val="•"/>
      <w:lvlJc w:val="left"/>
      <w:pPr>
        <w:ind w:left="1304" w:hanging="171"/>
      </w:pPr>
      <w:rPr>
        <w:rFonts w:ascii="Arial" w:hAnsi="Arial" w:hint="default"/>
      </w:rPr>
    </w:lvl>
    <w:lvl w:ilvl="7">
      <w:start w:val="1"/>
      <w:numFmt w:val="bullet"/>
      <w:lvlText w:val="•"/>
      <w:lvlJc w:val="left"/>
      <w:pPr>
        <w:ind w:left="1474" w:hanging="171"/>
      </w:pPr>
      <w:rPr>
        <w:rFonts w:ascii="Arial" w:hAnsi="Arial" w:hint="default"/>
      </w:rPr>
    </w:lvl>
    <w:lvl w:ilvl="8">
      <w:start w:val="1"/>
      <w:numFmt w:val="bullet"/>
      <w:lvlText w:val="•"/>
      <w:lvlJc w:val="left"/>
      <w:pPr>
        <w:ind w:left="1644" w:hanging="171"/>
      </w:pPr>
      <w:rPr>
        <w:rFonts w:ascii="Arial" w:hAnsi="Arial" w:hint="default"/>
      </w:rPr>
    </w:lvl>
  </w:abstractNum>
  <w:abstractNum w:abstractNumId="9" w15:restartNumberingAfterBreak="0">
    <w:nsid w:val="12550346"/>
    <w:multiLevelType w:val="multilevel"/>
    <w:tmpl w:val="BEC04A6E"/>
    <w:numStyleLink w:val="ListStyle-ListNumber"/>
  </w:abstractNum>
  <w:abstractNum w:abstractNumId="10" w15:restartNumberingAfterBreak="0">
    <w:nsid w:val="19407172"/>
    <w:multiLevelType w:val="multilevel"/>
    <w:tmpl w:val="C87CBE88"/>
    <w:numStyleLink w:val="ListStyle-TableListBullet0"/>
  </w:abstractNum>
  <w:abstractNum w:abstractNumId="11" w15:restartNumberingAfterBreak="0">
    <w:nsid w:val="197C6BC6"/>
    <w:multiLevelType w:val="multilevel"/>
    <w:tmpl w:val="FA4AAA84"/>
    <w:styleLink w:val="ListStyle-ListAlphabet"/>
    <w:lvl w:ilvl="0">
      <w:start w:val="1"/>
      <w:numFmt w:val="lowerLetter"/>
      <w:lvlText w:val="%1."/>
      <w:lvlJc w:val="left"/>
      <w:pPr>
        <w:ind w:left="340" w:hanging="340"/>
      </w:pPr>
      <w:rPr>
        <w:rFonts w:ascii="Coloplast" w:hAnsi="Coloplast" w:hint="default"/>
      </w:rPr>
    </w:lvl>
    <w:lvl w:ilvl="1">
      <w:start w:val="1"/>
      <w:numFmt w:val="lowerRoman"/>
      <w:lvlText w:val="%2."/>
      <w:lvlJc w:val="left"/>
      <w:pPr>
        <w:ind w:left="680" w:hanging="340"/>
      </w:pPr>
      <w:rPr>
        <w:rFonts w:asciiTheme="minorHAnsi" w:hAnsiTheme="minorHAnsi" w:hint="default"/>
      </w:rPr>
    </w:lvl>
    <w:lvl w:ilvl="2">
      <w:start w:val="1"/>
      <w:numFmt w:val="decimal"/>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2" w15:restartNumberingAfterBreak="0">
    <w:nsid w:val="1C8D0035"/>
    <w:multiLevelType w:val="hybridMultilevel"/>
    <w:tmpl w:val="3EF81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01690B"/>
    <w:multiLevelType w:val="multilevel"/>
    <w:tmpl w:val="BD64419A"/>
    <w:lvl w:ilvl="0">
      <w:start w:val="1"/>
      <w:numFmt w:val="lowerLetter"/>
      <w:pStyle w:val="ListAlphabet"/>
      <w:lvlText w:val="%1."/>
      <w:lvlJc w:val="left"/>
      <w:pPr>
        <w:ind w:left="340" w:hanging="340"/>
      </w:pPr>
      <w:rPr>
        <w:rFonts w:asciiTheme="minorHAnsi" w:hAnsiTheme="minorHAnsi" w:hint="default"/>
      </w:rPr>
    </w:lvl>
    <w:lvl w:ilvl="1">
      <w:start w:val="1"/>
      <w:numFmt w:val="lowerRoman"/>
      <w:pStyle w:val="ListAlphabet2"/>
      <w:lvlText w:val="%2."/>
      <w:lvlJc w:val="left"/>
      <w:pPr>
        <w:ind w:left="680" w:hanging="340"/>
      </w:pPr>
      <w:rPr>
        <w:rFonts w:asciiTheme="minorHAnsi" w:hAnsiTheme="minorHAnsi" w:hint="default"/>
      </w:rPr>
    </w:lvl>
    <w:lvl w:ilvl="2">
      <w:start w:val="1"/>
      <w:numFmt w:val="decimal"/>
      <w:pStyle w:val="ListAlphabet3"/>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4" w15:restartNumberingAfterBreak="0">
    <w:nsid w:val="1E1B3059"/>
    <w:multiLevelType w:val="multilevel"/>
    <w:tmpl w:val="BEC04A6E"/>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decimal"/>
      <w:pStyle w:val="ListNumber2"/>
      <w:lvlText w:val="%1.%2."/>
      <w:lvlJc w:val="left"/>
      <w:pPr>
        <w:ind w:left="964" w:hanging="624"/>
      </w:pPr>
      <w:rPr>
        <w:rFonts w:asciiTheme="minorHAnsi" w:hAnsiTheme="minorHAnsi" w:hint="default"/>
      </w:rPr>
    </w:lvl>
    <w:lvl w:ilvl="2">
      <w:start w:val="1"/>
      <w:numFmt w:val="decimal"/>
      <w:pStyle w:val="ListNumber3"/>
      <w:lvlText w:val="%1.%2.%3."/>
      <w:lvlJc w:val="left"/>
      <w:pPr>
        <w:ind w:left="1758" w:hanging="794"/>
      </w:pPr>
      <w:rPr>
        <w:rFonts w:asciiTheme="minorHAnsi" w:hAnsiTheme="minorHAnsi" w:hint="default"/>
      </w:rPr>
    </w:lvl>
    <w:lvl w:ilvl="3">
      <w:start w:val="1"/>
      <w:numFmt w:val="decimal"/>
      <w:pStyle w:val="ListNumber4"/>
      <w:lvlText w:val="%1.%2.%3.%4."/>
      <w:lvlJc w:val="left"/>
      <w:pPr>
        <w:ind w:left="2722" w:hanging="964"/>
      </w:pPr>
      <w:rPr>
        <w:rFonts w:asciiTheme="minorHAnsi" w:hAnsiTheme="minorHAnsi" w:hint="default"/>
      </w:rPr>
    </w:lvl>
    <w:lvl w:ilvl="4">
      <w:start w:val="1"/>
      <w:numFmt w:val="decimal"/>
      <w:pStyle w:val="ListNumber5"/>
      <w:lvlText w:val="%1.%2.%3.%4.%5."/>
      <w:lvlJc w:val="left"/>
      <w:pPr>
        <w:ind w:left="2892" w:hanging="1134"/>
      </w:pPr>
      <w:rPr>
        <w:rFonts w:asciiTheme="minorHAnsi" w:hAnsiTheme="minorHAnsi" w:hint="default"/>
      </w:rPr>
    </w:lvl>
    <w:lvl w:ilvl="5">
      <w:start w:val="1"/>
      <w:numFmt w:val="decimal"/>
      <w:lvlText w:val="%1.%2.%3.%4.%5.%6."/>
      <w:lvlJc w:val="left"/>
      <w:pPr>
        <w:ind w:left="3119" w:hanging="1361"/>
      </w:pPr>
      <w:rPr>
        <w:rFonts w:asciiTheme="minorHAnsi" w:hAnsiTheme="minorHAnsi" w:hint="default"/>
      </w:rPr>
    </w:lvl>
    <w:lvl w:ilvl="6">
      <w:start w:val="1"/>
      <w:numFmt w:val="decimal"/>
      <w:lvlText w:val="%1.%2.%3.%4.%5.%6.%7."/>
      <w:lvlJc w:val="left"/>
      <w:pPr>
        <w:ind w:left="3289" w:hanging="1531"/>
      </w:pPr>
      <w:rPr>
        <w:rFonts w:asciiTheme="minorHAnsi" w:hAnsiTheme="minorHAnsi" w:hint="default"/>
      </w:rPr>
    </w:lvl>
    <w:lvl w:ilvl="7">
      <w:start w:val="1"/>
      <w:numFmt w:val="decimal"/>
      <w:lvlText w:val="%1.%2.%3.%4.%5.%6.%7.%8."/>
      <w:lvlJc w:val="left"/>
      <w:pPr>
        <w:ind w:left="3459" w:hanging="1701"/>
      </w:pPr>
      <w:rPr>
        <w:rFonts w:asciiTheme="minorHAnsi" w:hAnsiTheme="minorHAnsi" w:hint="default"/>
      </w:rPr>
    </w:lvl>
    <w:lvl w:ilvl="8">
      <w:start w:val="1"/>
      <w:numFmt w:val="decimal"/>
      <w:lvlText w:val="%1.%2.%3.%4.%5.%6.%7.%8.%9."/>
      <w:lvlJc w:val="left"/>
      <w:pPr>
        <w:ind w:left="3686" w:hanging="1928"/>
      </w:pPr>
      <w:rPr>
        <w:rFonts w:asciiTheme="minorHAnsi" w:hAnsiTheme="minorHAnsi" w:hint="default"/>
      </w:rPr>
    </w:lvl>
  </w:abstractNum>
  <w:abstractNum w:abstractNumId="15" w15:restartNumberingAfterBreak="0">
    <w:nsid w:val="21E7649E"/>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16" w15:restartNumberingAfterBreak="0">
    <w:nsid w:val="22525F4A"/>
    <w:multiLevelType w:val="multilevel"/>
    <w:tmpl w:val="C87CBE88"/>
    <w:numStyleLink w:val="ListStyle-TableListBullet0"/>
  </w:abstractNum>
  <w:abstractNum w:abstractNumId="17" w15:restartNumberingAfterBreak="0">
    <w:nsid w:val="237E50CA"/>
    <w:multiLevelType w:val="multilevel"/>
    <w:tmpl w:val="21B690C8"/>
    <w:lvl w:ilvl="0">
      <w:start w:val="1"/>
      <w:numFmt w:val="decimal"/>
      <w:lvlText w:val="%1."/>
      <w:lvlJc w:val="left"/>
      <w:pPr>
        <w:ind w:left="340" w:hanging="227"/>
      </w:pPr>
      <w:rPr>
        <w:rFonts w:asciiTheme="minorHAnsi" w:hAnsiTheme="minorHAnsi" w:hint="default"/>
      </w:rPr>
    </w:lvl>
    <w:lvl w:ilvl="1">
      <w:start w:val="1"/>
      <w:numFmt w:val="decimal"/>
      <w:lvlText w:val="%1.%2"/>
      <w:lvlJc w:val="left"/>
      <w:pPr>
        <w:ind w:left="567" w:hanging="454"/>
      </w:pPr>
      <w:rPr>
        <w:rFonts w:asciiTheme="minorHAnsi" w:hAnsiTheme="minorHAnsi" w:hint="default"/>
      </w:rPr>
    </w:lvl>
    <w:lvl w:ilvl="2">
      <w:start w:val="1"/>
      <w:numFmt w:val="decimal"/>
      <w:lvlText w:val="%1.%2.%3"/>
      <w:lvlJc w:val="left"/>
      <w:pPr>
        <w:ind w:left="794" w:hanging="681"/>
      </w:pPr>
      <w:rPr>
        <w:rFonts w:asciiTheme="minorHAnsi" w:hAnsiTheme="minorHAnsi" w:hint="default"/>
      </w:rPr>
    </w:lvl>
    <w:lvl w:ilvl="3">
      <w:start w:val="1"/>
      <w:numFmt w:val="decimal"/>
      <w:lvlText w:val="%1.%2.%3.%4"/>
      <w:lvlJc w:val="left"/>
      <w:pPr>
        <w:ind w:left="1021" w:hanging="908"/>
      </w:pPr>
      <w:rPr>
        <w:rFonts w:asciiTheme="minorHAnsi" w:hAnsiTheme="minorHAnsi" w:hint="default"/>
      </w:rPr>
    </w:lvl>
    <w:lvl w:ilvl="4">
      <w:start w:val="1"/>
      <w:numFmt w:val="decimal"/>
      <w:lvlText w:val="%1.%2.%3.%4.%5"/>
      <w:lvlJc w:val="left"/>
      <w:pPr>
        <w:ind w:left="1247" w:hanging="1134"/>
      </w:pPr>
      <w:rPr>
        <w:rFonts w:asciiTheme="minorHAnsi" w:hAnsiTheme="minorHAnsi" w:hint="default"/>
      </w:rPr>
    </w:lvl>
    <w:lvl w:ilvl="5">
      <w:start w:val="1"/>
      <w:numFmt w:val="decimal"/>
      <w:lvlText w:val="%1.%2.%3.%4.%5.%6"/>
      <w:lvlJc w:val="left"/>
      <w:pPr>
        <w:ind w:left="1474" w:hanging="1361"/>
      </w:pPr>
      <w:rPr>
        <w:rFonts w:asciiTheme="minorHAnsi" w:hAnsiTheme="minorHAnsi" w:hint="default"/>
      </w:rPr>
    </w:lvl>
    <w:lvl w:ilvl="6">
      <w:start w:val="1"/>
      <w:numFmt w:val="decimal"/>
      <w:lvlText w:val="%1.%2.%3.%4.%5.%6.%7"/>
      <w:lvlJc w:val="left"/>
      <w:pPr>
        <w:ind w:left="1701" w:hanging="1588"/>
      </w:pPr>
      <w:rPr>
        <w:rFonts w:asciiTheme="minorHAnsi" w:hAnsiTheme="minorHAnsi" w:hint="default"/>
      </w:rPr>
    </w:lvl>
    <w:lvl w:ilvl="7">
      <w:start w:val="1"/>
      <w:numFmt w:val="decimal"/>
      <w:lvlText w:val="%1.%2.%3.%4.%5.%6.%7.%8"/>
      <w:lvlJc w:val="left"/>
      <w:pPr>
        <w:ind w:left="1928" w:hanging="1815"/>
      </w:pPr>
      <w:rPr>
        <w:rFonts w:asciiTheme="minorHAnsi" w:hAnsiTheme="minorHAnsi" w:hint="default"/>
      </w:rPr>
    </w:lvl>
    <w:lvl w:ilvl="8">
      <w:start w:val="1"/>
      <w:numFmt w:val="decimal"/>
      <w:lvlText w:val="%1.%2.%3.%4.%5.%6.%7.%8.%9"/>
      <w:lvlJc w:val="left"/>
      <w:pPr>
        <w:ind w:left="2155" w:hanging="2042"/>
      </w:pPr>
      <w:rPr>
        <w:rFonts w:asciiTheme="minorHAnsi" w:hAnsiTheme="minorHAnsi" w:hint="default"/>
      </w:rPr>
    </w:lvl>
  </w:abstractNum>
  <w:abstractNum w:abstractNumId="18" w15:restartNumberingAfterBreak="0">
    <w:nsid w:val="25E02E88"/>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9" w15:restartNumberingAfterBreak="0">
    <w:nsid w:val="27034E32"/>
    <w:multiLevelType w:val="hybridMultilevel"/>
    <w:tmpl w:val="21D67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A35F22"/>
    <w:multiLevelType w:val="multilevel"/>
    <w:tmpl w:val="59523004"/>
    <w:numStyleLink w:val="ListStyle-TableListNumber"/>
  </w:abstractNum>
  <w:abstractNum w:abstractNumId="21" w15:restartNumberingAfterBreak="0">
    <w:nsid w:val="2DD803C1"/>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2" w15:restartNumberingAfterBreak="0">
    <w:nsid w:val="2F7D051F"/>
    <w:multiLevelType w:val="hybridMultilevel"/>
    <w:tmpl w:val="2F36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6C3731"/>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24" w15:restartNumberingAfterBreak="0">
    <w:nsid w:val="35065A5F"/>
    <w:multiLevelType w:val="multilevel"/>
    <w:tmpl w:val="311EAEAA"/>
    <w:numStyleLink w:val="ListStyle-ListBullet"/>
  </w:abstractNum>
  <w:abstractNum w:abstractNumId="25" w15:restartNumberingAfterBreak="0">
    <w:nsid w:val="42C418EA"/>
    <w:multiLevelType w:val="hybridMultilevel"/>
    <w:tmpl w:val="3786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6F0B62"/>
    <w:multiLevelType w:val="multilevel"/>
    <w:tmpl w:val="311EAEAA"/>
    <w:styleLink w:val="ListStyle-ListBullet"/>
    <w:lvl w:ilvl="0">
      <w:start w:val="1"/>
      <w:numFmt w:val="bullet"/>
      <w:pStyle w:val="ListBullet"/>
      <w:lvlText w:val="•"/>
      <w:lvlJc w:val="left"/>
      <w:pPr>
        <w:ind w:left="340" w:hanging="340"/>
      </w:pPr>
      <w:rPr>
        <w:rFonts w:asciiTheme="minorHAnsi" w:hAnsiTheme="minorHAnsi" w:cs="Times New Roman" w:hint="default"/>
      </w:rPr>
    </w:lvl>
    <w:lvl w:ilvl="1">
      <w:start w:val="1"/>
      <w:numFmt w:val="bullet"/>
      <w:pStyle w:val="ListBullet2"/>
      <w:lvlText w:val="•"/>
      <w:lvlJc w:val="left"/>
      <w:pPr>
        <w:ind w:left="680" w:hanging="340"/>
      </w:pPr>
      <w:rPr>
        <w:rFonts w:asciiTheme="minorHAnsi" w:hAnsiTheme="minorHAnsi" w:cs="Times New Roman" w:hint="default"/>
      </w:rPr>
    </w:lvl>
    <w:lvl w:ilvl="2">
      <w:start w:val="1"/>
      <w:numFmt w:val="bullet"/>
      <w:pStyle w:val="ListBullet3"/>
      <w:lvlText w:val="•"/>
      <w:lvlJc w:val="left"/>
      <w:pPr>
        <w:ind w:left="1020" w:hanging="340"/>
      </w:pPr>
      <w:rPr>
        <w:rFonts w:asciiTheme="minorHAnsi" w:hAnsiTheme="minorHAnsi" w:cs="Times New Roman" w:hint="default"/>
      </w:rPr>
    </w:lvl>
    <w:lvl w:ilvl="3">
      <w:start w:val="1"/>
      <w:numFmt w:val="bullet"/>
      <w:pStyle w:val="ListBullet4"/>
      <w:lvlText w:val="•"/>
      <w:lvlJc w:val="left"/>
      <w:pPr>
        <w:ind w:left="1360" w:hanging="340"/>
      </w:pPr>
      <w:rPr>
        <w:rFonts w:asciiTheme="minorHAnsi" w:hAnsiTheme="minorHAnsi" w:cs="Times New Roman" w:hint="default"/>
      </w:rPr>
    </w:lvl>
    <w:lvl w:ilvl="4">
      <w:start w:val="1"/>
      <w:numFmt w:val="bullet"/>
      <w:lvlText w:val="•"/>
      <w:lvlJc w:val="left"/>
      <w:pPr>
        <w:ind w:left="1700" w:hanging="340"/>
      </w:pPr>
      <w:rPr>
        <w:rFonts w:asciiTheme="minorHAnsi" w:hAnsiTheme="minorHAnsi" w:cs="Times New Roman" w:hint="default"/>
      </w:rPr>
    </w:lvl>
    <w:lvl w:ilvl="5">
      <w:start w:val="1"/>
      <w:numFmt w:val="bullet"/>
      <w:lvlText w:val="•"/>
      <w:lvlJc w:val="left"/>
      <w:pPr>
        <w:ind w:left="2040" w:hanging="340"/>
      </w:pPr>
      <w:rPr>
        <w:rFonts w:asciiTheme="minorHAnsi" w:hAnsiTheme="minorHAnsi" w:cs="Times New Roman" w:hint="default"/>
      </w:rPr>
    </w:lvl>
    <w:lvl w:ilvl="6">
      <w:start w:val="1"/>
      <w:numFmt w:val="bullet"/>
      <w:lvlText w:val="•"/>
      <w:lvlJc w:val="left"/>
      <w:pPr>
        <w:ind w:left="2380" w:hanging="340"/>
      </w:pPr>
      <w:rPr>
        <w:rFonts w:asciiTheme="minorHAnsi" w:hAnsiTheme="minorHAnsi" w:cs="Times New Roman" w:hint="default"/>
      </w:rPr>
    </w:lvl>
    <w:lvl w:ilvl="7">
      <w:start w:val="1"/>
      <w:numFmt w:val="bullet"/>
      <w:lvlText w:val="•"/>
      <w:lvlJc w:val="left"/>
      <w:pPr>
        <w:ind w:left="2720" w:hanging="340"/>
      </w:pPr>
      <w:rPr>
        <w:rFonts w:asciiTheme="minorHAnsi" w:hAnsiTheme="minorHAnsi" w:cs="Times New Roman" w:hint="default"/>
      </w:rPr>
    </w:lvl>
    <w:lvl w:ilvl="8">
      <w:start w:val="1"/>
      <w:numFmt w:val="bullet"/>
      <w:lvlText w:val="•"/>
      <w:lvlJc w:val="left"/>
      <w:pPr>
        <w:ind w:left="3060" w:hanging="340"/>
      </w:pPr>
      <w:rPr>
        <w:rFonts w:asciiTheme="minorHAnsi" w:hAnsiTheme="minorHAnsi" w:cs="Times New Roman" w:hint="default"/>
      </w:rPr>
    </w:lvl>
  </w:abstractNum>
  <w:abstractNum w:abstractNumId="27" w15:restartNumberingAfterBreak="0">
    <w:nsid w:val="4DFB4E39"/>
    <w:multiLevelType w:val="multilevel"/>
    <w:tmpl w:val="311EAEAA"/>
    <w:numStyleLink w:val="ListStyle-ListBullet"/>
  </w:abstractNum>
  <w:abstractNum w:abstractNumId="28" w15:restartNumberingAfterBreak="0">
    <w:nsid w:val="55560836"/>
    <w:multiLevelType w:val="multilevel"/>
    <w:tmpl w:val="C87CBE88"/>
    <w:styleLink w:val="ListStyle-TableListBullet0"/>
    <w:lvl w:ilvl="0">
      <w:start w:val="1"/>
      <w:numFmt w:val="bullet"/>
      <w:pStyle w:val="Table-ListBullet"/>
      <w:lvlText w:val="•"/>
      <w:lvlJc w:val="left"/>
      <w:pPr>
        <w:ind w:left="329" w:hanging="170"/>
      </w:pPr>
      <w:rPr>
        <w:rFonts w:ascii="Times New Roman" w:hAnsi="Times New Roman" w:cs="Times New Roman" w:hint="default"/>
      </w:rPr>
    </w:lvl>
    <w:lvl w:ilvl="1">
      <w:start w:val="1"/>
      <w:numFmt w:val="bullet"/>
      <w:lvlText w:val="•"/>
      <w:lvlJc w:val="left"/>
      <w:pPr>
        <w:ind w:left="488" w:hanging="170"/>
      </w:pPr>
      <w:rPr>
        <w:rFonts w:asciiTheme="minorHAnsi" w:hAnsiTheme="minorHAnsi" w:cs="Times New Roman" w:hint="default"/>
      </w:rPr>
    </w:lvl>
    <w:lvl w:ilvl="2">
      <w:start w:val="1"/>
      <w:numFmt w:val="bullet"/>
      <w:lvlText w:val="•"/>
      <w:lvlJc w:val="left"/>
      <w:pPr>
        <w:ind w:left="647" w:hanging="170"/>
      </w:pPr>
      <w:rPr>
        <w:rFonts w:asciiTheme="minorHAnsi" w:hAnsiTheme="minorHAnsi" w:cs="Times New Roman" w:hint="default"/>
      </w:rPr>
    </w:lvl>
    <w:lvl w:ilvl="3">
      <w:start w:val="1"/>
      <w:numFmt w:val="bullet"/>
      <w:lvlText w:val="•"/>
      <w:lvlJc w:val="left"/>
      <w:pPr>
        <w:ind w:left="806" w:hanging="170"/>
      </w:pPr>
      <w:rPr>
        <w:rFonts w:asciiTheme="minorHAnsi" w:hAnsiTheme="minorHAnsi" w:cs="Times New Roman" w:hint="default"/>
      </w:rPr>
    </w:lvl>
    <w:lvl w:ilvl="4">
      <w:start w:val="1"/>
      <w:numFmt w:val="bullet"/>
      <w:lvlText w:val="•"/>
      <w:lvlJc w:val="left"/>
      <w:pPr>
        <w:ind w:left="965" w:hanging="170"/>
      </w:pPr>
      <w:rPr>
        <w:rFonts w:asciiTheme="minorHAnsi" w:hAnsiTheme="minorHAnsi" w:cs="Times New Roman" w:hint="default"/>
      </w:rPr>
    </w:lvl>
    <w:lvl w:ilvl="5">
      <w:start w:val="1"/>
      <w:numFmt w:val="bullet"/>
      <w:lvlText w:val="•"/>
      <w:lvlJc w:val="left"/>
      <w:pPr>
        <w:ind w:left="1124" w:hanging="170"/>
      </w:pPr>
      <w:rPr>
        <w:rFonts w:asciiTheme="minorHAnsi" w:hAnsiTheme="minorHAnsi" w:cs="Times New Roman" w:hint="default"/>
      </w:rPr>
    </w:lvl>
    <w:lvl w:ilvl="6">
      <w:start w:val="1"/>
      <w:numFmt w:val="bullet"/>
      <w:lvlText w:val="•"/>
      <w:lvlJc w:val="left"/>
      <w:pPr>
        <w:ind w:left="1283" w:hanging="170"/>
      </w:pPr>
      <w:rPr>
        <w:rFonts w:asciiTheme="minorHAnsi" w:hAnsiTheme="minorHAnsi" w:cs="Times New Roman" w:hint="default"/>
      </w:rPr>
    </w:lvl>
    <w:lvl w:ilvl="7">
      <w:start w:val="1"/>
      <w:numFmt w:val="bullet"/>
      <w:lvlText w:val="•"/>
      <w:lvlJc w:val="left"/>
      <w:pPr>
        <w:ind w:left="1442" w:hanging="170"/>
      </w:pPr>
      <w:rPr>
        <w:rFonts w:asciiTheme="minorHAnsi" w:hAnsiTheme="minorHAnsi" w:cs="Times New Roman" w:hint="default"/>
      </w:rPr>
    </w:lvl>
    <w:lvl w:ilvl="8">
      <w:start w:val="1"/>
      <w:numFmt w:val="bullet"/>
      <w:lvlText w:val="•"/>
      <w:lvlJc w:val="left"/>
      <w:pPr>
        <w:ind w:left="1601" w:hanging="170"/>
      </w:pPr>
      <w:rPr>
        <w:rFonts w:asciiTheme="minorHAnsi" w:hAnsiTheme="minorHAnsi" w:cs="Times New Roman" w:hint="default"/>
      </w:rPr>
    </w:lvl>
  </w:abstractNum>
  <w:abstractNum w:abstractNumId="29" w15:restartNumberingAfterBreak="0">
    <w:nsid w:val="5AD5759C"/>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30" w15:restartNumberingAfterBreak="0">
    <w:nsid w:val="5C946590"/>
    <w:multiLevelType w:val="multilevel"/>
    <w:tmpl w:val="59523004"/>
    <w:numStyleLink w:val="ListStyle-TableListNumber"/>
  </w:abstractNum>
  <w:abstractNum w:abstractNumId="31" w15:restartNumberingAfterBreak="0">
    <w:nsid w:val="5D90306E"/>
    <w:multiLevelType w:val="multilevel"/>
    <w:tmpl w:val="59523004"/>
    <w:styleLink w:val="ListStyle-TableListNumber"/>
    <w:lvl w:ilvl="0">
      <w:start w:val="1"/>
      <w:numFmt w:val="decimal"/>
      <w:pStyle w:val="Table-ListNumber"/>
      <w:lvlText w:val="%1."/>
      <w:lvlJc w:val="left"/>
      <w:pPr>
        <w:ind w:left="442" w:hanging="283"/>
      </w:pPr>
      <w:rPr>
        <w:rFonts w:asciiTheme="minorHAnsi" w:hAnsiTheme="minorHAnsi" w:hint="default"/>
      </w:rPr>
    </w:lvl>
    <w:lvl w:ilvl="1">
      <w:start w:val="1"/>
      <w:numFmt w:val="decimal"/>
      <w:lvlText w:val="%1.%2"/>
      <w:lvlJc w:val="left"/>
      <w:pPr>
        <w:ind w:left="567" w:hanging="408"/>
      </w:pPr>
      <w:rPr>
        <w:rFonts w:asciiTheme="minorHAnsi" w:hAnsiTheme="minorHAnsi" w:hint="default"/>
      </w:rPr>
    </w:lvl>
    <w:lvl w:ilvl="2">
      <w:start w:val="1"/>
      <w:numFmt w:val="decimal"/>
      <w:lvlText w:val="%1.%2.%3"/>
      <w:lvlJc w:val="left"/>
      <w:pPr>
        <w:ind w:left="794" w:hanging="635"/>
      </w:pPr>
      <w:rPr>
        <w:rFonts w:asciiTheme="minorHAnsi" w:hAnsiTheme="minorHAnsi" w:hint="default"/>
      </w:rPr>
    </w:lvl>
    <w:lvl w:ilvl="3">
      <w:start w:val="1"/>
      <w:numFmt w:val="decimal"/>
      <w:lvlText w:val="%1.%2.%3.%4"/>
      <w:lvlJc w:val="left"/>
      <w:pPr>
        <w:ind w:left="1021" w:hanging="862"/>
      </w:pPr>
      <w:rPr>
        <w:rFonts w:asciiTheme="minorHAnsi" w:hAnsiTheme="minorHAnsi" w:hint="default"/>
      </w:rPr>
    </w:lvl>
    <w:lvl w:ilvl="4">
      <w:start w:val="1"/>
      <w:numFmt w:val="decimal"/>
      <w:lvlText w:val="%1.%2.%3.%4.%5"/>
      <w:lvlJc w:val="left"/>
      <w:pPr>
        <w:ind w:left="1247" w:hanging="1088"/>
      </w:pPr>
      <w:rPr>
        <w:rFonts w:asciiTheme="minorHAnsi" w:hAnsiTheme="minorHAnsi" w:hint="default"/>
      </w:rPr>
    </w:lvl>
    <w:lvl w:ilvl="5">
      <w:start w:val="1"/>
      <w:numFmt w:val="decimal"/>
      <w:lvlText w:val="%1.%2.%3.%4.%5.%6"/>
      <w:lvlJc w:val="left"/>
      <w:pPr>
        <w:ind w:left="1474" w:hanging="1315"/>
      </w:pPr>
      <w:rPr>
        <w:rFonts w:asciiTheme="minorHAnsi" w:hAnsiTheme="minorHAnsi" w:hint="default"/>
      </w:rPr>
    </w:lvl>
    <w:lvl w:ilvl="6">
      <w:start w:val="1"/>
      <w:numFmt w:val="decimal"/>
      <w:lvlText w:val="%1.%2.%3.%4.%5.%6.%7"/>
      <w:lvlJc w:val="left"/>
      <w:pPr>
        <w:ind w:left="1701" w:hanging="1542"/>
      </w:pPr>
      <w:rPr>
        <w:rFonts w:asciiTheme="minorHAnsi" w:hAnsiTheme="minorHAnsi" w:hint="default"/>
      </w:rPr>
    </w:lvl>
    <w:lvl w:ilvl="7">
      <w:start w:val="1"/>
      <w:numFmt w:val="decimal"/>
      <w:lvlText w:val="%1.%2.%3.%4.%5.%6.%7.%8"/>
      <w:lvlJc w:val="left"/>
      <w:pPr>
        <w:ind w:left="1928" w:hanging="1769"/>
      </w:pPr>
      <w:rPr>
        <w:rFonts w:asciiTheme="minorHAnsi" w:hAnsiTheme="minorHAnsi" w:hint="default"/>
      </w:rPr>
    </w:lvl>
    <w:lvl w:ilvl="8">
      <w:start w:val="1"/>
      <w:numFmt w:val="decimal"/>
      <w:lvlText w:val="%1.%2.%3.%4.%5.%6.%7.%8.%9"/>
      <w:lvlJc w:val="left"/>
      <w:pPr>
        <w:ind w:left="2155" w:hanging="1996"/>
      </w:pPr>
      <w:rPr>
        <w:rFonts w:asciiTheme="minorHAnsi" w:hAnsiTheme="minorHAnsi" w:hint="default"/>
      </w:rPr>
    </w:lvl>
  </w:abstractNum>
  <w:abstractNum w:abstractNumId="32" w15:restartNumberingAfterBreak="0">
    <w:nsid w:val="7118040E"/>
    <w:multiLevelType w:val="multilevel"/>
    <w:tmpl w:val="311EAEAA"/>
    <w:numStyleLink w:val="ListStyle-ListBullet"/>
  </w:abstractNum>
  <w:abstractNum w:abstractNumId="33" w15:restartNumberingAfterBreak="0">
    <w:nsid w:val="76C358CE"/>
    <w:multiLevelType w:val="hybridMultilevel"/>
    <w:tmpl w:val="22D4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127B82"/>
    <w:multiLevelType w:val="multilevel"/>
    <w:tmpl w:val="311EAEAA"/>
    <w:numStyleLink w:val="ListStyle-ListBullet"/>
  </w:abstractNum>
  <w:abstractNum w:abstractNumId="35" w15:restartNumberingAfterBreak="0">
    <w:nsid w:val="7C1F0C04"/>
    <w:multiLevelType w:val="multilevel"/>
    <w:tmpl w:val="BEC04A6E"/>
    <w:numStyleLink w:val="ListStyle-ListNumber"/>
  </w:abstractNum>
  <w:abstractNum w:abstractNumId="36" w15:restartNumberingAfterBreak="0">
    <w:nsid w:val="7F216990"/>
    <w:multiLevelType w:val="multilevel"/>
    <w:tmpl w:val="0406001F"/>
    <w:styleLink w:val="111111"/>
    <w:lvl w:ilvl="0">
      <w:start w:val="1"/>
      <w:numFmt w:val="decimal"/>
      <w:lvlText w:val="%1."/>
      <w:lvlJc w:val="left"/>
      <w:pPr>
        <w:ind w:left="360" w:hanging="360"/>
      </w:pPr>
      <w:rPr>
        <w:rFonts w:ascii="Coloplast" w:hAnsi="Coloplast"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0666536">
    <w:abstractNumId w:val="36"/>
  </w:num>
  <w:num w:numId="2" w16cid:durableId="1125733258">
    <w:abstractNumId w:val="6"/>
  </w:num>
  <w:num w:numId="3" w16cid:durableId="1745831571">
    <w:abstractNumId w:val="3"/>
  </w:num>
  <w:num w:numId="4" w16cid:durableId="1943756502">
    <w:abstractNumId w:val="2"/>
  </w:num>
  <w:num w:numId="5" w16cid:durableId="1909068923">
    <w:abstractNumId w:val="1"/>
  </w:num>
  <w:num w:numId="6" w16cid:durableId="762380633">
    <w:abstractNumId w:val="0"/>
  </w:num>
  <w:num w:numId="7" w16cid:durableId="1491403615">
    <w:abstractNumId w:val="8"/>
  </w:num>
  <w:num w:numId="8" w16cid:durableId="1320841178">
    <w:abstractNumId w:val="31"/>
  </w:num>
  <w:num w:numId="9" w16cid:durableId="843205242">
    <w:abstractNumId w:val="18"/>
  </w:num>
  <w:num w:numId="10" w16cid:durableId="1082797651">
    <w:abstractNumId w:val="23"/>
  </w:num>
  <w:num w:numId="11" w16cid:durableId="105585582">
    <w:abstractNumId w:val="29"/>
  </w:num>
  <w:num w:numId="12" w16cid:durableId="2060090737">
    <w:abstractNumId w:val="11"/>
  </w:num>
  <w:num w:numId="13" w16cid:durableId="1358043723">
    <w:abstractNumId w:val="26"/>
  </w:num>
  <w:num w:numId="14" w16cid:durableId="1098871389">
    <w:abstractNumId w:val="14"/>
  </w:num>
  <w:num w:numId="15" w16cid:durableId="1796678231">
    <w:abstractNumId w:val="28"/>
  </w:num>
  <w:num w:numId="16" w16cid:durableId="1437216443">
    <w:abstractNumId w:val="17"/>
  </w:num>
  <w:num w:numId="17" w16cid:durableId="1724517717">
    <w:abstractNumId w:val="21"/>
  </w:num>
  <w:num w:numId="18" w16cid:durableId="1390763350">
    <w:abstractNumId w:val="4"/>
  </w:num>
  <w:num w:numId="19" w16cid:durableId="1442604040">
    <w:abstractNumId w:val="15"/>
  </w:num>
  <w:num w:numId="20" w16cid:durableId="1142963424">
    <w:abstractNumId w:val="7"/>
  </w:num>
  <w:num w:numId="21" w16cid:durableId="855270773">
    <w:abstractNumId w:val="27"/>
  </w:num>
  <w:num w:numId="22" w16cid:durableId="1001086109">
    <w:abstractNumId w:val="5"/>
  </w:num>
  <w:num w:numId="23" w16cid:durableId="2090468896">
    <w:abstractNumId w:val="10"/>
  </w:num>
  <w:num w:numId="24" w16cid:durableId="1675571422">
    <w:abstractNumId w:val="20"/>
  </w:num>
  <w:num w:numId="25" w16cid:durableId="279190583">
    <w:abstractNumId w:val="13"/>
  </w:num>
  <w:num w:numId="26" w16cid:durableId="123157976">
    <w:abstractNumId w:val="24"/>
  </w:num>
  <w:num w:numId="27" w16cid:durableId="931857544">
    <w:abstractNumId w:val="9"/>
  </w:num>
  <w:num w:numId="28" w16cid:durableId="559678214">
    <w:abstractNumId w:val="34"/>
  </w:num>
  <w:num w:numId="29" w16cid:durableId="685444152">
    <w:abstractNumId w:val="32"/>
  </w:num>
  <w:num w:numId="30" w16cid:durableId="1321813980">
    <w:abstractNumId w:val="35"/>
  </w:num>
  <w:num w:numId="31" w16cid:durableId="1861511133">
    <w:abstractNumId w:val="16"/>
  </w:num>
  <w:num w:numId="32" w16cid:durableId="1037774144">
    <w:abstractNumId w:val="30"/>
  </w:num>
  <w:num w:numId="33" w16cid:durableId="1825270261">
    <w:abstractNumId w:val="22"/>
  </w:num>
  <w:num w:numId="34" w16cid:durableId="276528963">
    <w:abstractNumId w:val="33"/>
  </w:num>
  <w:num w:numId="35" w16cid:durableId="1951088384">
    <w:abstractNumId w:val="19"/>
  </w:num>
  <w:num w:numId="36" w16cid:durableId="534270018">
    <w:abstractNumId w:val="25"/>
  </w:num>
  <w:num w:numId="37" w16cid:durableId="287861497">
    <w:abstractNumId w:val="1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1304"/>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C69"/>
    <w:rsid w:val="0000240E"/>
    <w:rsid w:val="00003028"/>
    <w:rsid w:val="00003272"/>
    <w:rsid w:val="000066E6"/>
    <w:rsid w:val="00006781"/>
    <w:rsid w:val="0001062A"/>
    <w:rsid w:val="0001138D"/>
    <w:rsid w:val="000127B1"/>
    <w:rsid w:val="0001394F"/>
    <w:rsid w:val="00014045"/>
    <w:rsid w:val="00014187"/>
    <w:rsid w:val="000147A8"/>
    <w:rsid w:val="00022199"/>
    <w:rsid w:val="000224F0"/>
    <w:rsid w:val="000232DF"/>
    <w:rsid w:val="00024893"/>
    <w:rsid w:val="00025BA6"/>
    <w:rsid w:val="00026845"/>
    <w:rsid w:val="000273BD"/>
    <w:rsid w:val="00027814"/>
    <w:rsid w:val="00030748"/>
    <w:rsid w:val="00032992"/>
    <w:rsid w:val="00033F81"/>
    <w:rsid w:val="00034F59"/>
    <w:rsid w:val="000374D7"/>
    <w:rsid w:val="000379BD"/>
    <w:rsid w:val="00037DD5"/>
    <w:rsid w:val="00037EE6"/>
    <w:rsid w:val="0004018A"/>
    <w:rsid w:val="00045678"/>
    <w:rsid w:val="00047CD4"/>
    <w:rsid w:val="000500C9"/>
    <w:rsid w:val="00051144"/>
    <w:rsid w:val="000511A2"/>
    <w:rsid w:val="000511EA"/>
    <w:rsid w:val="00051228"/>
    <w:rsid w:val="00051374"/>
    <w:rsid w:val="0005374D"/>
    <w:rsid w:val="000622AF"/>
    <w:rsid w:val="00063ADB"/>
    <w:rsid w:val="00067917"/>
    <w:rsid w:val="0008240A"/>
    <w:rsid w:val="000832F8"/>
    <w:rsid w:val="0008377E"/>
    <w:rsid w:val="00085CD5"/>
    <w:rsid w:val="000901D6"/>
    <w:rsid w:val="0009102B"/>
    <w:rsid w:val="00091E7F"/>
    <w:rsid w:val="00092D0C"/>
    <w:rsid w:val="00094E39"/>
    <w:rsid w:val="00094FA7"/>
    <w:rsid w:val="00095D0B"/>
    <w:rsid w:val="000976F9"/>
    <w:rsid w:val="000977BE"/>
    <w:rsid w:val="000A1F3F"/>
    <w:rsid w:val="000A206A"/>
    <w:rsid w:val="000A2D0F"/>
    <w:rsid w:val="000A3B91"/>
    <w:rsid w:val="000A574E"/>
    <w:rsid w:val="000A65F2"/>
    <w:rsid w:val="000A6AB6"/>
    <w:rsid w:val="000A796F"/>
    <w:rsid w:val="000A7B44"/>
    <w:rsid w:val="000B2009"/>
    <w:rsid w:val="000B37DD"/>
    <w:rsid w:val="000B467E"/>
    <w:rsid w:val="000B75D7"/>
    <w:rsid w:val="000B7624"/>
    <w:rsid w:val="000C10BB"/>
    <w:rsid w:val="000C1AE4"/>
    <w:rsid w:val="000C1BEE"/>
    <w:rsid w:val="000C1C21"/>
    <w:rsid w:val="000C3E7F"/>
    <w:rsid w:val="000C4E35"/>
    <w:rsid w:val="000C6072"/>
    <w:rsid w:val="000C73D1"/>
    <w:rsid w:val="000D2444"/>
    <w:rsid w:val="000D416A"/>
    <w:rsid w:val="000D5589"/>
    <w:rsid w:val="000E28C5"/>
    <w:rsid w:val="000E2FD8"/>
    <w:rsid w:val="000E4575"/>
    <w:rsid w:val="000E582D"/>
    <w:rsid w:val="000E74C4"/>
    <w:rsid w:val="000F0B79"/>
    <w:rsid w:val="000F2B07"/>
    <w:rsid w:val="000F71B2"/>
    <w:rsid w:val="000F7341"/>
    <w:rsid w:val="000F75A1"/>
    <w:rsid w:val="001001EB"/>
    <w:rsid w:val="001013C0"/>
    <w:rsid w:val="00102504"/>
    <w:rsid w:val="001068AE"/>
    <w:rsid w:val="00106D37"/>
    <w:rsid w:val="001107DF"/>
    <w:rsid w:val="00111764"/>
    <w:rsid w:val="00112B91"/>
    <w:rsid w:val="00115BD6"/>
    <w:rsid w:val="00120B2E"/>
    <w:rsid w:val="00121724"/>
    <w:rsid w:val="00122831"/>
    <w:rsid w:val="00122C1D"/>
    <w:rsid w:val="001230FC"/>
    <w:rsid w:val="0012468D"/>
    <w:rsid w:val="0012481A"/>
    <w:rsid w:val="001263BF"/>
    <w:rsid w:val="00126467"/>
    <w:rsid w:val="00131C69"/>
    <w:rsid w:val="00132BC2"/>
    <w:rsid w:val="00133287"/>
    <w:rsid w:val="00133AF0"/>
    <w:rsid w:val="00135193"/>
    <w:rsid w:val="00135E9B"/>
    <w:rsid w:val="00140259"/>
    <w:rsid w:val="0014125C"/>
    <w:rsid w:val="00142554"/>
    <w:rsid w:val="00150269"/>
    <w:rsid w:val="001518F8"/>
    <w:rsid w:val="00152364"/>
    <w:rsid w:val="00152A00"/>
    <w:rsid w:val="00152D4A"/>
    <w:rsid w:val="00154123"/>
    <w:rsid w:val="0015417F"/>
    <w:rsid w:val="0015530B"/>
    <w:rsid w:val="0016279D"/>
    <w:rsid w:val="001636D1"/>
    <w:rsid w:val="00163CA5"/>
    <w:rsid w:val="00164EEF"/>
    <w:rsid w:val="00165252"/>
    <w:rsid w:val="0016578B"/>
    <w:rsid w:val="00165900"/>
    <w:rsid w:val="00165D2A"/>
    <w:rsid w:val="00166807"/>
    <w:rsid w:val="00167AF2"/>
    <w:rsid w:val="001724A9"/>
    <w:rsid w:val="00173A92"/>
    <w:rsid w:val="00173B47"/>
    <w:rsid w:val="00175269"/>
    <w:rsid w:val="00176320"/>
    <w:rsid w:val="00176BC2"/>
    <w:rsid w:val="00176C66"/>
    <w:rsid w:val="00177E5F"/>
    <w:rsid w:val="00180293"/>
    <w:rsid w:val="001818BA"/>
    <w:rsid w:val="0018420F"/>
    <w:rsid w:val="00186170"/>
    <w:rsid w:val="0019326A"/>
    <w:rsid w:val="00194513"/>
    <w:rsid w:val="001949F4"/>
    <w:rsid w:val="00194DB3"/>
    <w:rsid w:val="00195F3F"/>
    <w:rsid w:val="001966EB"/>
    <w:rsid w:val="00197417"/>
    <w:rsid w:val="001A04E1"/>
    <w:rsid w:val="001A0889"/>
    <w:rsid w:val="001A0D59"/>
    <w:rsid w:val="001A24BB"/>
    <w:rsid w:val="001A321D"/>
    <w:rsid w:val="001A4454"/>
    <w:rsid w:val="001A49DE"/>
    <w:rsid w:val="001A576D"/>
    <w:rsid w:val="001A5EEB"/>
    <w:rsid w:val="001A666C"/>
    <w:rsid w:val="001A6778"/>
    <w:rsid w:val="001B01BD"/>
    <w:rsid w:val="001B28A3"/>
    <w:rsid w:val="001B3427"/>
    <w:rsid w:val="001B4669"/>
    <w:rsid w:val="001B6745"/>
    <w:rsid w:val="001C027A"/>
    <w:rsid w:val="001C21AD"/>
    <w:rsid w:val="001C3726"/>
    <w:rsid w:val="001C4C44"/>
    <w:rsid w:val="001C6BC5"/>
    <w:rsid w:val="001C7ADE"/>
    <w:rsid w:val="001D10DD"/>
    <w:rsid w:val="001D1C9F"/>
    <w:rsid w:val="001D6603"/>
    <w:rsid w:val="001D66D8"/>
    <w:rsid w:val="001D6DD2"/>
    <w:rsid w:val="001E0617"/>
    <w:rsid w:val="001E06D7"/>
    <w:rsid w:val="001E3880"/>
    <w:rsid w:val="001E58B6"/>
    <w:rsid w:val="001E6C98"/>
    <w:rsid w:val="001F4294"/>
    <w:rsid w:val="001F54AE"/>
    <w:rsid w:val="001F60CA"/>
    <w:rsid w:val="001F6742"/>
    <w:rsid w:val="002018CF"/>
    <w:rsid w:val="00203F5F"/>
    <w:rsid w:val="00204688"/>
    <w:rsid w:val="00210FDB"/>
    <w:rsid w:val="00211975"/>
    <w:rsid w:val="00212279"/>
    <w:rsid w:val="00214BA7"/>
    <w:rsid w:val="002202A3"/>
    <w:rsid w:val="002211A0"/>
    <w:rsid w:val="00223AC5"/>
    <w:rsid w:val="0023025D"/>
    <w:rsid w:val="0023251A"/>
    <w:rsid w:val="0023380C"/>
    <w:rsid w:val="0023476D"/>
    <w:rsid w:val="00234D0C"/>
    <w:rsid w:val="002376AF"/>
    <w:rsid w:val="0023797E"/>
    <w:rsid w:val="00237FF3"/>
    <w:rsid w:val="0024114B"/>
    <w:rsid w:val="002430D4"/>
    <w:rsid w:val="0024578C"/>
    <w:rsid w:val="002552CC"/>
    <w:rsid w:val="00256AD9"/>
    <w:rsid w:val="00257A21"/>
    <w:rsid w:val="00260AA8"/>
    <w:rsid w:val="00262E41"/>
    <w:rsid w:val="00264447"/>
    <w:rsid w:val="002644AE"/>
    <w:rsid w:val="0026722F"/>
    <w:rsid w:val="00270D00"/>
    <w:rsid w:val="00271A6B"/>
    <w:rsid w:val="002731E3"/>
    <w:rsid w:val="002744FC"/>
    <w:rsid w:val="002762B9"/>
    <w:rsid w:val="00277B95"/>
    <w:rsid w:val="002842C1"/>
    <w:rsid w:val="00285E6E"/>
    <w:rsid w:val="00286EAA"/>
    <w:rsid w:val="00287D5E"/>
    <w:rsid w:val="00290328"/>
    <w:rsid w:val="0029302D"/>
    <w:rsid w:val="00296095"/>
    <w:rsid w:val="00297DB5"/>
    <w:rsid w:val="002A0C7B"/>
    <w:rsid w:val="002A5C74"/>
    <w:rsid w:val="002B144D"/>
    <w:rsid w:val="002B2F06"/>
    <w:rsid w:val="002B56E9"/>
    <w:rsid w:val="002B62C9"/>
    <w:rsid w:val="002C14A0"/>
    <w:rsid w:val="002C2F19"/>
    <w:rsid w:val="002C36F0"/>
    <w:rsid w:val="002C415D"/>
    <w:rsid w:val="002D0171"/>
    <w:rsid w:val="002D1437"/>
    <w:rsid w:val="002D15F5"/>
    <w:rsid w:val="002D50A5"/>
    <w:rsid w:val="002D6C32"/>
    <w:rsid w:val="002E028F"/>
    <w:rsid w:val="002E254B"/>
    <w:rsid w:val="002E36E7"/>
    <w:rsid w:val="002E411C"/>
    <w:rsid w:val="002E4C5D"/>
    <w:rsid w:val="002F1107"/>
    <w:rsid w:val="002F4968"/>
    <w:rsid w:val="002F4B76"/>
    <w:rsid w:val="002F7E3B"/>
    <w:rsid w:val="00304E2F"/>
    <w:rsid w:val="003058EB"/>
    <w:rsid w:val="00305914"/>
    <w:rsid w:val="003101D1"/>
    <w:rsid w:val="00312402"/>
    <w:rsid w:val="00316871"/>
    <w:rsid w:val="003200AA"/>
    <w:rsid w:val="00320166"/>
    <w:rsid w:val="0032096F"/>
    <w:rsid w:val="0032128E"/>
    <w:rsid w:val="00322D03"/>
    <w:rsid w:val="0032333F"/>
    <w:rsid w:val="00333A6C"/>
    <w:rsid w:val="0033563E"/>
    <w:rsid w:val="003363C2"/>
    <w:rsid w:val="0034295B"/>
    <w:rsid w:val="00343048"/>
    <w:rsid w:val="00343AFC"/>
    <w:rsid w:val="0034423E"/>
    <w:rsid w:val="003442FA"/>
    <w:rsid w:val="00345535"/>
    <w:rsid w:val="00351C32"/>
    <w:rsid w:val="00352256"/>
    <w:rsid w:val="00363202"/>
    <w:rsid w:val="00363457"/>
    <w:rsid w:val="0036464F"/>
    <w:rsid w:val="0036547E"/>
    <w:rsid w:val="0037189B"/>
    <w:rsid w:val="0037238C"/>
    <w:rsid w:val="00372986"/>
    <w:rsid w:val="003729EB"/>
    <w:rsid w:val="00372CC3"/>
    <w:rsid w:val="00373C34"/>
    <w:rsid w:val="00373CDB"/>
    <w:rsid w:val="003741D0"/>
    <w:rsid w:val="00374EAB"/>
    <w:rsid w:val="00375A7D"/>
    <w:rsid w:val="003911BC"/>
    <w:rsid w:val="003913D8"/>
    <w:rsid w:val="00391DCF"/>
    <w:rsid w:val="00392511"/>
    <w:rsid w:val="00395C1F"/>
    <w:rsid w:val="003965AA"/>
    <w:rsid w:val="0039773F"/>
    <w:rsid w:val="00397EE3"/>
    <w:rsid w:val="003A1E01"/>
    <w:rsid w:val="003A463D"/>
    <w:rsid w:val="003A6321"/>
    <w:rsid w:val="003A7314"/>
    <w:rsid w:val="003A7A9C"/>
    <w:rsid w:val="003B1592"/>
    <w:rsid w:val="003B29D9"/>
    <w:rsid w:val="003B3562"/>
    <w:rsid w:val="003B406E"/>
    <w:rsid w:val="003B5BB3"/>
    <w:rsid w:val="003C5660"/>
    <w:rsid w:val="003C6AF4"/>
    <w:rsid w:val="003C7673"/>
    <w:rsid w:val="003D1FB9"/>
    <w:rsid w:val="003D2D7A"/>
    <w:rsid w:val="003D3BBE"/>
    <w:rsid w:val="003D42A5"/>
    <w:rsid w:val="003E0B28"/>
    <w:rsid w:val="003E1A02"/>
    <w:rsid w:val="003E287E"/>
    <w:rsid w:val="003E29EC"/>
    <w:rsid w:val="003E4464"/>
    <w:rsid w:val="003E6FCB"/>
    <w:rsid w:val="003F2487"/>
    <w:rsid w:val="003F4CF2"/>
    <w:rsid w:val="004003EC"/>
    <w:rsid w:val="00400C60"/>
    <w:rsid w:val="00400D10"/>
    <w:rsid w:val="00402212"/>
    <w:rsid w:val="00405C6F"/>
    <w:rsid w:val="00407819"/>
    <w:rsid w:val="00407BF0"/>
    <w:rsid w:val="00411B7F"/>
    <w:rsid w:val="0041296F"/>
    <w:rsid w:val="00415626"/>
    <w:rsid w:val="00416384"/>
    <w:rsid w:val="0041673B"/>
    <w:rsid w:val="00416FEC"/>
    <w:rsid w:val="004212A9"/>
    <w:rsid w:val="00421666"/>
    <w:rsid w:val="00422E40"/>
    <w:rsid w:val="00423BF0"/>
    <w:rsid w:val="00427CB2"/>
    <w:rsid w:val="00430C9D"/>
    <w:rsid w:val="00431052"/>
    <w:rsid w:val="004331E1"/>
    <w:rsid w:val="00433D51"/>
    <w:rsid w:val="004366B4"/>
    <w:rsid w:val="0043751C"/>
    <w:rsid w:val="00440E62"/>
    <w:rsid w:val="00441334"/>
    <w:rsid w:val="00442980"/>
    <w:rsid w:val="00442D53"/>
    <w:rsid w:val="00445623"/>
    <w:rsid w:val="00447469"/>
    <w:rsid w:val="004516D3"/>
    <w:rsid w:val="00453B1F"/>
    <w:rsid w:val="004545A0"/>
    <w:rsid w:val="0045542C"/>
    <w:rsid w:val="00456CF6"/>
    <w:rsid w:val="004628E4"/>
    <w:rsid w:val="00462CE2"/>
    <w:rsid w:val="00463625"/>
    <w:rsid w:val="004651D3"/>
    <w:rsid w:val="00465512"/>
    <w:rsid w:val="00473AD1"/>
    <w:rsid w:val="00475695"/>
    <w:rsid w:val="004758D8"/>
    <w:rsid w:val="00475C86"/>
    <w:rsid w:val="00476BA3"/>
    <w:rsid w:val="004775C4"/>
    <w:rsid w:val="00480D70"/>
    <w:rsid w:val="00482EAE"/>
    <w:rsid w:val="00483C63"/>
    <w:rsid w:val="0049033E"/>
    <w:rsid w:val="0049130D"/>
    <w:rsid w:val="00491B57"/>
    <w:rsid w:val="00492A9E"/>
    <w:rsid w:val="00493495"/>
    <w:rsid w:val="00493C6E"/>
    <w:rsid w:val="00494ADD"/>
    <w:rsid w:val="0049505E"/>
    <w:rsid w:val="00495551"/>
    <w:rsid w:val="0049561F"/>
    <w:rsid w:val="00496E00"/>
    <w:rsid w:val="00497FC9"/>
    <w:rsid w:val="004A1396"/>
    <w:rsid w:val="004A53C2"/>
    <w:rsid w:val="004A57B8"/>
    <w:rsid w:val="004A5E5F"/>
    <w:rsid w:val="004A697B"/>
    <w:rsid w:val="004B06A1"/>
    <w:rsid w:val="004B481E"/>
    <w:rsid w:val="004B5362"/>
    <w:rsid w:val="004B7255"/>
    <w:rsid w:val="004C050C"/>
    <w:rsid w:val="004C29A9"/>
    <w:rsid w:val="004C3CDA"/>
    <w:rsid w:val="004C3E26"/>
    <w:rsid w:val="004C5C8B"/>
    <w:rsid w:val="004C689C"/>
    <w:rsid w:val="004C6B00"/>
    <w:rsid w:val="004C6EC1"/>
    <w:rsid w:val="004D0986"/>
    <w:rsid w:val="004E066E"/>
    <w:rsid w:val="004E0757"/>
    <w:rsid w:val="004E2030"/>
    <w:rsid w:val="004E2ED9"/>
    <w:rsid w:val="004E3121"/>
    <w:rsid w:val="004E6C3D"/>
    <w:rsid w:val="004F45DB"/>
    <w:rsid w:val="004F6109"/>
    <w:rsid w:val="00500725"/>
    <w:rsid w:val="0050114D"/>
    <w:rsid w:val="00501927"/>
    <w:rsid w:val="00501F74"/>
    <w:rsid w:val="00502727"/>
    <w:rsid w:val="00502E73"/>
    <w:rsid w:val="005059B7"/>
    <w:rsid w:val="005060BA"/>
    <w:rsid w:val="00507E50"/>
    <w:rsid w:val="00510B2C"/>
    <w:rsid w:val="005129FF"/>
    <w:rsid w:val="00514B8F"/>
    <w:rsid w:val="00514CA5"/>
    <w:rsid w:val="005161E4"/>
    <w:rsid w:val="0051705A"/>
    <w:rsid w:val="00525B3D"/>
    <w:rsid w:val="005336F3"/>
    <w:rsid w:val="00535EF0"/>
    <w:rsid w:val="005364E6"/>
    <w:rsid w:val="005370BB"/>
    <w:rsid w:val="00537C3E"/>
    <w:rsid w:val="00537C74"/>
    <w:rsid w:val="0054127D"/>
    <w:rsid w:val="00542BC1"/>
    <w:rsid w:val="00545E2C"/>
    <w:rsid w:val="00550972"/>
    <w:rsid w:val="00551446"/>
    <w:rsid w:val="005515B8"/>
    <w:rsid w:val="00553122"/>
    <w:rsid w:val="005536DA"/>
    <w:rsid w:val="0055564E"/>
    <w:rsid w:val="00556183"/>
    <w:rsid w:val="00557B64"/>
    <w:rsid w:val="005603B7"/>
    <w:rsid w:val="005604FD"/>
    <w:rsid w:val="00560528"/>
    <w:rsid w:val="00560FA8"/>
    <w:rsid w:val="005627E3"/>
    <w:rsid w:val="00566466"/>
    <w:rsid w:val="005676DE"/>
    <w:rsid w:val="00567900"/>
    <w:rsid w:val="005717A5"/>
    <w:rsid w:val="00575D3E"/>
    <w:rsid w:val="0058213A"/>
    <w:rsid w:val="00582F39"/>
    <w:rsid w:val="00583A38"/>
    <w:rsid w:val="00586E6F"/>
    <w:rsid w:val="00590674"/>
    <w:rsid w:val="005929FF"/>
    <w:rsid w:val="00593121"/>
    <w:rsid w:val="0059659D"/>
    <w:rsid w:val="005978E0"/>
    <w:rsid w:val="005A117D"/>
    <w:rsid w:val="005A28EB"/>
    <w:rsid w:val="005A2F0A"/>
    <w:rsid w:val="005A3AED"/>
    <w:rsid w:val="005A44F4"/>
    <w:rsid w:val="005A6F3B"/>
    <w:rsid w:val="005A7D73"/>
    <w:rsid w:val="005B1F55"/>
    <w:rsid w:val="005B2058"/>
    <w:rsid w:val="005B24E9"/>
    <w:rsid w:val="005B2D8B"/>
    <w:rsid w:val="005B3F56"/>
    <w:rsid w:val="005B44A0"/>
    <w:rsid w:val="005B65F5"/>
    <w:rsid w:val="005B6AA3"/>
    <w:rsid w:val="005B7508"/>
    <w:rsid w:val="005B7A86"/>
    <w:rsid w:val="005C0557"/>
    <w:rsid w:val="005C2C75"/>
    <w:rsid w:val="005C3FC0"/>
    <w:rsid w:val="005C6E47"/>
    <w:rsid w:val="005D17EE"/>
    <w:rsid w:val="005D1847"/>
    <w:rsid w:val="005D1A49"/>
    <w:rsid w:val="005D2574"/>
    <w:rsid w:val="005D2A1B"/>
    <w:rsid w:val="005D2D53"/>
    <w:rsid w:val="005D5432"/>
    <w:rsid w:val="005D6D5F"/>
    <w:rsid w:val="005D7B2E"/>
    <w:rsid w:val="005E5522"/>
    <w:rsid w:val="005E6053"/>
    <w:rsid w:val="005E7EC5"/>
    <w:rsid w:val="005F2512"/>
    <w:rsid w:val="005F2946"/>
    <w:rsid w:val="005F2BAE"/>
    <w:rsid w:val="005F564F"/>
    <w:rsid w:val="005F69E5"/>
    <w:rsid w:val="00601368"/>
    <w:rsid w:val="00601D35"/>
    <w:rsid w:val="00603EDF"/>
    <w:rsid w:val="00604F8B"/>
    <w:rsid w:val="0061029D"/>
    <w:rsid w:val="006117C8"/>
    <w:rsid w:val="00612CE4"/>
    <w:rsid w:val="006154E9"/>
    <w:rsid w:val="00615A59"/>
    <w:rsid w:val="00616E85"/>
    <w:rsid w:val="00620E1C"/>
    <w:rsid w:val="00622B66"/>
    <w:rsid w:val="0062328A"/>
    <w:rsid w:val="0062329A"/>
    <w:rsid w:val="00623D84"/>
    <w:rsid w:val="00625B61"/>
    <w:rsid w:val="006337FB"/>
    <w:rsid w:val="00633943"/>
    <w:rsid w:val="00633A46"/>
    <w:rsid w:val="0063443C"/>
    <w:rsid w:val="00634B00"/>
    <w:rsid w:val="006359C8"/>
    <w:rsid w:val="00636710"/>
    <w:rsid w:val="00636C39"/>
    <w:rsid w:val="00637BEE"/>
    <w:rsid w:val="00642237"/>
    <w:rsid w:val="00645988"/>
    <w:rsid w:val="006471D9"/>
    <w:rsid w:val="00647666"/>
    <w:rsid w:val="0065419B"/>
    <w:rsid w:val="00655494"/>
    <w:rsid w:val="00656624"/>
    <w:rsid w:val="00657331"/>
    <w:rsid w:val="00660BB2"/>
    <w:rsid w:val="00661471"/>
    <w:rsid w:val="006640CD"/>
    <w:rsid w:val="0066434B"/>
    <w:rsid w:val="00664AC3"/>
    <w:rsid w:val="00664B97"/>
    <w:rsid w:val="0066786E"/>
    <w:rsid w:val="00670F37"/>
    <w:rsid w:val="00670FA3"/>
    <w:rsid w:val="006737CF"/>
    <w:rsid w:val="006747D9"/>
    <w:rsid w:val="00674D68"/>
    <w:rsid w:val="00675E83"/>
    <w:rsid w:val="0067708D"/>
    <w:rsid w:val="0068081A"/>
    <w:rsid w:val="0068248E"/>
    <w:rsid w:val="006857C8"/>
    <w:rsid w:val="00685CA3"/>
    <w:rsid w:val="00686535"/>
    <w:rsid w:val="00690F77"/>
    <w:rsid w:val="00692E2A"/>
    <w:rsid w:val="006943CA"/>
    <w:rsid w:val="00694E85"/>
    <w:rsid w:val="006A0367"/>
    <w:rsid w:val="006A148E"/>
    <w:rsid w:val="006A337C"/>
    <w:rsid w:val="006A434D"/>
    <w:rsid w:val="006B4E22"/>
    <w:rsid w:val="006B6261"/>
    <w:rsid w:val="006B6459"/>
    <w:rsid w:val="006C15B8"/>
    <w:rsid w:val="006C1776"/>
    <w:rsid w:val="006C28C4"/>
    <w:rsid w:val="006C4775"/>
    <w:rsid w:val="006C7E0C"/>
    <w:rsid w:val="006D0801"/>
    <w:rsid w:val="006D0CA6"/>
    <w:rsid w:val="006D1A65"/>
    <w:rsid w:val="006D1C87"/>
    <w:rsid w:val="006D3179"/>
    <w:rsid w:val="006D79C9"/>
    <w:rsid w:val="006D7F02"/>
    <w:rsid w:val="006E3C28"/>
    <w:rsid w:val="006E5BD3"/>
    <w:rsid w:val="006F0B93"/>
    <w:rsid w:val="006F5574"/>
    <w:rsid w:val="006F681C"/>
    <w:rsid w:val="006F6D86"/>
    <w:rsid w:val="00700B24"/>
    <w:rsid w:val="00702856"/>
    <w:rsid w:val="00704FC5"/>
    <w:rsid w:val="007056B5"/>
    <w:rsid w:val="00705BFA"/>
    <w:rsid w:val="007076C5"/>
    <w:rsid w:val="00710414"/>
    <w:rsid w:val="00710A14"/>
    <w:rsid w:val="007143A9"/>
    <w:rsid w:val="0071514B"/>
    <w:rsid w:val="00717D9F"/>
    <w:rsid w:val="00720583"/>
    <w:rsid w:val="00720F54"/>
    <w:rsid w:val="00721D9D"/>
    <w:rsid w:val="00723996"/>
    <w:rsid w:val="00724277"/>
    <w:rsid w:val="007308C8"/>
    <w:rsid w:val="00733687"/>
    <w:rsid w:val="00735A36"/>
    <w:rsid w:val="00737239"/>
    <w:rsid w:val="0074210C"/>
    <w:rsid w:val="00742AE5"/>
    <w:rsid w:val="00742BDC"/>
    <w:rsid w:val="00743995"/>
    <w:rsid w:val="00744885"/>
    <w:rsid w:val="00750B59"/>
    <w:rsid w:val="00753551"/>
    <w:rsid w:val="0075440F"/>
    <w:rsid w:val="0075449C"/>
    <w:rsid w:val="00754C0C"/>
    <w:rsid w:val="00757937"/>
    <w:rsid w:val="00760C91"/>
    <w:rsid w:val="007610E9"/>
    <w:rsid w:val="007643BD"/>
    <w:rsid w:val="00766B10"/>
    <w:rsid w:val="00770CAD"/>
    <w:rsid w:val="007737EF"/>
    <w:rsid w:val="00775471"/>
    <w:rsid w:val="00775BAB"/>
    <w:rsid w:val="00776728"/>
    <w:rsid w:val="0077735A"/>
    <w:rsid w:val="0077771E"/>
    <w:rsid w:val="00780BB8"/>
    <w:rsid w:val="0078181D"/>
    <w:rsid w:val="007836AA"/>
    <w:rsid w:val="007836B3"/>
    <w:rsid w:val="00783826"/>
    <w:rsid w:val="007842E8"/>
    <w:rsid w:val="00785594"/>
    <w:rsid w:val="00785A95"/>
    <w:rsid w:val="007863F7"/>
    <w:rsid w:val="0078767C"/>
    <w:rsid w:val="007916D4"/>
    <w:rsid w:val="00792ACB"/>
    <w:rsid w:val="00795276"/>
    <w:rsid w:val="007961C4"/>
    <w:rsid w:val="007A0978"/>
    <w:rsid w:val="007A3016"/>
    <w:rsid w:val="007A3656"/>
    <w:rsid w:val="007A3FE2"/>
    <w:rsid w:val="007A4AD7"/>
    <w:rsid w:val="007A55BA"/>
    <w:rsid w:val="007A600F"/>
    <w:rsid w:val="007A7579"/>
    <w:rsid w:val="007B260F"/>
    <w:rsid w:val="007B2E28"/>
    <w:rsid w:val="007B334C"/>
    <w:rsid w:val="007B3CA8"/>
    <w:rsid w:val="007B4C3A"/>
    <w:rsid w:val="007B7103"/>
    <w:rsid w:val="007B7F0E"/>
    <w:rsid w:val="007C072C"/>
    <w:rsid w:val="007C2944"/>
    <w:rsid w:val="007C36E9"/>
    <w:rsid w:val="007C3A2D"/>
    <w:rsid w:val="007C41B8"/>
    <w:rsid w:val="007C5EBF"/>
    <w:rsid w:val="007D0510"/>
    <w:rsid w:val="007D05C7"/>
    <w:rsid w:val="007D1DC0"/>
    <w:rsid w:val="007D1F1F"/>
    <w:rsid w:val="007D5A42"/>
    <w:rsid w:val="007D77DC"/>
    <w:rsid w:val="007E13B2"/>
    <w:rsid w:val="007E368B"/>
    <w:rsid w:val="007E6A8C"/>
    <w:rsid w:val="007E7948"/>
    <w:rsid w:val="007F0CFF"/>
    <w:rsid w:val="007F3D22"/>
    <w:rsid w:val="007F48D5"/>
    <w:rsid w:val="00801198"/>
    <w:rsid w:val="00801FC0"/>
    <w:rsid w:val="008105B5"/>
    <w:rsid w:val="0081169B"/>
    <w:rsid w:val="00816303"/>
    <w:rsid w:val="00820ACF"/>
    <w:rsid w:val="00820E19"/>
    <w:rsid w:val="00821868"/>
    <w:rsid w:val="00821AFD"/>
    <w:rsid w:val="00822E2D"/>
    <w:rsid w:val="00824AC4"/>
    <w:rsid w:val="00824AFC"/>
    <w:rsid w:val="00825247"/>
    <w:rsid w:val="00831398"/>
    <w:rsid w:val="008316AD"/>
    <w:rsid w:val="00831AF5"/>
    <w:rsid w:val="008324F1"/>
    <w:rsid w:val="00832769"/>
    <w:rsid w:val="00833ED6"/>
    <w:rsid w:val="00834BEA"/>
    <w:rsid w:val="00836656"/>
    <w:rsid w:val="00836DBD"/>
    <w:rsid w:val="0083783B"/>
    <w:rsid w:val="0083795A"/>
    <w:rsid w:val="00837F1F"/>
    <w:rsid w:val="00840F0C"/>
    <w:rsid w:val="00842B22"/>
    <w:rsid w:val="00845C8D"/>
    <w:rsid w:val="00846870"/>
    <w:rsid w:val="00846C94"/>
    <w:rsid w:val="0084706A"/>
    <w:rsid w:val="00847772"/>
    <w:rsid w:val="00847F18"/>
    <w:rsid w:val="0085031C"/>
    <w:rsid w:val="00850FEF"/>
    <w:rsid w:val="00851EDD"/>
    <w:rsid w:val="00852001"/>
    <w:rsid w:val="0085387D"/>
    <w:rsid w:val="00864CED"/>
    <w:rsid w:val="00864F93"/>
    <w:rsid w:val="008657A4"/>
    <w:rsid w:val="00866977"/>
    <w:rsid w:val="008671D0"/>
    <w:rsid w:val="00870AF6"/>
    <w:rsid w:val="00872243"/>
    <w:rsid w:val="00873A59"/>
    <w:rsid w:val="00873E2B"/>
    <w:rsid w:val="00874D11"/>
    <w:rsid w:val="00881B37"/>
    <w:rsid w:val="00883D4A"/>
    <w:rsid w:val="00887B27"/>
    <w:rsid w:val="00893811"/>
    <w:rsid w:val="0089400B"/>
    <w:rsid w:val="008953F8"/>
    <w:rsid w:val="0089581B"/>
    <w:rsid w:val="008A26CF"/>
    <w:rsid w:val="008A4690"/>
    <w:rsid w:val="008A4CF3"/>
    <w:rsid w:val="008A6676"/>
    <w:rsid w:val="008B0845"/>
    <w:rsid w:val="008B3E58"/>
    <w:rsid w:val="008B493E"/>
    <w:rsid w:val="008B5C4A"/>
    <w:rsid w:val="008C2F01"/>
    <w:rsid w:val="008C326A"/>
    <w:rsid w:val="008D1F6C"/>
    <w:rsid w:val="008D4425"/>
    <w:rsid w:val="008D5223"/>
    <w:rsid w:val="008D57C9"/>
    <w:rsid w:val="008D7677"/>
    <w:rsid w:val="008E10E9"/>
    <w:rsid w:val="008E634B"/>
    <w:rsid w:val="008F1218"/>
    <w:rsid w:val="008F1E55"/>
    <w:rsid w:val="008F2479"/>
    <w:rsid w:val="008F2CD6"/>
    <w:rsid w:val="008F61F1"/>
    <w:rsid w:val="008F64BF"/>
    <w:rsid w:val="008F791F"/>
    <w:rsid w:val="009045A7"/>
    <w:rsid w:val="00904C7B"/>
    <w:rsid w:val="00906EA1"/>
    <w:rsid w:val="00911713"/>
    <w:rsid w:val="00911DE3"/>
    <w:rsid w:val="00911ED8"/>
    <w:rsid w:val="00912E72"/>
    <w:rsid w:val="00916241"/>
    <w:rsid w:val="009167B0"/>
    <w:rsid w:val="00917C24"/>
    <w:rsid w:val="00923045"/>
    <w:rsid w:val="009249D7"/>
    <w:rsid w:val="00926010"/>
    <w:rsid w:val="0093028A"/>
    <w:rsid w:val="0093097F"/>
    <w:rsid w:val="0093153F"/>
    <w:rsid w:val="00934C3C"/>
    <w:rsid w:val="00935C8C"/>
    <w:rsid w:val="00936947"/>
    <w:rsid w:val="00937696"/>
    <w:rsid w:val="00937DBD"/>
    <w:rsid w:val="0094312D"/>
    <w:rsid w:val="00946679"/>
    <w:rsid w:val="00946B49"/>
    <w:rsid w:val="009505D3"/>
    <w:rsid w:val="00960AE6"/>
    <w:rsid w:val="00962529"/>
    <w:rsid w:val="00962E9A"/>
    <w:rsid w:val="00963569"/>
    <w:rsid w:val="00972A02"/>
    <w:rsid w:val="00973778"/>
    <w:rsid w:val="00981587"/>
    <w:rsid w:val="00981B73"/>
    <w:rsid w:val="00982E44"/>
    <w:rsid w:val="00985197"/>
    <w:rsid w:val="0098540A"/>
    <w:rsid w:val="00992078"/>
    <w:rsid w:val="00994E70"/>
    <w:rsid w:val="00995212"/>
    <w:rsid w:val="0099590F"/>
    <w:rsid w:val="0099674D"/>
    <w:rsid w:val="009A1FC6"/>
    <w:rsid w:val="009A3855"/>
    <w:rsid w:val="009A3A82"/>
    <w:rsid w:val="009A4CF9"/>
    <w:rsid w:val="009A727F"/>
    <w:rsid w:val="009A7328"/>
    <w:rsid w:val="009B2F7C"/>
    <w:rsid w:val="009B536E"/>
    <w:rsid w:val="009B5398"/>
    <w:rsid w:val="009C2D19"/>
    <w:rsid w:val="009C30EA"/>
    <w:rsid w:val="009C3FAC"/>
    <w:rsid w:val="009C629B"/>
    <w:rsid w:val="009C69F7"/>
    <w:rsid w:val="009C78C9"/>
    <w:rsid w:val="009C7B0B"/>
    <w:rsid w:val="009C7CB3"/>
    <w:rsid w:val="009D72DF"/>
    <w:rsid w:val="009D7598"/>
    <w:rsid w:val="009E2F03"/>
    <w:rsid w:val="009E3D78"/>
    <w:rsid w:val="009E4C13"/>
    <w:rsid w:val="009E5919"/>
    <w:rsid w:val="009E613B"/>
    <w:rsid w:val="009E614F"/>
    <w:rsid w:val="009E6150"/>
    <w:rsid w:val="009E6F33"/>
    <w:rsid w:val="009F04F9"/>
    <w:rsid w:val="009F2737"/>
    <w:rsid w:val="009F2F7C"/>
    <w:rsid w:val="009F45F3"/>
    <w:rsid w:val="009F4879"/>
    <w:rsid w:val="009F498B"/>
    <w:rsid w:val="009F6CB6"/>
    <w:rsid w:val="00A02488"/>
    <w:rsid w:val="00A03E45"/>
    <w:rsid w:val="00A05A14"/>
    <w:rsid w:val="00A05B83"/>
    <w:rsid w:val="00A0721D"/>
    <w:rsid w:val="00A13998"/>
    <w:rsid w:val="00A16161"/>
    <w:rsid w:val="00A202B0"/>
    <w:rsid w:val="00A22054"/>
    <w:rsid w:val="00A25F9A"/>
    <w:rsid w:val="00A265C6"/>
    <w:rsid w:val="00A26B21"/>
    <w:rsid w:val="00A30AEE"/>
    <w:rsid w:val="00A30E1B"/>
    <w:rsid w:val="00A314CB"/>
    <w:rsid w:val="00A32016"/>
    <w:rsid w:val="00A3260E"/>
    <w:rsid w:val="00A335C2"/>
    <w:rsid w:val="00A365DD"/>
    <w:rsid w:val="00A41CA1"/>
    <w:rsid w:val="00A42FDA"/>
    <w:rsid w:val="00A43101"/>
    <w:rsid w:val="00A43772"/>
    <w:rsid w:val="00A44986"/>
    <w:rsid w:val="00A4699A"/>
    <w:rsid w:val="00A471C7"/>
    <w:rsid w:val="00A51759"/>
    <w:rsid w:val="00A5678E"/>
    <w:rsid w:val="00A64817"/>
    <w:rsid w:val="00A65014"/>
    <w:rsid w:val="00A65E0B"/>
    <w:rsid w:val="00A66171"/>
    <w:rsid w:val="00A66E09"/>
    <w:rsid w:val="00A7047B"/>
    <w:rsid w:val="00A70CC6"/>
    <w:rsid w:val="00A7156D"/>
    <w:rsid w:val="00A724D8"/>
    <w:rsid w:val="00A732BE"/>
    <w:rsid w:val="00A75E39"/>
    <w:rsid w:val="00A80158"/>
    <w:rsid w:val="00A80260"/>
    <w:rsid w:val="00A802CF"/>
    <w:rsid w:val="00A829AC"/>
    <w:rsid w:val="00A8681B"/>
    <w:rsid w:val="00A86A61"/>
    <w:rsid w:val="00A87595"/>
    <w:rsid w:val="00A91050"/>
    <w:rsid w:val="00A962AD"/>
    <w:rsid w:val="00AA00F9"/>
    <w:rsid w:val="00AA0E06"/>
    <w:rsid w:val="00AA22C8"/>
    <w:rsid w:val="00AA554E"/>
    <w:rsid w:val="00AB2C1B"/>
    <w:rsid w:val="00AB3E29"/>
    <w:rsid w:val="00AB4813"/>
    <w:rsid w:val="00AB674D"/>
    <w:rsid w:val="00AC703D"/>
    <w:rsid w:val="00AD042E"/>
    <w:rsid w:val="00AD0BF8"/>
    <w:rsid w:val="00AD5F42"/>
    <w:rsid w:val="00AE16D7"/>
    <w:rsid w:val="00AE1ECA"/>
    <w:rsid w:val="00AE22E3"/>
    <w:rsid w:val="00AE264A"/>
    <w:rsid w:val="00AE35FC"/>
    <w:rsid w:val="00AE44E2"/>
    <w:rsid w:val="00AE4A07"/>
    <w:rsid w:val="00AE4CBA"/>
    <w:rsid w:val="00AF0BF3"/>
    <w:rsid w:val="00AF2D10"/>
    <w:rsid w:val="00AF4311"/>
    <w:rsid w:val="00AF4C93"/>
    <w:rsid w:val="00AF58EF"/>
    <w:rsid w:val="00AF5A37"/>
    <w:rsid w:val="00B0017C"/>
    <w:rsid w:val="00B006BA"/>
    <w:rsid w:val="00B01F78"/>
    <w:rsid w:val="00B04110"/>
    <w:rsid w:val="00B05364"/>
    <w:rsid w:val="00B05CE4"/>
    <w:rsid w:val="00B0660E"/>
    <w:rsid w:val="00B10BA1"/>
    <w:rsid w:val="00B13018"/>
    <w:rsid w:val="00B13957"/>
    <w:rsid w:val="00B14AD4"/>
    <w:rsid w:val="00B15731"/>
    <w:rsid w:val="00B17B5E"/>
    <w:rsid w:val="00B17BB4"/>
    <w:rsid w:val="00B201EA"/>
    <w:rsid w:val="00B2324B"/>
    <w:rsid w:val="00B23BC8"/>
    <w:rsid w:val="00B30C70"/>
    <w:rsid w:val="00B3264D"/>
    <w:rsid w:val="00B32C6E"/>
    <w:rsid w:val="00B32D20"/>
    <w:rsid w:val="00B40ED1"/>
    <w:rsid w:val="00B40F05"/>
    <w:rsid w:val="00B4107B"/>
    <w:rsid w:val="00B411DE"/>
    <w:rsid w:val="00B43C79"/>
    <w:rsid w:val="00B46C80"/>
    <w:rsid w:val="00B4725B"/>
    <w:rsid w:val="00B479A9"/>
    <w:rsid w:val="00B47A00"/>
    <w:rsid w:val="00B50B6B"/>
    <w:rsid w:val="00B5413C"/>
    <w:rsid w:val="00B5601E"/>
    <w:rsid w:val="00B572B8"/>
    <w:rsid w:val="00B57B8C"/>
    <w:rsid w:val="00B608B9"/>
    <w:rsid w:val="00B61EAA"/>
    <w:rsid w:val="00B6296E"/>
    <w:rsid w:val="00B63D2A"/>
    <w:rsid w:val="00B641F6"/>
    <w:rsid w:val="00B65BD6"/>
    <w:rsid w:val="00B66454"/>
    <w:rsid w:val="00B6736C"/>
    <w:rsid w:val="00B677C3"/>
    <w:rsid w:val="00B702F7"/>
    <w:rsid w:val="00B71F5B"/>
    <w:rsid w:val="00B73402"/>
    <w:rsid w:val="00B73F1B"/>
    <w:rsid w:val="00B75E6D"/>
    <w:rsid w:val="00B80651"/>
    <w:rsid w:val="00B8099D"/>
    <w:rsid w:val="00B82105"/>
    <w:rsid w:val="00B8463C"/>
    <w:rsid w:val="00B86C86"/>
    <w:rsid w:val="00B87881"/>
    <w:rsid w:val="00B87A8A"/>
    <w:rsid w:val="00B93429"/>
    <w:rsid w:val="00B9373A"/>
    <w:rsid w:val="00B950A7"/>
    <w:rsid w:val="00B96627"/>
    <w:rsid w:val="00BA032C"/>
    <w:rsid w:val="00BA0CD9"/>
    <w:rsid w:val="00BA1D10"/>
    <w:rsid w:val="00BA237D"/>
    <w:rsid w:val="00BA2E3B"/>
    <w:rsid w:val="00BB0EFE"/>
    <w:rsid w:val="00BB7351"/>
    <w:rsid w:val="00BB760A"/>
    <w:rsid w:val="00BC13F9"/>
    <w:rsid w:val="00BC4FFD"/>
    <w:rsid w:val="00BC6118"/>
    <w:rsid w:val="00BC7CEF"/>
    <w:rsid w:val="00BD1FEE"/>
    <w:rsid w:val="00BD2FF0"/>
    <w:rsid w:val="00BD45FF"/>
    <w:rsid w:val="00BD4C62"/>
    <w:rsid w:val="00BD4F40"/>
    <w:rsid w:val="00BD6663"/>
    <w:rsid w:val="00BD6C4C"/>
    <w:rsid w:val="00BE0F03"/>
    <w:rsid w:val="00BE16BC"/>
    <w:rsid w:val="00BE1A16"/>
    <w:rsid w:val="00BE1DC8"/>
    <w:rsid w:val="00BE5621"/>
    <w:rsid w:val="00BE661B"/>
    <w:rsid w:val="00BF001F"/>
    <w:rsid w:val="00BF14EF"/>
    <w:rsid w:val="00BF16E2"/>
    <w:rsid w:val="00BF1F4D"/>
    <w:rsid w:val="00BF3A77"/>
    <w:rsid w:val="00BF4C3B"/>
    <w:rsid w:val="00C00FD9"/>
    <w:rsid w:val="00C01612"/>
    <w:rsid w:val="00C03CAA"/>
    <w:rsid w:val="00C071DD"/>
    <w:rsid w:val="00C07FBC"/>
    <w:rsid w:val="00C14AA8"/>
    <w:rsid w:val="00C16CF3"/>
    <w:rsid w:val="00C17A1E"/>
    <w:rsid w:val="00C20281"/>
    <w:rsid w:val="00C20EDC"/>
    <w:rsid w:val="00C2679B"/>
    <w:rsid w:val="00C26B00"/>
    <w:rsid w:val="00C26C62"/>
    <w:rsid w:val="00C327C8"/>
    <w:rsid w:val="00C34FBF"/>
    <w:rsid w:val="00C358B3"/>
    <w:rsid w:val="00C358B5"/>
    <w:rsid w:val="00C35E6C"/>
    <w:rsid w:val="00C40337"/>
    <w:rsid w:val="00C4181E"/>
    <w:rsid w:val="00C4272E"/>
    <w:rsid w:val="00C43930"/>
    <w:rsid w:val="00C43C22"/>
    <w:rsid w:val="00C43CFE"/>
    <w:rsid w:val="00C44E12"/>
    <w:rsid w:val="00C46004"/>
    <w:rsid w:val="00C471AF"/>
    <w:rsid w:val="00C50F81"/>
    <w:rsid w:val="00C54383"/>
    <w:rsid w:val="00C5503E"/>
    <w:rsid w:val="00C557D2"/>
    <w:rsid w:val="00C55C15"/>
    <w:rsid w:val="00C6036D"/>
    <w:rsid w:val="00C60A2A"/>
    <w:rsid w:val="00C61F87"/>
    <w:rsid w:val="00C65E57"/>
    <w:rsid w:val="00C71468"/>
    <w:rsid w:val="00C71D0A"/>
    <w:rsid w:val="00C74064"/>
    <w:rsid w:val="00C77127"/>
    <w:rsid w:val="00C8103F"/>
    <w:rsid w:val="00C81165"/>
    <w:rsid w:val="00C84597"/>
    <w:rsid w:val="00C85D26"/>
    <w:rsid w:val="00C86B94"/>
    <w:rsid w:val="00C86C72"/>
    <w:rsid w:val="00C86D7B"/>
    <w:rsid w:val="00C87F1D"/>
    <w:rsid w:val="00C900C9"/>
    <w:rsid w:val="00C91844"/>
    <w:rsid w:val="00C931AA"/>
    <w:rsid w:val="00C95B18"/>
    <w:rsid w:val="00C9760F"/>
    <w:rsid w:val="00CA1A93"/>
    <w:rsid w:val="00CA2CFB"/>
    <w:rsid w:val="00CA3D4F"/>
    <w:rsid w:val="00CA6F47"/>
    <w:rsid w:val="00CB0372"/>
    <w:rsid w:val="00CB092B"/>
    <w:rsid w:val="00CB1C17"/>
    <w:rsid w:val="00CB2B21"/>
    <w:rsid w:val="00CB3B68"/>
    <w:rsid w:val="00CB41A6"/>
    <w:rsid w:val="00CB477A"/>
    <w:rsid w:val="00CB5E95"/>
    <w:rsid w:val="00CB6D92"/>
    <w:rsid w:val="00CB6F52"/>
    <w:rsid w:val="00CC13A3"/>
    <w:rsid w:val="00CC169A"/>
    <w:rsid w:val="00CC1EB1"/>
    <w:rsid w:val="00CC2065"/>
    <w:rsid w:val="00CC3CE2"/>
    <w:rsid w:val="00CC5D08"/>
    <w:rsid w:val="00CC6D01"/>
    <w:rsid w:val="00CC6FA6"/>
    <w:rsid w:val="00CC757F"/>
    <w:rsid w:val="00CC7B9A"/>
    <w:rsid w:val="00CC7E4B"/>
    <w:rsid w:val="00CD0254"/>
    <w:rsid w:val="00CD521A"/>
    <w:rsid w:val="00CD6173"/>
    <w:rsid w:val="00CD6A34"/>
    <w:rsid w:val="00CD7636"/>
    <w:rsid w:val="00CD7D6B"/>
    <w:rsid w:val="00CD7DB8"/>
    <w:rsid w:val="00CE0DC4"/>
    <w:rsid w:val="00CE19E4"/>
    <w:rsid w:val="00CE3473"/>
    <w:rsid w:val="00CE3AC8"/>
    <w:rsid w:val="00CE3CC4"/>
    <w:rsid w:val="00CE69C2"/>
    <w:rsid w:val="00CE6A82"/>
    <w:rsid w:val="00CF1160"/>
    <w:rsid w:val="00CF24A7"/>
    <w:rsid w:val="00CF35DA"/>
    <w:rsid w:val="00CF47D6"/>
    <w:rsid w:val="00CF527F"/>
    <w:rsid w:val="00CF5EFB"/>
    <w:rsid w:val="00CF6A3A"/>
    <w:rsid w:val="00CF6B5F"/>
    <w:rsid w:val="00D00CAC"/>
    <w:rsid w:val="00D02A26"/>
    <w:rsid w:val="00D03068"/>
    <w:rsid w:val="00D032EE"/>
    <w:rsid w:val="00D03C7A"/>
    <w:rsid w:val="00D045DF"/>
    <w:rsid w:val="00D05E4F"/>
    <w:rsid w:val="00D06A52"/>
    <w:rsid w:val="00D07F44"/>
    <w:rsid w:val="00D101FE"/>
    <w:rsid w:val="00D11C7D"/>
    <w:rsid w:val="00D1340D"/>
    <w:rsid w:val="00D14F2C"/>
    <w:rsid w:val="00D15A85"/>
    <w:rsid w:val="00D17E66"/>
    <w:rsid w:val="00D220CC"/>
    <w:rsid w:val="00D22747"/>
    <w:rsid w:val="00D22DF3"/>
    <w:rsid w:val="00D25BEF"/>
    <w:rsid w:val="00D27913"/>
    <w:rsid w:val="00D27F5D"/>
    <w:rsid w:val="00D31C31"/>
    <w:rsid w:val="00D34C7E"/>
    <w:rsid w:val="00D3647D"/>
    <w:rsid w:val="00D408E7"/>
    <w:rsid w:val="00D40A5D"/>
    <w:rsid w:val="00D45106"/>
    <w:rsid w:val="00D45880"/>
    <w:rsid w:val="00D46D58"/>
    <w:rsid w:val="00D5121E"/>
    <w:rsid w:val="00D52260"/>
    <w:rsid w:val="00D56124"/>
    <w:rsid w:val="00D579EE"/>
    <w:rsid w:val="00D62ED8"/>
    <w:rsid w:val="00D677ED"/>
    <w:rsid w:val="00D70F97"/>
    <w:rsid w:val="00D721DD"/>
    <w:rsid w:val="00D72CDC"/>
    <w:rsid w:val="00D72DD1"/>
    <w:rsid w:val="00D73308"/>
    <w:rsid w:val="00D76CAA"/>
    <w:rsid w:val="00D80179"/>
    <w:rsid w:val="00D80A07"/>
    <w:rsid w:val="00D82C00"/>
    <w:rsid w:val="00D90E49"/>
    <w:rsid w:val="00D91B49"/>
    <w:rsid w:val="00D926DC"/>
    <w:rsid w:val="00D9748B"/>
    <w:rsid w:val="00D97BF8"/>
    <w:rsid w:val="00DA0B34"/>
    <w:rsid w:val="00DA237F"/>
    <w:rsid w:val="00DA3973"/>
    <w:rsid w:val="00DA6B45"/>
    <w:rsid w:val="00DA71C3"/>
    <w:rsid w:val="00DB12A3"/>
    <w:rsid w:val="00DB1480"/>
    <w:rsid w:val="00DB6AB7"/>
    <w:rsid w:val="00DB7CAE"/>
    <w:rsid w:val="00DC0139"/>
    <w:rsid w:val="00DC149E"/>
    <w:rsid w:val="00DC3CD1"/>
    <w:rsid w:val="00DC440F"/>
    <w:rsid w:val="00DC4679"/>
    <w:rsid w:val="00DC4F68"/>
    <w:rsid w:val="00DC55BF"/>
    <w:rsid w:val="00DC717D"/>
    <w:rsid w:val="00DD1A30"/>
    <w:rsid w:val="00DD4E64"/>
    <w:rsid w:val="00DD6A07"/>
    <w:rsid w:val="00DE2FEA"/>
    <w:rsid w:val="00DE668B"/>
    <w:rsid w:val="00DF03DB"/>
    <w:rsid w:val="00DF1D84"/>
    <w:rsid w:val="00DF215F"/>
    <w:rsid w:val="00DF4EAD"/>
    <w:rsid w:val="00DF5A1A"/>
    <w:rsid w:val="00E05532"/>
    <w:rsid w:val="00E05FDA"/>
    <w:rsid w:val="00E07714"/>
    <w:rsid w:val="00E12AAC"/>
    <w:rsid w:val="00E156B5"/>
    <w:rsid w:val="00E1663F"/>
    <w:rsid w:val="00E1786E"/>
    <w:rsid w:val="00E1793F"/>
    <w:rsid w:val="00E17957"/>
    <w:rsid w:val="00E17D7A"/>
    <w:rsid w:val="00E205DC"/>
    <w:rsid w:val="00E20AD1"/>
    <w:rsid w:val="00E2164F"/>
    <w:rsid w:val="00E2420B"/>
    <w:rsid w:val="00E253AD"/>
    <w:rsid w:val="00E25AD5"/>
    <w:rsid w:val="00E2601D"/>
    <w:rsid w:val="00E2621F"/>
    <w:rsid w:val="00E263F3"/>
    <w:rsid w:val="00E3059E"/>
    <w:rsid w:val="00E3150E"/>
    <w:rsid w:val="00E319C2"/>
    <w:rsid w:val="00E3234B"/>
    <w:rsid w:val="00E3285E"/>
    <w:rsid w:val="00E33EB4"/>
    <w:rsid w:val="00E34F51"/>
    <w:rsid w:val="00E354BB"/>
    <w:rsid w:val="00E41E75"/>
    <w:rsid w:val="00E435DA"/>
    <w:rsid w:val="00E44187"/>
    <w:rsid w:val="00E45C01"/>
    <w:rsid w:val="00E45CB5"/>
    <w:rsid w:val="00E45F8E"/>
    <w:rsid w:val="00E46ABB"/>
    <w:rsid w:val="00E50543"/>
    <w:rsid w:val="00E528AA"/>
    <w:rsid w:val="00E55C36"/>
    <w:rsid w:val="00E56363"/>
    <w:rsid w:val="00E570E4"/>
    <w:rsid w:val="00E57A8B"/>
    <w:rsid w:val="00E57AF6"/>
    <w:rsid w:val="00E60029"/>
    <w:rsid w:val="00E62DDA"/>
    <w:rsid w:val="00E66141"/>
    <w:rsid w:val="00E671A2"/>
    <w:rsid w:val="00E67636"/>
    <w:rsid w:val="00E70F41"/>
    <w:rsid w:val="00E7574A"/>
    <w:rsid w:val="00E770B5"/>
    <w:rsid w:val="00E81185"/>
    <w:rsid w:val="00E826FA"/>
    <w:rsid w:val="00E8379D"/>
    <w:rsid w:val="00E8618C"/>
    <w:rsid w:val="00E8698A"/>
    <w:rsid w:val="00E87989"/>
    <w:rsid w:val="00E905EA"/>
    <w:rsid w:val="00E913B2"/>
    <w:rsid w:val="00E93127"/>
    <w:rsid w:val="00E945A6"/>
    <w:rsid w:val="00E94989"/>
    <w:rsid w:val="00E960B2"/>
    <w:rsid w:val="00EA0782"/>
    <w:rsid w:val="00EA0EFC"/>
    <w:rsid w:val="00EA1052"/>
    <w:rsid w:val="00EA21FC"/>
    <w:rsid w:val="00EA39D7"/>
    <w:rsid w:val="00EA45F4"/>
    <w:rsid w:val="00EA5415"/>
    <w:rsid w:val="00EA7B21"/>
    <w:rsid w:val="00EB1914"/>
    <w:rsid w:val="00EB289A"/>
    <w:rsid w:val="00EB2DD5"/>
    <w:rsid w:val="00EC0484"/>
    <w:rsid w:val="00EC0E44"/>
    <w:rsid w:val="00EC2140"/>
    <w:rsid w:val="00EC2668"/>
    <w:rsid w:val="00EC3902"/>
    <w:rsid w:val="00EC680C"/>
    <w:rsid w:val="00EC72A6"/>
    <w:rsid w:val="00ED25B3"/>
    <w:rsid w:val="00ED5684"/>
    <w:rsid w:val="00EE02F7"/>
    <w:rsid w:val="00EE0632"/>
    <w:rsid w:val="00EE19D1"/>
    <w:rsid w:val="00EE1F1B"/>
    <w:rsid w:val="00EE2581"/>
    <w:rsid w:val="00EE25D3"/>
    <w:rsid w:val="00EE42C3"/>
    <w:rsid w:val="00EE52B8"/>
    <w:rsid w:val="00EE5B1C"/>
    <w:rsid w:val="00EE73C8"/>
    <w:rsid w:val="00EF18CE"/>
    <w:rsid w:val="00EF2EA1"/>
    <w:rsid w:val="00EF4BF4"/>
    <w:rsid w:val="00F000DE"/>
    <w:rsid w:val="00F02E1F"/>
    <w:rsid w:val="00F02FB7"/>
    <w:rsid w:val="00F050BE"/>
    <w:rsid w:val="00F054B5"/>
    <w:rsid w:val="00F13077"/>
    <w:rsid w:val="00F158C8"/>
    <w:rsid w:val="00F15AD7"/>
    <w:rsid w:val="00F16D57"/>
    <w:rsid w:val="00F21060"/>
    <w:rsid w:val="00F2218C"/>
    <w:rsid w:val="00F257C2"/>
    <w:rsid w:val="00F262CB"/>
    <w:rsid w:val="00F26EF1"/>
    <w:rsid w:val="00F31078"/>
    <w:rsid w:val="00F31C68"/>
    <w:rsid w:val="00F32A72"/>
    <w:rsid w:val="00F35021"/>
    <w:rsid w:val="00F350FD"/>
    <w:rsid w:val="00F36137"/>
    <w:rsid w:val="00F36C3D"/>
    <w:rsid w:val="00F36DE5"/>
    <w:rsid w:val="00F3779A"/>
    <w:rsid w:val="00F4531E"/>
    <w:rsid w:val="00F46800"/>
    <w:rsid w:val="00F4690E"/>
    <w:rsid w:val="00F53501"/>
    <w:rsid w:val="00F55961"/>
    <w:rsid w:val="00F57FD4"/>
    <w:rsid w:val="00F60995"/>
    <w:rsid w:val="00F62FFB"/>
    <w:rsid w:val="00F63378"/>
    <w:rsid w:val="00F63A3A"/>
    <w:rsid w:val="00F64A70"/>
    <w:rsid w:val="00F66608"/>
    <w:rsid w:val="00F67220"/>
    <w:rsid w:val="00F702A5"/>
    <w:rsid w:val="00F735B3"/>
    <w:rsid w:val="00F74E14"/>
    <w:rsid w:val="00F75DBB"/>
    <w:rsid w:val="00F77532"/>
    <w:rsid w:val="00F775CC"/>
    <w:rsid w:val="00F8111A"/>
    <w:rsid w:val="00F83885"/>
    <w:rsid w:val="00F87B7B"/>
    <w:rsid w:val="00F906C9"/>
    <w:rsid w:val="00F935BD"/>
    <w:rsid w:val="00F9469D"/>
    <w:rsid w:val="00F9689B"/>
    <w:rsid w:val="00FA16F3"/>
    <w:rsid w:val="00FA32D0"/>
    <w:rsid w:val="00FA5B6C"/>
    <w:rsid w:val="00FB3026"/>
    <w:rsid w:val="00FB423E"/>
    <w:rsid w:val="00FB6ED4"/>
    <w:rsid w:val="00FC06B7"/>
    <w:rsid w:val="00FC4AE0"/>
    <w:rsid w:val="00FC607E"/>
    <w:rsid w:val="00FC6AF3"/>
    <w:rsid w:val="00FD0D1E"/>
    <w:rsid w:val="00FD2A90"/>
    <w:rsid w:val="00FD2FCF"/>
    <w:rsid w:val="00FD40FA"/>
    <w:rsid w:val="00FD5C3A"/>
    <w:rsid w:val="00FD6922"/>
    <w:rsid w:val="00FD6F7E"/>
    <w:rsid w:val="00FE133A"/>
    <w:rsid w:val="00FE1EF5"/>
    <w:rsid w:val="00FE27C8"/>
    <w:rsid w:val="00FE2A3A"/>
    <w:rsid w:val="00FE3407"/>
    <w:rsid w:val="00FE4A16"/>
    <w:rsid w:val="00FE67FC"/>
    <w:rsid w:val="00FE6EDD"/>
    <w:rsid w:val="00FF2676"/>
    <w:rsid w:val="00FF38EA"/>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EAED6BD"/>
  <w15:chartTrackingRefBased/>
  <w15:docId w15:val="{CF1BE021-8278-4DAE-801D-2893916F1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213D46"/>
        <w:lang w:val="da-DK" w:eastAsia="en-US" w:bidi="ar-SA"/>
      </w:rPr>
    </w:rPrDefault>
    <w:pPrDefault>
      <w:pPr>
        <w:spacing w:line="260" w:lineRule="atLeast"/>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0" w:qFormat="1"/>
    <w:lsdException w:name="heading 3" w:semiHidden="1" w:uiPriority="1" w:qFormat="1"/>
    <w:lsdException w:name="heading 4" w:semiHidden="1" w:uiPriority="0" w:qFormat="1"/>
    <w:lsdException w:name="heading 5" w:semiHidden="1" w:uiPriority="1"/>
    <w:lsdException w:name="heading 6" w:semiHidden="1" w:uiPriority="1"/>
    <w:lsdException w:name="heading 7" w:semiHidden="1" w:uiPriority="1"/>
    <w:lsdException w:name="heading 8" w:semiHidden="1" w:uiPriority="1"/>
    <w:lsdException w:name="heading 9" w:semiHidden="1" w:uiPriority="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uiPriority="8"/>
    <w:lsdException w:name="annotation text" w:semiHidden="1"/>
    <w:lsdException w:name="header" w:semiHidden="1" w:uiPriority="0"/>
    <w:lsdException w:name="footer" w:semiHidden="1"/>
    <w:lsdException w:name="index heading" w:semiHidden="1"/>
    <w:lsdException w:name="caption" w:semiHidden="1" w:uiPriority="3"/>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uiPriority="8" w:qFormat="1"/>
    <w:lsdException w:name="table of authorities" w:semiHidden="1"/>
    <w:lsdException w:name="macro" w:semiHidden="1"/>
    <w:lsdException w:name="toa heading" w:semiHidden="1"/>
    <w:lsdException w:name="List" w:semiHidden="1"/>
    <w:lsdException w:name="List Bullet" w:semiHidden="1" w:uiPriority="2" w:qFormat="1"/>
    <w:lsdException w:name="List Number" w:semiHidden="1" w:uiPriority="2" w:qFormat="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qFormat="1"/>
    <w:lsdException w:name="Closing" w:semiHidden="1"/>
    <w:lsdException w:name="Signature" w:semiHidden="1"/>
    <w:lsdException w:name="Default Paragraph Font" w:semiHidden="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qFormat="1"/>
    <w:lsdException w:name="FollowedHyperlink" w:semiHidden="1"/>
    <w:lsdException w:name="Strong" w:uiPriority="22" w:qFormat="1"/>
    <w:lsdException w:name="Emphasis" w:uiPriority="4"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lsdException w:name="TOC Heading" w:semiHidden="1" w:uiPriority="39" w:qFormat="1"/>
    <w:lsdException w:name="Mention" w:semiHidden="1"/>
    <w:lsdException w:name="Smart Hyperlink" w:semiHidden="1"/>
    <w:lsdException w:name="Hashtag" w:semiHidden="1"/>
    <w:lsdException w:name="Unresolved Mention" w:semiHidden="1"/>
    <w:lsdException w:name="Smart Link" w:semiHidden="1"/>
  </w:latentStyles>
  <w:style w:type="paragraph" w:default="1" w:styleId="Normal">
    <w:name w:val="Normal"/>
    <w:qFormat/>
    <w:rsid w:val="00514CA5"/>
    <w:rPr>
      <w:lang w:val="en-GB"/>
    </w:rPr>
  </w:style>
  <w:style w:type="paragraph" w:styleId="Heading1">
    <w:name w:val="heading 1"/>
    <w:basedOn w:val="Normal"/>
    <w:next w:val="Normal"/>
    <w:link w:val="Heading1Char"/>
    <w:uiPriority w:val="1"/>
    <w:qFormat/>
    <w:rsid w:val="00514CA5"/>
    <w:pPr>
      <w:keepNext/>
      <w:keepLines/>
      <w:suppressAutoHyphens/>
      <w:spacing w:after="600" w:line="480" w:lineRule="atLeast"/>
      <w:contextualSpacing/>
      <w:outlineLvl w:val="0"/>
    </w:pPr>
    <w:rPr>
      <w:rFonts w:asciiTheme="majorHAnsi" w:eastAsiaTheme="majorEastAsia" w:hAnsiTheme="majorHAnsi" w:cs="Arial"/>
      <w:sz w:val="40"/>
      <w:szCs w:val="32"/>
    </w:rPr>
  </w:style>
  <w:style w:type="paragraph" w:styleId="Heading2">
    <w:name w:val="heading 2"/>
    <w:basedOn w:val="Normal"/>
    <w:next w:val="Normal"/>
    <w:link w:val="Heading2Char"/>
    <w:qFormat/>
    <w:rsid w:val="00B0017C"/>
    <w:pPr>
      <w:keepNext/>
      <w:keepLines/>
      <w:suppressAutoHyphens/>
      <w:spacing w:line="400" w:lineRule="atLeast"/>
      <w:outlineLvl w:val="1"/>
    </w:pPr>
    <w:rPr>
      <w:rFonts w:asciiTheme="majorHAnsi" w:eastAsiaTheme="majorEastAsia" w:hAnsiTheme="majorHAnsi" w:cs="Arial"/>
      <w:sz w:val="32"/>
      <w:szCs w:val="26"/>
    </w:rPr>
  </w:style>
  <w:style w:type="paragraph" w:styleId="Heading3">
    <w:name w:val="heading 3"/>
    <w:basedOn w:val="Normal"/>
    <w:next w:val="Normal"/>
    <w:link w:val="Heading3Char"/>
    <w:uiPriority w:val="1"/>
    <w:qFormat/>
    <w:rsid w:val="00F4690E"/>
    <w:pPr>
      <w:keepNext/>
      <w:keepLines/>
      <w:suppressAutoHyphens/>
      <w:outlineLvl w:val="2"/>
    </w:pPr>
    <w:rPr>
      <w:rFonts w:asciiTheme="majorHAnsi" w:eastAsiaTheme="majorEastAsia" w:hAnsiTheme="majorHAnsi" w:cs="Arial"/>
    </w:rPr>
  </w:style>
  <w:style w:type="paragraph" w:styleId="Heading4">
    <w:name w:val="heading 4"/>
    <w:basedOn w:val="Normal"/>
    <w:next w:val="Normal"/>
    <w:link w:val="Heading4Char"/>
    <w:qFormat/>
    <w:rsid w:val="00F4690E"/>
    <w:pPr>
      <w:keepNext/>
      <w:keepLines/>
      <w:suppressAutoHyphens/>
      <w:outlineLvl w:val="3"/>
    </w:pPr>
    <w:rPr>
      <w:rFonts w:asciiTheme="majorHAnsi" w:eastAsiaTheme="majorEastAsia" w:hAnsiTheme="majorHAnsi" w:cs="Arial"/>
      <w:iCs/>
    </w:rPr>
  </w:style>
  <w:style w:type="paragraph" w:styleId="Heading5">
    <w:name w:val="heading 5"/>
    <w:basedOn w:val="Normal"/>
    <w:next w:val="Normal"/>
    <w:link w:val="Heading5Char"/>
    <w:uiPriority w:val="1"/>
    <w:semiHidden/>
    <w:rsid w:val="00F4690E"/>
    <w:pPr>
      <w:keepNext/>
      <w:keepLines/>
      <w:suppressAutoHyphens/>
      <w:outlineLvl w:val="4"/>
    </w:pPr>
    <w:rPr>
      <w:rFonts w:asciiTheme="majorHAnsi" w:eastAsiaTheme="majorEastAsia" w:hAnsiTheme="majorHAnsi" w:cs="Arial"/>
    </w:rPr>
  </w:style>
  <w:style w:type="paragraph" w:styleId="Heading6">
    <w:name w:val="heading 6"/>
    <w:basedOn w:val="Normal"/>
    <w:next w:val="Normal"/>
    <w:link w:val="Heading6Char"/>
    <w:uiPriority w:val="1"/>
    <w:semiHidden/>
    <w:rsid w:val="00F4690E"/>
    <w:pPr>
      <w:keepNext/>
      <w:keepLines/>
      <w:suppressAutoHyphens/>
      <w:outlineLvl w:val="5"/>
    </w:pPr>
    <w:rPr>
      <w:rFonts w:asciiTheme="majorHAnsi" w:eastAsiaTheme="majorEastAsia" w:hAnsiTheme="majorHAnsi" w:cs="Arial"/>
    </w:rPr>
  </w:style>
  <w:style w:type="paragraph" w:styleId="Heading7">
    <w:name w:val="heading 7"/>
    <w:basedOn w:val="Normal"/>
    <w:next w:val="Normal"/>
    <w:link w:val="Heading7Char"/>
    <w:uiPriority w:val="1"/>
    <w:semiHidden/>
    <w:rsid w:val="00F4690E"/>
    <w:pPr>
      <w:keepNext/>
      <w:keepLines/>
      <w:suppressAutoHyphens/>
      <w:outlineLvl w:val="6"/>
    </w:pPr>
    <w:rPr>
      <w:rFonts w:asciiTheme="majorHAnsi" w:eastAsiaTheme="majorEastAsia" w:hAnsiTheme="majorHAnsi" w:cs="Arial"/>
      <w:iCs/>
    </w:rPr>
  </w:style>
  <w:style w:type="paragraph" w:styleId="Heading8">
    <w:name w:val="heading 8"/>
    <w:basedOn w:val="Normal"/>
    <w:next w:val="Normal"/>
    <w:link w:val="Heading8Char"/>
    <w:uiPriority w:val="1"/>
    <w:semiHidden/>
    <w:rsid w:val="00F4690E"/>
    <w:pPr>
      <w:keepNext/>
      <w:keepLines/>
      <w:suppressAutoHyphens/>
      <w:outlineLvl w:val="7"/>
    </w:pPr>
    <w:rPr>
      <w:rFonts w:asciiTheme="majorHAnsi" w:eastAsiaTheme="majorEastAsia" w:hAnsiTheme="majorHAnsi" w:cs="Arial"/>
      <w:szCs w:val="21"/>
    </w:rPr>
  </w:style>
  <w:style w:type="paragraph" w:styleId="Heading9">
    <w:name w:val="heading 9"/>
    <w:basedOn w:val="Normal"/>
    <w:next w:val="Normal"/>
    <w:link w:val="Heading9Char"/>
    <w:uiPriority w:val="1"/>
    <w:semiHidden/>
    <w:rsid w:val="00F4690E"/>
    <w:pPr>
      <w:keepNext/>
      <w:keepLines/>
      <w:suppressAutoHyphens/>
      <w:outlineLvl w:val="8"/>
    </w:pPr>
    <w:rPr>
      <w:rFonts w:asciiTheme="majorHAnsi" w:eastAsiaTheme="majorEastAsia" w:hAnsiTheme="majorHAnsi" w:cs="Arial"/>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rsid w:val="00911DE3"/>
    <w:pPr>
      <w:numPr>
        <w:numId w:val="1"/>
      </w:numPr>
    </w:pPr>
  </w:style>
  <w:style w:type="numbering" w:styleId="1ai">
    <w:name w:val="Outline List 1"/>
    <w:basedOn w:val="NoList"/>
    <w:uiPriority w:val="99"/>
    <w:semiHidden/>
    <w:rsid w:val="00911DE3"/>
    <w:pPr>
      <w:numPr>
        <w:numId w:val="2"/>
      </w:numPr>
    </w:pPr>
  </w:style>
  <w:style w:type="paragraph" w:styleId="BalloonText">
    <w:name w:val="Balloon Text"/>
    <w:basedOn w:val="Normal"/>
    <w:link w:val="BalloonTextChar"/>
    <w:uiPriority w:val="99"/>
    <w:semiHidden/>
    <w:rsid w:val="00911DE3"/>
    <w:pPr>
      <w:spacing w:line="240" w:lineRule="auto"/>
    </w:pPr>
    <w:rPr>
      <w:rFonts w:cs="Arial"/>
    </w:rPr>
  </w:style>
  <w:style w:type="character" w:customStyle="1" w:styleId="BalloonTextChar">
    <w:name w:val="Balloon Text Char"/>
    <w:basedOn w:val="DefaultParagraphFont"/>
    <w:link w:val="BalloonText"/>
    <w:uiPriority w:val="99"/>
    <w:semiHidden/>
    <w:rsid w:val="00911DE3"/>
    <w:rPr>
      <w:rFonts w:cs="Arial"/>
      <w:sz w:val="18"/>
      <w:szCs w:val="18"/>
      <w:lang w:val="en-GB"/>
    </w:rPr>
  </w:style>
  <w:style w:type="paragraph" w:styleId="Bibliography">
    <w:name w:val="Bibliography"/>
    <w:basedOn w:val="Normal"/>
    <w:next w:val="Normal"/>
    <w:uiPriority w:val="99"/>
    <w:semiHidden/>
    <w:rsid w:val="00911DE3"/>
  </w:style>
  <w:style w:type="paragraph" w:styleId="BlockText">
    <w:name w:val="Block Text"/>
    <w:basedOn w:val="Normal"/>
    <w:uiPriority w:val="99"/>
    <w:semiHidden/>
    <w:rsid w:val="00911DE3"/>
    <w:pPr>
      <w:pBdr>
        <w:top w:val="single" w:sz="2" w:space="10" w:color="00A2BA" w:themeColor="accent1"/>
        <w:left w:val="single" w:sz="2" w:space="10" w:color="00A2BA" w:themeColor="accent1"/>
        <w:bottom w:val="single" w:sz="2" w:space="10" w:color="00A2BA" w:themeColor="accent1"/>
        <w:right w:val="single" w:sz="2" w:space="10" w:color="00A2BA" w:themeColor="accent1"/>
      </w:pBdr>
      <w:ind w:left="1152" w:right="1152"/>
    </w:pPr>
    <w:rPr>
      <w:rFonts w:eastAsiaTheme="minorEastAsia" w:cs="Arial"/>
      <w:i/>
      <w:iCs/>
      <w:color w:val="00A2BA" w:themeColor="accent1"/>
    </w:rPr>
  </w:style>
  <w:style w:type="paragraph" w:styleId="BodyText">
    <w:name w:val="Body Text"/>
    <w:basedOn w:val="Normal"/>
    <w:link w:val="BodyTextChar"/>
    <w:uiPriority w:val="99"/>
    <w:semiHidden/>
    <w:rsid w:val="00911DE3"/>
    <w:pPr>
      <w:spacing w:after="120"/>
    </w:pPr>
  </w:style>
  <w:style w:type="character" w:customStyle="1" w:styleId="BodyTextChar">
    <w:name w:val="Body Text Char"/>
    <w:basedOn w:val="DefaultParagraphFont"/>
    <w:link w:val="BodyText"/>
    <w:uiPriority w:val="99"/>
    <w:semiHidden/>
    <w:rsid w:val="00911DE3"/>
    <w:rPr>
      <w:lang w:val="en-GB"/>
    </w:rPr>
  </w:style>
  <w:style w:type="paragraph" w:styleId="BodyText2">
    <w:name w:val="Body Text 2"/>
    <w:basedOn w:val="Normal"/>
    <w:link w:val="BodyText2Char"/>
    <w:uiPriority w:val="99"/>
    <w:semiHidden/>
    <w:rsid w:val="00911DE3"/>
    <w:pPr>
      <w:spacing w:after="120" w:line="480" w:lineRule="auto"/>
    </w:pPr>
  </w:style>
  <w:style w:type="character" w:customStyle="1" w:styleId="BodyText2Char">
    <w:name w:val="Body Text 2 Char"/>
    <w:basedOn w:val="DefaultParagraphFont"/>
    <w:link w:val="BodyText2"/>
    <w:uiPriority w:val="99"/>
    <w:semiHidden/>
    <w:rsid w:val="00911DE3"/>
    <w:rPr>
      <w:lang w:val="en-GB"/>
    </w:rPr>
  </w:style>
  <w:style w:type="paragraph" w:styleId="BodyText3">
    <w:name w:val="Body Text 3"/>
    <w:basedOn w:val="Normal"/>
    <w:link w:val="BodyText3Char"/>
    <w:uiPriority w:val="99"/>
    <w:semiHidden/>
    <w:rsid w:val="00911DE3"/>
    <w:pPr>
      <w:spacing w:after="120"/>
    </w:pPr>
    <w:rPr>
      <w:sz w:val="16"/>
      <w:szCs w:val="16"/>
    </w:rPr>
  </w:style>
  <w:style w:type="character" w:customStyle="1" w:styleId="BodyText3Char">
    <w:name w:val="Body Text 3 Char"/>
    <w:basedOn w:val="DefaultParagraphFont"/>
    <w:link w:val="BodyText3"/>
    <w:uiPriority w:val="99"/>
    <w:semiHidden/>
    <w:rsid w:val="00911DE3"/>
    <w:rPr>
      <w:sz w:val="16"/>
      <w:szCs w:val="16"/>
      <w:lang w:val="en-GB"/>
    </w:rPr>
  </w:style>
  <w:style w:type="paragraph" w:styleId="BodyTextFirstIndent">
    <w:name w:val="Body Text First Indent"/>
    <w:basedOn w:val="BodyText"/>
    <w:link w:val="BodyTextFirstIndentChar"/>
    <w:uiPriority w:val="99"/>
    <w:semiHidden/>
    <w:rsid w:val="00911DE3"/>
    <w:pPr>
      <w:spacing w:after="0"/>
      <w:ind w:firstLine="360"/>
    </w:pPr>
  </w:style>
  <w:style w:type="character" w:customStyle="1" w:styleId="BodyTextFirstIndentChar">
    <w:name w:val="Body Text First Indent Char"/>
    <w:basedOn w:val="BodyTextChar"/>
    <w:link w:val="BodyTextFirstIndent"/>
    <w:uiPriority w:val="99"/>
    <w:semiHidden/>
    <w:rsid w:val="00911DE3"/>
    <w:rPr>
      <w:lang w:val="en-GB"/>
    </w:rPr>
  </w:style>
  <w:style w:type="paragraph" w:styleId="BodyTextIndent">
    <w:name w:val="Body Text Indent"/>
    <w:basedOn w:val="Normal"/>
    <w:link w:val="BodyTextIndentChar"/>
    <w:uiPriority w:val="99"/>
    <w:semiHidden/>
    <w:rsid w:val="00911DE3"/>
    <w:pPr>
      <w:spacing w:after="120"/>
      <w:ind w:left="283"/>
    </w:pPr>
  </w:style>
  <w:style w:type="character" w:customStyle="1" w:styleId="BodyTextIndentChar">
    <w:name w:val="Body Text Indent Char"/>
    <w:basedOn w:val="DefaultParagraphFont"/>
    <w:link w:val="BodyTextIndent"/>
    <w:uiPriority w:val="99"/>
    <w:semiHidden/>
    <w:rsid w:val="00911DE3"/>
    <w:rPr>
      <w:lang w:val="en-GB"/>
    </w:rPr>
  </w:style>
  <w:style w:type="paragraph" w:styleId="BodyTextFirstIndent2">
    <w:name w:val="Body Text First Indent 2"/>
    <w:basedOn w:val="BodyTextIndent"/>
    <w:link w:val="BodyTextFirstIndent2Char"/>
    <w:uiPriority w:val="99"/>
    <w:semiHidden/>
    <w:rsid w:val="00911DE3"/>
    <w:pPr>
      <w:spacing w:after="0"/>
      <w:ind w:left="360" w:firstLine="360"/>
    </w:pPr>
  </w:style>
  <w:style w:type="character" w:customStyle="1" w:styleId="BodyTextFirstIndent2Char">
    <w:name w:val="Body Text First Indent 2 Char"/>
    <w:basedOn w:val="BodyTextIndentChar"/>
    <w:link w:val="BodyTextFirstIndent2"/>
    <w:uiPriority w:val="99"/>
    <w:semiHidden/>
    <w:rsid w:val="00911DE3"/>
    <w:rPr>
      <w:lang w:val="en-GB"/>
    </w:rPr>
  </w:style>
  <w:style w:type="paragraph" w:styleId="BodyTextIndent2">
    <w:name w:val="Body Text Indent 2"/>
    <w:basedOn w:val="Normal"/>
    <w:link w:val="BodyTextIndent2Char"/>
    <w:uiPriority w:val="99"/>
    <w:semiHidden/>
    <w:rsid w:val="00911DE3"/>
    <w:pPr>
      <w:spacing w:after="120" w:line="480" w:lineRule="auto"/>
      <w:ind w:left="283"/>
    </w:pPr>
  </w:style>
  <w:style w:type="character" w:customStyle="1" w:styleId="BodyTextIndent2Char">
    <w:name w:val="Body Text Indent 2 Char"/>
    <w:basedOn w:val="DefaultParagraphFont"/>
    <w:link w:val="BodyTextIndent2"/>
    <w:uiPriority w:val="99"/>
    <w:semiHidden/>
    <w:rsid w:val="00911DE3"/>
    <w:rPr>
      <w:lang w:val="en-GB"/>
    </w:rPr>
  </w:style>
  <w:style w:type="paragraph" w:styleId="BodyTextIndent3">
    <w:name w:val="Body Text Indent 3"/>
    <w:basedOn w:val="Normal"/>
    <w:link w:val="BodyTextIndent3Char"/>
    <w:uiPriority w:val="99"/>
    <w:semiHidden/>
    <w:rsid w:val="00911DE3"/>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911DE3"/>
    <w:rPr>
      <w:sz w:val="16"/>
      <w:szCs w:val="16"/>
      <w:lang w:val="en-GB"/>
    </w:rPr>
  </w:style>
  <w:style w:type="character" w:styleId="BookTitle">
    <w:name w:val="Book Title"/>
    <w:basedOn w:val="DefaultParagraphFont"/>
    <w:uiPriority w:val="99"/>
    <w:semiHidden/>
    <w:qFormat/>
    <w:rsid w:val="00911DE3"/>
    <w:rPr>
      <w:b/>
      <w:bCs/>
      <w:i/>
      <w:iCs/>
      <w:spacing w:val="5"/>
      <w:lang w:val="en-GB"/>
    </w:rPr>
  </w:style>
  <w:style w:type="paragraph" w:styleId="Caption">
    <w:name w:val="caption"/>
    <w:basedOn w:val="Normal"/>
    <w:next w:val="Normal"/>
    <w:uiPriority w:val="3"/>
    <w:rsid w:val="00462CE2"/>
    <w:pPr>
      <w:spacing w:after="440" w:line="200" w:lineRule="atLeast"/>
      <w:contextualSpacing/>
    </w:pPr>
    <w:rPr>
      <w:rFonts w:asciiTheme="majorHAnsi" w:hAnsiTheme="majorHAnsi"/>
      <w:iCs/>
      <w:sz w:val="16"/>
    </w:rPr>
  </w:style>
  <w:style w:type="paragraph" w:styleId="Closing">
    <w:name w:val="Closing"/>
    <w:basedOn w:val="Normal"/>
    <w:link w:val="ClosingChar"/>
    <w:uiPriority w:val="99"/>
    <w:semiHidden/>
    <w:rsid w:val="00911DE3"/>
    <w:pPr>
      <w:spacing w:line="240" w:lineRule="auto"/>
      <w:ind w:left="4252"/>
    </w:pPr>
  </w:style>
  <w:style w:type="character" w:customStyle="1" w:styleId="ClosingChar">
    <w:name w:val="Closing Char"/>
    <w:basedOn w:val="DefaultParagraphFont"/>
    <w:link w:val="Closing"/>
    <w:uiPriority w:val="99"/>
    <w:semiHidden/>
    <w:rsid w:val="00911DE3"/>
    <w:rPr>
      <w:lang w:val="en-GB"/>
    </w:rPr>
  </w:style>
  <w:style w:type="table" w:styleId="ColorfulGrid">
    <w:name w:val="Colorful Grid"/>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C7DDE4" w:themeFill="text1" w:themeFillTint="33"/>
    </w:tcPr>
    <w:tblStylePr w:type="firstRow">
      <w:rPr>
        <w:b/>
        <w:bCs/>
      </w:rPr>
      <w:tblPr/>
      <w:tcPr>
        <w:shd w:val="clear" w:color="auto" w:fill="90BCCA" w:themeFill="text1" w:themeFillTint="66"/>
      </w:tcPr>
    </w:tblStylePr>
    <w:tblStylePr w:type="lastRow">
      <w:rPr>
        <w:b/>
        <w:bCs/>
        <w:color w:val="213D46" w:themeColor="text1"/>
      </w:rPr>
      <w:tblPr/>
      <w:tcPr>
        <w:shd w:val="clear" w:color="auto" w:fill="90BCCA" w:themeFill="text1" w:themeFillTint="66"/>
      </w:tcPr>
    </w:tblStylePr>
    <w:tblStylePr w:type="firstCol">
      <w:rPr>
        <w:color w:val="FFFFFF" w:themeColor="background1"/>
      </w:rPr>
      <w:tblPr/>
      <w:tcPr>
        <w:shd w:val="clear" w:color="auto" w:fill="182D34" w:themeFill="text1" w:themeFillShade="BF"/>
      </w:tcPr>
    </w:tblStylePr>
    <w:tblStylePr w:type="lastCol">
      <w:rPr>
        <w:color w:val="FFFFFF" w:themeColor="background1"/>
      </w:rPr>
      <w:tblPr/>
      <w:tcPr>
        <w:shd w:val="clear" w:color="auto" w:fill="182D34" w:themeFill="text1" w:themeFillShade="BF"/>
      </w:tc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ColorfulGrid-Accent1">
    <w:name w:val="Colorful Grid Accent 1"/>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EF6FF" w:themeFill="accent1" w:themeFillTint="33"/>
    </w:tcPr>
    <w:tblStylePr w:type="firstRow">
      <w:rPr>
        <w:b/>
        <w:bCs/>
      </w:rPr>
      <w:tblPr/>
      <w:tcPr>
        <w:shd w:val="clear" w:color="auto" w:fill="7DEEFF" w:themeFill="accent1" w:themeFillTint="66"/>
      </w:tcPr>
    </w:tblStylePr>
    <w:tblStylePr w:type="lastRow">
      <w:rPr>
        <w:b/>
        <w:bCs/>
        <w:color w:val="213D46" w:themeColor="text1"/>
      </w:rPr>
      <w:tblPr/>
      <w:tcPr>
        <w:shd w:val="clear" w:color="auto" w:fill="7DEEFF" w:themeFill="accent1" w:themeFillTint="66"/>
      </w:tcPr>
    </w:tblStylePr>
    <w:tblStylePr w:type="firstCol">
      <w:rPr>
        <w:color w:val="FFFFFF" w:themeColor="background1"/>
      </w:rPr>
      <w:tblPr/>
      <w:tcPr>
        <w:shd w:val="clear" w:color="auto" w:fill="00798B" w:themeFill="accent1" w:themeFillShade="BF"/>
      </w:tcPr>
    </w:tblStylePr>
    <w:tblStylePr w:type="lastCol">
      <w:rPr>
        <w:color w:val="FFFFFF" w:themeColor="background1"/>
      </w:rPr>
      <w:tblPr/>
      <w:tcPr>
        <w:shd w:val="clear" w:color="auto" w:fill="00798B" w:themeFill="accent1" w:themeFillShade="BF"/>
      </w:tc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ColorfulGrid-Accent2">
    <w:name w:val="Colorful Grid Accent 2"/>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ABF4FF" w:themeFill="accent2" w:themeFillTint="33"/>
    </w:tcPr>
    <w:tblStylePr w:type="firstRow">
      <w:rPr>
        <w:b/>
        <w:bCs/>
      </w:rPr>
      <w:tblPr/>
      <w:tcPr>
        <w:shd w:val="clear" w:color="auto" w:fill="58E9FF" w:themeFill="accent2" w:themeFillTint="66"/>
      </w:tcPr>
    </w:tblStylePr>
    <w:tblStylePr w:type="lastRow">
      <w:rPr>
        <w:b/>
        <w:bCs/>
        <w:color w:val="213D46" w:themeColor="text1"/>
      </w:rPr>
      <w:tblPr/>
      <w:tcPr>
        <w:shd w:val="clear" w:color="auto" w:fill="58E9FF" w:themeFill="accent2" w:themeFillTint="66"/>
      </w:tcPr>
    </w:tblStylePr>
    <w:tblStylePr w:type="firstCol">
      <w:rPr>
        <w:color w:val="FFFFFF" w:themeColor="background1"/>
      </w:rPr>
      <w:tblPr/>
      <w:tcPr>
        <w:shd w:val="clear" w:color="auto" w:fill="003C45" w:themeFill="accent2" w:themeFillShade="BF"/>
      </w:tcPr>
    </w:tblStylePr>
    <w:tblStylePr w:type="lastCol">
      <w:rPr>
        <w:color w:val="FFFFFF" w:themeColor="background1"/>
      </w:rPr>
      <w:tblPr/>
      <w:tcPr>
        <w:shd w:val="clear" w:color="auto" w:fill="003C45" w:themeFill="accent2" w:themeFillShade="BF"/>
      </w:tc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ColorfulGrid-Accent3">
    <w:name w:val="Colorful Grid Accent 3"/>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4F5FF" w:themeFill="accent3" w:themeFillTint="33"/>
    </w:tcPr>
    <w:tblStylePr w:type="firstRow">
      <w:rPr>
        <w:b/>
        <w:bCs/>
      </w:rPr>
      <w:tblPr/>
      <w:tcPr>
        <w:shd w:val="clear" w:color="auto" w:fill="6AEBFF" w:themeFill="accent3" w:themeFillTint="66"/>
      </w:tcPr>
    </w:tblStylePr>
    <w:tblStylePr w:type="lastRow">
      <w:rPr>
        <w:b/>
        <w:bCs/>
        <w:color w:val="213D46" w:themeColor="text1"/>
      </w:rPr>
      <w:tblPr/>
      <w:tcPr>
        <w:shd w:val="clear" w:color="auto" w:fill="6AEBFF" w:themeFill="accent3" w:themeFillTint="66"/>
      </w:tcPr>
    </w:tblStylePr>
    <w:tblStylePr w:type="firstCol">
      <w:rPr>
        <w:color w:val="FFFFFF" w:themeColor="background1"/>
      </w:rPr>
      <w:tblPr/>
      <w:tcPr>
        <w:shd w:val="clear" w:color="auto" w:fill="005967" w:themeFill="accent3" w:themeFillShade="BF"/>
      </w:tcPr>
    </w:tblStylePr>
    <w:tblStylePr w:type="lastCol">
      <w:rPr>
        <w:color w:val="FFFFFF" w:themeColor="background1"/>
      </w:rPr>
      <w:tblPr/>
      <w:tcPr>
        <w:shd w:val="clear" w:color="auto" w:fill="005967" w:themeFill="accent3" w:themeFillShade="BF"/>
      </w:tc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ColorfulGrid-Accent4">
    <w:name w:val="Colorful Grid Accent 4"/>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4FBFC" w:themeFill="accent4" w:themeFillTint="33"/>
    </w:tcPr>
    <w:tblStylePr w:type="firstRow">
      <w:rPr>
        <w:b/>
        <w:bCs/>
      </w:rPr>
      <w:tblPr/>
      <w:tcPr>
        <w:shd w:val="clear" w:color="auto" w:fill="EAF7FA" w:themeFill="accent4" w:themeFillTint="66"/>
      </w:tcPr>
    </w:tblStylePr>
    <w:tblStylePr w:type="lastRow">
      <w:rPr>
        <w:b/>
        <w:bCs/>
        <w:color w:val="213D46" w:themeColor="text1"/>
      </w:rPr>
      <w:tblPr/>
      <w:tcPr>
        <w:shd w:val="clear" w:color="auto" w:fill="EAF7FA" w:themeFill="accent4" w:themeFillTint="66"/>
      </w:tcPr>
    </w:tblStylePr>
    <w:tblStylePr w:type="firstCol">
      <w:rPr>
        <w:color w:val="FFFFFF" w:themeColor="background1"/>
      </w:rPr>
      <w:tblPr/>
      <w:tcPr>
        <w:shd w:val="clear" w:color="auto" w:fill="71CADD" w:themeFill="accent4" w:themeFillShade="BF"/>
      </w:tcPr>
    </w:tblStylePr>
    <w:tblStylePr w:type="lastCol">
      <w:rPr>
        <w:color w:val="FFFFFF" w:themeColor="background1"/>
      </w:rPr>
      <w:tblPr/>
      <w:tcPr>
        <w:shd w:val="clear" w:color="auto" w:fill="71CADD" w:themeFill="accent4" w:themeFillShade="BF"/>
      </w:tc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ColorfulGrid-Accent5">
    <w:name w:val="Colorful Grid Accent 5"/>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8FCFD" w:themeFill="accent5" w:themeFillTint="33"/>
    </w:tcPr>
    <w:tblStylePr w:type="firstRow">
      <w:rPr>
        <w:b/>
        <w:bCs/>
      </w:rPr>
      <w:tblPr/>
      <w:tcPr>
        <w:shd w:val="clear" w:color="auto" w:fill="F2FBFC" w:themeFill="accent5" w:themeFillTint="66"/>
      </w:tcPr>
    </w:tblStylePr>
    <w:tblStylePr w:type="lastRow">
      <w:rPr>
        <w:b/>
        <w:bCs/>
        <w:color w:val="213D46" w:themeColor="text1"/>
      </w:rPr>
      <w:tblPr/>
      <w:tcPr>
        <w:shd w:val="clear" w:color="auto" w:fill="F2FBFC" w:themeFill="accent5" w:themeFillTint="66"/>
      </w:tcPr>
    </w:tblStylePr>
    <w:tblStylePr w:type="firstCol">
      <w:rPr>
        <w:color w:val="FFFFFF" w:themeColor="background1"/>
      </w:rPr>
      <w:tblPr/>
      <w:tcPr>
        <w:shd w:val="clear" w:color="auto" w:fill="7CD4E5" w:themeFill="accent5" w:themeFillShade="BF"/>
      </w:tcPr>
    </w:tblStylePr>
    <w:tblStylePr w:type="lastCol">
      <w:rPr>
        <w:color w:val="FFFFFF" w:themeColor="background1"/>
      </w:rPr>
      <w:tblPr/>
      <w:tcPr>
        <w:shd w:val="clear" w:color="auto" w:fill="7CD4E5" w:themeFill="accent5" w:themeFillShade="BF"/>
      </w:tc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ColorfulGrid-Accent6">
    <w:name w:val="Colorful Grid Accent 6"/>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AFBFB" w:themeFill="accent6" w:themeFillTint="33"/>
    </w:tcPr>
    <w:tblStylePr w:type="firstRow">
      <w:rPr>
        <w:b/>
        <w:bCs/>
      </w:rPr>
      <w:tblPr/>
      <w:tcPr>
        <w:shd w:val="clear" w:color="auto" w:fill="F6F8F8" w:themeFill="accent6" w:themeFillTint="66"/>
      </w:tcPr>
    </w:tblStylePr>
    <w:tblStylePr w:type="lastRow">
      <w:rPr>
        <w:b/>
        <w:bCs/>
        <w:color w:val="213D46" w:themeColor="text1"/>
      </w:rPr>
      <w:tblPr/>
      <w:tcPr>
        <w:shd w:val="clear" w:color="auto" w:fill="F6F8F8" w:themeFill="accent6" w:themeFillTint="66"/>
      </w:tcPr>
    </w:tblStylePr>
    <w:tblStylePr w:type="firstCol">
      <w:rPr>
        <w:color w:val="FFFFFF" w:themeColor="background1"/>
      </w:rPr>
      <w:tblPr/>
      <w:tcPr>
        <w:shd w:val="clear" w:color="auto" w:fill="A8B5BA" w:themeFill="accent6" w:themeFillShade="BF"/>
      </w:tcPr>
    </w:tblStylePr>
    <w:tblStylePr w:type="lastCol">
      <w:rPr>
        <w:color w:val="FFFFFF" w:themeColor="background1"/>
      </w:rPr>
      <w:tblPr/>
      <w:tcPr>
        <w:shd w:val="clear" w:color="auto" w:fill="A8B5BA" w:themeFill="accent6" w:themeFillShade="BF"/>
      </w:tc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ColorfulList">
    <w:name w:val="Colorful List"/>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E3EEF2" w:themeFill="tex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AD5DE" w:themeFill="text1" w:themeFillTint="3F"/>
      </w:tcPr>
    </w:tblStylePr>
    <w:tblStylePr w:type="band1Horz">
      <w:tblPr/>
      <w:tcPr>
        <w:shd w:val="clear" w:color="auto" w:fill="C7DDE4" w:themeFill="text1" w:themeFillTint="33"/>
      </w:tcPr>
    </w:tblStylePr>
  </w:style>
  <w:style w:type="table" w:styleId="ColorfulList-Accent1">
    <w:name w:val="Colorful List Accent 1"/>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FFAFF" w:themeFill="accen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EF4FF" w:themeFill="accent1" w:themeFillTint="3F"/>
      </w:tcPr>
    </w:tblStylePr>
    <w:tblStylePr w:type="band1Horz">
      <w:tblPr/>
      <w:tcPr>
        <w:shd w:val="clear" w:color="auto" w:fill="BEF6FF" w:themeFill="accent1" w:themeFillTint="33"/>
      </w:tcPr>
    </w:tblStylePr>
  </w:style>
  <w:style w:type="table" w:styleId="ColorfulList-Accent2">
    <w:name w:val="Colorful List Accent 2"/>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6F9FF" w:themeFill="accent2"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7F1FF" w:themeFill="accent2" w:themeFillTint="3F"/>
      </w:tcPr>
    </w:tblStylePr>
    <w:tblStylePr w:type="band1Horz">
      <w:tblPr/>
      <w:tcPr>
        <w:shd w:val="clear" w:color="auto" w:fill="ABF4FF" w:themeFill="accent2" w:themeFillTint="33"/>
      </w:tcPr>
    </w:tblStylePr>
  </w:style>
  <w:style w:type="table" w:styleId="ColorfulList-Accent3">
    <w:name w:val="Colorful List Accent 3"/>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AFAFF" w:themeFill="accent3" w:themeFillTint="19"/>
    </w:tcPr>
    <w:tblStylePr w:type="firstRow">
      <w:rPr>
        <w:b/>
        <w:bCs/>
        <w:color w:val="FFFFFF" w:themeColor="background1"/>
      </w:rPr>
      <w:tblPr/>
      <w:tcPr>
        <w:tcBorders>
          <w:bottom w:val="single" w:sz="12" w:space="0" w:color="FFFFFF" w:themeColor="background1"/>
        </w:tcBorders>
        <w:shd w:val="clear" w:color="auto" w:fill="83D0E2" w:themeFill="accent4" w:themeFillShade="CC"/>
      </w:tcPr>
    </w:tblStylePr>
    <w:tblStylePr w:type="lastRow">
      <w:rPr>
        <w:b/>
        <w:bCs/>
        <w:color w:val="83D0E2" w:themeColor="accent4"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3F2FF" w:themeFill="accent3" w:themeFillTint="3F"/>
      </w:tcPr>
    </w:tblStylePr>
    <w:tblStylePr w:type="band1Horz">
      <w:tblPr/>
      <w:tcPr>
        <w:shd w:val="clear" w:color="auto" w:fill="B4F5FF" w:themeFill="accent3" w:themeFillTint="33"/>
      </w:tcPr>
    </w:tblStylePr>
  </w:style>
  <w:style w:type="table" w:styleId="ColorfulList-Accent4">
    <w:name w:val="Colorful List Accent 4"/>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9FDFD" w:themeFill="accent4" w:themeFillTint="19"/>
    </w:tcPr>
    <w:tblStylePr w:type="firstRow">
      <w:rPr>
        <w:b/>
        <w:bCs/>
        <w:color w:val="FFFFFF" w:themeColor="background1"/>
      </w:rPr>
      <w:tblPr/>
      <w:tcPr>
        <w:tcBorders>
          <w:bottom w:val="single" w:sz="12" w:space="0" w:color="FFFFFF" w:themeColor="background1"/>
        </w:tcBorders>
        <w:shd w:val="clear" w:color="auto" w:fill="005F6E" w:themeFill="accent3" w:themeFillShade="CC"/>
      </w:tcPr>
    </w:tblStylePr>
    <w:tblStylePr w:type="lastRow">
      <w:rPr>
        <w:b/>
        <w:bCs/>
        <w:color w:val="005F6E" w:themeColor="accent3"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AFC" w:themeFill="accent4" w:themeFillTint="3F"/>
      </w:tcPr>
    </w:tblStylePr>
    <w:tblStylePr w:type="band1Horz">
      <w:tblPr/>
      <w:tcPr>
        <w:shd w:val="clear" w:color="auto" w:fill="F4FBFC" w:themeFill="accent4" w:themeFillTint="33"/>
      </w:tcPr>
    </w:tblStylePr>
  </w:style>
  <w:style w:type="table" w:styleId="ColorfulList-Accent5">
    <w:name w:val="Colorful List Accent 5"/>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BFEFE" w:themeFill="accent5" w:themeFillTint="19"/>
    </w:tcPr>
    <w:tblStylePr w:type="firstRow">
      <w:rPr>
        <w:b/>
        <w:bCs/>
        <w:color w:val="FFFFFF" w:themeColor="background1"/>
      </w:rPr>
      <w:tblPr/>
      <w:tcPr>
        <w:tcBorders>
          <w:bottom w:val="single" w:sz="12" w:space="0" w:color="FFFFFF" w:themeColor="background1"/>
        </w:tcBorders>
        <w:shd w:val="clear" w:color="auto" w:fill="B6C1C4" w:themeFill="accent6" w:themeFillShade="CC"/>
      </w:tcPr>
    </w:tblStylePr>
    <w:tblStylePr w:type="lastRow">
      <w:rPr>
        <w:b/>
        <w:bCs/>
        <w:color w:val="B6C1C4" w:themeColor="accent6"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FCFD" w:themeFill="accent5" w:themeFillTint="3F"/>
      </w:tcPr>
    </w:tblStylePr>
    <w:tblStylePr w:type="band1Horz">
      <w:tblPr/>
      <w:tcPr>
        <w:shd w:val="clear" w:color="auto" w:fill="F8FCFD" w:themeFill="accent5" w:themeFillTint="33"/>
      </w:tcPr>
    </w:tblStylePr>
  </w:style>
  <w:style w:type="table" w:styleId="ColorfulList-Accent6">
    <w:name w:val="Colorful List Accent 6"/>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CFDFD" w:themeFill="accent6" w:themeFillTint="19"/>
    </w:tcPr>
    <w:tblStylePr w:type="firstRow">
      <w:rPr>
        <w:b/>
        <w:bCs/>
        <w:color w:val="FFFFFF" w:themeColor="background1"/>
      </w:rPr>
      <w:tblPr/>
      <w:tcPr>
        <w:tcBorders>
          <w:bottom w:val="single" w:sz="12" w:space="0" w:color="FFFFFF" w:themeColor="background1"/>
        </w:tcBorders>
        <w:shd w:val="clear" w:color="auto" w:fill="90DBE9" w:themeFill="accent5" w:themeFillShade="CC"/>
      </w:tcPr>
    </w:tblStylePr>
    <w:tblStylePr w:type="lastRow">
      <w:rPr>
        <w:b/>
        <w:bCs/>
        <w:color w:val="90DBE9" w:themeColor="accent5"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AFB" w:themeFill="accent6" w:themeFillTint="3F"/>
      </w:tcPr>
    </w:tblStylePr>
    <w:tblStylePr w:type="band1Horz">
      <w:tblPr/>
      <w:tcPr>
        <w:shd w:val="clear" w:color="auto" w:fill="FAFBFB" w:themeFill="accent6" w:themeFillTint="33"/>
      </w:tcPr>
    </w:tblStylePr>
  </w:style>
  <w:style w:type="table" w:styleId="ColorfulShading">
    <w:name w:val="Colorful Shading"/>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213D46" w:themeColor="text1"/>
        <w:bottom w:val="single" w:sz="4" w:space="0" w:color="213D46" w:themeColor="text1"/>
        <w:right w:val="single" w:sz="4" w:space="0" w:color="213D46" w:themeColor="text1"/>
        <w:insideH w:val="single" w:sz="4" w:space="0" w:color="FFFFFF" w:themeColor="background1"/>
        <w:insideV w:val="single" w:sz="4" w:space="0" w:color="FFFFFF" w:themeColor="background1"/>
      </w:tblBorders>
    </w:tblPr>
    <w:tcPr>
      <w:shd w:val="clear" w:color="auto" w:fill="E3EEF2" w:themeFill="tex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429" w:themeFill="text1" w:themeFillShade="99"/>
      </w:tcPr>
    </w:tblStylePr>
    <w:tblStylePr w:type="firstCol">
      <w:rPr>
        <w:color w:val="FFFFFF" w:themeColor="background1"/>
      </w:rPr>
      <w:tblPr/>
      <w:tcPr>
        <w:tcBorders>
          <w:top w:val="nil"/>
          <w:left w:val="nil"/>
          <w:bottom w:val="nil"/>
          <w:right w:val="nil"/>
          <w:insideH w:val="single" w:sz="4" w:space="0" w:color="132429" w:themeColor="text1" w:themeShade="99"/>
          <w:insideV w:val="nil"/>
        </w:tcBorders>
        <w:shd w:val="clear" w:color="auto" w:fill="132429"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182D34" w:themeFill="text1" w:themeFillShade="BF"/>
      </w:tcPr>
    </w:tblStylePr>
    <w:tblStylePr w:type="band1Vert">
      <w:tblPr/>
      <w:tcPr>
        <w:shd w:val="clear" w:color="auto" w:fill="90BCCA" w:themeFill="text1" w:themeFillTint="66"/>
      </w:tcPr>
    </w:tblStylePr>
    <w:tblStylePr w:type="band1Horz">
      <w:tblPr/>
      <w:tcPr>
        <w:shd w:val="clear" w:color="auto" w:fill="75ABBE" w:themeFill="text1" w:themeFillTint="7F"/>
      </w:tcPr>
    </w:tblStylePr>
    <w:tblStylePr w:type="neCell">
      <w:rPr>
        <w:color w:val="213D46" w:themeColor="text1"/>
      </w:rPr>
    </w:tblStylePr>
    <w:tblStylePr w:type="nwCell">
      <w:rPr>
        <w:color w:val="213D46" w:themeColor="text1"/>
      </w:rPr>
    </w:tblStylePr>
  </w:style>
  <w:style w:type="table" w:styleId="ColorfulShading-Accent1">
    <w:name w:val="Colorful Shading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A2BA" w:themeColor="accent1"/>
        <w:bottom w:val="single" w:sz="4" w:space="0" w:color="00A2BA" w:themeColor="accent1"/>
        <w:right w:val="single" w:sz="4" w:space="0" w:color="00A2BA" w:themeColor="accent1"/>
        <w:insideH w:val="single" w:sz="4" w:space="0" w:color="FFFFFF" w:themeColor="background1"/>
        <w:insideV w:val="single" w:sz="4" w:space="0" w:color="FFFFFF" w:themeColor="background1"/>
      </w:tblBorders>
    </w:tblPr>
    <w:tcPr>
      <w:shd w:val="clear" w:color="auto" w:fill="DFFAFF" w:themeFill="accen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06F" w:themeFill="accent1" w:themeFillShade="99"/>
      </w:tcPr>
    </w:tblStylePr>
    <w:tblStylePr w:type="firstCol">
      <w:rPr>
        <w:color w:val="FFFFFF" w:themeColor="background1"/>
      </w:rPr>
      <w:tblPr/>
      <w:tcPr>
        <w:tcBorders>
          <w:top w:val="nil"/>
          <w:left w:val="nil"/>
          <w:bottom w:val="nil"/>
          <w:right w:val="nil"/>
          <w:insideH w:val="single" w:sz="4" w:space="0" w:color="00606F" w:themeColor="accent1" w:themeShade="99"/>
          <w:insideV w:val="nil"/>
        </w:tcBorders>
        <w:shd w:val="clear" w:color="auto" w:fill="00606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606F" w:themeFill="accent1" w:themeFillShade="99"/>
      </w:tcPr>
    </w:tblStylePr>
    <w:tblStylePr w:type="band1Vert">
      <w:tblPr/>
      <w:tcPr>
        <w:shd w:val="clear" w:color="auto" w:fill="7DEEFF" w:themeFill="accent1" w:themeFillTint="66"/>
      </w:tcPr>
    </w:tblStylePr>
    <w:tblStylePr w:type="band1Horz">
      <w:tblPr/>
      <w:tcPr>
        <w:shd w:val="clear" w:color="auto" w:fill="5DEAFF" w:themeFill="accent1" w:themeFillTint="7F"/>
      </w:tcPr>
    </w:tblStylePr>
    <w:tblStylePr w:type="neCell">
      <w:rPr>
        <w:color w:val="213D46" w:themeColor="text1"/>
      </w:rPr>
    </w:tblStylePr>
    <w:tblStylePr w:type="nwCell">
      <w:rPr>
        <w:color w:val="213D46" w:themeColor="text1"/>
      </w:rPr>
    </w:tblStylePr>
  </w:style>
  <w:style w:type="table" w:styleId="ColorfulShading-Accent2">
    <w:name w:val="Colorful Shading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515D" w:themeColor="accent2"/>
        <w:bottom w:val="single" w:sz="4" w:space="0" w:color="00515D" w:themeColor="accent2"/>
        <w:right w:val="single" w:sz="4" w:space="0" w:color="00515D" w:themeColor="accent2"/>
        <w:insideH w:val="single" w:sz="4" w:space="0" w:color="FFFFFF" w:themeColor="background1"/>
        <w:insideV w:val="single" w:sz="4" w:space="0" w:color="FFFFFF" w:themeColor="background1"/>
      </w:tblBorders>
    </w:tblPr>
    <w:tcPr>
      <w:shd w:val="clear" w:color="auto" w:fill="D6F9FF" w:themeFill="accent2"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037" w:themeFill="accent2" w:themeFillShade="99"/>
      </w:tcPr>
    </w:tblStylePr>
    <w:tblStylePr w:type="firstCol">
      <w:rPr>
        <w:color w:val="FFFFFF" w:themeColor="background1"/>
      </w:rPr>
      <w:tblPr/>
      <w:tcPr>
        <w:tcBorders>
          <w:top w:val="nil"/>
          <w:left w:val="nil"/>
          <w:bottom w:val="nil"/>
          <w:right w:val="nil"/>
          <w:insideH w:val="single" w:sz="4" w:space="0" w:color="003037" w:themeColor="accent2" w:themeShade="99"/>
          <w:insideV w:val="nil"/>
        </w:tcBorders>
        <w:shd w:val="clear" w:color="auto" w:fill="00303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037" w:themeFill="accent2" w:themeFillShade="99"/>
      </w:tcPr>
    </w:tblStylePr>
    <w:tblStylePr w:type="band1Vert">
      <w:tblPr/>
      <w:tcPr>
        <w:shd w:val="clear" w:color="auto" w:fill="58E9FF" w:themeFill="accent2" w:themeFillTint="66"/>
      </w:tcPr>
    </w:tblStylePr>
    <w:tblStylePr w:type="band1Horz">
      <w:tblPr/>
      <w:tcPr>
        <w:shd w:val="clear" w:color="auto" w:fill="2FE4FF" w:themeFill="accent2" w:themeFillTint="7F"/>
      </w:tcPr>
    </w:tblStylePr>
    <w:tblStylePr w:type="neCell">
      <w:rPr>
        <w:color w:val="213D46" w:themeColor="text1"/>
      </w:rPr>
    </w:tblStylePr>
    <w:tblStylePr w:type="nwCell">
      <w:rPr>
        <w:color w:val="213D46" w:themeColor="text1"/>
      </w:rPr>
    </w:tblStylePr>
  </w:style>
  <w:style w:type="table" w:styleId="ColorfulShading-Accent3">
    <w:name w:val="Colorful Shading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CCECF3" w:themeColor="accent4"/>
        <w:left w:val="single" w:sz="4" w:space="0" w:color="00788A" w:themeColor="accent3"/>
        <w:bottom w:val="single" w:sz="4" w:space="0" w:color="00788A" w:themeColor="accent3"/>
        <w:right w:val="single" w:sz="4" w:space="0" w:color="00788A" w:themeColor="accent3"/>
        <w:insideH w:val="single" w:sz="4" w:space="0" w:color="FFFFFF" w:themeColor="background1"/>
        <w:insideV w:val="single" w:sz="4" w:space="0" w:color="FFFFFF" w:themeColor="background1"/>
      </w:tblBorders>
    </w:tblPr>
    <w:tcPr>
      <w:shd w:val="clear" w:color="auto" w:fill="DAFAFF" w:themeFill="accent3" w:themeFillTint="19"/>
    </w:tcPr>
    <w:tblStylePr w:type="firstRow">
      <w:rPr>
        <w:b/>
        <w:bCs/>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752" w:themeFill="accent3" w:themeFillShade="99"/>
      </w:tcPr>
    </w:tblStylePr>
    <w:tblStylePr w:type="firstCol">
      <w:rPr>
        <w:color w:val="FFFFFF" w:themeColor="background1"/>
      </w:rPr>
      <w:tblPr/>
      <w:tcPr>
        <w:tcBorders>
          <w:top w:val="nil"/>
          <w:left w:val="nil"/>
          <w:bottom w:val="nil"/>
          <w:right w:val="nil"/>
          <w:insideH w:val="single" w:sz="4" w:space="0" w:color="004752" w:themeColor="accent3" w:themeShade="99"/>
          <w:insideV w:val="nil"/>
        </w:tcBorders>
        <w:shd w:val="clear" w:color="auto" w:fill="00475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752" w:themeFill="accent3" w:themeFillShade="99"/>
      </w:tcPr>
    </w:tblStylePr>
    <w:tblStylePr w:type="band1Vert">
      <w:tblPr/>
      <w:tcPr>
        <w:shd w:val="clear" w:color="auto" w:fill="6AEBFF" w:themeFill="accent3" w:themeFillTint="66"/>
      </w:tcPr>
    </w:tblStylePr>
    <w:tblStylePr w:type="band1Horz">
      <w:tblPr/>
      <w:tcPr>
        <w:shd w:val="clear" w:color="auto" w:fill="45E6FF" w:themeFill="accent3" w:themeFillTint="7F"/>
      </w:tcPr>
    </w:tblStylePr>
  </w:style>
  <w:style w:type="table" w:styleId="ColorfulShading-Accent4">
    <w:name w:val="Colorful Shading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788A" w:themeColor="accent3"/>
        <w:left w:val="single" w:sz="4" w:space="0" w:color="CCECF3" w:themeColor="accent4"/>
        <w:bottom w:val="single" w:sz="4" w:space="0" w:color="CCECF3" w:themeColor="accent4"/>
        <w:right w:val="single" w:sz="4" w:space="0" w:color="CCECF3" w:themeColor="accent4"/>
        <w:insideH w:val="single" w:sz="4" w:space="0" w:color="FFFFFF" w:themeColor="background1"/>
        <w:insideV w:val="single" w:sz="4" w:space="0" w:color="FFFFFF" w:themeColor="background1"/>
      </w:tblBorders>
    </w:tblPr>
    <w:tcPr>
      <w:shd w:val="clear" w:color="auto" w:fill="F9FDFD" w:themeFill="accent4" w:themeFillTint="19"/>
    </w:tcPr>
    <w:tblStylePr w:type="firstRow">
      <w:rPr>
        <w:b/>
        <w:bCs/>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B5D1" w:themeFill="accent4" w:themeFillShade="99"/>
      </w:tcPr>
    </w:tblStylePr>
    <w:tblStylePr w:type="firstCol">
      <w:rPr>
        <w:color w:val="FFFFFF" w:themeColor="background1"/>
      </w:rPr>
      <w:tblPr/>
      <w:tcPr>
        <w:tcBorders>
          <w:top w:val="nil"/>
          <w:left w:val="nil"/>
          <w:bottom w:val="nil"/>
          <w:right w:val="nil"/>
          <w:insideH w:val="single" w:sz="4" w:space="0" w:color="3BB5D1" w:themeColor="accent4" w:themeShade="99"/>
          <w:insideV w:val="nil"/>
        </w:tcBorders>
        <w:shd w:val="clear" w:color="auto" w:fill="3BB5D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BB5D1" w:themeFill="accent4" w:themeFillShade="99"/>
      </w:tcPr>
    </w:tblStylePr>
    <w:tblStylePr w:type="band1Vert">
      <w:tblPr/>
      <w:tcPr>
        <w:shd w:val="clear" w:color="auto" w:fill="EAF7FA" w:themeFill="accent4" w:themeFillTint="66"/>
      </w:tcPr>
    </w:tblStylePr>
    <w:tblStylePr w:type="band1Horz">
      <w:tblPr/>
      <w:tcPr>
        <w:shd w:val="clear" w:color="auto" w:fill="E5F5F9" w:themeFill="accent4" w:themeFillTint="7F"/>
      </w:tcPr>
    </w:tblStylePr>
    <w:tblStylePr w:type="neCell">
      <w:rPr>
        <w:color w:val="213D46" w:themeColor="text1"/>
      </w:rPr>
    </w:tblStylePr>
    <w:tblStylePr w:type="nwCell">
      <w:rPr>
        <w:color w:val="213D46" w:themeColor="text1"/>
      </w:rPr>
    </w:tblStylePr>
  </w:style>
  <w:style w:type="table" w:styleId="ColorfulShading-Accent5">
    <w:name w:val="Colorful Shading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BEEEF" w:themeColor="accent6"/>
        <w:left w:val="single" w:sz="4" w:space="0" w:color="E0F5F9" w:themeColor="accent5"/>
        <w:bottom w:val="single" w:sz="4" w:space="0" w:color="E0F5F9" w:themeColor="accent5"/>
        <w:right w:val="single" w:sz="4" w:space="0" w:color="E0F5F9" w:themeColor="accent5"/>
        <w:insideH w:val="single" w:sz="4" w:space="0" w:color="FFFFFF" w:themeColor="background1"/>
        <w:insideV w:val="single" w:sz="4" w:space="0" w:color="FFFFFF" w:themeColor="background1"/>
      </w:tblBorders>
    </w:tblPr>
    <w:tcPr>
      <w:shd w:val="clear" w:color="auto" w:fill="FBFEFE" w:themeFill="accent5" w:themeFillTint="19"/>
    </w:tcPr>
    <w:tblStylePr w:type="firstRow">
      <w:rPr>
        <w:b/>
        <w:bCs/>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1C1DA" w:themeFill="accent5" w:themeFillShade="99"/>
      </w:tcPr>
    </w:tblStylePr>
    <w:tblStylePr w:type="firstCol">
      <w:rPr>
        <w:color w:val="FFFFFF" w:themeColor="background1"/>
      </w:rPr>
      <w:tblPr/>
      <w:tcPr>
        <w:tcBorders>
          <w:top w:val="nil"/>
          <w:left w:val="nil"/>
          <w:bottom w:val="nil"/>
          <w:right w:val="nil"/>
          <w:insideH w:val="single" w:sz="4" w:space="0" w:color="41C1DA" w:themeColor="accent5" w:themeShade="99"/>
          <w:insideV w:val="nil"/>
        </w:tcBorders>
        <w:shd w:val="clear" w:color="auto" w:fill="41C1D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1C1DA" w:themeFill="accent5" w:themeFillShade="99"/>
      </w:tcPr>
    </w:tblStylePr>
    <w:tblStylePr w:type="band1Vert">
      <w:tblPr/>
      <w:tcPr>
        <w:shd w:val="clear" w:color="auto" w:fill="F2FBFC" w:themeFill="accent5" w:themeFillTint="66"/>
      </w:tcPr>
    </w:tblStylePr>
    <w:tblStylePr w:type="band1Horz">
      <w:tblPr/>
      <w:tcPr>
        <w:shd w:val="clear" w:color="auto" w:fill="EFF9FC" w:themeFill="accent5" w:themeFillTint="7F"/>
      </w:tcPr>
    </w:tblStylePr>
    <w:tblStylePr w:type="neCell">
      <w:rPr>
        <w:color w:val="213D46" w:themeColor="text1"/>
      </w:rPr>
    </w:tblStylePr>
    <w:tblStylePr w:type="nwCell">
      <w:rPr>
        <w:color w:val="213D46" w:themeColor="text1"/>
      </w:rPr>
    </w:tblStylePr>
  </w:style>
  <w:style w:type="table" w:styleId="ColorfulShading-Accent6">
    <w:name w:val="Colorful Shading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0F5F9" w:themeColor="accent5"/>
        <w:left w:val="single" w:sz="4" w:space="0" w:color="EBEEEF" w:themeColor="accent6"/>
        <w:bottom w:val="single" w:sz="4" w:space="0" w:color="EBEEEF" w:themeColor="accent6"/>
        <w:right w:val="single" w:sz="4" w:space="0" w:color="EBEEEF" w:themeColor="accent6"/>
        <w:insideH w:val="single" w:sz="4" w:space="0" w:color="FFFFFF" w:themeColor="background1"/>
        <w:insideV w:val="single" w:sz="4" w:space="0" w:color="FFFFFF" w:themeColor="background1"/>
      </w:tblBorders>
    </w:tblPr>
    <w:tcPr>
      <w:shd w:val="clear" w:color="auto" w:fill="FCFDFD" w:themeFill="accent6" w:themeFillTint="19"/>
    </w:tcPr>
    <w:tblStylePr w:type="firstRow">
      <w:rPr>
        <w:b/>
        <w:bCs/>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1949A" w:themeFill="accent6" w:themeFillShade="99"/>
      </w:tcPr>
    </w:tblStylePr>
    <w:tblStylePr w:type="firstCol">
      <w:rPr>
        <w:color w:val="FFFFFF" w:themeColor="background1"/>
      </w:rPr>
      <w:tblPr/>
      <w:tcPr>
        <w:tcBorders>
          <w:top w:val="nil"/>
          <w:left w:val="nil"/>
          <w:bottom w:val="nil"/>
          <w:right w:val="nil"/>
          <w:insideH w:val="single" w:sz="4" w:space="0" w:color="81949A" w:themeColor="accent6" w:themeShade="99"/>
          <w:insideV w:val="nil"/>
        </w:tcBorders>
        <w:shd w:val="clear" w:color="auto" w:fill="81949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1949A" w:themeFill="accent6" w:themeFillShade="99"/>
      </w:tcPr>
    </w:tblStylePr>
    <w:tblStylePr w:type="band1Vert">
      <w:tblPr/>
      <w:tcPr>
        <w:shd w:val="clear" w:color="auto" w:fill="F6F8F8" w:themeFill="accent6" w:themeFillTint="66"/>
      </w:tcPr>
    </w:tblStylePr>
    <w:tblStylePr w:type="band1Horz">
      <w:tblPr/>
      <w:tcPr>
        <w:shd w:val="clear" w:color="auto" w:fill="F5F6F7" w:themeFill="accent6" w:themeFillTint="7F"/>
      </w:tcPr>
    </w:tblStylePr>
    <w:tblStylePr w:type="neCell">
      <w:rPr>
        <w:color w:val="213D46" w:themeColor="text1"/>
      </w:rPr>
    </w:tblStylePr>
    <w:tblStylePr w:type="nwCell">
      <w:rPr>
        <w:color w:val="213D46" w:themeColor="text1"/>
      </w:rPr>
    </w:tblStylePr>
  </w:style>
  <w:style w:type="character" w:styleId="CommentReference">
    <w:name w:val="annotation reference"/>
    <w:basedOn w:val="DefaultParagraphFont"/>
    <w:uiPriority w:val="99"/>
    <w:semiHidden/>
    <w:rsid w:val="00911DE3"/>
    <w:rPr>
      <w:sz w:val="16"/>
      <w:szCs w:val="16"/>
      <w:lang w:val="en-GB"/>
    </w:rPr>
  </w:style>
  <w:style w:type="paragraph" w:styleId="CommentText">
    <w:name w:val="annotation text"/>
    <w:basedOn w:val="Normal"/>
    <w:link w:val="CommentTextChar"/>
    <w:uiPriority w:val="99"/>
    <w:semiHidden/>
    <w:rsid w:val="00911DE3"/>
    <w:pPr>
      <w:spacing w:line="240" w:lineRule="auto"/>
    </w:pPr>
  </w:style>
  <w:style w:type="character" w:customStyle="1" w:styleId="CommentTextChar">
    <w:name w:val="Comment Text Char"/>
    <w:basedOn w:val="DefaultParagraphFont"/>
    <w:link w:val="CommentText"/>
    <w:uiPriority w:val="99"/>
    <w:semiHidden/>
    <w:rsid w:val="00911DE3"/>
    <w:rPr>
      <w:lang w:val="en-GB"/>
    </w:rPr>
  </w:style>
  <w:style w:type="paragraph" w:styleId="CommentSubject">
    <w:name w:val="annotation subject"/>
    <w:basedOn w:val="CommentText"/>
    <w:next w:val="CommentText"/>
    <w:link w:val="CommentSubjectChar"/>
    <w:uiPriority w:val="99"/>
    <w:semiHidden/>
    <w:rsid w:val="00911DE3"/>
    <w:rPr>
      <w:b/>
      <w:bCs/>
    </w:rPr>
  </w:style>
  <w:style w:type="character" w:customStyle="1" w:styleId="CommentSubjectChar">
    <w:name w:val="Comment Subject Char"/>
    <w:basedOn w:val="CommentTextChar"/>
    <w:link w:val="CommentSubject"/>
    <w:uiPriority w:val="99"/>
    <w:semiHidden/>
    <w:rsid w:val="00911DE3"/>
    <w:rPr>
      <w:b/>
      <w:bCs/>
      <w:lang w:val="en-GB"/>
    </w:rPr>
  </w:style>
  <w:style w:type="table" w:styleId="DarkList">
    <w:name w:val="Dark List"/>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213D46" w:themeFill="tex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101E22"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182D34"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182D34" w:themeFill="text1" w:themeFillShade="BF"/>
      </w:tcPr>
    </w:tblStylePr>
    <w:tblStylePr w:type="band1Vert">
      <w:tblPr/>
      <w:tcPr>
        <w:tcBorders>
          <w:top w:val="nil"/>
          <w:left w:val="nil"/>
          <w:bottom w:val="nil"/>
          <w:right w:val="nil"/>
          <w:insideH w:val="nil"/>
          <w:insideV w:val="nil"/>
        </w:tcBorders>
        <w:shd w:val="clear" w:color="auto" w:fill="182D34" w:themeFill="text1" w:themeFillShade="BF"/>
      </w:tcPr>
    </w:tblStylePr>
    <w:tblStylePr w:type="band1Horz">
      <w:tblPr/>
      <w:tcPr>
        <w:tcBorders>
          <w:top w:val="nil"/>
          <w:left w:val="nil"/>
          <w:bottom w:val="nil"/>
          <w:right w:val="nil"/>
          <w:insideH w:val="nil"/>
          <w:insideV w:val="nil"/>
        </w:tcBorders>
        <w:shd w:val="clear" w:color="auto" w:fill="182D34" w:themeFill="text1" w:themeFillShade="BF"/>
      </w:tcPr>
    </w:tblStylePr>
  </w:style>
  <w:style w:type="table" w:styleId="DarkList-Accent1">
    <w:name w:val="Dark List Accent 1"/>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A2B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505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798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798B" w:themeFill="accent1" w:themeFillShade="BF"/>
      </w:tcPr>
    </w:tblStylePr>
    <w:tblStylePr w:type="band1Vert">
      <w:tblPr/>
      <w:tcPr>
        <w:tcBorders>
          <w:top w:val="nil"/>
          <w:left w:val="nil"/>
          <w:bottom w:val="nil"/>
          <w:right w:val="nil"/>
          <w:insideH w:val="nil"/>
          <w:insideV w:val="nil"/>
        </w:tcBorders>
        <w:shd w:val="clear" w:color="auto" w:fill="00798B" w:themeFill="accent1" w:themeFillShade="BF"/>
      </w:tcPr>
    </w:tblStylePr>
    <w:tblStylePr w:type="band1Horz">
      <w:tblPr/>
      <w:tcPr>
        <w:tcBorders>
          <w:top w:val="nil"/>
          <w:left w:val="nil"/>
          <w:bottom w:val="nil"/>
          <w:right w:val="nil"/>
          <w:insideH w:val="nil"/>
          <w:insideV w:val="nil"/>
        </w:tcBorders>
        <w:shd w:val="clear" w:color="auto" w:fill="00798B" w:themeFill="accent1" w:themeFillShade="BF"/>
      </w:tcPr>
    </w:tblStylePr>
  </w:style>
  <w:style w:type="table" w:styleId="DarkList-Accent2">
    <w:name w:val="Dark List Accent 2"/>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515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282E"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C4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C45" w:themeFill="accent2" w:themeFillShade="BF"/>
      </w:tcPr>
    </w:tblStylePr>
    <w:tblStylePr w:type="band1Vert">
      <w:tblPr/>
      <w:tcPr>
        <w:tcBorders>
          <w:top w:val="nil"/>
          <w:left w:val="nil"/>
          <w:bottom w:val="nil"/>
          <w:right w:val="nil"/>
          <w:insideH w:val="nil"/>
          <w:insideV w:val="nil"/>
        </w:tcBorders>
        <w:shd w:val="clear" w:color="auto" w:fill="003C45" w:themeFill="accent2" w:themeFillShade="BF"/>
      </w:tcPr>
    </w:tblStylePr>
    <w:tblStylePr w:type="band1Horz">
      <w:tblPr/>
      <w:tcPr>
        <w:tcBorders>
          <w:top w:val="nil"/>
          <w:left w:val="nil"/>
          <w:bottom w:val="nil"/>
          <w:right w:val="nil"/>
          <w:insideH w:val="nil"/>
          <w:insideV w:val="nil"/>
        </w:tcBorders>
        <w:shd w:val="clear" w:color="auto" w:fill="003C45" w:themeFill="accent2" w:themeFillShade="BF"/>
      </w:tcPr>
    </w:tblStylePr>
  </w:style>
  <w:style w:type="table" w:styleId="DarkList-Accent3">
    <w:name w:val="Dark List Accent 3"/>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788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3B4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96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967" w:themeFill="accent3" w:themeFillShade="BF"/>
      </w:tcPr>
    </w:tblStylePr>
    <w:tblStylePr w:type="band1Vert">
      <w:tblPr/>
      <w:tcPr>
        <w:tcBorders>
          <w:top w:val="nil"/>
          <w:left w:val="nil"/>
          <w:bottom w:val="nil"/>
          <w:right w:val="nil"/>
          <w:insideH w:val="nil"/>
          <w:insideV w:val="nil"/>
        </w:tcBorders>
        <w:shd w:val="clear" w:color="auto" w:fill="005967" w:themeFill="accent3" w:themeFillShade="BF"/>
      </w:tcPr>
    </w:tblStylePr>
    <w:tblStylePr w:type="band1Horz">
      <w:tblPr/>
      <w:tcPr>
        <w:tcBorders>
          <w:top w:val="nil"/>
          <w:left w:val="nil"/>
          <w:bottom w:val="nil"/>
          <w:right w:val="nil"/>
          <w:insideH w:val="nil"/>
          <w:insideV w:val="nil"/>
        </w:tcBorders>
        <w:shd w:val="clear" w:color="auto" w:fill="005967" w:themeFill="accent3" w:themeFillShade="BF"/>
      </w:tcPr>
    </w:tblStylePr>
  </w:style>
  <w:style w:type="table" w:styleId="DarkList-Accent4">
    <w:name w:val="Dark List Accent 4"/>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CCECF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A9BB3"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1CAD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1CADD" w:themeFill="accent4" w:themeFillShade="BF"/>
      </w:tcPr>
    </w:tblStylePr>
    <w:tblStylePr w:type="band1Vert">
      <w:tblPr/>
      <w:tcPr>
        <w:tcBorders>
          <w:top w:val="nil"/>
          <w:left w:val="nil"/>
          <w:bottom w:val="nil"/>
          <w:right w:val="nil"/>
          <w:insideH w:val="nil"/>
          <w:insideV w:val="nil"/>
        </w:tcBorders>
        <w:shd w:val="clear" w:color="auto" w:fill="71CADD" w:themeFill="accent4" w:themeFillShade="BF"/>
      </w:tcPr>
    </w:tblStylePr>
    <w:tblStylePr w:type="band1Horz">
      <w:tblPr/>
      <w:tcPr>
        <w:tcBorders>
          <w:top w:val="nil"/>
          <w:left w:val="nil"/>
          <w:bottom w:val="nil"/>
          <w:right w:val="nil"/>
          <w:insideH w:val="nil"/>
          <w:insideV w:val="nil"/>
        </w:tcBorders>
        <w:shd w:val="clear" w:color="auto" w:fill="71CADD" w:themeFill="accent4" w:themeFillShade="BF"/>
      </w:tcPr>
    </w:tblStylePr>
  </w:style>
  <w:style w:type="table" w:styleId="DarkList-Accent5">
    <w:name w:val="Dark List Accent 5"/>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0F5F9"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6ABC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CD4E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CD4E5" w:themeFill="accent5" w:themeFillShade="BF"/>
      </w:tcPr>
    </w:tblStylePr>
    <w:tblStylePr w:type="band1Vert">
      <w:tblPr/>
      <w:tcPr>
        <w:tcBorders>
          <w:top w:val="nil"/>
          <w:left w:val="nil"/>
          <w:bottom w:val="nil"/>
          <w:right w:val="nil"/>
          <w:insideH w:val="nil"/>
          <w:insideV w:val="nil"/>
        </w:tcBorders>
        <w:shd w:val="clear" w:color="auto" w:fill="7CD4E5" w:themeFill="accent5" w:themeFillShade="BF"/>
      </w:tcPr>
    </w:tblStylePr>
    <w:tblStylePr w:type="band1Horz">
      <w:tblPr/>
      <w:tcPr>
        <w:tcBorders>
          <w:top w:val="nil"/>
          <w:left w:val="nil"/>
          <w:bottom w:val="nil"/>
          <w:right w:val="nil"/>
          <w:insideH w:val="nil"/>
          <w:insideV w:val="nil"/>
        </w:tcBorders>
        <w:shd w:val="clear" w:color="auto" w:fill="7CD4E5" w:themeFill="accent5" w:themeFillShade="BF"/>
      </w:tcPr>
    </w:tblStylePr>
  </w:style>
  <w:style w:type="table" w:styleId="DarkList-Accent6">
    <w:name w:val="Dark List Accent 6"/>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BEEE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697C8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8B5B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8B5BA" w:themeFill="accent6" w:themeFillShade="BF"/>
      </w:tcPr>
    </w:tblStylePr>
    <w:tblStylePr w:type="band1Vert">
      <w:tblPr/>
      <w:tcPr>
        <w:tcBorders>
          <w:top w:val="nil"/>
          <w:left w:val="nil"/>
          <w:bottom w:val="nil"/>
          <w:right w:val="nil"/>
          <w:insideH w:val="nil"/>
          <w:insideV w:val="nil"/>
        </w:tcBorders>
        <w:shd w:val="clear" w:color="auto" w:fill="A8B5BA" w:themeFill="accent6" w:themeFillShade="BF"/>
      </w:tcPr>
    </w:tblStylePr>
    <w:tblStylePr w:type="band1Horz">
      <w:tblPr/>
      <w:tcPr>
        <w:tcBorders>
          <w:top w:val="nil"/>
          <w:left w:val="nil"/>
          <w:bottom w:val="nil"/>
          <w:right w:val="nil"/>
          <w:insideH w:val="nil"/>
          <w:insideV w:val="nil"/>
        </w:tcBorders>
        <w:shd w:val="clear" w:color="auto" w:fill="A8B5BA" w:themeFill="accent6" w:themeFillShade="BF"/>
      </w:tcPr>
    </w:tblStylePr>
  </w:style>
  <w:style w:type="paragraph" w:styleId="Date">
    <w:name w:val="Date"/>
    <w:basedOn w:val="Normal"/>
    <w:next w:val="Normal"/>
    <w:link w:val="DateChar"/>
    <w:uiPriority w:val="99"/>
    <w:semiHidden/>
    <w:rsid w:val="00911DE3"/>
  </w:style>
  <w:style w:type="character" w:customStyle="1" w:styleId="DateChar">
    <w:name w:val="Date Char"/>
    <w:basedOn w:val="DefaultParagraphFont"/>
    <w:link w:val="Date"/>
    <w:uiPriority w:val="99"/>
    <w:semiHidden/>
    <w:rsid w:val="00911DE3"/>
    <w:rPr>
      <w:lang w:val="en-GB"/>
    </w:rPr>
  </w:style>
  <w:style w:type="paragraph" w:styleId="DocumentMap">
    <w:name w:val="Document Map"/>
    <w:basedOn w:val="Normal"/>
    <w:link w:val="DocumentMapChar"/>
    <w:uiPriority w:val="99"/>
    <w:semiHidden/>
    <w:rsid w:val="00911DE3"/>
    <w:pPr>
      <w:spacing w:line="240" w:lineRule="auto"/>
    </w:pPr>
    <w:rPr>
      <w:rFonts w:cs="Arial"/>
      <w:sz w:val="16"/>
      <w:szCs w:val="16"/>
    </w:rPr>
  </w:style>
  <w:style w:type="character" w:customStyle="1" w:styleId="DocumentMapChar">
    <w:name w:val="Document Map Char"/>
    <w:basedOn w:val="DefaultParagraphFont"/>
    <w:link w:val="DocumentMap"/>
    <w:uiPriority w:val="99"/>
    <w:semiHidden/>
    <w:rsid w:val="00911DE3"/>
    <w:rPr>
      <w:rFonts w:cs="Arial"/>
      <w:sz w:val="16"/>
      <w:szCs w:val="16"/>
      <w:lang w:val="en-GB"/>
    </w:rPr>
  </w:style>
  <w:style w:type="paragraph" w:styleId="E-mailSignature">
    <w:name w:val="E-mail Signature"/>
    <w:basedOn w:val="Normal"/>
    <w:link w:val="E-mailSignatureChar"/>
    <w:uiPriority w:val="99"/>
    <w:semiHidden/>
    <w:rsid w:val="00911DE3"/>
    <w:pPr>
      <w:spacing w:line="240" w:lineRule="auto"/>
    </w:pPr>
  </w:style>
  <w:style w:type="character" w:customStyle="1" w:styleId="E-mailSignatureChar">
    <w:name w:val="E-mail Signature Char"/>
    <w:basedOn w:val="DefaultParagraphFont"/>
    <w:link w:val="E-mailSignature"/>
    <w:uiPriority w:val="99"/>
    <w:semiHidden/>
    <w:rsid w:val="00911DE3"/>
    <w:rPr>
      <w:lang w:val="en-GB"/>
    </w:rPr>
  </w:style>
  <w:style w:type="character" w:styleId="Emphasis">
    <w:name w:val="Emphasis"/>
    <w:basedOn w:val="DefaultParagraphFont"/>
    <w:uiPriority w:val="8"/>
    <w:qFormat/>
    <w:rsid w:val="004366B4"/>
    <w:rPr>
      <w:rFonts w:asciiTheme="majorHAnsi" w:hAnsiTheme="majorHAnsi"/>
      <w:i w:val="0"/>
      <w:iCs/>
      <w:lang w:val="en-GB"/>
    </w:rPr>
  </w:style>
  <w:style w:type="character" w:styleId="EndnoteReference">
    <w:name w:val="endnote reference"/>
    <w:basedOn w:val="DefaultParagraphFont"/>
    <w:uiPriority w:val="13"/>
    <w:semiHidden/>
    <w:rsid w:val="00911DE3"/>
    <w:rPr>
      <w:vertAlign w:val="superscript"/>
      <w:lang w:val="en-GB"/>
    </w:rPr>
  </w:style>
  <w:style w:type="paragraph" w:styleId="EndnoteText">
    <w:name w:val="endnote text"/>
    <w:basedOn w:val="Normal"/>
    <w:link w:val="EndnoteTextChar"/>
    <w:uiPriority w:val="13"/>
    <w:semiHidden/>
    <w:qFormat/>
    <w:rsid w:val="006F0B93"/>
    <w:pPr>
      <w:spacing w:line="240" w:lineRule="auto"/>
      <w:ind w:left="113" w:hanging="113"/>
    </w:pPr>
  </w:style>
  <w:style w:type="character" w:customStyle="1" w:styleId="EndnoteTextChar">
    <w:name w:val="Endnote Text Char"/>
    <w:basedOn w:val="DefaultParagraphFont"/>
    <w:link w:val="EndnoteText"/>
    <w:uiPriority w:val="13"/>
    <w:semiHidden/>
    <w:rsid w:val="006F0B93"/>
    <w:rPr>
      <w:lang w:val="en-GB"/>
    </w:rPr>
  </w:style>
  <w:style w:type="paragraph" w:styleId="EnvelopeAddress">
    <w:name w:val="envelope address"/>
    <w:basedOn w:val="Normal"/>
    <w:uiPriority w:val="10"/>
    <w:semiHidden/>
    <w:rsid w:val="00462CE2"/>
    <w:pPr>
      <w:spacing w:after="800"/>
      <w:contextualSpacing/>
    </w:pPr>
    <w:rPr>
      <w:rFonts w:eastAsiaTheme="majorEastAsia" w:cs="Arial"/>
    </w:rPr>
  </w:style>
  <w:style w:type="paragraph" w:styleId="EnvelopeReturn">
    <w:name w:val="envelope return"/>
    <w:basedOn w:val="Normal"/>
    <w:uiPriority w:val="10"/>
    <w:semiHidden/>
    <w:rsid w:val="00911DE3"/>
    <w:pPr>
      <w:spacing w:line="240" w:lineRule="auto"/>
    </w:pPr>
    <w:rPr>
      <w:rFonts w:eastAsiaTheme="majorEastAsia" w:cs="Arial"/>
    </w:rPr>
  </w:style>
  <w:style w:type="character" w:styleId="FollowedHyperlink">
    <w:name w:val="FollowedHyperlink"/>
    <w:basedOn w:val="DefaultParagraphFont"/>
    <w:uiPriority w:val="14"/>
    <w:semiHidden/>
    <w:rsid w:val="00911DE3"/>
    <w:rPr>
      <w:color w:val="00A2BA" w:themeColor="followedHyperlink"/>
      <w:u w:val="single"/>
      <w:lang w:val="en-GB"/>
    </w:rPr>
  </w:style>
  <w:style w:type="paragraph" w:styleId="Footer">
    <w:name w:val="footer"/>
    <w:basedOn w:val="Normal"/>
    <w:link w:val="FooterChar"/>
    <w:uiPriority w:val="99"/>
    <w:rsid w:val="00234D0C"/>
    <w:pPr>
      <w:spacing w:line="200" w:lineRule="atLeast"/>
    </w:pPr>
    <w:rPr>
      <w:sz w:val="14"/>
    </w:rPr>
  </w:style>
  <w:style w:type="character" w:customStyle="1" w:styleId="FooterChar">
    <w:name w:val="Footer Char"/>
    <w:basedOn w:val="DefaultParagraphFont"/>
    <w:link w:val="Footer"/>
    <w:uiPriority w:val="99"/>
    <w:rsid w:val="00234D0C"/>
    <w:rPr>
      <w:sz w:val="14"/>
      <w:lang w:val="en-GB"/>
    </w:rPr>
  </w:style>
  <w:style w:type="character" w:styleId="FootnoteReference">
    <w:name w:val="footnote reference"/>
    <w:basedOn w:val="DefaultParagraphFont"/>
    <w:uiPriority w:val="13"/>
    <w:semiHidden/>
    <w:rsid w:val="00911DE3"/>
    <w:rPr>
      <w:vertAlign w:val="superscript"/>
      <w:lang w:val="en-GB"/>
    </w:rPr>
  </w:style>
  <w:style w:type="paragraph" w:styleId="FootnoteText">
    <w:name w:val="footnote text"/>
    <w:basedOn w:val="Normal"/>
    <w:link w:val="FootnoteTextChar"/>
    <w:uiPriority w:val="13"/>
    <w:semiHidden/>
    <w:rsid w:val="006F0B93"/>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99674D"/>
    <w:rPr>
      <w:sz w:val="16"/>
      <w:lang w:val="en-GB"/>
    </w:rPr>
  </w:style>
  <w:style w:type="table" w:styleId="GridTable1Light">
    <w:name w:val="Grid Table 1 Light"/>
    <w:basedOn w:val="TableNormal"/>
    <w:uiPriority w:val="99"/>
    <w:rsid w:val="00911DE3"/>
    <w:pPr>
      <w:spacing w:line="240" w:lineRule="auto"/>
    </w:pPr>
    <w:rPr>
      <w:lang w:val="en-GB"/>
    </w:rPr>
    <w:tblPr>
      <w:tblStyleRowBandSize w:val="1"/>
      <w:tblStyleColBandSize w:val="1"/>
      <w:tblBorders>
        <w:top w:val="single" w:sz="4" w:space="0" w:color="90BCCA" w:themeColor="text1" w:themeTint="66"/>
        <w:left w:val="single" w:sz="4" w:space="0" w:color="90BCCA" w:themeColor="text1" w:themeTint="66"/>
        <w:bottom w:val="single" w:sz="4" w:space="0" w:color="90BCCA" w:themeColor="text1" w:themeTint="66"/>
        <w:right w:val="single" w:sz="4" w:space="0" w:color="90BCCA" w:themeColor="text1" w:themeTint="66"/>
        <w:insideH w:val="single" w:sz="4" w:space="0" w:color="90BCCA" w:themeColor="text1" w:themeTint="66"/>
        <w:insideV w:val="single" w:sz="4" w:space="0" w:color="90BCCA" w:themeColor="text1" w:themeTint="66"/>
      </w:tblBorders>
    </w:tblPr>
    <w:tblStylePr w:type="firstRow">
      <w:rPr>
        <w:b/>
        <w:bCs/>
      </w:rPr>
      <w:tblPr/>
      <w:tcPr>
        <w:tcBorders>
          <w:bottom w:val="single" w:sz="12" w:space="0" w:color="589BB0" w:themeColor="text1" w:themeTint="99"/>
        </w:tcBorders>
      </w:tcPr>
    </w:tblStylePr>
    <w:tblStylePr w:type="lastRow">
      <w:rPr>
        <w:b/>
        <w:bCs/>
      </w:rPr>
      <w:tblPr/>
      <w:tcPr>
        <w:tcBorders>
          <w:top w:val="double" w:sz="2" w:space="0" w:color="589BB0"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911DE3"/>
    <w:pPr>
      <w:spacing w:line="240" w:lineRule="auto"/>
    </w:pPr>
    <w:rPr>
      <w:lang w:val="en-GB"/>
    </w:rPr>
    <w:tblPr>
      <w:tblStyleRowBandSize w:val="1"/>
      <w:tblStyleColBandSize w:val="1"/>
      <w:tblBorders>
        <w:top w:val="single" w:sz="4" w:space="0" w:color="7DEEFF" w:themeColor="accent1" w:themeTint="66"/>
        <w:left w:val="single" w:sz="4" w:space="0" w:color="7DEEFF" w:themeColor="accent1" w:themeTint="66"/>
        <w:bottom w:val="single" w:sz="4" w:space="0" w:color="7DEEFF" w:themeColor="accent1" w:themeTint="66"/>
        <w:right w:val="single" w:sz="4" w:space="0" w:color="7DEEFF" w:themeColor="accent1" w:themeTint="66"/>
        <w:insideH w:val="single" w:sz="4" w:space="0" w:color="7DEEFF" w:themeColor="accent1" w:themeTint="66"/>
        <w:insideV w:val="single" w:sz="4" w:space="0" w:color="7DEEFF" w:themeColor="accent1" w:themeTint="66"/>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2" w:space="0" w:color="3CE5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911DE3"/>
    <w:pPr>
      <w:spacing w:line="240" w:lineRule="auto"/>
    </w:pPr>
    <w:rPr>
      <w:lang w:val="en-GB"/>
    </w:rPr>
    <w:tblPr>
      <w:tblStyleRowBandSize w:val="1"/>
      <w:tblStyleColBandSize w:val="1"/>
      <w:tblBorders>
        <w:top w:val="single" w:sz="4" w:space="0" w:color="58E9FF" w:themeColor="accent2" w:themeTint="66"/>
        <w:left w:val="single" w:sz="4" w:space="0" w:color="58E9FF" w:themeColor="accent2" w:themeTint="66"/>
        <w:bottom w:val="single" w:sz="4" w:space="0" w:color="58E9FF" w:themeColor="accent2" w:themeTint="66"/>
        <w:right w:val="single" w:sz="4" w:space="0" w:color="58E9FF" w:themeColor="accent2" w:themeTint="66"/>
        <w:insideH w:val="single" w:sz="4" w:space="0" w:color="58E9FF" w:themeColor="accent2" w:themeTint="66"/>
        <w:insideV w:val="single" w:sz="4" w:space="0" w:color="58E9FF" w:themeColor="accent2" w:themeTint="66"/>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2" w:space="0" w:color="04DE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911DE3"/>
    <w:pPr>
      <w:spacing w:line="240" w:lineRule="auto"/>
    </w:pPr>
    <w:rPr>
      <w:lang w:val="en-GB"/>
    </w:rPr>
    <w:tblPr>
      <w:tblStyleRowBandSize w:val="1"/>
      <w:tblStyleColBandSize w:val="1"/>
      <w:tblBorders>
        <w:top w:val="single" w:sz="4" w:space="0" w:color="6AEBFF" w:themeColor="accent3" w:themeTint="66"/>
        <w:left w:val="single" w:sz="4" w:space="0" w:color="6AEBFF" w:themeColor="accent3" w:themeTint="66"/>
        <w:bottom w:val="single" w:sz="4" w:space="0" w:color="6AEBFF" w:themeColor="accent3" w:themeTint="66"/>
        <w:right w:val="single" w:sz="4" w:space="0" w:color="6AEBFF" w:themeColor="accent3" w:themeTint="66"/>
        <w:insideH w:val="single" w:sz="4" w:space="0" w:color="6AEBFF" w:themeColor="accent3" w:themeTint="66"/>
        <w:insideV w:val="single" w:sz="4" w:space="0" w:color="6AEBFF" w:themeColor="accent3" w:themeTint="66"/>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2" w:space="0" w:color="1FE1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911DE3"/>
    <w:pPr>
      <w:spacing w:line="240" w:lineRule="auto"/>
    </w:pPr>
    <w:rPr>
      <w:lang w:val="en-GB"/>
    </w:rPr>
    <w:tblPr>
      <w:tblStyleRowBandSize w:val="1"/>
      <w:tblStyleColBandSize w:val="1"/>
      <w:tblBorders>
        <w:top w:val="single" w:sz="4" w:space="0" w:color="EAF7FA" w:themeColor="accent4" w:themeTint="66"/>
        <w:left w:val="single" w:sz="4" w:space="0" w:color="EAF7FA" w:themeColor="accent4" w:themeTint="66"/>
        <w:bottom w:val="single" w:sz="4" w:space="0" w:color="EAF7FA" w:themeColor="accent4" w:themeTint="66"/>
        <w:right w:val="single" w:sz="4" w:space="0" w:color="EAF7FA" w:themeColor="accent4" w:themeTint="66"/>
        <w:insideH w:val="single" w:sz="4" w:space="0" w:color="EAF7FA" w:themeColor="accent4" w:themeTint="66"/>
        <w:insideV w:val="single" w:sz="4" w:space="0" w:color="EAF7FA" w:themeColor="accent4" w:themeTint="66"/>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2" w:space="0" w:color="E0F3F7"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911DE3"/>
    <w:pPr>
      <w:spacing w:line="240" w:lineRule="auto"/>
    </w:pPr>
    <w:rPr>
      <w:lang w:val="en-GB"/>
    </w:rPr>
    <w:tblPr>
      <w:tblStyleRowBandSize w:val="1"/>
      <w:tblStyleColBandSize w:val="1"/>
      <w:tblBorders>
        <w:top w:val="single" w:sz="4" w:space="0" w:color="F2FBFC" w:themeColor="accent5" w:themeTint="66"/>
        <w:left w:val="single" w:sz="4" w:space="0" w:color="F2FBFC" w:themeColor="accent5" w:themeTint="66"/>
        <w:bottom w:val="single" w:sz="4" w:space="0" w:color="F2FBFC" w:themeColor="accent5" w:themeTint="66"/>
        <w:right w:val="single" w:sz="4" w:space="0" w:color="F2FBFC" w:themeColor="accent5" w:themeTint="66"/>
        <w:insideH w:val="single" w:sz="4" w:space="0" w:color="F2FBFC" w:themeColor="accent5" w:themeTint="66"/>
        <w:insideV w:val="single" w:sz="4" w:space="0" w:color="F2FBFC" w:themeColor="accent5" w:themeTint="66"/>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2" w:space="0" w:color="ECF9F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911DE3"/>
    <w:pPr>
      <w:spacing w:line="240" w:lineRule="auto"/>
    </w:pPr>
    <w:rPr>
      <w:lang w:val="en-GB"/>
    </w:rPr>
    <w:tblPr>
      <w:tblStyleRowBandSize w:val="1"/>
      <w:tblStyleColBandSize w:val="1"/>
      <w:tblBorders>
        <w:top w:val="single" w:sz="4" w:space="0" w:color="F6F8F8" w:themeColor="accent6" w:themeTint="66"/>
        <w:left w:val="single" w:sz="4" w:space="0" w:color="F6F8F8" w:themeColor="accent6" w:themeTint="66"/>
        <w:bottom w:val="single" w:sz="4" w:space="0" w:color="F6F8F8" w:themeColor="accent6" w:themeTint="66"/>
        <w:right w:val="single" w:sz="4" w:space="0" w:color="F6F8F8" w:themeColor="accent6" w:themeTint="66"/>
        <w:insideH w:val="single" w:sz="4" w:space="0" w:color="F6F8F8" w:themeColor="accent6" w:themeTint="66"/>
        <w:insideV w:val="single" w:sz="4" w:space="0" w:color="F6F8F8" w:themeColor="accent6" w:themeTint="66"/>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2" w:space="0" w:color="F2F4F5"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911DE3"/>
    <w:pPr>
      <w:spacing w:line="240" w:lineRule="auto"/>
    </w:pPr>
    <w:rPr>
      <w:lang w:val="en-GB"/>
    </w:rPr>
    <w:tblPr>
      <w:tblStyleRowBandSize w:val="1"/>
      <w:tblStyleColBandSize w:val="1"/>
      <w:tblBorders>
        <w:top w:val="single" w:sz="2" w:space="0" w:color="589BB0" w:themeColor="text1" w:themeTint="99"/>
        <w:bottom w:val="single" w:sz="2" w:space="0" w:color="589BB0" w:themeColor="text1" w:themeTint="99"/>
        <w:insideH w:val="single" w:sz="2" w:space="0" w:color="589BB0" w:themeColor="text1" w:themeTint="99"/>
        <w:insideV w:val="single" w:sz="2" w:space="0" w:color="589BB0" w:themeColor="text1" w:themeTint="99"/>
      </w:tblBorders>
    </w:tblPr>
    <w:tblStylePr w:type="firstRow">
      <w:rPr>
        <w:b/>
        <w:bCs/>
      </w:rPr>
      <w:tblPr/>
      <w:tcPr>
        <w:tcBorders>
          <w:top w:val="nil"/>
          <w:bottom w:val="single" w:sz="12" w:space="0" w:color="589BB0" w:themeColor="text1" w:themeTint="99"/>
          <w:insideH w:val="nil"/>
          <w:insideV w:val="nil"/>
        </w:tcBorders>
        <w:shd w:val="clear" w:color="auto" w:fill="FFFFFF" w:themeFill="background1"/>
      </w:tcPr>
    </w:tblStylePr>
    <w:tblStylePr w:type="lastRow">
      <w:rPr>
        <w:b/>
        <w:bCs/>
      </w:rPr>
      <w:tblPr/>
      <w:tcPr>
        <w:tcBorders>
          <w:top w:val="double" w:sz="2" w:space="0" w:color="589BB0"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2-Accent1">
    <w:name w:val="Grid Table 2 Accent 1"/>
    <w:basedOn w:val="TableNormal"/>
    <w:uiPriority w:val="99"/>
    <w:rsid w:val="00911DE3"/>
    <w:pPr>
      <w:spacing w:line="240" w:lineRule="auto"/>
    </w:pPr>
    <w:rPr>
      <w:lang w:val="en-GB"/>
    </w:rPr>
    <w:tblPr>
      <w:tblStyleRowBandSize w:val="1"/>
      <w:tblStyleColBandSize w:val="1"/>
      <w:tblBorders>
        <w:top w:val="single" w:sz="2" w:space="0" w:color="3CE5FF" w:themeColor="accent1" w:themeTint="99"/>
        <w:bottom w:val="single" w:sz="2" w:space="0" w:color="3CE5FF" w:themeColor="accent1" w:themeTint="99"/>
        <w:insideH w:val="single" w:sz="2" w:space="0" w:color="3CE5FF" w:themeColor="accent1" w:themeTint="99"/>
        <w:insideV w:val="single" w:sz="2" w:space="0" w:color="3CE5FF" w:themeColor="accent1" w:themeTint="99"/>
      </w:tblBorders>
    </w:tblPr>
    <w:tblStylePr w:type="firstRow">
      <w:rPr>
        <w:b/>
        <w:bCs/>
      </w:rPr>
      <w:tblPr/>
      <w:tcPr>
        <w:tcBorders>
          <w:top w:val="nil"/>
          <w:bottom w:val="single" w:sz="12" w:space="0" w:color="3CE5FF" w:themeColor="accent1" w:themeTint="99"/>
          <w:insideH w:val="nil"/>
          <w:insideV w:val="nil"/>
        </w:tcBorders>
        <w:shd w:val="clear" w:color="auto" w:fill="FFFFFF" w:themeFill="background1"/>
      </w:tcPr>
    </w:tblStylePr>
    <w:tblStylePr w:type="lastRow">
      <w:rPr>
        <w:b/>
        <w:bCs/>
      </w:rPr>
      <w:tblPr/>
      <w:tcPr>
        <w:tcBorders>
          <w:top w:val="double" w:sz="2" w:space="0" w:color="3CE5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2-Accent2">
    <w:name w:val="Grid Table 2 Accent 2"/>
    <w:basedOn w:val="TableNormal"/>
    <w:uiPriority w:val="99"/>
    <w:rsid w:val="00911DE3"/>
    <w:pPr>
      <w:spacing w:line="240" w:lineRule="auto"/>
    </w:pPr>
    <w:rPr>
      <w:lang w:val="en-GB"/>
    </w:rPr>
    <w:tblPr>
      <w:tblStyleRowBandSize w:val="1"/>
      <w:tblStyleColBandSize w:val="1"/>
      <w:tblBorders>
        <w:top w:val="single" w:sz="2" w:space="0" w:color="04DEFF" w:themeColor="accent2" w:themeTint="99"/>
        <w:bottom w:val="single" w:sz="2" w:space="0" w:color="04DEFF" w:themeColor="accent2" w:themeTint="99"/>
        <w:insideH w:val="single" w:sz="2" w:space="0" w:color="04DEFF" w:themeColor="accent2" w:themeTint="99"/>
        <w:insideV w:val="single" w:sz="2" w:space="0" w:color="04DEFF" w:themeColor="accent2" w:themeTint="99"/>
      </w:tblBorders>
    </w:tblPr>
    <w:tblStylePr w:type="firstRow">
      <w:rPr>
        <w:b/>
        <w:bCs/>
      </w:rPr>
      <w:tblPr/>
      <w:tcPr>
        <w:tcBorders>
          <w:top w:val="nil"/>
          <w:bottom w:val="single" w:sz="12" w:space="0" w:color="04DEFF" w:themeColor="accent2" w:themeTint="99"/>
          <w:insideH w:val="nil"/>
          <w:insideV w:val="nil"/>
        </w:tcBorders>
        <w:shd w:val="clear" w:color="auto" w:fill="FFFFFF" w:themeFill="background1"/>
      </w:tcPr>
    </w:tblStylePr>
    <w:tblStylePr w:type="lastRow">
      <w:rPr>
        <w:b/>
        <w:bCs/>
      </w:rPr>
      <w:tblPr/>
      <w:tcPr>
        <w:tcBorders>
          <w:top w:val="double" w:sz="2" w:space="0" w:color="04DE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2-Accent3">
    <w:name w:val="Grid Table 2 Accent 3"/>
    <w:basedOn w:val="TableNormal"/>
    <w:uiPriority w:val="99"/>
    <w:rsid w:val="00911DE3"/>
    <w:pPr>
      <w:spacing w:line="240" w:lineRule="auto"/>
    </w:pPr>
    <w:rPr>
      <w:lang w:val="en-GB"/>
    </w:rPr>
    <w:tblPr>
      <w:tblStyleRowBandSize w:val="1"/>
      <w:tblStyleColBandSize w:val="1"/>
      <w:tblBorders>
        <w:top w:val="single" w:sz="2" w:space="0" w:color="1FE1FF" w:themeColor="accent3" w:themeTint="99"/>
        <w:bottom w:val="single" w:sz="2" w:space="0" w:color="1FE1FF" w:themeColor="accent3" w:themeTint="99"/>
        <w:insideH w:val="single" w:sz="2" w:space="0" w:color="1FE1FF" w:themeColor="accent3" w:themeTint="99"/>
        <w:insideV w:val="single" w:sz="2" w:space="0" w:color="1FE1FF" w:themeColor="accent3" w:themeTint="99"/>
      </w:tblBorders>
    </w:tblPr>
    <w:tblStylePr w:type="firstRow">
      <w:rPr>
        <w:b/>
        <w:bCs/>
      </w:rPr>
      <w:tblPr/>
      <w:tcPr>
        <w:tcBorders>
          <w:top w:val="nil"/>
          <w:bottom w:val="single" w:sz="12" w:space="0" w:color="1FE1FF" w:themeColor="accent3" w:themeTint="99"/>
          <w:insideH w:val="nil"/>
          <w:insideV w:val="nil"/>
        </w:tcBorders>
        <w:shd w:val="clear" w:color="auto" w:fill="FFFFFF" w:themeFill="background1"/>
      </w:tcPr>
    </w:tblStylePr>
    <w:tblStylePr w:type="lastRow">
      <w:rPr>
        <w:b/>
        <w:bCs/>
      </w:rPr>
      <w:tblPr/>
      <w:tcPr>
        <w:tcBorders>
          <w:top w:val="double" w:sz="2" w:space="0" w:color="1FE1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2-Accent4">
    <w:name w:val="Grid Table 2 Accent 4"/>
    <w:basedOn w:val="TableNormal"/>
    <w:uiPriority w:val="99"/>
    <w:rsid w:val="00911DE3"/>
    <w:pPr>
      <w:spacing w:line="240" w:lineRule="auto"/>
    </w:pPr>
    <w:rPr>
      <w:lang w:val="en-GB"/>
    </w:rPr>
    <w:tblPr>
      <w:tblStyleRowBandSize w:val="1"/>
      <w:tblStyleColBandSize w:val="1"/>
      <w:tblBorders>
        <w:top w:val="single" w:sz="2" w:space="0" w:color="E0F3F7" w:themeColor="accent4" w:themeTint="99"/>
        <w:bottom w:val="single" w:sz="2" w:space="0" w:color="E0F3F7" w:themeColor="accent4" w:themeTint="99"/>
        <w:insideH w:val="single" w:sz="2" w:space="0" w:color="E0F3F7" w:themeColor="accent4" w:themeTint="99"/>
        <w:insideV w:val="single" w:sz="2" w:space="0" w:color="E0F3F7" w:themeColor="accent4" w:themeTint="99"/>
      </w:tblBorders>
    </w:tblPr>
    <w:tblStylePr w:type="firstRow">
      <w:rPr>
        <w:b/>
        <w:bCs/>
      </w:rPr>
      <w:tblPr/>
      <w:tcPr>
        <w:tcBorders>
          <w:top w:val="nil"/>
          <w:bottom w:val="single" w:sz="12" w:space="0" w:color="E0F3F7" w:themeColor="accent4" w:themeTint="99"/>
          <w:insideH w:val="nil"/>
          <w:insideV w:val="nil"/>
        </w:tcBorders>
        <w:shd w:val="clear" w:color="auto" w:fill="FFFFFF" w:themeFill="background1"/>
      </w:tcPr>
    </w:tblStylePr>
    <w:tblStylePr w:type="lastRow">
      <w:rPr>
        <w:b/>
        <w:bCs/>
      </w:rPr>
      <w:tblPr/>
      <w:tcPr>
        <w:tcBorders>
          <w:top w:val="double" w:sz="2" w:space="0" w:color="E0F3F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2-Accent5">
    <w:name w:val="Grid Table 2 Accent 5"/>
    <w:basedOn w:val="TableNormal"/>
    <w:uiPriority w:val="99"/>
    <w:rsid w:val="00911DE3"/>
    <w:pPr>
      <w:spacing w:line="240" w:lineRule="auto"/>
    </w:pPr>
    <w:rPr>
      <w:lang w:val="en-GB"/>
    </w:rPr>
    <w:tblPr>
      <w:tblStyleRowBandSize w:val="1"/>
      <w:tblStyleColBandSize w:val="1"/>
      <w:tblBorders>
        <w:top w:val="single" w:sz="2" w:space="0" w:color="ECF9FB" w:themeColor="accent5" w:themeTint="99"/>
        <w:bottom w:val="single" w:sz="2" w:space="0" w:color="ECF9FB" w:themeColor="accent5" w:themeTint="99"/>
        <w:insideH w:val="single" w:sz="2" w:space="0" w:color="ECF9FB" w:themeColor="accent5" w:themeTint="99"/>
        <w:insideV w:val="single" w:sz="2" w:space="0" w:color="ECF9FB" w:themeColor="accent5" w:themeTint="99"/>
      </w:tblBorders>
    </w:tblPr>
    <w:tblStylePr w:type="firstRow">
      <w:rPr>
        <w:b/>
        <w:bCs/>
      </w:rPr>
      <w:tblPr/>
      <w:tcPr>
        <w:tcBorders>
          <w:top w:val="nil"/>
          <w:bottom w:val="single" w:sz="12" w:space="0" w:color="ECF9FB" w:themeColor="accent5" w:themeTint="99"/>
          <w:insideH w:val="nil"/>
          <w:insideV w:val="nil"/>
        </w:tcBorders>
        <w:shd w:val="clear" w:color="auto" w:fill="FFFFFF" w:themeFill="background1"/>
      </w:tcPr>
    </w:tblStylePr>
    <w:tblStylePr w:type="lastRow">
      <w:rPr>
        <w:b/>
        <w:bCs/>
      </w:rPr>
      <w:tblPr/>
      <w:tcPr>
        <w:tcBorders>
          <w:top w:val="double" w:sz="2" w:space="0" w:color="ECF9F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2-Accent6">
    <w:name w:val="Grid Table 2 Accent 6"/>
    <w:basedOn w:val="TableNormal"/>
    <w:uiPriority w:val="99"/>
    <w:rsid w:val="00911DE3"/>
    <w:pPr>
      <w:spacing w:line="240" w:lineRule="auto"/>
    </w:pPr>
    <w:rPr>
      <w:lang w:val="en-GB"/>
    </w:rPr>
    <w:tblPr>
      <w:tblStyleRowBandSize w:val="1"/>
      <w:tblStyleColBandSize w:val="1"/>
      <w:tblBorders>
        <w:top w:val="single" w:sz="2" w:space="0" w:color="F2F4F5" w:themeColor="accent6" w:themeTint="99"/>
        <w:bottom w:val="single" w:sz="2" w:space="0" w:color="F2F4F5" w:themeColor="accent6" w:themeTint="99"/>
        <w:insideH w:val="single" w:sz="2" w:space="0" w:color="F2F4F5" w:themeColor="accent6" w:themeTint="99"/>
        <w:insideV w:val="single" w:sz="2" w:space="0" w:color="F2F4F5" w:themeColor="accent6" w:themeTint="99"/>
      </w:tblBorders>
    </w:tblPr>
    <w:tblStylePr w:type="firstRow">
      <w:rPr>
        <w:b/>
        <w:bCs/>
      </w:rPr>
      <w:tblPr/>
      <w:tcPr>
        <w:tcBorders>
          <w:top w:val="nil"/>
          <w:bottom w:val="single" w:sz="12" w:space="0" w:color="F2F4F5" w:themeColor="accent6" w:themeTint="99"/>
          <w:insideH w:val="nil"/>
          <w:insideV w:val="nil"/>
        </w:tcBorders>
        <w:shd w:val="clear" w:color="auto" w:fill="FFFFFF" w:themeFill="background1"/>
      </w:tcPr>
    </w:tblStylePr>
    <w:tblStylePr w:type="lastRow">
      <w:rPr>
        <w:b/>
        <w:bCs/>
      </w:rPr>
      <w:tblPr/>
      <w:tcPr>
        <w:tcBorders>
          <w:top w:val="double" w:sz="2" w:space="0" w:color="F2F4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3">
    <w:name w:val="Grid Table 3"/>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3-Accent1">
    <w:name w:val="Grid Table 3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3-Accent2">
    <w:name w:val="Grid Table 3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3-Accent3">
    <w:name w:val="Grid Table 3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3-Accent4">
    <w:name w:val="Grid Table 3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3-Accent5">
    <w:name w:val="Grid Table 3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3-Accent6">
    <w:name w:val="Grid Table 3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table" w:styleId="GridTable4">
    <w:name w:val="Grid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insideV w:val="nil"/>
        </w:tcBorders>
        <w:shd w:val="clear" w:color="auto" w:fill="213D46" w:themeFill="text1"/>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4-Accent1">
    <w:name w:val="Grid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insideV w:val="nil"/>
        </w:tcBorders>
        <w:shd w:val="clear" w:color="auto" w:fill="00A2BA" w:themeFill="accent1"/>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4-Accent2">
    <w:name w:val="Grid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insideV w:val="nil"/>
        </w:tcBorders>
        <w:shd w:val="clear" w:color="auto" w:fill="00515D" w:themeFill="accent2"/>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4-Accent3">
    <w:name w:val="Grid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insideV w:val="nil"/>
        </w:tcBorders>
        <w:shd w:val="clear" w:color="auto" w:fill="00788A" w:themeFill="accent3"/>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4-Accent4">
    <w:name w:val="Grid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insideV w:val="nil"/>
        </w:tcBorders>
        <w:shd w:val="clear" w:color="auto" w:fill="CCECF3" w:themeFill="accent4"/>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4-Accent5">
    <w:name w:val="Grid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insideV w:val="nil"/>
        </w:tcBorders>
        <w:shd w:val="clear" w:color="auto" w:fill="E0F5F9" w:themeFill="accent5"/>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4-Accent6">
    <w:name w:val="Grid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insideV w:val="nil"/>
        </w:tcBorders>
        <w:shd w:val="clear" w:color="auto" w:fill="EBEEEF" w:themeFill="accent6"/>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5Dark">
    <w:name w:val="Grid Table 5 Dark"/>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DE4"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3D46"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3D46"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3D46"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3D46" w:themeFill="text1"/>
      </w:tcPr>
    </w:tblStylePr>
    <w:tblStylePr w:type="band1Vert">
      <w:tblPr/>
      <w:tcPr>
        <w:shd w:val="clear" w:color="auto" w:fill="90BCCA" w:themeFill="text1" w:themeFillTint="66"/>
      </w:tcPr>
    </w:tblStylePr>
    <w:tblStylePr w:type="band1Horz">
      <w:tblPr/>
      <w:tcPr>
        <w:shd w:val="clear" w:color="auto" w:fill="90BCCA" w:themeFill="text1" w:themeFillTint="66"/>
      </w:tcPr>
    </w:tblStylePr>
  </w:style>
  <w:style w:type="table" w:styleId="GridTable5Dark-Accent1">
    <w:name w:val="Grid Table 5 Dark Accent 1"/>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2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2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2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2BA" w:themeFill="accent1"/>
      </w:tcPr>
    </w:tblStylePr>
    <w:tblStylePr w:type="band1Vert">
      <w:tblPr/>
      <w:tcPr>
        <w:shd w:val="clear" w:color="auto" w:fill="7DEEFF" w:themeFill="accent1" w:themeFillTint="66"/>
      </w:tcPr>
    </w:tblStylePr>
    <w:tblStylePr w:type="band1Horz">
      <w:tblPr/>
      <w:tcPr>
        <w:shd w:val="clear" w:color="auto" w:fill="7DEEFF" w:themeFill="accent1" w:themeFillTint="66"/>
      </w:tcPr>
    </w:tblStylePr>
  </w:style>
  <w:style w:type="table" w:styleId="GridTable5Dark-Accent2">
    <w:name w:val="Grid Table 5 Dark Accent 2"/>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15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15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15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15D" w:themeFill="accent2"/>
      </w:tcPr>
    </w:tblStylePr>
    <w:tblStylePr w:type="band1Vert">
      <w:tblPr/>
      <w:tcPr>
        <w:shd w:val="clear" w:color="auto" w:fill="58E9FF" w:themeFill="accent2" w:themeFillTint="66"/>
      </w:tcPr>
    </w:tblStylePr>
    <w:tblStylePr w:type="band1Horz">
      <w:tblPr/>
      <w:tcPr>
        <w:shd w:val="clear" w:color="auto" w:fill="58E9FF" w:themeFill="accent2" w:themeFillTint="66"/>
      </w:tcPr>
    </w:tblStylePr>
  </w:style>
  <w:style w:type="table" w:styleId="GridTable5Dark-Accent3">
    <w:name w:val="Grid Table 5 Dark Accent 3"/>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4F5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88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88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88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88A" w:themeFill="accent3"/>
      </w:tcPr>
    </w:tblStylePr>
    <w:tblStylePr w:type="band1Vert">
      <w:tblPr/>
      <w:tcPr>
        <w:shd w:val="clear" w:color="auto" w:fill="6AEBFF" w:themeFill="accent3" w:themeFillTint="66"/>
      </w:tcPr>
    </w:tblStylePr>
    <w:tblStylePr w:type="band1Horz">
      <w:tblPr/>
      <w:tcPr>
        <w:shd w:val="clear" w:color="auto" w:fill="6AEBFF" w:themeFill="accent3" w:themeFillTint="66"/>
      </w:tcPr>
    </w:tblStylePr>
  </w:style>
  <w:style w:type="table" w:styleId="GridTable5Dark-Accent4">
    <w:name w:val="Grid Table 5 Dark Accent 4"/>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BF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ECF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ECF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ECF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ECF3" w:themeFill="accent4"/>
      </w:tcPr>
    </w:tblStylePr>
    <w:tblStylePr w:type="band1Vert">
      <w:tblPr/>
      <w:tcPr>
        <w:shd w:val="clear" w:color="auto" w:fill="EAF7FA" w:themeFill="accent4" w:themeFillTint="66"/>
      </w:tcPr>
    </w:tblStylePr>
    <w:tblStylePr w:type="band1Horz">
      <w:tblPr/>
      <w:tcPr>
        <w:shd w:val="clear" w:color="auto" w:fill="EAF7FA" w:themeFill="accent4" w:themeFillTint="66"/>
      </w:tcPr>
    </w:tblStylePr>
  </w:style>
  <w:style w:type="table" w:styleId="GridTable5Dark-Accent5">
    <w:name w:val="Grid Table 5 Dark Accent 5"/>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CF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0F5F9"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0F5F9"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0F5F9"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0F5F9" w:themeFill="accent5"/>
      </w:tcPr>
    </w:tblStylePr>
    <w:tblStylePr w:type="band1Vert">
      <w:tblPr/>
      <w:tcPr>
        <w:shd w:val="clear" w:color="auto" w:fill="F2FBFC" w:themeFill="accent5" w:themeFillTint="66"/>
      </w:tcPr>
    </w:tblStylePr>
    <w:tblStylePr w:type="band1Horz">
      <w:tblPr/>
      <w:tcPr>
        <w:shd w:val="clear" w:color="auto" w:fill="F2FBFC" w:themeFill="accent5" w:themeFillTint="66"/>
      </w:tcPr>
    </w:tblStylePr>
  </w:style>
  <w:style w:type="table" w:styleId="GridTable5Dark-Accent6">
    <w:name w:val="Grid Table 5 Dark Accent 6"/>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BF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BEEE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BEEE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BEEE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BEEEF" w:themeFill="accent6"/>
      </w:tcPr>
    </w:tblStylePr>
    <w:tblStylePr w:type="band1Vert">
      <w:tblPr/>
      <w:tcPr>
        <w:shd w:val="clear" w:color="auto" w:fill="F6F8F8" w:themeFill="accent6" w:themeFillTint="66"/>
      </w:tcPr>
    </w:tblStylePr>
    <w:tblStylePr w:type="band1Horz">
      <w:tblPr/>
      <w:tcPr>
        <w:shd w:val="clear" w:color="auto" w:fill="F6F8F8" w:themeFill="accent6" w:themeFillTint="66"/>
      </w:tcPr>
    </w:tblStylePr>
  </w:style>
  <w:style w:type="table" w:styleId="GridTable6Colorful">
    <w:name w:val="Grid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bottom w:val="single" w:sz="12" w:space="0" w:color="589BB0" w:themeColor="text1" w:themeTint="99"/>
        </w:tcBorders>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6Colorful-Accent1">
    <w:name w:val="Grid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6Colorful-Accent2">
    <w:name w:val="Grid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6Colorful-Accent3">
    <w:name w:val="Grid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6Colorful-Accent4">
    <w:name w:val="Grid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6Colorful-Accent5">
    <w:name w:val="Grid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6Colorful-Accent6">
    <w:name w:val="Grid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7Colorful">
    <w:name w:val="Grid Table 7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7Colorful-Accent1">
    <w:name w:val="Grid Table 7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7Colorful-Accent2">
    <w:name w:val="Grid Table 7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7Colorful-Accent3">
    <w:name w:val="Grid Table 7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7Colorful-Accent4">
    <w:name w:val="Grid Table 7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7Colorful-Accent5">
    <w:name w:val="Grid Table 7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7Colorful-Accent6">
    <w:name w:val="Grid Table 7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character" w:styleId="Hashtag">
    <w:name w:val="Hashtag"/>
    <w:basedOn w:val="DefaultParagraphFont"/>
    <w:uiPriority w:val="99"/>
    <w:semiHidden/>
    <w:rsid w:val="00911DE3"/>
    <w:rPr>
      <w:color w:val="2B579A"/>
      <w:shd w:val="clear" w:color="auto" w:fill="E1DFDD"/>
      <w:lang w:val="en-GB"/>
    </w:rPr>
  </w:style>
  <w:style w:type="paragraph" w:styleId="Header">
    <w:name w:val="header"/>
    <w:basedOn w:val="Normal"/>
    <w:link w:val="HeaderChar"/>
    <w:rsid w:val="00C26C62"/>
    <w:pPr>
      <w:spacing w:line="200" w:lineRule="atLeast"/>
    </w:pPr>
    <w:rPr>
      <w:sz w:val="16"/>
    </w:rPr>
  </w:style>
  <w:style w:type="character" w:customStyle="1" w:styleId="HeaderChar">
    <w:name w:val="Header Char"/>
    <w:basedOn w:val="DefaultParagraphFont"/>
    <w:link w:val="Header"/>
    <w:rsid w:val="0099674D"/>
    <w:rPr>
      <w:sz w:val="16"/>
      <w:lang w:val="en-GB"/>
    </w:rPr>
  </w:style>
  <w:style w:type="character" w:customStyle="1" w:styleId="Heading1Char">
    <w:name w:val="Heading 1 Char"/>
    <w:basedOn w:val="DefaultParagraphFont"/>
    <w:link w:val="Heading1"/>
    <w:uiPriority w:val="1"/>
    <w:rsid w:val="00514CA5"/>
    <w:rPr>
      <w:rFonts w:asciiTheme="majorHAnsi" w:eastAsiaTheme="majorEastAsia" w:hAnsiTheme="majorHAnsi" w:cs="Arial"/>
      <w:sz w:val="40"/>
      <w:szCs w:val="32"/>
      <w:lang w:val="en-GB"/>
    </w:rPr>
  </w:style>
  <w:style w:type="character" w:customStyle="1" w:styleId="Heading2Char">
    <w:name w:val="Heading 2 Char"/>
    <w:basedOn w:val="DefaultParagraphFont"/>
    <w:link w:val="Heading2"/>
    <w:rsid w:val="00B0017C"/>
    <w:rPr>
      <w:rFonts w:asciiTheme="majorHAnsi" w:eastAsiaTheme="majorEastAsia" w:hAnsiTheme="majorHAnsi" w:cs="Arial"/>
      <w:sz w:val="32"/>
      <w:szCs w:val="26"/>
      <w:lang w:val="en-GB"/>
    </w:rPr>
  </w:style>
  <w:style w:type="character" w:customStyle="1" w:styleId="Heading3Char">
    <w:name w:val="Heading 3 Char"/>
    <w:basedOn w:val="DefaultParagraphFont"/>
    <w:link w:val="Heading3"/>
    <w:uiPriority w:val="1"/>
    <w:rsid w:val="00B0017C"/>
    <w:rPr>
      <w:rFonts w:asciiTheme="majorHAnsi" w:eastAsiaTheme="majorEastAsia" w:hAnsiTheme="majorHAnsi" w:cs="Arial"/>
      <w:lang w:val="en-GB"/>
    </w:rPr>
  </w:style>
  <w:style w:type="character" w:customStyle="1" w:styleId="Heading4Char">
    <w:name w:val="Heading 4 Char"/>
    <w:basedOn w:val="DefaultParagraphFont"/>
    <w:link w:val="Heading4"/>
    <w:rsid w:val="0099674D"/>
    <w:rPr>
      <w:rFonts w:asciiTheme="majorHAnsi" w:eastAsiaTheme="majorEastAsia" w:hAnsiTheme="majorHAnsi" w:cs="Arial"/>
      <w:iCs/>
      <w:lang w:val="en-GB"/>
    </w:rPr>
  </w:style>
  <w:style w:type="character" w:customStyle="1" w:styleId="Heading5Char">
    <w:name w:val="Heading 5 Char"/>
    <w:basedOn w:val="DefaultParagraphFont"/>
    <w:link w:val="Heading5"/>
    <w:uiPriority w:val="1"/>
    <w:semiHidden/>
    <w:rsid w:val="0099674D"/>
    <w:rPr>
      <w:rFonts w:asciiTheme="majorHAnsi" w:eastAsiaTheme="majorEastAsia" w:hAnsiTheme="majorHAnsi" w:cs="Arial"/>
      <w:lang w:val="en-GB"/>
    </w:rPr>
  </w:style>
  <w:style w:type="character" w:customStyle="1" w:styleId="Heading6Char">
    <w:name w:val="Heading 6 Char"/>
    <w:basedOn w:val="DefaultParagraphFont"/>
    <w:link w:val="Heading6"/>
    <w:uiPriority w:val="1"/>
    <w:semiHidden/>
    <w:rsid w:val="0099674D"/>
    <w:rPr>
      <w:rFonts w:asciiTheme="majorHAnsi" w:eastAsiaTheme="majorEastAsia" w:hAnsiTheme="majorHAnsi" w:cs="Arial"/>
      <w:lang w:val="en-GB"/>
    </w:rPr>
  </w:style>
  <w:style w:type="character" w:customStyle="1" w:styleId="Heading7Char">
    <w:name w:val="Heading 7 Char"/>
    <w:basedOn w:val="DefaultParagraphFont"/>
    <w:link w:val="Heading7"/>
    <w:uiPriority w:val="1"/>
    <w:semiHidden/>
    <w:rsid w:val="0099674D"/>
    <w:rPr>
      <w:rFonts w:asciiTheme="majorHAnsi" w:eastAsiaTheme="majorEastAsia" w:hAnsiTheme="majorHAnsi" w:cs="Arial"/>
      <w:iCs/>
      <w:lang w:val="en-GB"/>
    </w:rPr>
  </w:style>
  <w:style w:type="character" w:customStyle="1" w:styleId="Heading8Char">
    <w:name w:val="Heading 8 Char"/>
    <w:basedOn w:val="DefaultParagraphFont"/>
    <w:link w:val="Heading8"/>
    <w:uiPriority w:val="1"/>
    <w:semiHidden/>
    <w:rsid w:val="0099674D"/>
    <w:rPr>
      <w:rFonts w:asciiTheme="majorHAnsi" w:eastAsiaTheme="majorEastAsia" w:hAnsiTheme="majorHAnsi" w:cs="Arial"/>
      <w:szCs w:val="21"/>
      <w:lang w:val="en-GB"/>
    </w:rPr>
  </w:style>
  <w:style w:type="character" w:customStyle="1" w:styleId="Heading9Char">
    <w:name w:val="Heading 9 Char"/>
    <w:basedOn w:val="DefaultParagraphFont"/>
    <w:link w:val="Heading9"/>
    <w:uiPriority w:val="1"/>
    <w:semiHidden/>
    <w:rsid w:val="0099674D"/>
    <w:rPr>
      <w:rFonts w:asciiTheme="majorHAnsi" w:eastAsiaTheme="majorEastAsia" w:hAnsiTheme="majorHAnsi" w:cs="Arial"/>
      <w:iCs/>
      <w:szCs w:val="21"/>
      <w:lang w:val="en-GB"/>
    </w:rPr>
  </w:style>
  <w:style w:type="character" w:styleId="HTMLAcronym">
    <w:name w:val="HTML Acronym"/>
    <w:basedOn w:val="DefaultParagraphFont"/>
    <w:uiPriority w:val="99"/>
    <w:semiHidden/>
    <w:rsid w:val="00911DE3"/>
    <w:rPr>
      <w:lang w:val="en-GB"/>
    </w:rPr>
  </w:style>
  <w:style w:type="paragraph" w:styleId="HTMLAddress">
    <w:name w:val="HTML Address"/>
    <w:basedOn w:val="Normal"/>
    <w:link w:val="HTMLAddressChar"/>
    <w:uiPriority w:val="99"/>
    <w:semiHidden/>
    <w:rsid w:val="00911DE3"/>
    <w:pPr>
      <w:spacing w:line="240" w:lineRule="auto"/>
    </w:pPr>
    <w:rPr>
      <w:i/>
      <w:iCs/>
    </w:rPr>
  </w:style>
  <w:style w:type="character" w:customStyle="1" w:styleId="HTMLAddressChar">
    <w:name w:val="HTML Address Char"/>
    <w:basedOn w:val="DefaultParagraphFont"/>
    <w:link w:val="HTMLAddress"/>
    <w:uiPriority w:val="99"/>
    <w:semiHidden/>
    <w:rsid w:val="00911DE3"/>
    <w:rPr>
      <w:i/>
      <w:iCs/>
      <w:lang w:val="en-GB"/>
    </w:rPr>
  </w:style>
  <w:style w:type="character" w:styleId="HTMLCite">
    <w:name w:val="HTML Cite"/>
    <w:basedOn w:val="DefaultParagraphFont"/>
    <w:uiPriority w:val="99"/>
    <w:semiHidden/>
    <w:rsid w:val="00911DE3"/>
    <w:rPr>
      <w:i/>
      <w:iCs/>
      <w:lang w:val="en-GB"/>
    </w:rPr>
  </w:style>
  <w:style w:type="character" w:styleId="HTMLCode">
    <w:name w:val="HTML Code"/>
    <w:basedOn w:val="DefaultParagraphFont"/>
    <w:uiPriority w:val="99"/>
    <w:semiHidden/>
    <w:rsid w:val="00911DE3"/>
    <w:rPr>
      <w:rFonts w:ascii="Coloplast" w:hAnsi="Coloplast" w:cs="Arial"/>
      <w:sz w:val="20"/>
      <w:szCs w:val="20"/>
      <w:lang w:val="en-GB"/>
    </w:rPr>
  </w:style>
  <w:style w:type="character" w:styleId="HTMLDefinition">
    <w:name w:val="HTML Definition"/>
    <w:basedOn w:val="DefaultParagraphFont"/>
    <w:uiPriority w:val="99"/>
    <w:semiHidden/>
    <w:rsid w:val="00911DE3"/>
    <w:rPr>
      <w:i/>
      <w:iCs/>
      <w:lang w:val="en-GB"/>
    </w:rPr>
  </w:style>
  <w:style w:type="character" w:styleId="HTMLKeyboard">
    <w:name w:val="HTML Keyboard"/>
    <w:basedOn w:val="DefaultParagraphFont"/>
    <w:uiPriority w:val="99"/>
    <w:semiHidden/>
    <w:rsid w:val="00911DE3"/>
    <w:rPr>
      <w:rFonts w:ascii="Coloplast" w:hAnsi="Coloplast" w:cs="Arial"/>
      <w:sz w:val="20"/>
      <w:szCs w:val="20"/>
      <w:lang w:val="en-GB"/>
    </w:rPr>
  </w:style>
  <w:style w:type="paragraph" w:styleId="HTMLPreformatted">
    <w:name w:val="HTML Preformatted"/>
    <w:basedOn w:val="Normal"/>
    <w:link w:val="HTMLPreformattedChar"/>
    <w:uiPriority w:val="99"/>
    <w:semiHidden/>
    <w:rsid w:val="00911DE3"/>
    <w:pPr>
      <w:spacing w:line="240" w:lineRule="auto"/>
    </w:pPr>
    <w:rPr>
      <w:rFonts w:cs="Arial"/>
    </w:rPr>
  </w:style>
  <w:style w:type="character" w:customStyle="1" w:styleId="HTMLPreformattedChar">
    <w:name w:val="HTML Preformatted Char"/>
    <w:basedOn w:val="DefaultParagraphFont"/>
    <w:link w:val="HTMLPreformatted"/>
    <w:uiPriority w:val="99"/>
    <w:semiHidden/>
    <w:rsid w:val="00911DE3"/>
    <w:rPr>
      <w:rFonts w:cs="Arial"/>
      <w:lang w:val="en-GB"/>
    </w:rPr>
  </w:style>
  <w:style w:type="character" w:styleId="HTMLSample">
    <w:name w:val="HTML Sample"/>
    <w:basedOn w:val="DefaultParagraphFont"/>
    <w:uiPriority w:val="99"/>
    <w:semiHidden/>
    <w:rsid w:val="00911DE3"/>
    <w:rPr>
      <w:rFonts w:ascii="Coloplast" w:hAnsi="Coloplast" w:cs="Arial"/>
      <w:sz w:val="24"/>
      <w:szCs w:val="24"/>
      <w:lang w:val="en-GB"/>
    </w:rPr>
  </w:style>
  <w:style w:type="character" w:styleId="HTMLTypewriter">
    <w:name w:val="HTML Typewriter"/>
    <w:basedOn w:val="DefaultParagraphFont"/>
    <w:uiPriority w:val="99"/>
    <w:semiHidden/>
    <w:rsid w:val="00911DE3"/>
    <w:rPr>
      <w:rFonts w:ascii="Coloplast" w:hAnsi="Coloplast" w:cs="Arial"/>
      <w:sz w:val="20"/>
      <w:szCs w:val="20"/>
      <w:lang w:val="en-GB"/>
    </w:rPr>
  </w:style>
  <w:style w:type="character" w:styleId="HTMLVariable">
    <w:name w:val="HTML Variable"/>
    <w:basedOn w:val="DefaultParagraphFont"/>
    <w:uiPriority w:val="99"/>
    <w:semiHidden/>
    <w:rsid w:val="00911DE3"/>
    <w:rPr>
      <w:i/>
      <w:iCs/>
      <w:lang w:val="en-GB"/>
    </w:rPr>
  </w:style>
  <w:style w:type="character" w:styleId="Hyperlink">
    <w:name w:val="Hyperlink"/>
    <w:basedOn w:val="DefaultParagraphFont"/>
    <w:uiPriority w:val="99"/>
    <w:qFormat/>
    <w:rsid w:val="00911DE3"/>
    <w:rPr>
      <w:color w:val="00A2BA" w:themeColor="hyperlink"/>
      <w:u w:val="single"/>
      <w:lang w:val="en-GB"/>
    </w:rPr>
  </w:style>
  <w:style w:type="paragraph" w:styleId="Index1">
    <w:name w:val="index 1"/>
    <w:basedOn w:val="Normal"/>
    <w:next w:val="Normal"/>
    <w:autoRedefine/>
    <w:uiPriority w:val="99"/>
    <w:semiHidden/>
    <w:rsid w:val="00911DE3"/>
    <w:pPr>
      <w:spacing w:line="240" w:lineRule="auto"/>
      <w:ind w:left="200" w:hanging="200"/>
    </w:pPr>
  </w:style>
  <w:style w:type="paragraph" w:styleId="Index2">
    <w:name w:val="index 2"/>
    <w:basedOn w:val="Normal"/>
    <w:next w:val="Normal"/>
    <w:autoRedefine/>
    <w:uiPriority w:val="99"/>
    <w:semiHidden/>
    <w:rsid w:val="00911DE3"/>
    <w:pPr>
      <w:spacing w:line="240" w:lineRule="auto"/>
      <w:ind w:left="400" w:hanging="200"/>
    </w:pPr>
  </w:style>
  <w:style w:type="paragraph" w:styleId="Index3">
    <w:name w:val="index 3"/>
    <w:basedOn w:val="Normal"/>
    <w:next w:val="Normal"/>
    <w:autoRedefine/>
    <w:uiPriority w:val="99"/>
    <w:semiHidden/>
    <w:rsid w:val="00911DE3"/>
    <w:pPr>
      <w:spacing w:line="240" w:lineRule="auto"/>
      <w:ind w:left="600" w:hanging="200"/>
    </w:pPr>
  </w:style>
  <w:style w:type="paragraph" w:styleId="Index4">
    <w:name w:val="index 4"/>
    <w:basedOn w:val="Normal"/>
    <w:next w:val="Normal"/>
    <w:autoRedefine/>
    <w:uiPriority w:val="99"/>
    <w:semiHidden/>
    <w:rsid w:val="00911DE3"/>
    <w:pPr>
      <w:spacing w:line="240" w:lineRule="auto"/>
      <w:ind w:left="800" w:hanging="200"/>
    </w:pPr>
  </w:style>
  <w:style w:type="paragraph" w:styleId="Index5">
    <w:name w:val="index 5"/>
    <w:basedOn w:val="Normal"/>
    <w:next w:val="Normal"/>
    <w:autoRedefine/>
    <w:uiPriority w:val="99"/>
    <w:semiHidden/>
    <w:rsid w:val="00911DE3"/>
    <w:pPr>
      <w:spacing w:line="240" w:lineRule="auto"/>
      <w:ind w:left="1000" w:hanging="200"/>
    </w:pPr>
  </w:style>
  <w:style w:type="paragraph" w:styleId="Index6">
    <w:name w:val="index 6"/>
    <w:basedOn w:val="Normal"/>
    <w:next w:val="Normal"/>
    <w:autoRedefine/>
    <w:uiPriority w:val="99"/>
    <w:semiHidden/>
    <w:rsid w:val="00911DE3"/>
    <w:pPr>
      <w:spacing w:line="240" w:lineRule="auto"/>
      <w:ind w:left="1200" w:hanging="200"/>
    </w:pPr>
  </w:style>
  <w:style w:type="paragraph" w:styleId="Index7">
    <w:name w:val="index 7"/>
    <w:basedOn w:val="Normal"/>
    <w:next w:val="Normal"/>
    <w:autoRedefine/>
    <w:uiPriority w:val="99"/>
    <w:semiHidden/>
    <w:rsid w:val="00911DE3"/>
    <w:pPr>
      <w:spacing w:line="240" w:lineRule="auto"/>
      <w:ind w:left="1400" w:hanging="200"/>
    </w:pPr>
  </w:style>
  <w:style w:type="paragraph" w:styleId="Index8">
    <w:name w:val="index 8"/>
    <w:basedOn w:val="Normal"/>
    <w:next w:val="Normal"/>
    <w:autoRedefine/>
    <w:uiPriority w:val="99"/>
    <w:semiHidden/>
    <w:rsid w:val="00911DE3"/>
    <w:pPr>
      <w:spacing w:line="240" w:lineRule="auto"/>
      <w:ind w:left="1600" w:hanging="200"/>
    </w:pPr>
  </w:style>
  <w:style w:type="paragraph" w:styleId="Index9">
    <w:name w:val="index 9"/>
    <w:basedOn w:val="Normal"/>
    <w:next w:val="Normal"/>
    <w:autoRedefine/>
    <w:uiPriority w:val="99"/>
    <w:semiHidden/>
    <w:rsid w:val="00911DE3"/>
    <w:pPr>
      <w:spacing w:line="240" w:lineRule="auto"/>
      <w:ind w:left="1800" w:hanging="200"/>
    </w:pPr>
  </w:style>
  <w:style w:type="paragraph" w:styleId="IndexHeading">
    <w:name w:val="index heading"/>
    <w:basedOn w:val="Normal"/>
    <w:next w:val="Index1"/>
    <w:uiPriority w:val="99"/>
    <w:semiHidden/>
    <w:rsid w:val="00911DE3"/>
    <w:rPr>
      <w:rFonts w:eastAsiaTheme="majorEastAsia" w:cs="Arial"/>
      <w:b/>
      <w:bCs/>
    </w:rPr>
  </w:style>
  <w:style w:type="character" w:styleId="IntenseEmphasis">
    <w:name w:val="Intense Emphasis"/>
    <w:basedOn w:val="DefaultParagraphFont"/>
    <w:uiPriority w:val="99"/>
    <w:semiHidden/>
    <w:qFormat/>
    <w:rsid w:val="00911DE3"/>
    <w:rPr>
      <w:i/>
      <w:iCs/>
      <w:color w:val="00A2BA" w:themeColor="accent1"/>
      <w:lang w:val="en-GB"/>
    </w:rPr>
  </w:style>
  <w:style w:type="paragraph" w:styleId="IntenseQuote">
    <w:name w:val="Intense Quote"/>
    <w:basedOn w:val="Normal"/>
    <w:next w:val="Normal"/>
    <w:link w:val="IntenseQuoteChar"/>
    <w:uiPriority w:val="99"/>
    <w:semiHidden/>
    <w:qFormat/>
    <w:rsid w:val="00911DE3"/>
    <w:pPr>
      <w:pBdr>
        <w:top w:val="single" w:sz="4" w:space="10" w:color="00A2BA" w:themeColor="accent1"/>
        <w:bottom w:val="single" w:sz="4" w:space="10" w:color="00A2BA" w:themeColor="accent1"/>
      </w:pBdr>
      <w:spacing w:before="360" w:after="360"/>
      <w:ind w:left="864" w:right="864"/>
      <w:jc w:val="center"/>
    </w:pPr>
    <w:rPr>
      <w:i/>
      <w:iCs/>
      <w:color w:val="00A2BA" w:themeColor="accent1"/>
    </w:rPr>
  </w:style>
  <w:style w:type="character" w:customStyle="1" w:styleId="IntenseQuoteChar">
    <w:name w:val="Intense Quote Char"/>
    <w:basedOn w:val="DefaultParagraphFont"/>
    <w:link w:val="IntenseQuote"/>
    <w:uiPriority w:val="99"/>
    <w:semiHidden/>
    <w:rsid w:val="00A44986"/>
    <w:rPr>
      <w:i/>
      <w:iCs/>
      <w:color w:val="00A2BA" w:themeColor="accent1"/>
      <w:lang w:val="en-GB"/>
    </w:rPr>
  </w:style>
  <w:style w:type="character" w:styleId="IntenseReference">
    <w:name w:val="Intense Reference"/>
    <w:basedOn w:val="DefaultParagraphFont"/>
    <w:uiPriority w:val="99"/>
    <w:semiHidden/>
    <w:qFormat/>
    <w:rsid w:val="00911DE3"/>
    <w:rPr>
      <w:b/>
      <w:bCs/>
      <w:smallCaps/>
      <w:color w:val="00A2BA" w:themeColor="accent1"/>
      <w:spacing w:val="5"/>
      <w:lang w:val="en-GB"/>
    </w:rPr>
  </w:style>
  <w:style w:type="table" w:styleId="LightGrid">
    <w:name w:val="Light Grid"/>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18" w:space="0" w:color="213D46" w:themeColor="text1"/>
          <w:right w:val="single" w:sz="8" w:space="0" w:color="213D46" w:themeColor="text1"/>
          <w:insideH w:val="nil"/>
          <w:insideV w:val="single" w:sz="8" w:space="0" w:color="213D46"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insideH w:val="nil"/>
          <w:insideV w:val="single" w:sz="8" w:space="0" w:color="213D46"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shd w:val="clear" w:color="auto" w:fill="BAD5DE" w:themeFill="text1" w:themeFillTint="3F"/>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shd w:val="clear" w:color="auto" w:fill="BAD5DE" w:themeFill="text1" w:themeFillTint="3F"/>
      </w:tcPr>
    </w:tblStylePr>
    <w:tblStylePr w:type="band2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tcPr>
    </w:tblStylePr>
  </w:style>
  <w:style w:type="table" w:styleId="LightGrid-Accent1">
    <w:name w:val="Light Grid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18" w:space="0" w:color="00A2BA" w:themeColor="accent1"/>
          <w:right w:val="single" w:sz="8" w:space="0" w:color="00A2BA" w:themeColor="accent1"/>
          <w:insideH w:val="nil"/>
          <w:insideV w:val="single" w:sz="8" w:space="0" w:color="00A2B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insideH w:val="nil"/>
          <w:insideV w:val="single" w:sz="8" w:space="0" w:color="00A2B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shd w:val="clear" w:color="auto" w:fill="AEF4FF" w:themeFill="accent1" w:themeFillTint="3F"/>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shd w:val="clear" w:color="auto" w:fill="AEF4FF" w:themeFill="accent1" w:themeFillTint="3F"/>
      </w:tcPr>
    </w:tblStylePr>
    <w:tblStylePr w:type="band2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tcPr>
    </w:tblStylePr>
  </w:style>
  <w:style w:type="table" w:styleId="LightGrid-Accent2">
    <w:name w:val="Light Grid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18" w:space="0" w:color="00515D" w:themeColor="accent2"/>
          <w:right w:val="single" w:sz="8" w:space="0" w:color="00515D" w:themeColor="accent2"/>
          <w:insideH w:val="nil"/>
          <w:insideV w:val="single" w:sz="8" w:space="0" w:color="00515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insideH w:val="nil"/>
          <w:insideV w:val="single" w:sz="8" w:space="0" w:color="00515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shd w:val="clear" w:color="auto" w:fill="97F1FF" w:themeFill="accent2" w:themeFillTint="3F"/>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shd w:val="clear" w:color="auto" w:fill="97F1FF" w:themeFill="accent2" w:themeFillTint="3F"/>
      </w:tcPr>
    </w:tblStylePr>
    <w:tblStylePr w:type="band2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tcPr>
    </w:tblStylePr>
  </w:style>
  <w:style w:type="table" w:styleId="LightGrid-Accent3">
    <w:name w:val="Light Grid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18" w:space="0" w:color="00788A" w:themeColor="accent3"/>
          <w:right w:val="single" w:sz="8" w:space="0" w:color="00788A" w:themeColor="accent3"/>
          <w:insideH w:val="nil"/>
          <w:insideV w:val="single" w:sz="8" w:space="0" w:color="00788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insideH w:val="nil"/>
          <w:insideV w:val="single" w:sz="8" w:space="0" w:color="00788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shd w:val="clear" w:color="auto" w:fill="A3F2FF" w:themeFill="accent3" w:themeFillTint="3F"/>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shd w:val="clear" w:color="auto" w:fill="A3F2FF" w:themeFill="accent3" w:themeFillTint="3F"/>
      </w:tcPr>
    </w:tblStylePr>
    <w:tblStylePr w:type="band2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tcPr>
    </w:tblStylePr>
  </w:style>
  <w:style w:type="table" w:styleId="LightGrid-Accent4">
    <w:name w:val="Light Grid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18" w:space="0" w:color="CCECF3" w:themeColor="accent4"/>
          <w:right w:val="single" w:sz="8" w:space="0" w:color="CCECF3" w:themeColor="accent4"/>
          <w:insideH w:val="nil"/>
          <w:insideV w:val="single" w:sz="8" w:space="0" w:color="CCECF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insideH w:val="nil"/>
          <w:insideV w:val="single" w:sz="8" w:space="0" w:color="CCECF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shd w:val="clear" w:color="auto" w:fill="F2FAFC" w:themeFill="accent4" w:themeFillTint="3F"/>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shd w:val="clear" w:color="auto" w:fill="F2FAFC" w:themeFill="accent4" w:themeFillTint="3F"/>
      </w:tcPr>
    </w:tblStylePr>
    <w:tblStylePr w:type="band2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tcPr>
    </w:tblStylePr>
  </w:style>
  <w:style w:type="table" w:styleId="LightGrid-Accent5">
    <w:name w:val="Light Grid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18" w:space="0" w:color="E0F5F9" w:themeColor="accent5"/>
          <w:right w:val="single" w:sz="8" w:space="0" w:color="E0F5F9" w:themeColor="accent5"/>
          <w:insideH w:val="nil"/>
          <w:insideV w:val="single" w:sz="8" w:space="0" w:color="E0F5F9"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insideH w:val="nil"/>
          <w:insideV w:val="single" w:sz="8" w:space="0" w:color="E0F5F9"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shd w:val="clear" w:color="auto" w:fill="F7FCFD" w:themeFill="accent5" w:themeFillTint="3F"/>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shd w:val="clear" w:color="auto" w:fill="F7FCFD" w:themeFill="accent5" w:themeFillTint="3F"/>
      </w:tcPr>
    </w:tblStylePr>
    <w:tblStylePr w:type="band2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tcPr>
    </w:tblStylePr>
  </w:style>
  <w:style w:type="table" w:styleId="LightGrid-Accent6">
    <w:name w:val="Light Grid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18" w:space="0" w:color="EBEEEF" w:themeColor="accent6"/>
          <w:right w:val="single" w:sz="8" w:space="0" w:color="EBEEEF" w:themeColor="accent6"/>
          <w:insideH w:val="nil"/>
          <w:insideV w:val="single" w:sz="8" w:space="0" w:color="EBEEE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insideH w:val="nil"/>
          <w:insideV w:val="single" w:sz="8" w:space="0" w:color="EBEEE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shd w:val="clear" w:color="auto" w:fill="FAFAFB" w:themeFill="accent6" w:themeFillTint="3F"/>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shd w:val="clear" w:color="auto" w:fill="FAFAFB" w:themeFill="accent6" w:themeFillTint="3F"/>
      </w:tcPr>
    </w:tblStylePr>
    <w:tblStylePr w:type="band2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tcPr>
    </w:tblStylePr>
  </w:style>
  <w:style w:type="table" w:styleId="LightList">
    <w:name w:val="Light List"/>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pPr>
        <w:spacing w:before="0" w:after="0" w:line="240" w:lineRule="auto"/>
      </w:pPr>
      <w:rPr>
        <w:b/>
        <w:bCs/>
        <w:color w:val="FFFFFF" w:themeColor="background1"/>
      </w:rPr>
      <w:tblPr/>
      <w:tcPr>
        <w:shd w:val="clear" w:color="auto" w:fill="213D46" w:themeFill="text1"/>
      </w:tcPr>
    </w:tblStylePr>
    <w:tblStylePr w:type="lastRow">
      <w:pPr>
        <w:spacing w:before="0" w:after="0" w:line="240" w:lineRule="auto"/>
      </w:pPr>
      <w:rPr>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tcBorders>
      </w:tcPr>
    </w:tblStylePr>
    <w:tblStylePr w:type="firstCol">
      <w:rPr>
        <w:b/>
        <w:bCs/>
      </w:rPr>
    </w:tblStylePr>
    <w:tblStylePr w:type="lastCol">
      <w:rPr>
        <w:b/>
        <w:bCs/>
      </w:r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style>
  <w:style w:type="table" w:styleId="LightList-Accent1">
    <w:name w:val="Light List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pPr>
        <w:spacing w:before="0" w:after="0" w:line="240" w:lineRule="auto"/>
      </w:pPr>
      <w:rPr>
        <w:b/>
        <w:bCs/>
        <w:color w:val="FFFFFF" w:themeColor="background1"/>
      </w:rPr>
      <w:tblPr/>
      <w:tcPr>
        <w:shd w:val="clear" w:color="auto" w:fill="00A2BA" w:themeFill="accent1"/>
      </w:tcPr>
    </w:tblStylePr>
    <w:tblStylePr w:type="lastRow">
      <w:pPr>
        <w:spacing w:before="0" w:after="0" w:line="240" w:lineRule="auto"/>
      </w:pPr>
      <w:rPr>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tcBorders>
      </w:tcPr>
    </w:tblStylePr>
    <w:tblStylePr w:type="firstCol">
      <w:rPr>
        <w:b/>
        <w:bCs/>
      </w:rPr>
    </w:tblStylePr>
    <w:tblStylePr w:type="lastCol">
      <w:rPr>
        <w:b/>
        <w:bCs/>
      </w:r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style>
  <w:style w:type="table" w:styleId="LightList-Accent2">
    <w:name w:val="Light List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pPr>
        <w:spacing w:before="0" w:after="0" w:line="240" w:lineRule="auto"/>
      </w:pPr>
      <w:rPr>
        <w:b/>
        <w:bCs/>
        <w:color w:val="FFFFFF" w:themeColor="background1"/>
      </w:rPr>
      <w:tblPr/>
      <w:tcPr>
        <w:shd w:val="clear" w:color="auto" w:fill="00515D" w:themeFill="accent2"/>
      </w:tcPr>
    </w:tblStylePr>
    <w:tblStylePr w:type="lastRow">
      <w:pPr>
        <w:spacing w:before="0" w:after="0" w:line="240" w:lineRule="auto"/>
      </w:pPr>
      <w:rPr>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tcBorders>
      </w:tcPr>
    </w:tblStylePr>
    <w:tblStylePr w:type="firstCol">
      <w:rPr>
        <w:b/>
        <w:bCs/>
      </w:rPr>
    </w:tblStylePr>
    <w:tblStylePr w:type="lastCol">
      <w:rPr>
        <w:b/>
        <w:bCs/>
      </w:r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style>
  <w:style w:type="table" w:styleId="LightList-Accent3">
    <w:name w:val="Light List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pPr>
        <w:spacing w:before="0" w:after="0" w:line="240" w:lineRule="auto"/>
      </w:pPr>
      <w:rPr>
        <w:b/>
        <w:bCs/>
        <w:color w:val="FFFFFF" w:themeColor="background1"/>
      </w:rPr>
      <w:tblPr/>
      <w:tcPr>
        <w:shd w:val="clear" w:color="auto" w:fill="00788A" w:themeFill="accent3"/>
      </w:tcPr>
    </w:tblStylePr>
    <w:tblStylePr w:type="lastRow">
      <w:pPr>
        <w:spacing w:before="0" w:after="0" w:line="240" w:lineRule="auto"/>
      </w:pPr>
      <w:rPr>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tcBorders>
      </w:tcPr>
    </w:tblStylePr>
    <w:tblStylePr w:type="firstCol">
      <w:rPr>
        <w:b/>
        <w:bCs/>
      </w:rPr>
    </w:tblStylePr>
    <w:tblStylePr w:type="lastCol">
      <w:rPr>
        <w:b/>
        <w:bCs/>
      </w:r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style>
  <w:style w:type="table" w:styleId="LightList-Accent4">
    <w:name w:val="Light List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pPr>
        <w:spacing w:before="0" w:after="0" w:line="240" w:lineRule="auto"/>
      </w:pPr>
      <w:rPr>
        <w:b/>
        <w:bCs/>
        <w:color w:val="FFFFFF" w:themeColor="background1"/>
      </w:rPr>
      <w:tblPr/>
      <w:tcPr>
        <w:shd w:val="clear" w:color="auto" w:fill="CCECF3" w:themeFill="accent4"/>
      </w:tcPr>
    </w:tblStylePr>
    <w:tblStylePr w:type="lastRow">
      <w:pPr>
        <w:spacing w:before="0" w:after="0" w:line="240" w:lineRule="auto"/>
      </w:pPr>
      <w:rPr>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tcBorders>
      </w:tcPr>
    </w:tblStylePr>
    <w:tblStylePr w:type="firstCol">
      <w:rPr>
        <w:b/>
        <w:bCs/>
      </w:rPr>
    </w:tblStylePr>
    <w:tblStylePr w:type="lastCol">
      <w:rPr>
        <w:b/>
        <w:bCs/>
      </w:r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style>
  <w:style w:type="table" w:styleId="LightList-Accent5">
    <w:name w:val="Light List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pPr>
        <w:spacing w:before="0" w:after="0" w:line="240" w:lineRule="auto"/>
      </w:pPr>
      <w:rPr>
        <w:b/>
        <w:bCs/>
        <w:color w:val="FFFFFF" w:themeColor="background1"/>
      </w:rPr>
      <w:tblPr/>
      <w:tcPr>
        <w:shd w:val="clear" w:color="auto" w:fill="E0F5F9" w:themeFill="accent5"/>
      </w:tcPr>
    </w:tblStylePr>
    <w:tblStylePr w:type="lastRow">
      <w:pPr>
        <w:spacing w:before="0" w:after="0" w:line="240" w:lineRule="auto"/>
      </w:pPr>
      <w:rPr>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tcBorders>
      </w:tcPr>
    </w:tblStylePr>
    <w:tblStylePr w:type="firstCol">
      <w:rPr>
        <w:b/>
        <w:bCs/>
      </w:rPr>
    </w:tblStylePr>
    <w:tblStylePr w:type="lastCol">
      <w:rPr>
        <w:b/>
        <w:bCs/>
      </w:r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style>
  <w:style w:type="table" w:styleId="LightList-Accent6">
    <w:name w:val="Light List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pPr>
        <w:spacing w:before="0" w:after="0" w:line="240" w:lineRule="auto"/>
      </w:pPr>
      <w:rPr>
        <w:b/>
        <w:bCs/>
        <w:color w:val="FFFFFF" w:themeColor="background1"/>
      </w:rPr>
      <w:tblPr/>
      <w:tcPr>
        <w:shd w:val="clear" w:color="auto" w:fill="EBEEEF" w:themeFill="accent6"/>
      </w:tcPr>
    </w:tblStylePr>
    <w:tblStylePr w:type="lastRow">
      <w:pPr>
        <w:spacing w:before="0" w:after="0" w:line="240" w:lineRule="auto"/>
      </w:pPr>
      <w:rPr>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tcBorders>
      </w:tcPr>
    </w:tblStylePr>
    <w:tblStylePr w:type="firstCol">
      <w:rPr>
        <w:b/>
        <w:bCs/>
      </w:rPr>
    </w:tblStylePr>
    <w:tblStylePr w:type="lastCol">
      <w:rPr>
        <w:b/>
        <w:bCs/>
      </w:r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style>
  <w:style w:type="table" w:styleId="LightShading">
    <w:name w:val="Light Shading"/>
    <w:basedOn w:val="TableNormal"/>
    <w:uiPriority w:val="99"/>
    <w:semiHidden/>
    <w:unhideWhenUsed/>
    <w:rsid w:val="00911DE3"/>
    <w:pPr>
      <w:spacing w:line="240" w:lineRule="auto"/>
    </w:pPr>
    <w:rPr>
      <w:color w:val="182D34" w:themeColor="text1" w:themeShade="BF"/>
      <w:lang w:val="en-GB"/>
    </w:rPr>
    <w:tblPr>
      <w:tblStyleRowBandSize w:val="1"/>
      <w:tblStyleColBandSize w:val="1"/>
      <w:tblBorders>
        <w:top w:val="single" w:sz="8" w:space="0" w:color="213D46" w:themeColor="text1"/>
        <w:bottom w:val="single" w:sz="8" w:space="0" w:color="213D46" w:themeColor="text1"/>
      </w:tblBorders>
    </w:tblPr>
    <w:tblStylePr w:type="fir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la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left w:val="nil"/>
          <w:right w:val="nil"/>
          <w:insideH w:val="nil"/>
          <w:insideV w:val="nil"/>
        </w:tcBorders>
        <w:shd w:val="clear" w:color="auto" w:fill="BAD5DE" w:themeFill="text1" w:themeFillTint="3F"/>
      </w:tcPr>
    </w:tblStylePr>
  </w:style>
  <w:style w:type="table" w:styleId="LightShading-Accent1">
    <w:name w:val="Light Shading Accent 1"/>
    <w:basedOn w:val="TableNormal"/>
    <w:uiPriority w:val="99"/>
    <w:semiHidden/>
    <w:unhideWhenUsed/>
    <w:rsid w:val="00911DE3"/>
    <w:pPr>
      <w:spacing w:line="240" w:lineRule="auto"/>
    </w:pPr>
    <w:rPr>
      <w:color w:val="00798B" w:themeColor="accent1" w:themeShade="BF"/>
      <w:lang w:val="en-GB"/>
    </w:rPr>
    <w:tblPr>
      <w:tblStyleRowBandSize w:val="1"/>
      <w:tblStyleColBandSize w:val="1"/>
      <w:tblBorders>
        <w:top w:val="single" w:sz="8" w:space="0" w:color="00A2BA" w:themeColor="accent1"/>
        <w:bottom w:val="single" w:sz="8" w:space="0" w:color="00A2BA" w:themeColor="accent1"/>
      </w:tblBorders>
    </w:tblPr>
    <w:tblStylePr w:type="fir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la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left w:val="nil"/>
          <w:right w:val="nil"/>
          <w:insideH w:val="nil"/>
          <w:insideV w:val="nil"/>
        </w:tcBorders>
        <w:shd w:val="clear" w:color="auto" w:fill="AEF4FF" w:themeFill="accent1" w:themeFillTint="3F"/>
      </w:tcPr>
    </w:tblStylePr>
  </w:style>
  <w:style w:type="table" w:styleId="LightShading-Accent2">
    <w:name w:val="Light Shading Accent 2"/>
    <w:basedOn w:val="TableNormal"/>
    <w:uiPriority w:val="99"/>
    <w:semiHidden/>
    <w:unhideWhenUsed/>
    <w:rsid w:val="00911DE3"/>
    <w:pPr>
      <w:spacing w:line="240" w:lineRule="auto"/>
    </w:pPr>
    <w:rPr>
      <w:color w:val="003C45" w:themeColor="accent2" w:themeShade="BF"/>
      <w:lang w:val="en-GB"/>
    </w:rPr>
    <w:tblPr>
      <w:tblStyleRowBandSize w:val="1"/>
      <w:tblStyleColBandSize w:val="1"/>
      <w:tblBorders>
        <w:top w:val="single" w:sz="8" w:space="0" w:color="00515D" w:themeColor="accent2"/>
        <w:bottom w:val="single" w:sz="8" w:space="0" w:color="00515D" w:themeColor="accent2"/>
      </w:tblBorders>
    </w:tblPr>
    <w:tblStylePr w:type="fir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la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left w:val="nil"/>
          <w:right w:val="nil"/>
          <w:insideH w:val="nil"/>
          <w:insideV w:val="nil"/>
        </w:tcBorders>
        <w:shd w:val="clear" w:color="auto" w:fill="97F1FF" w:themeFill="accent2" w:themeFillTint="3F"/>
      </w:tcPr>
    </w:tblStylePr>
  </w:style>
  <w:style w:type="table" w:styleId="LightShading-Accent3">
    <w:name w:val="Light Shading Accent 3"/>
    <w:basedOn w:val="TableNormal"/>
    <w:uiPriority w:val="99"/>
    <w:semiHidden/>
    <w:unhideWhenUsed/>
    <w:rsid w:val="00911DE3"/>
    <w:pPr>
      <w:spacing w:line="240" w:lineRule="auto"/>
    </w:pPr>
    <w:rPr>
      <w:color w:val="005967" w:themeColor="accent3" w:themeShade="BF"/>
      <w:lang w:val="en-GB"/>
    </w:rPr>
    <w:tblPr>
      <w:tblStyleRowBandSize w:val="1"/>
      <w:tblStyleColBandSize w:val="1"/>
      <w:tblBorders>
        <w:top w:val="single" w:sz="8" w:space="0" w:color="00788A" w:themeColor="accent3"/>
        <w:bottom w:val="single" w:sz="8" w:space="0" w:color="00788A" w:themeColor="accent3"/>
      </w:tblBorders>
    </w:tblPr>
    <w:tblStylePr w:type="fir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la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left w:val="nil"/>
          <w:right w:val="nil"/>
          <w:insideH w:val="nil"/>
          <w:insideV w:val="nil"/>
        </w:tcBorders>
        <w:shd w:val="clear" w:color="auto" w:fill="A3F2FF" w:themeFill="accent3" w:themeFillTint="3F"/>
      </w:tcPr>
    </w:tblStylePr>
  </w:style>
  <w:style w:type="table" w:styleId="LightShading-Accent4">
    <w:name w:val="Light Shading Accent 4"/>
    <w:basedOn w:val="TableNormal"/>
    <w:uiPriority w:val="99"/>
    <w:semiHidden/>
    <w:unhideWhenUsed/>
    <w:rsid w:val="00911DE3"/>
    <w:pPr>
      <w:spacing w:line="240" w:lineRule="auto"/>
    </w:pPr>
    <w:rPr>
      <w:color w:val="71CADD" w:themeColor="accent4" w:themeShade="BF"/>
      <w:lang w:val="en-GB"/>
    </w:rPr>
    <w:tblPr>
      <w:tblStyleRowBandSize w:val="1"/>
      <w:tblStyleColBandSize w:val="1"/>
      <w:tblBorders>
        <w:top w:val="single" w:sz="8" w:space="0" w:color="CCECF3" w:themeColor="accent4"/>
        <w:bottom w:val="single" w:sz="8" w:space="0" w:color="CCECF3" w:themeColor="accent4"/>
      </w:tblBorders>
    </w:tblPr>
    <w:tblStylePr w:type="fir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la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left w:val="nil"/>
          <w:right w:val="nil"/>
          <w:insideH w:val="nil"/>
          <w:insideV w:val="nil"/>
        </w:tcBorders>
        <w:shd w:val="clear" w:color="auto" w:fill="F2FAFC" w:themeFill="accent4" w:themeFillTint="3F"/>
      </w:tcPr>
    </w:tblStylePr>
  </w:style>
  <w:style w:type="table" w:styleId="LightShading-Accent5">
    <w:name w:val="Light Shading Accent 5"/>
    <w:basedOn w:val="TableNormal"/>
    <w:uiPriority w:val="99"/>
    <w:semiHidden/>
    <w:unhideWhenUsed/>
    <w:rsid w:val="00911DE3"/>
    <w:pPr>
      <w:spacing w:line="240" w:lineRule="auto"/>
    </w:pPr>
    <w:rPr>
      <w:color w:val="7CD4E5" w:themeColor="accent5" w:themeShade="BF"/>
      <w:lang w:val="en-GB"/>
    </w:rPr>
    <w:tblPr>
      <w:tblStyleRowBandSize w:val="1"/>
      <w:tblStyleColBandSize w:val="1"/>
      <w:tblBorders>
        <w:top w:val="single" w:sz="8" w:space="0" w:color="E0F5F9" w:themeColor="accent5"/>
        <w:bottom w:val="single" w:sz="8" w:space="0" w:color="E0F5F9" w:themeColor="accent5"/>
      </w:tblBorders>
    </w:tblPr>
    <w:tblStylePr w:type="fir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la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left w:val="nil"/>
          <w:right w:val="nil"/>
          <w:insideH w:val="nil"/>
          <w:insideV w:val="nil"/>
        </w:tcBorders>
        <w:shd w:val="clear" w:color="auto" w:fill="F7FCFD" w:themeFill="accent5" w:themeFillTint="3F"/>
      </w:tcPr>
    </w:tblStylePr>
  </w:style>
  <w:style w:type="table" w:styleId="LightShading-Accent6">
    <w:name w:val="Light Shading Accent 6"/>
    <w:basedOn w:val="TableNormal"/>
    <w:uiPriority w:val="99"/>
    <w:semiHidden/>
    <w:unhideWhenUsed/>
    <w:rsid w:val="00911DE3"/>
    <w:pPr>
      <w:spacing w:line="240" w:lineRule="auto"/>
    </w:pPr>
    <w:rPr>
      <w:color w:val="A8B5BA" w:themeColor="accent6" w:themeShade="BF"/>
      <w:lang w:val="en-GB"/>
    </w:rPr>
    <w:tblPr>
      <w:tblStyleRowBandSize w:val="1"/>
      <w:tblStyleColBandSize w:val="1"/>
      <w:tblBorders>
        <w:top w:val="single" w:sz="8" w:space="0" w:color="EBEEEF" w:themeColor="accent6"/>
        <w:bottom w:val="single" w:sz="8" w:space="0" w:color="EBEEEF" w:themeColor="accent6"/>
      </w:tblBorders>
    </w:tblPr>
    <w:tblStylePr w:type="fir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la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left w:val="nil"/>
          <w:right w:val="nil"/>
          <w:insideH w:val="nil"/>
          <w:insideV w:val="nil"/>
        </w:tcBorders>
        <w:shd w:val="clear" w:color="auto" w:fill="FAFAFB" w:themeFill="accent6" w:themeFillTint="3F"/>
      </w:tcPr>
    </w:tblStylePr>
  </w:style>
  <w:style w:type="character" w:styleId="LineNumber">
    <w:name w:val="line number"/>
    <w:basedOn w:val="DefaultParagraphFont"/>
    <w:uiPriority w:val="99"/>
    <w:semiHidden/>
    <w:rsid w:val="00911DE3"/>
    <w:rPr>
      <w:lang w:val="en-GB"/>
    </w:rPr>
  </w:style>
  <w:style w:type="paragraph" w:styleId="List">
    <w:name w:val="List"/>
    <w:basedOn w:val="Normal"/>
    <w:uiPriority w:val="99"/>
    <w:semiHidden/>
    <w:rsid w:val="00911DE3"/>
    <w:pPr>
      <w:ind w:left="283" w:hanging="283"/>
      <w:contextualSpacing/>
    </w:pPr>
  </w:style>
  <w:style w:type="paragraph" w:styleId="List2">
    <w:name w:val="List 2"/>
    <w:basedOn w:val="Normal"/>
    <w:uiPriority w:val="99"/>
    <w:semiHidden/>
    <w:rsid w:val="00911DE3"/>
    <w:pPr>
      <w:ind w:left="566" w:hanging="283"/>
      <w:contextualSpacing/>
    </w:pPr>
  </w:style>
  <w:style w:type="paragraph" w:styleId="List3">
    <w:name w:val="List 3"/>
    <w:basedOn w:val="Normal"/>
    <w:uiPriority w:val="99"/>
    <w:semiHidden/>
    <w:rsid w:val="00911DE3"/>
    <w:pPr>
      <w:ind w:left="849" w:hanging="283"/>
      <w:contextualSpacing/>
    </w:pPr>
  </w:style>
  <w:style w:type="paragraph" w:styleId="List4">
    <w:name w:val="List 4"/>
    <w:basedOn w:val="Normal"/>
    <w:uiPriority w:val="99"/>
    <w:semiHidden/>
    <w:rsid w:val="00911DE3"/>
    <w:pPr>
      <w:ind w:left="1132" w:hanging="283"/>
      <w:contextualSpacing/>
    </w:pPr>
  </w:style>
  <w:style w:type="paragraph" w:styleId="List5">
    <w:name w:val="List 5"/>
    <w:basedOn w:val="Normal"/>
    <w:uiPriority w:val="99"/>
    <w:semiHidden/>
    <w:rsid w:val="00911DE3"/>
    <w:pPr>
      <w:ind w:left="1415" w:hanging="283"/>
      <w:contextualSpacing/>
    </w:pPr>
  </w:style>
  <w:style w:type="paragraph" w:styleId="ListBullet">
    <w:name w:val="List Bullet"/>
    <w:basedOn w:val="Normal"/>
    <w:uiPriority w:val="2"/>
    <w:qFormat/>
    <w:rsid w:val="00B8463C"/>
    <w:pPr>
      <w:numPr>
        <w:numId w:val="29"/>
      </w:numPr>
      <w:contextualSpacing/>
    </w:pPr>
  </w:style>
  <w:style w:type="paragraph" w:styleId="ListBullet2">
    <w:name w:val="List Bullet 2"/>
    <w:basedOn w:val="Normal"/>
    <w:uiPriority w:val="2"/>
    <w:semiHidden/>
    <w:rsid w:val="00B8463C"/>
    <w:pPr>
      <w:numPr>
        <w:ilvl w:val="1"/>
        <w:numId w:val="29"/>
      </w:numPr>
      <w:contextualSpacing/>
    </w:pPr>
  </w:style>
  <w:style w:type="paragraph" w:styleId="ListBullet3">
    <w:name w:val="List Bullet 3"/>
    <w:basedOn w:val="Normal"/>
    <w:uiPriority w:val="2"/>
    <w:semiHidden/>
    <w:rsid w:val="00B8463C"/>
    <w:pPr>
      <w:numPr>
        <w:ilvl w:val="2"/>
        <w:numId w:val="29"/>
      </w:numPr>
      <w:contextualSpacing/>
    </w:pPr>
  </w:style>
  <w:style w:type="paragraph" w:styleId="ListBullet4">
    <w:name w:val="List Bullet 4"/>
    <w:basedOn w:val="Normal"/>
    <w:uiPriority w:val="2"/>
    <w:semiHidden/>
    <w:rsid w:val="00B8463C"/>
    <w:pPr>
      <w:numPr>
        <w:ilvl w:val="3"/>
        <w:numId w:val="29"/>
      </w:numPr>
      <w:contextualSpacing/>
    </w:pPr>
  </w:style>
  <w:style w:type="paragraph" w:styleId="ListBullet5">
    <w:name w:val="List Bullet 5"/>
    <w:basedOn w:val="Normal"/>
    <w:uiPriority w:val="2"/>
    <w:semiHidden/>
    <w:rsid w:val="00911DE3"/>
    <w:pPr>
      <w:numPr>
        <w:numId w:val="4"/>
      </w:numPr>
      <w:contextualSpacing/>
    </w:pPr>
  </w:style>
  <w:style w:type="paragraph" w:styleId="ListContinue">
    <w:name w:val="List Continue"/>
    <w:basedOn w:val="Normal"/>
    <w:uiPriority w:val="99"/>
    <w:semiHidden/>
    <w:rsid w:val="00911DE3"/>
    <w:pPr>
      <w:spacing w:after="120"/>
      <w:ind w:left="283"/>
      <w:contextualSpacing/>
    </w:pPr>
  </w:style>
  <w:style w:type="paragraph" w:styleId="ListContinue2">
    <w:name w:val="List Continue 2"/>
    <w:basedOn w:val="Normal"/>
    <w:uiPriority w:val="99"/>
    <w:semiHidden/>
    <w:rsid w:val="00911DE3"/>
    <w:pPr>
      <w:spacing w:after="120"/>
      <w:ind w:left="566"/>
      <w:contextualSpacing/>
    </w:pPr>
  </w:style>
  <w:style w:type="paragraph" w:styleId="ListContinue3">
    <w:name w:val="List Continue 3"/>
    <w:basedOn w:val="Normal"/>
    <w:uiPriority w:val="99"/>
    <w:semiHidden/>
    <w:rsid w:val="00911DE3"/>
    <w:pPr>
      <w:spacing w:after="120"/>
      <w:ind w:left="849"/>
      <w:contextualSpacing/>
    </w:pPr>
  </w:style>
  <w:style w:type="paragraph" w:styleId="ListContinue4">
    <w:name w:val="List Continue 4"/>
    <w:basedOn w:val="Normal"/>
    <w:uiPriority w:val="99"/>
    <w:semiHidden/>
    <w:rsid w:val="00911DE3"/>
    <w:pPr>
      <w:spacing w:after="120"/>
      <w:ind w:left="1132"/>
      <w:contextualSpacing/>
    </w:pPr>
  </w:style>
  <w:style w:type="paragraph" w:styleId="ListContinue5">
    <w:name w:val="List Continue 5"/>
    <w:basedOn w:val="Normal"/>
    <w:uiPriority w:val="99"/>
    <w:semiHidden/>
    <w:rsid w:val="00911DE3"/>
    <w:pPr>
      <w:spacing w:after="120"/>
      <w:ind w:left="1415"/>
      <w:contextualSpacing/>
    </w:pPr>
  </w:style>
  <w:style w:type="paragraph" w:styleId="ListNumber">
    <w:name w:val="List Number"/>
    <w:basedOn w:val="Normal"/>
    <w:uiPriority w:val="2"/>
    <w:qFormat/>
    <w:rsid w:val="00B8463C"/>
    <w:pPr>
      <w:numPr>
        <w:numId w:val="30"/>
      </w:numPr>
      <w:contextualSpacing/>
    </w:pPr>
  </w:style>
  <w:style w:type="paragraph" w:styleId="ListNumber2">
    <w:name w:val="List Number 2"/>
    <w:basedOn w:val="Normal"/>
    <w:uiPriority w:val="2"/>
    <w:semiHidden/>
    <w:rsid w:val="00B8463C"/>
    <w:pPr>
      <w:numPr>
        <w:ilvl w:val="1"/>
        <w:numId w:val="30"/>
      </w:numPr>
      <w:contextualSpacing/>
    </w:pPr>
  </w:style>
  <w:style w:type="paragraph" w:styleId="ListNumber3">
    <w:name w:val="List Number 3"/>
    <w:basedOn w:val="Normal"/>
    <w:uiPriority w:val="2"/>
    <w:semiHidden/>
    <w:rsid w:val="00B8463C"/>
    <w:pPr>
      <w:numPr>
        <w:ilvl w:val="2"/>
        <w:numId w:val="30"/>
      </w:numPr>
      <w:contextualSpacing/>
    </w:pPr>
  </w:style>
  <w:style w:type="paragraph" w:styleId="ListNumber4">
    <w:name w:val="List Number 4"/>
    <w:basedOn w:val="Normal"/>
    <w:uiPriority w:val="2"/>
    <w:semiHidden/>
    <w:rsid w:val="00B8463C"/>
    <w:pPr>
      <w:numPr>
        <w:ilvl w:val="3"/>
        <w:numId w:val="30"/>
      </w:numPr>
      <w:contextualSpacing/>
    </w:pPr>
  </w:style>
  <w:style w:type="paragraph" w:styleId="ListNumber5">
    <w:name w:val="List Number 5"/>
    <w:basedOn w:val="Normal"/>
    <w:uiPriority w:val="2"/>
    <w:semiHidden/>
    <w:rsid w:val="00B8463C"/>
    <w:pPr>
      <w:numPr>
        <w:ilvl w:val="4"/>
        <w:numId w:val="30"/>
      </w:numPr>
      <w:contextualSpacing/>
    </w:pPr>
  </w:style>
  <w:style w:type="paragraph" w:styleId="ListParagraph">
    <w:name w:val="List Paragraph"/>
    <w:basedOn w:val="Normal"/>
    <w:uiPriority w:val="99"/>
    <w:semiHidden/>
    <w:qFormat/>
    <w:rsid w:val="00911DE3"/>
    <w:pPr>
      <w:ind w:left="720"/>
      <w:contextualSpacing/>
    </w:pPr>
  </w:style>
  <w:style w:type="table" w:styleId="ListTable1Light">
    <w:name w:val="List Table 1 Light"/>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589BB0" w:themeColor="text1" w:themeTint="99"/>
        </w:tcBorders>
      </w:tcPr>
    </w:tblStylePr>
    <w:tblStylePr w:type="lastRow">
      <w:rPr>
        <w:b/>
        <w:bCs/>
      </w:rPr>
      <w:tblPr/>
      <w:tcPr>
        <w:tcBorders>
          <w:top w:val="sing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1Light-Accent1">
    <w:name w:val="List Table 1 Light Accent 1"/>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3CE5FF" w:themeColor="accent1" w:themeTint="99"/>
        </w:tcBorders>
      </w:tcPr>
    </w:tblStylePr>
    <w:tblStylePr w:type="lastRow">
      <w:rPr>
        <w:b/>
        <w:bCs/>
      </w:rPr>
      <w:tblPr/>
      <w:tcPr>
        <w:tcBorders>
          <w:top w:val="sing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1Light-Accent2">
    <w:name w:val="List Table 1 Light Accent 2"/>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04DEFF" w:themeColor="accent2" w:themeTint="99"/>
        </w:tcBorders>
      </w:tcPr>
    </w:tblStylePr>
    <w:tblStylePr w:type="lastRow">
      <w:rPr>
        <w:b/>
        <w:bCs/>
      </w:rPr>
      <w:tblPr/>
      <w:tcPr>
        <w:tcBorders>
          <w:top w:val="sing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1Light-Accent3">
    <w:name w:val="List Table 1 Light Accent 3"/>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1FE1FF" w:themeColor="accent3" w:themeTint="99"/>
        </w:tcBorders>
      </w:tcPr>
    </w:tblStylePr>
    <w:tblStylePr w:type="lastRow">
      <w:rPr>
        <w:b/>
        <w:bCs/>
      </w:rPr>
      <w:tblPr/>
      <w:tcPr>
        <w:tcBorders>
          <w:top w:val="sing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1Light-Accent4">
    <w:name w:val="List Table 1 Light Accent 4"/>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0F3F7" w:themeColor="accent4" w:themeTint="99"/>
        </w:tcBorders>
      </w:tcPr>
    </w:tblStylePr>
    <w:tblStylePr w:type="lastRow">
      <w:rPr>
        <w:b/>
        <w:bCs/>
      </w:rPr>
      <w:tblPr/>
      <w:tcPr>
        <w:tcBorders>
          <w:top w:val="sing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1Light-Accent5">
    <w:name w:val="List Table 1 Light Accent 5"/>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CF9FB" w:themeColor="accent5" w:themeTint="99"/>
        </w:tcBorders>
      </w:tcPr>
    </w:tblStylePr>
    <w:tblStylePr w:type="lastRow">
      <w:rPr>
        <w:b/>
        <w:bCs/>
      </w:rPr>
      <w:tblPr/>
      <w:tcPr>
        <w:tcBorders>
          <w:top w:val="sing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1Light-Accent6">
    <w:name w:val="List Table 1 Light Accent 6"/>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F2F4F5" w:themeColor="accent6" w:themeTint="99"/>
        </w:tcBorders>
      </w:tcPr>
    </w:tblStylePr>
    <w:tblStylePr w:type="lastRow">
      <w:rPr>
        <w:b/>
        <w:bCs/>
      </w:rPr>
      <w:tblPr/>
      <w:tcPr>
        <w:tcBorders>
          <w:top w:val="sing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2">
    <w:name w:val="List Table 2"/>
    <w:basedOn w:val="TableNormal"/>
    <w:uiPriority w:val="99"/>
    <w:rsid w:val="00911DE3"/>
    <w:pPr>
      <w:spacing w:line="240" w:lineRule="auto"/>
    </w:pPr>
    <w:rPr>
      <w:lang w:val="en-GB"/>
    </w:rPr>
    <w:tblPr>
      <w:tblStyleRowBandSize w:val="1"/>
      <w:tblStyleColBandSize w:val="1"/>
      <w:tblBorders>
        <w:top w:val="single" w:sz="4" w:space="0" w:color="589BB0" w:themeColor="text1" w:themeTint="99"/>
        <w:bottom w:val="single" w:sz="4" w:space="0" w:color="589BB0" w:themeColor="text1" w:themeTint="99"/>
        <w:insideH w:val="single" w:sz="4" w:space="0" w:color="589BB0"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2-Accent1">
    <w:name w:val="List Table 2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bottom w:val="single" w:sz="4" w:space="0" w:color="3CE5FF" w:themeColor="accent1" w:themeTint="99"/>
        <w:insideH w:val="single" w:sz="4" w:space="0" w:color="3CE5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2-Accent2">
    <w:name w:val="List Table 2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bottom w:val="single" w:sz="4" w:space="0" w:color="04DEFF" w:themeColor="accent2" w:themeTint="99"/>
        <w:insideH w:val="single" w:sz="4" w:space="0" w:color="04DE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2-Accent3">
    <w:name w:val="List Table 2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bottom w:val="single" w:sz="4" w:space="0" w:color="1FE1FF" w:themeColor="accent3" w:themeTint="99"/>
        <w:insideH w:val="single" w:sz="4" w:space="0" w:color="1FE1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2-Accent4">
    <w:name w:val="List Table 2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bottom w:val="single" w:sz="4" w:space="0" w:color="E0F3F7" w:themeColor="accent4" w:themeTint="99"/>
        <w:insideH w:val="single" w:sz="4" w:space="0" w:color="E0F3F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2-Accent5">
    <w:name w:val="List Table 2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bottom w:val="single" w:sz="4" w:space="0" w:color="ECF9FB" w:themeColor="accent5" w:themeTint="99"/>
        <w:insideH w:val="single" w:sz="4" w:space="0" w:color="ECF9F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2-Accent6">
    <w:name w:val="List Table 2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bottom w:val="single" w:sz="4" w:space="0" w:color="F2F4F5" w:themeColor="accent6" w:themeTint="99"/>
        <w:insideH w:val="single" w:sz="4" w:space="0" w:color="F2F4F5"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3">
    <w:name w:val="List Table 3"/>
    <w:basedOn w:val="TableNormal"/>
    <w:uiPriority w:val="99"/>
    <w:rsid w:val="00911DE3"/>
    <w:pPr>
      <w:spacing w:line="240" w:lineRule="auto"/>
    </w:pPr>
    <w:rPr>
      <w:lang w:val="en-GB"/>
    </w:rPr>
    <w:tblPr>
      <w:tblStyleRowBandSize w:val="1"/>
      <w:tblStyleColBandSize w:val="1"/>
      <w:tblBorders>
        <w:top w:val="single" w:sz="4" w:space="0" w:color="213D46" w:themeColor="text1"/>
        <w:left w:val="single" w:sz="4" w:space="0" w:color="213D46" w:themeColor="text1"/>
        <w:bottom w:val="single" w:sz="4" w:space="0" w:color="213D46" w:themeColor="text1"/>
        <w:right w:val="single" w:sz="4" w:space="0" w:color="213D46" w:themeColor="text1"/>
      </w:tblBorders>
    </w:tblPr>
    <w:tblStylePr w:type="firstRow">
      <w:rPr>
        <w:b/>
        <w:bCs/>
        <w:color w:val="FFFFFF" w:themeColor="background1"/>
      </w:rPr>
      <w:tblPr/>
      <w:tcPr>
        <w:shd w:val="clear" w:color="auto" w:fill="213D46" w:themeFill="text1"/>
      </w:tcPr>
    </w:tblStylePr>
    <w:tblStylePr w:type="lastRow">
      <w:rPr>
        <w:b/>
        <w:bCs/>
      </w:rPr>
      <w:tblPr/>
      <w:tcPr>
        <w:tcBorders>
          <w:top w:val="double" w:sz="4" w:space="0" w:color="213D46"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3D46" w:themeColor="text1"/>
          <w:right w:val="single" w:sz="4" w:space="0" w:color="213D46" w:themeColor="text1"/>
        </w:tcBorders>
      </w:tcPr>
    </w:tblStylePr>
    <w:tblStylePr w:type="band1Horz">
      <w:tblPr/>
      <w:tcPr>
        <w:tcBorders>
          <w:top w:val="single" w:sz="4" w:space="0" w:color="213D46" w:themeColor="text1"/>
          <w:bottom w:val="single" w:sz="4" w:space="0" w:color="213D46"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3D46" w:themeColor="text1"/>
          <w:left w:val="nil"/>
        </w:tcBorders>
      </w:tcPr>
    </w:tblStylePr>
    <w:tblStylePr w:type="swCell">
      <w:tblPr/>
      <w:tcPr>
        <w:tcBorders>
          <w:top w:val="double" w:sz="4" w:space="0" w:color="213D46" w:themeColor="text1"/>
          <w:right w:val="nil"/>
        </w:tcBorders>
      </w:tcPr>
    </w:tblStylePr>
  </w:style>
  <w:style w:type="table" w:styleId="ListTable3-Accent1">
    <w:name w:val="List Table 3 Accent 1"/>
    <w:basedOn w:val="TableNormal"/>
    <w:uiPriority w:val="99"/>
    <w:rsid w:val="00911DE3"/>
    <w:pPr>
      <w:spacing w:line="240" w:lineRule="auto"/>
    </w:pPr>
    <w:rPr>
      <w:lang w:val="en-GB"/>
    </w:rPr>
    <w:tblPr>
      <w:tblStyleRowBandSize w:val="1"/>
      <w:tblStyleColBandSize w:val="1"/>
      <w:tblBorders>
        <w:top w:val="single" w:sz="4" w:space="0" w:color="00A2BA" w:themeColor="accent1"/>
        <w:left w:val="single" w:sz="4" w:space="0" w:color="00A2BA" w:themeColor="accent1"/>
        <w:bottom w:val="single" w:sz="4" w:space="0" w:color="00A2BA" w:themeColor="accent1"/>
        <w:right w:val="single" w:sz="4" w:space="0" w:color="00A2BA" w:themeColor="accent1"/>
      </w:tblBorders>
    </w:tblPr>
    <w:tblStylePr w:type="firstRow">
      <w:rPr>
        <w:b/>
        <w:bCs/>
        <w:color w:val="FFFFFF" w:themeColor="background1"/>
      </w:rPr>
      <w:tblPr/>
      <w:tcPr>
        <w:shd w:val="clear" w:color="auto" w:fill="00A2BA" w:themeFill="accent1"/>
      </w:tcPr>
    </w:tblStylePr>
    <w:tblStylePr w:type="lastRow">
      <w:rPr>
        <w:b/>
        <w:bCs/>
      </w:rPr>
      <w:tblPr/>
      <w:tcPr>
        <w:tcBorders>
          <w:top w:val="double" w:sz="4" w:space="0" w:color="00A2B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2BA" w:themeColor="accent1"/>
          <w:right w:val="single" w:sz="4" w:space="0" w:color="00A2BA" w:themeColor="accent1"/>
        </w:tcBorders>
      </w:tcPr>
    </w:tblStylePr>
    <w:tblStylePr w:type="band1Horz">
      <w:tblPr/>
      <w:tcPr>
        <w:tcBorders>
          <w:top w:val="single" w:sz="4" w:space="0" w:color="00A2BA" w:themeColor="accent1"/>
          <w:bottom w:val="single" w:sz="4" w:space="0" w:color="00A2B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2BA" w:themeColor="accent1"/>
          <w:left w:val="nil"/>
        </w:tcBorders>
      </w:tcPr>
    </w:tblStylePr>
    <w:tblStylePr w:type="swCell">
      <w:tblPr/>
      <w:tcPr>
        <w:tcBorders>
          <w:top w:val="double" w:sz="4" w:space="0" w:color="00A2BA" w:themeColor="accent1"/>
          <w:right w:val="nil"/>
        </w:tcBorders>
      </w:tcPr>
    </w:tblStylePr>
  </w:style>
  <w:style w:type="table" w:styleId="ListTable3-Accent2">
    <w:name w:val="List Table 3 Accent 2"/>
    <w:basedOn w:val="TableNormal"/>
    <w:uiPriority w:val="99"/>
    <w:rsid w:val="00911DE3"/>
    <w:pPr>
      <w:spacing w:line="240" w:lineRule="auto"/>
    </w:pPr>
    <w:rPr>
      <w:lang w:val="en-GB"/>
    </w:rPr>
    <w:tblPr>
      <w:tblStyleRowBandSize w:val="1"/>
      <w:tblStyleColBandSize w:val="1"/>
      <w:tblBorders>
        <w:top w:val="single" w:sz="4" w:space="0" w:color="00515D" w:themeColor="accent2"/>
        <w:left w:val="single" w:sz="4" w:space="0" w:color="00515D" w:themeColor="accent2"/>
        <w:bottom w:val="single" w:sz="4" w:space="0" w:color="00515D" w:themeColor="accent2"/>
        <w:right w:val="single" w:sz="4" w:space="0" w:color="00515D" w:themeColor="accent2"/>
      </w:tblBorders>
    </w:tblPr>
    <w:tblStylePr w:type="firstRow">
      <w:rPr>
        <w:b/>
        <w:bCs/>
        <w:color w:val="FFFFFF" w:themeColor="background1"/>
      </w:rPr>
      <w:tblPr/>
      <w:tcPr>
        <w:shd w:val="clear" w:color="auto" w:fill="00515D" w:themeFill="accent2"/>
      </w:tcPr>
    </w:tblStylePr>
    <w:tblStylePr w:type="lastRow">
      <w:rPr>
        <w:b/>
        <w:bCs/>
      </w:rPr>
      <w:tblPr/>
      <w:tcPr>
        <w:tcBorders>
          <w:top w:val="double" w:sz="4" w:space="0" w:color="00515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15D" w:themeColor="accent2"/>
          <w:right w:val="single" w:sz="4" w:space="0" w:color="00515D" w:themeColor="accent2"/>
        </w:tcBorders>
      </w:tcPr>
    </w:tblStylePr>
    <w:tblStylePr w:type="band1Horz">
      <w:tblPr/>
      <w:tcPr>
        <w:tcBorders>
          <w:top w:val="single" w:sz="4" w:space="0" w:color="00515D" w:themeColor="accent2"/>
          <w:bottom w:val="single" w:sz="4" w:space="0" w:color="00515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15D" w:themeColor="accent2"/>
          <w:left w:val="nil"/>
        </w:tcBorders>
      </w:tcPr>
    </w:tblStylePr>
    <w:tblStylePr w:type="swCell">
      <w:tblPr/>
      <w:tcPr>
        <w:tcBorders>
          <w:top w:val="double" w:sz="4" w:space="0" w:color="00515D" w:themeColor="accent2"/>
          <w:right w:val="nil"/>
        </w:tcBorders>
      </w:tcPr>
    </w:tblStylePr>
  </w:style>
  <w:style w:type="table" w:styleId="ListTable3-Accent3">
    <w:name w:val="List Table 3 Accent 3"/>
    <w:basedOn w:val="TableNormal"/>
    <w:uiPriority w:val="99"/>
    <w:rsid w:val="00911DE3"/>
    <w:pPr>
      <w:spacing w:line="240" w:lineRule="auto"/>
    </w:pPr>
    <w:rPr>
      <w:lang w:val="en-GB"/>
    </w:rPr>
    <w:tblPr>
      <w:tblStyleRowBandSize w:val="1"/>
      <w:tblStyleColBandSize w:val="1"/>
      <w:tblBorders>
        <w:top w:val="single" w:sz="4" w:space="0" w:color="00788A" w:themeColor="accent3"/>
        <w:left w:val="single" w:sz="4" w:space="0" w:color="00788A" w:themeColor="accent3"/>
        <w:bottom w:val="single" w:sz="4" w:space="0" w:color="00788A" w:themeColor="accent3"/>
        <w:right w:val="single" w:sz="4" w:space="0" w:color="00788A" w:themeColor="accent3"/>
      </w:tblBorders>
    </w:tblPr>
    <w:tblStylePr w:type="firstRow">
      <w:rPr>
        <w:b/>
        <w:bCs/>
        <w:color w:val="FFFFFF" w:themeColor="background1"/>
      </w:rPr>
      <w:tblPr/>
      <w:tcPr>
        <w:shd w:val="clear" w:color="auto" w:fill="00788A" w:themeFill="accent3"/>
      </w:tcPr>
    </w:tblStylePr>
    <w:tblStylePr w:type="lastRow">
      <w:rPr>
        <w:b/>
        <w:bCs/>
      </w:rPr>
      <w:tblPr/>
      <w:tcPr>
        <w:tcBorders>
          <w:top w:val="double" w:sz="4" w:space="0" w:color="00788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88A" w:themeColor="accent3"/>
          <w:right w:val="single" w:sz="4" w:space="0" w:color="00788A" w:themeColor="accent3"/>
        </w:tcBorders>
      </w:tcPr>
    </w:tblStylePr>
    <w:tblStylePr w:type="band1Horz">
      <w:tblPr/>
      <w:tcPr>
        <w:tcBorders>
          <w:top w:val="single" w:sz="4" w:space="0" w:color="00788A" w:themeColor="accent3"/>
          <w:bottom w:val="single" w:sz="4" w:space="0" w:color="00788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88A" w:themeColor="accent3"/>
          <w:left w:val="nil"/>
        </w:tcBorders>
      </w:tcPr>
    </w:tblStylePr>
    <w:tblStylePr w:type="swCell">
      <w:tblPr/>
      <w:tcPr>
        <w:tcBorders>
          <w:top w:val="double" w:sz="4" w:space="0" w:color="00788A" w:themeColor="accent3"/>
          <w:right w:val="nil"/>
        </w:tcBorders>
      </w:tcPr>
    </w:tblStylePr>
  </w:style>
  <w:style w:type="table" w:styleId="ListTable3-Accent4">
    <w:name w:val="List Table 3 Accent 4"/>
    <w:basedOn w:val="TableNormal"/>
    <w:uiPriority w:val="99"/>
    <w:rsid w:val="00911DE3"/>
    <w:pPr>
      <w:spacing w:line="240" w:lineRule="auto"/>
    </w:pPr>
    <w:rPr>
      <w:lang w:val="en-GB"/>
    </w:rPr>
    <w:tblPr>
      <w:tblStyleRowBandSize w:val="1"/>
      <w:tblStyleColBandSize w:val="1"/>
      <w:tblBorders>
        <w:top w:val="single" w:sz="4" w:space="0" w:color="CCECF3" w:themeColor="accent4"/>
        <w:left w:val="single" w:sz="4" w:space="0" w:color="CCECF3" w:themeColor="accent4"/>
        <w:bottom w:val="single" w:sz="4" w:space="0" w:color="CCECF3" w:themeColor="accent4"/>
        <w:right w:val="single" w:sz="4" w:space="0" w:color="CCECF3" w:themeColor="accent4"/>
      </w:tblBorders>
    </w:tblPr>
    <w:tblStylePr w:type="firstRow">
      <w:rPr>
        <w:b/>
        <w:bCs/>
        <w:color w:val="FFFFFF" w:themeColor="background1"/>
      </w:rPr>
      <w:tblPr/>
      <w:tcPr>
        <w:shd w:val="clear" w:color="auto" w:fill="CCECF3" w:themeFill="accent4"/>
      </w:tcPr>
    </w:tblStylePr>
    <w:tblStylePr w:type="lastRow">
      <w:rPr>
        <w:b/>
        <w:bCs/>
      </w:rPr>
      <w:tblPr/>
      <w:tcPr>
        <w:tcBorders>
          <w:top w:val="double" w:sz="4" w:space="0" w:color="CCECF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ECF3" w:themeColor="accent4"/>
          <w:right w:val="single" w:sz="4" w:space="0" w:color="CCECF3" w:themeColor="accent4"/>
        </w:tcBorders>
      </w:tcPr>
    </w:tblStylePr>
    <w:tblStylePr w:type="band1Horz">
      <w:tblPr/>
      <w:tcPr>
        <w:tcBorders>
          <w:top w:val="single" w:sz="4" w:space="0" w:color="CCECF3" w:themeColor="accent4"/>
          <w:bottom w:val="single" w:sz="4" w:space="0" w:color="CCECF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ECF3" w:themeColor="accent4"/>
          <w:left w:val="nil"/>
        </w:tcBorders>
      </w:tcPr>
    </w:tblStylePr>
    <w:tblStylePr w:type="swCell">
      <w:tblPr/>
      <w:tcPr>
        <w:tcBorders>
          <w:top w:val="double" w:sz="4" w:space="0" w:color="CCECF3" w:themeColor="accent4"/>
          <w:right w:val="nil"/>
        </w:tcBorders>
      </w:tcPr>
    </w:tblStylePr>
  </w:style>
  <w:style w:type="table" w:styleId="ListTable3-Accent5">
    <w:name w:val="List Table 3 Accent 5"/>
    <w:basedOn w:val="TableNormal"/>
    <w:uiPriority w:val="99"/>
    <w:rsid w:val="00911DE3"/>
    <w:pPr>
      <w:spacing w:line="240" w:lineRule="auto"/>
    </w:pPr>
    <w:rPr>
      <w:lang w:val="en-GB"/>
    </w:rPr>
    <w:tblPr>
      <w:tblStyleRowBandSize w:val="1"/>
      <w:tblStyleColBandSize w:val="1"/>
      <w:tblBorders>
        <w:top w:val="single" w:sz="4" w:space="0" w:color="E0F5F9" w:themeColor="accent5"/>
        <w:left w:val="single" w:sz="4" w:space="0" w:color="E0F5F9" w:themeColor="accent5"/>
        <w:bottom w:val="single" w:sz="4" w:space="0" w:color="E0F5F9" w:themeColor="accent5"/>
        <w:right w:val="single" w:sz="4" w:space="0" w:color="E0F5F9" w:themeColor="accent5"/>
      </w:tblBorders>
    </w:tblPr>
    <w:tblStylePr w:type="firstRow">
      <w:rPr>
        <w:b/>
        <w:bCs/>
        <w:color w:val="FFFFFF" w:themeColor="background1"/>
      </w:rPr>
      <w:tblPr/>
      <w:tcPr>
        <w:shd w:val="clear" w:color="auto" w:fill="E0F5F9" w:themeFill="accent5"/>
      </w:tcPr>
    </w:tblStylePr>
    <w:tblStylePr w:type="lastRow">
      <w:rPr>
        <w:b/>
        <w:bCs/>
      </w:rPr>
      <w:tblPr/>
      <w:tcPr>
        <w:tcBorders>
          <w:top w:val="double" w:sz="4" w:space="0" w:color="E0F5F9"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0F5F9" w:themeColor="accent5"/>
          <w:right w:val="single" w:sz="4" w:space="0" w:color="E0F5F9" w:themeColor="accent5"/>
        </w:tcBorders>
      </w:tcPr>
    </w:tblStylePr>
    <w:tblStylePr w:type="band1Horz">
      <w:tblPr/>
      <w:tcPr>
        <w:tcBorders>
          <w:top w:val="single" w:sz="4" w:space="0" w:color="E0F5F9" w:themeColor="accent5"/>
          <w:bottom w:val="single" w:sz="4" w:space="0" w:color="E0F5F9"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0F5F9" w:themeColor="accent5"/>
          <w:left w:val="nil"/>
        </w:tcBorders>
      </w:tcPr>
    </w:tblStylePr>
    <w:tblStylePr w:type="swCell">
      <w:tblPr/>
      <w:tcPr>
        <w:tcBorders>
          <w:top w:val="double" w:sz="4" w:space="0" w:color="E0F5F9" w:themeColor="accent5"/>
          <w:right w:val="nil"/>
        </w:tcBorders>
      </w:tcPr>
    </w:tblStylePr>
  </w:style>
  <w:style w:type="table" w:styleId="ListTable3-Accent6">
    <w:name w:val="List Table 3 Accent 6"/>
    <w:basedOn w:val="TableNormal"/>
    <w:uiPriority w:val="99"/>
    <w:rsid w:val="00911DE3"/>
    <w:pPr>
      <w:spacing w:line="240" w:lineRule="auto"/>
    </w:pPr>
    <w:rPr>
      <w:lang w:val="en-GB"/>
    </w:rPr>
    <w:tblPr>
      <w:tblStyleRowBandSize w:val="1"/>
      <w:tblStyleColBandSize w:val="1"/>
      <w:tblBorders>
        <w:top w:val="single" w:sz="4" w:space="0" w:color="EBEEEF" w:themeColor="accent6"/>
        <w:left w:val="single" w:sz="4" w:space="0" w:color="EBEEEF" w:themeColor="accent6"/>
        <w:bottom w:val="single" w:sz="4" w:space="0" w:color="EBEEEF" w:themeColor="accent6"/>
        <w:right w:val="single" w:sz="4" w:space="0" w:color="EBEEEF" w:themeColor="accent6"/>
      </w:tblBorders>
    </w:tblPr>
    <w:tblStylePr w:type="firstRow">
      <w:rPr>
        <w:b/>
        <w:bCs/>
        <w:color w:val="FFFFFF" w:themeColor="background1"/>
      </w:rPr>
      <w:tblPr/>
      <w:tcPr>
        <w:shd w:val="clear" w:color="auto" w:fill="EBEEEF" w:themeFill="accent6"/>
      </w:tcPr>
    </w:tblStylePr>
    <w:tblStylePr w:type="lastRow">
      <w:rPr>
        <w:b/>
        <w:bCs/>
      </w:rPr>
      <w:tblPr/>
      <w:tcPr>
        <w:tcBorders>
          <w:top w:val="double" w:sz="4" w:space="0" w:color="EBEEE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BEEEF" w:themeColor="accent6"/>
          <w:right w:val="single" w:sz="4" w:space="0" w:color="EBEEEF" w:themeColor="accent6"/>
        </w:tcBorders>
      </w:tcPr>
    </w:tblStylePr>
    <w:tblStylePr w:type="band1Horz">
      <w:tblPr/>
      <w:tcPr>
        <w:tcBorders>
          <w:top w:val="single" w:sz="4" w:space="0" w:color="EBEEEF" w:themeColor="accent6"/>
          <w:bottom w:val="single" w:sz="4" w:space="0" w:color="EBEEE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BEEEF" w:themeColor="accent6"/>
          <w:left w:val="nil"/>
        </w:tcBorders>
      </w:tcPr>
    </w:tblStylePr>
    <w:tblStylePr w:type="swCell">
      <w:tblPr/>
      <w:tcPr>
        <w:tcBorders>
          <w:top w:val="double" w:sz="4" w:space="0" w:color="EBEEEF" w:themeColor="accent6"/>
          <w:right w:val="nil"/>
        </w:tcBorders>
      </w:tcPr>
    </w:tblStylePr>
  </w:style>
  <w:style w:type="table" w:styleId="ListTable4">
    <w:name w:val="List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tcBorders>
        <w:shd w:val="clear" w:color="auto" w:fill="213D46" w:themeFill="text1"/>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4-Accent1">
    <w:name w:val="List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tcBorders>
        <w:shd w:val="clear" w:color="auto" w:fill="00A2BA" w:themeFill="accent1"/>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4-Accent2">
    <w:name w:val="List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tcBorders>
        <w:shd w:val="clear" w:color="auto" w:fill="00515D" w:themeFill="accent2"/>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4-Accent3">
    <w:name w:val="List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tcBorders>
        <w:shd w:val="clear" w:color="auto" w:fill="00788A" w:themeFill="accent3"/>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4-Accent4">
    <w:name w:val="List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tcBorders>
        <w:shd w:val="clear" w:color="auto" w:fill="CCECF3" w:themeFill="accent4"/>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4-Accent5">
    <w:name w:val="List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tcBorders>
        <w:shd w:val="clear" w:color="auto" w:fill="E0F5F9" w:themeFill="accent5"/>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4-Accent6">
    <w:name w:val="List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tcBorders>
        <w:shd w:val="clear" w:color="auto" w:fill="EBEEEF" w:themeFill="accent6"/>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5Dark">
    <w:name w:val="List Table 5 Dark"/>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213D46" w:themeColor="text1"/>
        <w:left w:val="single" w:sz="24" w:space="0" w:color="213D46" w:themeColor="text1"/>
        <w:bottom w:val="single" w:sz="24" w:space="0" w:color="213D46" w:themeColor="text1"/>
        <w:right w:val="single" w:sz="24" w:space="0" w:color="213D46" w:themeColor="text1"/>
      </w:tblBorders>
    </w:tblPr>
    <w:tcPr>
      <w:shd w:val="clear" w:color="auto" w:fill="213D46"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A2BA" w:themeColor="accent1"/>
        <w:left w:val="single" w:sz="24" w:space="0" w:color="00A2BA" w:themeColor="accent1"/>
        <w:bottom w:val="single" w:sz="24" w:space="0" w:color="00A2BA" w:themeColor="accent1"/>
        <w:right w:val="single" w:sz="24" w:space="0" w:color="00A2BA" w:themeColor="accent1"/>
      </w:tblBorders>
    </w:tblPr>
    <w:tcPr>
      <w:shd w:val="clear" w:color="auto" w:fill="00A2B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515D" w:themeColor="accent2"/>
        <w:left w:val="single" w:sz="24" w:space="0" w:color="00515D" w:themeColor="accent2"/>
        <w:bottom w:val="single" w:sz="24" w:space="0" w:color="00515D" w:themeColor="accent2"/>
        <w:right w:val="single" w:sz="24" w:space="0" w:color="00515D" w:themeColor="accent2"/>
      </w:tblBorders>
    </w:tblPr>
    <w:tcPr>
      <w:shd w:val="clear" w:color="auto" w:fill="00515D"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788A" w:themeColor="accent3"/>
        <w:left w:val="single" w:sz="24" w:space="0" w:color="00788A" w:themeColor="accent3"/>
        <w:bottom w:val="single" w:sz="24" w:space="0" w:color="00788A" w:themeColor="accent3"/>
        <w:right w:val="single" w:sz="24" w:space="0" w:color="00788A" w:themeColor="accent3"/>
      </w:tblBorders>
    </w:tblPr>
    <w:tcPr>
      <w:shd w:val="clear" w:color="auto" w:fill="00788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CCECF3" w:themeColor="accent4"/>
        <w:left w:val="single" w:sz="24" w:space="0" w:color="CCECF3" w:themeColor="accent4"/>
        <w:bottom w:val="single" w:sz="24" w:space="0" w:color="CCECF3" w:themeColor="accent4"/>
        <w:right w:val="single" w:sz="24" w:space="0" w:color="CCECF3" w:themeColor="accent4"/>
      </w:tblBorders>
    </w:tblPr>
    <w:tcPr>
      <w:shd w:val="clear" w:color="auto" w:fill="CCECF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0F5F9" w:themeColor="accent5"/>
        <w:left w:val="single" w:sz="24" w:space="0" w:color="E0F5F9" w:themeColor="accent5"/>
        <w:bottom w:val="single" w:sz="24" w:space="0" w:color="E0F5F9" w:themeColor="accent5"/>
        <w:right w:val="single" w:sz="24" w:space="0" w:color="E0F5F9" w:themeColor="accent5"/>
      </w:tblBorders>
    </w:tblPr>
    <w:tcPr>
      <w:shd w:val="clear" w:color="auto" w:fill="E0F5F9"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BEEEF" w:themeColor="accent6"/>
        <w:left w:val="single" w:sz="24" w:space="0" w:color="EBEEEF" w:themeColor="accent6"/>
        <w:bottom w:val="single" w:sz="24" w:space="0" w:color="EBEEEF" w:themeColor="accent6"/>
        <w:right w:val="single" w:sz="24" w:space="0" w:color="EBEEEF" w:themeColor="accent6"/>
      </w:tblBorders>
    </w:tblPr>
    <w:tcPr>
      <w:shd w:val="clear" w:color="auto" w:fill="EBEEE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213D46" w:themeColor="text1"/>
        <w:bottom w:val="single" w:sz="4" w:space="0" w:color="213D46" w:themeColor="text1"/>
      </w:tblBorders>
    </w:tblPr>
    <w:tblStylePr w:type="firstRow">
      <w:rPr>
        <w:b/>
        <w:bCs/>
      </w:rPr>
      <w:tblPr/>
      <w:tcPr>
        <w:tcBorders>
          <w:bottom w:val="single" w:sz="4" w:space="0" w:color="213D46" w:themeColor="text1"/>
        </w:tcBorders>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6Colorful-Accent1">
    <w:name w:val="List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00A2BA" w:themeColor="accent1"/>
        <w:bottom w:val="single" w:sz="4" w:space="0" w:color="00A2BA" w:themeColor="accent1"/>
      </w:tblBorders>
    </w:tblPr>
    <w:tblStylePr w:type="firstRow">
      <w:rPr>
        <w:b/>
        <w:bCs/>
      </w:rPr>
      <w:tblPr/>
      <w:tcPr>
        <w:tcBorders>
          <w:bottom w:val="single" w:sz="4" w:space="0" w:color="00A2BA" w:themeColor="accent1"/>
        </w:tcBorders>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6Colorful-Accent2">
    <w:name w:val="List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0515D" w:themeColor="accent2"/>
        <w:bottom w:val="single" w:sz="4" w:space="0" w:color="00515D" w:themeColor="accent2"/>
      </w:tblBorders>
    </w:tblPr>
    <w:tblStylePr w:type="firstRow">
      <w:rPr>
        <w:b/>
        <w:bCs/>
      </w:rPr>
      <w:tblPr/>
      <w:tcPr>
        <w:tcBorders>
          <w:bottom w:val="single" w:sz="4" w:space="0" w:color="00515D" w:themeColor="accent2"/>
        </w:tcBorders>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6Colorful-Accent3">
    <w:name w:val="List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00788A" w:themeColor="accent3"/>
        <w:bottom w:val="single" w:sz="4" w:space="0" w:color="00788A" w:themeColor="accent3"/>
      </w:tblBorders>
    </w:tblPr>
    <w:tblStylePr w:type="firstRow">
      <w:rPr>
        <w:b/>
        <w:bCs/>
      </w:rPr>
      <w:tblPr/>
      <w:tcPr>
        <w:tcBorders>
          <w:bottom w:val="single" w:sz="4" w:space="0" w:color="00788A" w:themeColor="accent3"/>
        </w:tcBorders>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6Colorful-Accent4">
    <w:name w:val="List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CCECF3" w:themeColor="accent4"/>
        <w:bottom w:val="single" w:sz="4" w:space="0" w:color="CCECF3" w:themeColor="accent4"/>
      </w:tblBorders>
    </w:tblPr>
    <w:tblStylePr w:type="firstRow">
      <w:rPr>
        <w:b/>
        <w:bCs/>
      </w:rPr>
      <w:tblPr/>
      <w:tcPr>
        <w:tcBorders>
          <w:bottom w:val="single" w:sz="4" w:space="0" w:color="CCECF3" w:themeColor="accent4"/>
        </w:tcBorders>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6Colorful-Accent5">
    <w:name w:val="List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0F5F9" w:themeColor="accent5"/>
        <w:bottom w:val="single" w:sz="4" w:space="0" w:color="E0F5F9" w:themeColor="accent5"/>
      </w:tblBorders>
    </w:tblPr>
    <w:tblStylePr w:type="firstRow">
      <w:rPr>
        <w:b/>
        <w:bCs/>
      </w:rPr>
      <w:tblPr/>
      <w:tcPr>
        <w:tcBorders>
          <w:bottom w:val="single" w:sz="4" w:space="0" w:color="E0F5F9" w:themeColor="accent5"/>
        </w:tcBorders>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6Colorful-Accent6">
    <w:name w:val="List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EBEEEF" w:themeColor="accent6"/>
        <w:bottom w:val="single" w:sz="4" w:space="0" w:color="EBEEEF" w:themeColor="accent6"/>
      </w:tblBorders>
    </w:tblPr>
    <w:tblStylePr w:type="firstRow">
      <w:rPr>
        <w:b/>
        <w:bCs/>
      </w:rPr>
      <w:tblPr/>
      <w:tcPr>
        <w:tcBorders>
          <w:bottom w:val="single" w:sz="4" w:space="0" w:color="EBEEEF" w:themeColor="accent6"/>
        </w:tcBorders>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7Colorful">
    <w:name w:val="List Table 7 Colorful"/>
    <w:basedOn w:val="TableNormal"/>
    <w:uiPriority w:val="99"/>
    <w:rsid w:val="00911DE3"/>
    <w:pPr>
      <w:spacing w:line="240" w:lineRule="auto"/>
    </w:pPr>
    <w:rPr>
      <w:color w:val="213D46" w:themeColor="text1"/>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3D46"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3D46"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3D46"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3D46" w:themeColor="text1"/>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911DE3"/>
    <w:pPr>
      <w:spacing w:line="240" w:lineRule="auto"/>
    </w:pPr>
    <w:rPr>
      <w:color w:val="00798B" w:themeColor="accent1"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2B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2B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2B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2BA" w:themeColor="accent1"/>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911DE3"/>
    <w:pPr>
      <w:spacing w:line="240" w:lineRule="auto"/>
    </w:pPr>
    <w:rPr>
      <w:color w:val="003C45" w:themeColor="accent2"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15D"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15D"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15D"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15D" w:themeColor="accent2"/>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911DE3"/>
    <w:pPr>
      <w:spacing w:line="240" w:lineRule="auto"/>
    </w:pPr>
    <w:rPr>
      <w:color w:val="005967" w:themeColor="accent3"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88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88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88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88A" w:themeColor="accent3"/>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911DE3"/>
    <w:pPr>
      <w:spacing w:line="240" w:lineRule="auto"/>
    </w:pPr>
    <w:rPr>
      <w:color w:val="71CADD" w:themeColor="accent4"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ECF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ECF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ECF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ECF3" w:themeColor="accent4"/>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911DE3"/>
    <w:pPr>
      <w:spacing w:line="240" w:lineRule="auto"/>
    </w:pPr>
    <w:rPr>
      <w:color w:val="7CD4E5" w:themeColor="accent5"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0F5F9"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0F5F9"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0F5F9"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0F5F9" w:themeColor="accent5"/>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911DE3"/>
    <w:pPr>
      <w:spacing w:line="240" w:lineRule="auto"/>
    </w:pPr>
    <w:rPr>
      <w:color w:val="A8B5BA" w:themeColor="accent6"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BEEE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BEEE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BEEE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BEEEF" w:themeColor="accent6"/>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911DE3"/>
    <w:pPr>
      <w:tabs>
        <w:tab w:val="left" w:pos="480"/>
        <w:tab w:val="left" w:pos="960"/>
        <w:tab w:val="left" w:pos="1440"/>
        <w:tab w:val="left" w:pos="1920"/>
        <w:tab w:val="left" w:pos="2400"/>
        <w:tab w:val="left" w:pos="2880"/>
        <w:tab w:val="left" w:pos="3360"/>
        <w:tab w:val="left" w:pos="3840"/>
        <w:tab w:val="left" w:pos="4320"/>
      </w:tabs>
    </w:pPr>
    <w:rPr>
      <w:rFonts w:cs="Arial"/>
      <w:lang w:val="en-GB"/>
    </w:rPr>
  </w:style>
  <w:style w:type="character" w:customStyle="1" w:styleId="MacroTextChar">
    <w:name w:val="Macro Text Char"/>
    <w:basedOn w:val="DefaultParagraphFont"/>
    <w:link w:val="MacroText"/>
    <w:uiPriority w:val="99"/>
    <w:semiHidden/>
    <w:rsid w:val="00A44986"/>
    <w:rPr>
      <w:rFonts w:cs="Arial"/>
      <w:lang w:val="en-GB"/>
    </w:rPr>
  </w:style>
  <w:style w:type="table" w:styleId="MediumGrid1">
    <w:name w:val="Medium Grid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insideV w:val="single" w:sz="8" w:space="0" w:color="41798B" w:themeColor="text1" w:themeTint="BF"/>
      </w:tblBorders>
    </w:tblPr>
    <w:tcPr>
      <w:shd w:val="clear" w:color="auto" w:fill="BAD5DE" w:themeFill="text1" w:themeFillTint="3F"/>
    </w:tcPr>
    <w:tblStylePr w:type="firstRow">
      <w:rPr>
        <w:b/>
        <w:bCs/>
      </w:rPr>
    </w:tblStylePr>
    <w:tblStylePr w:type="lastRow">
      <w:rPr>
        <w:b/>
        <w:bCs/>
      </w:rPr>
      <w:tblPr/>
      <w:tcPr>
        <w:tcBorders>
          <w:top w:val="single" w:sz="18" w:space="0" w:color="41798B" w:themeColor="text1" w:themeTint="BF"/>
        </w:tcBorders>
      </w:tcPr>
    </w:tblStylePr>
    <w:tblStylePr w:type="firstCol">
      <w:rPr>
        <w:b/>
        <w:bCs/>
      </w:rPr>
    </w:tblStylePr>
    <w:tblStylePr w:type="lastCol">
      <w:rPr>
        <w:b/>
        <w:bCs/>
      </w:r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MediumGrid1-Accent1">
    <w:name w:val="Medium Grid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insideV w:val="single" w:sz="8" w:space="0" w:color="0CDFFF" w:themeColor="accent1" w:themeTint="BF"/>
      </w:tblBorders>
    </w:tblPr>
    <w:tcPr>
      <w:shd w:val="clear" w:color="auto" w:fill="AEF4FF" w:themeFill="accent1" w:themeFillTint="3F"/>
    </w:tcPr>
    <w:tblStylePr w:type="firstRow">
      <w:rPr>
        <w:b/>
        <w:bCs/>
      </w:rPr>
    </w:tblStylePr>
    <w:tblStylePr w:type="lastRow">
      <w:rPr>
        <w:b/>
        <w:bCs/>
      </w:rPr>
      <w:tblPr/>
      <w:tcPr>
        <w:tcBorders>
          <w:top w:val="single" w:sz="18" w:space="0" w:color="0CDFFF" w:themeColor="accent1" w:themeTint="BF"/>
        </w:tcBorders>
      </w:tcPr>
    </w:tblStylePr>
    <w:tblStylePr w:type="firstCol">
      <w:rPr>
        <w:b/>
        <w:bCs/>
      </w:rPr>
    </w:tblStylePr>
    <w:tblStylePr w:type="lastCol">
      <w:rPr>
        <w:b/>
        <w:bCs/>
      </w:r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MediumGrid1-Accent2">
    <w:name w:val="Medium Grid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insideV w:val="single" w:sz="8" w:space="0" w:color="00ABC5" w:themeColor="accent2" w:themeTint="BF"/>
      </w:tblBorders>
    </w:tblPr>
    <w:tcPr>
      <w:shd w:val="clear" w:color="auto" w:fill="97F1FF" w:themeFill="accent2" w:themeFillTint="3F"/>
    </w:tcPr>
    <w:tblStylePr w:type="firstRow">
      <w:rPr>
        <w:b/>
        <w:bCs/>
      </w:rPr>
    </w:tblStylePr>
    <w:tblStylePr w:type="lastRow">
      <w:rPr>
        <w:b/>
        <w:bCs/>
      </w:rPr>
      <w:tblPr/>
      <w:tcPr>
        <w:tcBorders>
          <w:top w:val="single" w:sz="18" w:space="0" w:color="00ABC5" w:themeColor="accent2" w:themeTint="BF"/>
        </w:tcBorders>
      </w:tcPr>
    </w:tblStylePr>
    <w:tblStylePr w:type="firstCol">
      <w:rPr>
        <w:b/>
        <w:bCs/>
      </w:rPr>
    </w:tblStylePr>
    <w:tblStylePr w:type="lastCol">
      <w:rPr>
        <w:b/>
        <w:bCs/>
      </w:r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MediumGrid1-Accent3">
    <w:name w:val="Medium Grid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insideV w:val="single" w:sz="8" w:space="0" w:color="00C8E7" w:themeColor="accent3" w:themeTint="BF"/>
      </w:tblBorders>
    </w:tblPr>
    <w:tcPr>
      <w:shd w:val="clear" w:color="auto" w:fill="A3F2FF" w:themeFill="accent3" w:themeFillTint="3F"/>
    </w:tcPr>
    <w:tblStylePr w:type="firstRow">
      <w:rPr>
        <w:b/>
        <w:bCs/>
      </w:rPr>
    </w:tblStylePr>
    <w:tblStylePr w:type="lastRow">
      <w:rPr>
        <w:b/>
        <w:bCs/>
      </w:rPr>
      <w:tblPr/>
      <w:tcPr>
        <w:tcBorders>
          <w:top w:val="single" w:sz="18" w:space="0" w:color="00C8E7" w:themeColor="accent3" w:themeTint="BF"/>
        </w:tcBorders>
      </w:tcPr>
    </w:tblStylePr>
    <w:tblStylePr w:type="firstCol">
      <w:rPr>
        <w:b/>
        <w:bCs/>
      </w:rPr>
    </w:tblStylePr>
    <w:tblStylePr w:type="lastCol">
      <w:rPr>
        <w:b/>
        <w:bCs/>
      </w:r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MediumGrid1-Accent4">
    <w:name w:val="Medium Grid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insideV w:val="single" w:sz="8" w:space="0" w:color="D8F0F6" w:themeColor="accent4" w:themeTint="BF"/>
      </w:tblBorders>
    </w:tblPr>
    <w:tcPr>
      <w:shd w:val="clear" w:color="auto" w:fill="F2FAFC" w:themeFill="accent4" w:themeFillTint="3F"/>
    </w:tcPr>
    <w:tblStylePr w:type="firstRow">
      <w:rPr>
        <w:b/>
        <w:bCs/>
      </w:rPr>
    </w:tblStylePr>
    <w:tblStylePr w:type="lastRow">
      <w:rPr>
        <w:b/>
        <w:bCs/>
      </w:rPr>
      <w:tblPr/>
      <w:tcPr>
        <w:tcBorders>
          <w:top w:val="single" w:sz="18" w:space="0" w:color="D8F0F6" w:themeColor="accent4" w:themeTint="BF"/>
        </w:tcBorders>
      </w:tcPr>
    </w:tblStylePr>
    <w:tblStylePr w:type="firstCol">
      <w:rPr>
        <w:b/>
        <w:bCs/>
      </w:rPr>
    </w:tblStylePr>
    <w:tblStylePr w:type="lastCol">
      <w:rPr>
        <w:b/>
        <w:bCs/>
      </w:r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MediumGrid1-Accent5">
    <w:name w:val="Medium Grid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insideV w:val="single" w:sz="8" w:space="0" w:color="E7F7FA" w:themeColor="accent5" w:themeTint="BF"/>
      </w:tblBorders>
    </w:tblPr>
    <w:tcPr>
      <w:shd w:val="clear" w:color="auto" w:fill="F7FCFD" w:themeFill="accent5" w:themeFillTint="3F"/>
    </w:tcPr>
    <w:tblStylePr w:type="firstRow">
      <w:rPr>
        <w:b/>
        <w:bCs/>
      </w:rPr>
    </w:tblStylePr>
    <w:tblStylePr w:type="lastRow">
      <w:rPr>
        <w:b/>
        <w:bCs/>
      </w:rPr>
      <w:tblPr/>
      <w:tcPr>
        <w:tcBorders>
          <w:top w:val="single" w:sz="18" w:space="0" w:color="E7F7FA" w:themeColor="accent5" w:themeTint="BF"/>
        </w:tcBorders>
      </w:tcPr>
    </w:tblStylePr>
    <w:tblStylePr w:type="firstCol">
      <w:rPr>
        <w:b/>
        <w:bCs/>
      </w:rPr>
    </w:tblStylePr>
    <w:tblStylePr w:type="lastCol">
      <w:rPr>
        <w:b/>
        <w:bCs/>
      </w:r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MediumGrid1-Accent6">
    <w:name w:val="Medium Grid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insideV w:val="single" w:sz="8" w:space="0" w:color="F0F2F3" w:themeColor="accent6" w:themeTint="BF"/>
      </w:tblBorders>
    </w:tblPr>
    <w:tcPr>
      <w:shd w:val="clear" w:color="auto" w:fill="FAFAFB" w:themeFill="accent6" w:themeFillTint="3F"/>
    </w:tcPr>
    <w:tblStylePr w:type="firstRow">
      <w:rPr>
        <w:b/>
        <w:bCs/>
      </w:rPr>
    </w:tblStylePr>
    <w:tblStylePr w:type="lastRow">
      <w:rPr>
        <w:b/>
        <w:bCs/>
      </w:rPr>
      <w:tblPr/>
      <w:tcPr>
        <w:tcBorders>
          <w:top w:val="single" w:sz="18" w:space="0" w:color="F0F2F3" w:themeColor="accent6" w:themeTint="BF"/>
        </w:tcBorders>
      </w:tcPr>
    </w:tblStylePr>
    <w:tblStylePr w:type="firstCol">
      <w:rPr>
        <w:b/>
        <w:bCs/>
      </w:rPr>
    </w:tblStylePr>
    <w:tblStylePr w:type="lastCol">
      <w:rPr>
        <w:b/>
        <w:bCs/>
      </w:r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MediumGrid2">
    <w:name w:val="Medium Grid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cPr>
      <w:shd w:val="clear" w:color="auto" w:fill="BAD5DE" w:themeFill="text1" w:themeFillTint="3F"/>
    </w:tcPr>
    <w:tblStylePr w:type="firstRow">
      <w:rPr>
        <w:b/>
        <w:bCs/>
        <w:color w:val="213D46" w:themeColor="text1"/>
      </w:rPr>
      <w:tblPr/>
      <w:tcPr>
        <w:shd w:val="clear" w:color="auto" w:fill="E3EEF2" w:themeFill="tex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C7DDE4" w:themeFill="text1" w:themeFillTint="33"/>
      </w:tcPr>
    </w:tblStylePr>
    <w:tblStylePr w:type="band1Vert">
      <w:tblPr/>
      <w:tcPr>
        <w:shd w:val="clear" w:color="auto" w:fill="75ABBE" w:themeFill="text1" w:themeFillTint="7F"/>
      </w:tcPr>
    </w:tblStylePr>
    <w:tblStylePr w:type="band1Horz">
      <w:tblPr/>
      <w:tcPr>
        <w:tcBorders>
          <w:insideH w:val="single" w:sz="6" w:space="0" w:color="213D46" w:themeColor="text1"/>
          <w:insideV w:val="single" w:sz="6" w:space="0" w:color="213D46" w:themeColor="text1"/>
        </w:tcBorders>
        <w:shd w:val="clear" w:color="auto" w:fill="75ABBE"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cPr>
      <w:shd w:val="clear" w:color="auto" w:fill="AEF4FF" w:themeFill="accent1" w:themeFillTint="3F"/>
    </w:tcPr>
    <w:tblStylePr w:type="firstRow">
      <w:rPr>
        <w:b/>
        <w:bCs/>
        <w:color w:val="213D46" w:themeColor="text1"/>
      </w:rPr>
      <w:tblPr/>
      <w:tcPr>
        <w:shd w:val="clear" w:color="auto" w:fill="DFFAFF" w:themeFill="accen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EF6FF" w:themeFill="accent1" w:themeFillTint="33"/>
      </w:tcPr>
    </w:tblStylePr>
    <w:tblStylePr w:type="band1Vert">
      <w:tblPr/>
      <w:tcPr>
        <w:shd w:val="clear" w:color="auto" w:fill="5DEAFF" w:themeFill="accent1" w:themeFillTint="7F"/>
      </w:tcPr>
    </w:tblStylePr>
    <w:tblStylePr w:type="band1Horz">
      <w:tblPr/>
      <w:tcPr>
        <w:tcBorders>
          <w:insideH w:val="single" w:sz="6" w:space="0" w:color="00A2BA" w:themeColor="accent1"/>
          <w:insideV w:val="single" w:sz="6" w:space="0" w:color="00A2BA" w:themeColor="accent1"/>
        </w:tcBorders>
        <w:shd w:val="clear" w:color="auto" w:fill="5DEA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cPr>
      <w:shd w:val="clear" w:color="auto" w:fill="97F1FF" w:themeFill="accent2" w:themeFillTint="3F"/>
    </w:tcPr>
    <w:tblStylePr w:type="firstRow">
      <w:rPr>
        <w:b/>
        <w:bCs/>
        <w:color w:val="213D46" w:themeColor="text1"/>
      </w:rPr>
      <w:tblPr/>
      <w:tcPr>
        <w:shd w:val="clear" w:color="auto" w:fill="D6F9FF" w:themeFill="accent2"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ABF4FF" w:themeFill="accent2" w:themeFillTint="33"/>
      </w:tcPr>
    </w:tblStylePr>
    <w:tblStylePr w:type="band1Vert">
      <w:tblPr/>
      <w:tcPr>
        <w:shd w:val="clear" w:color="auto" w:fill="2FE4FF" w:themeFill="accent2" w:themeFillTint="7F"/>
      </w:tcPr>
    </w:tblStylePr>
    <w:tblStylePr w:type="band1Horz">
      <w:tblPr/>
      <w:tcPr>
        <w:tcBorders>
          <w:insideH w:val="single" w:sz="6" w:space="0" w:color="00515D" w:themeColor="accent2"/>
          <w:insideV w:val="single" w:sz="6" w:space="0" w:color="00515D" w:themeColor="accent2"/>
        </w:tcBorders>
        <w:shd w:val="clear" w:color="auto" w:fill="2FE4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cPr>
      <w:shd w:val="clear" w:color="auto" w:fill="A3F2FF" w:themeFill="accent3" w:themeFillTint="3F"/>
    </w:tcPr>
    <w:tblStylePr w:type="firstRow">
      <w:rPr>
        <w:b/>
        <w:bCs/>
        <w:color w:val="213D46" w:themeColor="text1"/>
      </w:rPr>
      <w:tblPr/>
      <w:tcPr>
        <w:shd w:val="clear" w:color="auto" w:fill="DAFAFF" w:themeFill="accent3"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4F5FF" w:themeFill="accent3" w:themeFillTint="33"/>
      </w:tcPr>
    </w:tblStylePr>
    <w:tblStylePr w:type="band1Vert">
      <w:tblPr/>
      <w:tcPr>
        <w:shd w:val="clear" w:color="auto" w:fill="45E6FF" w:themeFill="accent3" w:themeFillTint="7F"/>
      </w:tcPr>
    </w:tblStylePr>
    <w:tblStylePr w:type="band1Horz">
      <w:tblPr/>
      <w:tcPr>
        <w:tcBorders>
          <w:insideH w:val="single" w:sz="6" w:space="0" w:color="00788A" w:themeColor="accent3"/>
          <w:insideV w:val="single" w:sz="6" w:space="0" w:color="00788A" w:themeColor="accent3"/>
        </w:tcBorders>
        <w:shd w:val="clear" w:color="auto" w:fill="45E6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cPr>
      <w:shd w:val="clear" w:color="auto" w:fill="F2FAFC" w:themeFill="accent4" w:themeFillTint="3F"/>
    </w:tcPr>
    <w:tblStylePr w:type="firstRow">
      <w:rPr>
        <w:b/>
        <w:bCs/>
        <w:color w:val="213D46" w:themeColor="text1"/>
      </w:rPr>
      <w:tblPr/>
      <w:tcPr>
        <w:shd w:val="clear" w:color="auto" w:fill="F9FDFD" w:themeFill="accent4"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4FBFC" w:themeFill="accent4" w:themeFillTint="33"/>
      </w:tcPr>
    </w:tblStylePr>
    <w:tblStylePr w:type="band1Vert">
      <w:tblPr/>
      <w:tcPr>
        <w:shd w:val="clear" w:color="auto" w:fill="E5F5F9" w:themeFill="accent4" w:themeFillTint="7F"/>
      </w:tcPr>
    </w:tblStylePr>
    <w:tblStylePr w:type="band1Horz">
      <w:tblPr/>
      <w:tcPr>
        <w:tcBorders>
          <w:insideH w:val="single" w:sz="6" w:space="0" w:color="CCECF3" w:themeColor="accent4"/>
          <w:insideV w:val="single" w:sz="6" w:space="0" w:color="CCECF3" w:themeColor="accent4"/>
        </w:tcBorders>
        <w:shd w:val="clear" w:color="auto" w:fill="E5F5F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cPr>
      <w:shd w:val="clear" w:color="auto" w:fill="F7FCFD" w:themeFill="accent5" w:themeFillTint="3F"/>
    </w:tcPr>
    <w:tblStylePr w:type="firstRow">
      <w:rPr>
        <w:b/>
        <w:bCs/>
        <w:color w:val="213D46" w:themeColor="text1"/>
      </w:rPr>
      <w:tblPr/>
      <w:tcPr>
        <w:shd w:val="clear" w:color="auto" w:fill="FBFEFE" w:themeFill="accent5"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8FCFD" w:themeFill="accent5" w:themeFillTint="33"/>
      </w:tcPr>
    </w:tblStylePr>
    <w:tblStylePr w:type="band1Vert">
      <w:tblPr/>
      <w:tcPr>
        <w:shd w:val="clear" w:color="auto" w:fill="EFF9FC" w:themeFill="accent5" w:themeFillTint="7F"/>
      </w:tcPr>
    </w:tblStylePr>
    <w:tblStylePr w:type="band1Horz">
      <w:tblPr/>
      <w:tcPr>
        <w:tcBorders>
          <w:insideH w:val="single" w:sz="6" w:space="0" w:color="E0F5F9" w:themeColor="accent5"/>
          <w:insideV w:val="single" w:sz="6" w:space="0" w:color="E0F5F9" w:themeColor="accent5"/>
        </w:tcBorders>
        <w:shd w:val="clear" w:color="auto" w:fill="EFF9FC"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cPr>
      <w:shd w:val="clear" w:color="auto" w:fill="FAFAFB" w:themeFill="accent6" w:themeFillTint="3F"/>
    </w:tcPr>
    <w:tblStylePr w:type="firstRow">
      <w:rPr>
        <w:b/>
        <w:bCs/>
        <w:color w:val="213D46" w:themeColor="text1"/>
      </w:rPr>
      <w:tblPr/>
      <w:tcPr>
        <w:shd w:val="clear" w:color="auto" w:fill="FCFDFD" w:themeFill="accent6"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AFBFB" w:themeFill="accent6" w:themeFillTint="33"/>
      </w:tcPr>
    </w:tblStylePr>
    <w:tblStylePr w:type="band1Vert">
      <w:tblPr/>
      <w:tcPr>
        <w:shd w:val="clear" w:color="auto" w:fill="F5F6F7" w:themeFill="accent6" w:themeFillTint="7F"/>
      </w:tcPr>
    </w:tblStylePr>
    <w:tblStylePr w:type="band1Horz">
      <w:tblPr/>
      <w:tcPr>
        <w:tcBorders>
          <w:insideH w:val="single" w:sz="6" w:space="0" w:color="EBEEEF" w:themeColor="accent6"/>
          <w:insideV w:val="single" w:sz="6" w:space="0" w:color="EBEEEF" w:themeColor="accent6"/>
        </w:tcBorders>
        <w:shd w:val="clear" w:color="auto" w:fill="F5F6F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AD5DE"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3D46"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3D46"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5ABBE"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5ABBE" w:themeFill="text1" w:themeFillTint="7F"/>
      </w:tcPr>
    </w:tblStylePr>
  </w:style>
  <w:style w:type="table" w:styleId="MediumGrid3-Accent1">
    <w:name w:val="Medium Grid 3 Accent 1"/>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EF4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2B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2B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DEA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DEAFF" w:themeFill="accent1" w:themeFillTint="7F"/>
      </w:tcPr>
    </w:tblStylePr>
  </w:style>
  <w:style w:type="table" w:styleId="MediumGrid3-Accent2">
    <w:name w:val="Medium Grid 3 Accent 2"/>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7F1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15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15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FE4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FE4FF" w:themeFill="accent2" w:themeFillTint="7F"/>
      </w:tcPr>
    </w:tblStylePr>
  </w:style>
  <w:style w:type="table" w:styleId="MediumGrid3-Accent3">
    <w:name w:val="Medium Grid 3 Accent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3F2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88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88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5E6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5E6FF" w:themeFill="accent3" w:themeFillTint="7F"/>
      </w:tcPr>
    </w:tblStylePr>
  </w:style>
  <w:style w:type="table" w:styleId="MediumGrid3-Accent4">
    <w:name w:val="Medium Grid 3 Accent 4"/>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AF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ECF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ECF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F5F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F5F9" w:themeFill="accent4" w:themeFillTint="7F"/>
      </w:tcPr>
    </w:tblStylePr>
  </w:style>
  <w:style w:type="table" w:styleId="MediumGrid3-Accent5">
    <w:name w:val="Medium Grid 3 Accent 5"/>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FCF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0F5F9"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0F5F9"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FF9FC"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FF9FC" w:themeFill="accent5" w:themeFillTint="7F"/>
      </w:tcPr>
    </w:tblStylePr>
  </w:style>
  <w:style w:type="table" w:styleId="MediumGrid3-Accent6">
    <w:name w:val="Medium Grid 3 Accent 6"/>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AF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EEE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EEE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F6F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F6F7" w:themeFill="accent6" w:themeFillTint="7F"/>
      </w:tcPr>
    </w:tblStylePr>
  </w:style>
  <w:style w:type="table" w:styleId="MediumList1">
    <w:name w:val="Medium Lis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213D46" w:themeColor="text1"/>
        <w:bottom w:val="single" w:sz="8" w:space="0" w:color="213D46" w:themeColor="text1"/>
      </w:tblBorders>
    </w:tblPr>
    <w:tblStylePr w:type="firstRow">
      <w:rPr>
        <w:rFonts w:asciiTheme="majorHAnsi" w:eastAsiaTheme="majorEastAsia" w:hAnsiTheme="majorHAnsi" w:cstheme="majorBidi"/>
      </w:rPr>
      <w:tblPr/>
      <w:tcPr>
        <w:tcBorders>
          <w:top w:val="nil"/>
          <w:bottom w:val="single" w:sz="8" w:space="0" w:color="213D46" w:themeColor="text1"/>
        </w:tcBorders>
      </w:tcPr>
    </w:tblStylePr>
    <w:tblStylePr w:type="lastRow">
      <w:rPr>
        <w:b/>
        <w:bCs/>
        <w:color w:val="3C545D" w:themeColor="text2"/>
      </w:rPr>
      <w:tblPr/>
      <w:tcPr>
        <w:tcBorders>
          <w:top w:val="single" w:sz="8" w:space="0" w:color="213D46" w:themeColor="text1"/>
          <w:bottom w:val="single" w:sz="8" w:space="0" w:color="213D46" w:themeColor="text1"/>
        </w:tcBorders>
      </w:tcPr>
    </w:tblStylePr>
    <w:tblStylePr w:type="firstCol">
      <w:rPr>
        <w:b/>
        <w:bCs/>
      </w:rPr>
    </w:tblStylePr>
    <w:tblStylePr w:type="lastCol">
      <w:rPr>
        <w:b/>
        <w:bCs/>
      </w:rPr>
      <w:tblPr/>
      <w:tcPr>
        <w:tcBorders>
          <w:top w:val="single" w:sz="8" w:space="0" w:color="213D46" w:themeColor="text1"/>
          <w:bottom w:val="single" w:sz="8" w:space="0" w:color="213D46" w:themeColor="text1"/>
        </w:tcBorders>
      </w:tcPr>
    </w:tblStylePr>
    <w:tblStylePr w:type="band1Vert">
      <w:tblPr/>
      <w:tcPr>
        <w:shd w:val="clear" w:color="auto" w:fill="BAD5DE" w:themeFill="text1" w:themeFillTint="3F"/>
      </w:tcPr>
    </w:tblStylePr>
    <w:tblStylePr w:type="band1Horz">
      <w:tblPr/>
      <w:tcPr>
        <w:shd w:val="clear" w:color="auto" w:fill="BAD5DE" w:themeFill="text1" w:themeFillTint="3F"/>
      </w:tcPr>
    </w:tblStylePr>
  </w:style>
  <w:style w:type="table" w:styleId="MediumList1-Accent1">
    <w:name w:val="Medium List 1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A2BA" w:themeColor="accent1"/>
        <w:bottom w:val="single" w:sz="8" w:space="0" w:color="00A2BA" w:themeColor="accent1"/>
      </w:tblBorders>
    </w:tblPr>
    <w:tblStylePr w:type="firstRow">
      <w:rPr>
        <w:rFonts w:asciiTheme="majorHAnsi" w:eastAsiaTheme="majorEastAsia" w:hAnsiTheme="majorHAnsi" w:cstheme="majorBidi"/>
      </w:rPr>
      <w:tblPr/>
      <w:tcPr>
        <w:tcBorders>
          <w:top w:val="nil"/>
          <w:bottom w:val="single" w:sz="8" w:space="0" w:color="00A2BA" w:themeColor="accent1"/>
        </w:tcBorders>
      </w:tcPr>
    </w:tblStylePr>
    <w:tblStylePr w:type="lastRow">
      <w:rPr>
        <w:b/>
        <w:bCs/>
        <w:color w:val="3C545D" w:themeColor="text2"/>
      </w:rPr>
      <w:tblPr/>
      <w:tcPr>
        <w:tcBorders>
          <w:top w:val="single" w:sz="8" w:space="0" w:color="00A2BA" w:themeColor="accent1"/>
          <w:bottom w:val="single" w:sz="8" w:space="0" w:color="00A2BA" w:themeColor="accent1"/>
        </w:tcBorders>
      </w:tcPr>
    </w:tblStylePr>
    <w:tblStylePr w:type="firstCol">
      <w:rPr>
        <w:b/>
        <w:bCs/>
      </w:rPr>
    </w:tblStylePr>
    <w:tblStylePr w:type="lastCol">
      <w:rPr>
        <w:b/>
        <w:bCs/>
      </w:rPr>
      <w:tblPr/>
      <w:tcPr>
        <w:tcBorders>
          <w:top w:val="single" w:sz="8" w:space="0" w:color="00A2BA" w:themeColor="accent1"/>
          <w:bottom w:val="single" w:sz="8" w:space="0" w:color="00A2BA" w:themeColor="accent1"/>
        </w:tcBorders>
      </w:tcPr>
    </w:tblStylePr>
    <w:tblStylePr w:type="band1Vert">
      <w:tblPr/>
      <w:tcPr>
        <w:shd w:val="clear" w:color="auto" w:fill="AEF4FF" w:themeFill="accent1" w:themeFillTint="3F"/>
      </w:tcPr>
    </w:tblStylePr>
    <w:tblStylePr w:type="band1Horz">
      <w:tblPr/>
      <w:tcPr>
        <w:shd w:val="clear" w:color="auto" w:fill="AEF4FF" w:themeFill="accent1" w:themeFillTint="3F"/>
      </w:tcPr>
    </w:tblStylePr>
  </w:style>
  <w:style w:type="table" w:styleId="MediumList1-Accent2">
    <w:name w:val="Medium List 1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515D" w:themeColor="accent2"/>
        <w:bottom w:val="single" w:sz="8" w:space="0" w:color="00515D" w:themeColor="accent2"/>
      </w:tblBorders>
    </w:tblPr>
    <w:tblStylePr w:type="firstRow">
      <w:rPr>
        <w:rFonts w:asciiTheme="majorHAnsi" w:eastAsiaTheme="majorEastAsia" w:hAnsiTheme="majorHAnsi" w:cstheme="majorBidi"/>
      </w:rPr>
      <w:tblPr/>
      <w:tcPr>
        <w:tcBorders>
          <w:top w:val="nil"/>
          <w:bottom w:val="single" w:sz="8" w:space="0" w:color="00515D" w:themeColor="accent2"/>
        </w:tcBorders>
      </w:tcPr>
    </w:tblStylePr>
    <w:tblStylePr w:type="lastRow">
      <w:rPr>
        <w:b/>
        <w:bCs/>
        <w:color w:val="3C545D" w:themeColor="text2"/>
      </w:rPr>
      <w:tblPr/>
      <w:tcPr>
        <w:tcBorders>
          <w:top w:val="single" w:sz="8" w:space="0" w:color="00515D" w:themeColor="accent2"/>
          <w:bottom w:val="single" w:sz="8" w:space="0" w:color="00515D" w:themeColor="accent2"/>
        </w:tcBorders>
      </w:tcPr>
    </w:tblStylePr>
    <w:tblStylePr w:type="firstCol">
      <w:rPr>
        <w:b/>
        <w:bCs/>
      </w:rPr>
    </w:tblStylePr>
    <w:tblStylePr w:type="lastCol">
      <w:rPr>
        <w:b/>
        <w:bCs/>
      </w:rPr>
      <w:tblPr/>
      <w:tcPr>
        <w:tcBorders>
          <w:top w:val="single" w:sz="8" w:space="0" w:color="00515D" w:themeColor="accent2"/>
          <w:bottom w:val="single" w:sz="8" w:space="0" w:color="00515D" w:themeColor="accent2"/>
        </w:tcBorders>
      </w:tcPr>
    </w:tblStylePr>
    <w:tblStylePr w:type="band1Vert">
      <w:tblPr/>
      <w:tcPr>
        <w:shd w:val="clear" w:color="auto" w:fill="97F1FF" w:themeFill="accent2" w:themeFillTint="3F"/>
      </w:tcPr>
    </w:tblStylePr>
    <w:tblStylePr w:type="band1Horz">
      <w:tblPr/>
      <w:tcPr>
        <w:shd w:val="clear" w:color="auto" w:fill="97F1FF" w:themeFill="accent2" w:themeFillTint="3F"/>
      </w:tcPr>
    </w:tblStylePr>
  </w:style>
  <w:style w:type="table" w:styleId="MediumList1-Accent3">
    <w:name w:val="Medium List 1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788A" w:themeColor="accent3"/>
        <w:bottom w:val="single" w:sz="8" w:space="0" w:color="00788A" w:themeColor="accent3"/>
      </w:tblBorders>
    </w:tblPr>
    <w:tblStylePr w:type="firstRow">
      <w:rPr>
        <w:rFonts w:asciiTheme="majorHAnsi" w:eastAsiaTheme="majorEastAsia" w:hAnsiTheme="majorHAnsi" w:cstheme="majorBidi"/>
      </w:rPr>
      <w:tblPr/>
      <w:tcPr>
        <w:tcBorders>
          <w:top w:val="nil"/>
          <w:bottom w:val="single" w:sz="8" w:space="0" w:color="00788A" w:themeColor="accent3"/>
        </w:tcBorders>
      </w:tcPr>
    </w:tblStylePr>
    <w:tblStylePr w:type="lastRow">
      <w:rPr>
        <w:b/>
        <w:bCs/>
        <w:color w:val="3C545D" w:themeColor="text2"/>
      </w:rPr>
      <w:tblPr/>
      <w:tcPr>
        <w:tcBorders>
          <w:top w:val="single" w:sz="8" w:space="0" w:color="00788A" w:themeColor="accent3"/>
          <w:bottom w:val="single" w:sz="8" w:space="0" w:color="00788A" w:themeColor="accent3"/>
        </w:tcBorders>
      </w:tcPr>
    </w:tblStylePr>
    <w:tblStylePr w:type="firstCol">
      <w:rPr>
        <w:b/>
        <w:bCs/>
      </w:rPr>
    </w:tblStylePr>
    <w:tblStylePr w:type="lastCol">
      <w:rPr>
        <w:b/>
        <w:bCs/>
      </w:rPr>
      <w:tblPr/>
      <w:tcPr>
        <w:tcBorders>
          <w:top w:val="single" w:sz="8" w:space="0" w:color="00788A" w:themeColor="accent3"/>
          <w:bottom w:val="single" w:sz="8" w:space="0" w:color="00788A" w:themeColor="accent3"/>
        </w:tcBorders>
      </w:tcPr>
    </w:tblStylePr>
    <w:tblStylePr w:type="band1Vert">
      <w:tblPr/>
      <w:tcPr>
        <w:shd w:val="clear" w:color="auto" w:fill="A3F2FF" w:themeFill="accent3" w:themeFillTint="3F"/>
      </w:tcPr>
    </w:tblStylePr>
    <w:tblStylePr w:type="band1Horz">
      <w:tblPr/>
      <w:tcPr>
        <w:shd w:val="clear" w:color="auto" w:fill="A3F2FF" w:themeFill="accent3" w:themeFillTint="3F"/>
      </w:tcPr>
    </w:tblStylePr>
  </w:style>
  <w:style w:type="table" w:styleId="MediumList1-Accent4">
    <w:name w:val="Medium List 1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CCECF3" w:themeColor="accent4"/>
        <w:bottom w:val="single" w:sz="8" w:space="0" w:color="CCECF3" w:themeColor="accent4"/>
      </w:tblBorders>
    </w:tblPr>
    <w:tblStylePr w:type="firstRow">
      <w:rPr>
        <w:rFonts w:asciiTheme="majorHAnsi" w:eastAsiaTheme="majorEastAsia" w:hAnsiTheme="majorHAnsi" w:cstheme="majorBidi"/>
      </w:rPr>
      <w:tblPr/>
      <w:tcPr>
        <w:tcBorders>
          <w:top w:val="nil"/>
          <w:bottom w:val="single" w:sz="8" w:space="0" w:color="CCECF3" w:themeColor="accent4"/>
        </w:tcBorders>
      </w:tcPr>
    </w:tblStylePr>
    <w:tblStylePr w:type="lastRow">
      <w:rPr>
        <w:b/>
        <w:bCs/>
        <w:color w:val="3C545D" w:themeColor="text2"/>
      </w:rPr>
      <w:tblPr/>
      <w:tcPr>
        <w:tcBorders>
          <w:top w:val="single" w:sz="8" w:space="0" w:color="CCECF3" w:themeColor="accent4"/>
          <w:bottom w:val="single" w:sz="8" w:space="0" w:color="CCECF3" w:themeColor="accent4"/>
        </w:tcBorders>
      </w:tcPr>
    </w:tblStylePr>
    <w:tblStylePr w:type="firstCol">
      <w:rPr>
        <w:b/>
        <w:bCs/>
      </w:rPr>
    </w:tblStylePr>
    <w:tblStylePr w:type="lastCol">
      <w:rPr>
        <w:b/>
        <w:bCs/>
      </w:rPr>
      <w:tblPr/>
      <w:tcPr>
        <w:tcBorders>
          <w:top w:val="single" w:sz="8" w:space="0" w:color="CCECF3" w:themeColor="accent4"/>
          <w:bottom w:val="single" w:sz="8" w:space="0" w:color="CCECF3" w:themeColor="accent4"/>
        </w:tcBorders>
      </w:tcPr>
    </w:tblStylePr>
    <w:tblStylePr w:type="band1Vert">
      <w:tblPr/>
      <w:tcPr>
        <w:shd w:val="clear" w:color="auto" w:fill="F2FAFC" w:themeFill="accent4" w:themeFillTint="3F"/>
      </w:tcPr>
    </w:tblStylePr>
    <w:tblStylePr w:type="band1Horz">
      <w:tblPr/>
      <w:tcPr>
        <w:shd w:val="clear" w:color="auto" w:fill="F2FAFC" w:themeFill="accent4" w:themeFillTint="3F"/>
      </w:tcPr>
    </w:tblStylePr>
  </w:style>
  <w:style w:type="table" w:styleId="MediumList1-Accent5">
    <w:name w:val="Medium List 1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0F5F9" w:themeColor="accent5"/>
        <w:bottom w:val="single" w:sz="8" w:space="0" w:color="E0F5F9" w:themeColor="accent5"/>
      </w:tblBorders>
    </w:tblPr>
    <w:tblStylePr w:type="firstRow">
      <w:rPr>
        <w:rFonts w:asciiTheme="majorHAnsi" w:eastAsiaTheme="majorEastAsia" w:hAnsiTheme="majorHAnsi" w:cstheme="majorBidi"/>
      </w:rPr>
      <w:tblPr/>
      <w:tcPr>
        <w:tcBorders>
          <w:top w:val="nil"/>
          <w:bottom w:val="single" w:sz="8" w:space="0" w:color="E0F5F9" w:themeColor="accent5"/>
        </w:tcBorders>
      </w:tcPr>
    </w:tblStylePr>
    <w:tblStylePr w:type="lastRow">
      <w:rPr>
        <w:b/>
        <w:bCs/>
        <w:color w:val="3C545D" w:themeColor="text2"/>
      </w:rPr>
      <w:tblPr/>
      <w:tcPr>
        <w:tcBorders>
          <w:top w:val="single" w:sz="8" w:space="0" w:color="E0F5F9" w:themeColor="accent5"/>
          <w:bottom w:val="single" w:sz="8" w:space="0" w:color="E0F5F9" w:themeColor="accent5"/>
        </w:tcBorders>
      </w:tcPr>
    </w:tblStylePr>
    <w:tblStylePr w:type="firstCol">
      <w:rPr>
        <w:b/>
        <w:bCs/>
      </w:rPr>
    </w:tblStylePr>
    <w:tblStylePr w:type="lastCol">
      <w:rPr>
        <w:b/>
        <w:bCs/>
      </w:rPr>
      <w:tblPr/>
      <w:tcPr>
        <w:tcBorders>
          <w:top w:val="single" w:sz="8" w:space="0" w:color="E0F5F9" w:themeColor="accent5"/>
          <w:bottom w:val="single" w:sz="8" w:space="0" w:color="E0F5F9" w:themeColor="accent5"/>
        </w:tcBorders>
      </w:tcPr>
    </w:tblStylePr>
    <w:tblStylePr w:type="band1Vert">
      <w:tblPr/>
      <w:tcPr>
        <w:shd w:val="clear" w:color="auto" w:fill="F7FCFD" w:themeFill="accent5" w:themeFillTint="3F"/>
      </w:tcPr>
    </w:tblStylePr>
    <w:tblStylePr w:type="band1Horz">
      <w:tblPr/>
      <w:tcPr>
        <w:shd w:val="clear" w:color="auto" w:fill="F7FCFD" w:themeFill="accent5" w:themeFillTint="3F"/>
      </w:tcPr>
    </w:tblStylePr>
  </w:style>
  <w:style w:type="table" w:styleId="MediumList1-Accent6">
    <w:name w:val="Medium List 1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BEEEF" w:themeColor="accent6"/>
        <w:bottom w:val="single" w:sz="8" w:space="0" w:color="EBEEEF" w:themeColor="accent6"/>
      </w:tblBorders>
    </w:tblPr>
    <w:tblStylePr w:type="firstRow">
      <w:rPr>
        <w:rFonts w:asciiTheme="majorHAnsi" w:eastAsiaTheme="majorEastAsia" w:hAnsiTheme="majorHAnsi" w:cstheme="majorBidi"/>
      </w:rPr>
      <w:tblPr/>
      <w:tcPr>
        <w:tcBorders>
          <w:top w:val="nil"/>
          <w:bottom w:val="single" w:sz="8" w:space="0" w:color="EBEEEF" w:themeColor="accent6"/>
        </w:tcBorders>
      </w:tcPr>
    </w:tblStylePr>
    <w:tblStylePr w:type="lastRow">
      <w:rPr>
        <w:b/>
        <w:bCs/>
        <w:color w:val="3C545D" w:themeColor="text2"/>
      </w:rPr>
      <w:tblPr/>
      <w:tcPr>
        <w:tcBorders>
          <w:top w:val="single" w:sz="8" w:space="0" w:color="EBEEEF" w:themeColor="accent6"/>
          <w:bottom w:val="single" w:sz="8" w:space="0" w:color="EBEEEF" w:themeColor="accent6"/>
        </w:tcBorders>
      </w:tcPr>
    </w:tblStylePr>
    <w:tblStylePr w:type="firstCol">
      <w:rPr>
        <w:b/>
        <w:bCs/>
      </w:rPr>
    </w:tblStylePr>
    <w:tblStylePr w:type="lastCol">
      <w:rPr>
        <w:b/>
        <w:bCs/>
      </w:rPr>
      <w:tblPr/>
      <w:tcPr>
        <w:tcBorders>
          <w:top w:val="single" w:sz="8" w:space="0" w:color="EBEEEF" w:themeColor="accent6"/>
          <w:bottom w:val="single" w:sz="8" w:space="0" w:color="EBEEEF" w:themeColor="accent6"/>
        </w:tcBorders>
      </w:tcPr>
    </w:tblStylePr>
    <w:tblStylePr w:type="band1Vert">
      <w:tblPr/>
      <w:tcPr>
        <w:shd w:val="clear" w:color="auto" w:fill="FAFAFB" w:themeFill="accent6" w:themeFillTint="3F"/>
      </w:tcPr>
    </w:tblStylePr>
    <w:tblStylePr w:type="band1Horz">
      <w:tblPr/>
      <w:tcPr>
        <w:shd w:val="clear" w:color="auto" w:fill="FAFAFB" w:themeFill="accent6" w:themeFillTint="3F"/>
      </w:tcPr>
    </w:tblStylePr>
  </w:style>
  <w:style w:type="table" w:styleId="MediumList2">
    <w:name w:val="Medium Lis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rPr>
        <w:sz w:val="24"/>
        <w:szCs w:val="24"/>
      </w:rPr>
      <w:tblPr/>
      <w:tcPr>
        <w:tcBorders>
          <w:top w:val="nil"/>
          <w:left w:val="nil"/>
          <w:bottom w:val="single" w:sz="24" w:space="0" w:color="213D46" w:themeColor="text1"/>
          <w:right w:val="nil"/>
          <w:insideH w:val="nil"/>
          <w:insideV w:val="nil"/>
        </w:tcBorders>
        <w:shd w:val="clear" w:color="auto" w:fill="FFFFFF" w:themeFill="background1"/>
      </w:tcPr>
    </w:tblStylePr>
    <w:tblStylePr w:type="lastRow">
      <w:tblPr/>
      <w:tcPr>
        <w:tcBorders>
          <w:top w:val="single" w:sz="8" w:space="0" w:color="213D46"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3D46" w:themeColor="text1"/>
          <w:insideH w:val="nil"/>
          <w:insideV w:val="nil"/>
        </w:tcBorders>
        <w:shd w:val="clear" w:color="auto" w:fill="FFFFFF" w:themeFill="background1"/>
      </w:tcPr>
    </w:tblStylePr>
    <w:tblStylePr w:type="lastCol">
      <w:tblPr/>
      <w:tcPr>
        <w:tcBorders>
          <w:top w:val="nil"/>
          <w:left w:val="single" w:sz="8" w:space="0" w:color="213D46"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top w:val="nil"/>
          <w:bottom w:val="nil"/>
          <w:insideH w:val="nil"/>
          <w:insideV w:val="nil"/>
        </w:tcBorders>
        <w:shd w:val="clear" w:color="auto" w:fill="BAD5DE"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rPr>
        <w:sz w:val="24"/>
        <w:szCs w:val="24"/>
      </w:rPr>
      <w:tblPr/>
      <w:tcPr>
        <w:tcBorders>
          <w:top w:val="nil"/>
          <w:left w:val="nil"/>
          <w:bottom w:val="single" w:sz="24" w:space="0" w:color="00A2BA" w:themeColor="accent1"/>
          <w:right w:val="nil"/>
          <w:insideH w:val="nil"/>
          <w:insideV w:val="nil"/>
        </w:tcBorders>
        <w:shd w:val="clear" w:color="auto" w:fill="FFFFFF" w:themeFill="background1"/>
      </w:tcPr>
    </w:tblStylePr>
    <w:tblStylePr w:type="lastRow">
      <w:tblPr/>
      <w:tcPr>
        <w:tcBorders>
          <w:top w:val="single" w:sz="8" w:space="0" w:color="00A2BA"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2BA" w:themeColor="accent1"/>
          <w:insideH w:val="nil"/>
          <w:insideV w:val="nil"/>
        </w:tcBorders>
        <w:shd w:val="clear" w:color="auto" w:fill="FFFFFF" w:themeFill="background1"/>
      </w:tcPr>
    </w:tblStylePr>
    <w:tblStylePr w:type="lastCol">
      <w:tblPr/>
      <w:tcPr>
        <w:tcBorders>
          <w:top w:val="nil"/>
          <w:left w:val="single" w:sz="8" w:space="0" w:color="00A2B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top w:val="nil"/>
          <w:bottom w:val="nil"/>
          <w:insideH w:val="nil"/>
          <w:insideV w:val="nil"/>
        </w:tcBorders>
        <w:shd w:val="clear" w:color="auto" w:fill="AEF4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rPr>
        <w:sz w:val="24"/>
        <w:szCs w:val="24"/>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tblPr/>
      <w:tcPr>
        <w:tcBorders>
          <w:top w:val="single" w:sz="8" w:space="0" w:color="00515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15D" w:themeColor="accent2"/>
          <w:insideH w:val="nil"/>
          <w:insideV w:val="nil"/>
        </w:tcBorders>
        <w:shd w:val="clear" w:color="auto" w:fill="FFFFFF" w:themeFill="background1"/>
      </w:tcPr>
    </w:tblStylePr>
    <w:tblStylePr w:type="lastCol">
      <w:tblPr/>
      <w:tcPr>
        <w:tcBorders>
          <w:top w:val="nil"/>
          <w:left w:val="single" w:sz="8" w:space="0" w:color="00515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top w:val="nil"/>
          <w:bottom w:val="nil"/>
          <w:insideH w:val="nil"/>
          <w:insideV w:val="nil"/>
        </w:tcBorders>
        <w:shd w:val="clear" w:color="auto" w:fill="97F1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rPr>
        <w:sz w:val="24"/>
        <w:szCs w:val="24"/>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tblPr/>
      <w:tcPr>
        <w:tcBorders>
          <w:top w:val="single" w:sz="8" w:space="0" w:color="00788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88A" w:themeColor="accent3"/>
          <w:insideH w:val="nil"/>
          <w:insideV w:val="nil"/>
        </w:tcBorders>
        <w:shd w:val="clear" w:color="auto" w:fill="FFFFFF" w:themeFill="background1"/>
      </w:tcPr>
    </w:tblStylePr>
    <w:tblStylePr w:type="lastCol">
      <w:tblPr/>
      <w:tcPr>
        <w:tcBorders>
          <w:top w:val="nil"/>
          <w:left w:val="single" w:sz="8" w:space="0" w:color="00788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top w:val="nil"/>
          <w:bottom w:val="nil"/>
          <w:insideH w:val="nil"/>
          <w:insideV w:val="nil"/>
        </w:tcBorders>
        <w:shd w:val="clear" w:color="auto" w:fill="A3F2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rPr>
        <w:sz w:val="24"/>
        <w:szCs w:val="24"/>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tblPr/>
      <w:tcPr>
        <w:tcBorders>
          <w:top w:val="single" w:sz="8" w:space="0" w:color="CCECF3"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ECF3" w:themeColor="accent4"/>
          <w:insideH w:val="nil"/>
          <w:insideV w:val="nil"/>
        </w:tcBorders>
        <w:shd w:val="clear" w:color="auto" w:fill="FFFFFF" w:themeFill="background1"/>
      </w:tcPr>
    </w:tblStylePr>
    <w:tblStylePr w:type="lastCol">
      <w:tblPr/>
      <w:tcPr>
        <w:tcBorders>
          <w:top w:val="nil"/>
          <w:left w:val="single" w:sz="8" w:space="0" w:color="CCECF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top w:val="nil"/>
          <w:bottom w:val="nil"/>
          <w:insideH w:val="nil"/>
          <w:insideV w:val="nil"/>
        </w:tcBorders>
        <w:shd w:val="clear" w:color="auto" w:fill="F2FAF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rPr>
        <w:sz w:val="24"/>
        <w:szCs w:val="24"/>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tblPr/>
      <w:tcPr>
        <w:tcBorders>
          <w:top w:val="single" w:sz="8" w:space="0" w:color="E0F5F9"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0F5F9" w:themeColor="accent5"/>
          <w:insideH w:val="nil"/>
          <w:insideV w:val="nil"/>
        </w:tcBorders>
        <w:shd w:val="clear" w:color="auto" w:fill="FFFFFF" w:themeFill="background1"/>
      </w:tcPr>
    </w:tblStylePr>
    <w:tblStylePr w:type="lastCol">
      <w:tblPr/>
      <w:tcPr>
        <w:tcBorders>
          <w:top w:val="nil"/>
          <w:left w:val="single" w:sz="8" w:space="0" w:color="E0F5F9"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top w:val="nil"/>
          <w:bottom w:val="nil"/>
          <w:insideH w:val="nil"/>
          <w:insideV w:val="nil"/>
        </w:tcBorders>
        <w:shd w:val="clear" w:color="auto" w:fill="F7FCF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rPr>
        <w:sz w:val="24"/>
        <w:szCs w:val="24"/>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tblPr/>
      <w:tcPr>
        <w:tcBorders>
          <w:top w:val="single" w:sz="8" w:space="0" w:color="EBEEEF"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EEEF" w:themeColor="accent6"/>
          <w:insideH w:val="nil"/>
          <w:insideV w:val="nil"/>
        </w:tcBorders>
        <w:shd w:val="clear" w:color="auto" w:fill="FFFFFF" w:themeFill="background1"/>
      </w:tcPr>
    </w:tblStylePr>
    <w:tblStylePr w:type="lastCol">
      <w:tblPr/>
      <w:tcPr>
        <w:tcBorders>
          <w:top w:val="nil"/>
          <w:left w:val="single" w:sz="8" w:space="0" w:color="EBEEE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top w:val="nil"/>
          <w:bottom w:val="nil"/>
          <w:insideH w:val="nil"/>
          <w:insideV w:val="nil"/>
        </w:tcBorders>
        <w:shd w:val="clear" w:color="auto" w:fill="FAFAF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tblBorders>
    </w:tblPr>
    <w:tblStylePr w:type="firstRow">
      <w:pPr>
        <w:spacing w:before="0" w:after="0" w:line="240" w:lineRule="auto"/>
      </w:pPr>
      <w:rPr>
        <w:b/>
        <w:bCs/>
        <w:color w:val="FFFFFF" w:themeColor="background1"/>
      </w:rPr>
      <w:tblPr/>
      <w:tcPr>
        <w:tc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shd w:val="clear" w:color="auto" w:fill="213D46" w:themeFill="text1"/>
      </w:tcPr>
    </w:tblStylePr>
    <w:tblStylePr w:type="lastRow">
      <w:pPr>
        <w:spacing w:before="0" w:after="0" w:line="240" w:lineRule="auto"/>
      </w:pPr>
      <w:rPr>
        <w:b/>
        <w:bCs/>
      </w:rPr>
      <w:tblPr/>
      <w:tcPr>
        <w:tcBorders>
          <w:top w:val="double" w:sz="6"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tcPr>
    </w:tblStylePr>
    <w:tblStylePr w:type="firstCol">
      <w:rPr>
        <w:b/>
        <w:bCs/>
      </w:rPr>
    </w:tblStylePr>
    <w:tblStylePr w:type="lastCol">
      <w:rPr>
        <w:b/>
        <w:bCs/>
      </w:rPr>
    </w:tblStylePr>
    <w:tblStylePr w:type="band1Vert">
      <w:tblPr/>
      <w:tcPr>
        <w:shd w:val="clear" w:color="auto" w:fill="BAD5DE" w:themeFill="text1" w:themeFillTint="3F"/>
      </w:tcPr>
    </w:tblStylePr>
    <w:tblStylePr w:type="band1Horz">
      <w:tblPr/>
      <w:tcPr>
        <w:tcBorders>
          <w:insideH w:val="nil"/>
          <w:insideV w:val="nil"/>
        </w:tcBorders>
        <w:shd w:val="clear" w:color="auto" w:fill="BAD5DE"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tblBorders>
    </w:tblPr>
    <w:tblStylePr w:type="firstRow">
      <w:pPr>
        <w:spacing w:before="0" w:after="0" w:line="240" w:lineRule="auto"/>
      </w:pPr>
      <w:rPr>
        <w:b/>
        <w:bCs/>
        <w:color w:val="FFFFFF" w:themeColor="background1"/>
      </w:rPr>
      <w:tblPr/>
      <w:tcPr>
        <w:tc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shd w:val="clear" w:color="auto" w:fill="00A2BA" w:themeFill="accent1"/>
      </w:tcPr>
    </w:tblStylePr>
    <w:tblStylePr w:type="lastRow">
      <w:pPr>
        <w:spacing w:before="0" w:after="0" w:line="240" w:lineRule="auto"/>
      </w:pPr>
      <w:rPr>
        <w:b/>
        <w:bCs/>
      </w:rPr>
      <w:tblPr/>
      <w:tcPr>
        <w:tcBorders>
          <w:top w:val="double" w:sz="6"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EF4FF" w:themeFill="accent1" w:themeFillTint="3F"/>
      </w:tcPr>
    </w:tblStylePr>
    <w:tblStylePr w:type="band1Horz">
      <w:tblPr/>
      <w:tcPr>
        <w:tcBorders>
          <w:insideH w:val="nil"/>
          <w:insideV w:val="nil"/>
        </w:tcBorders>
        <w:shd w:val="clear" w:color="auto" w:fill="AEF4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tblBorders>
    </w:tblPr>
    <w:tblStylePr w:type="firstRow">
      <w:pPr>
        <w:spacing w:before="0" w:after="0" w:line="240" w:lineRule="auto"/>
      </w:pPr>
      <w:rPr>
        <w:b/>
        <w:bCs/>
        <w:color w:val="FFFFFF" w:themeColor="background1"/>
      </w:rPr>
      <w:tblPr/>
      <w:tcPr>
        <w:tc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shd w:val="clear" w:color="auto" w:fill="00515D" w:themeFill="accent2"/>
      </w:tcPr>
    </w:tblStylePr>
    <w:tblStylePr w:type="lastRow">
      <w:pPr>
        <w:spacing w:before="0" w:after="0" w:line="240" w:lineRule="auto"/>
      </w:pPr>
      <w:rPr>
        <w:b/>
        <w:bCs/>
      </w:rPr>
      <w:tblPr/>
      <w:tcPr>
        <w:tcBorders>
          <w:top w:val="double" w:sz="6"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97F1FF" w:themeFill="accent2" w:themeFillTint="3F"/>
      </w:tcPr>
    </w:tblStylePr>
    <w:tblStylePr w:type="band1Horz">
      <w:tblPr/>
      <w:tcPr>
        <w:tcBorders>
          <w:insideH w:val="nil"/>
          <w:insideV w:val="nil"/>
        </w:tcBorders>
        <w:shd w:val="clear" w:color="auto" w:fill="97F1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tblBorders>
    </w:tblPr>
    <w:tblStylePr w:type="firstRow">
      <w:pPr>
        <w:spacing w:before="0" w:after="0" w:line="240" w:lineRule="auto"/>
      </w:pPr>
      <w:rPr>
        <w:b/>
        <w:bCs/>
        <w:color w:val="FFFFFF" w:themeColor="background1"/>
      </w:rPr>
      <w:tblPr/>
      <w:tcPr>
        <w:tc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shd w:val="clear" w:color="auto" w:fill="00788A" w:themeFill="accent3"/>
      </w:tcPr>
    </w:tblStylePr>
    <w:tblStylePr w:type="lastRow">
      <w:pPr>
        <w:spacing w:before="0" w:after="0" w:line="240" w:lineRule="auto"/>
      </w:pPr>
      <w:rPr>
        <w:b/>
        <w:bCs/>
      </w:rPr>
      <w:tblPr/>
      <w:tcPr>
        <w:tcBorders>
          <w:top w:val="double" w:sz="6"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tcPr>
    </w:tblStylePr>
    <w:tblStylePr w:type="firstCol">
      <w:rPr>
        <w:b/>
        <w:bCs/>
      </w:rPr>
    </w:tblStylePr>
    <w:tblStylePr w:type="lastCol">
      <w:rPr>
        <w:b/>
        <w:bCs/>
      </w:rPr>
    </w:tblStylePr>
    <w:tblStylePr w:type="band1Vert">
      <w:tblPr/>
      <w:tcPr>
        <w:shd w:val="clear" w:color="auto" w:fill="A3F2FF" w:themeFill="accent3" w:themeFillTint="3F"/>
      </w:tcPr>
    </w:tblStylePr>
    <w:tblStylePr w:type="band1Horz">
      <w:tblPr/>
      <w:tcPr>
        <w:tcBorders>
          <w:insideH w:val="nil"/>
          <w:insideV w:val="nil"/>
        </w:tcBorders>
        <w:shd w:val="clear" w:color="auto" w:fill="A3F2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tblBorders>
    </w:tblPr>
    <w:tblStylePr w:type="firstRow">
      <w:pPr>
        <w:spacing w:before="0" w:after="0" w:line="240" w:lineRule="auto"/>
      </w:pPr>
      <w:rPr>
        <w:b/>
        <w:bCs/>
        <w:color w:val="FFFFFF" w:themeColor="background1"/>
      </w:rPr>
      <w:tblPr/>
      <w:tcPr>
        <w:tc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shd w:val="clear" w:color="auto" w:fill="CCECF3" w:themeFill="accent4"/>
      </w:tcPr>
    </w:tblStylePr>
    <w:tblStylePr w:type="lastRow">
      <w:pPr>
        <w:spacing w:before="0" w:after="0" w:line="240" w:lineRule="auto"/>
      </w:pPr>
      <w:rPr>
        <w:b/>
        <w:bCs/>
      </w:rPr>
      <w:tblPr/>
      <w:tcPr>
        <w:tcBorders>
          <w:top w:val="double" w:sz="6"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2FAFC" w:themeFill="accent4" w:themeFillTint="3F"/>
      </w:tcPr>
    </w:tblStylePr>
    <w:tblStylePr w:type="band1Horz">
      <w:tblPr/>
      <w:tcPr>
        <w:tcBorders>
          <w:insideH w:val="nil"/>
          <w:insideV w:val="nil"/>
        </w:tcBorders>
        <w:shd w:val="clear" w:color="auto" w:fill="F2FAF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tblBorders>
    </w:tblPr>
    <w:tblStylePr w:type="firstRow">
      <w:pPr>
        <w:spacing w:before="0" w:after="0" w:line="240" w:lineRule="auto"/>
      </w:pPr>
      <w:rPr>
        <w:b/>
        <w:bCs/>
        <w:color w:val="FFFFFF" w:themeColor="background1"/>
      </w:rPr>
      <w:tblPr/>
      <w:tcPr>
        <w:tc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shd w:val="clear" w:color="auto" w:fill="E0F5F9" w:themeFill="accent5"/>
      </w:tcPr>
    </w:tblStylePr>
    <w:tblStylePr w:type="lastRow">
      <w:pPr>
        <w:spacing w:before="0" w:after="0" w:line="240" w:lineRule="auto"/>
      </w:pPr>
      <w:rPr>
        <w:b/>
        <w:bCs/>
      </w:rPr>
      <w:tblPr/>
      <w:tcPr>
        <w:tcBorders>
          <w:top w:val="double" w:sz="6"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tcPr>
    </w:tblStylePr>
    <w:tblStylePr w:type="firstCol">
      <w:rPr>
        <w:b/>
        <w:bCs/>
      </w:rPr>
    </w:tblStylePr>
    <w:tblStylePr w:type="lastCol">
      <w:rPr>
        <w:b/>
        <w:bCs/>
      </w:rPr>
    </w:tblStylePr>
    <w:tblStylePr w:type="band1Vert">
      <w:tblPr/>
      <w:tcPr>
        <w:shd w:val="clear" w:color="auto" w:fill="F7FCFD" w:themeFill="accent5" w:themeFillTint="3F"/>
      </w:tcPr>
    </w:tblStylePr>
    <w:tblStylePr w:type="band1Horz">
      <w:tblPr/>
      <w:tcPr>
        <w:tcBorders>
          <w:insideH w:val="nil"/>
          <w:insideV w:val="nil"/>
        </w:tcBorders>
        <w:shd w:val="clear" w:color="auto" w:fill="F7FCF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tblBorders>
    </w:tblPr>
    <w:tblStylePr w:type="firstRow">
      <w:pPr>
        <w:spacing w:before="0" w:after="0" w:line="240" w:lineRule="auto"/>
      </w:pPr>
      <w:rPr>
        <w:b/>
        <w:bCs/>
        <w:color w:val="FFFFFF" w:themeColor="background1"/>
      </w:rPr>
      <w:tblPr/>
      <w:tcPr>
        <w:tc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shd w:val="clear" w:color="auto" w:fill="EBEEEF" w:themeFill="accent6"/>
      </w:tcPr>
    </w:tblStylePr>
    <w:tblStylePr w:type="lastRow">
      <w:pPr>
        <w:spacing w:before="0" w:after="0" w:line="240" w:lineRule="auto"/>
      </w:pPr>
      <w:rPr>
        <w:b/>
        <w:bCs/>
      </w:rPr>
      <w:tblPr/>
      <w:tcPr>
        <w:tcBorders>
          <w:top w:val="double" w:sz="6"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tcPr>
    </w:tblStylePr>
    <w:tblStylePr w:type="firstCol">
      <w:rPr>
        <w:b/>
        <w:bCs/>
      </w:rPr>
    </w:tblStylePr>
    <w:tblStylePr w:type="lastCol">
      <w:rPr>
        <w:b/>
        <w:bCs/>
      </w:rPr>
    </w:tblStylePr>
    <w:tblStylePr w:type="band1Vert">
      <w:tblPr/>
      <w:tcPr>
        <w:shd w:val="clear" w:color="auto" w:fill="FAFAFB" w:themeFill="accent6" w:themeFillTint="3F"/>
      </w:tcPr>
    </w:tblStylePr>
    <w:tblStylePr w:type="band1Horz">
      <w:tblPr/>
      <w:tcPr>
        <w:tcBorders>
          <w:insideH w:val="nil"/>
          <w:insideV w:val="nil"/>
        </w:tcBorders>
        <w:shd w:val="clear" w:color="auto" w:fill="FAFAF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3D46"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13D46" w:themeFill="text1"/>
      </w:tcPr>
    </w:tblStylePr>
    <w:tblStylePr w:type="lastCol">
      <w:rPr>
        <w:b/>
        <w:bCs/>
        <w:color w:val="FFFFFF" w:themeColor="background1"/>
      </w:rPr>
      <w:tblPr/>
      <w:tcPr>
        <w:tcBorders>
          <w:left w:val="nil"/>
          <w:right w:val="nil"/>
          <w:insideH w:val="nil"/>
          <w:insideV w:val="nil"/>
        </w:tcBorders>
        <w:shd w:val="clear" w:color="auto" w:fill="213D46"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2B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A2BA" w:themeFill="accent1"/>
      </w:tcPr>
    </w:tblStylePr>
    <w:tblStylePr w:type="lastCol">
      <w:rPr>
        <w:b/>
        <w:bCs/>
        <w:color w:val="FFFFFF" w:themeColor="background1"/>
      </w:rPr>
      <w:tblPr/>
      <w:tcPr>
        <w:tcBorders>
          <w:left w:val="nil"/>
          <w:right w:val="nil"/>
          <w:insideH w:val="nil"/>
          <w:insideV w:val="nil"/>
        </w:tcBorders>
        <w:shd w:val="clear" w:color="auto" w:fill="00A2B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15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15D" w:themeFill="accent2"/>
      </w:tcPr>
    </w:tblStylePr>
    <w:tblStylePr w:type="lastCol">
      <w:rPr>
        <w:b/>
        <w:bCs/>
        <w:color w:val="FFFFFF" w:themeColor="background1"/>
      </w:rPr>
      <w:tblPr/>
      <w:tcPr>
        <w:tcBorders>
          <w:left w:val="nil"/>
          <w:right w:val="nil"/>
          <w:insideH w:val="nil"/>
          <w:insideV w:val="nil"/>
        </w:tcBorders>
        <w:shd w:val="clear" w:color="auto" w:fill="00515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88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788A" w:themeFill="accent3"/>
      </w:tcPr>
    </w:tblStylePr>
    <w:tblStylePr w:type="lastCol">
      <w:rPr>
        <w:b/>
        <w:bCs/>
        <w:color w:val="FFFFFF" w:themeColor="background1"/>
      </w:rPr>
      <w:tblPr/>
      <w:tcPr>
        <w:tcBorders>
          <w:left w:val="nil"/>
          <w:right w:val="nil"/>
          <w:insideH w:val="nil"/>
          <w:insideV w:val="nil"/>
        </w:tcBorders>
        <w:shd w:val="clear" w:color="auto" w:fill="00788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ECF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CECF3" w:themeFill="accent4"/>
      </w:tcPr>
    </w:tblStylePr>
    <w:tblStylePr w:type="lastCol">
      <w:rPr>
        <w:b/>
        <w:bCs/>
        <w:color w:val="FFFFFF" w:themeColor="background1"/>
      </w:rPr>
      <w:tblPr/>
      <w:tcPr>
        <w:tcBorders>
          <w:left w:val="nil"/>
          <w:right w:val="nil"/>
          <w:insideH w:val="nil"/>
          <w:insideV w:val="nil"/>
        </w:tcBorders>
        <w:shd w:val="clear" w:color="auto" w:fill="CCECF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0F5F9"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0F5F9" w:themeFill="accent5"/>
      </w:tcPr>
    </w:tblStylePr>
    <w:tblStylePr w:type="lastCol">
      <w:rPr>
        <w:b/>
        <w:bCs/>
        <w:color w:val="FFFFFF" w:themeColor="background1"/>
      </w:rPr>
      <w:tblPr/>
      <w:tcPr>
        <w:tcBorders>
          <w:left w:val="nil"/>
          <w:right w:val="nil"/>
          <w:insideH w:val="nil"/>
          <w:insideV w:val="nil"/>
        </w:tcBorders>
        <w:shd w:val="clear" w:color="auto" w:fill="E0F5F9"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EEE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EEEF" w:themeFill="accent6"/>
      </w:tcPr>
    </w:tblStylePr>
    <w:tblStylePr w:type="lastCol">
      <w:rPr>
        <w:b/>
        <w:bCs/>
        <w:color w:val="FFFFFF" w:themeColor="background1"/>
      </w:rPr>
      <w:tblPr/>
      <w:tcPr>
        <w:tcBorders>
          <w:left w:val="nil"/>
          <w:right w:val="nil"/>
          <w:insideH w:val="nil"/>
          <w:insideV w:val="nil"/>
        </w:tcBorders>
        <w:shd w:val="clear" w:color="auto" w:fill="EBEEE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911DE3"/>
    <w:rPr>
      <w:color w:val="2B579A"/>
      <w:shd w:val="clear" w:color="auto" w:fill="E1DFDD"/>
      <w:lang w:val="en-GB"/>
    </w:rPr>
  </w:style>
  <w:style w:type="paragraph" w:styleId="MessageHeader">
    <w:name w:val="Message Header"/>
    <w:basedOn w:val="Normal"/>
    <w:link w:val="MessageHeaderChar"/>
    <w:uiPriority w:val="99"/>
    <w:semiHidden/>
    <w:rsid w:val="00911DE3"/>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eastAsiaTheme="majorEastAsia" w:cs="Arial"/>
    </w:rPr>
  </w:style>
  <w:style w:type="character" w:customStyle="1" w:styleId="MessageHeaderChar">
    <w:name w:val="Message Header Char"/>
    <w:basedOn w:val="DefaultParagraphFont"/>
    <w:link w:val="MessageHeader"/>
    <w:uiPriority w:val="99"/>
    <w:semiHidden/>
    <w:rsid w:val="00A44986"/>
    <w:rPr>
      <w:rFonts w:eastAsiaTheme="majorEastAsia" w:cs="Arial"/>
      <w:sz w:val="24"/>
      <w:szCs w:val="24"/>
      <w:shd w:val="pct20" w:color="auto" w:fill="auto"/>
      <w:lang w:val="en-GB"/>
    </w:rPr>
  </w:style>
  <w:style w:type="paragraph" w:styleId="NoSpacing">
    <w:name w:val="No Spacing"/>
    <w:uiPriority w:val="99"/>
    <w:semiHidden/>
    <w:rsid w:val="00911DE3"/>
    <w:pPr>
      <w:spacing w:line="240" w:lineRule="auto"/>
    </w:pPr>
    <w:rPr>
      <w:lang w:val="en-GB"/>
    </w:rPr>
  </w:style>
  <w:style w:type="paragraph" w:styleId="NormalWeb">
    <w:name w:val="Normal (Web)"/>
    <w:basedOn w:val="Normal"/>
    <w:uiPriority w:val="99"/>
    <w:semiHidden/>
    <w:rsid w:val="00911DE3"/>
    <w:rPr>
      <w:rFonts w:cs="Arial"/>
    </w:rPr>
  </w:style>
  <w:style w:type="paragraph" w:styleId="NormalIndent">
    <w:name w:val="Normal Indent"/>
    <w:basedOn w:val="Normal"/>
    <w:uiPriority w:val="99"/>
    <w:semiHidden/>
    <w:rsid w:val="00757937"/>
    <w:pPr>
      <w:ind w:left="284"/>
    </w:pPr>
  </w:style>
  <w:style w:type="paragraph" w:styleId="NoteHeading">
    <w:name w:val="Note Heading"/>
    <w:basedOn w:val="Normal"/>
    <w:next w:val="Normal"/>
    <w:link w:val="NoteHeadingChar"/>
    <w:uiPriority w:val="99"/>
    <w:semiHidden/>
    <w:rsid w:val="00911DE3"/>
    <w:pPr>
      <w:spacing w:line="240" w:lineRule="auto"/>
    </w:pPr>
  </w:style>
  <w:style w:type="character" w:customStyle="1" w:styleId="NoteHeadingChar">
    <w:name w:val="Note Heading Char"/>
    <w:basedOn w:val="DefaultParagraphFont"/>
    <w:link w:val="NoteHeading"/>
    <w:uiPriority w:val="99"/>
    <w:semiHidden/>
    <w:rsid w:val="00A44986"/>
    <w:rPr>
      <w:lang w:val="en-GB"/>
    </w:rPr>
  </w:style>
  <w:style w:type="character" w:styleId="PageNumber">
    <w:name w:val="page number"/>
    <w:basedOn w:val="DefaultParagraphFont"/>
    <w:uiPriority w:val="99"/>
    <w:semiHidden/>
    <w:rsid w:val="00911DE3"/>
    <w:rPr>
      <w:lang w:val="en-GB"/>
    </w:rPr>
  </w:style>
  <w:style w:type="character" w:styleId="PlaceholderText">
    <w:name w:val="Placeholder Text"/>
    <w:basedOn w:val="DefaultParagraphFont"/>
    <w:uiPriority w:val="99"/>
    <w:semiHidden/>
    <w:rsid w:val="00911DE3"/>
    <w:rPr>
      <w:color w:val="808080"/>
      <w:lang w:val="en-GB"/>
    </w:rPr>
  </w:style>
  <w:style w:type="table" w:styleId="PlainTable1">
    <w:name w:val="Plain Table 1"/>
    <w:basedOn w:val="TableNormal"/>
    <w:uiPriority w:val="99"/>
    <w:rsid w:val="00911DE3"/>
    <w:pPr>
      <w:spacing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911DE3"/>
    <w:pPr>
      <w:spacing w:line="240" w:lineRule="auto"/>
    </w:pPr>
    <w:rPr>
      <w:lang w:val="en-GB"/>
    </w:rPr>
    <w:tblPr>
      <w:tblStyleRowBandSize w:val="1"/>
      <w:tblStyleColBandSize w:val="1"/>
      <w:tblBorders>
        <w:top w:val="single" w:sz="4" w:space="0" w:color="74ABBD" w:themeColor="text1" w:themeTint="80"/>
        <w:bottom w:val="single" w:sz="4" w:space="0" w:color="74ABBD" w:themeColor="text1" w:themeTint="80"/>
      </w:tblBorders>
    </w:tblPr>
    <w:tblStylePr w:type="firstRow">
      <w:rPr>
        <w:b/>
        <w:bCs/>
      </w:rPr>
      <w:tblPr/>
      <w:tcPr>
        <w:tcBorders>
          <w:bottom w:val="single" w:sz="4" w:space="0" w:color="74ABBD" w:themeColor="text1" w:themeTint="80"/>
        </w:tcBorders>
      </w:tcPr>
    </w:tblStylePr>
    <w:tblStylePr w:type="lastRow">
      <w:rPr>
        <w:b/>
        <w:bCs/>
      </w:rPr>
      <w:tblPr/>
      <w:tcPr>
        <w:tcBorders>
          <w:top w:val="single" w:sz="4" w:space="0" w:color="74ABBD" w:themeColor="text1" w:themeTint="80"/>
        </w:tcBorders>
      </w:tcPr>
    </w:tblStylePr>
    <w:tblStylePr w:type="firstCol">
      <w:rPr>
        <w:b/>
        <w:bCs/>
      </w:rPr>
    </w:tblStylePr>
    <w:tblStylePr w:type="lastCol">
      <w:rPr>
        <w:b/>
        <w:bCs/>
      </w:rPr>
    </w:tblStylePr>
    <w:tblStylePr w:type="band1Vert">
      <w:tblPr/>
      <w:tcPr>
        <w:tcBorders>
          <w:left w:val="single" w:sz="4" w:space="0" w:color="74ABBD" w:themeColor="text1" w:themeTint="80"/>
          <w:right w:val="single" w:sz="4" w:space="0" w:color="74ABBD" w:themeColor="text1" w:themeTint="80"/>
        </w:tcBorders>
      </w:tcPr>
    </w:tblStylePr>
    <w:tblStylePr w:type="band2Vert">
      <w:tblPr/>
      <w:tcPr>
        <w:tcBorders>
          <w:left w:val="single" w:sz="4" w:space="0" w:color="74ABBD" w:themeColor="text1" w:themeTint="80"/>
          <w:right w:val="single" w:sz="4" w:space="0" w:color="74ABBD" w:themeColor="text1" w:themeTint="80"/>
        </w:tcBorders>
      </w:tcPr>
    </w:tblStylePr>
    <w:tblStylePr w:type="band1Horz">
      <w:tblPr/>
      <w:tcPr>
        <w:tcBorders>
          <w:top w:val="single" w:sz="4" w:space="0" w:color="74ABBD" w:themeColor="text1" w:themeTint="80"/>
          <w:bottom w:val="single" w:sz="4" w:space="0" w:color="74ABBD" w:themeColor="text1" w:themeTint="80"/>
        </w:tcBorders>
      </w:tcPr>
    </w:tblStylePr>
  </w:style>
  <w:style w:type="table" w:styleId="PlainTable3">
    <w:name w:val="Plain Table 3"/>
    <w:basedOn w:val="TableNormal"/>
    <w:uiPriority w:val="99"/>
    <w:rsid w:val="00911DE3"/>
    <w:pPr>
      <w:spacing w:line="240" w:lineRule="auto"/>
    </w:pPr>
    <w:rPr>
      <w:lang w:val="en-GB"/>
    </w:rPr>
    <w:tblPr>
      <w:tblStyleRowBandSize w:val="1"/>
      <w:tblStyleColBandSize w:val="1"/>
    </w:tblPr>
    <w:tblStylePr w:type="firstRow">
      <w:rPr>
        <w:b/>
        <w:bCs/>
        <w:caps/>
      </w:rPr>
      <w:tblPr/>
      <w:tcPr>
        <w:tcBorders>
          <w:bottom w:val="single" w:sz="4" w:space="0" w:color="74ABBD"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4ABBD"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911DE3"/>
    <w:pPr>
      <w:spacing w:line="240" w:lineRule="auto"/>
    </w:pPr>
    <w:rPr>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911DE3"/>
    <w:pPr>
      <w:spacing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ABBD"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ABBD"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ABBD"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ABBD"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911DE3"/>
    <w:pPr>
      <w:spacing w:line="240" w:lineRule="auto"/>
    </w:pPr>
    <w:rPr>
      <w:rFonts w:cs="Arial"/>
      <w:sz w:val="21"/>
      <w:szCs w:val="21"/>
    </w:rPr>
  </w:style>
  <w:style w:type="character" w:customStyle="1" w:styleId="PlainTextChar">
    <w:name w:val="Plain Text Char"/>
    <w:basedOn w:val="DefaultParagraphFont"/>
    <w:link w:val="PlainText"/>
    <w:uiPriority w:val="99"/>
    <w:semiHidden/>
    <w:rsid w:val="00A44986"/>
    <w:rPr>
      <w:rFonts w:cs="Arial"/>
      <w:sz w:val="21"/>
      <w:szCs w:val="21"/>
      <w:lang w:val="en-GB"/>
    </w:rPr>
  </w:style>
  <w:style w:type="paragraph" w:styleId="Quote">
    <w:name w:val="Quote"/>
    <w:basedOn w:val="Normal"/>
    <w:next w:val="Normal"/>
    <w:link w:val="QuoteChar"/>
    <w:uiPriority w:val="12"/>
    <w:semiHidden/>
    <w:rsid w:val="00051144"/>
    <w:pPr>
      <w:spacing w:before="340" w:after="340" w:line="400" w:lineRule="atLeast"/>
      <w:ind w:left="567" w:right="567"/>
    </w:pPr>
    <w:rPr>
      <w:rFonts w:asciiTheme="majorHAnsi" w:hAnsiTheme="majorHAnsi"/>
      <w:iCs/>
      <w:color w:val="00A2BA" w:themeColor="accent1"/>
      <w:sz w:val="32"/>
    </w:rPr>
  </w:style>
  <w:style w:type="character" w:customStyle="1" w:styleId="QuoteChar">
    <w:name w:val="Quote Char"/>
    <w:basedOn w:val="DefaultParagraphFont"/>
    <w:link w:val="Quote"/>
    <w:uiPriority w:val="12"/>
    <w:semiHidden/>
    <w:rsid w:val="0099674D"/>
    <w:rPr>
      <w:rFonts w:asciiTheme="majorHAnsi" w:hAnsiTheme="majorHAnsi"/>
      <w:iCs/>
      <w:color w:val="00A2BA" w:themeColor="accent1"/>
      <w:sz w:val="32"/>
      <w:lang w:val="en-GB"/>
    </w:rPr>
  </w:style>
  <w:style w:type="paragraph" w:styleId="Salutation">
    <w:name w:val="Salutation"/>
    <w:basedOn w:val="Normal"/>
    <w:next w:val="Normal"/>
    <w:link w:val="SalutationChar"/>
    <w:uiPriority w:val="99"/>
    <w:semiHidden/>
    <w:rsid w:val="00911DE3"/>
  </w:style>
  <w:style w:type="character" w:customStyle="1" w:styleId="SalutationChar">
    <w:name w:val="Salutation Char"/>
    <w:basedOn w:val="DefaultParagraphFont"/>
    <w:link w:val="Salutation"/>
    <w:uiPriority w:val="99"/>
    <w:semiHidden/>
    <w:rsid w:val="00A44986"/>
    <w:rPr>
      <w:lang w:val="en-GB"/>
    </w:rPr>
  </w:style>
  <w:style w:type="paragraph" w:styleId="Signature">
    <w:name w:val="Signature"/>
    <w:basedOn w:val="Normal"/>
    <w:link w:val="SignatureChar"/>
    <w:uiPriority w:val="99"/>
    <w:semiHidden/>
    <w:rsid w:val="00911DE3"/>
    <w:pPr>
      <w:spacing w:line="240" w:lineRule="auto"/>
      <w:ind w:left="4252"/>
    </w:pPr>
  </w:style>
  <w:style w:type="character" w:customStyle="1" w:styleId="SignatureChar">
    <w:name w:val="Signature Char"/>
    <w:basedOn w:val="DefaultParagraphFont"/>
    <w:link w:val="Signature"/>
    <w:uiPriority w:val="99"/>
    <w:semiHidden/>
    <w:rsid w:val="00A44986"/>
    <w:rPr>
      <w:lang w:val="en-GB"/>
    </w:rPr>
  </w:style>
  <w:style w:type="character" w:styleId="SmartHyperlink">
    <w:name w:val="Smart Hyperlink"/>
    <w:basedOn w:val="DefaultParagraphFont"/>
    <w:uiPriority w:val="99"/>
    <w:semiHidden/>
    <w:rsid w:val="00911DE3"/>
    <w:rPr>
      <w:u w:val="dotted"/>
      <w:lang w:val="en-GB"/>
    </w:rPr>
  </w:style>
  <w:style w:type="character" w:styleId="SmartLink">
    <w:name w:val="Smart Link"/>
    <w:basedOn w:val="DefaultParagraphFont"/>
    <w:uiPriority w:val="99"/>
    <w:semiHidden/>
    <w:rsid w:val="00911DE3"/>
    <w:rPr>
      <w:color w:val="0000FF"/>
      <w:u w:val="single"/>
      <w:shd w:val="clear" w:color="auto" w:fill="F3F2F1"/>
      <w:lang w:val="en-GB"/>
    </w:rPr>
  </w:style>
  <w:style w:type="character" w:styleId="Strong">
    <w:name w:val="Strong"/>
    <w:basedOn w:val="DefaultParagraphFont"/>
    <w:uiPriority w:val="22"/>
    <w:qFormat/>
    <w:rsid w:val="00911DE3"/>
    <w:rPr>
      <w:b/>
      <w:bCs/>
      <w:lang w:val="en-GB"/>
    </w:rPr>
  </w:style>
  <w:style w:type="paragraph" w:styleId="Subtitle">
    <w:name w:val="Subtitle"/>
    <w:basedOn w:val="Normal"/>
    <w:next w:val="Normal"/>
    <w:link w:val="SubtitleChar"/>
    <w:uiPriority w:val="99"/>
    <w:semiHidden/>
    <w:qFormat/>
    <w:rsid w:val="00911DE3"/>
    <w:pPr>
      <w:numPr>
        <w:ilvl w:val="1"/>
      </w:numPr>
      <w:spacing w:after="160"/>
    </w:pPr>
    <w:rPr>
      <w:rFonts w:eastAsiaTheme="minorEastAsia" w:cs="Arial"/>
      <w:color w:val="4F91A7" w:themeColor="text1" w:themeTint="A5"/>
      <w:spacing w:val="15"/>
      <w:sz w:val="22"/>
      <w:szCs w:val="22"/>
    </w:rPr>
  </w:style>
  <w:style w:type="character" w:customStyle="1" w:styleId="SubtitleChar">
    <w:name w:val="Subtitle Char"/>
    <w:basedOn w:val="DefaultParagraphFont"/>
    <w:link w:val="Subtitle"/>
    <w:uiPriority w:val="99"/>
    <w:semiHidden/>
    <w:rsid w:val="00A44986"/>
    <w:rPr>
      <w:rFonts w:eastAsiaTheme="minorEastAsia" w:cs="Arial"/>
      <w:color w:val="4F91A7" w:themeColor="text1" w:themeTint="A5"/>
      <w:spacing w:val="15"/>
      <w:sz w:val="22"/>
      <w:szCs w:val="22"/>
      <w:lang w:val="en-GB"/>
    </w:rPr>
  </w:style>
  <w:style w:type="character" w:styleId="SubtleEmphasis">
    <w:name w:val="Subtle Emphasis"/>
    <w:basedOn w:val="DefaultParagraphFont"/>
    <w:uiPriority w:val="99"/>
    <w:semiHidden/>
    <w:qFormat/>
    <w:rsid w:val="00911DE3"/>
    <w:rPr>
      <w:i/>
      <w:iCs/>
      <w:color w:val="41798B" w:themeColor="text1" w:themeTint="BF"/>
      <w:lang w:val="en-GB"/>
    </w:rPr>
  </w:style>
  <w:style w:type="character" w:styleId="SubtleReference">
    <w:name w:val="Subtle Reference"/>
    <w:basedOn w:val="DefaultParagraphFont"/>
    <w:uiPriority w:val="99"/>
    <w:semiHidden/>
    <w:qFormat/>
    <w:rsid w:val="00911DE3"/>
    <w:rPr>
      <w:smallCaps/>
      <w:color w:val="4F91A7" w:themeColor="text1" w:themeTint="A5"/>
      <w:lang w:val="en-GB"/>
    </w:rPr>
  </w:style>
  <w:style w:type="table" w:styleId="Table3Deffects1">
    <w:name w:val="Table 3D effects 1"/>
    <w:basedOn w:val="TableNormal"/>
    <w:uiPriority w:val="99"/>
    <w:semiHidden/>
    <w:unhideWhenUsed/>
    <w:rsid w:val="00911DE3"/>
    <w:rPr>
      <w:lang w:val="en-GB"/>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11DE3"/>
    <w:rPr>
      <w:lang w:val="en-GB"/>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11DE3"/>
    <w:rPr>
      <w:lang w:val="en-GB"/>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11DE3"/>
    <w:rPr>
      <w:color w:val="000080"/>
      <w:lang w:val="en-GB"/>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11DE3"/>
    <w:rPr>
      <w:lang w:val="en-GB"/>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11DE3"/>
    <w:rPr>
      <w:color w:val="FFFFFF"/>
      <w:lang w:val="en-GB"/>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11DE3"/>
    <w:rPr>
      <w:lang w:val="en-GB"/>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11DE3"/>
    <w:rPr>
      <w:lang w:val="en-GB"/>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11DE3"/>
    <w:rPr>
      <w:b/>
      <w:bCs/>
      <w:lang w:val="en-GB"/>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11DE3"/>
    <w:rPr>
      <w:b/>
      <w:bCs/>
      <w:lang w:val="en-GB"/>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11DE3"/>
    <w:rPr>
      <w:b/>
      <w:bCs/>
      <w:lang w:val="en-GB"/>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11DE3"/>
    <w:rPr>
      <w:lang w:val="en-GB"/>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11DE3"/>
    <w:rPr>
      <w:lang w:val="en-GB"/>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11DE3"/>
    <w:rPr>
      <w:lang w:val="en-GB"/>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11DE3"/>
    <w:rPr>
      <w:lang w:val="en-GB"/>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02684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11DE3"/>
    <w:rPr>
      <w:lang w:val="en-GB"/>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11DE3"/>
    <w:rPr>
      <w:lang w:val="en-GB"/>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11DE3"/>
    <w:rPr>
      <w:lang w:val="en-GB"/>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11DE3"/>
    <w:rPr>
      <w:b/>
      <w:bCs/>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11DE3"/>
    <w:rPr>
      <w:lang w:val="en-GB"/>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911DE3"/>
    <w:pPr>
      <w:spacing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11DE3"/>
    <w:rPr>
      <w:lang w:val="en-GB"/>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11DE3"/>
    <w:rPr>
      <w:lang w:val="en-GB"/>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11DE3"/>
    <w:rPr>
      <w:lang w:val="en-GB"/>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11DE3"/>
    <w:rPr>
      <w:lang w:val="en-GB"/>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911DE3"/>
    <w:pPr>
      <w:ind w:left="200" w:hanging="200"/>
    </w:pPr>
  </w:style>
  <w:style w:type="paragraph" w:styleId="TableofFigures">
    <w:name w:val="table of figures"/>
    <w:basedOn w:val="Normal"/>
    <w:next w:val="Normal"/>
    <w:uiPriority w:val="99"/>
    <w:rsid w:val="00911DE3"/>
  </w:style>
  <w:style w:type="table" w:styleId="TableProfessional">
    <w:name w:val="Table Professional"/>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11DE3"/>
    <w:rPr>
      <w:lang w:val="en-GB"/>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11DE3"/>
    <w:rPr>
      <w:lang w:val="en-GB"/>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11DE3"/>
    <w:rPr>
      <w:lang w:val="en-GB"/>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11DE3"/>
    <w:rPr>
      <w:lang w:val="en-GB"/>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11DE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11DE3"/>
    <w:rPr>
      <w:lang w:val="en-GB"/>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11DE3"/>
    <w:rPr>
      <w:lang w:val="en-GB"/>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11DE3"/>
    <w:rPr>
      <w:lang w:val="en-GB"/>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99"/>
    <w:semiHidden/>
    <w:qFormat/>
    <w:rsid w:val="00911DE3"/>
    <w:pPr>
      <w:spacing w:line="240" w:lineRule="auto"/>
      <w:contextualSpacing/>
    </w:pPr>
    <w:rPr>
      <w:rFonts w:eastAsiaTheme="majorEastAsia" w:cs="Arial"/>
      <w:spacing w:val="-10"/>
      <w:kern w:val="28"/>
      <w:sz w:val="56"/>
      <w:szCs w:val="56"/>
    </w:rPr>
  </w:style>
  <w:style w:type="character" w:customStyle="1" w:styleId="TitleChar">
    <w:name w:val="Title Char"/>
    <w:basedOn w:val="DefaultParagraphFont"/>
    <w:link w:val="Title"/>
    <w:uiPriority w:val="99"/>
    <w:semiHidden/>
    <w:rsid w:val="00A44986"/>
    <w:rPr>
      <w:rFonts w:eastAsiaTheme="majorEastAsia" w:cs="Arial"/>
      <w:spacing w:val="-10"/>
      <w:kern w:val="28"/>
      <w:sz w:val="56"/>
      <w:szCs w:val="56"/>
      <w:lang w:val="en-GB"/>
    </w:rPr>
  </w:style>
  <w:style w:type="paragraph" w:styleId="TOAHeading">
    <w:name w:val="toa heading"/>
    <w:basedOn w:val="Normal"/>
    <w:next w:val="Normal"/>
    <w:uiPriority w:val="39"/>
    <w:semiHidden/>
    <w:rsid w:val="00911DE3"/>
    <w:pPr>
      <w:spacing w:before="120"/>
    </w:pPr>
    <w:rPr>
      <w:rFonts w:eastAsiaTheme="majorEastAsia" w:cs="Arial"/>
      <w:b/>
      <w:bCs/>
    </w:rPr>
  </w:style>
  <w:style w:type="paragraph" w:styleId="TOC1">
    <w:name w:val="toc 1"/>
    <w:basedOn w:val="Normal"/>
    <w:next w:val="Normal"/>
    <w:uiPriority w:val="39"/>
    <w:rsid w:val="00051374"/>
    <w:pPr>
      <w:spacing w:before="340"/>
      <w:ind w:right="567"/>
      <w:contextualSpacing/>
    </w:pPr>
    <w:rPr>
      <w:rFonts w:asciiTheme="majorHAnsi" w:hAnsiTheme="majorHAnsi"/>
    </w:rPr>
  </w:style>
  <w:style w:type="paragraph" w:styleId="TOC2">
    <w:name w:val="toc 2"/>
    <w:basedOn w:val="Normal"/>
    <w:next w:val="Normal"/>
    <w:uiPriority w:val="39"/>
    <w:rsid w:val="00026845"/>
    <w:pPr>
      <w:ind w:right="567"/>
      <w:contextualSpacing/>
    </w:pPr>
  </w:style>
  <w:style w:type="paragraph" w:styleId="TOC3">
    <w:name w:val="toc 3"/>
    <w:basedOn w:val="Normal"/>
    <w:next w:val="Normal"/>
    <w:uiPriority w:val="39"/>
    <w:rsid w:val="00026845"/>
    <w:pPr>
      <w:ind w:right="567"/>
      <w:contextualSpacing/>
    </w:pPr>
  </w:style>
  <w:style w:type="paragraph" w:styleId="TOC4">
    <w:name w:val="toc 4"/>
    <w:basedOn w:val="Normal"/>
    <w:next w:val="Normal"/>
    <w:uiPriority w:val="39"/>
    <w:semiHidden/>
    <w:rsid w:val="00026845"/>
    <w:pPr>
      <w:ind w:right="567"/>
      <w:contextualSpacing/>
    </w:pPr>
  </w:style>
  <w:style w:type="paragraph" w:styleId="TOC5">
    <w:name w:val="toc 5"/>
    <w:basedOn w:val="Normal"/>
    <w:next w:val="Normal"/>
    <w:uiPriority w:val="39"/>
    <w:semiHidden/>
    <w:rsid w:val="00026845"/>
    <w:pPr>
      <w:ind w:right="567"/>
      <w:contextualSpacing/>
    </w:pPr>
  </w:style>
  <w:style w:type="paragraph" w:styleId="TOC6">
    <w:name w:val="toc 6"/>
    <w:basedOn w:val="Normal"/>
    <w:next w:val="Normal"/>
    <w:uiPriority w:val="39"/>
    <w:semiHidden/>
    <w:rsid w:val="00026845"/>
    <w:pPr>
      <w:ind w:right="567"/>
      <w:contextualSpacing/>
    </w:pPr>
  </w:style>
  <w:style w:type="paragraph" w:styleId="TOC7">
    <w:name w:val="toc 7"/>
    <w:basedOn w:val="Normal"/>
    <w:next w:val="Normal"/>
    <w:uiPriority w:val="39"/>
    <w:semiHidden/>
    <w:rsid w:val="00026845"/>
    <w:pPr>
      <w:ind w:right="567"/>
      <w:contextualSpacing/>
    </w:pPr>
  </w:style>
  <w:style w:type="paragraph" w:styleId="TOC8">
    <w:name w:val="toc 8"/>
    <w:basedOn w:val="Normal"/>
    <w:next w:val="Normal"/>
    <w:uiPriority w:val="39"/>
    <w:semiHidden/>
    <w:rsid w:val="00026845"/>
    <w:pPr>
      <w:ind w:right="567"/>
      <w:contextualSpacing/>
    </w:pPr>
  </w:style>
  <w:style w:type="paragraph" w:styleId="TOC9">
    <w:name w:val="toc 9"/>
    <w:basedOn w:val="Normal"/>
    <w:next w:val="Normal"/>
    <w:uiPriority w:val="39"/>
    <w:semiHidden/>
    <w:rsid w:val="00026845"/>
    <w:pPr>
      <w:ind w:right="567"/>
      <w:contextualSpacing/>
    </w:pPr>
  </w:style>
  <w:style w:type="paragraph" w:styleId="TOCHeading">
    <w:name w:val="TOC Heading"/>
    <w:basedOn w:val="Heading1"/>
    <w:next w:val="Normal"/>
    <w:uiPriority w:val="39"/>
    <w:qFormat/>
    <w:rsid w:val="004A1396"/>
    <w:pPr>
      <w:outlineLvl w:val="9"/>
    </w:pPr>
  </w:style>
  <w:style w:type="character" w:styleId="UnresolvedMention">
    <w:name w:val="Unresolved Mention"/>
    <w:basedOn w:val="DefaultParagraphFont"/>
    <w:uiPriority w:val="99"/>
    <w:semiHidden/>
    <w:rsid w:val="00911DE3"/>
    <w:rPr>
      <w:color w:val="605E5C"/>
      <w:shd w:val="clear" w:color="auto" w:fill="E1DFDD"/>
      <w:lang w:val="en-GB"/>
    </w:rPr>
  </w:style>
  <w:style w:type="paragraph" w:customStyle="1" w:styleId="Template">
    <w:name w:val="Template"/>
    <w:uiPriority w:val="15"/>
    <w:semiHidden/>
    <w:rsid w:val="004366B4"/>
    <w:pPr>
      <w:suppressAutoHyphens/>
      <w:spacing w:line="200" w:lineRule="atLeast"/>
    </w:pPr>
    <w:rPr>
      <w:noProof/>
      <w:sz w:val="14"/>
      <w:lang w:val="en-GB"/>
    </w:rPr>
  </w:style>
  <w:style w:type="paragraph" w:customStyle="1" w:styleId="Table">
    <w:name w:val="Table"/>
    <w:uiPriority w:val="4"/>
    <w:semiHidden/>
    <w:rsid w:val="00026845"/>
    <w:pPr>
      <w:spacing w:before="40" w:after="60" w:line="300" w:lineRule="atLeast"/>
      <w:ind w:left="159" w:right="159"/>
    </w:pPr>
    <w:rPr>
      <w:lang w:val="en-GB"/>
    </w:rPr>
  </w:style>
  <w:style w:type="paragraph" w:customStyle="1" w:styleId="Table-Heading">
    <w:name w:val="Table - Heading"/>
    <w:basedOn w:val="Table"/>
    <w:uiPriority w:val="4"/>
    <w:rsid w:val="00026845"/>
    <w:rPr>
      <w:rFonts w:asciiTheme="majorHAnsi" w:hAnsiTheme="majorHAnsi"/>
      <w:sz w:val="24"/>
    </w:rPr>
  </w:style>
  <w:style w:type="paragraph" w:customStyle="1" w:styleId="Table-HeadingRight">
    <w:name w:val="Table - Heading Right"/>
    <w:basedOn w:val="Table-Heading"/>
    <w:uiPriority w:val="4"/>
    <w:rsid w:val="000C73D1"/>
    <w:pPr>
      <w:jc w:val="right"/>
    </w:pPr>
  </w:style>
  <w:style w:type="paragraph" w:customStyle="1" w:styleId="Table-Text">
    <w:name w:val="Table - Text"/>
    <w:basedOn w:val="Table"/>
    <w:uiPriority w:val="4"/>
    <w:rsid w:val="00B96627"/>
  </w:style>
  <w:style w:type="paragraph" w:customStyle="1" w:styleId="Table-TextTotal">
    <w:name w:val="Table - Text Total"/>
    <w:basedOn w:val="Table-Text"/>
    <w:uiPriority w:val="4"/>
    <w:rsid w:val="00BA032C"/>
    <w:rPr>
      <w:rFonts w:asciiTheme="majorHAnsi" w:hAnsiTheme="majorHAnsi"/>
    </w:rPr>
  </w:style>
  <w:style w:type="paragraph" w:customStyle="1" w:styleId="Table-Numbers">
    <w:name w:val="Table - Numbers"/>
    <w:basedOn w:val="Table"/>
    <w:uiPriority w:val="4"/>
    <w:rsid w:val="00B96627"/>
    <w:pPr>
      <w:jc w:val="right"/>
    </w:pPr>
  </w:style>
  <w:style w:type="paragraph" w:customStyle="1" w:styleId="Table-NumbersTotal">
    <w:name w:val="Table - Numbers Total"/>
    <w:basedOn w:val="Table-Numbers"/>
    <w:uiPriority w:val="4"/>
    <w:rsid w:val="00BA032C"/>
    <w:rPr>
      <w:rFonts w:asciiTheme="majorHAnsi" w:hAnsiTheme="majorHAnsi"/>
    </w:rPr>
  </w:style>
  <w:style w:type="paragraph" w:customStyle="1" w:styleId="Template-Name">
    <w:name w:val="Template - Name"/>
    <w:basedOn w:val="Template"/>
    <w:next w:val="Template-Address"/>
    <w:uiPriority w:val="15"/>
    <w:semiHidden/>
    <w:rsid w:val="004366B4"/>
    <w:rPr>
      <w:rFonts w:asciiTheme="majorHAnsi" w:hAnsiTheme="majorHAnsi"/>
    </w:rPr>
  </w:style>
  <w:style w:type="paragraph" w:customStyle="1" w:styleId="Template-Address">
    <w:name w:val="Template - Address"/>
    <w:basedOn w:val="Template"/>
    <w:uiPriority w:val="15"/>
    <w:semiHidden/>
    <w:rsid w:val="0037238C"/>
    <w:pPr>
      <w:tabs>
        <w:tab w:val="left" w:pos="567"/>
      </w:tabs>
    </w:pPr>
    <w:rPr>
      <w:rFonts w:ascii="Coloplast Medium" w:hAnsi="Coloplast Medium"/>
    </w:rPr>
  </w:style>
  <w:style w:type="paragraph" w:customStyle="1" w:styleId="Template-Date">
    <w:name w:val="Template - Date"/>
    <w:basedOn w:val="Template"/>
    <w:uiPriority w:val="15"/>
    <w:semiHidden/>
    <w:rsid w:val="0067708D"/>
    <w:rPr>
      <w:rFonts w:asciiTheme="majorHAnsi" w:hAnsiTheme="majorHAnsi"/>
    </w:rPr>
  </w:style>
  <w:style w:type="paragraph" w:customStyle="1" w:styleId="DocumentType">
    <w:name w:val="Document Type"/>
    <w:basedOn w:val="Normal"/>
    <w:next w:val="Normal"/>
    <w:uiPriority w:val="8"/>
    <w:semiHidden/>
    <w:rsid w:val="00462CE2"/>
    <w:pPr>
      <w:spacing w:after="440"/>
      <w:contextualSpacing/>
    </w:pPr>
    <w:rPr>
      <w:rFonts w:asciiTheme="majorHAnsi" w:hAnsiTheme="majorHAnsi"/>
      <w:color w:val="00A2BA" w:themeColor="accent1"/>
    </w:rPr>
  </w:style>
  <w:style w:type="paragraph" w:customStyle="1" w:styleId="Table-ListBullet">
    <w:name w:val="Table - List Bullet"/>
    <w:basedOn w:val="Table"/>
    <w:uiPriority w:val="4"/>
    <w:rsid w:val="00B8463C"/>
    <w:pPr>
      <w:numPr>
        <w:numId w:val="31"/>
      </w:numPr>
    </w:pPr>
  </w:style>
  <w:style w:type="numbering" w:customStyle="1" w:styleId="ListStyle-ListBullet">
    <w:name w:val="_List Style - List Bullet"/>
    <w:uiPriority w:val="99"/>
    <w:rsid w:val="00B8463C"/>
    <w:pPr>
      <w:numPr>
        <w:numId w:val="13"/>
      </w:numPr>
    </w:pPr>
  </w:style>
  <w:style w:type="numbering" w:customStyle="1" w:styleId="ListStyle-ListNumber">
    <w:name w:val="_List Style - List Number"/>
    <w:uiPriority w:val="99"/>
    <w:rsid w:val="00B8463C"/>
    <w:pPr>
      <w:numPr>
        <w:numId w:val="14"/>
      </w:numPr>
    </w:pPr>
  </w:style>
  <w:style w:type="numbering" w:customStyle="1" w:styleId="Liststyle-TableListBullet">
    <w:name w:val="_List style - Table List Bullet"/>
    <w:uiPriority w:val="99"/>
    <w:rsid w:val="005E5522"/>
    <w:pPr>
      <w:numPr>
        <w:numId w:val="7"/>
      </w:numPr>
    </w:pPr>
  </w:style>
  <w:style w:type="paragraph" w:customStyle="1" w:styleId="Table-ListNumber">
    <w:name w:val="Table - List Number"/>
    <w:basedOn w:val="Table"/>
    <w:uiPriority w:val="4"/>
    <w:rsid w:val="00F16D57"/>
    <w:pPr>
      <w:numPr>
        <w:numId w:val="32"/>
      </w:numPr>
    </w:pPr>
  </w:style>
  <w:style w:type="numbering" w:customStyle="1" w:styleId="ListStyle-TableListNumber">
    <w:name w:val="_List Style - Table List Number"/>
    <w:uiPriority w:val="99"/>
    <w:rsid w:val="00B8463C"/>
    <w:pPr>
      <w:numPr>
        <w:numId w:val="8"/>
      </w:numPr>
    </w:pPr>
  </w:style>
  <w:style w:type="table" w:customStyle="1" w:styleId="Blank">
    <w:name w:val="Blank"/>
    <w:basedOn w:val="TableNormal"/>
    <w:uiPriority w:val="99"/>
    <w:rsid w:val="00026845"/>
    <w:rPr>
      <w:lang w:val="en-GB"/>
    </w:rPr>
    <w:tblPr>
      <w:tblCellMar>
        <w:left w:w="0" w:type="dxa"/>
        <w:right w:w="0" w:type="dxa"/>
      </w:tblCellMar>
    </w:tblPr>
  </w:style>
  <w:style w:type="paragraph" w:customStyle="1" w:styleId="Footer-PageNumber">
    <w:name w:val="Footer - Page Number"/>
    <w:basedOn w:val="Footer"/>
    <w:next w:val="Footer"/>
    <w:uiPriority w:val="13"/>
    <w:semiHidden/>
    <w:rsid w:val="00C81165"/>
  </w:style>
  <w:style w:type="paragraph" w:customStyle="1" w:styleId="ListAlphabet">
    <w:name w:val="List Alphabet"/>
    <w:basedOn w:val="Normal"/>
    <w:uiPriority w:val="2"/>
    <w:rsid w:val="00EC72A6"/>
    <w:pPr>
      <w:numPr>
        <w:numId w:val="25"/>
      </w:numPr>
    </w:pPr>
  </w:style>
  <w:style w:type="numbering" w:customStyle="1" w:styleId="ListStyle-ListAlphabet">
    <w:name w:val="_List Style - List Alphabet"/>
    <w:uiPriority w:val="99"/>
    <w:rsid w:val="00EC72A6"/>
    <w:pPr>
      <w:numPr>
        <w:numId w:val="12"/>
      </w:numPr>
    </w:pPr>
  </w:style>
  <w:style w:type="paragraph" w:customStyle="1" w:styleId="ListAlphabet2">
    <w:name w:val="List Alphabet 2"/>
    <w:basedOn w:val="Normal"/>
    <w:uiPriority w:val="2"/>
    <w:semiHidden/>
    <w:rsid w:val="00EC72A6"/>
    <w:pPr>
      <w:numPr>
        <w:ilvl w:val="1"/>
        <w:numId w:val="25"/>
      </w:numPr>
    </w:pPr>
  </w:style>
  <w:style w:type="paragraph" w:customStyle="1" w:styleId="ListAlphabet3">
    <w:name w:val="List Alphabet 3"/>
    <w:basedOn w:val="Normal"/>
    <w:uiPriority w:val="2"/>
    <w:semiHidden/>
    <w:rsid w:val="00EC72A6"/>
    <w:pPr>
      <w:numPr>
        <w:ilvl w:val="2"/>
        <w:numId w:val="25"/>
      </w:numPr>
    </w:pPr>
  </w:style>
  <w:style w:type="table" w:customStyle="1" w:styleId="ColoplastTableStyle">
    <w:name w:val="[Coloplast] (Table Style)"/>
    <w:basedOn w:val="TableNormal"/>
    <w:uiPriority w:val="99"/>
    <w:rsid w:val="00026845"/>
    <w:pPr>
      <w:spacing w:before="40" w:after="40" w:line="300" w:lineRule="atLeast"/>
      <w:ind w:left="159" w:right="159"/>
    </w:pPr>
    <w:rPr>
      <w:lang w:val="en-GB"/>
    </w:rPr>
    <w:tblPr>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CellMar>
        <w:left w:w="0" w:type="dxa"/>
        <w:right w:w="0" w:type="dxa"/>
      </w:tblCellMar>
    </w:tblPr>
    <w:tblStylePr w:type="firstRow">
      <w:pPr>
        <w:wordWrap/>
      </w:pPr>
      <w:rPr>
        <w:rFonts w:ascii="Coloplast Medium" w:hAnsi="Coloplast Medium"/>
        <w:sz w:val="24"/>
        <w:u w:val="none"/>
      </w:rPr>
      <w:tblPr/>
      <w:tcPr>
        <w:shd w:val="clear" w:color="auto" w:fill="E0F5F9" w:themeFill="accent5"/>
      </w:tcPr>
    </w:tblStylePr>
  </w:style>
  <w:style w:type="numbering" w:customStyle="1" w:styleId="ListStyle-TableListBullet0">
    <w:name w:val="_List Style - Table List Bullet"/>
    <w:uiPriority w:val="99"/>
    <w:rsid w:val="00B8463C"/>
    <w:pPr>
      <w:numPr>
        <w:numId w:val="15"/>
      </w:numPr>
    </w:pPr>
  </w:style>
  <w:style w:type="paragraph" w:customStyle="1" w:styleId="Template-Disclaimer">
    <w:name w:val="Template - Disclaimer"/>
    <w:basedOn w:val="Template"/>
    <w:uiPriority w:val="15"/>
    <w:semiHidden/>
    <w:rsid w:val="004366B4"/>
    <w:rPr>
      <w:color w:val="00A2BA" w:themeColor="accent1"/>
    </w:rPr>
  </w:style>
  <w:style w:type="paragraph" w:customStyle="1" w:styleId="Template-TurquoiseLine">
    <w:name w:val="Template - Turquoise Line"/>
    <w:basedOn w:val="Template"/>
    <w:next w:val="Template-Address"/>
    <w:uiPriority w:val="15"/>
    <w:semiHidden/>
    <w:rsid w:val="005676DE"/>
    <w:pPr>
      <w:spacing w:after="120"/>
      <w:contextualSpacing/>
    </w:pPr>
  </w:style>
  <w:style w:type="character" w:customStyle="1" w:styleId="Template-contactinfo">
    <w:name w:val="Template - contact info"/>
    <w:basedOn w:val="DefaultParagraphFont"/>
    <w:uiPriority w:val="15"/>
    <w:semiHidden/>
    <w:rsid w:val="0037238C"/>
    <w:rPr>
      <w:rFonts w:asciiTheme="minorHAnsi" w:hAnsiTheme="minorHAnsi"/>
      <w:lang w:val="en-GB"/>
    </w:rPr>
  </w:style>
  <w:style w:type="paragraph" w:customStyle="1" w:styleId="Informationtext">
    <w:name w:val="Information text"/>
    <w:basedOn w:val="Normal"/>
    <w:uiPriority w:val="3"/>
    <w:rsid w:val="00514CA5"/>
    <w:rPr>
      <w:rFonts w:asciiTheme="majorHAnsi" w:hAnsiTheme="majorHAnsi"/>
      <w:color w:val="F17E64"/>
    </w:rPr>
  </w:style>
  <w:style w:type="paragraph" w:customStyle="1" w:styleId="Template-Trademark">
    <w:name w:val="Template - Trademark"/>
    <w:basedOn w:val="Template-Address"/>
    <w:uiPriority w:val="15"/>
    <w:semiHidden/>
    <w:qFormat/>
    <w:rsid w:val="009A7328"/>
    <w:rPr>
      <w:rFonts w:asciiTheme="minorHAnsi" w:hAnsiTheme="minorHAnsi"/>
    </w:rPr>
  </w:style>
  <w:style w:type="paragraph" w:customStyle="1" w:styleId="Coverpage-Title">
    <w:name w:val="Coverpage - Title"/>
    <w:basedOn w:val="Normal"/>
    <w:next w:val="Coverpage-Subtitle"/>
    <w:uiPriority w:val="9"/>
    <w:rsid w:val="00CC169A"/>
    <w:pPr>
      <w:spacing w:after="440" w:line="880" w:lineRule="atLeast"/>
      <w:contextualSpacing/>
    </w:pPr>
    <w:rPr>
      <w:rFonts w:asciiTheme="majorHAnsi" w:hAnsiTheme="majorHAnsi"/>
      <w:sz w:val="80"/>
    </w:rPr>
  </w:style>
  <w:style w:type="paragraph" w:customStyle="1" w:styleId="Coverpage-Subtitle">
    <w:name w:val="Coverpage - Subtitle"/>
    <w:basedOn w:val="Coverpage-Title"/>
    <w:uiPriority w:val="9"/>
    <w:rsid w:val="00B0017C"/>
    <w:pPr>
      <w:spacing w:line="480" w:lineRule="atLeast"/>
    </w:pPr>
    <w:rPr>
      <w:sz w:val="40"/>
    </w:rPr>
  </w:style>
  <w:style w:type="paragraph" w:customStyle="1" w:styleId="paragraph">
    <w:name w:val="paragraph"/>
    <w:basedOn w:val="Normal"/>
    <w:uiPriority w:val="99"/>
    <w:rsid w:val="00B40F05"/>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normaltextrun">
    <w:name w:val="normaltextrun"/>
    <w:basedOn w:val="DefaultParagraphFont"/>
    <w:rsid w:val="00B40F05"/>
  </w:style>
  <w:style w:type="character" w:customStyle="1" w:styleId="eop">
    <w:name w:val="eop"/>
    <w:basedOn w:val="DefaultParagraphFont"/>
    <w:rsid w:val="00E46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40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6.png"/><Relationship Id="rId39" Type="http://schemas.openxmlformats.org/officeDocument/2006/relationships/hyperlink" Target="https://www.coloplast.com/siteassets/sustainability/targets--reporting/11_2025_annual_report_2024-25.pdf" TargetMode="External"/><Relationship Id="rId21" Type="http://schemas.openxmlformats.org/officeDocument/2006/relationships/chart" Target="charts/chart1.xml"/><Relationship Id="rId34" Type="http://schemas.openxmlformats.org/officeDocument/2006/relationships/image" Target="media/image9.png"/><Relationship Id="rId42" Type="http://schemas.openxmlformats.org/officeDocument/2006/relationships/hyperlink" Target="https://doi.org/10.3390/su14094921" TargetMode="External"/><Relationship Id="rId47" Type="http://schemas.openxmlformats.org/officeDocument/2006/relationships/hyperlink" Target="https://doi.org/10.1016/j.ijpe.2025.109599"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microsoft.com/office/2014/relationships/chartEx" Target="charts/chartEx1.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chart" Target="charts/chart6.xml"/><Relationship Id="rId37" Type="http://schemas.openxmlformats.org/officeDocument/2006/relationships/image" Target="media/image12.png"/><Relationship Id="rId40" Type="http://schemas.openxmlformats.org/officeDocument/2006/relationships/hyperlink" Target="https://products.coloplast.us/how-to-sample/" TargetMode="External"/><Relationship Id="rId45" Type="http://schemas.openxmlformats.org/officeDocument/2006/relationships/hyperlink" Target="https://doi.org/10.1108/K-05-2021-0423"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chart" Target="charts/chart3.xml"/><Relationship Id="rId28" Type="http://schemas.openxmlformats.org/officeDocument/2006/relationships/chart" Target="charts/chart5.xml"/><Relationship Id="rId36" Type="http://schemas.openxmlformats.org/officeDocument/2006/relationships/image" Target="media/image11.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image" Target="media/image8.png"/><Relationship Id="rId44" Type="http://schemas.openxmlformats.org/officeDocument/2006/relationships/hyperlink" Target="https://doi.org/10.1016/j.cmpb.2024.1082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2.xml"/><Relationship Id="rId27" Type="http://schemas.openxmlformats.org/officeDocument/2006/relationships/chart" Target="charts/chart4.xml"/><Relationship Id="rId35" Type="http://schemas.openxmlformats.org/officeDocument/2006/relationships/image" Target="media/image10.png"/><Relationship Id="rId43" Type="http://schemas.openxmlformats.org/officeDocument/2006/relationships/hyperlink" Target="https://help.royalmail.com/personal/s/article/Size-and-weight-guide" TargetMode="External"/><Relationship Id="rId48"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image" Target="media/image5.emf"/><Relationship Id="rId33" Type="http://schemas.openxmlformats.org/officeDocument/2006/relationships/image" Target="media/image7.png"/><Relationship Id="rId38" Type="http://schemas.openxmlformats.org/officeDocument/2006/relationships/image" Target="media/image13.png"/><Relationship Id="rId46" Type="http://schemas.openxmlformats.org/officeDocument/2006/relationships/hyperlink" Target="https://doi.org/10.1016/j.jclepro.2021.130165" TargetMode="External"/><Relationship Id="rId20" Type="http://schemas.openxmlformats.org/officeDocument/2006/relationships/image" Target="media/image3.png"/><Relationship Id="rId41" Type="http://schemas.openxmlformats.org/officeDocument/2006/relationships/hyperlink" Target="https://meyers.com/meyers-blog/optimization_in_packaging/" TargetMode="External"/><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https://coloplastmigration-my.sharepoint.com/personal/gbdng_coloplast_com/Documents/Desktop/New%20Microsoft%20Excel%20Worksheet.xlsx" TargetMode="External"/><Relationship Id="rId4"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925-4B55-935C-2F7D1658EF5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925-4B55-935C-2F7D1658EF5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925-4B55-935C-2F7D1658EF50}"/>
              </c:ext>
            </c:extLst>
          </c:dPt>
          <c:dLbls>
            <c:dLbl>
              <c:idx val="0"/>
              <c:layout>
                <c:manualLayout>
                  <c:x val="-5.1364034041199491E-2"/>
                  <c:y val="7.2816085597535831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925-4B55-935C-2F7D1658EF5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'Cost Breakdown for 10,367 Sampl'!$B$3:$B$5</c:f>
              <c:strCache>
                <c:ptCount val="3"/>
                <c:pt idx="0">
                  <c:v>Printing</c:v>
                </c:pt>
                <c:pt idx="1">
                  <c:v>Products </c:v>
                </c:pt>
                <c:pt idx="2">
                  <c:v>Pouches</c:v>
                </c:pt>
              </c:strCache>
            </c:strRef>
          </c:cat>
          <c:val>
            <c:numRef>
              <c:f>'Cost Breakdown for 10,367 Sampl'!$C$3:$C$5</c:f>
              <c:numCache>
                <c:formatCode>"£"#,##0_);[Red]\("£"#,##0\)</c:formatCode>
                <c:ptCount val="3"/>
                <c:pt idx="0">
                  <c:v>1614</c:v>
                </c:pt>
                <c:pt idx="1">
                  <c:v>17413</c:v>
                </c:pt>
                <c:pt idx="2">
                  <c:v>8719</c:v>
                </c:pt>
              </c:numCache>
            </c:numRef>
          </c:val>
          <c:extLst>
            <c:ext xmlns:c16="http://schemas.microsoft.com/office/drawing/2014/chart" uri="{C3380CC4-5D6E-409C-BE32-E72D297353CC}">
              <c16:uniqueId val="{00000006-B925-4B55-935C-2F7D1658EF50}"/>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8-B925-4B55-935C-2F7D1658EF5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A-B925-4B55-935C-2F7D1658EF5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C-B925-4B55-935C-2F7D1658EF5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'Cost Breakdown for 10,367 Sampl'!$B$3:$B$5</c:f>
              <c:strCache>
                <c:ptCount val="3"/>
                <c:pt idx="0">
                  <c:v>Printing</c:v>
                </c:pt>
                <c:pt idx="1">
                  <c:v>Products </c:v>
                </c:pt>
                <c:pt idx="2">
                  <c:v>Pouches</c:v>
                </c:pt>
              </c:strCache>
            </c:strRef>
          </c:cat>
          <c:val>
            <c:numRef>
              <c:f>'Cost Breakdown for 10,367 Sampl'!$D$3:$D$5</c:f>
              <c:numCache>
                <c:formatCode>0.00%</c:formatCode>
                <c:ptCount val="3"/>
                <c:pt idx="0">
                  <c:v>5.8000000000000003E-2</c:v>
                </c:pt>
                <c:pt idx="1">
                  <c:v>0.628</c:v>
                </c:pt>
                <c:pt idx="2">
                  <c:v>0.314</c:v>
                </c:pt>
              </c:numCache>
            </c:numRef>
          </c:val>
          <c:extLst>
            <c:ext xmlns:c16="http://schemas.microsoft.com/office/drawing/2014/chart" uri="{C3380CC4-5D6E-409C-BE32-E72D297353CC}">
              <c16:uniqueId val="{0000000D-B925-4B55-935C-2F7D1658EF50}"/>
            </c:ext>
          </c:extLst>
        </c:ser>
        <c:dLbls>
          <c:dLblPos val="bestFit"/>
          <c:showLegendKey val="0"/>
          <c:showVal val="1"/>
          <c:showCatName val="0"/>
          <c:showSerName val="0"/>
          <c:showPercent val="0"/>
          <c:showBubbleSize val="0"/>
          <c:showLeaderLines val="1"/>
        </c:dLbls>
      </c:pie3DChart>
      <c:spPr>
        <a:noFill/>
        <a:ln>
          <a:noFill/>
        </a:ln>
        <a:effectLst/>
      </c:spPr>
    </c:plotArea>
    <c:legend>
      <c:legendPos val="b"/>
      <c:layout>
        <c:manualLayout>
          <c:xMode val="edge"/>
          <c:yMode val="edge"/>
          <c:x val="0.26946675415573051"/>
          <c:y val="0.84780037911927675"/>
          <c:w val="0.47495538057742781"/>
          <c:h val="0.1244218431029454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Average cost contribution per component </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Sheet4!$C$3</c:f>
              <c:strCache>
                <c:ptCount val="1"/>
                <c:pt idx="0">
                  <c:v>Mean Cost (£)</c:v>
                </c:pt>
              </c:strCache>
            </c:strRef>
          </c:tx>
          <c:spPr>
            <a:solidFill>
              <a:schemeClr val="accent1"/>
            </a:solidFill>
            <a:ln>
              <a:noFill/>
            </a:ln>
            <a:effectLst/>
          </c:spPr>
          <c:invertIfNegative val="0"/>
          <c:cat>
            <c:strRef>
              <c:f>Sheet4!$B$4:$B$6</c:f>
              <c:strCache>
                <c:ptCount val="3"/>
                <c:pt idx="0">
                  <c:v>Product</c:v>
                </c:pt>
                <c:pt idx="1">
                  <c:v>Pouch</c:v>
                </c:pt>
                <c:pt idx="2">
                  <c:v>Printing</c:v>
                </c:pt>
              </c:strCache>
            </c:strRef>
          </c:cat>
          <c:val>
            <c:numRef>
              <c:f>Sheet4!$C$4:$C$6</c:f>
              <c:numCache>
                <c:formatCode>General</c:formatCode>
                <c:ptCount val="3"/>
                <c:pt idx="0">
                  <c:v>1.71</c:v>
                </c:pt>
                <c:pt idx="1">
                  <c:v>0.86</c:v>
                </c:pt>
                <c:pt idx="2">
                  <c:v>0.17</c:v>
                </c:pt>
              </c:numCache>
            </c:numRef>
          </c:val>
          <c:extLst>
            <c:ext xmlns:c16="http://schemas.microsoft.com/office/drawing/2014/chart" uri="{C3380CC4-5D6E-409C-BE32-E72D297353CC}">
              <c16:uniqueId val="{00000000-FBE5-4F66-BEA5-4B89C2A2502F}"/>
            </c:ext>
          </c:extLst>
        </c:ser>
        <c:dLbls>
          <c:showLegendKey val="0"/>
          <c:showVal val="0"/>
          <c:showCatName val="0"/>
          <c:showSerName val="0"/>
          <c:showPercent val="0"/>
          <c:showBubbleSize val="0"/>
        </c:dLbls>
        <c:gapWidth val="219"/>
        <c:overlap val="-27"/>
        <c:axId val="252108639"/>
        <c:axId val="252104319"/>
      </c:barChart>
      <c:catAx>
        <c:axId val="25210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104319"/>
        <c:crosses val="autoZero"/>
        <c:auto val="1"/>
        <c:lblAlgn val="ctr"/>
        <c:lblOffset val="100"/>
        <c:noMultiLvlLbl val="0"/>
      </c:catAx>
      <c:valAx>
        <c:axId val="252104319"/>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108639"/>
        <c:crosses val="autoZero"/>
        <c:crossBetween val="between"/>
      </c:valAx>
      <c:spPr>
        <a:noFill/>
        <a:ln cmpd="thickThi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205778893307893E-2"/>
                  <c:y val="9.1898103786259275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-2.3392x + 4.7023</a:t>
                    </a:r>
                    <a:br>
                      <a:rPr lang="en-US" baseline="0"/>
                    </a:br>
                    <a:r>
                      <a:rPr lang="en-US" baseline="0"/>
                      <a:t>R² = 0.0753</a:t>
                    </a:r>
                    <a:endParaRPr lang="en-US" sz="105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'Mokslai/Data Analytics Principles/[Confidential data - Sample pack cost breakdown.xlsx]USE THIS - H22422 Quantity cost'!$H$3:$H$49</c:f>
              <c:numCache>
                <c:formatCode>_-[$£-809]* #,##0.00_-;\-[$£-809]* #,##0.00_-;_-[$£-809]* "-"??_-;_-@_-</c:formatCode>
                <c:ptCount val="47"/>
                <c:pt idx="0">
                  <c:v>0.75</c:v>
                </c:pt>
                <c:pt idx="1">
                  <c:v>0.75</c:v>
                </c:pt>
                <c:pt idx="2">
                  <c:v>1.45</c:v>
                </c:pt>
                <c:pt idx="3">
                  <c:v>0.75</c:v>
                </c:pt>
                <c:pt idx="4">
                  <c:v>0.75</c:v>
                </c:pt>
                <c:pt idx="5">
                  <c:v>0.75</c:v>
                </c:pt>
                <c:pt idx="6">
                  <c:v>0.75</c:v>
                </c:pt>
                <c:pt idx="7">
                  <c:v>0.75</c:v>
                </c:pt>
                <c:pt idx="8">
                  <c:v>0.95</c:v>
                </c:pt>
                <c:pt idx="9">
                  <c:v>0.75</c:v>
                </c:pt>
                <c:pt idx="10">
                  <c:v>0.75</c:v>
                </c:pt>
                <c:pt idx="11">
                  <c:v>0.75</c:v>
                </c:pt>
                <c:pt idx="12">
                  <c:v>0.75</c:v>
                </c:pt>
                <c:pt idx="13">
                  <c:v>0.75</c:v>
                </c:pt>
                <c:pt idx="14">
                  <c:v>0.75</c:v>
                </c:pt>
                <c:pt idx="15">
                  <c:v>0.75</c:v>
                </c:pt>
                <c:pt idx="16">
                  <c:v>0.75</c:v>
                </c:pt>
                <c:pt idx="17">
                  <c:v>0.75</c:v>
                </c:pt>
                <c:pt idx="18">
                  <c:v>0.95</c:v>
                </c:pt>
                <c:pt idx="19">
                  <c:v>0.95</c:v>
                </c:pt>
                <c:pt idx="20">
                  <c:v>0.95</c:v>
                </c:pt>
                <c:pt idx="21">
                  <c:v>0.75</c:v>
                </c:pt>
                <c:pt idx="22">
                  <c:v>0.75</c:v>
                </c:pt>
                <c:pt idx="23">
                  <c:v>0.75</c:v>
                </c:pt>
                <c:pt idx="24">
                  <c:v>0.75</c:v>
                </c:pt>
                <c:pt idx="25">
                  <c:v>0.75</c:v>
                </c:pt>
                <c:pt idx="26">
                  <c:v>0.95</c:v>
                </c:pt>
                <c:pt idx="27">
                  <c:v>0.95</c:v>
                </c:pt>
                <c:pt idx="28">
                  <c:v>0.95</c:v>
                </c:pt>
                <c:pt idx="29">
                  <c:v>0.95</c:v>
                </c:pt>
                <c:pt idx="30">
                  <c:v>0.95</c:v>
                </c:pt>
                <c:pt idx="31">
                  <c:v>0.75</c:v>
                </c:pt>
                <c:pt idx="32">
                  <c:v>0.95</c:v>
                </c:pt>
                <c:pt idx="33">
                  <c:v>0.95</c:v>
                </c:pt>
                <c:pt idx="34">
                  <c:v>0.95</c:v>
                </c:pt>
                <c:pt idx="35">
                  <c:v>0.95</c:v>
                </c:pt>
                <c:pt idx="36">
                  <c:v>0.95</c:v>
                </c:pt>
                <c:pt idx="37">
                  <c:v>0.95</c:v>
                </c:pt>
                <c:pt idx="38">
                  <c:v>0.75</c:v>
                </c:pt>
                <c:pt idx="39">
                  <c:v>0.95</c:v>
                </c:pt>
                <c:pt idx="40">
                  <c:v>0.95</c:v>
                </c:pt>
                <c:pt idx="41">
                  <c:v>0.95</c:v>
                </c:pt>
                <c:pt idx="42">
                  <c:v>0.95</c:v>
                </c:pt>
                <c:pt idx="43">
                  <c:v>0.95</c:v>
                </c:pt>
                <c:pt idx="44">
                  <c:v>0.95</c:v>
                </c:pt>
                <c:pt idx="45">
                  <c:v>0.95</c:v>
                </c:pt>
                <c:pt idx="46">
                  <c:v>0.95</c:v>
                </c:pt>
              </c:numCache>
            </c:numRef>
          </c:xVal>
          <c:yVal>
            <c:numRef>
              <c:f>'Mokslai/Data Analytics Principles/[Confidential data - Sample pack cost breakdown.xlsx]USE THIS - H22422 Quantity cost'!$K$3:$K$49</c:f>
              <c:numCache>
                <c:formatCode>_-[$£-809]* #,##0.00_-;\-[$£-809]* #,##0.00_-;_-[$£-809]* "-"??_-;_-@_-</c:formatCode>
                <c:ptCount val="47"/>
                <c:pt idx="0">
                  <c:v>5.5</c:v>
                </c:pt>
                <c:pt idx="1">
                  <c:v>5.1499999999999995</c:v>
                </c:pt>
                <c:pt idx="2">
                  <c:v>5.0299999999999994</c:v>
                </c:pt>
                <c:pt idx="3">
                  <c:v>4.43</c:v>
                </c:pt>
                <c:pt idx="4">
                  <c:v>4.43</c:v>
                </c:pt>
                <c:pt idx="5">
                  <c:v>4.3100000000000005</c:v>
                </c:pt>
                <c:pt idx="6">
                  <c:v>4.25</c:v>
                </c:pt>
                <c:pt idx="7">
                  <c:v>4.21</c:v>
                </c:pt>
                <c:pt idx="8">
                  <c:v>3.7300000000000004</c:v>
                </c:pt>
                <c:pt idx="9">
                  <c:v>3.61</c:v>
                </c:pt>
                <c:pt idx="10">
                  <c:v>3.43</c:v>
                </c:pt>
                <c:pt idx="11">
                  <c:v>3.31</c:v>
                </c:pt>
                <c:pt idx="12">
                  <c:v>3.1999999999999997</c:v>
                </c:pt>
                <c:pt idx="13">
                  <c:v>3.1999999999999997</c:v>
                </c:pt>
                <c:pt idx="14">
                  <c:v>3.1999999999999997</c:v>
                </c:pt>
                <c:pt idx="15">
                  <c:v>3.08</c:v>
                </c:pt>
                <c:pt idx="16">
                  <c:v>2.96</c:v>
                </c:pt>
                <c:pt idx="17">
                  <c:v>2.88</c:v>
                </c:pt>
                <c:pt idx="18">
                  <c:v>2.78</c:v>
                </c:pt>
                <c:pt idx="19">
                  <c:v>2.5</c:v>
                </c:pt>
                <c:pt idx="20">
                  <c:v>2.4999999999999996</c:v>
                </c:pt>
                <c:pt idx="21">
                  <c:v>2.48</c:v>
                </c:pt>
                <c:pt idx="22">
                  <c:v>2.48</c:v>
                </c:pt>
                <c:pt idx="23">
                  <c:v>2.48</c:v>
                </c:pt>
                <c:pt idx="24">
                  <c:v>2.48</c:v>
                </c:pt>
                <c:pt idx="25">
                  <c:v>2.48</c:v>
                </c:pt>
                <c:pt idx="26">
                  <c:v>2.21</c:v>
                </c:pt>
                <c:pt idx="27">
                  <c:v>2.1800000000000002</c:v>
                </c:pt>
                <c:pt idx="28">
                  <c:v>2.12</c:v>
                </c:pt>
                <c:pt idx="29">
                  <c:v>2.1120000000000001</c:v>
                </c:pt>
                <c:pt idx="30">
                  <c:v>2.0099999999999998</c:v>
                </c:pt>
                <c:pt idx="31">
                  <c:v>1.99</c:v>
                </c:pt>
                <c:pt idx="32">
                  <c:v>1.98</c:v>
                </c:pt>
                <c:pt idx="33">
                  <c:v>1.8199999999999998</c:v>
                </c:pt>
                <c:pt idx="34">
                  <c:v>1.8</c:v>
                </c:pt>
                <c:pt idx="35">
                  <c:v>1.7399999999999998</c:v>
                </c:pt>
                <c:pt idx="36">
                  <c:v>1.72</c:v>
                </c:pt>
                <c:pt idx="37">
                  <c:v>1.67</c:v>
                </c:pt>
                <c:pt idx="38">
                  <c:v>1.56</c:v>
                </c:pt>
                <c:pt idx="39">
                  <c:v>1.5599999999999998</c:v>
                </c:pt>
                <c:pt idx="40">
                  <c:v>1.5599999999999998</c:v>
                </c:pt>
                <c:pt idx="41">
                  <c:v>1.51</c:v>
                </c:pt>
                <c:pt idx="42">
                  <c:v>1.48</c:v>
                </c:pt>
                <c:pt idx="43">
                  <c:v>1.4600000000000002</c:v>
                </c:pt>
                <c:pt idx="44">
                  <c:v>1.2699999999999998</c:v>
                </c:pt>
                <c:pt idx="45">
                  <c:v>1.21</c:v>
                </c:pt>
                <c:pt idx="46">
                  <c:v>1.1000000000000001</c:v>
                </c:pt>
              </c:numCache>
            </c:numRef>
          </c:yVal>
          <c:smooth val="0"/>
          <c:extLst>
            <c:ext xmlns:c16="http://schemas.microsoft.com/office/drawing/2014/chart" uri="{C3380CC4-5D6E-409C-BE32-E72D297353CC}">
              <c16:uniqueId val="{00000002-BECF-4666-9089-B371C6ED5681}"/>
            </c:ext>
          </c:extLst>
        </c:ser>
        <c:ser>
          <c:idx val="1"/>
          <c:order val="1"/>
          <c:spPr>
            <a:ln w="25400" cap="rnd">
              <a:noFill/>
              <a:round/>
            </a:ln>
            <a:effectLst/>
          </c:spPr>
          <c:marker>
            <c:symbol val="circle"/>
            <c:size val="5"/>
            <c:spPr>
              <a:solidFill>
                <a:schemeClr val="accent2"/>
              </a:solidFill>
              <a:ln w="9525">
                <a:solidFill>
                  <a:schemeClr val="accent2"/>
                </a:solidFill>
              </a:ln>
              <a:effectLst/>
            </c:spPr>
          </c:marker>
          <c:yVal>
            <c:numRef>
              <c:f>'Mokslai/Data Analytics Principles/[Confidential data - Sample pack cost breakdown.xlsx]USE THIS - H22422 Quantity cost'!$H$4</c:f>
              <c:numCache>
                <c:formatCode>_-[$£-809]* #,##0.00_-;\-[$£-809]* #,##0.00_-;_-[$£-809]* "-"??_-;_-@_-</c:formatCode>
                <c:ptCount val="1"/>
                <c:pt idx="0">
                  <c:v>0.75</c:v>
                </c:pt>
              </c:numCache>
            </c:numRef>
          </c:yVal>
          <c:smooth val="0"/>
          <c:extLst>
            <c:ext xmlns:c16="http://schemas.microsoft.com/office/drawing/2014/chart" uri="{C3380CC4-5D6E-409C-BE32-E72D297353CC}">
              <c16:uniqueId val="{00000003-BECF-4666-9089-B371C6ED5681}"/>
            </c:ext>
          </c:extLst>
        </c:ser>
        <c:ser>
          <c:idx val="2"/>
          <c:order val="2"/>
          <c:spPr>
            <a:ln w="25400" cap="rnd">
              <a:noFill/>
              <a:round/>
            </a:ln>
            <a:effectLst/>
          </c:spPr>
          <c:marker>
            <c:symbol val="circle"/>
            <c:size val="5"/>
            <c:spPr>
              <a:solidFill>
                <a:schemeClr val="accent3"/>
              </a:solidFill>
              <a:ln w="9525">
                <a:solidFill>
                  <a:schemeClr val="accent3"/>
                </a:solidFill>
              </a:ln>
              <a:effectLst/>
            </c:spPr>
          </c:marker>
          <c:yVal>
            <c:numRef>
              <c:f>'Mokslai/Data Analytics Principles/[Confidential data - Sample pack cost breakdown.xlsx]USE THIS - H22422 Quantity cost'!$H$5</c:f>
              <c:numCache>
                <c:formatCode>_-[$£-809]* #,##0.00_-;\-[$£-809]* #,##0.00_-;_-[$£-809]* "-"??_-;_-@_-</c:formatCode>
                <c:ptCount val="1"/>
                <c:pt idx="0">
                  <c:v>1.45</c:v>
                </c:pt>
              </c:numCache>
            </c:numRef>
          </c:yVal>
          <c:smooth val="0"/>
          <c:extLst>
            <c:ext xmlns:c16="http://schemas.microsoft.com/office/drawing/2014/chart" uri="{C3380CC4-5D6E-409C-BE32-E72D297353CC}">
              <c16:uniqueId val="{00000004-BECF-4666-9089-B371C6ED5681}"/>
            </c:ext>
          </c:extLst>
        </c:ser>
        <c:ser>
          <c:idx val="3"/>
          <c:order val="3"/>
          <c:spPr>
            <a:ln w="25400" cap="rnd">
              <a:noFill/>
              <a:round/>
            </a:ln>
            <a:effectLst/>
          </c:spPr>
          <c:marker>
            <c:symbol val="circle"/>
            <c:size val="5"/>
            <c:spPr>
              <a:solidFill>
                <a:schemeClr val="accent4"/>
              </a:solidFill>
              <a:ln w="9525">
                <a:solidFill>
                  <a:schemeClr val="accent4"/>
                </a:solidFill>
              </a:ln>
              <a:effectLst/>
            </c:spPr>
          </c:marker>
          <c:yVal>
            <c:numRef>
              <c:f>'Mokslai/Data Analytics Principles/[Confidential data - Sample pack cost breakdown.xlsx]USE THIS - H22422 Quantity cost'!$H$6</c:f>
              <c:numCache>
                <c:formatCode>_-[$£-809]* #,##0.00_-;\-[$£-809]* #,##0.00_-;_-[$£-809]* "-"??_-;_-@_-</c:formatCode>
                <c:ptCount val="1"/>
                <c:pt idx="0">
                  <c:v>0.75</c:v>
                </c:pt>
              </c:numCache>
            </c:numRef>
          </c:yVal>
          <c:smooth val="0"/>
          <c:extLst>
            <c:ext xmlns:c16="http://schemas.microsoft.com/office/drawing/2014/chart" uri="{C3380CC4-5D6E-409C-BE32-E72D297353CC}">
              <c16:uniqueId val="{00000005-BECF-4666-9089-B371C6ED5681}"/>
            </c:ext>
          </c:extLst>
        </c:ser>
        <c:ser>
          <c:idx val="4"/>
          <c:order val="4"/>
          <c:spPr>
            <a:ln w="25400" cap="rnd">
              <a:noFill/>
              <a:round/>
            </a:ln>
            <a:effectLst/>
          </c:spPr>
          <c:marker>
            <c:symbol val="circle"/>
            <c:size val="5"/>
            <c:spPr>
              <a:solidFill>
                <a:schemeClr val="accent5"/>
              </a:solidFill>
              <a:ln w="9525">
                <a:solidFill>
                  <a:schemeClr val="accent5"/>
                </a:solidFill>
              </a:ln>
              <a:effectLst/>
            </c:spPr>
          </c:marker>
          <c:yVal>
            <c:numRef>
              <c:f>'Mokslai/Data Analytics Principles/[Confidential data - Sample pack cost breakdown.xlsx]USE THIS - H22422 Quantity cost'!$H$7</c:f>
              <c:numCache>
                <c:formatCode>_-[$£-809]* #,##0.00_-;\-[$£-809]* #,##0.00_-;_-[$£-809]* "-"??_-;_-@_-</c:formatCode>
                <c:ptCount val="1"/>
                <c:pt idx="0">
                  <c:v>0.75</c:v>
                </c:pt>
              </c:numCache>
            </c:numRef>
          </c:yVal>
          <c:smooth val="0"/>
          <c:extLst>
            <c:ext xmlns:c16="http://schemas.microsoft.com/office/drawing/2014/chart" uri="{C3380CC4-5D6E-409C-BE32-E72D297353CC}">
              <c16:uniqueId val="{00000006-BECF-4666-9089-B371C6ED5681}"/>
            </c:ext>
          </c:extLst>
        </c:ser>
        <c:ser>
          <c:idx val="5"/>
          <c:order val="5"/>
          <c:spPr>
            <a:ln w="25400" cap="rnd">
              <a:noFill/>
              <a:round/>
            </a:ln>
            <a:effectLst/>
          </c:spPr>
          <c:marker>
            <c:symbol val="circle"/>
            <c:size val="5"/>
            <c:spPr>
              <a:solidFill>
                <a:schemeClr val="accent6"/>
              </a:solidFill>
              <a:ln w="9525">
                <a:solidFill>
                  <a:schemeClr val="accent6"/>
                </a:solidFill>
              </a:ln>
              <a:effectLst/>
            </c:spPr>
          </c:marker>
          <c:yVal>
            <c:numRef>
              <c:f>'Mokslai/Data Analytics Principles/[Confidential data - Sample pack cost breakdown.xlsx]USE THIS - H22422 Quantity cost'!$H$8</c:f>
              <c:numCache>
                <c:formatCode>_-[$£-809]* #,##0.00_-;\-[$£-809]* #,##0.00_-;_-[$£-809]* "-"??_-;_-@_-</c:formatCode>
                <c:ptCount val="1"/>
                <c:pt idx="0">
                  <c:v>0.75</c:v>
                </c:pt>
              </c:numCache>
            </c:numRef>
          </c:yVal>
          <c:smooth val="0"/>
          <c:extLst>
            <c:ext xmlns:c16="http://schemas.microsoft.com/office/drawing/2014/chart" uri="{C3380CC4-5D6E-409C-BE32-E72D297353CC}">
              <c16:uniqueId val="{00000007-BECF-4666-9089-B371C6ED5681}"/>
            </c:ext>
          </c:extLst>
        </c:ser>
        <c:ser>
          <c:idx val="6"/>
          <c:order val="6"/>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yVal>
            <c:numRef>
              <c:f>'Mokslai/Data Analytics Principles/[Confidential data - Sample pack cost breakdown.xlsx]USE THIS - H22422 Quantity cost'!$H$9</c:f>
              <c:numCache>
                <c:formatCode>_-[$£-809]* #,##0.00_-;\-[$£-809]* #,##0.00_-;_-[$£-809]* "-"??_-;_-@_-</c:formatCode>
                <c:ptCount val="1"/>
                <c:pt idx="0">
                  <c:v>0.75</c:v>
                </c:pt>
              </c:numCache>
            </c:numRef>
          </c:yVal>
          <c:smooth val="0"/>
          <c:extLst>
            <c:ext xmlns:c16="http://schemas.microsoft.com/office/drawing/2014/chart" uri="{C3380CC4-5D6E-409C-BE32-E72D297353CC}">
              <c16:uniqueId val="{00000008-BECF-4666-9089-B371C6ED5681}"/>
            </c:ext>
          </c:extLst>
        </c:ser>
        <c:ser>
          <c:idx val="7"/>
          <c:order val="7"/>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yVal>
            <c:numRef>
              <c:f>'Mokslai/Data Analytics Principles/[Confidential data - Sample pack cost breakdown.xlsx]USE THIS - H22422 Quantity cost'!$H$10</c:f>
              <c:numCache>
                <c:formatCode>_-[$£-809]* #,##0.00_-;\-[$£-809]* #,##0.00_-;_-[$£-809]* "-"??_-;_-@_-</c:formatCode>
                <c:ptCount val="1"/>
                <c:pt idx="0">
                  <c:v>0.75</c:v>
                </c:pt>
              </c:numCache>
            </c:numRef>
          </c:yVal>
          <c:smooth val="0"/>
          <c:extLst>
            <c:ext xmlns:c16="http://schemas.microsoft.com/office/drawing/2014/chart" uri="{C3380CC4-5D6E-409C-BE32-E72D297353CC}">
              <c16:uniqueId val="{00000009-BECF-4666-9089-B371C6ED5681}"/>
            </c:ext>
          </c:extLst>
        </c:ser>
        <c:ser>
          <c:idx val="8"/>
          <c:order val="8"/>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yVal>
            <c:numRef>
              <c:f>'Mokslai/Data Analytics Principles/[Confidential data - Sample pack cost breakdown.xlsx]USE THIS - H22422 Quantity cost'!$H$11</c:f>
              <c:numCache>
                <c:formatCode>_-[$£-809]* #,##0.00_-;\-[$£-809]* #,##0.00_-;_-[$£-809]* "-"??_-;_-@_-</c:formatCode>
                <c:ptCount val="1"/>
                <c:pt idx="0">
                  <c:v>0.95</c:v>
                </c:pt>
              </c:numCache>
            </c:numRef>
          </c:yVal>
          <c:smooth val="0"/>
          <c:extLst>
            <c:ext xmlns:c16="http://schemas.microsoft.com/office/drawing/2014/chart" uri="{C3380CC4-5D6E-409C-BE32-E72D297353CC}">
              <c16:uniqueId val="{0000000A-BECF-4666-9089-B371C6ED5681}"/>
            </c:ext>
          </c:extLst>
        </c:ser>
        <c:ser>
          <c:idx val="9"/>
          <c:order val="9"/>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yVal>
            <c:numRef>
              <c:f>'Mokslai/Data Analytics Principles/[Confidential data - Sample pack cost breakdown.xlsx]USE THIS - H22422 Quantity cost'!$H$12</c:f>
              <c:numCache>
                <c:formatCode>_-[$£-809]* #,##0.00_-;\-[$£-809]* #,##0.00_-;_-[$£-809]* "-"??_-;_-@_-</c:formatCode>
                <c:ptCount val="1"/>
                <c:pt idx="0">
                  <c:v>0.75</c:v>
                </c:pt>
              </c:numCache>
            </c:numRef>
          </c:yVal>
          <c:smooth val="0"/>
          <c:extLst>
            <c:ext xmlns:c16="http://schemas.microsoft.com/office/drawing/2014/chart" uri="{C3380CC4-5D6E-409C-BE32-E72D297353CC}">
              <c16:uniqueId val="{0000000B-BECF-4666-9089-B371C6ED5681}"/>
            </c:ext>
          </c:extLst>
        </c:ser>
        <c:ser>
          <c:idx val="10"/>
          <c:order val="10"/>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yVal>
            <c:numRef>
              <c:f>'Mokslai/Data Analytics Principles/[Confidential data - Sample pack cost breakdown.xlsx]USE THIS - H22422 Quantity cost'!$H$13</c:f>
              <c:numCache>
                <c:formatCode>_-[$£-809]* #,##0.00_-;\-[$£-809]* #,##0.00_-;_-[$£-809]* "-"??_-;_-@_-</c:formatCode>
                <c:ptCount val="1"/>
                <c:pt idx="0">
                  <c:v>0.75</c:v>
                </c:pt>
              </c:numCache>
            </c:numRef>
          </c:yVal>
          <c:smooth val="0"/>
          <c:extLst>
            <c:ext xmlns:c16="http://schemas.microsoft.com/office/drawing/2014/chart" uri="{C3380CC4-5D6E-409C-BE32-E72D297353CC}">
              <c16:uniqueId val="{0000000C-BECF-4666-9089-B371C6ED5681}"/>
            </c:ext>
          </c:extLst>
        </c:ser>
        <c:ser>
          <c:idx val="11"/>
          <c:order val="11"/>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yVal>
            <c:numRef>
              <c:f>'Mokslai/Data Analytics Principles/[Confidential data - Sample pack cost breakdown.xlsx]USE THIS - H22422 Quantity cost'!$H$14</c:f>
              <c:numCache>
                <c:formatCode>_-[$£-809]* #,##0.00_-;\-[$£-809]* #,##0.00_-;_-[$£-809]* "-"??_-;_-@_-</c:formatCode>
                <c:ptCount val="1"/>
                <c:pt idx="0">
                  <c:v>0.75</c:v>
                </c:pt>
              </c:numCache>
            </c:numRef>
          </c:yVal>
          <c:smooth val="0"/>
          <c:extLst>
            <c:ext xmlns:c16="http://schemas.microsoft.com/office/drawing/2014/chart" uri="{C3380CC4-5D6E-409C-BE32-E72D297353CC}">
              <c16:uniqueId val="{0000000D-BECF-4666-9089-B371C6ED5681}"/>
            </c:ext>
          </c:extLst>
        </c:ser>
        <c:ser>
          <c:idx val="12"/>
          <c:order val="12"/>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f>'Mokslai/Data Analytics Principles/[Confidential data - Sample pack cost breakdown.xlsx]USE THIS - H22422 Quantity cost'!$H$15</c:f>
              <c:numCache>
                <c:formatCode>_-[$£-809]* #,##0.00_-;\-[$£-809]* #,##0.00_-;_-[$£-809]* "-"??_-;_-@_-</c:formatCode>
                <c:ptCount val="1"/>
                <c:pt idx="0">
                  <c:v>0.75</c:v>
                </c:pt>
              </c:numCache>
            </c:numRef>
          </c:yVal>
          <c:smooth val="0"/>
          <c:extLst>
            <c:ext xmlns:c16="http://schemas.microsoft.com/office/drawing/2014/chart" uri="{C3380CC4-5D6E-409C-BE32-E72D297353CC}">
              <c16:uniqueId val="{0000000E-BECF-4666-9089-B371C6ED5681}"/>
            </c:ext>
          </c:extLst>
        </c:ser>
        <c:ser>
          <c:idx val="13"/>
          <c:order val="13"/>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f>'Mokslai/Data Analytics Principles/[Confidential data - Sample pack cost breakdown.xlsx]USE THIS - H22422 Quantity cost'!$H$16</c:f>
              <c:numCache>
                <c:formatCode>_-[$£-809]* #,##0.00_-;\-[$£-809]* #,##0.00_-;_-[$£-809]* "-"??_-;_-@_-</c:formatCode>
                <c:ptCount val="1"/>
                <c:pt idx="0">
                  <c:v>0.75</c:v>
                </c:pt>
              </c:numCache>
            </c:numRef>
          </c:yVal>
          <c:smooth val="0"/>
          <c:extLst>
            <c:ext xmlns:c16="http://schemas.microsoft.com/office/drawing/2014/chart" uri="{C3380CC4-5D6E-409C-BE32-E72D297353CC}">
              <c16:uniqueId val="{0000000F-BECF-4666-9089-B371C6ED5681}"/>
            </c:ext>
          </c:extLst>
        </c:ser>
        <c:ser>
          <c:idx val="14"/>
          <c:order val="14"/>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f>'Mokslai/Data Analytics Principles/[Confidential data - Sample pack cost breakdown.xlsx]USE THIS - H22422 Quantity cost'!$H$17</c:f>
              <c:numCache>
                <c:formatCode>_-[$£-809]* #,##0.00_-;\-[$£-809]* #,##0.00_-;_-[$£-809]* "-"??_-;_-@_-</c:formatCode>
                <c:ptCount val="1"/>
                <c:pt idx="0">
                  <c:v>0.75</c:v>
                </c:pt>
              </c:numCache>
            </c:numRef>
          </c:yVal>
          <c:smooth val="0"/>
          <c:extLst>
            <c:ext xmlns:c16="http://schemas.microsoft.com/office/drawing/2014/chart" uri="{C3380CC4-5D6E-409C-BE32-E72D297353CC}">
              <c16:uniqueId val="{00000010-BECF-4666-9089-B371C6ED5681}"/>
            </c:ext>
          </c:extLst>
        </c:ser>
        <c:ser>
          <c:idx val="15"/>
          <c:order val="15"/>
          <c:spPr>
            <a:ln w="25400" cap="rnd">
              <a:no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f>'Mokslai/Data Analytics Principles/[Confidential data - Sample pack cost breakdown.xlsx]USE THIS - H22422 Quantity cost'!$H$18</c:f>
              <c:numCache>
                <c:formatCode>_-[$£-809]* #,##0.00_-;\-[$£-809]* #,##0.00_-;_-[$£-809]* "-"??_-;_-@_-</c:formatCode>
                <c:ptCount val="1"/>
                <c:pt idx="0">
                  <c:v>0.75</c:v>
                </c:pt>
              </c:numCache>
            </c:numRef>
          </c:yVal>
          <c:smooth val="0"/>
          <c:extLst>
            <c:ext xmlns:c16="http://schemas.microsoft.com/office/drawing/2014/chart" uri="{C3380CC4-5D6E-409C-BE32-E72D297353CC}">
              <c16:uniqueId val="{00000011-BECF-4666-9089-B371C6ED5681}"/>
            </c:ext>
          </c:extLst>
        </c:ser>
        <c:ser>
          <c:idx val="16"/>
          <c:order val="16"/>
          <c:spPr>
            <a:ln w="25400" cap="rnd">
              <a:no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f>'Mokslai/Data Analytics Principles/[Confidential data - Sample pack cost breakdown.xlsx]USE THIS - H22422 Quantity cost'!$H$19</c:f>
              <c:numCache>
                <c:formatCode>_-[$£-809]* #,##0.00_-;\-[$£-809]* #,##0.00_-;_-[$£-809]* "-"??_-;_-@_-</c:formatCode>
                <c:ptCount val="1"/>
                <c:pt idx="0">
                  <c:v>0.75</c:v>
                </c:pt>
              </c:numCache>
            </c:numRef>
          </c:yVal>
          <c:smooth val="0"/>
          <c:extLst>
            <c:ext xmlns:c16="http://schemas.microsoft.com/office/drawing/2014/chart" uri="{C3380CC4-5D6E-409C-BE32-E72D297353CC}">
              <c16:uniqueId val="{00000012-BECF-4666-9089-B371C6ED5681}"/>
            </c:ext>
          </c:extLst>
        </c:ser>
        <c:ser>
          <c:idx val="17"/>
          <c:order val="17"/>
          <c:spPr>
            <a:ln w="25400" cap="rnd">
              <a:no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f>'Mokslai/Data Analytics Principles/[Confidential data - Sample pack cost breakdown.xlsx]USE THIS - H22422 Quantity cost'!$H$20</c:f>
              <c:numCache>
                <c:formatCode>_-[$£-809]* #,##0.00_-;\-[$£-809]* #,##0.00_-;_-[$£-809]* "-"??_-;_-@_-</c:formatCode>
                <c:ptCount val="1"/>
                <c:pt idx="0">
                  <c:v>0.75</c:v>
                </c:pt>
              </c:numCache>
            </c:numRef>
          </c:yVal>
          <c:smooth val="0"/>
          <c:extLst>
            <c:ext xmlns:c16="http://schemas.microsoft.com/office/drawing/2014/chart" uri="{C3380CC4-5D6E-409C-BE32-E72D297353CC}">
              <c16:uniqueId val="{00000013-BECF-4666-9089-B371C6ED5681}"/>
            </c:ext>
          </c:extLst>
        </c:ser>
        <c:ser>
          <c:idx val="18"/>
          <c:order val="18"/>
          <c:spPr>
            <a:ln w="25400" cap="rnd">
              <a:noFill/>
              <a:round/>
            </a:ln>
            <a:effectLst/>
          </c:spPr>
          <c:marker>
            <c:symbol val="circle"/>
            <c:size val="5"/>
            <c:spPr>
              <a:solidFill>
                <a:schemeClr val="accent1">
                  <a:lumMod val="80000"/>
                </a:schemeClr>
              </a:solidFill>
              <a:ln w="9525">
                <a:solidFill>
                  <a:schemeClr val="accent1">
                    <a:lumMod val="80000"/>
                  </a:schemeClr>
                </a:solidFill>
              </a:ln>
              <a:effectLst/>
            </c:spPr>
          </c:marker>
          <c:yVal>
            <c:numRef>
              <c:f>'Mokslai/Data Analytics Principles/[Confidential data - Sample pack cost breakdown.xlsx]USE THIS - H22422 Quantity cost'!$H$21</c:f>
              <c:numCache>
                <c:formatCode>_-[$£-809]* #,##0.00_-;\-[$£-809]* #,##0.00_-;_-[$£-809]* "-"??_-;_-@_-</c:formatCode>
                <c:ptCount val="1"/>
                <c:pt idx="0">
                  <c:v>0.95</c:v>
                </c:pt>
              </c:numCache>
            </c:numRef>
          </c:yVal>
          <c:smooth val="0"/>
          <c:extLst>
            <c:ext xmlns:c16="http://schemas.microsoft.com/office/drawing/2014/chart" uri="{C3380CC4-5D6E-409C-BE32-E72D297353CC}">
              <c16:uniqueId val="{00000014-BECF-4666-9089-B371C6ED5681}"/>
            </c:ext>
          </c:extLst>
        </c:ser>
        <c:ser>
          <c:idx val="19"/>
          <c:order val="19"/>
          <c:spPr>
            <a:ln w="25400" cap="rnd">
              <a:noFill/>
              <a:round/>
            </a:ln>
            <a:effectLst/>
          </c:spPr>
          <c:marker>
            <c:symbol val="circle"/>
            <c:size val="5"/>
            <c:spPr>
              <a:solidFill>
                <a:schemeClr val="accent2">
                  <a:lumMod val="80000"/>
                </a:schemeClr>
              </a:solidFill>
              <a:ln w="9525">
                <a:solidFill>
                  <a:schemeClr val="accent2">
                    <a:lumMod val="80000"/>
                  </a:schemeClr>
                </a:solidFill>
              </a:ln>
              <a:effectLst/>
            </c:spPr>
          </c:marker>
          <c:yVal>
            <c:numRef>
              <c:f>'Mokslai/Data Analytics Principles/[Confidential data - Sample pack cost breakdown.xlsx]USE THIS - H22422 Quantity cost'!$H$22</c:f>
              <c:numCache>
                <c:formatCode>_-[$£-809]* #,##0.00_-;\-[$£-809]* #,##0.00_-;_-[$£-809]* "-"??_-;_-@_-</c:formatCode>
                <c:ptCount val="1"/>
                <c:pt idx="0">
                  <c:v>0.95</c:v>
                </c:pt>
              </c:numCache>
            </c:numRef>
          </c:yVal>
          <c:smooth val="0"/>
          <c:extLst>
            <c:ext xmlns:c16="http://schemas.microsoft.com/office/drawing/2014/chart" uri="{C3380CC4-5D6E-409C-BE32-E72D297353CC}">
              <c16:uniqueId val="{00000015-BECF-4666-9089-B371C6ED5681}"/>
            </c:ext>
          </c:extLst>
        </c:ser>
        <c:ser>
          <c:idx val="20"/>
          <c:order val="20"/>
          <c:spPr>
            <a:ln w="25400" cap="rnd">
              <a:noFill/>
              <a:round/>
            </a:ln>
            <a:effectLst/>
          </c:spPr>
          <c:marker>
            <c:symbol val="circle"/>
            <c:size val="5"/>
            <c:spPr>
              <a:solidFill>
                <a:schemeClr val="accent3">
                  <a:lumMod val="80000"/>
                </a:schemeClr>
              </a:solidFill>
              <a:ln w="9525">
                <a:solidFill>
                  <a:schemeClr val="accent3">
                    <a:lumMod val="80000"/>
                  </a:schemeClr>
                </a:solidFill>
              </a:ln>
              <a:effectLst/>
            </c:spPr>
          </c:marker>
          <c:yVal>
            <c:numRef>
              <c:f>'Mokslai/Data Analytics Principles/[Confidential data - Sample pack cost breakdown.xlsx]USE THIS - H22422 Quantity cost'!$H$23</c:f>
              <c:numCache>
                <c:formatCode>_-[$£-809]* #,##0.00_-;\-[$£-809]* #,##0.00_-;_-[$£-809]* "-"??_-;_-@_-</c:formatCode>
                <c:ptCount val="1"/>
                <c:pt idx="0">
                  <c:v>0.95</c:v>
                </c:pt>
              </c:numCache>
            </c:numRef>
          </c:yVal>
          <c:smooth val="0"/>
          <c:extLst>
            <c:ext xmlns:c16="http://schemas.microsoft.com/office/drawing/2014/chart" uri="{C3380CC4-5D6E-409C-BE32-E72D297353CC}">
              <c16:uniqueId val="{00000016-BECF-4666-9089-B371C6ED5681}"/>
            </c:ext>
          </c:extLst>
        </c:ser>
        <c:ser>
          <c:idx val="21"/>
          <c:order val="21"/>
          <c:spPr>
            <a:ln w="25400" cap="rnd">
              <a:noFill/>
              <a:round/>
            </a:ln>
            <a:effectLst/>
          </c:spPr>
          <c:marker>
            <c:symbol val="circle"/>
            <c:size val="5"/>
            <c:spPr>
              <a:solidFill>
                <a:schemeClr val="accent4">
                  <a:lumMod val="80000"/>
                </a:schemeClr>
              </a:solidFill>
              <a:ln w="9525">
                <a:solidFill>
                  <a:schemeClr val="accent4">
                    <a:lumMod val="80000"/>
                  </a:schemeClr>
                </a:solidFill>
              </a:ln>
              <a:effectLst/>
            </c:spPr>
          </c:marker>
          <c:yVal>
            <c:numRef>
              <c:f>'Mokslai/Data Analytics Principles/[Confidential data - Sample pack cost breakdown.xlsx]USE THIS - H22422 Quantity cost'!$H$24</c:f>
              <c:numCache>
                <c:formatCode>_-[$£-809]* #,##0.00_-;\-[$£-809]* #,##0.00_-;_-[$£-809]* "-"??_-;_-@_-</c:formatCode>
                <c:ptCount val="1"/>
                <c:pt idx="0">
                  <c:v>0.75</c:v>
                </c:pt>
              </c:numCache>
            </c:numRef>
          </c:yVal>
          <c:smooth val="0"/>
          <c:extLst>
            <c:ext xmlns:c16="http://schemas.microsoft.com/office/drawing/2014/chart" uri="{C3380CC4-5D6E-409C-BE32-E72D297353CC}">
              <c16:uniqueId val="{00000017-BECF-4666-9089-B371C6ED5681}"/>
            </c:ext>
          </c:extLst>
        </c:ser>
        <c:ser>
          <c:idx val="22"/>
          <c:order val="22"/>
          <c:spPr>
            <a:ln w="25400" cap="rnd">
              <a:noFill/>
              <a:round/>
            </a:ln>
            <a:effectLst/>
          </c:spPr>
          <c:marker>
            <c:symbol val="circle"/>
            <c:size val="5"/>
            <c:spPr>
              <a:solidFill>
                <a:schemeClr val="accent5">
                  <a:lumMod val="80000"/>
                </a:schemeClr>
              </a:solidFill>
              <a:ln w="9525">
                <a:solidFill>
                  <a:schemeClr val="accent5">
                    <a:lumMod val="80000"/>
                  </a:schemeClr>
                </a:solidFill>
              </a:ln>
              <a:effectLst/>
            </c:spPr>
          </c:marker>
          <c:yVal>
            <c:numRef>
              <c:f>'Mokslai/Data Analytics Principles/[Confidential data - Sample pack cost breakdown.xlsx]USE THIS - H22422 Quantity cost'!$H$25</c:f>
              <c:numCache>
                <c:formatCode>_-[$£-809]* #,##0.00_-;\-[$£-809]* #,##0.00_-;_-[$£-809]* "-"??_-;_-@_-</c:formatCode>
                <c:ptCount val="1"/>
                <c:pt idx="0">
                  <c:v>0.75</c:v>
                </c:pt>
              </c:numCache>
            </c:numRef>
          </c:yVal>
          <c:smooth val="0"/>
          <c:extLst>
            <c:ext xmlns:c16="http://schemas.microsoft.com/office/drawing/2014/chart" uri="{C3380CC4-5D6E-409C-BE32-E72D297353CC}">
              <c16:uniqueId val="{00000018-BECF-4666-9089-B371C6ED5681}"/>
            </c:ext>
          </c:extLst>
        </c:ser>
        <c:ser>
          <c:idx val="23"/>
          <c:order val="23"/>
          <c:spPr>
            <a:ln w="25400" cap="rnd">
              <a:noFill/>
              <a:round/>
            </a:ln>
            <a:effectLst/>
          </c:spPr>
          <c:marker>
            <c:symbol val="circle"/>
            <c:size val="5"/>
            <c:spPr>
              <a:solidFill>
                <a:schemeClr val="accent6">
                  <a:lumMod val="80000"/>
                </a:schemeClr>
              </a:solidFill>
              <a:ln w="9525">
                <a:solidFill>
                  <a:schemeClr val="accent6">
                    <a:lumMod val="80000"/>
                  </a:schemeClr>
                </a:solidFill>
              </a:ln>
              <a:effectLst/>
            </c:spPr>
          </c:marker>
          <c:yVal>
            <c:numRef>
              <c:f>'Mokslai/Data Analytics Principles/[Confidential data - Sample pack cost breakdown.xlsx]USE THIS - H22422 Quantity cost'!$H$26</c:f>
              <c:numCache>
                <c:formatCode>_-[$£-809]* #,##0.00_-;\-[$£-809]* #,##0.00_-;_-[$£-809]* "-"??_-;_-@_-</c:formatCode>
                <c:ptCount val="1"/>
                <c:pt idx="0">
                  <c:v>0.75</c:v>
                </c:pt>
              </c:numCache>
            </c:numRef>
          </c:yVal>
          <c:smooth val="0"/>
          <c:extLst>
            <c:ext xmlns:c16="http://schemas.microsoft.com/office/drawing/2014/chart" uri="{C3380CC4-5D6E-409C-BE32-E72D297353CC}">
              <c16:uniqueId val="{00000019-BECF-4666-9089-B371C6ED5681}"/>
            </c:ext>
          </c:extLst>
        </c:ser>
        <c:ser>
          <c:idx val="24"/>
          <c:order val="24"/>
          <c:spPr>
            <a:ln w="25400" cap="rnd">
              <a:noFill/>
              <a:round/>
            </a:ln>
            <a:effectLst/>
          </c:spPr>
          <c:marker>
            <c:symbol val="circle"/>
            <c:size val="5"/>
            <c:spPr>
              <a:solidFill>
                <a:schemeClr val="accent1">
                  <a:lumMod val="60000"/>
                  <a:lumOff val="40000"/>
                </a:schemeClr>
              </a:solidFill>
              <a:ln w="9525">
                <a:solidFill>
                  <a:schemeClr val="accent1">
                    <a:lumMod val="60000"/>
                    <a:lumOff val="40000"/>
                  </a:schemeClr>
                </a:solidFill>
              </a:ln>
              <a:effectLst/>
            </c:spPr>
          </c:marker>
          <c:yVal>
            <c:numRef>
              <c:f>'Mokslai/Data Analytics Principles/[Confidential data - Sample pack cost breakdown.xlsx]USE THIS - H22422 Quantity cost'!$H$27</c:f>
              <c:numCache>
                <c:formatCode>_-[$£-809]* #,##0.00_-;\-[$£-809]* #,##0.00_-;_-[$£-809]* "-"??_-;_-@_-</c:formatCode>
                <c:ptCount val="1"/>
                <c:pt idx="0">
                  <c:v>0.75</c:v>
                </c:pt>
              </c:numCache>
            </c:numRef>
          </c:yVal>
          <c:smooth val="0"/>
          <c:extLst>
            <c:ext xmlns:c16="http://schemas.microsoft.com/office/drawing/2014/chart" uri="{C3380CC4-5D6E-409C-BE32-E72D297353CC}">
              <c16:uniqueId val="{0000001A-BECF-4666-9089-B371C6ED5681}"/>
            </c:ext>
          </c:extLst>
        </c:ser>
        <c:ser>
          <c:idx val="25"/>
          <c:order val="25"/>
          <c:spPr>
            <a:ln w="25400" cap="rnd">
              <a:noFill/>
              <a:round/>
            </a:ln>
            <a:effectLst/>
          </c:spPr>
          <c:marker>
            <c:symbol val="circle"/>
            <c:size val="5"/>
            <c:spPr>
              <a:solidFill>
                <a:schemeClr val="accent2">
                  <a:lumMod val="60000"/>
                  <a:lumOff val="40000"/>
                </a:schemeClr>
              </a:solidFill>
              <a:ln w="9525">
                <a:solidFill>
                  <a:schemeClr val="accent2">
                    <a:lumMod val="60000"/>
                    <a:lumOff val="40000"/>
                  </a:schemeClr>
                </a:solidFill>
              </a:ln>
              <a:effectLst/>
            </c:spPr>
          </c:marker>
          <c:yVal>
            <c:numRef>
              <c:f>'Mokslai/Data Analytics Principles/[Confidential data - Sample pack cost breakdown.xlsx]USE THIS - H22422 Quantity cost'!$H$28</c:f>
              <c:numCache>
                <c:formatCode>_-[$£-809]* #,##0.00_-;\-[$£-809]* #,##0.00_-;_-[$£-809]* "-"??_-;_-@_-</c:formatCode>
                <c:ptCount val="1"/>
                <c:pt idx="0">
                  <c:v>0.75</c:v>
                </c:pt>
              </c:numCache>
            </c:numRef>
          </c:yVal>
          <c:smooth val="0"/>
          <c:extLst>
            <c:ext xmlns:c16="http://schemas.microsoft.com/office/drawing/2014/chart" uri="{C3380CC4-5D6E-409C-BE32-E72D297353CC}">
              <c16:uniqueId val="{0000001B-BECF-4666-9089-B371C6ED5681}"/>
            </c:ext>
          </c:extLst>
        </c:ser>
        <c:ser>
          <c:idx val="26"/>
          <c:order val="26"/>
          <c:spPr>
            <a:ln w="25400" cap="rnd">
              <a:noFill/>
              <a:round/>
            </a:ln>
            <a:effectLst/>
          </c:spPr>
          <c:marker>
            <c:symbol val="circle"/>
            <c:size val="5"/>
            <c:spPr>
              <a:solidFill>
                <a:schemeClr val="accent3">
                  <a:lumMod val="60000"/>
                  <a:lumOff val="40000"/>
                </a:schemeClr>
              </a:solidFill>
              <a:ln w="9525">
                <a:solidFill>
                  <a:schemeClr val="accent3">
                    <a:lumMod val="60000"/>
                    <a:lumOff val="40000"/>
                  </a:schemeClr>
                </a:solidFill>
              </a:ln>
              <a:effectLst/>
            </c:spPr>
          </c:marker>
          <c:yVal>
            <c:numRef>
              <c:f>'Mokslai/Data Analytics Principles/[Confidential data - Sample pack cost breakdown.xlsx]USE THIS - H22422 Quantity cost'!$H$29</c:f>
              <c:numCache>
                <c:formatCode>_-[$£-809]* #,##0.00_-;\-[$£-809]* #,##0.00_-;_-[$£-809]* "-"??_-;_-@_-</c:formatCode>
                <c:ptCount val="1"/>
                <c:pt idx="0">
                  <c:v>0.95</c:v>
                </c:pt>
              </c:numCache>
            </c:numRef>
          </c:yVal>
          <c:smooth val="0"/>
          <c:extLst>
            <c:ext xmlns:c16="http://schemas.microsoft.com/office/drawing/2014/chart" uri="{C3380CC4-5D6E-409C-BE32-E72D297353CC}">
              <c16:uniqueId val="{0000001C-BECF-4666-9089-B371C6ED5681}"/>
            </c:ext>
          </c:extLst>
        </c:ser>
        <c:ser>
          <c:idx val="27"/>
          <c:order val="27"/>
          <c:spPr>
            <a:ln w="25400" cap="rnd">
              <a:noFill/>
              <a:round/>
            </a:ln>
            <a:effectLst/>
          </c:spPr>
          <c:marker>
            <c:symbol val="circle"/>
            <c:size val="5"/>
            <c:spPr>
              <a:solidFill>
                <a:schemeClr val="accent4">
                  <a:lumMod val="60000"/>
                  <a:lumOff val="40000"/>
                </a:schemeClr>
              </a:solidFill>
              <a:ln w="9525">
                <a:solidFill>
                  <a:schemeClr val="accent4">
                    <a:lumMod val="60000"/>
                    <a:lumOff val="40000"/>
                  </a:schemeClr>
                </a:solidFill>
              </a:ln>
              <a:effectLst/>
            </c:spPr>
          </c:marker>
          <c:yVal>
            <c:numRef>
              <c:f>'Mokslai/Data Analytics Principles/[Confidential data - Sample pack cost breakdown.xlsx]USE THIS - H22422 Quantity cost'!$H$30</c:f>
              <c:numCache>
                <c:formatCode>_-[$£-809]* #,##0.00_-;\-[$£-809]* #,##0.00_-;_-[$£-809]* "-"??_-;_-@_-</c:formatCode>
                <c:ptCount val="1"/>
                <c:pt idx="0">
                  <c:v>0.95</c:v>
                </c:pt>
              </c:numCache>
            </c:numRef>
          </c:yVal>
          <c:smooth val="0"/>
          <c:extLst>
            <c:ext xmlns:c16="http://schemas.microsoft.com/office/drawing/2014/chart" uri="{C3380CC4-5D6E-409C-BE32-E72D297353CC}">
              <c16:uniqueId val="{0000001D-BECF-4666-9089-B371C6ED5681}"/>
            </c:ext>
          </c:extLst>
        </c:ser>
        <c:ser>
          <c:idx val="28"/>
          <c:order val="28"/>
          <c:spPr>
            <a:ln w="25400" cap="rnd">
              <a:noFill/>
              <a:round/>
            </a:ln>
            <a:effectLst/>
          </c:spPr>
          <c:marker>
            <c:symbol val="circle"/>
            <c:size val="5"/>
            <c:spPr>
              <a:solidFill>
                <a:schemeClr val="accent5">
                  <a:lumMod val="60000"/>
                  <a:lumOff val="40000"/>
                </a:schemeClr>
              </a:solidFill>
              <a:ln w="9525">
                <a:solidFill>
                  <a:schemeClr val="accent5">
                    <a:lumMod val="60000"/>
                    <a:lumOff val="40000"/>
                  </a:schemeClr>
                </a:solidFill>
              </a:ln>
              <a:effectLst/>
            </c:spPr>
          </c:marker>
          <c:yVal>
            <c:numRef>
              <c:f>'Mokslai/Data Analytics Principles/[Confidential data - Sample pack cost breakdown.xlsx]USE THIS - H22422 Quantity cost'!$H$31</c:f>
              <c:numCache>
                <c:formatCode>_-[$£-809]* #,##0.00_-;\-[$£-809]* #,##0.00_-;_-[$£-809]* "-"??_-;_-@_-</c:formatCode>
                <c:ptCount val="1"/>
                <c:pt idx="0">
                  <c:v>0.95</c:v>
                </c:pt>
              </c:numCache>
            </c:numRef>
          </c:yVal>
          <c:smooth val="0"/>
          <c:extLst>
            <c:ext xmlns:c16="http://schemas.microsoft.com/office/drawing/2014/chart" uri="{C3380CC4-5D6E-409C-BE32-E72D297353CC}">
              <c16:uniqueId val="{0000001E-BECF-4666-9089-B371C6ED5681}"/>
            </c:ext>
          </c:extLst>
        </c:ser>
        <c:ser>
          <c:idx val="29"/>
          <c:order val="29"/>
          <c:spPr>
            <a:ln w="25400" cap="rnd">
              <a:noFill/>
              <a:round/>
            </a:ln>
            <a:effectLst/>
          </c:spPr>
          <c:marker>
            <c:symbol val="circle"/>
            <c:size val="5"/>
            <c:spPr>
              <a:solidFill>
                <a:schemeClr val="accent6">
                  <a:lumMod val="60000"/>
                  <a:lumOff val="40000"/>
                </a:schemeClr>
              </a:solidFill>
              <a:ln w="9525">
                <a:solidFill>
                  <a:schemeClr val="accent6">
                    <a:lumMod val="60000"/>
                    <a:lumOff val="40000"/>
                  </a:schemeClr>
                </a:solidFill>
              </a:ln>
              <a:effectLst/>
            </c:spPr>
          </c:marker>
          <c:yVal>
            <c:numRef>
              <c:f>'Mokslai/Data Analytics Principles/[Confidential data - Sample pack cost breakdown.xlsx]USE THIS - H22422 Quantity cost'!$H$32</c:f>
              <c:numCache>
                <c:formatCode>_-[$£-809]* #,##0.00_-;\-[$£-809]* #,##0.00_-;_-[$£-809]* "-"??_-;_-@_-</c:formatCode>
                <c:ptCount val="1"/>
                <c:pt idx="0">
                  <c:v>0.95</c:v>
                </c:pt>
              </c:numCache>
            </c:numRef>
          </c:yVal>
          <c:smooth val="0"/>
          <c:extLst>
            <c:ext xmlns:c16="http://schemas.microsoft.com/office/drawing/2014/chart" uri="{C3380CC4-5D6E-409C-BE32-E72D297353CC}">
              <c16:uniqueId val="{0000001F-BECF-4666-9089-B371C6ED5681}"/>
            </c:ext>
          </c:extLst>
        </c:ser>
        <c:ser>
          <c:idx val="30"/>
          <c:order val="30"/>
          <c:spPr>
            <a:ln w="25400" cap="rnd">
              <a:noFill/>
              <a:round/>
            </a:ln>
            <a:effectLst/>
          </c:spPr>
          <c:marker>
            <c:symbol val="circle"/>
            <c:size val="5"/>
            <c:spPr>
              <a:solidFill>
                <a:schemeClr val="accent1">
                  <a:lumMod val="50000"/>
                </a:schemeClr>
              </a:solidFill>
              <a:ln w="9525">
                <a:solidFill>
                  <a:schemeClr val="accent1">
                    <a:lumMod val="50000"/>
                  </a:schemeClr>
                </a:solidFill>
              </a:ln>
              <a:effectLst/>
            </c:spPr>
          </c:marker>
          <c:yVal>
            <c:numRef>
              <c:f>'Mokslai/Data Analytics Principles/[Confidential data - Sample pack cost breakdown.xlsx]USE THIS - H22422 Quantity cost'!$H$33</c:f>
              <c:numCache>
                <c:formatCode>_-[$£-809]* #,##0.00_-;\-[$£-809]* #,##0.00_-;_-[$£-809]* "-"??_-;_-@_-</c:formatCode>
                <c:ptCount val="1"/>
                <c:pt idx="0">
                  <c:v>0.95</c:v>
                </c:pt>
              </c:numCache>
            </c:numRef>
          </c:yVal>
          <c:smooth val="0"/>
          <c:extLst>
            <c:ext xmlns:c16="http://schemas.microsoft.com/office/drawing/2014/chart" uri="{C3380CC4-5D6E-409C-BE32-E72D297353CC}">
              <c16:uniqueId val="{00000020-BECF-4666-9089-B371C6ED5681}"/>
            </c:ext>
          </c:extLst>
        </c:ser>
        <c:ser>
          <c:idx val="31"/>
          <c:order val="31"/>
          <c:spPr>
            <a:ln w="25400" cap="rnd">
              <a:noFill/>
              <a:round/>
            </a:ln>
            <a:effectLst/>
          </c:spPr>
          <c:marker>
            <c:symbol val="circle"/>
            <c:size val="5"/>
            <c:spPr>
              <a:solidFill>
                <a:schemeClr val="accent2">
                  <a:lumMod val="50000"/>
                </a:schemeClr>
              </a:solidFill>
              <a:ln w="9525">
                <a:solidFill>
                  <a:schemeClr val="accent2">
                    <a:lumMod val="50000"/>
                  </a:schemeClr>
                </a:solidFill>
              </a:ln>
              <a:effectLst/>
            </c:spPr>
          </c:marker>
          <c:yVal>
            <c:numRef>
              <c:f>'Mokslai/Data Analytics Principles/[Confidential data - Sample pack cost breakdown.xlsx]USE THIS - H22422 Quantity cost'!$H$34</c:f>
              <c:numCache>
                <c:formatCode>_-[$£-809]* #,##0.00_-;\-[$£-809]* #,##0.00_-;_-[$£-809]* "-"??_-;_-@_-</c:formatCode>
                <c:ptCount val="1"/>
                <c:pt idx="0">
                  <c:v>0.75</c:v>
                </c:pt>
              </c:numCache>
            </c:numRef>
          </c:yVal>
          <c:smooth val="0"/>
          <c:extLst>
            <c:ext xmlns:c16="http://schemas.microsoft.com/office/drawing/2014/chart" uri="{C3380CC4-5D6E-409C-BE32-E72D297353CC}">
              <c16:uniqueId val="{00000021-BECF-4666-9089-B371C6ED5681}"/>
            </c:ext>
          </c:extLst>
        </c:ser>
        <c:ser>
          <c:idx val="32"/>
          <c:order val="32"/>
          <c:spPr>
            <a:ln w="25400" cap="rnd">
              <a:noFill/>
              <a:round/>
            </a:ln>
            <a:effectLst/>
          </c:spPr>
          <c:marker>
            <c:symbol val="circle"/>
            <c:size val="5"/>
            <c:spPr>
              <a:solidFill>
                <a:schemeClr val="accent3">
                  <a:lumMod val="50000"/>
                </a:schemeClr>
              </a:solidFill>
              <a:ln w="9525">
                <a:solidFill>
                  <a:schemeClr val="accent3">
                    <a:lumMod val="50000"/>
                  </a:schemeClr>
                </a:solidFill>
              </a:ln>
              <a:effectLst/>
            </c:spPr>
          </c:marker>
          <c:yVal>
            <c:numRef>
              <c:f>'Mokslai/Data Analytics Principles/[Confidential data - Sample pack cost breakdown.xlsx]USE THIS - H22422 Quantity cost'!$H$35</c:f>
              <c:numCache>
                <c:formatCode>_-[$£-809]* #,##0.00_-;\-[$£-809]* #,##0.00_-;_-[$£-809]* "-"??_-;_-@_-</c:formatCode>
                <c:ptCount val="1"/>
                <c:pt idx="0">
                  <c:v>0.95</c:v>
                </c:pt>
              </c:numCache>
            </c:numRef>
          </c:yVal>
          <c:smooth val="0"/>
          <c:extLst>
            <c:ext xmlns:c16="http://schemas.microsoft.com/office/drawing/2014/chart" uri="{C3380CC4-5D6E-409C-BE32-E72D297353CC}">
              <c16:uniqueId val="{00000022-BECF-4666-9089-B371C6ED5681}"/>
            </c:ext>
          </c:extLst>
        </c:ser>
        <c:ser>
          <c:idx val="33"/>
          <c:order val="33"/>
          <c:spPr>
            <a:ln w="25400" cap="rnd">
              <a:noFill/>
              <a:round/>
            </a:ln>
            <a:effectLst/>
          </c:spPr>
          <c:marker>
            <c:symbol val="circle"/>
            <c:size val="5"/>
            <c:spPr>
              <a:solidFill>
                <a:schemeClr val="accent4">
                  <a:lumMod val="50000"/>
                </a:schemeClr>
              </a:solidFill>
              <a:ln w="9525">
                <a:solidFill>
                  <a:schemeClr val="accent4">
                    <a:lumMod val="50000"/>
                  </a:schemeClr>
                </a:solidFill>
              </a:ln>
              <a:effectLst/>
            </c:spPr>
          </c:marker>
          <c:yVal>
            <c:numRef>
              <c:f>'Mokslai/Data Analytics Principles/[Confidential data - Sample pack cost breakdown.xlsx]USE THIS - H22422 Quantity cost'!$H$36</c:f>
              <c:numCache>
                <c:formatCode>_-[$£-809]* #,##0.00_-;\-[$£-809]* #,##0.00_-;_-[$£-809]* "-"??_-;_-@_-</c:formatCode>
                <c:ptCount val="1"/>
                <c:pt idx="0">
                  <c:v>0.95</c:v>
                </c:pt>
              </c:numCache>
            </c:numRef>
          </c:yVal>
          <c:smooth val="0"/>
          <c:extLst>
            <c:ext xmlns:c16="http://schemas.microsoft.com/office/drawing/2014/chart" uri="{C3380CC4-5D6E-409C-BE32-E72D297353CC}">
              <c16:uniqueId val="{00000023-BECF-4666-9089-B371C6ED5681}"/>
            </c:ext>
          </c:extLst>
        </c:ser>
        <c:ser>
          <c:idx val="34"/>
          <c:order val="34"/>
          <c:spPr>
            <a:ln w="25400" cap="rnd">
              <a:noFill/>
              <a:round/>
            </a:ln>
            <a:effectLst/>
          </c:spPr>
          <c:marker>
            <c:symbol val="circle"/>
            <c:size val="5"/>
            <c:spPr>
              <a:solidFill>
                <a:schemeClr val="accent5">
                  <a:lumMod val="50000"/>
                </a:schemeClr>
              </a:solidFill>
              <a:ln w="9525">
                <a:solidFill>
                  <a:schemeClr val="accent5">
                    <a:lumMod val="50000"/>
                  </a:schemeClr>
                </a:solidFill>
              </a:ln>
              <a:effectLst/>
            </c:spPr>
          </c:marker>
          <c:yVal>
            <c:numRef>
              <c:f>'Mokslai/Data Analytics Principles/[Confidential data - Sample pack cost breakdown.xlsx]USE THIS - H22422 Quantity cost'!$H$37</c:f>
              <c:numCache>
                <c:formatCode>_-[$£-809]* #,##0.00_-;\-[$£-809]* #,##0.00_-;_-[$£-809]* "-"??_-;_-@_-</c:formatCode>
                <c:ptCount val="1"/>
                <c:pt idx="0">
                  <c:v>0.95</c:v>
                </c:pt>
              </c:numCache>
            </c:numRef>
          </c:yVal>
          <c:smooth val="0"/>
          <c:extLst>
            <c:ext xmlns:c16="http://schemas.microsoft.com/office/drawing/2014/chart" uri="{C3380CC4-5D6E-409C-BE32-E72D297353CC}">
              <c16:uniqueId val="{00000024-BECF-4666-9089-B371C6ED5681}"/>
            </c:ext>
          </c:extLst>
        </c:ser>
        <c:ser>
          <c:idx val="35"/>
          <c:order val="35"/>
          <c:spPr>
            <a:ln w="25400" cap="rnd">
              <a:noFill/>
              <a:round/>
            </a:ln>
            <a:effectLst/>
          </c:spPr>
          <c:marker>
            <c:symbol val="circle"/>
            <c:size val="5"/>
            <c:spPr>
              <a:solidFill>
                <a:schemeClr val="accent6">
                  <a:lumMod val="50000"/>
                </a:schemeClr>
              </a:solidFill>
              <a:ln w="9525">
                <a:solidFill>
                  <a:schemeClr val="accent6">
                    <a:lumMod val="50000"/>
                  </a:schemeClr>
                </a:solidFill>
              </a:ln>
              <a:effectLst/>
            </c:spPr>
          </c:marker>
          <c:yVal>
            <c:numRef>
              <c:f>'Mokslai/Data Analytics Principles/[Confidential data - Sample pack cost breakdown.xlsx]USE THIS - H22422 Quantity cost'!$H$38</c:f>
              <c:numCache>
                <c:formatCode>_-[$£-809]* #,##0.00_-;\-[$£-809]* #,##0.00_-;_-[$£-809]* "-"??_-;_-@_-</c:formatCode>
                <c:ptCount val="1"/>
                <c:pt idx="0">
                  <c:v>0.95</c:v>
                </c:pt>
              </c:numCache>
            </c:numRef>
          </c:yVal>
          <c:smooth val="0"/>
          <c:extLst>
            <c:ext xmlns:c16="http://schemas.microsoft.com/office/drawing/2014/chart" uri="{C3380CC4-5D6E-409C-BE32-E72D297353CC}">
              <c16:uniqueId val="{00000025-BECF-4666-9089-B371C6ED5681}"/>
            </c:ext>
          </c:extLst>
        </c:ser>
        <c:ser>
          <c:idx val="36"/>
          <c:order val="36"/>
          <c:spPr>
            <a:ln w="25400" cap="rnd">
              <a:noFill/>
              <a:round/>
            </a:ln>
            <a:effectLst/>
          </c:spPr>
          <c:marker>
            <c:symbol val="circle"/>
            <c:size val="5"/>
            <c:spPr>
              <a:solidFill>
                <a:schemeClr val="accent1">
                  <a:lumMod val="70000"/>
                  <a:lumOff val="30000"/>
                </a:schemeClr>
              </a:solidFill>
              <a:ln w="9525">
                <a:solidFill>
                  <a:schemeClr val="accent1">
                    <a:lumMod val="70000"/>
                    <a:lumOff val="30000"/>
                  </a:schemeClr>
                </a:solidFill>
              </a:ln>
              <a:effectLst/>
            </c:spPr>
          </c:marker>
          <c:yVal>
            <c:numRef>
              <c:f>'Mokslai/Data Analytics Principles/[Confidential data - Sample pack cost breakdown.xlsx]USE THIS - H22422 Quantity cost'!$H$39</c:f>
              <c:numCache>
                <c:formatCode>_-[$£-809]* #,##0.00_-;\-[$£-809]* #,##0.00_-;_-[$£-809]* "-"??_-;_-@_-</c:formatCode>
                <c:ptCount val="1"/>
                <c:pt idx="0">
                  <c:v>0.95</c:v>
                </c:pt>
              </c:numCache>
            </c:numRef>
          </c:yVal>
          <c:smooth val="0"/>
          <c:extLst>
            <c:ext xmlns:c16="http://schemas.microsoft.com/office/drawing/2014/chart" uri="{C3380CC4-5D6E-409C-BE32-E72D297353CC}">
              <c16:uniqueId val="{00000026-BECF-4666-9089-B371C6ED5681}"/>
            </c:ext>
          </c:extLst>
        </c:ser>
        <c:ser>
          <c:idx val="37"/>
          <c:order val="37"/>
          <c:spPr>
            <a:ln w="25400" cap="rnd">
              <a:noFill/>
              <a:round/>
            </a:ln>
            <a:effectLst/>
          </c:spPr>
          <c:marker>
            <c:symbol val="circle"/>
            <c:size val="5"/>
            <c:spPr>
              <a:solidFill>
                <a:schemeClr val="accent2">
                  <a:lumMod val="70000"/>
                  <a:lumOff val="30000"/>
                </a:schemeClr>
              </a:solidFill>
              <a:ln w="9525">
                <a:solidFill>
                  <a:schemeClr val="accent2">
                    <a:lumMod val="70000"/>
                    <a:lumOff val="30000"/>
                  </a:schemeClr>
                </a:solidFill>
              </a:ln>
              <a:effectLst/>
            </c:spPr>
          </c:marker>
          <c:yVal>
            <c:numRef>
              <c:f>'Mokslai/Data Analytics Principles/[Confidential data - Sample pack cost breakdown.xlsx]USE THIS - H22422 Quantity cost'!$H$40</c:f>
              <c:numCache>
                <c:formatCode>_-[$£-809]* #,##0.00_-;\-[$£-809]* #,##0.00_-;_-[$£-809]* "-"??_-;_-@_-</c:formatCode>
                <c:ptCount val="1"/>
                <c:pt idx="0">
                  <c:v>0.95</c:v>
                </c:pt>
              </c:numCache>
            </c:numRef>
          </c:yVal>
          <c:smooth val="0"/>
          <c:extLst>
            <c:ext xmlns:c16="http://schemas.microsoft.com/office/drawing/2014/chart" uri="{C3380CC4-5D6E-409C-BE32-E72D297353CC}">
              <c16:uniqueId val="{00000027-BECF-4666-9089-B371C6ED5681}"/>
            </c:ext>
          </c:extLst>
        </c:ser>
        <c:ser>
          <c:idx val="38"/>
          <c:order val="38"/>
          <c:spPr>
            <a:ln w="25400" cap="rnd">
              <a:noFill/>
              <a:round/>
            </a:ln>
            <a:effectLst/>
          </c:spPr>
          <c:marker>
            <c:symbol val="circle"/>
            <c:size val="5"/>
            <c:spPr>
              <a:solidFill>
                <a:schemeClr val="accent3">
                  <a:lumMod val="70000"/>
                  <a:lumOff val="30000"/>
                </a:schemeClr>
              </a:solidFill>
              <a:ln w="9525">
                <a:solidFill>
                  <a:schemeClr val="accent3">
                    <a:lumMod val="70000"/>
                    <a:lumOff val="30000"/>
                  </a:schemeClr>
                </a:solidFill>
              </a:ln>
              <a:effectLst/>
            </c:spPr>
          </c:marker>
          <c:yVal>
            <c:numRef>
              <c:f>'Mokslai/Data Analytics Principles/[Confidential data - Sample pack cost breakdown.xlsx]USE THIS - H22422 Quantity cost'!$H$41</c:f>
              <c:numCache>
                <c:formatCode>_-[$£-809]* #,##0.00_-;\-[$£-809]* #,##0.00_-;_-[$£-809]* "-"??_-;_-@_-</c:formatCode>
                <c:ptCount val="1"/>
                <c:pt idx="0">
                  <c:v>0.75</c:v>
                </c:pt>
              </c:numCache>
            </c:numRef>
          </c:yVal>
          <c:smooth val="0"/>
          <c:extLst>
            <c:ext xmlns:c16="http://schemas.microsoft.com/office/drawing/2014/chart" uri="{C3380CC4-5D6E-409C-BE32-E72D297353CC}">
              <c16:uniqueId val="{00000028-BECF-4666-9089-B371C6ED5681}"/>
            </c:ext>
          </c:extLst>
        </c:ser>
        <c:ser>
          <c:idx val="39"/>
          <c:order val="39"/>
          <c:spPr>
            <a:ln w="25400" cap="rnd">
              <a:noFill/>
              <a:round/>
            </a:ln>
            <a:effectLst/>
          </c:spPr>
          <c:marker>
            <c:symbol val="circle"/>
            <c:size val="5"/>
            <c:spPr>
              <a:solidFill>
                <a:schemeClr val="accent4">
                  <a:lumMod val="70000"/>
                  <a:lumOff val="30000"/>
                </a:schemeClr>
              </a:solidFill>
              <a:ln w="9525">
                <a:solidFill>
                  <a:schemeClr val="accent4">
                    <a:lumMod val="70000"/>
                    <a:lumOff val="30000"/>
                  </a:schemeClr>
                </a:solidFill>
              </a:ln>
              <a:effectLst/>
            </c:spPr>
          </c:marker>
          <c:yVal>
            <c:numRef>
              <c:f>'Mokslai/Data Analytics Principles/[Confidential data - Sample pack cost breakdown.xlsx]USE THIS - H22422 Quantity cost'!$H$42</c:f>
              <c:numCache>
                <c:formatCode>_-[$£-809]* #,##0.00_-;\-[$£-809]* #,##0.00_-;_-[$£-809]* "-"??_-;_-@_-</c:formatCode>
                <c:ptCount val="1"/>
                <c:pt idx="0">
                  <c:v>0.95</c:v>
                </c:pt>
              </c:numCache>
            </c:numRef>
          </c:yVal>
          <c:smooth val="0"/>
          <c:extLst>
            <c:ext xmlns:c16="http://schemas.microsoft.com/office/drawing/2014/chart" uri="{C3380CC4-5D6E-409C-BE32-E72D297353CC}">
              <c16:uniqueId val="{00000029-BECF-4666-9089-B371C6ED5681}"/>
            </c:ext>
          </c:extLst>
        </c:ser>
        <c:ser>
          <c:idx val="40"/>
          <c:order val="40"/>
          <c:spPr>
            <a:ln w="25400" cap="rnd">
              <a:noFill/>
              <a:round/>
            </a:ln>
            <a:effectLst/>
          </c:spPr>
          <c:marker>
            <c:symbol val="circle"/>
            <c:size val="5"/>
            <c:spPr>
              <a:solidFill>
                <a:schemeClr val="accent5">
                  <a:lumMod val="70000"/>
                  <a:lumOff val="30000"/>
                </a:schemeClr>
              </a:solidFill>
              <a:ln w="9525">
                <a:solidFill>
                  <a:schemeClr val="accent5">
                    <a:lumMod val="70000"/>
                    <a:lumOff val="30000"/>
                  </a:schemeClr>
                </a:solidFill>
              </a:ln>
              <a:effectLst/>
            </c:spPr>
          </c:marker>
          <c:yVal>
            <c:numRef>
              <c:f>'Mokslai/Data Analytics Principles/[Confidential data - Sample pack cost breakdown.xlsx]USE THIS - H22422 Quantity cost'!$H$43</c:f>
              <c:numCache>
                <c:formatCode>_-[$£-809]* #,##0.00_-;\-[$£-809]* #,##0.00_-;_-[$£-809]* "-"??_-;_-@_-</c:formatCode>
                <c:ptCount val="1"/>
                <c:pt idx="0">
                  <c:v>0.95</c:v>
                </c:pt>
              </c:numCache>
            </c:numRef>
          </c:yVal>
          <c:smooth val="0"/>
          <c:extLst>
            <c:ext xmlns:c16="http://schemas.microsoft.com/office/drawing/2014/chart" uri="{C3380CC4-5D6E-409C-BE32-E72D297353CC}">
              <c16:uniqueId val="{0000002A-BECF-4666-9089-B371C6ED5681}"/>
            </c:ext>
          </c:extLst>
        </c:ser>
        <c:ser>
          <c:idx val="41"/>
          <c:order val="41"/>
          <c:spPr>
            <a:ln w="25400" cap="rnd">
              <a:noFill/>
              <a:round/>
            </a:ln>
            <a:effectLst/>
          </c:spPr>
          <c:marker>
            <c:symbol val="circle"/>
            <c:size val="5"/>
            <c:spPr>
              <a:solidFill>
                <a:schemeClr val="accent6">
                  <a:lumMod val="70000"/>
                  <a:lumOff val="30000"/>
                </a:schemeClr>
              </a:solidFill>
              <a:ln w="9525">
                <a:solidFill>
                  <a:schemeClr val="accent6">
                    <a:lumMod val="70000"/>
                    <a:lumOff val="30000"/>
                  </a:schemeClr>
                </a:solidFill>
              </a:ln>
              <a:effectLst/>
            </c:spPr>
          </c:marker>
          <c:yVal>
            <c:numRef>
              <c:f>'Mokslai/Data Analytics Principles/[Confidential data - Sample pack cost breakdown.xlsx]USE THIS - H22422 Quantity cost'!$H$44</c:f>
              <c:numCache>
                <c:formatCode>_-[$£-809]* #,##0.00_-;\-[$£-809]* #,##0.00_-;_-[$£-809]* "-"??_-;_-@_-</c:formatCode>
                <c:ptCount val="1"/>
                <c:pt idx="0">
                  <c:v>0.95</c:v>
                </c:pt>
              </c:numCache>
            </c:numRef>
          </c:yVal>
          <c:smooth val="0"/>
          <c:extLst>
            <c:ext xmlns:c16="http://schemas.microsoft.com/office/drawing/2014/chart" uri="{C3380CC4-5D6E-409C-BE32-E72D297353CC}">
              <c16:uniqueId val="{0000002B-BECF-4666-9089-B371C6ED5681}"/>
            </c:ext>
          </c:extLst>
        </c:ser>
        <c:ser>
          <c:idx val="42"/>
          <c:order val="42"/>
          <c:spPr>
            <a:ln w="25400" cap="rnd">
              <a:noFill/>
              <a:round/>
            </a:ln>
            <a:effectLst/>
          </c:spPr>
          <c:marker>
            <c:symbol val="circle"/>
            <c:size val="5"/>
            <c:spPr>
              <a:solidFill>
                <a:schemeClr val="accent1">
                  <a:lumMod val="70000"/>
                </a:schemeClr>
              </a:solidFill>
              <a:ln w="9525">
                <a:solidFill>
                  <a:schemeClr val="accent1">
                    <a:lumMod val="70000"/>
                  </a:schemeClr>
                </a:solidFill>
              </a:ln>
              <a:effectLst/>
            </c:spPr>
          </c:marker>
          <c:yVal>
            <c:numRef>
              <c:f>'Mokslai/Data Analytics Principles/[Confidential data - Sample pack cost breakdown.xlsx]USE THIS - H22422 Quantity cost'!$H$45</c:f>
              <c:numCache>
                <c:formatCode>_-[$£-809]* #,##0.00_-;\-[$£-809]* #,##0.00_-;_-[$£-809]* "-"??_-;_-@_-</c:formatCode>
                <c:ptCount val="1"/>
                <c:pt idx="0">
                  <c:v>0.95</c:v>
                </c:pt>
              </c:numCache>
            </c:numRef>
          </c:yVal>
          <c:smooth val="0"/>
          <c:extLst>
            <c:ext xmlns:c16="http://schemas.microsoft.com/office/drawing/2014/chart" uri="{C3380CC4-5D6E-409C-BE32-E72D297353CC}">
              <c16:uniqueId val="{0000002C-BECF-4666-9089-B371C6ED5681}"/>
            </c:ext>
          </c:extLst>
        </c:ser>
        <c:ser>
          <c:idx val="43"/>
          <c:order val="43"/>
          <c:spPr>
            <a:ln w="25400" cap="rnd">
              <a:noFill/>
              <a:round/>
            </a:ln>
            <a:effectLst/>
          </c:spPr>
          <c:marker>
            <c:symbol val="circle"/>
            <c:size val="5"/>
            <c:spPr>
              <a:solidFill>
                <a:schemeClr val="accent2">
                  <a:lumMod val="70000"/>
                </a:schemeClr>
              </a:solidFill>
              <a:ln w="9525">
                <a:solidFill>
                  <a:schemeClr val="accent2">
                    <a:lumMod val="70000"/>
                  </a:schemeClr>
                </a:solidFill>
              </a:ln>
              <a:effectLst/>
            </c:spPr>
          </c:marker>
          <c:yVal>
            <c:numRef>
              <c:f>'Mokslai/Data Analytics Principles/[Confidential data - Sample pack cost breakdown.xlsx]USE THIS - H22422 Quantity cost'!$H$46</c:f>
              <c:numCache>
                <c:formatCode>_-[$£-809]* #,##0.00_-;\-[$£-809]* #,##0.00_-;_-[$£-809]* "-"??_-;_-@_-</c:formatCode>
                <c:ptCount val="1"/>
                <c:pt idx="0">
                  <c:v>0.95</c:v>
                </c:pt>
              </c:numCache>
            </c:numRef>
          </c:yVal>
          <c:smooth val="0"/>
          <c:extLst>
            <c:ext xmlns:c16="http://schemas.microsoft.com/office/drawing/2014/chart" uri="{C3380CC4-5D6E-409C-BE32-E72D297353CC}">
              <c16:uniqueId val="{0000002D-BECF-4666-9089-B371C6ED5681}"/>
            </c:ext>
          </c:extLst>
        </c:ser>
        <c:ser>
          <c:idx val="44"/>
          <c:order val="44"/>
          <c:spPr>
            <a:ln w="25400" cap="rnd">
              <a:noFill/>
              <a:round/>
            </a:ln>
            <a:effectLst/>
          </c:spPr>
          <c:marker>
            <c:symbol val="circle"/>
            <c:size val="5"/>
            <c:spPr>
              <a:solidFill>
                <a:schemeClr val="accent3">
                  <a:lumMod val="70000"/>
                </a:schemeClr>
              </a:solidFill>
              <a:ln w="9525">
                <a:solidFill>
                  <a:schemeClr val="accent3">
                    <a:lumMod val="70000"/>
                  </a:schemeClr>
                </a:solidFill>
              </a:ln>
              <a:effectLst/>
            </c:spPr>
          </c:marker>
          <c:yVal>
            <c:numRef>
              <c:f>'Mokslai/Data Analytics Principles/[Confidential data - Sample pack cost breakdown.xlsx]USE THIS - H22422 Quantity cost'!$H$47</c:f>
              <c:numCache>
                <c:formatCode>_-[$£-809]* #,##0.00_-;\-[$£-809]* #,##0.00_-;_-[$£-809]* "-"??_-;_-@_-</c:formatCode>
                <c:ptCount val="1"/>
                <c:pt idx="0">
                  <c:v>0.95</c:v>
                </c:pt>
              </c:numCache>
            </c:numRef>
          </c:yVal>
          <c:smooth val="0"/>
          <c:extLst>
            <c:ext xmlns:c16="http://schemas.microsoft.com/office/drawing/2014/chart" uri="{C3380CC4-5D6E-409C-BE32-E72D297353CC}">
              <c16:uniqueId val="{0000002E-BECF-4666-9089-B371C6ED5681}"/>
            </c:ext>
          </c:extLst>
        </c:ser>
        <c:ser>
          <c:idx val="45"/>
          <c:order val="45"/>
          <c:spPr>
            <a:ln w="25400" cap="rnd">
              <a:noFill/>
              <a:round/>
            </a:ln>
            <a:effectLst/>
          </c:spPr>
          <c:marker>
            <c:symbol val="circle"/>
            <c:size val="5"/>
            <c:spPr>
              <a:solidFill>
                <a:schemeClr val="accent4">
                  <a:lumMod val="70000"/>
                </a:schemeClr>
              </a:solidFill>
              <a:ln w="9525">
                <a:solidFill>
                  <a:schemeClr val="accent4">
                    <a:lumMod val="70000"/>
                  </a:schemeClr>
                </a:solidFill>
              </a:ln>
              <a:effectLst/>
            </c:spPr>
          </c:marker>
          <c:yVal>
            <c:numRef>
              <c:f>'Mokslai/Data Analytics Principles/[Confidential data - Sample pack cost breakdown.xlsx]USE THIS - H22422 Quantity cost'!$H$48</c:f>
              <c:numCache>
                <c:formatCode>_-[$£-809]* #,##0.00_-;\-[$£-809]* #,##0.00_-;_-[$£-809]* "-"??_-;_-@_-</c:formatCode>
                <c:ptCount val="1"/>
                <c:pt idx="0">
                  <c:v>0.95</c:v>
                </c:pt>
              </c:numCache>
            </c:numRef>
          </c:yVal>
          <c:smooth val="0"/>
          <c:extLst>
            <c:ext xmlns:c16="http://schemas.microsoft.com/office/drawing/2014/chart" uri="{C3380CC4-5D6E-409C-BE32-E72D297353CC}">
              <c16:uniqueId val="{0000002F-BECF-4666-9089-B371C6ED5681}"/>
            </c:ext>
          </c:extLst>
        </c:ser>
        <c:ser>
          <c:idx val="46"/>
          <c:order val="46"/>
          <c:spPr>
            <a:ln w="25400" cap="rnd">
              <a:noFill/>
              <a:round/>
            </a:ln>
            <a:effectLst/>
          </c:spPr>
          <c:marker>
            <c:symbol val="circle"/>
            <c:size val="5"/>
            <c:spPr>
              <a:solidFill>
                <a:schemeClr val="accent5">
                  <a:lumMod val="70000"/>
                </a:schemeClr>
              </a:solidFill>
              <a:ln w="9525">
                <a:solidFill>
                  <a:schemeClr val="accent5">
                    <a:lumMod val="70000"/>
                  </a:schemeClr>
                </a:solidFill>
              </a:ln>
              <a:effectLst/>
            </c:spPr>
          </c:marker>
          <c:yVal>
            <c:numRef>
              <c:f>'Mokslai/Data Analytics Principles/[Confidential data - Sample pack cost breakdown.xlsx]USE THIS - H22422 Quantity cost'!$H$49</c:f>
              <c:numCache>
                <c:formatCode>_-[$£-809]* #,##0.00_-;\-[$£-809]* #,##0.00_-;_-[$£-809]* "-"??_-;_-@_-</c:formatCode>
                <c:ptCount val="1"/>
                <c:pt idx="0">
                  <c:v>0.95</c:v>
                </c:pt>
              </c:numCache>
            </c:numRef>
          </c:yVal>
          <c:smooth val="0"/>
          <c:extLst>
            <c:ext xmlns:c16="http://schemas.microsoft.com/office/drawing/2014/chart" uri="{C3380CC4-5D6E-409C-BE32-E72D297353CC}">
              <c16:uniqueId val="{00000030-BECF-4666-9089-B371C6ED5681}"/>
            </c:ext>
          </c:extLst>
        </c:ser>
        <c:dLbls>
          <c:showLegendKey val="0"/>
          <c:showVal val="0"/>
          <c:showCatName val="0"/>
          <c:showSerName val="0"/>
          <c:showPercent val="0"/>
          <c:showBubbleSize val="0"/>
        </c:dLbls>
        <c:axId val="311883951"/>
        <c:axId val="311895951"/>
      </c:scatterChart>
      <c:valAx>
        <c:axId val="311883951"/>
        <c:scaling>
          <c:orientation val="minMax"/>
        </c:scaling>
        <c:delete val="0"/>
        <c:axPos val="b"/>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895951"/>
        <c:crosses val="autoZero"/>
        <c:crossBetween val="midCat"/>
      </c:valAx>
      <c:valAx>
        <c:axId val="311895951"/>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8839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8589238845144356E-3"/>
                  <c:y val="0.3329166666666666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'Part 2 5 year'!$B$4:$B$8</c:f>
              <c:numCache>
                <c:formatCode>#,##0</c:formatCode>
                <c:ptCount val="5"/>
                <c:pt idx="0">
                  <c:v>19426</c:v>
                </c:pt>
                <c:pt idx="1">
                  <c:v>22579</c:v>
                </c:pt>
                <c:pt idx="2">
                  <c:v>24500</c:v>
                </c:pt>
                <c:pt idx="3">
                  <c:v>27030</c:v>
                </c:pt>
                <c:pt idx="4">
                  <c:v>27874</c:v>
                </c:pt>
              </c:numCache>
            </c:numRef>
          </c:xVal>
          <c:yVal>
            <c:numRef>
              <c:f>'Part 2 5 year'!$D$4:$D$8</c:f>
              <c:numCache>
                <c:formatCode>#,##0</c:formatCode>
                <c:ptCount val="5"/>
                <c:pt idx="0">
                  <c:v>13271</c:v>
                </c:pt>
                <c:pt idx="1">
                  <c:v>16140</c:v>
                </c:pt>
                <c:pt idx="2">
                  <c:v>17729</c:v>
                </c:pt>
                <c:pt idx="3">
                  <c:v>19710</c:v>
                </c:pt>
                <c:pt idx="4">
                  <c:v>20673</c:v>
                </c:pt>
              </c:numCache>
            </c:numRef>
          </c:yVal>
          <c:smooth val="0"/>
          <c:extLst>
            <c:ext xmlns:c16="http://schemas.microsoft.com/office/drawing/2014/chart" uri="{C3380CC4-5D6E-409C-BE32-E72D297353CC}">
              <c16:uniqueId val="{00000002-DB8C-4A32-8BFE-4141E81D15EA}"/>
            </c:ext>
          </c:extLst>
        </c:ser>
        <c:dLbls>
          <c:showLegendKey val="0"/>
          <c:showVal val="0"/>
          <c:showCatName val="0"/>
          <c:showSerName val="0"/>
          <c:showPercent val="0"/>
          <c:showBubbleSize val="0"/>
        </c:dLbls>
        <c:axId val="806764847"/>
        <c:axId val="806765807"/>
      </c:scatterChart>
      <c:valAx>
        <c:axId val="806764847"/>
        <c:scaling>
          <c:orientation val="minMax"/>
          <c:min val="15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Revenue (DKK million)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65807"/>
        <c:crosses val="autoZero"/>
        <c:crossBetween val="midCat"/>
      </c:valAx>
      <c:valAx>
        <c:axId val="806765807"/>
        <c:scaling>
          <c:orientation val="minMax"/>
          <c:min val="1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Cost (DKK million)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648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spPr>
            <a:ln w="28575" cap="rnd">
              <a:solidFill>
                <a:schemeClr val="accent1"/>
              </a:solidFill>
              <a:round/>
            </a:ln>
            <a:effectLst/>
          </c:spPr>
          <c:marker>
            <c:symbol val="none"/>
          </c:marker>
          <c:cat>
            <c:strRef>
              <c:f>'Part 2 5 year'!$A$4:$A$8</c:f>
              <c:strCache>
                <c:ptCount val="5"/>
                <c:pt idx="0">
                  <c:v>2020/21</c:v>
                </c:pt>
                <c:pt idx="1">
                  <c:v>2021/22</c:v>
                </c:pt>
                <c:pt idx="2">
                  <c:v>2022/23</c:v>
                </c:pt>
                <c:pt idx="3">
                  <c:v>2023/24</c:v>
                </c:pt>
                <c:pt idx="4">
                  <c:v>2024/25</c:v>
                </c:pt>
              </c:strCache>
            </c:strRef>
          </c:cat>
          <c:val>
            <c:numRef>
              <c:f>'Part 2 5 year'!$B$4:$B$8</c:f>
              <c:numCache>
                <c:formatCode>#,##0</c:formatCode>
                <c:ptCount val="5"/>
                <c:pt idx="0">
                  <c:v>19426</c:v>
                </c:pt>
                <c:pt idx="1">
                  <c:v>22579</c:v>
                </c:pt>
                <c:pt idx="2">
                  <c:v>24500</c:v>
                </c:pt>
                <c:pt idx="3">
                  <c:v>27030</c:v>
                </c:pt>
                <c:pt idx="4">
                  <c:v>27874</c:v>
                </c:pt>
              </c:numCache>
            </c:numRef>
          </c:val>
          <c:smooth val="0"/>
          <c:extLst>
            <c:ext xmlns:c16="http://schemas.microsoft.com/office/drawing/2014/chart" uri="{C3380CC4-5D6E-409C-BE32-E72D297353CC}">
              <c16:uniqueId val="{00000000-B32B-47AF-BFDC-64A8C082D1D8}"/>
            </c:ext>
          </c:extLst>
        </c:ser>
        <c:dLbls>
          <c:showLegendKey val="0"/>
          <c:showVal val="0"/>
          <c:showCatName val="0"/>
          <c:showSerName val="0"/>
          <c:showPercent val="0"/>
          <c:showBubbleSize val="0"/>
        </c:dLbls>
        <c:smooth val="0"/>
        <c:axId val="1299334543"/>
        <c:axId val="1299325423"/>
      </c:lineChart>
      <c:catAx>
        <c:axId val="1299334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Financial</a:t>
                </a:r>
                <a:r>
                  <a:rPr lang="en-GB" baseline="0"/>
                  <a:t>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325423"/>
        <c:crosses val="autoZero"/>
        <c:auto val="1"/>
        <c:lblAlgn val="ctr"/>
        <c:lblOffset val="100"/>
        <c:noMultiLvlLbl val="0"/>
      </c:catAx>
      <c:valAx>
        <c:axId val="1299325423"/>
        <c:scaling>
          <c:orientation val="minMax"/>
          <c:min val="18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Revenue</a:t>
                </a:r>
                <a:r>
                  <a:rPr lang="en-GB" baseline="0"/>
                  <a:t> (DKK milion)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3345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ubbleChart>
        <c:varyColors val="0"/>
        <c:ser>
          <c:idx val="0"/>
          <c:order val="0"/>
          <c:spPr>
            <a:solidFill>
              <a:schemeClr val="accent1">
                <a:alpha val="75000"/>
              </a:schemeClr>
            </a:solidFill>
            <a:ln>
              <a:noFill/>
            </a:ln>
            <a:effectLst/>
          </c:spPr>
          <c:invertIfNegative val="0"/>
          <c:xVal>
            <c:numRef>
              <c:f>'Part 2 5 year'!$B$4:$B$8</c:f>
              <c:numCache>
                <c:formatCode>#,##0</c:formatCode>
                <c:ptCount val="5"/>
                <c:pt idx="0">
                  <c:v>19426</c:v>
                </c:pt>
                <c:pt idx="1">
                  <c:v>22579</c:v>
                </c:pt>
                <c:pt idx="2">
                  <c:v>24500</c:v>
                </c:pt>
                <c:pt idx="3">
                  <c:v>27030</c:v>
                </c:pt>
                <c:pt idx="4">
                  <c:v>27874</c:v>
                </c:pt>
              </c:numCache>
            </c:numRef>
          </c:xVal>
          <c:yVal>
            <c:numRef>
              <c:f>'Part 2 5 year'!$D$4:$D$8</c:f>
              <c:numCache>
                <c:formatCode>#,##0</c:formatCode>
                <c:ptCount val="5"/>
                <c:pt idx="0">
                  <c:v>13271</c:v>
                </c:pt>
                <c:pt idx="1">
                  <c:v>16140</c:v>
                </c:pt>
                <c:pt idx="2">
                  <c:v>17729</c:v>
                </c:pt>
                <c:pt idx="3">
                  <c:v>19710</c:v>
                </c:pt>
                <c:pt idx="4">
                  <c:v>20673</c:v>
                </c:pt>
              </c:numCache>
            </c:numRef>
          </c:yVal>
          <c:bubbleSize>
            <c:numRef>
              <c:f>'Part 2 5 year'!$E$4:$E$8</c:f>
              <c:numCache>
                <c:formatCode>#,##0</c:formatCode>
                <c:ptCount val="5"/>
                <c:pt idx="0">
                  <c:v>12656</c:v>
                </c:pt>
                <c:pt idx="1">
                  <c:v>13825</c:v>
                </c:pt>
                <c:pt idx="2">
                  <c:v>15069</c:v>
                </c:pt>
                <c:pt idx="3">
                  <c:v>16202</c:v>
                </c:pt>
                <c:pt idx="4">
                  <c:v>16773</c:v>
                </c:pt>
              </c:numCache>
            </c:numRef>
          </c:bubbleSize>
          <c:bubble3D val="0"/>
          <c:extLst>
            <c:ext xmlns:c16="http://schemas.microsoft.com/office/drawing/2014/chart" uri="{C3380CC4-5D6E-409C-BE32-E72D297353CC}">
              <c16:uniqueId val="{00000000-FC32-4A67-AE8B-4C75253B8A35}"/>
            </c:ext>
          </c:extLst>
        </c:ser>
        <c:dLbls>
          <c:showLegendKey val="0"/>
          <c:showVal val="0"/>
          <c:showCatName val="0"/>
          <c:showSerName val="0"/>
          <c:showPercent val="0"/>
          <c:showBubbleSize val="0"/>
        </c:dLbls>
        <c:bubbleScale val="100"/>
        <c:showNegBubbles val="0"/>
        <c:axId val="1033774735"/>
        <c:axId val="1033772335"/>
      </c:bubbleChart>
      <c:valAx>
        <c:axId val="1033774735"/>
        <c:scaling>
          <c:orientation val="minMax"/>
          <c:min val="18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Revenue (DKK million)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772335"/>
        <c:crosses val="autoZero"/>
        <c:crossBetween val="midCat"/>
      </c:valAx>
      <c:valAx>
        <c:axId val="1033772335"/>
        <c:scaling>
          <c:orientation val="minMax"/>
          <c:min val="12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Operating Cost (DKK million)</a:t>
                </a:r>
                <a:endParaRPr lang="en-GB"/>
              </a:p>
            </c:rich>
          </c:tx>
          <c:layout>
            <c:manualLayout>
              <c:xMode val="edge"/>
              <c:yMode val="edge"/>
              <c:x val="3.3333333333333333E-2"/>
              <c:y val="0.204436789151356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77473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'Part 2 5 year'!$B$4:$B$8</cx:f>
        <cx:lvl ptCount="5" formatCode="#,##0">
          <cx:pt idx="0">19426</cx:pt>
          <cx:pt idx="1">22579</cx:pt>
          <cx:pt idx="2">24500</cx:pt>
          <cx:pt idx="3">27030</cx:pt>
          <cx:pt idx="4">27874</cx:pt>
        </cx:lvl>
      </cx:numDim>
    </cx:data>
  </cx:chartData>
  <cx:chart>
    <cx:plotArea>
      <cx:plotAreaRegion>
        <cx:series layoutId="clusteredColumn" uniqueId="{09FD6BCC-4692-44E3-9ACF-8EB0F041D9B9}">
          <cx:dataId val="0"/>
          <cx:layoutPr>
            <cx:binning intervalClosed="r">
              <cx:binSize val="3000"/>
            </cx:binning>
          </cx:layoutPr>
        </cx:series>
      </cx:plotAreaRegion>
      <cx:axis id="0">
        <cx:catScaling gapWidth="0"/>
        <cx:title>
          <cx:tx>
            <cx:rich>
              <a:bodyPr spcFirstLastPara="1" vertOverflow="ellipsis" horzOverflow="overflow" wrap="square" lIns="0" tIns="0" rIns="0" bIns="0" anchor="ctr" anchorCtr="1"/>
              <a:lstStyle/>
              <a:p>
                <a:pPr algn="ctr" rtl="0">
                  <a:defRPr/>
                </a:pPr>
                <a:r>
                  <a:rPr lang="en-GB"/>
                  <a:t>Revenue (DKK million)</a:t>
                </a:r>
                <a:endParaRPr lang="en-US" sz="900" b="0" i="0" u="none" strike="noStrike" baseline="0">
                  <a:solidFill>
                    <a:sysClr val="windowText" lastClr="000000">
                      <a:lumMod val="65000"/>
                      <a:lumOff val="35000"/>
                    </a:sysClr>
                  </a:solidFill>
                  <a:latin typeface="Calibri" panose="020F0502020204030204"/>
                </a:endParaRPr>
              </a:p>
            </cx:rich>
          </cx:tx>
        </cx:title>
        <cx:tickLabels/>
      </cx:axis>
      <cx:axis id="1">
        <cx:valScaling/>
        <cx:title>
          <cx:tx>
            <cx:rich>
              <a:bodyPr spcFirstLastPara="1" vertOverflow="ellipsis" horzOverflow="overflow" wrap="square" lIns="0" tIns="0" rIns="0" bIns="0" anchor="ctr" anchorCtr="1"/>
              <a:lstStyle/>
              <a:p>
                <a:pPr algn="ctr" rtl="0">
                  <a:defRPr/>
                </a:pPr>
                <a:r>
                  <a:rPr lang="en-GB"/>
                  <a:t>Frequency</a:t>
                </a:r>
                <a:endParaRPr lang="en-US" sz="900" b="0" i="0" u="none" strike="noStrike" baseline="0">
                  <a:solidFill>
                    <a:sysClr val="windowText" lastClr="000000">
                      <a:lumMod val="65000"/>
                      <a:lumOff val="35000"/>
                    </a:sysClr>
                  </a:solidFill>
                  <a:latin typeface="Calibri" panose="020F0502020204030204"/>
                </a:endParaRPr>
              </a:p>
            </cx:rich>
          </cx:tx>
        </cx:title>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oloplast">
      <a:dk1>
        <a:srgbClr val="213D46"/>
      </a:dk1>
      <a:lt1>
        <a:srgbClr val="FFFFFF"/>
      </a:lt1>
      <a:dk2>
        <a:srgbClr val="3C545D"/>
      </a:dk2>
      <a:lt2>
        <a:srgbClr val="FFFFFF"/>
      </a:lt2>
      <a:accent1>
        <a:srgbClr val="00A2BA"/>
      </a:accent1>
      <a:accent2>
        <a:srgbClr val="00515D"/>
      </a:accent2>
      <a:accent3>
        <a:srgbClr val="00788A"/>
      </a:accent3>
      <a:accent4>
        <a:srgbClr val="CCECF3"/>
      </a:accent4>
      <a:accent5>
        <a:srgbClr val="E0F5F9"/>
      </a:accent5>
      <a:accent6>
        <a:srgbClr val="EBEEEF"/>
      </a:accent6>
      <a:hlink>
        <a:srgbClr val="00A2BA"/>
      </a:hlink>
      <a:folHlink>
        <a:srgbClr val="00A2BA"/>
      </a:folHlink>
    </a:clrScheme>
    <a:fontScheme name="Coloplast Regular and Medium">
      <a:majorFont>
        <a:latin typeface="Coloplast Medium"/>
        <a:ea typeface=""/>
        <a:cs typeface=""/>
      </a:majorFont>
      <a:minorFont>
        <a:latin typeface="Coloplas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custClrLst>
    <a:custClr name="Turquoise 50">
      <a:srgbClr val="EAF7FA"/>
    </a:custClr>
    <a:custClr name="Turquoise 100">
      <a:srgbClr val="E0F5F9"/>
    </a:custClr>
    <a:custClr name="Turquoise 200">
      <a:srgbClr val="CCECF3"/>
    </a:custClr>
    <a:custClr name="Turquoise 300">
      <a:srgbClr val="B3E3ED"/>
    </a:custClr>
    <a:custClr name="Turquoise 400">
      <a:srgbClr val="4CBCD1"/>
    </a:custClr>
    <a:custClr name="Turquoise 500">
      <a:srgbClr val="00A2BA"/>
    </a:custClr>
    <a:custClr name="Turquoise 600">
      <a:srgbClr val="008599"/>
    </a:custClr>
    <a:custClr name="Turquoise 700">
      <a:srgbClr val="006A7A"/>
    </a:custClr>
    <a:custClr name="Color has no name">
      <a:srgbClr val="FFFFFF"/>
    </a:custClr>
    <a:custClr name="Color has no name">
      <a:srgbClr val="FFFFFF"/>
    </a:custClr>
    <a:custClr name="Grey 50">
      <a:srgbClr val="F2F3F2"/>
    </a:custClr>
    <a:custClr name="Grey 100">
      <a:srgbClr val="EBEEEF"/>
    </a:custClr>
    <a:custClr name="Grey 200">
      <a:srgbClr val="DDE2E4"/>
    </a:custClr>
    <a:custClr name="Grey 300">
      <a:srgbClr val="CAD0D3"/>
    </a:custClr>
    <a:custClr name="Grey 400">
      <a:srgbClr val="B4BDC0"/>
    </a:custClr>
    <a:custClr name="Grey 500">
      <a:srgbClr val="7A8B90"/>
    </a:custClr>
    <a:custClr name="Grey 600">
      <a:srgbClr val="4D646B"/>
    </a:custClr>
    <a:custClr name="Grey 700">
      <a:srgbClr val="3C545D"/>
    </a:custClr>
    <a:custClr name="Color has no name">
      <a:srgbClr val="FFFFFF"/>
    </a:custClr>
    <a:custClr name="Color has no name">
      <a:srgbClr val="FFFFFF"/>
    </a:custClr>
    <a:custClr name="Sand 50">
      <a:srgbClr val="F6F6F3"/>
    </a:custClr>
    <a:custClr name="Sand 100">
      <a:srgbClr val="F1F0EC"/>
    </a:custClr>
    <a:custClr name="Sand 200">
      <a:srgbClr val="E7E5DF"/>
    </a:custClr>
    <a:custClr name="Sand 300">
      <a:srgbClr val="DCDAD5"/>
    </a:custClr>
    <a:custClr name="Sand 400">
      <a:srgbClr val="D5D2CE"/>
    </a:custClr>
    <a:custClr name="Sand 500">
      <a:srgbClr val="CAC8C4"/>
    </a:custClr>
    <a:custClr name="Color has no name">
      <a:srgbClr val="FFFFFF"/>
    </a:custClr>
    <a:custClr name="Color has no name">
      <a:srgbClr val="FFFFFF"/>
    </a:custClr>
    <a:custClr name="Color has no name">
      <a:srgbClr val="FFFFFF"/>
    </a:custClr>
    <a:custClr name="Color has no name">
      <a:srgbClr val="FFFFFF"/>
    </a:custClr>
    <a:custClr name="Green">
      <a:srgbClr val="88BE75"/>
    </a:custClr>
    <a:custClr name="Orange">
      <a:srgbClr val="FBAB61"/>
    </a:custClr>
    <a:custClr name="Teal">
      <a:srgbClr val="378C87"/>
    </a:custClr>
    <a:custClr name="Coral">
      <a:srgbClr val="F17E64"/>
    </a:custClr>
  </a:custClr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E53091C87DADE45BE080BB2D04E807B" ma:contentTypeVersion="16" ma:contentTypeDescription="Create a new document." ma:contentTypeScope="" ma:versionID="360a2ccf8300bffb9f0583e2ce6308ec">
  <xsd:schema xmlns:xsd="http://www.w3.org/2001/XMLSchema" xmlns:xs="http://www.w3.org/2001/XMLSchema" xmlns:p="http://schemas.microsoft.com/office/2006/metadata/properties" xmlns:ns2="16445824-18ae-415d-9878-37783bacc19f" xmlns:ns3="cbc13a69-0ef3-4dd2-8c85-b43bf311d6ea" targetNamespace="http://schemas.microsoft.com/office/2006/metadata/properties" ma:root="true" ma:fieldsID="9b240d8c3e32e486133cc652e43ceb67" ns2:_="" ns3:_="">
    <xsd:import namespace="16445824-18ae-415d-9878-37783bacc19f"/>
    <xsd:import namespace="cbc13a69-0ef3-4dd2-8c85-b43bf311d6e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3:TaxKeywordTaxHTField" minOccurs="0"/>
                <xsd:element ref="ns2:MediaLengthInSeconds" minOccurs="0"/>
                <xsd:element ref="ns2:MediaServiceBillingMetadata" minOccurs="0"/>
                <xsd:element ref="ns2:OrderonAmple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445824-18ae-415d-9878-37783bacc19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d816f909-a1e7-409b-9343-6c69df0b8a4a"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element name="OrderonAmpler" ma:index="23" nillable="true" ma:displayName="Order on Ampler" ma:format="Dropdown" ma:internalName="OrderonAmpler" ma:percentage="FALSE">
      <xsd:simpleType>
        <xsd:restriction base="dms:Number"/>
      </xsd:simpleType>
    </xsd:element>
  </xsd:schema>
  <xsd:schema xmlns:xsd="http://www.w3.org/2001/XMLSchema" xmlns:xs="http://www.w3.org/2001/XMLSchema" xmlns:dms="http://schemas.microsoft.com/office/2006/documentManagement/types" xmlns:pc="http://schemas.microsoft.com/office/infopath/2007/PartnerControls" targetNamespace="cbc13a69-0ef3-4dd2-8c85-b43bf311d6e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664dcf00-fda4-48f5-a599-8d36e747debb}" ma:internalName="TaxCatchAll" ma:showField="CatchAllData" ma:web="cbc13a69-0ef3-4dd2-8c85-b43bf311d6ea">
      <xsd:complexType>
        <xsd:complexContent>
          <xsd:extension base="dms:MultiChoiceLookup">
            <xsd:sequence>
              <xsd:element name="Value" type="dms:Lookup" maxOccurs="unbounded" minOccurs="0" nillable="true"/>
            </xsd:sequence>
          </xsd:extension>
        </xsd:complexContent>
      </xsd:complexType>
    </xsd:element>
    <xsd:element name="TaxKeywordTaxHTField" ma:index="20" nillable="true" ma:taxonomy="true" ma:internalName="TaxKeywordTaxHTField" ma:taxonomyFieldName="TaxKeyword" ma:displayName="Enterprise Keywords" ma:fieldId="{23f27201-bee3-471e-b2e7-b64fd8b7ca38}" ma:taxonomyMulti="true" ma:sspId="d816f909-a1e7-409b-9343-6c69df0b8a4a"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445824-18ae-415d-9878-37783bacc19f">
      <Terms xmlns="http://schemas.microsoft.com/office/infopath/2007/PartnerControls"/>
    </lcf76f155ced4ddcb4097134ff3c332f>
    <TaxCatchAll xmlns="cbc13a69-0ef3-4dd2-8c85-b43bf311d6ea" xsi:nil="true"/>
    <TaxKeywordTaxHTField xmlns="cbc13a69-0ef3-4dd2-8c85-b43bf311d6ea">
      <Terms xmlns="http://schemas.microsoft.com/office/infopath/2007/PartnerControls"/>
    </TaxKeywordTaxHTField>
    <OrderonAmpler xmlns="16445824-18ae-415d-9878-37783bacc19f" xsi:nil="true"/>
  </documentManagement>
</p:properties>
</file>

<file path=customXml/itemProps1.xml><?xml version="1.0" encoding="utf-8"?>
<ds:datastoreItem xmlns:ds="http://schemas.openxmlformats.org/officeDocument/2006/customXml" ds:itemID="{F46C7224-D988-4706-9574-E04564257E96}">
  <ds:schemaRefs>
    <ds:schemaRef ds:uri="http://schemas.microsoft.com/sharepoint/v3/contenttype/forms"/>
  </ds:schemaRefs>
</ds:datastoreItem>
</file>

<file path=customXml/itemProps2.xml><?xml version="1.0" encoding="utf-8"?>
<ds:datastoreItem xmlns:ds="http://schemas.openxmlformats.org/officeDocument/2006/customXml" ds:itemID="{0D558636-8D62-47AC-961F-8E83DD257B70}">
  <ds:schemaRefs>
    <ds:schemaRef ds:uri="http://schemas.openxmlformats.org/officeDocument/2006/bibliography"/>
  </ds:schemaRefs>
</ds:datastoreItem>
</file>

<file path=customXml/itemProps3.xml><?xml version="1.0" encoding="utf-8"?>
<ds:datastoreItem xmlns:ds="http://schemas.openxmlformats.org/officeDocument/2006/customXml" ds:itemID="{4E2D4003-3750-4E5F-AE31-43CF9C78B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445824-18ae-415d-9878-37783bacc19f"/>
    <ds:schemaRef ds:uri="cbc13a69-0ef3-4dd2-8c85-b43bf311d6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A393B8-74E3-473A-B1B5-A27CB95B3FA7}">
  <ds:schemaRefs>
    <ds:schemaRef ds:uri="http://schemas.microsoft.com/office/2006/metadata/properties"/>
    <ds:schemaRef ds:uri="http://schemas.microsoft.com/office/infopath/2007/PartnerControls"/>
    <ds:schemaRef ds:uri="16445824-18ae-415d-9878-37783bacc19f"/>
    <ds:schemaRef ds:uri="cbc13a69-0ef3-4dd2-8c85-b43bf311d6ea"/>
  </ds:schemaRefs>
</ds:datastoreItem>
</file>

<file path=docProps/app.xml><?xml version="1.0" encoding="utf-8"?>
<Properties xmlns="http://schemas.openxmlformats.org/officeDocument/2006/extended-properties" xmlns:vt="http://schemas.openxmlformats.org/officeDocument/2006/docPropsVTypes">
  <Template>20251107 125736 Blank vertical</Template>
  <TotalTime>2626</TotalTime>
  <Pages>27</Pages>
  <Words>2993</Words>
  <Characters>18223</Characters>
  <Application>Microsoft Office Word</Application>
  <DocSecurity>0</DocSecurity>
  <Lines>644</Lines>
  <Paragraphs>348</Paragraphs>
  <ScaleCrop>false</ScaleCrop>
  <Company/>
  <LinksUpToDate>false</LinksUpToDate>
  <CharactersWithSpaces>20981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 Nagliute</dc:creator>
  <cp:keywords/>
  <dc:description/>
  <cp:lastModifiedBy>Donata Nagliute</cp:lastModifiedBy>
  <cp:revision>1034</cp:revision>
  <dcterms:created xsi:type="dcterms:W3CDTF">2026-01-20T09:57:00Z</dcterms:created>
  <dcterms:modified xsi:type="dcterms:W3CDTF">2026-03-04T09:16:00Z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58c6904c-ee57-410a-8a83-08296960b7cd</vt:lpwstr>
  </property>
</Properties>
</file>